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4C993" w14:textId="77777777" w:rsidR="00B50D8D" w:rsidRPr="00B50D8D" w:rsidRDefault="00B50D8D" w:rsidP="00B50D8D">
      <w:pPr>
        <w:pStyle w:val="CDIfootnotes"/>
      </w:pPr>
      <w:r w:rsidRPr="00B50D8D">
        <w:rPr>
          <w:i/>
          <w:iCs/>
        </w:rPr>
        <w:t>Communicable Diseases Intelligence</w:t>
      </w:r>
      <w:r w:rsidRPr="00B50D8D">
        <w:t xml:space="preserve">, Year </w:t>
      </w:r>
      <w:r w:rsidR="00083CA6">
        <w:fldChar w:fldCharType="begin"/>
      </w:r>
      <w:r w:rsidR="00083CA6">
        <w:instrText xml:space="preserve"> DOCPROPERTY  Year  \* MERGEFORMAT </w:instrText>
      </w:r>
      <w:r w:rsidR="00083CA6">
        <w:fldChar w:fldCharType="separate"/>
      </w:r>
      <w:r w:rsidR="00F3428D">
        <w:t>2023</w:t>
      </w:r>
      <w:r w:rsidR="00083CA6">
        <w:fldChar w:fldCharType="end"/>
      </w:r>
      <w:r w:rsidRPr="00B50D8D">
        <w:t xml:space="preserve">, Volume </w:t>
      </w:r>
      <w:r w:rsidR="00083CA6">
        <w:fldChar w:fldCharType="begin"/>
      </w:r>
      <w:r w:rsidR="00083CA6">
        <w:instrText xml:space="preserve"> DOCPROPERTY  Vol  \* MERGEFORMAT </w:instrText>
      </w:r>
      <w:r w:rsidR="00083CA6">
        <w:fldChar w:fldCharType="separate"/>
      </w:r>
      <w:r w:rsidR="00F3428D">
        <w:t>47</w:t>
      </w:r>
      <w:r w:rsidR="00083CA6">
        <w:fldChar w:fldCharType="end"/>
      </w:r>
    </w:p>
    <w:p w14:paraId="1485C966" w14:textId="1CFBCD8D" w:rsidR="00B50D8D" w:rsidRPr="00B50D8D" w:rsidRDefault="00083CA6" w:rsidP="00B50D8D">
      <w:pPr>
        <w:pStyle w:val="CDIfootnotes"/>
      </w:pPr>
      <w:r>
        <w:fldChar w:fldCharType="begin"/>
      </w:r>
      <w:r>
        <w:instrText xml:space="preserve"> DOCPROPERTY  DOI  \* MERGEFORMAT </w:instrText>
      </w:r>
      <w:r>
        <w:fldChar w:fldCharType="separate"/>
      </w:r>
      <w:r w:rsidR="00603AD6">
        <w:t>https://doi.org/10.33321/cdi.2023.47.61</w:t>
      </w:r>
      <w:r>
        <w:fldChar w:fldCharType="end"/>
      </w:r>
    </w:p>
    <w:p w14:paraId="6B8BFBFC" w14:textId="1B96E86B" w:rsidR="00B50D8D" w:rsidRPr="00B50D8D" w:rsidRDefault="00B50D8D" w:rsidP="00B50D8D">
      <w:pPr>
        <w:pStyle w:val="CDIfootnotes"/>
      </w:pPr>
      <w:r w:rsidRPr="00B50D8D">
        <w:t xml:space="preserve">Publication date: </w:t>
      </w:r>
      <w:r w:rsidR="00083CA6">
        <w:fldChar w:fldCharType="begin"/>
      </w:r>
      <w:r w:rsidR="00083CA6">
        <w:instrText xml:space="preserve"> DOCPROPERTY  ePubDate  \* MERGEFORMAT </w:instrText>
      </w:r>
      <w:r w:rsidR="00083CA6">
        <w:fldChar w:fldCharType="separate"/>
      </w:r>
      <w:r w:rsidR="00603AD6">
        <w:t>19/10/2023</w:t>
      </w:r>
      <w:r w:rsidR="00083CA6">
        <w:fldChar w:fldCharType="end"/>
      </w:r>
    </w:p>
    <w:p w14:paraId="744ED9A5" w14:textId="2EFA079F" w:rsidR="00B50D8D" w:rsidRPr="00B50D8D" w:rsidRDefault="00083CA6" w:rsidP="00B50D8D">
      <w:pPr>
        <w:pStyle w:val="CDIfootnotes"/>
      </w:pPr>
      <w:hyperlink r:id="rId9" w:history="1">
        <w:r w:rsidR="00B50D8D" w:rsidRPr="00B50D8D">
          <w:rPr>
            <w:rStyle w:val="Hyperlink"/>
          </w:rPr>
          <w:t>http://health.gov.au/cdi</w:t>
        </w:r>
      </w:hyperlink>
      <w:r w:rsidR="00B50D8D" w:rsidRPr="00B50D8D">
        <w:t xml:space="preserve"> </w:t>
      </w:r>
    </w:p>
    <w:p w14:paraId="5A95635A" w14:textId="77777777" w:rsidR="00601A36" w:rsidRDefault="00601A36" w:rsidP="00601A36">
      <w:pPr>
        <w:pStyle w:val="Title"/>
        <w:divId w:val="1847091836"/>
        <w:rPr>
          <w:rFonts w:eastAsia="Times New Roman"/>
          <w:sz w:val="48"/>
          <w:szCs w:val="48"/>
        </w:rPr>
      </w:pPr>
      <w:r>
        <w:rPr>
          <w:rFonts w:eastAsia="Times New Roman"/>
        </w:rPr>
        <w:t xml:space="preserve">Australian vaccine preventable disease epidemiological review series: tetanus 2003–2019 </w:t>
      </w:r>
    </w:p>
    <w:p w14:paraId="301151CE" w14:textId="77777777" w:rsidR="00601A36" w:rsidRDefault="00601A36" w:rsidP="00601A36">
      <w:pPr>
        <w:divId w:val="1847091836"/>
      </w:pPr>
      <w:proofErr w:type="spellStart"/>
      <w:r>
        <w:t>Eliora</w:t>
      </w:r>
      <w:proofErr w:type="spellEnd"/>
      <w:r>
        <w:t xml:space="preserve"> SG Morris, Aditi Dey, Kaitlyn Vette, </w:t>
      </w:r>
      <w:proofErr w:type="spellStart"/>
      <w:r>
        <w:t>Harunor</w:t>
      </w:r>
      <w:proofErr w:type="spellEnd"/>
      <w:r>
        <w:t xml:space="preserve"> Rashid, Nicholas Wood, Frank Beard </w:t>
      </w:r>
    </w:p>
    <w:p w14:paraId="237C2B12" w14:textId="77777777" w:rsidR="00601A36" w:rsidRPr="00601A36" w:rsidRDefault="00601A36" w:rsidP="00601A36">
      <w:pPr>
        <w:pStyle w:val="Heading1"/>
        <w:divId w:val="1847091836"/>
      </w:pPr>
      <w:r w:rsidRPr="00601A36">
        <w:t xml:space="preserve">Abstract </w:t>
      </w:r>
    </w:p>
    <w:p w14:paraId="6D8D2635" w14:textId="77777777" w:rsidR="00601A36" w:rsidRPr="00601A36" w:rsidRDefault="00601A36" w:rsidP="00601A36">
      <w:pPr>
        <w:pStyle w:val="Heading2"/>
        <w:divId w:val="1847091836"/>
      </w:pPr>
      <w:r w:rsidRPr="00601A36">
        <w:t xml:space="preserve">Background </w:t>
      </w:r>
    </w:p>
    <w:p w14:paraId="5AFFA2D5" w14:textId="77777777" w:rsidR="00601A36" w:rsidRDefault="00601A36" w:rsidP="00601A36">
      <w:pPr>
        <w:divId w:val="1847091836"/>
      </w:pPr>
      <w:r>
        <w:t xml:space="preserve">We examined trends in tetanus notification, </w:t>
      </w:r>
      <w:proofErr w:type="gramStart"/>
      <w:r>
        <w:t>hospitalisation</w:t>
      </w:r>
      <w:proofErr w:type="gramEnd"/>
      <w:r>
        <w:t xml:space="preserve"> and death data from 2003–2019 to assess the impact of adult tetanus booster recommendations in Australia. </w:t>
      </w:r>
    </w:p>
    <w:p w14:paraId="1C16AEA8" w14:textId="77777777" w:rsidR="00601A36" w:rsidRPr="00601A36" w:rsidRDefault="00601A36" w:rsidP="00601A36">
      <w:pPr>
        <w:pStyle w:val="Heading2"/>
        <w:divId w:val="1847091836"/>
      </w:pPr>
      <w:r w:rsidRPr="00601A36">
        <w:rPr>
          <w:rStyle w:val="Strong"/>
          <w:b/>
          <w:bCs/>
        </w:rPr>
        <w:t xml:space="preserve">Methods </w:t>
      </w:r>
    </w:p>
    <w:p w14:paraId="2D371E60" w14:textId="5F4388C4" w:rsidR="00601A36" w:rsidRDefault="00601A36" w:rsidP="00601A36">
      <w:pPr>
        <w:divId w:val="1847091836"/>
      </w:pPr>
      <w:r>
        <w:t xml:space="preserve">Tetanus notifications and deaths from the National Notifiable Diseases Surveillance System; hospitalisations from the Australian Institute of Health and Welfare National Hospital Morbidity Database; and deaths from the Australian Coordinating Registry </w:t>
      </w:r>
      <w:proofErr w:type="gramStart"/>
      <w:r>
        <w:t>were analysed</w:t>
      </w:r>
      <w:proofErr w:type="gramEnd"/>
      <w:r>
        <w:t xml:space="preserve"> by age group, sex, Aboriginal and Torres Strait Islander status and state/territory. Annual rates </w:t>
      </w:r>
      <w:proofErr w:type="gramStart"/>
      <w:r>
        <w:t>were calculated</w:t>
      </w:r>
      <w:proofErr w:type="gramEnd"/>
      <w:r>
        <w:t xml:space="preserve"> using Australian Bureau of Statistics mid-year estimated resident populations from 2003</w:t>
      </w:r>
      <w:r w:rsidR="00242AEF">
        <w:t>–</w:t>
      </w:r>
      <w:r>
        <w:t>2019 as denominators. To assess the impact of a recommended booster dose of reduced antigen content diphtheria–tetanus–acellular pertussis (</w:t>
      </w:r>
      <w:proofErr w:type="spellStart"/>
      <w:r>
        <w:t>dTpa</w:t>
      </w:r>
      <w:proofErr w:type="spellEnd"/>
      <w:r>
        <w:t>) vaccine for adults aged ≥</w:t>
      </w:r>
      <w:r w:rsidR="00242AEF">
        <w:t xml:space="preserve"> </w:t>
      </w:r>
      <w:r>
        <w:t xml:space="preserve">65 years, notification, </w:t>
      </w:r>
      <w:proofErr w:type="gramStart"/>
      <w:r>
        <w:t>hospitalisation</w:t>
      </w:r>
      <w:proofErr w:type="gramEnd"/>
      <w:r>
        <w:t xml:space="preserve"> and death rates of tetanus per 100,000 population were compared pre (2003</w:t>
      </w:r>
      <w:r w:rsidR="00242AEF">
        <w:t>–</w:t>
      </w:r>
      <w:r>
        <w:t>2012) and post (2013</w:t>
      </w:r>
      <w:r w:rsidR="00242AEF">
        <w:t>–</w:t>
      </w:r>
      <w:r>
        <w:t xml:space="preserve">2019) the recommendation’s introduction. </w:t>
      </w:r>
    </w:p>
    <w:p w14:paraId="36951D52" w14:textId="77777777" w:rsidR="00601A36" w:rsidRPr="00601A36" w:rsidRDefault="00601A36" w:rsidP="00601A36">
      <w:pPr>
        <w:pStyle w:val="Heading2"/>
        <w:divId w:val="1847091836"/>
      </w:pPr>
      <w:r w:rsidRPr="00601A36">
        <w:rPr>
          <w:rStyle w:val="Strong"/>
          <w:b/>
          <w:bCs/>
        </w:rPr>
        <w:t xml:space="preserve">Results </w:t>
      </w:r>
    </w:p>
    <w:p w14:paraId="1192A178" w14:textId="55C84E6F" w:rsidR="00601A36" w:rsidRDefault="00601A36" w:rsidP="00601A36">
      <w:pPr>
        <w:divId w:val="1847091836"/>
      </w:pPr>
      <w:r>
        <w:t xml:space="preserve">There were </w:t>
      </w:r>
      <w:proofErr w:type="gramStart"/>
      <w:r>
        <w:t>63</w:t>
      </w:r>
      <w:proofErr w:type="gramEnd"/>
      <w:r>
        <w:t xml:space="preserve"> notifications of tetanus from 2003</w:t>
      </w:r>
      <w:r w:rsidR="00242AEF">
        <w:t>–</w:t>
      </w:r>
      <w:r>
        <w:t xml:space="preserve">2019 with an average annual incidence rate of 0.02/100,000. </w:t>
      </w:r>
      <w:proofErr w:type="gramStart"/>
      <w:r>
        <w:t>Similar to</w:t>
      </w:r>
      <w:proofErr w:type="gramEnd"/>
      <w:r>
        <w:t xml:space="preserve"> previous studies, the burden of tetanus in the Australian population continues to disproportionately affect the elderly, with those aged ≥</w:t>
      </w:r>
      <w:r w:rsidR="00242AEF">
        <w:t xml:space="preserve"> </w:t>
      </w:r>
      <w:r>
        <w:t>65 years encompassing 63% (40/63) of notifications and 100% (11/11) of the deaths observed in this timeframe. Following the introduction of a recommendation for those aged ≥</w:t>
      </w:r>
      <w:r w:rsidR="00242AEF">
        <w:t xml:space="preserve"> </w:t>
      </w:r>
      <w:r>
        <w:t xml:space="preserve">65 years to receive a </w:t>
      </w:r>
      <w:proofErr w:type="spellStart"/>
      <w:r>
        <w:t>dTpa</w:t>
      </w:r>
      <w:proofErr w:type="spellEnd"/>
      <w:r>
        <w:t xml:space="preserve"> booster, average annual notification and hospitalisation rates in those </w:t>
      </w:r>
      <w:r w:rsidR="00242AEF">
        <w:t xml:space="preserve">aged </w:t>
      </w:r>
      <w:r>
        <w:t>≥</w:t>
      </w:r>
      <w:r w:rsidR="00242AEF">
        <w:t xml:space="preserve"> </w:t>
      </w:r>
      <w:r>
        <w:t>65</w:t>
      </w:r>
      <w:r w:rsidR="00242AEF">
        <w:t xml:space="preserve"> years</w:t>
      </w:r>
      <w:r>
        <w:t xml:space="preserve"> were significantly lower (notifications: 0.11/100,000 in 2003</w:t>
      </w:r>
      <w:r w:rsidR="00242AEF">
        <w:t>–</w:t>
      </w:r>
      <w:r>
        <w:t>2012 and 0.05/100,000 in 2013</w:t>
      </w:r>
      <w:r w:rsidR="00242AEF">
        <w:t>–</w:t>
      </w:r>
      <w:r>
        <w:t xml:space="preserve">2019, </w:t>
      </w:r>
      <w:r w:rsidRPr="00242AEF">
        <w:rPr>
          <w:i/>
          <w:iCs/>
        </w:rPr>
        <w:t>p</w:t>
      </w:r>
      <w:r w:rsidR="00242AEF">
        <w:t xml:space="preserve"> </w:t>
      </w:r>
      <w:r>
        <w:t>=</w:t>
      </w:r>
      <w:r w:rsidR="00242AEF">
        <w:t xml:space="preserve"> </w:t>
      </w:r>
      <w:r>
        <w:t>0.01; hospitalisations: 0.24/100,000 in 2003</w:t>
      </w:r>
      <w:r w:rsidR="00242AEF">
        <w:t>–</w:t>
      </w:r>
      <w:r>
        <w:t>2012 and 0.10/100,000 in 2013</w:t>
      </w:r>
      <w:r w:rsidR="00242AEF">
        <w:t>–</w:t>
      </w:r>
      <w:r>
        <w:t xml:space="preserve">2019, </w:t>
      </w:r>
      <w:r w:rsidRPr="00242AEF">
        <w:rPr>
          <w:i/>
          <w:iCs/>
        </w:rPr>
        <w:t>p</w:t>
      </w:r>
      <w:r w:rsidR="00242AEF">
        <w:t xml:space="preserve"> </w:t>
      </w:r>
      <w:r>
        <w:t>=</w:t>
      </w:r>
      <w:r w:rsidR="00242AEF">
        <w:t xml:space="preserve"> </w:t>
      </w:r>
      <w:r>
        <w:t xml:space="preserve">0.01]). The average annual death rate was similar in the two periods (0.002/100,000), although based on small numbers. </w:t>
      </w:r>
    </w:p>
    <w:p w14:paraId="4149216E" w14:textId="77777777" w:rsidR="00601A36" w:rsidRPr="00601A36" w:rsidRDefault="00601A36" w:rsidP="00601A36">
      <w:pPr>
        <w:pStyle w:val="Heading2"/>
        <w:divId w:val="1847091836"/>
      </w:pPr>
      <w:r w:rsidRPr="00601A36">
        <w:rPr>
          <w:rStyle w:val="Strong"/>
          <w:b/>
          <w:bCs/>
        </w:rPr>
        <w:t xml:space="preserve">Conclusions </w:t>
      </w:r>
    </w:p>
    <w:p w14:paraId="2D945294" w14:textId="0075E3ED" w:rsidR="00601A36" w:rsidRDefault="00601A36" w:rsidP="00601A36">
      <w:pPr>
        <w:divId w:val="1847091836"/>
      </w:pPr>
      <w:r>
        <w:t>The findings of this analysis suggest a positive impact from the 2013 recommendation. However, the burden is still disproportionately higher in those aged ≥</w:t>
      </w:r>
      <w:r w:rsidR="00242AEF">
        <w:t xml:space="preserve"> </w:t>
      </w:r>
      <w:r>
        <w:t xml:space="preserve">65 years and strategies to improve vaccination coverage in older Australians </w:t>
      </w:r>
      <w:proofErr w:type="gramStart"/>
      <w:r>
        <w:t>are recommended</w:t>
      </w:r>
      <w:proofErr w:type="gramEnd"/>
      <w:r>
        <w:t xml:space="preserve">. </w:t>
      </w:r>
    </w:p>
    <w:p w14:paraId="2E30B489" w14:textId="77777777" w:rsidR="00601A36" w:rsidRDefault="00601A36" w:rsidP="00601A36">
      <w:pPr>
        <w:divId w:val="1847091836"/>
      </w:pPr>
      <w:r>
        <w:t xml:space="preserve">Keywords: booster vaccination; epidemiology; immunisation; tetanus; vaccine preventable disease </w:t>
      </w:r>
    </w:p>
    <w:p w14:paraId="1D8AAB29" w14:textId="77777777" w:rsidR="00601A36" w:rsidRPr="00601A36" w:rsidRDefault="00601A36" w:rsidP="00601A36">
      <w:pPr>
        <w:pStyle w:val="Heading1"/>
        <w:divId w:val="1847091836"/>
      </w:pPr>
      <w:r w:rsidRPr="00601A36">
        <w:t xml:space="preserve">Introduction </w:t>
      </w:r>
    </w:p>
    <w:p w14:paraId="6BD510FE" w14:textId="77777777" w:rsidR="00601A36" w:rsidRDefault="00601A36" w:rsidP="00601A36">
      <w:pPr>
        <w:divId w:val="1847091836"/>
      </w:pPr>
      <w:r>
        <w:t xml:space="preserve">Tetanus is a disease caused by a toxin produced by the bacterium </w:t>
      </w:r>
      <w:r w:rsidRPr="00B14006">
        <w:rPr>
          <w:rStyle w:val="Emphasis"/>
          <w:b w:val="0"/>
          <w:bCs w:val="0"/>
        </w:rPr>
        <w:t xml:space="preserve">Clostridium tetani, </w:t>
      </w:r>
      <w:r>
        <w:t>the spores of which are ubiquitous in soil, dust and animal waste.</w:t>
      </w:r>
      <w:r>
        <w:rPr>
          <w:vertAlign w:val="superscript"/>
        </w:rPr>
        <w:t>1</w:t>
      </w:r>
      <w:r>
        <w:t xml:space="preserve"> The spores persist in soil for months to years and are remarkably hardy: </w:t>
      </w:r>
      <w:r>
        <w:lastRenderedPageBreak/>
        <w:t>they are resistant to boiling and to a number of disinfectants.</w:t>
      </w:r>
      <w:r>
        <w:rPr>
          <w:vertAlign w:val="superscript"/>
        </w:rPr>
        <w:t>2</w:t>
      </w:r>
      <w:r>
        <w:t xml:space="preserve"> When spores are inoculated into the body, often through a contaminated puncture wound, the bacteria can grow anaerobically at the wound site producing tetanospasmin toxin. Tetanus is characterised by muscle spasms, often starting around the neck and jaw (‘lockjaw’</w:t>
      </w:r>
      <w:proofErr w:type="gramStart"/>
      <w:r>
        <w:t>)</w:t>
      </w:r>
      <w:proofErr w:type="gramEnd"/>
      <w:r>
        <w:t xml:space="preserve"> and then progressively affecting other parts of the body, resulting in difficulty swallowing and breathing. Even with </w:t>
      </w:r>
      <w:proofErr w:type="gramStart"/>
      <w:r>
        <w:t>optimal</w:t>
      </w:r>
      <w:proofErr w:type="gramEnd"/>
      <w:r>
        <w:t xml:space="preserve"> treatment, the case fatality rate is around 10%.</w:t>
      </w:r>
      <w:r>
        <w:rPr>
          <w:vertAlign w:val="superscript"/>
        </w:rPr>
        <w:t>3</w:t>
      </w:r>
      <w:r>
        <w:t xml:space="preserve"> Neonatal and obstetrical tetanus is extremely rare in developed countries but is still prevalent in developing countries where vaccination coverage is low and birthing practices are non-sterile.</w:t>
      </w:r>
      <w:r>
        <w:rPr>
          <w:vertAlign w:val="superscript"/>
        </w:rPr>
        <w:t>4</w:t>
      </w:r>
      <w:r>
        <w:t xml:space="preserve"> </w:t>
      </w:r>
    </w:p>
    <w:p w14:paraId="67F9DCF4" w14:textId="29833992" w:rsidR="00601A36" w:rsidRDefault="00601A36" w:rsidP="00601A36">
      <w:pPr>
        <w:divId w:val="1847091836"/>
      </w:pPr>
      <w:r>
        <w:t xml:space="preserve">Tetanus-containing vaccines have been used in Australia since the 1920s. Currently tetanus, given in combination vaccines, is included on the National Immunisation Program (NIP) as an initial three-dose schedule for infants, with booster doses at 18 months and 4 years, and at 12–13 years of age via school-based immunisation programs. Booster doses are also recommended for adults aged ≥ 50 years (since 2000, replacing the </w:t>
      </w:r>
      <w:proofErr w:type="gramStart"/>
      <w:r>
        <w:t>previous</w:t>
      </w:r>
      <w:proofErr w:type="gramEnd"/>
      <w:r>
        <w:t xml:space="preserve"> recommendation for boosters every ten years) and ≥ 65 years (since March 2013), if not vaccinated in the previous</w:t>
      </w:r>
      <w:r w:rsidR="00880849">
        <w:t> </w:t>
      </w:r>
      <w:r>
        <w:t>decade.</w:t>
      </w:r>
      <w:r>
        <w:rPr>
          <w:vertAlign w:val="superscript"/>
        </w:rPr>
        <w:t>5,6</w:t>
      </w:r>
      <w:r>
        <w:t xml:space="preserve"> </w:t>
      </w:r>
    </w:p>
    <w:p w14:paraId="779E6011" w14:textId="77777777" w:rsidR="00601A36" w:rsidRDefault="00601A36" w:rsidP="00601A36">
      <w:pPr>
        <w:divId w:val="1847091836"/>
      </w:pPr>
      <w:r>
        <w:t>The last two published reports on the epidemiology of tetanus in Australia, covering the periods 1993–2002</w:t>
      </w:r>
      <w:r>
        <w:rPr>
          <w:vertAlign w:val="superscript"/>
        </w:rPr>
        <w:t>7</w:t>
      </w:r>
      <w:r>
        <w:t xml:space="preserve"> and 1993–2010,</w:t>
      </w:r>
      <w:r>
        <w:rPr>
          <w:vertAlign w:val="superscript"/>
        </w:rPr>
        <w:t>8</w:t>
      </w:r>
      <w:r>
        <w:t xml:space="preserve"> showed low overall incidence but disproportionate rates among Australians aged ≥ 65 years. In this study, we aimed to examine trends in tetanus notifications, hospitalisations, and deaths over the period 2003–2019, to update epidemiological knowledge of tetanus in Australia and to explore whether changed vaccination recommendations for older adults have </w:t>
      </w:r>
      <w:proofErr w:type="gramStart"/>
      <w:r>
        <w:t>impacted</w:t>
      </w:r>
      <w:proofErr w:type="gramEnd"/>
      <w:r>
        <w:t xml:space="preserve"> morbidity and mortality rates in this age group. </w:t>
      </w:r>
    </w:p>
    <w:p w14:paraId="11D86DCE" w14:textId="77777777" w:rsidR="00601A36" w:rsidRPr="00601A36" w:rsidRDefault="00601A36" w:rsidP="00601A36">
      <w:pPr>
        <w:pStyle w:val="Heading1"/>
        <w:divId w:val="1847091836"/>
      </w:pPr>
      <w:r w:rsidRPr="00601A36">
        <w:t xml:space="preserve">Methods </w:t>
      </w:r>
    </w:p>
    <w:p w14:paraId="36F9349B" w14:textId="77777777" w:rsidR="00601A36" w:rsidRDefault="00601A36" w:rsidP="00601A36">
      <w:pPr>
        <w:divId w:val="1847091836"/>
      </w:pPr>
      <w:r>
        <w:t xml:space="preserve">Three sources of epidemiological surveillance data </w:t>
      </w:r>
      <w:proofErr w:type="gramStart"/>
      <w:r>
        <w:t>were used</w:t>
      </w:r>
      <w:proofErr w:type="gramEnd"/>
      <w:r>
        <w:t xml:space="preserve">: notification data from the National Notifiable Diseases Surveillance System (NNDSS); hospitalisation data from the Australian Institute of Health and Welfare (AIHW) National Hospital Morbidity Database (NHMD); and death data from the Australian Coordinating Registry (ACR). </w:t>
      </w:r>
    </w:p>
    <w:p w14:paraId="1163DDB3" w14:textId="77777777" w:rsidR="00601A36" w:rsidRPr="00601A36" w:rsidRDefault="00601A36" w:rsidP="00601A36">
      <w:pPr>
        <w:pStyle w:val="Heading2"/>
        <w:divId w:val="1847091836"/>
      </w:pPr>
      <w:r w:rsidRPr="00601A36">
        <w:t xml:space="preserve">Notifications </w:t>
      </w:r>
    </w:p>
    <w:p w14:paraId="3F3CE921" w14:textId="77777777" w:rsidR="00601A36" w:rsidRDefault="00601A36" w:rsidP="00601A36">
      <w:pPr>
        <w:divId w:val="1847091836"/>
      </w:pPr>
      <w:r>
        <w:t xml:space="preserve">In Australia, tetanus is a notifiable disease in each state and territory. The case definition for a confirmed tetanus case requires either definitive laboratory evidence (isolation of </w:t>
      </w:r>
      <w:r w:rsidRPr="00B14006">
        <w:rPr>
          <w:rStyle w:val="Emphasis"/>
          <w:b w:val="0"/>
          <w:bCs w:val="0"/>
        </w:rPr>
        <w:t>C. tetani</w:t>
      </w:r>
      <w:r>
        <w:t xml:space="preserve"> from a wound in a compatible clinical setting and prevention of positive </w:t>
      </w:r>
      <w:proofErr w:type="spellStart"/>
      <w:r>
        <w:t>tetanospasm</w:t>
      </w:r>
      <w:proofErr w:type="spellEnd"/>
      <w:r>
        <w:t xml:space="preserve"> in mouse test from such an isolate using specific tetanus antitoxin) or clinical evidence (clinically compatible illness without other apparent cause).</w:t>
      </w:r>
      <w:r>
        <w:rPr>
          <w:vertAlign w:val="superscript"/>
        </w:rPr>
        <w:t>9</w:t>
      </w:r>
      <w:r>
        <w:t xml:space="preserve"> Tetanus notification data from 1 January 2003 to 31 December 2019 were analysed in this report, with notifications reported by date of onset. </w:t>
      </w:r>
    </w:p>
    <w:p w14:paraId="1EC86D4F" w14:textId="77777777" w:rsidR="00601A36" w:rsidRPr="00601A36" w:rsidRDefault="00601A36" w:rsidP="00601A36">
      <w:pPr>
        <w:pStyle w:val="Heading2"/>
        <w:divId w:val="1847091836"/>
      </w:pPr>
      <w:r w:rsidRPr="00601A36">
        <w:t xml:space="preserve">Hospitalisations </w:t>
      </w:r>
    </w:p>
    <w:p w14:paraId="0A162CC5" w14:textId="77777777" w:rsidR="00601A36" w:rsidRDefault="00601A36" w:rsidP="00601A36">
      <w:pPr>
        <w:divId w:val="1847091836"/>
      </w:pPr>
      <w:r>
        <w:t xml:space="preserve">The AIHW NHMD receives patient admission data from all public and private hospitals in Australia. Hospitalisations with admission dates between 1 January 2003 and 31 December 2019 </w:t>
      </w:r>
      <w:proofErr w:type="gramStart"/>
      <w:r>
        <w:t>were included</w:t>
      </w:r>
      <w:proofErr w:type="gramEnd"/>
      <w:r>
        <w:t xml:space="preserve"> in this study. The </w:t>
      </w:r>
      <w:r w:rsidRPr="00B14006">
        <w:rPr>
          <w:rStyle w:val="Emphasis"/>
          <w:b w:val="0"/>
          <w:bCs w:val="0"/>
        </w:rPr>
        <w:t>International Classification of Diseases, tenth revision, Australian Modification</w:t>
      </w:r>
      <w:r>
        <w:t xml:space="preserve"> (ICD-10-AM) codes of A33 (tetanus neonatorum), A34 (obstetrical tetanus) and A35 (other tetanus) </w:t>
      </w:r>
      <w:proofErr w:type="gramStart"/>
      <w:r>
        <w:t>were examined</w:t>
      </w:r>
      <w:proofErr w:type="gramEnd"/>
      <w:r>
        <w:t xml:space="preserve">. </w:t>
      </w:r>
    </w:p>
    <w:p w14:paraId="0FC03678" w14:textId="77777777" w:rsidR="00601A36" w:rsidRDefault="00601A36" w:rsidP="00601A36">
      <w:pPr>
        <w:divId w:val="1847091836"/>
      </w:pPr>
      <w:r>
        <w:t xml:space="preserve">Admission year was the preferred variable included in the analysis. However, in the data provided, length of stay for tetanus hospitalisations </w:t>
      </w:r>
      <w:proofErr w:type="gramStart"/>
      <w:r>
        <w:t>was capped</w:t>
      </w:r>
      <w:proofErr w:type="gramEnd"/>
      <w:r>
        <w:t xml:space="preserve"> at 30 days with admission month and year redacted for any admissions with length of stay ≥ 30 days, so separation year was used for these hospitalisations. </w:t>
      </w:r>
    </w:p>
    <w:p w14:paraId="5BF65636" w14:textId="77777777" w:rsidR="00601A36" w:rsidRPr="00601A36" w:rsidRDefault="00601A36" w:rsidP="00601A36">
      <w:pPr>
        <w:pStyle w:val="Heading2"/>
        <w:divId w:val="1847091836"/>
      </w:pPr>
      <w:r w:rsidRPr="00601A36">
        <w:t xml:space="preserve">Deaths </w:t>
      </w:r>
    </w:p>
    <w:p w14:paraId="14562D70" w14:textId="77777777" w:rsidR="00601A36" w:rsidRDefault="00601A36" w:rsidP="00601A36">
      <w:pPr>
        <w:divId w:val="1847091836"/>
      </w:pPr>
      <w:r>
        <w:t xml:space="preserve">Death data were available from the ACR for 2007–2019. Only deaths where tetanus </w:t>
      </w:r>
      <w:proofErr w:type="gramStart"/>
      <w:r>
        <w:t>was listed</w:t>
      </w:r>
      <w:proofErr w:type="gramEnd"/>
      <w:r>
        <w:t xml:space="preserve"> as the underlying cause were examined. Deaths among tetanus notifications to NNDSS </w:t>
      </w:r>
      <w:proofErr w:type="gramStart"/>
      <w:r>
        <w:t>were also described</w:t>
      </w:r>
      <w:proofErr w:type="gramEnd"/>
      <w:r>
        <w:t xml:space="preserve">. </w:t>
      </w:r>
    </w:p>
    <w:p w14:paraId="4919D0AB" w14:textId="77777777" w:rsidR="00601A36" w:rsidRPr="00601A36" w:rsidRDefault="00601A36" w:rsidP="00601A36">
      <w:pPr>
        <w:pStyle w:val="Heading2"/>
        <w:divId w:val="1847091836"/>
      </w:pPr>
      <w:r w:rsidRPr="00601A36">
        <w:lastRenderedPageBreak/>
        <w:t xml:space="preserve">Population </w:t>
      </w:r>
      <w:proofErr w:type="gramStart"/>
      <w:r w:rsidRPr="00601A36">
        <w:t>estimates</w:t>
      </w:r>
      <w:proofErr w:type="gramEnd"/>
      <w:r w:rsidRPr="00601A36">
        <w:t xml:space="preserve"> </w:t>
      </w:r>
    </w:p>
    <w:p w14:paraId="7E6705B0" w14:textId="77777777" w:rsidR="00601A36" w:rsidRDefault="00601A36" w:rsidP="00601A36">
      <w:pPr>
        <w:divId w:val="1847091836"/>
      </w:pPr>
      <w:r>
        <w:t xml:space="preserve">Tetanus incidence </w:t>
      </w:r>
      <w:proofErr w:type="gramStart"/>
      <w:r>
        <w:t>was calculated</w:t>
      </w:r>
      <w:proofErr w:type="gramEnd"/>
      <w:r>
        <w:t xml:space="preserve"> using Australian Bureau of Statistics mid-year estimated resident populations from 2003–2019 as denominators and was represented as annual rates or average annual rates per 100,000 total population. Rates among population subgroups, including age, sex, or geographical areas, </w:t>
      </w:r>
      <w:proofErr w:type="gramStart"/>
      <w:r>
        <w:t>were also calculated</w:t>
      </w:r>
      <w:proofErr w:type="gramEnd"/>
      <w:r>
        <w:t xml:space="preserve"> using mid-year resident populations for these subgroups. </w:t>
      </w:r>
    </w:p>
    <w:p w14:paraId="51521B69" w14:textId="77777777" w:rsidR="00601A36" w:rsidRPr="00601A36" w:rsidRDefault="00601A36" w:rsidP="00601A36">
      <w:pPr>
        <w:pStyle w:val="Heading2"/>
        <w:divId w:val="1847091836"/>
      </w:pPr>
      <w:r w:rsidRPr="00601A36">
        <w:t xml:space="preserve">Pre- and post-2013 comparisons </w:t>
      </w:r>
    </w:p>
    <w:p w14:paraId="55F26954" w14:textId="77777777" w:rsidR="00601A36" w:rsidRDefault="00601A36" w:rsidP="00601A36">
      <w:pPr>
        <w:divId w:val="1847091836"/>
      </w:pPr>
      <w:r>
        <w:t>To assess the impact of the recommendation for a diphtheria-tetanus-pertussis (</w:t>
      </w:r>
      <w:proofErr w:type="spellStart"/>
      <w:r>
        <w:t>dTpa</w:t>
      </w:r>
      <w:proofErr w:type="spellEnd"/>
      <w:r>
        <w:t xml:space="preserve">) booster dose for adults aged ≥ 65 years, notification rates, hospitalisation rates (using AIHW NHMD data) and death rates (using NNDSS data) of tetanus per 100,000 population </w:t>
      </w:r>
      <w:proofErr w:type="gramStart"/>
      <w:r>
        <w:t>were compared</w:t>
      </w:r>
      <w:proofErr w:type="gramEnd"/>
      <w:r>
        <w:t xml:space="preserve"> pre (2003–2012) and post (2013–2019) recommendation. </w:t>
      </w:r>
    </w:p>
    <w:p w14:paraId="4FBFA1B8" w14:textId="77777777" w:rsidR="00601A36" w:rsidRPr="00601A36" w:rsidRDefault="00601A36" w:rsidP="00601A36">
      <w:pPr>
        <w:pStyle w:val="Heading2"/>
        <w:divId w:val="1847091836"/>
      </w:pPr>
      <w:r w:rsidRPr="00601A36">
        <w:t xml:space="preserve">Data analysis </w:t>
      </w:r>
    </w:p>
    <w:p w14:paraId="05ABE065" w14:textId="77777777" w:rsidR="00601A36" w:rsidRDefault="00601A36" w:rsidP="00601A36">
      <w:pPr>
        <w:divId w:val="1847091836"/>
      </w:pPr>
      <w:r>
        <w:t xml:space="preserve">Data analysis </w:t>
      </w:r>
      <w:proofErr w:type="gramStart"/>
      <w:r>
        <w:t>was undertaken</w:t>
      </w:r>
      <w:proofErr w:type="gramEnd"/>
      <w:r>
        <w:t xml:space="preserve"> on IBM</w:t>
      </w:r>
      <w:r>
        <w:rPr>
          <w:vertAlign w:val="superscript"/>
        </w:rPr>
        <w:t>®</w:t>
      </w:r>
      <w:r>
        <w:t xml:space="preserve"> SPSS Statistics 28 and Microsoft</w:t>
      </w:r>
      <w:r>
        <w:rPr>
          <w:vertAlign w:val="superscript"/>
        </w:rPr>
        <w:t>®</w:t>
      </w:r>
      <w:r>
        <w:t xml:space="preserve"> Excel for Mac version 16.49. Incidence rate ratios (IRR) </w:t>
      </w:r>
      <w:proofErr w:type="gramStart"/>
      <w:r>
        <w:t>were calculated</w:t>
      </w:r>
      <w:proofErr w:type="gramEnd"/>
      <w:r>
        <w:t xml:space="preserve"> to compare notification rates pre and post the vaccination recommendation change, and to compare notification rates and hospitalisation rates by age group; 95% confidence intervals (95% CI) and </w:t>
      </w:r>
      <w:r w:rsidRPr="00B14006">
        <w:rPr>
          <w:rStyle w:val="Emphasis"/>
          <w:b w:val="0"/>
          <w:bCs w:val="0"/>
        </w:rPr>
        <w:t>p</w:t>
      </w:r>
      <w:r>
        <w:t xml:space="preserve"> values were calculated for IRR using </w:t>
      </w:r>
      <w:proofErr w:type="spellStart"/>
      <w:r>
        <w:t>EpiBasic</w:t>
      </w:r>
      <w:proofErr w:type="spellEnd"/>
      <w:r>
        <w:t xml:space="preserve"> (University of Aarhus, Denmark).</w:t>
      </w:r>
      <w:r>
        <w:rPr>
          <w:vertAlign w:val="superscript"/>
        </w:rPr>
        <w:t>10</w:t>
      </w:r>
      <w:r>
        <w:t xml:space="preserve"> </w:t>
      </w:r>
    </w:p>
    <w:p w14:paraId="2DCC4049" w14:textId="77777777" w:rsidR="00601A36" w:rsidRPr="00601A36" w:rsidRDefault="00601A36" w:rsidP="00601A36">
      <w:pPr>
        <w:pStyle w:val="Heading2"/>
        <w:divId w:val="1847091836"/>
      </w:pPr>
      <w:r w:rsidRPr="00601A36">
        <w:t xml:space="preserve">Ethics approval </w:t>
      </w:r>
    </w:p>
    <w:p w14:paraId="0FCAEFD6" w14:textId="77777777" w:rsidR="00601A36" w:rsidRDefault="00601A36" w:rsidP="00601A36">
      <w:pPr>
        <w:divId w:val="1847091836"/>
      </w:pPr>
      <w:r>
        <w:t xml:space="preserve">Ethics approval for this project </w:t>
      </w:r>
      <w:proofErr w:type="gramStart"/>
      <w:r>
        <w:t>was provided</w:t>
      </w:r>
      <w:proofErr w:type="gramEnd"/>
      <w:r>
        <w:t xml:space="preserve"> by the Australian Capital Territory Health Department (ACT Health) Human Research Ethics Committee (HREC: 2020/ETH02028) along with site specific assessment approval (LNRSSA: 2020/STE03546). </w:t>
      </w:r>
    </w:p>
    <w:p w14:paraId="775FAADF" w14:textId="77777777" w:rsidR="00601A36" w:rsidRPr="00601A36" w:rsidRDefault="00601A36" w:rsidP="00601A36">
      <w:pPr>
        <w:pStyle w:val="Heading1"/>
        <w:divId w:val="1847091836"/>
      </w:pPr>
      <w:r w:rsidRPr="00601A36">
        <w:t xml:space="preserve">Results </w:t>
      </w:r>
    </w:p>
    <w:p w14:paraId="2C2B2DD1" w14:textId="77777777" w:rsidR="00601A36" w:rsidRPr="00601A36" w:rsidRDefault="00601A36" w:rsidP="00601A36">
      <w:pPr>
        <w:pStyle w:val="Heading2"/>
        <w:divId w:val="1847091836"/>
      </w:pPr>
      <w:r w:rsidRPr="00601A36">
        <w:t xml:space="preserve">Notifications </w:t>
      </w:r>
    </w:p>
    <w:p w14:paraId="0F8967B2" w14:textId="77777777" w:rsidR="00601A36" w:rsidRDefault="00601A36" w:rsidP="00601A36">
      <w:pPr>
        <w:divId w:val="1847091836"/>
      </w:pPr>
      <w:r>
        <w:t xml:space="preserve">There were </w:t>
      </w:r>
      <w:proofErr w:type="gramStart"/>
      <w:r>
        <w:t>63</w:t>
      </w:r>
      <w:proofErr w:type="gramEnd"/>
      <w:r>
        <w:t xml:space="preserve"> notifications of tetanus between 2003 and 2019 (Figure 1) with an annual notification rate ranging between 0.01 and 0.03 per 100,000 population, with average annual incidence of 0.02 per 100,000 (Figure 2). </w:t>
      </w:r>
    </w:p>
    <w:p w14:paraId="768F35AE" w14:textId="77777777" w:rsidR="00ED3870" w:rsidRDefault="00ED3870">
      <w:pPr>
        <w:rPr>
          <w:rFonts w:asciiTheme="majorHAnsi" w:eastAsiaTheme="majorEastAsia" w:hAnsiTheme="majorHAnsi" w:cstheme="majorBidi"/>
          <w:b/>
          <w:bCs/>
          <w:sz w:val="26"/>
          <w:szCs w:val="26"/>
        </w:rPr>
      </w:pPr>
      <w:r>
        <w:br w:type="page"/>
      </w:r>
    </w:p>
    <w:p w14:paraId="1040B3B8" w14:textId="0170FB1B" w:rsidR="00FC6A43" w:rsidRDefault="00FC6A43" w:rsidP="00FC6A43">
      <w:pPr>
        <w:pStyle w:val="CDIFigures"/>
        <w:divId w:val="1847091836"/>
      </w:pPr>
      <w:r w:rsidRPr="0064344E">
        <w:rPr>
          <w:rStyle w:val="Strong"/>
          <w:b/>
          <w:bCs w:val="0"/>
        </w:rPr>
        <w:lastRenderedPageBreak/>
        <w:t>Figure 1: Number of tetanus notifications and principal diagnosis hospitalisations, Australia, 2003–2019</w:t>
      </w:r>
    </w:p>
    <w:p w14:paraId="2033603D" w14:textId="77777777" w:rsidR="00AA5B16" w:rsidRDefault="00ED3870" w:rsidP="00E21B4B">
      <w:pPr>
        <w:pStyle w:val="CDIFigures"/>
        <w:divId w:val="1847091836"/>
        <w:rPr>
          <w:rStyle w:val="Heading1Char"/>
          <w:b/>
          <w:bCs w:val="0"/>
        </w:rPr>
      </w:pPr>
      <w:r>
        <w:rPr>
          <w:rFonts w:eastAsia="Times New Roman"/>
          <w:noProof/>
          <w:lang w:val="en-GB"/>
        </w:rPr>
        <w:drawing>
          <wp:inline distT="0" distB="0" distL="0" distR="0" wp14:anchorId="1D09226B" wp14:editId="1A5F3D96">
            <wp:extent cx="6090996" cy="3976616"/>
            <wp:effectExtent l="0" t="0" r="5080" b="5080"/>
            <wp:docPr id="5" name="Picture 5" descr="Figure 1 is a line graph showing the number of tetanus notifications and the number of hospitalisations (principal diagnosis) for tetanus during the study period (2003-2019). The x axis shows the year from 2003 to 2019, and the y axis shows the number of tetanus notifications and hospitalisations with a scale running from 0 to 25. The figure shows that the number of notifications are lower than the hospitalisations, but that both follow similar trends with higher case and hospitalisation numbers in 2004, 2008, 2012 and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is a line graph showing the number of tetanus notifications and the number of hospitalisations (principal diagnosis) for tetanus during the study period (2003-2019). The x axis shows the year from 2003 to 2019, and the y axis shows the number of tetanus notifications and hospitalisations with a scale running from 0 to 25. The figure shows that the number of notifications are lower than the hospitalisations, but that both follow similar trends with higher case and hospitalisation numbers in 2004, 2008, 2012 and 2016."/>
                    <pic:cNvPicPr>
                      <a:picLocks noChangeAspect="1" noChangeArrowheads="1"/>
                    </pic:cNvPicPr>
                  </pic:nvPicPr>
                  <pic:blipFill>
                    <a:blip r:embed="rId10" r:link="rId11" cstate="print">
                      <a:extLst>
                        <a:ext uri="{28A0092B-C50C-407E-A947-70E740481C1C}">
                          <a14:useLocalDpi xmlns:a14="http://schemas.microsoft.com/office/drawing/2010/main" val="0"/>
                        </a:ext>
                      </a:extLst>
                    </a:blip>
                    <a:stretch>
                      <a:fillRect/>
                    </a:stretch>
                  </pic:blipFill>
                  <pic:spPr bwMode="auto">
                    <a:xfrm>
                      <a:off x="0" y="0"/>
                      <a:ext cx="6109905" cy="3988961"/>
                    </a:xfrm>
                    <a:prstGeom prst="rect">
                      <a:avLst/>
                    </a:prstGeom>
                  </pic:spPr>
                </pic:pic>
              </a:graphicData>
            </a:graphic>
          </wp:inline>
        </w:drawing>
      </w:r>
      <w:r w:rsidR="00E21B4B" w:rsidRPr="00E21B4B">
        <w:rPr>
          <w:rStyle w:val="Heading1Char"/>
          <w:b/>
          <w:bCs w:val="0"/>
        </w:rPr>
        <w:t xml:space="preserve"> </w:t>
      </w:r>
    </w:p>
    <w:p w14:paraId="5BB62312" w14:textId="079953E0" w:rsidR="00E21B4B" w:rsidRPr="00650157" w:rsidRDefault="00E21B4B" w:rsidP="00E21B4B">
      <w:pPr>
        <w:pStyle w:val="CDIFigures"/>
        <w:divId w:val="1847091836"/>
      </w:pPr>
      <w:r w:rsidRPr="00650157">
        <w:rPr>
          <w:rStyle w:val="Strong"/>
          <w:b/>
          <w:bCs w:val="0"/>
        </w:rPr>
        <w:t>Figure 2: Tetanus notification and principal diagnosis hospitalisation rates by age group, Australia, 2003–2019</w:t>
      </w:r>
    </w:p>
    <w:p w14:paraId="756C4CBE" w14:textId="261E2145" w:rsidR="00E21B4B" w:rsidRDefault="00F31401" w:rsidP="00E21B4B">
      <w:pPr>
        <w:divId w:val="1847091836"/>
        <w:rPr>
          <w:rFonts w:eastAsia="Times New Roman"/>
          <w:lang w:val="en-GB"/>
        </w:rPr>
      </w:pPr>
      <w:r>
        <w:rPr>
          <w:rFonts w:eastAsia="Times New Roman"/>
          <w:noProof/>
          <w:lang w:val="en-GB"/>
        </w:rPr>
        <w:drawing>
          <wp:inline distT="0" distB="0" distL="0" distR="0" wp14:anchorId="0B79AD61" wp14:editId="125E5280">
            <wp:extent cx="6120765" cy="3998595"/>
            <wp:effectExtent l="0" t="0" r="0" b="1905"/>
            <wp:docPr id="6" name="Picture 6" descr="Figure 2 is a line graph showing the rate of tetanus notifications and hospitalisations (principal diagnosis) by age group during the study period (2003-2019). The x axis shows the year from 2003 to 2019, and the y axis shows the rate per 100,000 with a scale running from 0.0 to 0.45. The lines include the notification rate ≥65 years, the notification rate &lt;65, the hospitalisation rate ≥65 and the hospitalisation rate &lt;65. The figure shows that over time the rate of notifications and hospitalisations are consistently higher in those ≥65 years than those &lt;65, and that the rate of hospitalisations is higher than the rate of notifications for both age group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2 is a line graph showing the rate of tetanus notifications and hospitalisations (principal diagnosis) by age group during the study period (2003-2019). The x axis shows the year from 2003 to 2019, and the y axis shows the rate per 100,000 with a scale running from 0.0 to 0.45. The lines include the notification rate ≥65 years, the notification rate &lt;65, the hospitalisation rate ≥65 and the hospitalisation rate &lt;65. The figure shows that over time the rate of notifications and hospitalisations are consistently higher in those ≥65 years than those &lt;65, and that the rate of hospitalisations is higher than the rate of notifications for both age groups.&#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0765" cy="3998595"/>
                    </a:xfrm>
                    <a:prstGeom prst="rect">
                      <a:avLst/>
                    </a:prstGeom>
                    <a:noFill/>
                    <a:ln>
                      <a:noFill/>
                    </a:ln>
                  </pic:spPr>
                </pic:pic>
              </a:graphicData>
            </a:graphic>
          </wp:inline>
        </w:drawing>
      </w:r>
    </w:p>
    <w:p w14:paraId="255BD70E" w14:textId="56C901BE" w:rsidR="00601A36" w:rsidRPr="00601A36" w:rsidRDefault="00601A36" w:rsidP="00601A36">
      <w:pPr>
        <w:pStyle w:val="Heading2"/>
        <w:divId w:val="1847091836"/>
      </w:pPr>
      <w:r w:rsidRPr="00601A36">
        <w:lastRenderedPageBreak/>
        <w:t xml:space="preserve">Hospitalisations </w:t>
      </w:r>
    </w:p>
    <w:p w14:paraId="4F560130" w14:textId="77777777" w:rsidR="00601A36" w:rsidRDefault="00601A36" w:rsidP="00601A36">
      <w:pPr>
        <w:divId w:val="1847091836"/>
      </w:pPr>
      <w:r>
        <w:t xml:space="preserve">Between 2003 and 2019, there were 207 hospitalisations with tetanus recorded as the principal diagnosis, with an annual hospitalisation rate ranging between 0.02 and 0.10 per 100,000 population, and with an average annual hospitalisation rate of 0.05 per 100,000 (Figure 2). There were no recorded cases of tetanus neonatorum (ICD code A33). There was one case of obstetrical tetanus (ICD code A34), recorded in a woman of non-childbearing age, which </w:t>
      </w:r>
      <w:proofErr w:type="gramStart"/>
      <w:r>
        <w:t>was considered</w:t>
      </w:r>
      <w:proofErr w:type="gramEnd"/>
      <w:r>
        <w:t xml:space="preserve"> likely to be a coding error and was thus excluded from the analysis. </w:t>
      </w:r>
    </w:p>
    <w:p w14:paraId="317864C2" w14:textId="77777777" w:rsidR="00601A36" w:rsidRPr="00601A36" w:rsidRDefault="00601A36" w:rsidP="00601A36">
      <w:pPr>
        <w:pStyle w:val="Heading2"/>
        <w:divId w:val="1847091836"/>
      </w:pPr>
      <w:r w:rsidRPr="00601A36">
        <w:t xml:space="preserve">Notifications and hospitalisations by state/territory </w:t>
      </w:r>
    </w:p>
    <w:p w14:paraId="72BE238A" w14:textId="77777777" w:rsidR="00601A36" w:rsidRDefault="00601A36" w:rsidP="00601A36">
      <w:pPr>
        <w:divId w:val="1847091836"/>
      </w:pPr>
      <w:r>
        <w:t xml:space="preserve">The average annual notification rate per 100,000 population over the 2003–2019 period ranged from 0.00 in the Australian Capital Territory and Northern Territory to 0.16 in Tasmania (Table 1). The average annual tetanus hospitalisation (principal diagnosis) rate per 100,000 over the 2003–2019 period ranged from 0.00 in the Australian Capital Territory to 0.17 in Western Australia (Table 1). </w:t>
      </w:r>
    </w:p>
    <w:p w14:paraId="06369A1A" w14:textId="77777777" w:rsidR="00E96F96" w:rsidRPr="00650157" w:rsidRDefault="00E96F96" w:rsidP="00E96F96">
      <w:pPr>
        <w:pStyle w:val="CDIFigures"/>
        <w:divId w:val="1847091836"/>
      </w:pPr>
      <w:r w:rsidRPr="00650157">
        <w:rPr>
          <w:rStyle w:val="Strong"/>
          <w:b/>
          <w:bCs w:val="0"/>
        </w:rPr>
        <w:t xml:space="preserve">Table 1: Average annual tetanus notification and principal diagnosis hospitalisation rates per 100,000 population by </w:t>
      </w:r>
      <w:proofErr w:type="gramStart"/>
      <w:r w:rsidRPr="00650157">
        <w:rPr>
          <w:rStyle w:val="Strong"/>
          <w:b/>
          <w:bCs w:val="0"/>
        </w:rPr>
        <w:t>jurisdiction</w:t>
      </w:r>
      <w:proofErr w:type="gramEnd"/>
      <w:r w:rsidRPr="00650157">
        <w:rPr>
          <w:rStyle w:val="Strong"/>
          <w:b/>
          <w:bCs w:val="0"/>
        </w:rPr>
        <w:t>, Australia, 2003–2019</w:t>
      </w:r>
    </w:p>
    <w:tbl>
      <w:tblPr>
        <w:tblStyle w:val="CDI-StandardTable"/>
        <w:tblW w:w="0" w:type="auto"/>
        <w:tblLook w:val="04A0" w:firstRow="1" w:lastRow="0" w:firstColumn="1" w:lastColumn="0" w:noHBand="0" w:noVBand="1"/>
        <w:tblDescription w:val="Table 1 shows the average annual tetanus notification and hospitalisation rates per 100,000 by jurisdiction over the study period (2003-2019). The columns include the number of tetanus notifications, the average annual notification rate per 100,000 population, the number of tetanus hospitalisations (principal diagnosis) and the average annual hospitalisation rate per 100,000 population. The rows are each state and territory. The highest number of notifications were from New South Wales (n=19) and Victoria (n=17) and the highest rates of notifications were from Tasmania (0.16/100,000) and Victoria and Western Australia (both 0.04/100,000). The highest number of hospitalisations were in New South Wales  (n=59) and Queensland (n=55), while the highest rate of hospitalisations were in Western Australia (0.17/100,000) and Queensland (0.15/100,000). &#10;"/>
      </w:tblPr>
      <w:tblGrid>
        <w:gridCol w:w="1893"/>
        <w:gridCol w:w="1748"/>
        <w:gridCol w:w="2339"/>
        <w:gridCol w:w="1989"/>
        <w:gridCol w:w="2497"/>
      </w:tblGrid>
      <w:tr w:rsidR="00E96F96" w:rsidRPr="00650157" w14:paraId="34294D85" w14:textId="77777777" w:rsidTr="00E96F96">
        <w:trPr>
          <w:cnfStyle w:val="100000000000" w:firstRow="1" w:lastRow="0" w:firstColumn="0" w:lastColumn="0" w:oddVBand="0" w:evenVBand="0" w:oddHBand="0" w:evenHBand="0" w:firstRowFirstColumn="0" w:firstRowLastColumn="0" w:lastRowFirstColumn="0" w:lastRowLastColumn="0"/>
          <w:divId w:val="1847091836"/>
        </w:trPr>
        <w:tc>
          <w:tcPr>
            <w:tcW w:w="0" w:type="auto"/>
            <w:hideMark/>
          </w:tcPr>
          <w:p w14:paraId="77C27D5B" w14:textId="77777777" w:rsidR="00E96F96" w:rsidRPr="00650157" w:rsidRDefault="00E96F96" w:rsidP="00D90511">
            <w:pPr>
              <w:pStyle w:val="NormalWeb"/>
              <w:jc w:val="left"/>
              <w:rPr>
                <w:sz w:val="18"/>
                <w:szCs w:val="18"/>
              </w:rPr>
            </w:pPr>
            <w:proofErr w:type="gramStart"/>
            <w:r w:rsidRPr="00650157">
              <w:rPr>
                <w:sz w:val="18"/>
                <w:szCs w:val="18"/>
              </w:rPr>
              <w:t>Jurisdiction</w:t>
            </w:r>
            <w:proofErr w:type="gramEnd"/>
          </w:p>
        </w:tc>
        <w:tc>
          <w:tcPr>
            <w:tcW w:w="0" w:type="auto"/>
            <w:hideMark/>
          </w:tcPr>
          <w:p w14:paraId="7B5008D0" w14:textId="77777777" w:rsidR="00E96F96" w:rsidRPr="00650157" w:rsidRDefault="00E96F96" w:rsidP="00D90511">
            <w:pPr>
              <w:pStyle w:val="NormalWeb"/>
              <w:rPr>
                <w:sz w:val="18"/>
                <w:szCs w:val="18"/>
              </w:rPr>
            </w:pPr>
            <w:r w:rsidRPr="00650157">
              <w:rPr>
                <w:sz w:val="18"/>
                <w:szCs w:val="18"/>
              </w:rPr>
              <w:t>Number of notifications</w:t>
            </w:r>
          </w:p>
        </w:tc>
        <w:tc>
          <w:tcPr>
            <w:tcW w:w="0" w:type="auto"/>
            <w:hideMark/>
          </w:tcPr>
          <w:p w14:paraId="486EFE09" w14:textId="77777777" w:rsidR="00E96F96" w:rsidRPr="00650157" w:rsidRDefault="00E96F96" w:rsidP="00D90511">
            <w:pPr>
              <w:pStyle w:val="NormalWeb"/>
              <w:rPr>
                <w:sz w:val="18"/>
                <w:szCs w:val="18"/>
              </w:rPr>
            </w:pPr>
            <w:r w:rsidRPr="00650157">
              <w:rPr>
                <w:sz w:val="18"/>
                <w:szCs w:val="18"/>
              </w:rPr>
              <w:t>Average annual notification rate</w:t>
            </w:r>
            <w:r w:rsidRPr="00650157">
              <w:rPr>
                <w:sz w:val="18"/>
                <w:szCs w:val="18"/>
              </w:rPr>
              <w:br/>
              <w:t>(per 100,000 population per year)</w:t>
            </w:r>
          </w:p>
        </w:tc>
        <w:tc>
          <w:tcPr>
            <w:tcW w:w="0" w:type="auto"/>
            <w:hideMark/>
          </w:tcPr>
          <w:p w14:paraId="65147D74" w14:textId="77777777" w:rsidR="00E96F96" w:rsidRPr="00650157" w:rsidRDefault="00E96F96" w:rsidP="00D90511">
            <w:pPr>
              <w:pStyle w:val="NormalWeb"/>
              <w:rPr>
                <w:sz w:val="18"/>
                <w:szCs w:val="18"/>
              </w:rPr>
            </w:pPr>
            <w:r w:rsidRPr="00650157">
              <w:rPr>
                <w:sz w:val="18"/>
                <w:szCs w:val="18"/>
              </w:rPr>
              <w:t>Number of hospitalisations</w:t>
            </w:r>
            <w:r w:rsidRPr="00650157">
              <w:rPr>
                <w:sz w:val="18"/>
                <w:szCs w:val="18"/>
              </w:rPr>
              <w:br/>
              <w:t>(principal diagnosis)</w:t>
            </w:r>
          </w:p>
        </w:tc>
        <w:tc>
          <w:tcPr>
            <w:tcW w:w="0" w:type="auto"/>
            <w:hideMark/>
          </w:tcPr>
          <w:p w14:paraId="5E1DB157" w14:textId="77777777" w:rsidR="00E96F96" w:rsidRPr="00650157" w:rsidRDefault="00E96F96" w:rsidP="00D90511">
            <w:pPr>
              <w:pStyle w:val="NormalWeb"/>
              <w:rPr>
                <w:sz w:val="18"/>
                <w:szCs w:val="18"/>
              </w:rPr>
            </w:pPr>
            <w:r w:rsidRPr="00650157">
              <w:rPr>
                <w:sz w:val="18"/>
                <w:szCs w:val="18"/>
              </w:rPr>
              <w:t>Average annual hospitalisation rate</w:t>
            </w:r>
            <w:r w:rsidRPr="00650157">
              <w:rPr>
                <w:sz w:val="18"/>
                <w:szCs w:val="18"/>
              </w:rPr>
              <w:br/>
              <w:t>(per 100,000 population per year)</w:t>
            </w:r>
          </w:p>
        </w:tc>
      </w:tr>
      <w:tr w:rsidR="00E96F96" w:rsidRPr="00650157" w14:paraId="49E29F4F" w14:textId="77777777" w:rsidTr="00E96F96">
        <w:trPr>
          <w:divId w:val="1847091836"/>
        </w:trPr>
        <w:tc>
          <w:tcPr>
            <w:tcW w:w="0" w:type="auto"/>
            <w:hideMark/>
          </w:tcPr>
          <w:p w14:paraId="2F8FA4E9" w14:textId="77777777" w:rsidR="00E96F96" w:rsidRPr="00650157" w:rsidRDefault="00E96F96" w:rsidP="00D90511">
            <w:pPr>
              <w:pStyle w:val="NormalWeb"/>
              <w:jc w:val="left"/>
              <w:rPr>
                <w:sz w:val="18"/>
                <w:szCs w:val="18"/>
              </w:rPr>
            </w:pPr>
            <w:r w:rsidRPr="00650157">
              <w:rPr>
                <w:sz w:val="18"/>
                <w:szCs w:val="18"/>
              </w:rPr>
              <w:t>Australian Capital Territory</w:t>
            </w:r>
          </w:p>
        </w:tc>
        <w:tc>
          <w:tcPr>
            <w:tcW w:w="0" w:type="auto"/>
            <w:hideMark/>
          </w:tcPr>
          <w:p w14:paraId="34B63DF6" w14:textId="77777777" w:rsidR="00E96F96" w:rsidRPr="00650157" w:rsidRDefault="00E96F96" w:rsidP="00D90511">
            <w:pPr>
              <w:pStyle w:val="NormalWeb"/>
              <w:rPr>
                <w:sz w:val="18"/>
                <w:szCs w:val="18"/>
              </w:rPr>
            </w:pPr>
            <w:r w:rsidRPr="00650157">
              <w:rPr>
                <w:sz w:val="18"/>
                <w:szCs w:val="18"/>
              </w:rPr>
              <w:t>0</w:t>
            </w:r>
          </w:p>
        </w:tc>
        <w:tc>
          <w:tcPr>
            <w:tcW w:w="0" w:type="auto"/>
            <w:hideMark/>
          </w:tcPr>
          <w:p w14:paraId="4E73CC80" w14:textId="77777777" w:rsidR="00E96F96" w:rsidRPr="00650157" w:rsidRDefault="00E96F96" w:rsidP="00D90511">
            <w:pPr>
              <w:pStyle w:val="NormalWeb"/>
              <w:rPr>
                <w:sz w:val="18"/>
                <w:szCs w:val="18"/>
              </w:rPr>
            </w:pPr>
            <w:r w:rsidRPr="00650157">
              <w:rPr>
                <w:sz w:val="18"/>
                <w:szCs w:val="18"/>
              </w:rPr>
              <w:t>0</w:t>
            </w:r>
          </w:p>
        </w:tc>
        <w:tc>
          <w:tcPr>
            <w:tcW w:w="0" w:type="auto"/>
            <w:hideMark/>
          </w:tcPr>
          <w:p w14:paraId="4B7924F0" w14:textId="77777777" w:rsidR="00E96F96" w:rsidRPr="00650157" w:rsidRDefault="00E96F96" w:rsidP="00D90511">
            <w:pPr>
              <w:pStyle w:val="NormalWeb"/>
              <w:rPr>
                <w:sz w:val="18"/>
                <w:szCs w:val="18"/>
              </w:rPr>
            </w:pPr>
            <w:r w:rsidRPr="00650157">
              <w:rPr>
                <w:sz w:val="18"/>
                <w:szCs w:val="18"/>
              </w:rPr>
              <w:t>0</w:t>
            </w:r>
          </w:p>
        </w:tc>
        <w:tc>
          <w:tcPr>
            <w:tcW w:w="0" w:type="auto"/>
            <w:hideMark/>
          </w:tcPr>
          <w:p w14:paraId="018AEE3F" w14:textId="77777777" w:rsidR="00E96F96" w:rsidRPr="00650157" w:rsidRDefault="00E96F96" w:rsidP="00D90511">
            <w:pPr>
              <w:pStyle w:val="NormalWeb"/>
              <w:rPr>
                <w:sz w:val="18"/>
                <w:szCs w:val="18"/>
              </w:rPr>
            </w:pPr>
            <w:r w:rsidRPr="00650157">
              <w:rPr>
                <w:sz w:val="18"/>
                <w:szCs w:val="18"/>
              </w:rPr>
              <w:t>0.00</w:t>
            </w:r>
          </w:p>
        </w:tc>
      </w:tr>
      <w:tr w:rsidR="00E96F96" w:rsidRPr="00650157" w14:paraId="002AED0F" w14:textId="77777777" w:rsidTr="00E96F96">
        <w:trPr>
          <w:cnfStyle w:val="000000010000" w:firstRow="0" w:lastRow="0" w:firstColumn="0" w:lastColumn="0" w:oddVBand="0" w:evenVBand="0" w:oddHBand="0" w:evenHBand="1" w:firstRowFirstColumn="0" w:firstRowLastColumn="0" w:lastRowFirstColumn="0" w:lastRowLastColumn="0"/>
          <w:divId w:val="1847091836"/>
        </w:trPr>
        <w:tc>
          <w:tcPr>
            <w:tcW w:w="0" w:type="auto"/>
            <w:hideMark/>
          </w:tcPr>
          <w:p w14:paraId="16066AED" w14:textId="77777777" w:rsidR="00E96F96" w:rsidRPr="00650157" w:rsidRDefault="00E96F96" w:rsidP="00D90511">
            <w:pPr>
              <w:pStyle w:val="NormalWeb"/>
              <w:jc w:val="left"/>
              <w:rPr>
                <w:sz w:val="18"/>
                <w:szCs w:val="18"/>
              </w:rPr>
            </w:pPr>
            <w:r w:rsidRPr="00650157">
              <w:rPr>
                <w:sz w:val="18"/>
                <w:szCs w:val="18"/>
              </w:rPr>
              <w:t>New South Wales</w:t>
            </w:r>
          </w:p>
        </w:tc>
        <w:tc>
          <w:tcPr>
            <w:tcW w:w="0" w:type="auto"/>
            <w:hideMark/>
          </w:tcPr>
          <w:p w14:paraId="0F40C125" w14:textId="77777777" w:rsidR="00E96F96" w:rsidRPr="00650157" w:rsidRDefault="00E96F96" w:rsidP="00D90511">
            <w:pPr>
              <w:pStyle w:val="NormalWeb"/>
              <w:rPr>
                <w:sz w:val="18"/>
                <w:szCs w:val="18"/>
              </w:rPr>
            </w:pPr>
            <w:r w:rsidRPr="00650157">
              <w:rPr>
                <w:sz w:val="18"/>
                <w:szCs w:val="18"/>
              </w:rPr>
              <w:t>19</w:t>
            </w:r>
          </w:p>
        </w:tc>
        <w:tc>
          <w:tcPr>
            <w:tcW w:w="0" w:type="auto"/>
            <w:hideMark/>
          </w:tcPr>
          <w:p w14:paraId="423E6103" w14:textId="77777777" w:rsidR="00E96F96" w:rsidRPr="00650157" w:rsidRDefault="00E96F96" w:rsidP="00D90511">
            <w:pPr>
              <w:pStyle w:val="NormalWeb"/>
              <w:rPr>
                <w:sz w:val="18"/>
                <w:szCs w:val="18"/>
              </w:rPr>
            </w:pPr>
            <w:r w:rsidRPr="00650157">
              <w:rPr>
                <w:sz w:val="18"/>
                <w:szCs w:val="18"/>
              </w:rPr>
              <w:t>0.03</w:t>
            </w:r>
          </w:p>
        </w:tc>
        <w:tc>
          <w:tcPr>
            <w:tcW w:w="0" w:type="auto"/>
            <w:hideMark/>
          </w:tcPr>
          <w:p w14:paraId="6E1C8F3F" w14:textId="77777777" w:rsidR="00E96F96" w:rsidRPr="00650157" w:rsidRDefault="00E96F96" w:rsidP="00D90511">
            <w:pPr>
              <w:pStyle w:val="NormalWeb"/>
              <w:rPr>
                <w:sz w:val="18"/>
                <w:szCs w:val="18"/>
              </w:rPr>
            </w:pPr>
            <w:r w:rsidRPr="00650157">
              <w:rPr>
                <w:sz w:val="18"/>
                <w:szCs w:val="18"/>
              </w:rPr>
              <w:t>59</w:t>
            </w:r>
          </w:p>
        </w:tc>
        <w:tc>
          <w:tcPr>
            <w:tcW w:w="0" w:type="auto"/>
            <w:hideMark/>
          </w:tcPr>
          <w:p w14:paraId="58B057F3" w14:textId="77777777" w:rsidR="00E96F96" w:rsidRPr="00650157" w:rsidRDefault="00E96F96" w:rsidP="00D90511">
            <w:pPr>
              <w:pStyle w:val="NormalWeb"/>
              <w:rPr>
                <w:sz w:val="18"/>
                <w:szCs w:val="18"/>
              </w:rPr>
            </w:pPr>
            <w:r w:rsidRPr="00650157">
              <w:rPr>
                <w:sz w:val="18"/>
                <w:szCs w:val="18"/>
              </w:rPr>
              <w:t>0.10</w:t>
            </w:r>
          </w:p>
        </w:tc>
      </w:tr>
      <w:tr w:rsidR="00E96F96" w:rsidRPr="00650157" w14:paraId="446D041A" w14:textId="77777777" w:rsidTr="00E96F96">
        <w:trPr>
          <w:divId w:val="1847091836"/>
        </w:trPr>
        <w:tc>
          <w:tcPr>
            <w:tcW w:w="0" w:type="auto"/>
            <w:hideMark/>
          </w:tcPr>
          <w:p w14:paraId="09D4FB85" w14:textId="77777777" w:rsidR="00E96F96" w:rsidRPr="00650157" w:rsidRDefault="00E96F96" w:rsidP="00D90511">
            <w:pPr>
              <w:pStyle w:val="NormalWeb"/>
              <w:jc w:val="left"/>
              <w:rPr>
                <w:sz w:val="18"/>
                <w:szCs w:val="18"/>
              </w:rPr>
            </w:pPr>
            <w:r w:rsidRPr="00650157">
              <w:rPr>
                <w:sz w:val="18"/>
                <w:szCs w:val="18"/>
              </w:rPr>
              <w:t>Northern Territory</w:t>
            </w:r>
          </w:p>
        </w:tc>
        <w:tc>
          <w:tcPr>
            <w:tcW w:w="0" w:type="auto"/>
            <w:hideMark/>
          </w:tcPr>
          <w:p w14:paraId="4AC1D118" w14:textId="77777777" w:rsidR="00E96F96" w:rsidRPr="00650157" w:rsidRDefault="00E96F96" w:rsidP="00D90511">
            <w:pPr>
              <w:pStyle w:val="NormalWeb"/>
              <w:rPr>
                <w:sz w:val="18"/>
                <w:szCs w:val="18"/>
              </w:rPr>
            </w:pPr>
            <w:r w:rsidRPr="00650157">
              <w:rPr>
                <w:sz w:val="18"/>
                <w:szCs w:val="18"/>
              </w:rPr>
              <w:t>0</w:t>
            </w:r>
          </w:p>
        </w:tc>
        <w:tc>
          <w:tcPr>
            <w:tcW w:w="0" w:type="auto"/>
            <w:hideMark/>
          </w:tcPr>
          <w:p w14:paraId="087F5B48" w14:textId="77777777" w:rsidR="00E96F96" w:rsidRPr="00650157" w:rsidRDefault="00E96F96" w:rsidP="00D90511">
            <w:pPr>
              <w:pStyle w:val="NormalWeb"/>
              <w:rPr>
                <w:sz w:val="18"/>
                <w:szCs w:val="18"/>
              </w:rPr>
            </w:pPr>
            <w:r w:rsidRPr="00650157">
              <w:rPr>
                <w:sz w:val="18"/>
                <w:szCs w:val="18"/>
              </w:rPr>
              <w:t>0</w:t>
            </w:r>
          </w:p>
        </w:tc>
        <w:tc>
          <w:tcPr>
            <w:tcW w:w="0" w:type="auto"/>
            <w:hideMark/>
          </w:tcPr>
          <w:p w14:paraId="18DD8DFC" w14:textId="77777777" w:rsidR="00E96F96" w:rsidRPr="00650157" w:rsidRDefault="00E96F96" w:rsidP="00D90511">
            <w:pPr>
              <w:pStyle w:val="NormalWeb"/>
              <w:rPr>
                <w:sz w:val="18"/>
                <w:szCs w:val="18"/>
              </w:rPr>
            </w:pPr>
            <w:r w:rsidRPr="00650157">
              <w:rPr>
                <w:sz w:val="18"/>
                <w:szCs w:val="18"/>
              </w:rPr>
              <w:t>1–4</w:t>
            </w:r>
            <w:r w:rsidRPr="00441AD7">
              <w:rPr>
                <w:sz w:val="18"/>
                <w:szCs w:val="18"/>
                <w:vertAlign w:val="superscript"/>
              </w:rPr>
              <w:t>a</w:t>
            </w:r>
          </w:p>
        </w:tc>
        <w:tc>
          <w:tcPr>
            <w:tcW w:w="0" w:type="auto"/>
            <w:hideMark/>
          </w:tcPr>
          <w:p w14:paraId="069CB233" w14:textId="77777777" w:rsidR="00E96F96" w:rsidRPr="00650157" w:rsidRDefault="00E96F96" w:rsidP="00D90511">
            <w:pPr>
              <w:pStyle w:val="NormalWeb"/>
              <w:rPr>
                <w:sz w:val="18"/>
                <w:szCs w:val="18"/>
              </w:rPr>
            </w:pPr>
            <w:r w:rsidRPr="00650157">
              <w:rPr>
                <w:sz w:val="18"/>
                <w:szCs w:val="18"/>
              </w:rPr>
              <w:t>0.05</w:t>
            </w:r>
          </w:p>
        </w:tc>
      </w:tr>
      <w:tr w:rsidR="00E96F96" w:rsidRPr="00650157" w14:paraId="38E30ED2" w14:textId="77777777" w:rsidTr="00E96F96">
        <w:trPr>
          <w:cnfStyle w:val="000000010000" w:firstRow="0" w:lastRow="0" w:firstColumn="0" w:lastColumn="0" w:oddVBand="0" w:evenVBand="0" w:oddHBand="0" w:evenHBand="1" w:firstRowFirstColumn="0" w:firstRowLastColumn="0" w:lastRowFirstColumn="0" w:lastRowLastColumn="0"/>
          <w:divId w:val="1847091836"/>
        </w:trPr>
        <w:tc>
          <w:tcPr>
            <w:tcW w:w="0" w:type="auto"/>
            <w:hideMark/>
          </w:tcPr>
          <w:p w14:paraId="25432E6A" w14:textId="77777777" w:rsidR="00E96F96" w:rsidRPr="00650157" w:rsidRDefault="00E96F96" w:rsidP="00D90511">
            <w:pPr>
              <w:pStyle w:val="NormalWeb"/>
              <w:jc w:val="left"/>
              <w:rPr>
                <w:sz w:val="18"/>
                <w:szCs w:val="18"/>
              </w:rPr>
            </w:pPr>
            <w:r w:rsidRPr="00650157">
              <w:rPr>
                <w:sz w:val="18"/>
                <w:szCs w:val="18"/>
              </w:rPr>
              <w:t>Queensland</w:t>
            </w:r>
          </w:p>
        </w:tc>
        <w:tc>
          <w:tcPr>
            <w:tcW w:w="0" w:type="auto"/>
            <w:hideMark/>
          </w:tcPr>
          <w:p w14:paraId="1D58719A" w14:textId="77777777" w:rsidR="00E96F96" w:rsidRPr="00650157" w:rsidRDefault="00E96F96" w:rsidP="00D90511">
            <w:pPr>
              <w:pStyle w:val="NormalWeb"/>
              <w:rPr>
                <w:sz w:val="18"/>
                <w:szCs w:val="18"/>
              </w:rPr>
            </w:pPr>
            <w:r w:rsidRPr="00650157">
              <w:rPr>
                <w:sz w:val="18"/>
                <w:szCs w:val="18"/>
              </w:rPr>
              <w:t>11</w:t>
            </w:r>
          </w:p>
        </w:tc>
        <w:tc>
          <w:tcPr>
            <w:tcW w:w="0" w:type="auto"/>
            <w:hideMark/>
          </w:tcPr>
          <w:p w14:paraId="650AD34C" w14:textId="77777777" w:rsidR="00E96F96" w:rsidRPr="00650157" w:rsidRDefault="00E96F96" w:rsidP="00D90511">
            <w:pPr>
              <w:pStyle w:val="NormalWeb"/>
              <w:rPr>
                <w:sz w:val="18"/>
                <w:szCs w:val="18"/>
              </w:rPr>
            </w:pPr>
            <w:r w:rsidRPr="00650157">
              <w:rPr>
                <w:sz w:val="18"/>
                <w:szCs w:val="18"/>
              </w:rPr>
              <w:t>0.03</w:t>
            </w:r>
          </w:p>
        </w:tc>
        <w:tc>
          <w:tcPr>
            <w:tcW w:w="0" w:type="auto"/>
            <w:hideMark/>
          </w:tcPr>
          <w:p w14:paraId="6B58E6D8" w14:textId="77777777" w:rsidR="00E96F96" w:rsidRPr="00650157" w:rsidRDefault="00E96F96" w:rsidP="00D90511">
            <w:pPr>
              <w:pStyle w:val="NormalWeb"/>
              <w:rPr>
                <w:sz w:val="18"/>
                <w:szCs w:val="18"/>
              </w:rPr>
            </w:pPr>
            <w:r w:rsidRPr="00650157">
              <w:rPr>
                <w:sz w:val="18"/>
                <w:szCs w:val="18"/>
              </w:rPr>
              <w:t>55</w:t>
            </w:r>
          </w:p>
        </w:tc>
        <w:tc>
          <w:tcPr>
            <w:tcW w:w="0" w:type="auto"/>
            <w:hideMark/>
          </w:tcPr>
          <w:p w14:paraId="4C9CDD4F" w14:textId="77777777" w:rsidR="00E96F96" w:rsidRPr="00650157" w:rsidRDefault="00E96F96" w:rsidP="00D90511">
            <w:pPr>
              <w:pStyle w:val="NormalWeb"/>
              <w:rPr>
                <w:sz w:val="18"/>
                <w:szCs w:val="18"/>
              </w:rPr>
            </w:pPr>
            <w:r w:rsidRPr="00650157">
              <w:rPr>
                <w:sz w:val="18"/>
                <w:szCs w:val="18"/>
              </w:rPr>
              <w:t>0.15</w:t>
            </w:r>
          </w:p>
        </w:tc>
      </w:tr>
      <w:tr w:rsidR="00E96F96" w:rsidRPr="00650157" w14:paraId="4FC102CA" w14:textId="77777777" w:rsidTr="00E96F96">
        <w:trPr>
          <w:divId w:val="1847091836"/>
        </w:trPr>
        <w:tc>
          <w:tcPr>
            <w:tcW w:w="0" w:type="auto"/>
            <w:hideMark/>
          </w:tcPr>
          <w:p w14:paraId="79BC5013" w14:textId="77777777" w:rsidR="00E96F96" w:rsidRPr="00650157" w:rsidRDefault="00E96F96" w:rsidP="00D90511">
            <w:pPr>
              <w:pStyle w:val="NormalWeb"/>
              <w:jc w:val="left"/>
              <w:rPr>
                <w:sz w:val="18"/>
                <w:szCs w:val="18"/>
              </w:rPr>
            </w:pPr>
            <w:r w:rsidRPr="00650157">
              <w:rPr>
                <w:sz w:val="18"/>
                <w:szCs w:val="18"/>
              </w:rPr>
              <w:t>South Australia</w:t>
            </w:r>
          </w:p>
        </w:tc>
        <w:tc>
          <w:tcPr>
            <w:tcW w:w="0" w:type="auto"/>
            <w:hideMark/>
          </w:tcPr>
          <w:p w14:paraId="4858D52C" w14:textId="77777777" w:rsidR="00E96F96" w:rsidRPr="00650157" w:rsidRDefault="00E96F96" w:rsidP="00D90511">
            <w:pPr>
              <w:pStyle w:val="NormalWeb"/>
              <w:rPr>
                <w:sz w:val="18"/>
                <w:szCs w:val="18"/>
              </w:rPr>
            </w:pPr>
            <w:r w:rsidRPr="00650157">
              <w:rPr>
                <w:sz w:val="18"/>
                <w:szCs w:val="18"/>
              </w:rPr>
              <w:t>2</w:t>
            </w:r>
          </w:p>
        </w:tc>
        <w:tc>
          <w:tcPr>
            <w:tcW w:w="0" w:type="auto"/>
            <w:hideMark/>
          </w:tcPr>
          <w:p w14:paraId="12F6E4F6" w14:textId="77777777" w:rsidR="00E96F96" w:rsidRPr="00650157" w:rsidRDefault="00E96F96" w:rsidP="00D90511">
            <w:pPr>
              <w:pStyle w:val="NormalWeb"/>
              <w:rPr>
                <w:sz w:val="18"/>
                <w:szCs w:val="18"/>
              </w:rPr>
            </w:pPr>
            <w:r w:rsidRPr="00650157">
              <w:rPr>
                <w:sz w:val="18"/>
                <w:szCs w:val="18"/>
              </w:rPr>
              <w:t>0.02</w:t>
            </w:r>
          </w:p>
        </w:tc>
        <w:tc>
          <w:tcPr>
            <w:tcW w:w="0" w:type="auto"/>
            <w:hideMark/>
          </w:tcPr>
          <w:p w14:paraId="24BA5B08" w14:textId="77777777" w:rsidR="00E96F96" w:rsidRPr="00650157" w:rsidRDefault="00E96F96" w:rsidP="00D90511">
            <w:pPr>
              <w:pStyle w:val="NormalWeb"/>
              <w:rPr>
                <w:sz w:val="18"/>
                <w:szCs w:val="18"/>
              </w:rPr>
            </w:pPr>
            <w:r w:rsidRPr="00650157">
              <w:rPr>
                <w:sz w:val="18"/>
                <w:szCs w:val="18"/>
              </w:rPr>
              <w:t>17</w:t>
            </w:r>
          </w:p>
        </w:tc>
        <w:tc>
          <w:tcPr>
            <w:tcW w:w="0" w:type="auto"/>
            <w:hideMark/>
          </w:tcPr>
          <w:p w14:paraId="1C42F516" w14:textId="77777777" w:rsidR="00E96F96" w:rsidRPr="00650157" w:rsidRDefault="00E96F96" w:rsidP="00D90511">
            <w:pPr>
              <w:pStyle w:val="NormalWeb"/>
              <w:rPr>
                <w:sz w:val="18"/>
                <w:szCs w:val="18"/>
              </w:rPr>
            </w:pPr>
            <w:r w:rsidRPr="00650157">
              <w:rPr>
                <w:sz w:val="18"/>
                <w:szCs w:val="18"/>
              </w:rPr>
              <w:t>0.12</w:t>
            </w:r>
          </w:p>
        </w:tc>
      </w:tr>
      <w:tr w:rsidR="00E96F96" w:rsidRPr="00650157" w14:paraId="7A2F42A4" w14:textId="77777777" w:rsidTr="00E96F96">
        <w:trPr>
          <w:cnfStyle w:val="000000010000" w:firstRow="0" w:lastRow="0" w:firstColumn="0" w:lastColumn="0" w:oddVBand="0" w:evenVBand="0" w:oddHBand="0" w:evenHBand="1" w:firstRowFirstColumn="0" w:firstRowLastColumn="0" w:lastRowFirstColumn="0" w:lastRowLastColumn="0"/>
          <w:divId w:val="1847091836"/>
        </w:trPr>
        <w:tc>
          <w:tcPr>
            <w:tcW w:w="0" w:type="auto"/>
            <w:hideMark/>
          </w:tcPr>
          <w:p w14:paraId="3A94E942" w14:textId="77777777" w:rsidR="00E96F96" w:rsidRPr="00650157" w:rsidRDefault="00E96F96" w:rsidP="00D90511">
            <w:pPr>
              <w:pStyle w:val="NormalWeb"/>
              <w:jc w:val="left"/>
              <w:rPr>
                <w:sz w:val="18"/>
                <w:szCs w:val="18"/>
              </w:rPr>
            </w:pPr>
            <w:r w:rsidRPr="00650157">
              <w:rPr>
                <w:sz w:val="18"/>
                <w:szCs w:val="18"/>
              </w:rPr>
              <w:t>Tasmania</w:t>
            </w:r>
          </w:p>
        </w:tc>
        <w:tc>
          <w:tcPr>
            <w:tcW w:w="0" w:type="auto"/>
            <w:hideMark/>
          </w:tcPr>
          <w:p w14:paraId="7DC555B3" w14:textId="77777777" w:rsidR="00E96F96" w:rsidRPr="00650157" w:rsidRDefault="00E96F96" w:rsidP="00D90511">
            <w:pPr>
              <w:pStyle w:val="NormalWeb"/>
              <w:rPr>
                <w:sz w:val="18"/>
                <w:szCs w:val="18"/>
              </w:rPr>
            </w:pPr>
            <w:r w:rsidRPr="00650157">
              <w:rPr>
                <w:sz w:val="18"/>
                <w:szCs w:val="18"/>
              </w:rPr>
              <w:t>7</w:t>
            </w:r>
          </w:p>
        </w:tc>
        <w:tc>
          <w:tcPr>
            <w:tcW w:w="0" w:type="auto"/>
            <w:hideMark/>
          </w:tcPr>
          <w:p w14:paraId="1675B43C" w14:textId="77777777" w:rsidR="00E96F96" w:rsidRPr="00650157" w:rsidRDefault="00E96F96" w:rsidP="00D90511">
            <w:pPr>
              <w:pStyle w:val="NormalWeb"/>
              <w:rPr>
                <w:sz w:val="18"/>
                <w:szCs w:val="18"/>
              </w:rPr>
            </w:pPr>
            <w:r w:rsidRPr="00650157">
              <w:rPr>
                <w:sz w:val="18"/>
                <w:szCs w:val="18"/>
              </w:rPr>
              <w:t>0.16</w:t>
            </w:r>
          </w:p>
        </w:tc>
        <w:tc>
          <w:tcPr>
            <w:tcW w:w="0" w:type="auto"/>
            <w:hideMark/>
          </w:tcPr>
          <w:p w14:paraId="3C900D2E" w14:textId="77777777" w:rsidR="00E96F96" w:rsidRPr="00650157" w:rsidRDefault="00E96F96" w:rsidP="00D90511">
            <w:pPr>
              <w:pStyle w:val="NormalWeb"/>
              <w:rPr>
                <w:sz w:val="18"/>
                <w:szCs w:val="18"/>
              </w:rPr>
            </w:pPr>
            <w:r w:rsidRPr="00650157">
              <w:rPr>
                <w:sz w:val="18"/>
                <w:szCs w:val="18"/>
              </w:rPr>
              <w:t>1–4</w:t>
            </w:r>
            <w:r w:rsidRPr="00441AD7">
              <w:rPr>
                <w:sz w:val="18"/>
                <w:szCs w:val="18"/>
                <w:vertAlign w:val="superscript"/>
              </w:rPr>
              <w:t>a</w:t>
            </w:r>
          </w:p>
        </w:tc>
        <w:tc>
          <w:tcPr>
            <w:tcW w:w="0" w:type="auto"/>
            <w:hideMark/>
          </w:tcPr>
          <w:p w14:paraId="7D567E11" w14:textId="77777777" w:rsidR="00E96F96" w:rsidRPr="00650157" w:rsidRDefault="00E96F96" w:rsidP="00D90511">
            <w:pPr>
              <w:pStyle w:val="NormalWeb"/>
              <w:rPr>
                <w:sz w:val="18"/>
                <w:szCs w:val="18"/>
              </w:rPr>
            </w:pPr>
            <w:r w:rsidRPr="00650157">
              <w:rPr>
                <w:sz w:val="18"/>
                <w:szCs w:val="18"/>
              </w:rPr>
              <w:t>0.07</w:t>
            </w:r>
          </w:p>
        </w:tc>
      </w:tr>
      <w:tr w:rsidR="00E96F96" w:rsidRPr="00650157" w14:paraId="3C3859FE" w14:textId="77777777" w:rsidTr="00E96F96">
        <w:trPr>
          <w:divId w:val="1847091836"/>
        </w:trPr>
        <w:tc>
          <w:tcPr>
            <w:tcW w:w="0" w:type="auto"/>
            <w:hideMark/>
          </w:tcPr>
          <w:p w14:paraId="021C8026" w14:textId="77777777" w:rsidR="00E96F96" w:rsidRPr="00650157" w:rsidRDefault="00E96F96" w:rsidP="00D90511">
            <w:pPr>
              <w:pStyle w:val="NormalWeb"/>
              <w:jc w:val="left"/>
              <w:rPr>
                <w:sz w:val="18"/>
                <w:szCs w:val="18"/>
              </w:rPr>
            </w:pPr>
            <w:r w:rsidRPr="00650157">
              <w:rPr>
                <w:sz w:val="18"/>
                <w:szCs w:val="18"/>
              </w:rPr>
              <w:t>Victoria</w:t>
            </w:r>
          </w:p>
        </w:tc>
        <w:tc>
          <w:tcPr>
            <w:tcW w:w="0" w:type="auto"/>
            <w:hideMark/>
          </w:tcPr>
          <w:p w14:paraId="1A6CDAF1" w14:textId="77777777" w:rsidR="00E96F96" w:rsidRPr="00650157" w:rsidRDefault="00E96F96" w:rsidP="00D90511">
            <w:pPr>
              <w:pStyle w:val="NormalWeb"/>
              <w:rPr>
                <w:sz w:val="18"/>
                <w:szCs w:val="18"/>
              </w:rPr>
            </w:pPr>
            <w:r w:rsidRPr="00650157">
              <w:rPr>
                <w:sz w:val="18"/>
                <w:szCs w:val="18"/>
              </w:rPr>
              <w:t>17</w:t>
            </w:r>
          </w:p>
        </w:tc>
        <w:tc>
          <w:tcPr>
            <w:tcW w:w="0" w:type="auto"/>
            <w:hideMark/>
          </w:tcPr>
          <w:p w14:paraId="5D181EAD" w14:textId="77777777" w:rsidR="00E96F96" w:rsidRPr="00650157" w:rsidRDefault="00E96F96" w:rsidP="00D90511">
            <w:pPr>
              <w:pStyle w:val="NormalWeb"/>
              <w:rPr>
                <w:sz w:val="18"/>
                <w:szCs w:val="18"/>
              </w:rPr>
            </w:pPr>
            <w:r w:rsidRPr="00650157">
              <w:rPr>
                <w:sz w:val="18"/>
                <w:szCs w:val="18"/>
              </w:rPr>
              <w:t>0.04</w:t>
            </w:r>
          </w:p>
        </w:tc>
        <w:tc>
          <w:tcPr>
            <w:tcW w:w="0" w:type="auto"/>
            <w:hideMark/>
          </w:tcPr>
          <w:p w14:paraId="015DBC80" w14:textId="77777777" w:rsidR="00E96F96" w:rsidRPr="00650157" w:rsidRDefault="00E96F96" w:rsidP="00D90511">
            <w:pPr>
              <w:pStyle w:val="NormalWeb"/>
              <w:rPr>
                <w:sz w:val="18"/>
                <w:szCs w:val="18"/>
              </w:rPr>
            </w:pPr>
            <w:r w:rsidRPr="00650157">
              <w:rPr>
                <w:sz w:val="18"/>
                <w:szCs w:val="18"/>
              </w:rPr>
              <w:t>35</w:t>
            </w:r>
          </w:p>
        </w:tc>
        <w:tc>
          <w:tcPr>
            <w:tcW w:w="0" w:type="auto"/>
            <w:hideMark/>
          </w:tcPr>
          <w:p w14:paraId="04153253" w14:textId="77777777" w:rsidR="00E96F96" w:rsidRPr="00650157" w:rsidRDefault="00E96F96" w:rsidP="00D90511">
            <w:pPr>
              <w:pStyle w:val="NormalWeb"/>
              <w:rPr>
                <w:sz w:val="18"/>
                <w:szCs w:val="18"/>
              </w:rPr>
            </w:pPr>
            <w:r w:rsidRPr="00650157">
              <w:rPr>
                <w:sz w:val="18"/>
                <w:szCs w:val="18"/>
              </w:rPr>
              <w:t>0.07</w:t>
            </w:r>
          </w:p>
        </w:tc>
      </w:tr>
      <w:tr w:rsidR="00E96F96" w:rsidRPr="00650157" w14:paraId="484743B7" w14:textId="77777777" w:rsidTr="00E96F96">
        <w:trPr>
          <w:cnfStyle w:val="000000010000" w:firstRow="0" w:lastRow="0" w:firstColumn="0" w:lastColumn="0" w:oddVBand="0" w:evenVBand="0" w:oddHBand="0" w:evenHBand="1" w:firstRowFirstColumn="0" w:firstRowLastColumn="0" w:lastRowFirstColumn="0" w:lastRowLastColumn="0"/>
          <w:divId w:val="1847091836"/>
        </w:trPr>
        <w:tc>
          <w:tcPr>
            <w:tcW w:w="0" w:type="auto"/>
            <w:hideMark/>
          </w:tcPr>
          <w:p w14:paraId="58E14151" w14:textId="77777777" w:rsidR="00E96F96" w:rsidRPr="00650157" w:rsidRDefault="00E96F96" w:rsidP="00D90511">
            <w:pPr>
              <w:pStyle w:val="NormalWeb"/>
              <w:jc w:val="left"/>
              <w:rPr>
                <w:sz w:val="18"/>
                <w:szCs w:val="18"/>
              </w:rPr>
            </w:pPr>
            <w:r w:rsidRPr="00650157">
              <w:rPr>
                <w:sz w:val="18"/>
                <w:szCs w:val="18"/>
              </w:rPr>
              <w:t>Western Australia</w:t>
            </w:r>
          </w:p>
        </w:tc>
        <w:tc>
          <w:tcPr>
            <w:tcW w:w="0" w:type="auto"/>
            <w:hideMark/>
          </w:tcPr>
          <w:p w14:paraId="5493AB6C" w14:textId="77777777" w:rsidR="00E96F96" w:rsidRPr="00650157" w:rsidRDefault="00E96F96" w:rsidP="00D90511">
            <w:pPr>
              <w:pStyle w:val="NormalWeb"/>
              <w:rPr>
                <w:sz w:val="18"/>
                <w:szCs w:val="18"/>
              </w:rPr>
            </w:pPr>
            <w:r w:rsidRPr="00650157">
              <w:rPr>
                <w:sz w:val="18"/>
                <w:szCs w:val="18"/>
              </w:rPr>
              <w:t>7</w:t>
            </w:r>
          </w:p>
        </w:tc>
        <w:tc>
          <w:tcPr>
            <w:tcW w:w="0" w:type="auto"/>
            <w:hideMark/>
          </w:tcPr>
          <w:p w14:paraId="402436C2" w14:textId="77777777" w:rsidR="00E96F96" w:rsidRPr="00650157" w:rsidRDefault="00E96F96" w:rsidP="00D90511">
            <w:pPr>
              <w:pStyle w:val="NormalWeb"/>
              <w:rPr>
                <w:sz w:val="18"/>
                <w:szCs w:val="18"/>
              </w:rPr>
            </w:pPr>
            <w:r w:rsidRPr="00650157">
              <w:rPr>
                <w:sz w:val="18"/>
                <w:szCs w:val="18"/>
              </w:rPr>
              <w:t>0.04</w:t>
            </w:r>
          </w:p>
        </w:tc>
        <w:tc>
          <w:tcPr>
            <w:tcW w:w="0" w:type="auto"/>
            <w:hideMark/>
          </w:tcPr>
          <w:p w14:paraId="4855993A" w14:textId="77777777" w:rsidR="00E96F96" w:rsidRPr="00650157" w:rsidRDefault="00E96F96" w:rsidP="00D90511">
            <w:pPr>
              <w:pStyle w:val="NormalWeb"/>
              <w:rPr>
                <w:sz w:val="18"/>
                <w:szCs w:val="18"/>
              </w:rPr>
            </w:pPr>
            <w:r w:rsidRPr="00650157">
              <w:rPr>
                <w:sz w:val="18"/>
                <w:szCs w:val="18"/>
              </w:rPr>
              <w:t>34</w:t>
            </w:r>
          </w:p>
        </w:tc>
        <w:tc>
          <w:tcPr>
            <w:tcW w:w="0" w:type="auto"/>
            <w:hideMark/>
          </w:tcPr>
          <w:p w14:paraId="16E41D5D" w14:textId="77777777" w:rsidR="00E96F96" w:rsidRPr="00650157" w:rsidRDefault="00E96F96" w:rsidP="00D90511">
            <w:pPr>
              <w:pStyle w:val="NormalWeb"/>
              <w:rPr>
                <w:sz w:val="18"/>
                <w:szCs w:val="18"/>
              </w:rPr>
            </w:pPr>
            <w:r w:rsidRPr="00650157">
              <w:rPr>
                <w:sz w:val="18"/>
                <w:szCs w:val="18"/>
              </w:rPr>
              <w:t>0.17</w:t>
            </w:r>
          </w:p>
        </w:tc>
      </w:tr>
      <w:tr w:rsidR="00E96F96" w:rsidRPr="0057074F" w14:paraId="7483728A" w14:textId="77777777" w:rsidTr="00E96F96">
        <w:trPr>
          <w:divId w:val="1847091836"/>
        </w:trPr>
        <w:tc>
          <w:tcPr>
            <w:tcW w:w="0" w:type="auto"/>
            <w:shd w:val="clear" w:color="auto" w:fill="F7ECDD"/>
            <w:hideMark/>
          </w:tcPr>
          <w:p w14:paraId="70FD8F88" w14:textId="77777777" w:rsidR="00E96F96" w:rsidRPr="0057074F" w:rsidRDefault="00E96F96" w:rsidP="00D90511">
            <w:pPr>
              <w:pStyle w:val="NormalWeb"/>
              <w:jc w:val="left"/>
              <w:rPr>
                <w:b/>
                <w:bCs/>
                <w:sz w:val="18"/>
                <w:szCs w:val="18"/>
              </w:rPr>
            </w:pPr>
            <w:r w:rsidRPr="0057074F">
              <w:rPr>
                <w:b/>
                <w:bCs/>
                <w:sz w:val="18"/>
                <w:szCs w:val="18"/>
              </w:rPr>
              <w:t>Australia</w:t>
            </w:r>
          </w:p>
        </w:tc>
        <w:tc>
          <w:tcPr>
            <w:tcW w:w="0" w:type="auto"/>
            <w:shd w:val="clear" w:color="auto" w:fill="F7ECDD"/>
            <w:hideMark/>
          </w:tcPr>
          <w:p w14:paraId="4A783C42" w14:textId="77777777" w:rsidR="00E96F96" w:rsidRPr="0057074F" w:rsidRDefault="00E96F96" w:rsidP="00D90511">
            <w:pPr>
              <w:pStyle w:val="NormalWeb"/>
              <w:rPr>
                <w:b/>
                <w:bCs/>
                <w:sz w:val="18"/>
                <w:szCs w:val="18"/>
              </w:rPr>
            </w:pPr>
            <w:r w:rsidRPr="0057074F">
              <w:rPr>
                <w:b/>
                <w:bCs/>
                <w:sz w:val="18"/>
                <w:szCs w:val="18"/>
              </w:rPr>
              <w:t>63</w:t>
            </w:r>
          </w:p>
        </w:tc>
        <w:tc>
          <w:tcPr>
            <w:tcW w:w="0" w:type="auto"/>
            <w:shd w:val="clear" w:color="auto" w:fill="F7ECDD"/>
            <w:hideMark/>
          </w:tcPr>
          <w:p w14:paraId="01AC8087" w14:textId="77777777" w:rsidR="00E96F96" w:rsidRPr="0057074F" w:rsidRDefault="00E96F96" w:rsidP="00D90511">
            <w:pPr>
              <w:pStyle w:val="NormalWeb"/>
              <w:rPr>
                <w:b/>
                <w:bCs/>
                <w:sz w:val="18"/>
                <w:szCs w:val="18"/>
              </w:rPr>
            </w:pPr>
            <w:r w:rsidRPr="0057074F">
              <w:rPr>
                <w:b/>
                <w:bCs/>
                <w:sz w:val="18"/>
                <w:szCs w:val="18"/>
              </w:rPr>
              <w:t>0.02</w:t>
            </w:r>
          </w:p>
        </w:tc>
        <w:tc>
          <w:tcPr>
            <w:tcW w:w="0" w:type="auto"/>
            <w:shd w:val="clear" w:color="auto" w:fill="F7ECDD"/>
            <w:hideMark/>
          </w:tcPr>
          <w:p w14:paraId="51CB78A2" w14:textId="77777777" w:rsidR="00E96F96" w:rsidRPr="0057074F" w:rsidRDefault="00E96F96" w:rsidP="00D90511">
            <w:pPr>
              <w:pStyle w:val="NormalWeb"/>
              <w:rPr>
                <w:b/>
                <w:bCs/>
                <w:sz w:val="18"/>
                <w:szCs w:val="18"/>
              </w:rPr>
            </w:pPr>
            <w:r w:rsidRPr="0057074F">
              <w:rPr>
                <w:b/>
                <w:bCs/>
                <w:sz w:val="18"/>
                <w:szCs w:val="18"/>
              </w:rPr>
              <w:t>204</w:t>
            </w:r>
            <w:r w:rsidRPr="009F33D1">
              <w:rPr>
                <w:b/>
                <w:bCs/>
                <w:sz w:val="18"/>
                <w:szCs w:val="18"/>
                <w:vertAlign w:val="superscript"/>
              </w:rPr>
              <w:t>b</w:t>
            </w:r>
          </w:p>
        </w:tc>
        <w:tc>
          <w:tcPr>
            <w:tcW w:w="0" w:type="auto"/>
            <w:shd w:val="clear" w:color="auto" w:fill="F7ECDD"/>
            <w:hideMark/>
          </w:tcPr>
          <w:p w14:paraId="05DFC489" w14:textId="77777777" w:rsidR="00E96F96" w:rsidRPr="0057074F" w:rsidRDefault="00E96F96" w:rsidP="00D90511">
            <w:pPr>
              <w:pStyle w:val="NormalWeb"/>
              <w:rPr>
                <w:b/>
                <w:bCs/>
                <w:sz w:val="18"/>
                <w:szCs w:val="18"/>
              </w:rPr>
            </w:pPr>
            <w:r w:rsidRPr="0057074F">
              <w:rPr>
                <w:b/>
                <w:bCs/>
                <w:sz w:val="18"/>
                <w:szCs w:val="18"/>
              </w:rPr>
              <w:t>0.05</w:t>
            </w:r>
          </w:p>
        </w:tc>
      </w:tr>
    </w:tbl>
    <w:p w14:paraId="71CE0FDE" w14:textId="77777777" w:rsidR="00E96F96" w:rsidRDefault="00E96F96" w:rsidP="00E96F96">
      <w:pPr>
        <w:pStyle w:val="CDIfootnotes"/>
        <w:divId w:val="1847091836"/>
        <w:rPr>
          <w:lang w:val="en-GB"/>
        </w:rPr>
      </w:pPr>
      <w:proofErr w:type="spellStart"/>
      <w:r>
        <w:rPr>
          <w:lang w:val="en-GB"/>
        </w:rPr>
        <w:t>a</w:t>
      </w:r>
      <w:proofErr w:type="spellEnd"/>
      <w:r>
        <w:rPr>
          <w:lang w:val="en-GB"/>
        </w:rPr>
        <w:tab/>
      </w:r>
      <w:proofErr w:type="gramStart"/>
      <w:r>
        <w:rPr>
          <w:lang w:val="en-GB"/>
        </w:rPr>
        <w:t>To</w:t>
      </w:r>
      <w:proofErr w:type="gramEnd"/>
      <w:r>
        <w:rPr>
          <w:lang w:val="en-GB"/>
        </w:rPr>
        <w:t xml:space="preserve"> comply with the AIHW’s data release condition that hospitalisation counts &lt; 5 be suppressed in published reports, counts between 1 and 4 are reported as a range.</w:t>
      </w:r>
    </w:p>
    <w:p w14:paraId="162435F4" w14:textId="62B163E3" w:rsidR="00E96F96" w:rsidRPr="00E96F96" w:rsidRDefault="00E96F96" w:rsidP="00E96F96">
      <w:pPr>
        <w:pStyle w:val="CDIfootnotes"/>
        <w:divId w:val="1847091836"/>
        <w:rPr>
          <w:lang w:val="en-GB"/>
        </w:rPr>
      </w:pPr>
      <w:r>
        <w:rPr>
          <w:lang w:val="en-GB"/>
        </w:rPr>
        <w:t>b</w:t>
      </w:r>
      <w:r>
        <w:rPr>
          <w:lang w:val="en-GB"/>
        </w:rPr>
        <w:tab/>
        <w:t>Jurisdiction (state or territory) was not specified for 1–4 hospitalisations.</w:t>
      </w:r>
    </w:p>
    <w:p w14:paraId="036666C3" w14:textId="6F366DEE" w:rsidR="00601A36" w:rsidRPr="00601A36" w:rsidRDefault="00601A36" w:rsidP="00601A36">
      <w:pPr>
        <w:pStyle w:val="Heading2"/>
        <w:divId w:val="1847091836"/>
      </w:pPr>
      <w:r w:rsidRPr="00601A36">
        <w:t xml:space="preserve">Notifications and hospitalisations by age and gender </w:t>
      </w:r>
    </w:p>
    <w:p w14:paraId="0A81039C" w14:textId="77777777" w:rsidR="00601A36" w:rsidRDefault="00601A36" w:rsidP="00601A36">
      <w:pPr>
        <w:divId w:val="1847091836"/>
      </w:pPr>
      <w:r>
        <w:t xml:space="preserve">Tetanus notification and hospitalisation rates were higher among adults aged ≥ 65 years than among younger age groups (Figure 3). Almost three-quarters of notifications were in adults aged ≥ 50 years (45/63; 71%); 63% of notifications (n = 40/63) were in adults aged ≥ 65 years; and 60% of notifications (n = 38/63) were in adults aged ≥ 70 years (Table 2). The distribution of age among hospitalisations for tetanus was slightly younger than for notifications, with </w:t>
      </w:r>
      <w:proofErr w:type="gramStart"/>
      <w:r>
        <w:t>approximately half</w:t>
      </w:r>
      <w:proofErr w:type="gramEnd"/>
      <w:r>
        <w:t xml:space="preserve"> of hospitalisations in adults aged ≥ 50 years (115/207; 56%); 44% in adults aged ≥ 65 years (92/207); and 41% in adults aged ≥ 70 years (84/207). </w:t>
      </w:r>
    </w:p>
    <w:p w14:paraId="12743710" w14:textId="77777777" w:rsidR="00601A36" w:rsidRDefault="00601A36" w:rsidP="00601A36">
      <w:pPr>
        <w:divId w:val="1847091836"/>
      </w:pPr>
      <w:r>
        <w:t xml:space="preserve">Males and females made up 49% and 51%, respectively, of both notifications and hospitalisations. Females made up </w:t>
      </w:r>
      <w:proofErr w:type="gramStart"/>
      <w:r>
        <w:t>the majority of</w:t>
      </w:r>
      <w:proofErr w:type="gramEnd"/>
      <w:r>
        <w:t xml:space="preserve"> notifications in those aged ≥ 50 years (n = 26/45; 57%), while males comprised the majority of notifications aged &lt; 50 years (n = 13/18; 72%) (Figure 3). </w:t>
      </w:r>
    </w:p>
    <w:p w14:paraId="0F712DEB" w14:textId="6FB6CD25" w:rsidR="00601A36" w:rsidRDefault="00601A36" w:rsidP="00601A36">
      <w:pPr>
        <w:divId w:val="1847091836"/>
      </w:pPr>
      <w:r>
        <w:lastRenderedPageBreak/>
        <w:t xml:space="preserve">For children aged &lt; 5 years, one notification and 1–4 hospitalisations </w:t>
      </w:r>
      <w:proofErr w:type="gramStart"/>
      <w:r>
        <w:t>were recorded</w:t>
      </w:r>
      <w:proofErr w:type="gramEnd"/>
      <w:r>
        <w:t xml:space="preserve">. The notified case </w:t>
      </w:r>
      <w:proofErr w:type="gramStart"/>
      <w:r>
        <w:t>was recorded</w:t>
      </w:r>
      <w:proofErr w:type="gramEnd"/>
      <w:r>
        <w:t xml:space="preserve"> as unvaccinated.</w:t>
      </w:r>
      <w:r w:rsidR="00D47D06">
        <w:rPr>
          <w:rStyle w:val="FootnoteReference"/>
        </w:rPr>
        <w:footnoteReference w:id="2"/>
      </w:r>
    </w:p>
    <w:p w14:paraId="02AEF5D6" w14:textId="77777777" w:rsidR="001016C9" w:rsidRDefault="001016C9" w:rsidP="001016C9">
      <w:pPr>
        <w:pStyle w:val="NormalWeb"/>
        <w:rPr>
          <w:lang w:val="en-GB"/>
        </w:rPr>
      </w:pPr>
      <w:r>
        <w:rPr>
          <w:rStyle w:val="Strong"/>
          <w:lang w:val="en-GB"/>
        </w:rPr>
        <w:t>Table 2: Tetanus notifications and principal diagnosis hospitalisations by age group, Australia, 2003–2019</w:t>
      </w:r>
    </w:p>
    <w:tbl>
      <w:tblPr>
        <w:tblStyle w:val="CDI-StandardTable"/>
        <w:tblW w:w="0" w:type="auto"/>
        <w:tblCellMar>
          <w:left w:w="142" w:type="dxa"/>
          <w:right w:w="142" w:type="dxa"/>
        </w:tblCellMar>
        <w:tblLook w:val="04A0" w:firstRow="1" w:lastRow="0" w:firstColumn="1" w:lastColumn="0" w:noHBand="0" w:noVBand="1"/>
        <w:tblDescription w:val="Table 2 shows the number and proportion of tetanus notifications and hospitalisations (principal diagnosis) by age group across the study period (2003-2019). The columns show the age groups (&lt;50 years, 50-64 years, 65-69 years and ≥70 years) and the rows show notifications and hospitalisations. The majority of notifications (n=38/63; 60%) were in the ≥70 age group, while the highest proportion of hospitalisations were in the &lt;50 year old age group (n=92/207; 44%).&#10;"/>
      </w:tblPr>
      <w:tblGrid>
        <w:gridCol w:w="2552"/>
        <w:gridCol w:w="850"/>
        <w:gridCol w:w="850"/>
        <w:gridCol w:w="710"/>
        <w:gridCol w:w="707"/>
        <w:gridCol w:w="709"/>
        <w:gridCol w:w="842"/>
        <w:gridCol w:w="904"/>
        <w:gridCol w:w="833"/>
        <w:gridCol w:w="1508"/>
      </w:tblGrid>
      <w:tr w:rsidR="001016C9" w:rsidRPr="00C76ABA" w14:paraId="7D14C7C4" w14:textId="77777777" w:rsidTr="007866B5">
        <w:trPr>
          <w:cnfStyle w:val="100000000000" w:firstRow="1" w:lastRow="0" w:firstColumn="0" w:lastColumn="0" w:oddVBand="0" w:evenVBand="0" w:oddHBand="0" w:evenHBand="0" w:firstRowFirstColumn="0" w:firstRowLastColumn="0" w:lastRowFirstColumn="0" w:lastRowLastColumn="0"/>
          <w:tblHeader/>
        </w:trPr>
        <w:tc>
          <w:tcPr>
            <w:tcW w:w="2552" w:type="dxa"/>
            <w:vMerge w:val="restart"/>
            <w:hideMark/>
          </w:tcPr>
          <w:p w14:paraId="0D19B9EF" w14:textId="77777777" w:rsidR="001016C9" w:rsidRPr="00C76ABA" w:rsidRDefault="001016C9" w:rsidP="00D90511">
            <w:pPr>
              <w:pStyle w:val="NormalWeb"/>
              <w:jc w:val="left"/>
              <w:rPr>
                <w:sz w:val="18"/>
                <w:szCs w:val="18"/>
              </w:rPr>
            </w:pPr>
            <w:r w:rsidRPr="00C76ABA">
              <w:rPr>
                <w:sz w:val="18"/>
                <w:szCs w:val="18"/>
              </w:rPr>
              <w:t>Data source</w:t>
            </w:r>
          </w:p>
        </w:tc>
        <w:tc>
          <w:tcPr>
            <w:tcW w:w="7913" w:type="dxa"/>
            <w:gridSpan w:val="9"/>
            <w:hideMark/>
          </w:tcPr>
          <w:p w14:paraId="2EFEB93B" w14:textId="77777777" w:rsidR="001016C9" w:rsidRPr="00C76ABA" w:rsidRDefault="001016C9" w:rsidP="00D90511">
            <w:pPr>
              <w:pStyle w:val="NormalWeb"/>
              <w:rPr>
                <w:sz w:val="18"/>
                <w:szCs w:val="18"/>
              </w:rPr>
            </w:pPr>
            <w:r w:rsidRPr="00C76ABA">
              <w:rPr>
                <w:sz w:val="18"/>
                <w:szCs w:val="18"/>
              </w:rPr>
              <w:t>Number and proportion of notifications and hospitalisations</w:t>
            </w:r>
          </w:p>
        </w:tc>
      </w:tr>
      <w:tr w:rsidR="001016C9" w:rsidRPr="00C76ABA" w14:paraId="0CFE834E" w14:textId="77777777" w:rsidTr="007866B5">
        <w:trPr>
          <w:cnfStyle w:val="100000000000" w:firstRow="1" w:lastRow="0" w:firstColumn="0" w:lastColumn="0" w:oddVBand="0" w:evenVBand="0" w:oddHBand="0" w:evenHBand="0" w:firstRowFirstColumn="0" w:firstRowLastColumn="0" w:lastRowFirstColumn="0" w:lastRowLastColumn="0"/>
          <w:tblHeader/>
        </w:trPr>
        <w:tc>
          <w:tcPr>
            <w:tcW w:w="2552" w:type="dxa"/>
            <w:vMerge/>
            <w:hideMark/>
          </w:tcPr>
          <w:p w14:paraId="214095C4" w14:textId="77777777" w:rsidR="001016C9" w:rsidRPr="00C76ABA" w:rsidRDefault="001016C9" w:rsidP="00D90511">
            <w:pPr>
              <w:rPr>
                <w:sz w:val="18"/>
                <w:szCs w:val="18"/>
              </w:rPr>
            </w:pPr>
          </w:p>
        </w:tc>
        <w:tc>
          <w:tcPr>
            <w:tcW w:w="1700" w:type="dxa"/>
            <w:gridSpan w:val="2"/>
            <w:hideMark/>
          </w:tcPr>
          <w:p w14:paraId="45BE3D1F" w14:textId="77777777" w:rsidR="001016C9" w:rsidRPr="00C76ABA" w:rsidRDefault="001016C9" w:rsidP="00D90511">
            <w:pPr>
              <w:pStyle w:val="NormalWeb"/>
              <w:rPr>
                <w:sz w:val="18"/>
                <w:szCs w:val="18"/>
              </w:rPr>
            </w:pPr>
            <w:r w:rsidRPr="00C76ABA">
              <w:rPr>
                <w:sz w:val="18"/>
                <w:szCs w:val="18"/>
              </w:rPr>
              <w:t>&lt; 50 years</w:t>
            </w:r>
          </w:p>
        </w:tc>
        <w:tc>
          <w:tcPr>
            <w:tcW w:w="1417" w:type="dxa"/>
            <w:gridSpan w:val="2"/>
            <w:hideMark/>
          </w:tcPr>
          <w:p w14:paraId="2E3B9B97" w14:textId="77777777" w:rsidR="001016C9" w:rsidRPr="00C76ABA" w:rsidRDefault="001016C9" w:rsidP="00D90511">
            <w:pPr>
              <w:pStyle w:val="NormalWeb"/>
              <w:rPr>
                <w:sz w:val="18"/>
                <w:szCs w:val="18"/>
              </w:rPr>
            </w:pPr>
            <w:r w:rsidRPr="00C76ABA">
              <w:rPr>
                <w:sz w:val="18"/>
                <w:szCs w:val="18"/>
              </w:rPr>
              <w:t>50–64 years</w:t>
            </w:r>
          </w:p>
        </w:tc>
        <w:tc>
          <w:tcPr>
            <w:tcW w:w="1551" w:type="dxa"/>
            <w:gridSpan w:val="2"/>
            <w:hideMark/>
          </w:tcPr>
          <w:p w14:paraId="3FCCB4B7" w14:textId="77777777" w:rsidR="001016C9" w:rsidRPr="00C76ABA" w:rsidRDefault="001016C9" w:rsidP="00D90511">
            <w:pPr>
              <w:pStyle w:val="NormalWeb"/>
              <w:rPr>
                <w:sz w:val="18"/>
                <w:szCs w:val="18"/>
              </w:rPr>
            </w:pPr>
            <w:r w:rsidRPr="00C76ABA">
              <w:rPr>
                <w:sz w:val="18"/>
                <w:szCs w:val="18"/>
              </w:rPr>
              <w:t>65–69 years</w:t>
            </w:r>
          </w:p>
        </w:tc>
        <w:tc>
          <w:tcPr>
            <w:tcW w:w="1737" w:type="dxa"/>
            <w:gridSpan w:val="2"/>
            <w:hideMark/>
          </w:tcPr>
          <w:p w14:paraId="2B3DA78C" w14:textId="77777777" w:rsidR="001016C9" w:rsidRPr="00C76ABA" w:rsidRDefault="001016C9" w:rsidP="00D90511">
            <w:pPr>
              <w:pStyle w:val="NormalWeb"/>
              <w:rPr>
                <w:sz w:val="18"/>
                <w:szCs w:val="18"/>
              </w:rPr>
            </w:pPr>
            <w:r w:rsidRPr="00C76ABA">
              <w:rPr>
                <w:sz w:val="18"/>
                <w:szCs w:val="18"/>
              </w:rPr>
              <w:t>≥ 70 years</w:t>
            </w:r>
          </w:p>
        </w:tc>
        <w:tc>
          <w:tcPr>
            <w:tcW w:w="1508" w:type="dxa"/>
            <w:hideMark/>
          </w:tcPr>
          <w:p w14:paraId="7751823E" w14:textId="77777777" w:rsidR="001016C9" w:rsidRPr="00C76ABA" w:rsidRDefault="001016C9" w:rsidP="00D90511">
            <w:pPr>
              <w:pStyle w:val="NormalWeb"/>
              <w:rPr>
                <w:sz w:val="18"/>
                <w:szCs w:val="18"/>
              </w:rPr>
            </w:pPr>
            <w:r w:rsidRPr="00C76ABA">
              <w:rPr>
                <w:sz w:val="18"/>
                <w:szCs w:val="18"/>
              </w:rPr>
              <w:t>Total</w:t>
            </w:r>
          </w:p>
        </w:tc>
      </w:tr>
      <w:tr w:rsidR="001016C9" w:rsidRPr="00C76ABA" w14:paraId="27C41435" w14:textId="77777777" w:rsidTr="00C4197E">
        <w:trPr>
          <w:cnfStyle w:val="100000000000" w:firstRow="1" w:lastRow="0" w:firstColumn="0" w:lastColumn="0" w:oddVBand="0" w:evenVBand="0" w:oddHBand="0" w:evenHBand="0" w:firstRowFirstColumn="0" w:firstRowLastColumn="0" w:lastRowFirstColumn="0" w:lastRowLastColumn="0"/>
          <w:tblHeader/>
        </w:trPr>
        <w:tc>
          <w:tcPr>
            <w:tcW w:w="2552" w:type="dxa"/>
            <w:vMerge/>
            <w:hideMark/>
          </w:tcPr>
          <w:p w14:paraId="1B0007B4" w14:textId="77777777" w:rsidR="001016C9" w:rsidRPr="00C76ABA" w:rsidRDefault="001016C9" w:rsidP="00D90511">
            <w:pPr>
              <w:rPr>
                <w:sz w:val="18"/>
                <w:szCs w:val="18"/>
              </w:rPr>
            </w:pPr>
          </w:p>
        </w:tc>
        <w:tc>
          <w:tcPr>
            <w:tcW w:w="850" w:type="dxa"/>
            <w:hideMark/>
          </w:tcPr>
          <w:p w14:paraId="6B3438FD" w14:textId="77777777" w:rsidR="001016C9" w:rsidRPr="00C76ABA" w:rsidRDefault="001016C9" w:rsidP="00D90511">
            <w:pPr>
              <w:pStyle w:val="NormalWeb"/>
              <w:rPr>
                <w:sz w:val="18"/>
                <w:szCs w:val="18"/>
              </w:rPr>
            </w:pPr>
            <w:r w:rsidRPr="00C76ABA">
              <w:rPr>
                <w:sz w:val="18"/>
                <w:szCs w:val="18"/>
              </w:rPr>
              <w:t>n</w:t>
            </w:r>
          </w:p>
        </w:tc>
        <w:tc>
          <w:tcPr>
            <w:tcW w:w="850" w:type="dxa"/>
            <w:hideMark/>
          </w:tcPr>
          <w:p w14:paraId="4D7B2F61" w14:textId="77777777" w:rsidR="001016C9" w:rsidRPr="00C76ABA" w:rsidRDefault="001016C9" w:rsidP="00D90511">
            <w:pPr>
              <w:pStyle w:val="NormalWeb"/>
              <w:rPr>
                <w:sz w:val="18"/>
                <w:szCs w:val="18"/>
              </w:rPr>
            </w:pPr>
            <w:r w:rsidRPr="00C76ABA">
              <w:rPr>
                <w:sz w:val="18"/>
                <w:szCs w:val="18"/>
              </w:rPr>
              <w:t>%</w:t>
            </w:r>
          </w:p>
        </w:tc>
        <w:tc>
          <w:tcPr>
            <w:tcW w:w="710" w:type="dxa"/>
            <w:hideMark/>
          </w:tcPr>
          <w:p w14:paraId="09D5849E" w14:textId="77777777" w:rsidR="001016C9" w:rsidRPr="00C76ABA" w:rsidRDefault="001016C9" w:rsidP="00D90511">
            <w:pPr>
              <w:pStyle w:val="NormalWeb"/>
              <w:rPr>
                <w:sz w:val="18"/>
                <w:szCs w:val="18"/>
              </w:rPr>
            </w:pPr>
            <w:r w:rsidRPr="00C76ABA">
              <w:rPr>
                <w:sz w:val="18"/>
                <w:szCs w:val="18"/>
              </w:rPr>
              <w:t>n</w:t>
            </w:r>
          </w:p>
        </w:tc>
        <w:tc>
          <w:tcPr>
            <w:tcW w:w="707" w:type="dxa"/>
            <w:hideMark/>
          </w:tcPr>
          <w:p w14:paraId="5F4D55D9" w14:textId="77777777" w:rsidR="001016C9" w:rsidRPr="00C76ABA" w:rsidRDefault="001016C9" w:rsidP="00D90511">
            <w:pPr>
              <w:pStyle w:val="NormalWeb"/>
              <w:rPr>
                <w:sz w:val="18"/>
                <w:szCs w:val="18"/>
              </w:rPr>
            </w:pPr>
            <w:r w:rsidRPr="00C76ABA">
              <w:rPr>
                <w:sz w:val="18"/>
                <w:szCs w:val="18"/>
              </w:rPr>
              <w:t>%</w:t>
            </w:r>
          </w:p>
        </w:tc>
        <w:tc>
          <w:tcPr>
            <w:tcW w:w="709" w:type="dxa"/>
            <w:hideMark/>
          </w:tcPr>
          <w:p w14:paraId="34E3455E" w14:textId="77777777" w:rsidR="001016C9" w:rsidRPr="00C76ABA" w:rsidRDefault="001016C9" w:rsidP="00D90511">
            <w:pPr>
              <w:pStyle w:val="NormalWeb"/>
              <w:rPr>
                <w:sz w:val="18"/>
                <w:szCs w:val="18"/>
              </w:rPr>
            </w:pPr>
            <w:r w:rsidRPr="00C76ABA">
              <w:rPr>
                <w:sz w:val="18"/>
                <w:szCs w:val="18"/>
              </w:rPr>
              <w:t>n</w:t>
            </w:r>
          </w:p>
        </w:tc>
        <w:tc>
          <w:tcPr>
            <w:tcW w:w="842" w:type="dxa"/>
            <w:hideMark/>
          </w:tcPr>
          <w:p w14:paraId="0DE8F155" w14:textId="77777777" w:rsidR="001016C9" w:rsidRPr="00C76ABA" w:rsidRDefault="001016C9" w:rsidP="00D90511">
            <w:pPr>
              <w:pStyle w:val="NormalWeb"/>
              <w:rPr>
                <w:sz w:val="18"/>
                <w:szCs w:val="18"/>
              </w:rPr>
            </w:pPr>
            <w:r w:rsidRPr="00C76ABA">
              <w:rPr>
                <w:sz w:val="18"/>
                <w:szCs w:val="18"/>
              </w:rPr>
              <w:t>%</w:t>
            </w:r>
          </w:p>
        </w:tc>
        <w:tc>
          <w:tcPr>
            <w:tcW w:w="904" w:type="dxa"/>
            <w:hideMark/>
          </w:tcPr>
          <w:p w14:paraId="3C7EF69D" w14:textId="77777777" w:rsidR="001016C9" w:rsidRPr="00C76ABA" w:rsidRDefault="001016C9" w:rsidP="00D90511">
            <w:pPr>
              <w:pStyle w:val="NormalWeb"/>
              <w:rPr>
                <w:sz w:val="18"/>
                <w:szCs w:val="18"/>
              </w:rPr>
            </w:pPr>
            <w:r w:rsidRPr="00C76ABA">
              <w:rPr>
                <w:sz w:val="18"/>
                <w:szCs w:val="18"/>
              </w:rPr>
              <w:t>n</w:t>
            </w:r>
          </w:p>
        </w:tc>
        <w:tc>
          <w:tcPr>
            <w:tcW w:w="833" w:type="dxa"/>
            <w:hideMark/>
          </w:tcPr>
          <w:p w14:paraId="6DC7A95E" w14:textId="77777777" w:rsidR="001016C9" w:rsidRPr="00C76ABA" w:rsidRDefault="001016C9" w:rsidP="00D90511">
            <w:pPr>
              <w:pStyle w:val="NormalWeb"/>
              <w:rPr>
                <w:sz w:val="18"/>
                <w:szCs w:val="18"/>
              </w:rPr>
            </w:pPr>
            <w:r w:rsidRPr="00C76ABA">
              <w:rPr>
                <w:sz w:val="18"/>
                <w:szCs w:val="18"/>
              </w:rPr>
              <w:t>%</w:t>
            </w:r>
          </w:p>
        </w:tc>
        <w:tc>
          <w:tcPr>
            <w:tcW w:w="1508" w:type="dxa"/>
            <w:hideMark/>
          </w:tcPr>
          <w:p w14:paraId="1FB96E2A" w14:textId="77777777" w:rsidR="001016C9" w:rsidRPr="00C76ABA" w:rsidRDefault="001016C9" w:rsidP="00D90511">
            <w:pPr>
              <w:pStyle w:val="NormalWeb"/>
              <w:rPr>
                <w:sz w:val="18"/>
                <w:szCs w:val="18"/>
              </w:rPr>
            </w:pPr>
            <w:r w:rsidRPr="00C76ABA">
              <w:rPr>
                <w:sz w:val="18"/>
                <w:szCs w:val="18"/>
              </w:rPr>
              <w:t>n</w:t>
            </w:r>
          </w:p>
        </w:tc>
      </w:tr>
      <w:tr w:rsidR="00C4197E" w:rsidRPr="00C76ABA" w14:paraId="7F86A724" w14:textId="77777777" w:rsidTr="00C4197E">
        <w:tc>
          <w:tcPr>
            <w:tcW w:w="2552" w:type="dxa"/>
            <w:hideMark/>
          </w:tcPr>
          <w:p w14:paraId="2847EBA7" w14:textId="77777777" w:rsidR="001016C9" w:rsidRPr="00C76ABA" w:rsidRDefault="001016C9" w:rsidP="00D90511">
            <w:pPr>
              <w:pStyle w:val="NormalWeb"/>
              <w:jc w:val="left"/>
              <w:rPr>
                <w:sz w:val="18"/>
                <w:szCs w:val="18"/>
              </w:rPr>
            </w:pPr>
            <w:r w:rsidRPr="00C76ABA">
              <w:rPr>
                <w:sz w:val="18"/>
                <w:szCs w:val="18"/>
              </w:rPr>
              <w:t>Notifications</w:t>
            </w:r>
          </w:p>
        </w:tc>
        <w:tc>
          <w:tcPr>
            <w:tcW w:w="850" w:type="dxa"/>
            <w:hideMark/>
          </w:tcPr>
          <w:p w14:paraId="6A283A8F" w14:textId="77777777" w:rsidR="001016C9" w:rsidRPr="00C76ABA" w:rsidRDefault="001016C9" w:rsidP="00D90511">
            <w:pPr>
              <w:pStyle w:val="NormalWeb"/>
              <w:rPr>
                <w:sz w:val="18"/>
                <w:szCs w:val="18"/>
              </w:rPr>
            </w:pPr>
            <w:r w:rsidRPr="00C76ABA">
              <w:rPr>
                <w:sz w:val="18"/>
                <w:szCs w:val="18"/>
              </w:rPr>
              <w:t>17</w:t>
            </w:r>
          </w:p>
        </w:tc>
        <w:tc>
          <w:tcPr>
            <w:tcW w:w="850" w:type="dxa"/>
            <w:hideMark/>
          </w:tcPr>
          <w:p w14:paraId="245B7870" w14:textId="77777777" w:rsidR="001016C9" w:rsidRPr="00C76ABA" w:rsidRDefault="001016C9" w:rsidP="00D90511">
            <w:pPr>
              <w:pStyle w:val="NormalWeb"/>
              <w:rPr>
                <w:sz w:val="18"/>
                <w:szCs w:val="18"/>
              </w:rPr>
            </w:pPr>
            <w:r w:rsidRPr="00C76ABA">
              <w:rPr>
                <w:sz w:val="18"/>
                <w:szCs w:val="18"/>
              </w:rPr>
              <w:t>27</w:t>
            </w:r>
          </w:p>
        </w:tc>
        <w:tc>
          <w:tcPr>
            <w:tcW w:w="710" w:type="dxa"/>
            <w:hideMark/>
          </w:tcPr>
          <w:p w14:paraId="64281729" w14:textId="77777777" w:rsidR="001016C9" w:rsidRPr="00C76ABA" w:rsidRDefault="001016C9" w:rsidP="00D90511">
            <w:pPr>
              <w:pStyle w:val="NormalWeb"/>
              <w:rPr>
                <w:sz w:val="18"/>
                <w:szCs w:val="18"/>
              </w:rPr>
            </w:pPr>
            <w:r w:rsidRPr="00C76ABA">
              <w:rPr>
                <w:sz w:val="18"/>
                <w:szCs w:val="18"/>
              </w:rPr>
              <w:t>5</w:t>
            </w:r>
          </w:p>
        </w:tc>
        <w:tc>
          <w:tcPr>
            <w:tcW w:w="707" w:type="dxa"/>
            <w:hideMark/>
          </w:tcPr>
          <w:p w14:paraId="710D5BC1" w14:textId="77777777" w:rsidR="001016C9" w:rsidRPr="00C76ABA" w:rsidRDefault="001016C9" w:rsidP="00D90511">
            <w:pPr>
              <w:pStyle w:val="NormalWeb"/>
              <w:rPr>
                <w:sz w:val="18"/>
                <w:szCs w:val="18"/>
              </w:rPr>
            </w:pPr>
            <w:r w:rsidRPr="00C76ABA">
              <w:rPr>
                <w:sz w:val="18"/>
                <w:szCs w:val="18"/>
              </w:rPr>
              <w:t>8</w:t>
            </w:r>
          </w:p>
        </w:tc>
        <w:tc>
          <w:tcPr>
            <w:tcW w:w="709" w:type="dxa"/>
            <w:hideMark/>
          </w:tcPr>
          <w:p w14:paraId="2885EF7B" w14:textId="77777777" w:rsidR="001016C9" w:rsidRPr="00C76ABA" w:rsidRDefault="001016C9" w:rsidP="00D90511">
            <w:pPr>
              <w:pStyle w:val="NormalWeb"/>
              <w:rPr>
                <w:sz w:val="18"/>
                <w:szCs w:val="18"/>
              </w:rPr>
            </w:pPr>
            <w:r w:rsidRPr="00C76ABA">
              <w:rPr>
                <w:sz w:val="18"/>
                <w:szCs w:val="18"/>
              </w:rPr>
              <w:t>3</w:t>
            </w:r>
          </w:p>
        </w:tc>
        <w:tc>
          <w:tcPr>
            <w:tcW w:w="842" w:type="dxa"/>
            <w:hideMark/>
          </w:tcPr>
          <w:p w14:paraId="3540F89B" w14:textId="77777777" w:rsidR="001016C9" w:rsidRPr="00C76ABA" w:rsidRDefault="001016C9" w:rsidP="00D90511">
            <w:pPr>
              <w:pStyle w:val="NormalWeb"/>
              <w:rPr>
                <w:sz w:val="18"/>
                <w:szCs w:val="18"/>
              </w:rPr>
            </w:pPr>
            <w:r w:rsidRPr="00C76ABA">
              <w:rPr>
                <w:sz w:val="18"/>
                <w:szCs w:val="18"/>
              </w:rPr>
              <w:t>5</w:t>
            </w:r>
          </w:p>
        </w:tc>
        <w:tc>
          <w:tcPr>
            <w:tcW w:w="904" w:type="dxa"/>
            <w:hideMark/>
          </w:tcPr>
          <w:p w14:paraId="188E319F" w14:textId="77777777" w:rsidR="001016C9" w:rsidRPr="00C76ABA" w:rsidRDefault="001016C9" w:rsidP="00D90511">
            <w:pPr>
              <w:pStyle w:val="NormalWeb"/>
              <w:rPr>
                <w:sz w:val="18"/>
                <w:szCs w:val="18"/>
              </w:rPr>
            </w:pPr>
            <w:r w:rsidRPr="00C76ABA">
              <w:rPr>
                <w:sz w:val="18"/>
                <w:szCs w:val="18"/>
              </w:rPr>
              <w:t>38</w:t>
            </w:r>
          </w:p>
        </w:tc>
        <w:tc>
          <w:tcPr>
            <w:tcW w:w="833" w:type="dxa"/>
            <w:hideMark/>
          </w:tcPr>
          <w:p w14:paraId="2212560A" w14:textId="77777777" w:rsidR="001016C9" w:rsidRPr="00C76ABA" w:rsidRDefault="001016C9" w:rsidP="00D90511">
            <w:pPr>
              <w:pStyle w:val="NormalWeb"/>
              <w:rPr>
                <w:sz w:val="18"/>
                <w:szCs w:val="18"/>
              </w:rPr>
            </w:pPr>
            <w:r w:rsidRPr="00C76ABA">
              <w:rPr>
                <w:sz w:val="18"/>
                <w:szCs w:val="18"/>
              </w:rPr>
              <w:t>60</w:t>
            </w:r>
          </w:p>
        </w:tc>
        <w:tc>
          <w:tcPr>
            <w:tcW w:w="1508" w:type="dxa"/>
            <w:hideMark/>
          </w:tcPr>
          <w:p w14:paraId="347B76BB" w14:textId="77777777" w:rsidR="001016C9" w:rsidRPr="00C76ABA" w:rsidRDefault="001016C9" w:rsidP="00D90511">
            <w:pPr>
              <w:pStyle w:val="NormalWeb"/>
              <w:rPr>
                <w:sz w:val="18"/>
                <w:szCs w:val="18"/>
              </w:rPr>
            </w:pPr>
            <w:r w:rsidRPr="00C76ABA">
              <w:rPr>
                <w:sz w:val="18"/>
                <w:szCs w:val="18"/>
              </w:rPr>
              <w:t>63</w:t>
            </w:r>
          </w:p>
        </w:tc>
      </w:tr>
      <w:tr w:rsidR="001016C9" w:rsidRPr="00C76ABA" w14:paraId="4161DEBB" w14:textId="77777777" w:rsidTr="00C4197E">
        <w:trPr>
          <w:cnfStyle w:val="000000010000" w:firstRow="0" w:lastRow="0" w:firstColumn="0" w:lastColumn="0" w:oddVBand="0" w:evenVBand="0" w:oddHBand="0" w:evenHBand="1" w:firstRowFirstColumn="0" w:firstRowLastColumn="0" w:lastRowFirstColumn="0" w:lastRowLastColumn="0"/>
        </w:trPr>
        <w:tc>
          <w:tcPr>
            <w:tcW w:w="2552" w:type="dxa"/>
            <w:hideMark/>
          </w:tcPr>
          <w:p w14:paraId="6BC70DA8" w14:textId="77777777" w:rsidR="001016C9" w:rsidRPr="00C76ABA" w:rsidRDefault="001016C9" w:rsidP="00D90511">
            <w:pPr>
              <w:pStyle w:val="NormalWeb"/>
              <w:jc w:val="left"/>
              <w:rPr>
                <w:sz w:val="18"/>
                <w:szCs w:val="18"/>
              </w:rPr>
            </w:pPr>
            <w:r w:rsidRPr="00C76ABA">
              <w:rPr>
                <w:sz w:val="18"/>
                <w:szCs w:val="18"/>
              </w:rPr>
              <w:t>Hospitalisations</w:t>
            </w:r>
          </w:p>
        </w:tc>
        <w:tc>
          <w:tcPr>
            <w:tcW w:w="850" w:type="dxa"/>
            <w:hideMark/>
          </w:tcPr>
          <w:p w14:paraId="4E63D05B" w14:textId="77777777" w:rsidR="001016C9" w:rsidRPr="00C76ABA" w:rsidRDefault="001016C9" w:rsidP="00D90511">
            <w:pPr>
              <w:pStyle w:val="NormalWeb"/>
              <w:rPr>
                <w:sz w:val="18"/>
                <w:szCs w:val="18"/>
              </w:rPr>
            </w:pPr>
            <w:r w:rsidRPr="00C76ABA">
              <w:rPr>
                <w:sz w:val="18"/>
                <w:szCs w:val="18"/>
              </w:rPr>
              <w:t>92</w:t>
            </w:r>
          </w:p>
        </w:tc>
        <w:tc>
          <w:tcPr>
            <w:tcW w:w="850" w:type="dxa"/>
            <w:hideMark/>
          </w:tcPr>
          <w:p w14:paraId="663D034E" w14:textId="77777777" w:rsidR="001016C9" w:rsidRPr="00C76ABA" w:rsidRDefault="001016C9" w:rsidP="00D90511">
            <w:pPr>
              <w:pStyle w:val="NormalWeb"/>
              <w:rPr>
                <w:sz w:val="18"/>
                <w:szCs w:val="18"/>
              </w:rPr>
            </w:pPr>
            <w:r w:rsidRPr="00C76ABA">
              <w:rPr>
                <w:sz w:val="18"/>
                <w:szCs w:val="18"/>
              </w:rPr>
              <w:t>44</w:t>
            </w:r>
          </w:p>
        </w:tc>
        <w:tc>
          <w:tcPr>
            <w:tcW w:w="710" w:type="dxa"/>
            <w:hideMark/>
          </w:tcPr>
          <w:p w14:paraId="4DB4B5C8" w14:textId="77777777" w:rsidR="001016C9" w:rsidRPr="00C76ABA" w:rsidRDefault="001016C9" w:rsidP="00D90511">
            <w:pPr>
              <w:pStyle w:val="NormalWeb"/>
              <w:rPr>
                <w:sz w:val="18"/>
                <w:szCs w:val="18"/>
              </w:rPr>
            </w:pPr>
            <w:r w:rsidRPr="00C76ABA">
              <w:rPr>
                <w:sz w:val="18"/>
                <w:szCs w:val="18"/>
              </w:rPr>
              <w:t>23</w:t>
            </w:r>
          </w:p>
        </w:tc>
        <w:tc>
          <w:tcPr>
            <w:tcW w:w="707" w:type="dxa"/>
            <w:hideMark/>
          </w:tcPr>
          <w:p w14:paraId="28AE8975" w14:textId="77777777" w:rsidR="001016C9" w:rsidRPr="00C76ABA" w:rsidRDefault="001016C9" w:rsidP="00D90511">
            <w:pPr>
              <w:pStyle w:val="NormalWeb"/>
              <w:rPr>
                <w:sz w:val="18"/>
                <w:szCs w:val="18"/>
              </w:rPr>
            </w:pPr>
            <w:r w:rsidRPr="00C76ABA">
              <w:rPr>
                <w:sz w:val="18"/>
                <w:szCs w:val="18"/>
              </w:rPr>
              <w:t>11</w:t>
            </w:r>
          </w:p>
        </w:tc>
        <w:tc>
          <w:tcPr>
            <w:tcW w:w="709" w:type="dxa"/>
            <w:hideMark/>
          </w:tcPr>
          <w:p w14:paraId="4ADC1223" w14:textId="77777777" w:rsidR="001016C9" w:rsidRPr="00C76ABA" w:rsidRDefault="001016C9" w:rsidP="00D90511">
            <w:pPr>
              <w:pStyle w:val="NormalWeb"/>
              <w:rPr>
                <w:sz w:val="18"/>
                <w:szCs w:val="18"/>
              </w:rPr>
            </w:pPr>
            <w:r w:rsidRPr="00C76ABA">
              <w:rPr>
                <w:sz w:val="18"/>
                <w:szCs w:val="18"/>
              </w:rPr>
              <w:t>8</w:t>
            </w:r>
          </w:p>
        </w:tc>
        <w:tc>
          <w:tcPr>
            <w:tcW w:w="842" w:type="dxa"/>
            <w:hideMark/>
          </w:tcPr>
          <w:p w14:paraId="77B0B13D" w14:textId="77777777" w:rsidR="001016C9" w:rsidRPr="00C76ABA" w:rsidRDefault="001016C9" w:rsidP="00D90511">
            <w:pPr>
              <w:pStyle w:val="NormalWeb"/>
              <w:rPr>
                <w:sz w:val="18"/>
                <w:szCs w:val="18"/>
              </w:rPr>
            </w:pPr>
            <w:r w:rsidRPr="00C76ABA">
              <w:rPr>
                <w:sz w:val="18"/>
                <w:szCs w:val="18"/>
              </w:rPr>
              <w:t>4</w:t>
            </w:r>
          </w:p>
        </w:tc>
        <w:tc>
          <w:tcPr>
            <w:tcW w:w="904" w:type="dxa"/>
            <w:hideMark/>
          </w:tcPr>
          <w:p w14:paraId="508C59E9" w14:textId="77777777" w:rsidR="001016C9" w:rsidRPr="00C76ABA" w:rsidRDefault="001016C9" w:rsidP="00D90511">
            <w:pPr>
              <w:pStyle w:val="NormalWeb"/>
              <w:rPr>
                <w:sz w:val="18"/>
                <w:szCs w:val="18"/>
              </w:rPr>
            </w:pPr>
            <w:r w:rsidRPr="00C76ABA">
              <w:rPr>
                <w:sz w:val="18"/>
                <w:szCs w:val="18"/>
              </w:rPr>
              <w:t>84</w:t>
            </w:r>
          </w:p>
        </w:tc>
        <w:tc>
          <w:tcPr>
            <w:tcW w:w="833" w:type="dxa"/>
            <w:hideMark/>
          </w:tcPr>
          <w:p w14:paraId="33621716" w14:textId="77777777" w:rsidR="001016C9" w:rsidRPr="00C76ABA" w:rsidRDefault="001016C9" w:rsidP="00D90511">
            <w:pPr>
              <w:pStyle w:val="NormalWeb"/>
              <w:rPr>
                <w:sz w:val="18"/>
                <w:szCs w:val="18"/>
              </w:rPr>
            </w:pPr>
            <w:r w:rsidRPr="00C76ABA">
              <w:rPr>
                <w:sz w:val="18"/>
                <w:szCs w:val="18"/>
              </w:rPr>
              <w:t>41</w:t>
            </w:r>
          </w:p>
        </w:tc>
        <w:tc>
          <w:tcPr>
            <w:tcW w:w="1508" w:type="dxa"/>
            <w:hideMark/>
          </w:tcPr>
          <w:p w14:paraId="551C7FDB" w14:textId="77777777" w:rsidR="001016C9" w:rsidRPr="00C76ABA" w:rsidRDefault="001016C9" w:rsidP="00D90511">
            <w:pPr>
              <w:pStyle w:val="NormalWeb"/>
              <w:rPr>
                <w:sz w:val="18"/>
                <w:szCs w:val="18"/>
              </w:rPr>
            </w:pPr>
            <w:r w:rsidRPr="00C76ABA">
              <w:rPr>
                <w:sz w:val="18"/>
                <w:szCs w:val="18"/>
              </w:rPr>
              <w:t>207</w:t>
            </w:r>
          </w:p>
        </w:tc>
      </w:tr>
    </w:tbl>
    <w:p w14:paraId="62AA9488" w14:textId="77777777" w:rsidR="001016C9" w:rsidRPr="00493E55" w:rsidRDefault="001016C9" w:rsidP="001016C9">
      <w:pPr>
        <w:pStyle w:val="CDIFigures"/>
      </w:pPr>
      <w:r w:rsidRPr="00493E55">
        <w:rPr>
          <w:rStyle w:val="Strong"/>
          <w:b/>
          <w:bCs w:val="0"/>
        </w:rPr>
        <w:t xml:space="preserve">Table 3: Tetanus notification rate per 100,000 and incidence rate ratio by age group, pre and post recommendation of a </w:t>
      </w:r>
      <w:proofErr w:type="spellStart"/>
      <w:r w:rsidRPr="00493E55">
        <w:rPr>
          <w:rStyle w:val="Strong"/>
          <w:b/>
          <w:bCs w:val="0"/>
        </w:rPr>
        <w:t>dTpa</w:t>
      </w:r>
      <w:proofErr w:type="spellEnd"/>
      <w:r w:rsidRPr="00493E55">
        <w:rPr>
          <w:rStyle w:val="Strong"/>
          <w:b/>
          <w:bCs w:val="0"/>
        </w:rPr>
        <w:t xml:space="preserve"> booster for adults aged ≥ 65 years</w:t>
      </w:r>
    </w:p>
    <w:tbl>
      <w:tblPr>
        <w:tblStyle w:val="CDI-StandardTable"/>
        <w:tblW w:w="0" w:type="auto"/>
        <w:tblLook w:val="04A0" w:firstRow="1" w:lastRow="0" w:firstColumn="1" w:lastColumn="0" w:noHBand="0" w:noVBand="1"/>
        <w:tblDescription w:val="Table 3 shows tetanus notification rates per 100,000 and incidence rate ratios (IRR) by age group, pre and post the recommendation of a dTpa booster for adults ≥65 years in 2013. The columns show the notification rates in the two periods (2003-2012 and 2013-2019) and the IRR with 95% confidence intervals (CIs). The rows show age groups (≥65 years, &lt;65 years and all ages). The table shows a significant decrease in notification rates for those ≥65 years between the two periods, and an insignificant increase in those &lt;65 years. The rates in the overall population remained the same across the two periods (0.02 per 100,000 population).&#10;"/>
      </w:tblPr>
      <w:tblGrid>
        <w:gridCol w:w="2610"/>
        <w:gridCol w:w="2610"/>
        <w:gridCol w:w="2610"/>
        <w:gridCol w:w="2610"/>
      </w:tblGrid>
      <w:tr w:rsidR="001016C9" w:rsidRPr="00493E55" w14:paraId="58BCB1E1" w14:textId="77777777" w:rsidTr="00D90511">
        <w:trPr>
          <w:cnfStyle w:val="100000000000" w:firstRow="1" w:lastRow="0" w:firstColumn="0" w:lastColumn="0" w:oddVBand="0" w:evenVBand="0" w:oddHBand="0" w:evenHBand="0" w:firstRowFirstColumn="0" w:firstRowLastColumn="0" w:lastRowFirstColumn="0" w:lastRowLastColumn="0"/>
        </w:trPr>
        <w:tc>
          <w:tcPr>
            <w:tcW w:w="2610" w:type="dxa"/>
            <w:hideMark/>
          </w:tcPr>
          <w:p w14:paraId="45111520" w14:textId="77777777" w:rsidR="001016C9" w:rsidRPr="00493E55" w:rsidRDefault="001016C9" w:rsidP="00D90511">
            <w:pPr>
              <w:pStyle w:val="NormalWeb"/>
              <w:rPr>
                <w:sz w:val="18"/>
                <w:szCs w:val="18"/>
              </w:rPr>
            </w:pPr>
            <w:r w:rsidRPr="00493E55">
              <w:rPr>
                <w:sz w:val="18"/>
                <w:szCs w:val="18"/>
              </w:rPr>
              <w:t>Age group (years)</w:t>
            </w:r>
          </w:p>
        </w:tc>
        <w:tc>
          <w:tcPr>
            <w:tcW w:w="2610" w:type="dxa"/>
            <w:hideMark/>
          </w:tcPr>
          <w:p w14:paraId="3B643FCC" w14:textId="77777777" w:rsidR="001016C9" w:rsidRPr="00493E55" w:rsidRDefault="001016C9" w:rsidP="00D90511">
            <w:pPr>
              <w:pStyle w:val="NormalWeb"/>
              <w:rPr>
                <w:sz w:val="18"/>
                <w:szCs w:val="18"/>
              </w:rPr>
            </w:pPr>
            <w:r w:rsidRPr="00493E55">
              <w:rPr>
                <w:sz w:val="18"/>
                <w:szCs w:val="18"/>
              </w:rPr>
              <w:t>2003–2012</w:t>
            </w:r>
            <w:r w:rsidRPr="00493E55">
              <w:rPr>
                <w:sz w:val="18"/>
                <w:szCs w:val="18"/>
              </w:rPr>
              <w:br/>
              <w:t>(per 100,000 population per year)</w:t>
            </w:r>
          </w:p>
        </w:tc>
        <w:tc>
          <w:tcPr>
            <w:tcW w:w="2610" w:type="dxa"/>
            <w:hideMark/>
          </w:tcPr>
          <w:p w14:paraId="0FF0406A" w14:textId="77777777" w:rsidR="001016C9" w:rsidRPr="00493E55" w:rsidRDefault="001016C9" w:rsidP="00D90511">
            <w:pPr>
              <w:pStyle w:val="NormalWeb"/>
              <w:rPr>
                <w:sz w:val="18"/>
                <w:szCs w:val="18"/>
              </w:rPr>
            </w:pPr>
            <w:r w:rsidRPr="00493E55">
              <w:rPr>
                <w:sz w:val="18"/>
                <w:szCs w:val="18"/>
              </w:rPr>
              <w:t>2013–2019</w:t>
            </w:r>
            <w:r w:rsidRPr="00493E55">
              <w:rPr>
                <w:sz w:val="18"/>
                <w:szCs w:val="18"/>
              </w:rPr>
              <w:br/>
              <w:t>(per 100,000 population per year)</w:t>
            </w:r>
          </w:p>
        </w:tc>
        <w:tc>
          <w:tcPr>
            <w:tcW w:w="2610" w:type="dxa"/>
            <w:hideMark/>
          </w:tcPr>
          <w:p w14:paraId="0EE3EB0B" w14:textId="77777777" w:rsidR="001016C9" w:rsidRPr="00493E55" w:rsidRDefault="001016C9" w:rsidP="00D90511">
            <w:pPr>
              <w:pStyle w:val="NormalWeb"/>
              <w:rPr>
                <w:sz w:val="18"/>
                <w:szCs w:val="18"/>
              </w:rPr>
            </w:pPr>
            <w:r w:rsidRPr="00493E55">
              <w:rPr>
                <w:sz w:val="18"/>
                <w:szCs w:val="18"/>
              </w:rPr>
              <w:t xml:space="preserve">IRR (95% </w:t>
            </w:r>
            <w:proofErr w:type="gramStart"/>
            <w:r w:rsidRPr="00493E55">
              <w:rPr>
                <w:sz w:val="18"/>
                <w:szCs w:val="18"/>
              </w:rPr>
              <w:t>CI)</w:t>
            </w:r>
            <w:r w:rsidRPr="00970468">
              <w:rPr>
                <w:sz w:val="18"/>
                <w:szCs w:val="18"/>
                <w:vertAlign w:val="superscript"/>
              </w:rPr>
              <w:t>a</w:t>
            </w:r>
            <w:proofErr w:type="gramEnd"/>
          </w:p>
        </w:tc>
      </w:tr>
      <w:tr w:rsidR="001016C9" w:rsidRPr="00493E55" w14:paraId="53A29942" w14:textId="77777777" w:rsidTr="00D90511">
        <w:tc>
          <w:tcPr>
            <w:tcW w:w="2610" w:type="dxa"/>
            <w:hideMark/>
          </w:tcPr>
          <w:p w14:paraId="5A00D702" w14:textId="77777777" w:rsidR="001016C9" w:rsidRPr="00493E55" w:rsidRDefault="001016C9" w:rsidP="00D90511">
            <w:pPr>
              <w:pStyle w:val="NormalWeb"/>
              <w:rPr>
                <w:sz w:val="18"/>
                <w:szCs w:val="18"/>
              </w:rPr>
            </w:pPr>
            <w:r w:rsidRPr="00493E55">
              <w:rPr>
                <w:sz w:val="18"/>
                <w:szCs w:val="18"/>
              </w:rPr>
              <w:t>≥ 65</w:t>
            </w:r>
          </w:p>
        </w:tc>
        <w:tc>
          <w:tcPr>
            <w:tcW w:w="2610" w:type="dxa"/>
            <w:hideMark/>
          </w:tcPr>
          <w:p w14:paraId="6D45527F" w14:textId="77777777" w:rsidR="001016C9" w:rsidRPr="00493E55" w:rsidRDefault="001016C9" w:rsidP="00D90511">
            <w:pPr>
              <w:pStyle w:val="NormalWeb"/>
              <w:rPr>
                <w:sz w:val="18"/>
                <w:szCs w:val="18"/>
              </w:rPr>
            </w:pPr>
            <w:r w:rsidRPr="00493E55">
              <w:rPr>
                <w:sz w:val="18"/>
                <w:szCs w:val="18"/>
              </w:rPr>
              <w:t>0.11</w:t>
            </w:r>
          </w:p>
        </w:tc>
        <w:tc>
          <w:tcPr>
            <w:tcW w:w="2610" w:type="dxa"/>
            <w:hideMark/>
          </w:tcPr>
          <w:p w14:paraId="177ACC1F" w14:textId="77777777" w:rsidR="001016C9" w:rsidRPr="00493E55" w:rsidRDefault="001016C9" w:rsidP="00D90511">
            <w:pPr>
              <w:pStyle w:val="NormalWeb"/>
              <w:rPr>
                <w:sz w:val="18"/>
                <w:szCs w:val="18"/>
              </w:rPr>
            </w:pPr>
            <w:r w:rsidRPr="00493E55">
              <w:rPr>
                <w:sz w:val="18"/>
                <w:szCs w:val="18"/>
              </w:rPr>
              <w:t>0.05</w:t>
            </w:r>
          </w:p>
        </w:tc>
        <w:tc>
          <w:tcPr>
            <w:tcW w:w="2610" w:type="dxa"/>
            <w:hideMark/>
          </w:tcPr>
          <w:p w14:paraId="5CF59003" w14:textId="77777777" w:rsidR="001016C9" w:rsidRPr="00493E55" w:rsidRDefault="001016C9" w:rsidP="00D90511">
            <w:pPr>
              <w:pStyle w:val="NormalWeb"/>
              <w:rPr>
                <w:sz w:val="18"/>
                <w:szCs w:val="18"/>
              </w:rPr>
            </w:pPr>
            <w:r w:rsidRPr="00493E55">
              <w:rPr>
                <w:sz w:val="18"/>
                <w:szCs w:val="18"/>
              </w:rPr>
              <w:t>0.47 (0.25–0.91)</w:t>
            </w:r>
          </w:p>
        </w:tc>
      </w:tr>
      <w:tr w:rsidR="001016C9" w:rsidRPr="00493E55" w14:paraId="725736EC" w14:textId="77777777" w:rsidTr="00D90511">
        <w:trPr>
          <w:cnfStyle w:val="000000010000" w:firstRow="0" w:lastRow="0" w:firstColumn="0" w:lastColumn="0" w:oddVBand="0" w:evenVBand="0" w:oddHBand="0" w:evenHBand="1" w:firstRowFirstColumn="0" w:firstRowLastColumn="0" w:lastRowFirstColumn="0" w:lastRowLastColumn="0"/>
        </w:trPr>
        <w:tc>
          <w:tcPr>
            <w:tcW w:w="2610" w:type="dxa"/>
            <w:hideMark/>
          </w:tcPr>
          <w:p w14:paraId="1FDE4E79" w14:textId="77777777" w:rsidR="001016C9" w:rsidRPr="00493E55" w:rsidRDefault="001016C9" w:rsidP="00D90511">
            <w:pPr>
              <w:pStyle w:val="NormalWeb"/>
              <w:rPr>
                <w:sz w:val="18"/>
                <w:szCs w:val="18"/>
              </w:rPr>
            </w:pPr>
            <w:r w:rsidRPr="00493E55">
              <w:rPr>
                <w:sz w:val="18"/>
                <w:szCs w:val="18"/>
              </w:rPr>
              <w:t>&lt; 65</w:t>
            </w:r>
          </w:p>
        </w:tc>
        <w:tc>
          <w:tcPr>
            <w:tcW w:w="2610" w:type="dxa"/>
            <w:hideMark/>
          </w:tcPr>
          <w:p w14:paraId="2E75351A" w14:textId="77777777" w:rsidR="001016C9" w:rsidRPr="00493E55" w:rsidRDefault="001016C9" w:rsidP="00D90511">
            <w:pPr>
              <w:pStyle w:val="NormalWeb"/>
              <w:rPr>
                <w:sz w:val="18"/>
                <w:szCs w:val="18"/>
              </w:rPr>
            </w:pPr>
            <w:r w:rsidRPr="00493E55">
              <w:rPr>
                <w:sz w:val="18"/>
                <w:szCs w:val="18"/>
              </w:rPr>
              <w:t>0.004</w:t>
            </w:r>
          </w:p>
        </w:tc>
        <w:tc>
          <w:tcPr>
            <w:tcW w:w="2610" w:type="dxa"/>
            <w:hideMark/>
          </w:tcPr>
          <w:p w14:paraId="6182E250" w14:textId="77777777" w:rsidR="001016C9" w:rsidRPr="00493E55" w:rsidRDefault="001016C9" w:rsidP="00D90511">
            <w:pPr>
              <w:pStyle w:val="NormalWeb"/>
              <w:rPr>
                <w:sz w:val="18"/>
                <w:szCs w:val="18"/>
              </w:rPr>
            </w:pPr>
            <w:r w:rsidRPr="00493E55">
              <w:rPr>
                <w:sz w:val="18"/>
                <w:szCs w:val="18"/>
              </w:rPr>
              <w:t>0.009</w:t>
            </w:r>
          </w:p>
        </w:tc>
        <w:tc>
          <w:tcPr>
            <w:tcW w:w="2610" w:type="dxa"/>
            <w:hideMark/>
          </w:tcPr>
          <w:p w14:paraId="7530F5EB" w14:textId="77777777" w:rsidR="001016C9" w:rsidRPr="00493E55" w:rsidRDefault="001016C9" w:rsidP="00D90511">
            <w:pPr>
              <w:pStyle w:val="NormalWeb"/>
              <w:rPr>
                <w:sz w:val="18"/>
                <w:szCs w:val="18"/>
              </w:rPr>
            </w:pPr>
            <w:r w:rsidRPr="00493E55">
              <w:rPr>
                <w:sz w:val="18"/>
                <w:szCs w:val="18"/>
              </w:rPr>
              <w:t>2.36 (0.94–5.93)</w:t>
            </w:r>
          </w:p>
        </w:tc>
      </w:tr>
      <w:tr w:rsidR="001016C9" w:rsidRPr="00970468" w14:paraId="5DB4B0B9" w14:textId="77777777" w:rsidTr="00D90511">
        <w:tc>
          <w:tcPr>
            <w:tcW w:w="2610" w:type="dxa"/>
            <w:shd w:val="clear" w:color="auto" w:fill="F7ECDD"/>
            <w:hideMark/>
          </w:tcPr>
          <w:p w14:paraId="16E2F3FF" w14:textId="77777777" w:rsidR="001016C9" w:rsidRPr="00970468" w:rsidRDefault="001016C9" w:rsidP="00D90511">
            <w:pPr>
              <w:pStyle w:val="NormalWeb"/>
              <w:rPr>
                <w:b/>
                <w:bCs/>
                <w:sz w:val="18"/>
                <w:szCs w:val="18"/>
              </w:rPr>
            </w:pPr>
            <w:r w:rsidRPr="00970468">
              <w:rPr>
                <w:b/>
                <w:bCs/>
                <w:sz w:val="18"/>
                <w:szCs w:val="18"/>
              </w:rPr>
              <w:t>All ages</w:t>
            </w:r>
          </w:p>
        </w:tc>
        <w:tc>
          <w:tcPr>
            <w:tcW w:w="2610" w:type="dxa"/>
            <w:shd w:val="clear" w:color="auto" w:fill="F7ECDD"/>
            <w:hideMark/>
          </w:tcPr>
          <w:p w14:paraId="1BB745A5" w14:textId="77777777" w:rsidR="001016C9" w:rsidRPr="00970468" w:rsidRDefault="001016C9" w:rsidP="00D90511">
            <w:pPr>
              <w:pStyle w:val="NormalWeb"/>
              <w:rPr>
                <w:b/>
                <w:bCs/>
                <w:sz w:val="18"/>
                <w:szCs w:val="18"/>
              </w:rPr>
            </w:pPr>
            <w:r w:rsidRPr="00970468">
              <w:rPr>
                <w:b/>
                <w:bCs/>
                <w:sz w:val="18"/>
                <w:szCs w:val="18"/>
              </w:rPr>
              <w:t>0.02</w:t>
            </w:r>
          </w:p>
        </w:tc>
        <w:tc>
          <w:tcPr>
            <w:tcW w:w="2610" w:type="dxa"/>
            <w:shd w:val="clear" w:color="auto" w:fill="F7ECDD"/>
            <w:hideMark/>
          </w:tcPr>
          <w:p w14:paraId="60F793C5" w14:textId="77777777" w:rsidR="001016C9" w:rsidRPr="00970468" w:rsidRDefault="001016C9" w:rsidP="00D90511">
            <w:pPr>
              <w:pStyle w:val="NormalWeb"/>
              <w:rPr>
                <w:b/>
                <w:bCs/>
                <w:sz w:val="18"/>
                <w:szCs w:val="18"/>
              </w:rPr>
            </w:pPr>
            <w:r w:rsidRPr="00970468">
              <w:rPr>
                <w:b/>
                <w:bCs/>
                <w:sz w:val="18"/>
                <w:szCs w:val="18"/>
              </w:rPr>
              <w:t>0.02</w:t>
            </w:r>
          </w:p>
        </w:tc>
        <w:tc>
          <w:tcPr>
            <w:tcW w:w="2610" w:type="dxa"/>
            <w:shd w:val="clear" w:color="auto" w:fill="F7ECDD"/>
            <w:hideMark/>
          </w:tcPr>
          <w:p w14:paraId="14ECDBB0" w14:textId="77777777" w:rsidR="001016C9" w:rsidRPr="00970468" w:rsidRDefault="001016C9" w:rsidP="00D90511">
            <w:pPr>
              <w:pStyle w:val="NormalWeb"/>
              <w:rPr>
                <w:b/>
                <w:bCs/>
                <w:sz w:val="18"/>
                <w:szCs w:val="18"/>
              </w:rPr>
            </w:pPr>
            <w:r w:rsidRPr="00970468">
              <w:rPr>
                <w:b/>
                <w:bCs/>
                <w:sz w:val="18"/>
                <w:szCs w:val="18"/>
              </w:rPr>
              <w:t>0.88 (0.53–1.45)</w:t>
            </w:r>
          </w:p>
        </w:tc>
      </w:tr>
    </w:tbl>
    <w:p w14:paraId="77EC957A" w14:textId="77777777" w:rsidR="001016C9" w:rsidRDefault="001016C9" w:rsidP="001016C9">
      <w:pPr>
        <w:pStyle w:val="CDIfootnotes"/>
        <w:rPr>
          <w:lang w:val="en-GB"/>
        </w:rPr>
      </w:pPr>
      <w:proofErr w:type="gramStart"/>
      <w:r>
        <w:rPr>
          <w:lang w:val="en-GB"/>
        </w:rPr>
        <w:t>a</w:t>
      </w:r>
      <w:proofErr w:type="gramEnd"/>
      <w:r>
        <w:rPr>
          <w:lang w:val="en-GB"/>
        </w:rPr>
        <w:tab/>
        <w:t>IRR: incidence rate ratio; 95% CI: 95% confidence interval.</w:t>
      </w:r>
    </w:p>
    <w:p w14:paraId="4A2F5537" w14:textId="77777777" w:rsidR="001016C9" w:rsidRPr="00D43570" w:rsidRDefault="001016C9" w:rsidP="001016C9">
      <w:pPr>
        <w:pStyle w:val="CDIFigures"/>
      </w:pPr>
      <w:r w:rsidRPr="00D43570">
        <w:rPr>
          <w:rStyle w:val="Strong"/>
          <w:b/>
          <w:bCs w:val="0"/>
        </w:rPr>
        <w:t xml:space="preserve">Table 4: Tetanus principal diagnosis hospitalisation rate per 100,000 and incidence rate ratio by age group, pre and post recommendation of a </w:t>
      </w:r>
      <w:proofErr w:type="spellStart"/>
      <w:r w:rsidRPr="00D43570">
        <w:rPr>
          <w:rStyle w:val="Strong"/>
          <w:b/>
          <w:bCs w:val="0"/>
        </w:rPr>
        <w:t>dTpa</w:t>
      </w:r>
      <w:proofErr w:type="spellEnd"/>
      <w:r w:rsidRPr="00D43570">
        <w:rPr>
          <w:rStyle w:val="Strong"/>
          <w:b/>
          <w:bCs w:val="0"/>
        </w:rPr>
        <w:t xml:space="preserve"> booster for adults aged ≥ 65 years</w:t>
      </w:r>
      <w:r w:rsidRPr="00D43570">
        <w:t xml:space="preserve"> </w:t>
      </w:r>
    </w:p>
    <w:tbl>
      <w:tblPr>
        <w:tblStyle w:val="CDI-StandardTable"/>
        <w:tblW w:w="0" w:type="auto"/>
        <w:tblLook w:val="04A0" w:firstRow="1" w:lastRow="0" w:firstColumn="1" w:lastColumn="0" w:noHBand="0" w:noVBand="1"/>
        <w:tblDescription w:val="Table 4 shows tetanus hospitalisation rates per 100,000 and incidence rate ratios (IRR) by age group, pre and post the recommendation of a dTpa booster for adults ≥65 years in 2013. The columns show the hospitalisation rates in the two periods (2003-2012 and 2013-2019) and the IRR with 95% confidence intervals (CIs). The rows show age groups (≥65 years, &lt;65 years and all ages). The table shows a significant decrease in hospitalisation rates for those ≥65 years between the two periods, and an insignificant increase in those &lt;65 years. The rates in the overall population remained similar across the two periods (0.06 and 0.05 per 100,000 population).&#10;"/>
      </w:tblPr>
      <w:tblGrid>
        <w:gridCol w:w="2610"/>
        <w:gridCol w:w="2610"/>
        <w:gridCol w:w="2610"/>
        <w:gridCol w:w="2610"/>
      </w:tblGrid>
      <w:tr w:rsidR="001016C9" w:rsidRPr="00D43570" w14:paraId="77923A69" w14:textId="77777777" w:rsidTr="00D90511">
        <w:trPr>
          <w:cnfStyle w:val="100000000000" w:firstRow="1" w:lastRow="0" w:firstColumn="0" w:lastColumn="0" w:oddVBand="0" w:evenVBand="0" w:oddHBand="0" w:evenHBand="0" w:firstRowFirstColumn="0" w:firstRowLastColumn="0" w:lastRowFirstColumn="0" w:lastRowLastColumn="0"/>
        </w:trPr>
        <w:tc>
          <w:tcPr>
            <w:tcW w:w="2610" w:type="dxa"/>
            <w:hideMark/>
          </w:tcPr>
          <w:p w14:paraId="14E50E67" w14:textId="77777777" w:rsidR="001016C9" w:rsidRPr="00D43570" w:rsidRDefault="001016C9" w:rsidP="00D90511">
            <w:pPr>
              <w:pStyle w:val="NormalWeb"/>
              <w:rPr>
                <w:sz w:val="18"/>
                <w:szCs w:val="18"/>
              </w:rPr>
            </w:pPr>
            <w:r w:rsidRPr="00D43570">
              <w:rPr>
                <w:sz w:val="18"/>
                <w:szCs w:val="18"/>
              </w:rPr>
              <w:t>Age group (years)</w:t>
            </w:r>
          </w:p>
        </w:tc>
        <w:tc>
          <w:tcPr>
            <w:tcW w:w="2610" w:type="dxa"/>
            <w:hideMark/>
          </w:tcPr>
          <w:p w14:paraId="32663CB7" w14:textId="77777777" w:rsidR="001016C9" w:rsidRPr="00D43570" w:rsidRDefault="001016C9" w:rsidP="00D90511">
            <w:pPr>
              <w:pStyle w:val="NormalWeb"/>
              <w:rPr>
                <w:sz w:val="18"/>
                <w:szCs w:val="18"/>
              </w:rPr>
            </w:pPr>
            <w:r w:rsidRPr="00D43570">
              <w:rPr>
                <w:sz w:val="18"/>
                <w:szCs w:val="18"/>
              </w:rPr>
              <w:t>2003–2012</w:t>
            </w:r>
            <w:r w:rsidRPr="00D43570">
              <w:rPr>
                <w:sz w:val="18"/>
                <w:szCs w:val="18"/>
              </w:rPr>
              <w:br/>
              <w:t>(per 100,000 population per year)</w:t>
            </w:r>
          </w:p>
        </w:tc>
        <w:tc>
          <w:tcPr>
            <w:tcW w:w="2610" w:type="dxa"/>
            <w:hideMark/>
          </w:tcPr>
          <w:p w14:paraId="17341445" w14:textId="77777777" w:rsidR="001016C9" w:rsidRPr="00D43570" w:rsidRDefault="001016C9" w:rsidP="00D90511">
            <w:pPr>
              <w:pStyle w:val="NormalWeb"/>
              <w:rPr>
                <w:sz w:val="18"/>
                <w:szCs w:val="18"/>
              </w:rPr>
            </w:pPr>
            <w:r w:rsidRPr="00D43570">
              <w:rPr>
                <w:sz w:val="18"/>
                <w:szCs w:val="18"/>
              </w:rPr>
              <w:t>2013–2019</w:t>
            </w:r>
            <w:r w:rsidRPr="00D43570">
              <w:rPr>
                <w:sz w:val="18"/>
                <w:szCs w:val="18"/>
              </w:rPr>
              <w:br/>
              <w:t>(per 100,000 population per year)</w:t>
            </w:r>
          </w:p>
        </w:tc>
        <w:tc>
          <w:tcPr>
            <w:tcW w:w="2610" w:type="dxa"/>
            <w:hideMark/>
          </w:tcPr>
          <w:p w14:paraId="43FA6219" w14:textId="77777777" w:rsidR="001016C9" w:rsidRPr="00D43570" w:rsidRDefault="001016C9" w:rsidP="00D90511">
            <w:pPr>
              <w:pStyle w:val="NormalWeb"/>
              <w:rPr>
                <w:sz w:val="18"/>
                <w:szCs w:val="18"/>
              </w:rPr>
            </w:pPr>
            <w:r w:rsidRPr="00D43570">
              <w:rPr>
                <w:sz w:val="18"/>
                <w:szCs w:val="18"/>
              </w:rPr>
              <w:t xml:space="preserve">IRR (95% </w:t>
            </w:r>
            <w:proofErr w:type="gramStart"/>
            <w:r w:rsidRPr="00D43570">
              <w:rPr>
                <w:sz w:val="18"/>
                <w:szCs w:val="18"/>
              </w:rPr>
              <w:t>CI)</w:t>
            </w:r>
            <w:r w:rsidRPr="00D43570">
              <w:rPr>
                <w:sz w:val="18"/>
                <w:szCs w:val="18"/>
                <w:vertAlign w:val="superscript"/>
              </w:rPr>
              <w:t>a</w:t>
            </w:r>
            <w:proofErr w:type="gramEnd"/>
          </w:p>
        </w:tc>
      </w:tr>
      <w:tr w:rsidR="001016C9" w:rsidRPr="00D43570" w14:paraId="440D2C8A" w14:textId="77777777" w:rsidTr="00D90511">
        <w:tc>
          <w:tcPr>
            <w:tcW w:w="2610" w:type="dxa"/>
            <w:hideMark/>
          </w:tcPr>
          <w:p w14:paraId="3FD7CC79" w14:textId="77777777" w:rsidR="001016C9" w:rsidRPr="00D43570" w:rsidRDefault="001016C9" w:rsidP="00D90511">
            <w:pPr>
              <w:pStyle w:val="NormalWeb"/>
              <w:rPr>
                <w:sz w:val="18"/>
                <w:szCs w:val="18"/>
              </w:rPr>
            </w:pPr>
            <w:r w:rsidRPr="00D43570">
              <w:rPr>
                <w:sz w:val="18"/>
                <w:szCs w:val="18"/>
              </w:rPr>
              <w:t>≥ 65</w:t>
            </w:r>
          </w:p>
        </w:tc>
        <w:tc>
          <w:tcPr>
            <w:tcW w:w="2610" w:type="dxa"/>
            <w:hideMark/>
          </w:tcPr>
          <w:p w14:paraId="54CC2163" w14:textId="77777777" w:rsidR="001016C9" w:rsidRPr="00D43570" w:rsidRDefault="001016C9" w:rsidP="00D90511">
            <w:pPr>
              <w:pStyle w:val="NormalWeb"/>
              <w:rPr>
                <w:sz w:val="18"/>
                <w:szCs w:val="18"/>
              </w:rPr>
            </w:pPr>
            <w:r w:rsidRPr="00D43570">
              <w:rPr>
                <w:sz w:val="18"/>
                <w:szCs w:val="18"/>
              </w:rPr>
              <w:t>0.24</w:t>
            </w:r>
          </w:p>
        </w:tc>
        <w:tc>
          <w:tcPr>
            <w:tcW w:w="2610" w:type="dxa"/>
            <w:hideMark/>
          </w:tcPr>
          <w:p w14:paraId="3629AE3A" w14:textId="77777777" w:rsidR="001016C9" w:rsidRPr="00D43570" w:rsidRDefault="001016C9" w:rsidP="00D90511">
            <w:pPr>
              <w:pStyle w:val="NormalWeb"/>
              <w:rPr>
                <w:sz w:val="18"/>
                <w:szCs w:val="18"/>
              </w:rPr>
            </w:pPr>
            <w:r w:rsidRPr="00D43570">
              <w:rPr>
                <w:sz w:val="18"/>
                <w:szCs w:val="18"/>
              </w:rPr>
              <w:t>0.10</w:t>
            </w:r>
          </w:p>
        </w:tc>
        <w:tc>
          <w:tcPr>
            <w:tcW w:w="2610" w:type="dxa"/>
            <w:hideMark/>
          </w:tcPr>
          <w:p w14:paraId="780DCA0C" w14:textId="77777777" w:rsidR="001016C9" w:rsidRPr="00D43570" w:rsidRDefault="001016C9" w:rsidP="00D90511">
            <w:pPr>
              <w:pStyle w:val="NormalWeb"/>
              <w:rPr>
                <w:sz w:val="18"/>
                <w:szCs w:val="18"/>
              </w:rPr>
            </w:pPr>
            <w:r w:rsidRPr="00D43570">
              <w:rPr>
                <w:sz w:val="18"/>
                <w:szCs w:val="18"/>
              </w:rPr>
              <w:t>0.43 (0.27–0.68)</w:t>
            </w:r>
          </w:p>
        </w:tc>
      </w:tr>
      <w:tr w:rsidR="001016C9" w:rsidRPr="00D43570" w14:paraId="1EDBA1B7" w14:textId="77777777" w:rsidTr="00D90511">
        <w:trPr>
          <w:cnfStyle w:val="000000010000" w:firstRow="0" w:lastRow="0" w:firstColumn="0" w:lastColumn="0" w:oddVBand="0" w:evenVBand="0" w:oddHBand="0" w:evenHBand="1" w:firstRowFirstColumn="0" w:firstRowLastColumn="0" w:lastRowFirstColumn="0" w:lastRowLastColumn="0"/>
        </w:trPr>
        <w:tc>
          <w:tcPr>
            <w:tcW w:w="2610" w:type="dxa"/>
            <w:hideMark/>
          </w:tcPr>
          <w:p w14:paraId="48727F7A" w14:textId="77777777" w:rsidR="001016C9" w:rsidRPr="00D43570" w:rsidRDefault="001016C9" w:rsidP="00D90511">
            <w:pPr>
              <w:pStyle w:val="NormalWeb"/>
              <w:rPr>
                <w:sz w:val="18"/>
                <w:szCs w:val="18"/>
              </w:rPr>
            </w:pPr>
            <w:r w:rsidRPr="00D43570">
              <w:rPr>
                <w:sz w:val="18"/>
                <w:szCs w:val="18"/>
              </w:rPr>
              <w:t>&lt; 65</w:t>
            </w:r>
          </w:p>
        </w:tc>
        <w:tc>
          <w:tcPr>
            <w:tcW w:w="2610" w:type="dxa"/>
            <w:hideMark/>
          </w:tcPr>
          <w:p w14:paraId="6B9140E3" w14:textId="77777777" w:rsidR="001016C9" w:rsidRPr="00D43570" w:rsidRDefault="001016C9" w:rsidP="00D90511">
            <w:pPr>
              <w:pStyle w:val="NormalWeb"/>
              <w:rPr>
                <w:sz w:val="18"/>
                <w:szCs w:val="18"/>
              </w:rPr>
            </w:pPr>
            <w:r w:rsidRPr="00D43570">
              <w:rPr>
                <w:sz w:val="18"/>
                <w:szCs w:val="18"/>
              </w:rPr>
              <w:t>0.03</w:t>
            </w:r>
          </w:p>
        </w:tc>
        <w:tc>
          <w:tcPr>
            <w:tcW w:w="2610" w:type="dxa"/>
            <w:hideMark/>
          </w:tcPr>
          <w:p w14:paraId="3E732EF0" w14:textId="77777777" w:rsidR="001016C9" w:rsidRPr="00D43570" w:rsidRDefault="001016C9" w:rsidP="00D90511">
            <w:pPr>
              <w:pStyle w:val="NormalWeb"/>
              <w:rPr>
                <w:sz w:val="18"/>
                <w:szCs w:val="18"/>
              </w:rPr>
            </w:pPr>
            <w:r w:rsidRPr="00D43570">
              <w:rPr>
                <w:sz w:val="18"/>
                <w:szCs w:val="18"/>
              </w:rPr>
              <w:t>0.04</w:t>
            </w:r>
          </w:p>
        </w:tc>
        <w:tc>
          <w:tcPr>
            <w:tcW w:w="2610" w:type="dxa"/>
            <w:hideMark/>
          </w:tcPr>
          <w:p w14:paraId="63DC8B5F" w14:textId="77777777" w:rsidR="001016C9" w:rsidRPr="00D43570" w:rsidRDefault="001016C9" w:rsidP="00D90511">
            <w:pPr>
              <w:pStyle w:val="NormalWeb"/>
              <w:rPr>
                <w:sz w:val="18"/>
                <w:szCs w:val="18"/>
              </w:rPr>
            </w:pPr>
            <w:r w:rsidRPr="00D43570">
              <w:rPr>
                <w:sz w:val="18"/>
                <w:szCs w:val="18"/>
              </w:rPr>
              <w:t>1.13 (0.78–1.63)</w:t>
            </w:r>
          </w:p>
        </w:tc>
      </w:tr>
      <w:tr w:rsidR="001016C9" w:rsidRPr="00D43570" w14:paraId="13F8249E" w14:textId="77777777" w:rsidTr="00D90511">
        <w:tc>
          <w:tcPr>
            <w:tcW w:w="2610" w:type="dxa"/>
            <w:shd w:val="clear" w:color="auto" w:fill="F7ECDD"/>
            <w:hideMark/>
          </w:tcPr>
          <w:p w14:paraId="6AD7BA07" w14:textId="77777777" w:rsidR="001016C9" w:rsidRPr="00D43570" w:rsidRDefault="001016C9" w:rsidP="00D90511">
            <w:pPr>
              <w:pStyle w:val="NormalWeb"/>
              <w:rPr>
                <w:b/>
                <w:bCs/>
                <w:sz w:val="18"/>
                <w:szCs w:val="18"/>
              </w:rPr>
            </w:pPr>
            <w:r w:rsidRPr="00D43570">
              <w:rPr>
                <w:b/>
                <w:bCs/>
                <w:sz w:val="18"/>
                <w:szCs w:val="18"/>
              </w:rPr>
              <w:t>All ages</w:t>
            </w:r>
          </w:p>
        </w:tc>
        <w:tc>
          <w:tcPr>
            <w:tcW w:w="2610" w:type="dxa"/>
            <w:shd w:val="clear" w:color="auto" w:fill="F7ECDD"/>
            <w:hideMark/>
          </w:tcPr>
          <w:p w14:paraId="7108827F" w14:textId="77777777" w:rsidR="001016C9" w:rsidRPr="00D43570" w:rsidRDefault="001016C9" w:rsidP="00D90511">
            <w:pPr>
              <w:pStyle w:val="NormalWeb"/>
              <w:rPr>
                <w:b/>
                <w:bCs/>
                <w:sz w:val="18"/>
                <w:szCs w:val="18"/>
              </w:rPr>
            </w:pPr>
            <w:r w:rsidRPr="00D43570">
              <w:rPr>
                <w:b/>
                <w:bCs/>
                <w:sz w:val="18"/>
                <w:szCs w:val="18"/>
              </w:rPr>
              <w:t>0.06</w:t>
            </w:r>
          </w:p>
        </w:tc>
        <w:tc>
          <w:tcPr>
            <w:tcW w:w="2610" w:type="dxa"/>
            <w:shd w:val="clear" w:color="auto" w:fill="F7ECDD"/>
            <w:hideMark/>
          </w:tcPr>
          <w:p w14:paraId="6E8327F6" w14:textId="77777777" w:rsidR="001016C9" w:rsidRPr="00D43570" w:rsidRDefault="001016C9" w:rsidP="00D90511">
            <w:pPr>
              <w:pStyle w:val="NormalWeb"/>
              <w:rPr>
                <w:b/>
                <w:bCs/>
                <w:sz w:val="18"/>
                <w:szCs w:val="18"/>
              </w:rPr>
            </w:pPr>
            <w:r w:rsidRPr="00D43570">
              <w:rPr>
                <w:b/>
                <w:bCs/>
                <w:sz w:val="18"/>
                <w:szCs w:val="18"/>
              </w:rPr>
              <w:t>0.05</w:t>
            </w:r>
          </w:p>
        </w:tc>
        <w:tc>
          <w:tcPr>
            <w:tcW w:w="2610" w:type="dxa"/>
            <w:shd w:val="clear" w:color="auto" w:fill="F7ECDD"/>
            <w:hideMark/>
          </w:tcPr>
          <w:p w14:paraId="38A102E0" w14:textId="77777777" w:rsidR="001016C9" w:rsidRPr="00D43570" w:rsidRDefault="001016C9" w:rsidP="00D90511">
            <w:pPr>
              <w:pStyle w:val="NormalWeb"/>
              <w:rPr>
                <w:b/>
                <w:bCs/>
                <w:sz w:val="18"/>
                <w:szCs w:val="18"/>
              </w:rPr>
            </w:pPr>
            <w:r w:rsidRPr="00D43570">
              <w:rPr>
                <w:b/>
                <w:bCs/>
                <w:sz w:val="18"/>
                <w:szCs w:val="18"/>
              </w:rPr>
              <w:t>0.78 (0.59–1.04)</w:t>
            </w:r>
          </w:p>
        </w:tc>
      </w:tr>
    </w:tbl>
    <w:p w14:paraId="31A181B0" w14:textId="77777777" w:rsidR="001016C9" w:rsidRDefault="001016C9" w:rsidP="001016C9">
      <w:pPr>
        <w:pStyle w:val="CDIfootnotes"/>
        <w:rPr>
          <w:lang w:val="en-GB"/>
        </w:rPr>
      </w:pPr>
      <w:proofErr w:type="gramStart"/>
      <w:r>
        <w:rPr>
          <w:lang w:val="en-GB"/>
        </w:rPr>
        <w:t>a</w:t>
      </w:r>
      <w:proofErr w:type="gramEnd"/>
      <w:r>
        <w:rPr>
          <w:lang w:val="en-GB"/>
        </w:rPr>
        <w:tab/>
        <w:t>IRR: incidence rate ratio; 95% CI: 95% confidence interval.</w:t>
      </w:r>
    </w:p>
    <w:p w14:paraId="1CA27B9E" w14:textId="77777777" w:rsidR="00AF5290" w:rsidRDefault="00AF5290">
      <w:pPr>
        <w:rPr>
          <w:rStyle w:val="Strong"/>
          <w:lang w:val="en-GB"/>
        </w:rPr>
      </w:pPr>
      <w:r>
        <w:rPr>
          <w:rStyle w:val="Strong"/>
          <w:lang w:val="en-GB"/>
        </w:rPr>
        <w:br w:type="page"/>
      </w:r>
    </w:p>
    <w:p w14:paraId="030C905F" w14:textId="281DDC8B" w:rsidR="00AF5290" w:rsidRDefault="00AF5290" w:rsidP="00AF5290">
      <w:pPr>
        <w:pStyle w:val="NormalWeb"/>
        <w:divId w:val="1847091836"/>
        <w:rPr>
          <w:lang w:val="en-GB"/>
        </w:rPr>
      </w:pPr>
      <w:r>
        <w:rPr>
          <w:rStyle w:val="Strong"/>
          <w:lang w:val="en-GB"/>
        </w:rPr>
        <w:lastRenderedPageBreak/>
        <w:t>Figure 3: Average annual rates, of (a) notification and (b) principal diagnosis hospitalisation, by age group and sex, Australia, 2003–2019</w:t>
      </w:r>
    </w:p>
    <w:p w14:paraId="140B4D8D" w14:textId="77777777" w:rsidR="00AF5290" w:rsidRDefault="00AF5290" w:rsidP="00332C0A">
      <w:pPr>
        <w:pStyle w:val="CDIFigures"/>
        <w:divId w:val="1847091836"/>
        <w:rPr>
          <w:lang w:val="en-GB"/>
        </w:rPr>
      </w:pPr>
      <w:r>
        <w:rPr>
          <w:lang w:val="en-GB"/>
        </w:rPr>
        <w:t xml:space="preserve">a. Notification rates by age group and </w:t>
      </w:r>
      <w:proofErr w:type="spellStart"/>
      <w:r>
        <w:rPr>
          <w:lang w:val="en-GB"/>
        </w:rPr>
        <w:t>sex</w:t>
      </w:r>
      <w:r w:rsidRPr="009612B1">
        <w:rPr>
          <w:vertAlign w:val="superscript"/>
          <w:lang w:val="en-GB"/>
        </w:rPr>
        <w:t>a</w:t>
      </w:r>
      <w:proofErr w:type="spellEnd"/>
    </w:p>
    <w:p w14:paraId="10AAE72E" w14:textId="28045E86" w:rsidR="00AF5290" w:rsidRDefault="005D44A3" w:rsidP="00332C0A">
      <w:pPr>
        <w:jc w:val="center"/>
        <w:divId w:val="1847091836"/>
        <w:rPr>
          <w:rFonts w:eastAsia="Times New Roman"/>
          <w:lang w:val="en-GB"/>
        </w:rPr>
      </w:pPr>
      <w:r>
        <w:rPr>
          <w:rFonts w:eastAsia="Times New Roman"/>
          <w:noProof/>
          <w:lang w:val="en-GB"/>
        </w:rPr>
        <w:drawing>
          <wp:inline distT="0" distB="0" distL="0" distR="0" wp14:anchorId="21A46DEB" wp14:editId="1DB85818">
            <wp:extent cx="5506720" cy="3596005"/>
            <wp:effectExtent l="0" t="0" r="0" b="4445"/>
            <wp:docPr id="7" name="Picture 7" descr="Figure 3a is a clustered column graph with a secondary axis line graph showing the average annual notification rate of tetanus by age group and sex during the study period (2003-2019). The x axis shows age groups (0-9 years, 10-29 years, 30-49 years, 50-64 years and 65+ years) containing two bars each demonstrating the rate by sex in each age group. The primary Y axis shows the notification rate per 100,000 population with a scale from 0.00 to 0.08 per 100,000. The secondary Y axis shows the cumulative proportion of total notifications (0 to 100%) which is accompanied by a line graph over each age group. The figure shows that the highest notification rate for both sexes is in the 65+ age group, and the other age groups have similar rates of disease. The difference between sexes is minimal in each age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gure 3a is a clustered column graph with a secondary axis line graph showing the average annual notification rate of tetanus by age group and sex during the study period (2003-2019). The x axis shows age groups (0-9 years, 10-29 years, 30-49 years, 50-64 years and 65+ years) containing two bars each demonstrating the rate by sex in each age group. The primary Y axis shows the notification rate per 100,000 population with a scale from 0.00 to 0.08 per 100,000. The secondary Y axis shows the cumulative proportion of total notifications (0 to 100%) which is accompanied by a line graph over each age group. The figure shows that the highest notification rate for both sexes is in the 65+ age group, and the other age groups have similar rates of disease. The difference between sexes is minimal in each age grou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06720" cy="3596005"/>
                    </a:xfrm>
                    <a:prstGeom prst="rect">
                      <a:avLst/>
                    </a:prstGeom>
                    <a:noFill/>
                    <a:ln>
                      <a:noFill/>
                    </a:ln>
                  </pic:spPr>
                </pic:pic>
              </a:graphicData>
            </a:graphic>
          </wp:inline>
        </w:drawing>
      </w:r>
    </w:p>
    <w:p w14:paraId="077388BC" w14:textId="77777777" w:rsidR="00AF5290" w:rsidRDefault="00AF5290" w:rsidP="00AF5290">
      <w:pPr>
        <w:pStyle w:val="CDIfootnotes"/>
        <w:divId w:val="1847091836"/>
        <w:rPr>
          <w:lang w:val="en-GB"/>
        </w:rPr>
      </w:pPr>
      <w:r>
        <w:rPr>
          <w:lang w:val="en-GB"/>
        </w:rPr>
        <w:t>a</w:t>
      </w:r>
      <w:r>
        <w:rPr>
          <w:lang w:val="en-GB"/>
        </w:rPr>
        <w:tab/>
        <w:t>F: female; M: male.</w:t>
      </w:r>
    </w:p>
    <w:p w14:paraId="4F7628EB" w14:textId="3EBD30F7" w:rsidR="00AF5290" w:rsidRPr="00AF5290" w:rsidRDefault="00AF5290" w:rsidP="00242AEF">
      <w:pPr>
        <w:pStyle w:val="CDIFigures"/>
        <w:divId w:val="1847091836"/>
        <w:rPr>
          <w:lang w:val="en-GB"/>
        </w:rPr>
      </w:pPr>
      <w:r>
        <w:rPr>
          <w:lang w:val="en-GB"/>
        </w:rPr>
        <w:t>b</w:t>
      </w:r>
      <w:r w:rsidR="00242AEF">
        <w:rPr>
          <w:lang w:val="en-GB"/>
        </w:rPr>
        <w:t xml:space="preserve">. </w:t>
      </w:r>
      <w:r>
        <w:rPr>
          <w:lang w:val="en-GB"/>
        </w:rPr>
        <w:t xml:space="preserve">Principal diagnosis hospitalisations by age group and </w:t>
      </w:r>
      <w:proofErr w:type="spellStart"/>
      <w:r>
        <w:rPr>
          <w:lang w:val="en-GB"/>
        </w:rPr>
        <w:t>sex</w:t>
      </w:r>
      <w:r w:rsidRPr="00660ED3">
        <w:rPr>
          <w:vertAlign w:val="superscript"/>
          <w:lang w:val="en-GB"/>
        </w:rPr>
        <w:t>a</w:t>
      </w:r>
      <w:proofErr w:type="spellEnd"/>
    </w:p>
    <w:p w14:paraId="2C8C3B51" w14:textId="5F6A05BA" w:rsidR="00AF5290" w:rsidRDefault="00872936" w:rsidP="00332C0A">
      <w:pPr>
        <w:pStyle w:val="Heading2"/>
        <w:jc w:val="center"/>
        <w:divId w:val="1847091836"/>
      </w:pPr>
      <w:r>
        <w:rPr>
          <w:rFonts w:eastAsia="Times New Roman"/>
          <w:noProof/>
          <w:lang w:val="en-GB"/>
        </w:rPr>
        <w:drawing>
          <wp:inline distT="0" distB="0" distL="0" distR="0" wp14:anchorId="781C32DC" wp14:editId="72186F9D">
            <wp:extent cx="5506720" cy="3596005"/>
            <wp:effectExtent l="0" t="0" r="0" b="4445"/>
            <wp:docPr id="8" name="Picture 8" descr="Figure 3b is a clustered column graph with a secondary axis line graph showing the average annual hospitalisation (principal diagnosis) rate of tetanus by age group and sex during the study period (2003-2019). The x axis shows age groups (0-9 years, 10-29 years, 30-49 years, 50-64 years and 65+ years) containing two bars each demonstrating the rate by sex in each age group. The primary Y axis shows the hospitalisation rate per 100,000 population with a scale from 0.00 to 0.20 per 100,000. The secondary Y axis shows the cumulative proportion of total hospitalisations (0 to 100%) which is accompanied by a line graph over each age group. The figure shows that the highest hospitalisation rate for both sexes is in the 65+ age group, the 0-9 age group has a very low hospitalisation rate and the 10-64 year old groups have similar rates of hospitalisation for tetanus. The difference between sexes is minimal but is largest in the 50-64 year old age group where females have a higher hospitalisation rate for tetanus than m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3b is a clustered column graph with a secondary axis line graph showing the average annual hospitalisation (principal diagnosis) rate of tetanus by age group and sex during the study period (2003-2019). The x axis shows age groups (0-9 years, 10-29 years, 30-49 years, 50-64 years and 65+ years) containing two bars each demonstrating the rate by sex in each age group. The primary Y axis shows the hospitalisation rate per 100,000 population with a scale from 0.00 to 0.20 per 100,000. The secondary Y axis shows the cumulative proportion of total hospitalisations (0 to 100%) which is accompanied by a line graph over each age group. The figure shows that the highest hospitalisation rate for both sexes is in the 65+ age group, the 0-9 age group has a very low hospitalisation rate and the 10-64 year old groups have similar rates of hospitalisation for tetanus. The difference between sexes is minimal but is largest in the 50-64 year old age group where females have a higher hospitalisation rate for tetanus than mal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06720" cy="3596005"/>
                    </a:xfrm>
                    <a:prstGeom prst="rect">
                      <a:avLst/>
                    </a:prstGeom>
                    <a:noFill/>
                    <a:ln>
                      <a:noFill/>
                    </a:ln>
                  </pic:spPr>
                </pic:pic>
              </a:graphicData>
            </a:graphic>
          </wp:inline>
        </w:drawing>
      </w:r>
    </w:p>
    <w:p w14:paraId="2FA45B67" w14:textId="3588CEE6" w:rsidR="00AF5290" w:rsidRPr="009E2A01" w:rsidRDefault="009E2A01" w:rsidP="009E2A01">
      <w:pPr>
        <w:pStyle w:val="CDIfootnotes"/>
        <w:divId w:val="1847091836"/>
      </w:pPr>
      <w:r w:rsidRPr="009E2A01">
        <w:lastRenderedPageBreak/>
        <w:t>a F: female; M: male.</w:t>
      </w:r>
    </w:p>
    <w:p w14:paraId="03FB4054" w14:textId="1ACC6DFE" w:rsidR="00601A36" w:rsidRPr="00601A36" w:rsidRDefault="00601A36" w:rsidP="00601A36">
      <w:pPr>
        <w:pStyle w:val="Heading2"/>
        <w:divId w:val="1847091836"/>
      </w:pPr>
      <w:r w:rsidRPr="00601A36">
        <w:t xml:space="preserve">Notifications and hospitalisations by Indigenous status </w:t>
      </w:r>
    </w:p>
    <w:p w14:paraId="58DF9395" w14:textId="77777777" w:rsidR="00601A36" w:rsidRDefault="00601A36" w:rsidP="00601A36">
      <w:pPr>
        <w:divId w:val="1847091836"/>
      </w:pPr>
      <w:r>
        <w:t xml:space="preserve">There were no recorded notifications in Aboriginal and Torres Strait Islander people between 2003 and 2019. Six hospitalisations </w:t>
      </w:r>
      <w:proofErr w:type="gramStart"/>
      <w:r>
        <w:t>were recorded</w:t>
      </w:r>
      <w:proofErr w:type="gramEnd"/>
      <w:r>
        <w:t xml:space="preserve"> in Aboriginal and Torres Strait Islander people over the same period. </w:t>
      </w:r>
    </w:p>
    <w:p w14:paraId="142D9665" w14:textId="77777777" w:rsidR="00601A36" w:rsidRPr="00601A36" w:rsidRDefault="00601A36" w:rsidP="00601A36">
      <w:pPr>
        <w:pStyle w:val="Heading2"/>
        <w:divId w:val="1847091836"/>
      </w:pPr>
      <w:r w:rsidRPr="00601A36">
        <w:t xml:space="preserve">Severe morbidity and mortality </w:t>
      </w:r>
    </w:p>
    <w:p w14:paraId="33EF5D4F" w14:textId="1FDB04CD" w:rsidR="00601A36" w:rsidRDefault="00601A36" w:rsidP="00601A36">
      <w:pPr>
        <w:divId w:val="1847091836"/>
      </w:pPr>
      <w:r>
        <w:t>We were unable to calculate median length of stay in any meaningful manner due to the 30</w:t>
      </w:r>
      <w:r w:rsidR="00242AEF">
        <w:t>-</w:t>
      </w:r>
      <w:r>
        <w:t xml:space="preserve">day length-of-stay hospitalisation cap. There were </w:t>
      </w:r>
      <w:proofErr w:type="gramStart"/>
      <w:r>
        <w:t>17</w:t>
      </w:r>
      <w:proofErr w:type="gramEnd"/>
      <w:r>
        <w:t xml:space="preserve"> hospitalisations with tetanus as the principal diagnosis that had stays of at least 30 days. </w:t>
      </w:r>
    </w:p>
    <w:p w14:paraId="00DB7785" w14:textId="77777777" w:rsidR="00601A36" w:rsidRDefault="00601A36" w:rsidP="00601A36">
      <w:pPr>
        <w:divId w:val="1847091836"/>
      </w:pPr>
      <w:r>
        <w:t xml:space="preserve">During 2003–2019, eight tetanus notifications in NNDSS data </w:t>
      </w:r>
      <w:proofErr w:type="gramStart"/>
      <w:r>
        <w:t>were recorded</w:t>
      </w:r>
      <w:proofErr w:type="gramEnd"/>
      <w:r>
        <w:t xml:space="preserve"> as having died from the disease, resulting in a case fatality rate of 13% (8/63) and a mean annual death rate of 0.002 per 100,000 population. All those who died were aged 75 years or older. </w:t>
      </w:r>
    </w:p>
    <w:p w14:paraId="7E84D84B" w14:textId="77777777" w:rsidR="00601A36" w:rsidRDefault="00601A36" w:rsidP="00601A36">
      <w:pPr>
        <w:divId w:val="1847091836"/>
      </w:pPr>
      <w:r>
        <w:t xml:space="preserve">Between 2007 and 2019 there were 11 deaths with tetanus recorded as the underlying cause in ACR-provided death data, all aged ≥ 75 years. </w:t>
      </w:r>
    </w:p>
    <w:p w14:paraId="496AB12E" w14:textId="77777777" w:rsidR="00601A36" w:rsidRDefault="00601A36" w:rsidP="00601A36">
      <w:pPr>
        <w:divId w:val="1847091836"/>
      </w:pPr>
      <w:r>
        <w:t xml:space="preserve">AIHW hospitalisation data from 2003–2019 recorded ten deaths with tetanus as the primary/underlying cause, all in adults aged ≥ 75 years. </w:t>
      </w:r>
    </w:p>
    <w:p w14:paraId="1D1C015D" w14:textId="77777777" w:rsidR="00601A36" w:rsidRPr="00601A36" w:rsidRDefault="00601A36" w:rsidP="00601A36">
      <w:pPr>
        <w:pStyle w:val="Heading2"/>
        <w:divId w:val="1847091836"/>
      </w:pPr>
      <w:r w:rsidRPr="00601A36">
        <w:t xml:space="preserve">Notifications, </w:t>
      </w:r>
      <w:proofErr w:type="gramStart"/>
      <w:r w:rsidRPr="00601A36">
        <w:t>hospitalisations</w:t>
      </w:r>
      <w:proofErr w:type="gramEnd"/>
      <w:r w:rsidRPr="00601A36">
        <w:t xml:space="preserve"> and deaths pre and post recommendation of booster vaccination </w:t>
      </w:r>
    </w:p>
    <w:p w14:paraId="566D037B" w14:textId="77777777" w:rsidR="00601A36" w:rsidRDefault="00601A36" w:rsidP="00601A36">
      <w:pPr>
        <w:divId w:val="1847091836"/>
      </w:pPr>
      <w:r>
        <w:t xml:space="preserve">Between the 2003–2012 and 2013–2019 periods there were significant decreases in rates among adults aged ≥ 65 years, in both the average annual tetanus notification rate (from 0.11 to 0.05 per 100,000 population per year; </w:t>
      </w:r>
      <w:r w:rsidRPr="00B14006">
        <w:rPr>
          <w:rStyle w:val="Emphasis"/>
          <w:b w:val="0"/>
          <w:bCs w:val="0"/>
        </w:rPr>
        <w:t>p</w:t>
      </w:r>
      <w:r>
        <w:t xml:space="preserve"> = 0.01) and the hospitalisation (principal diagnosis) rate (from 0.24 to 0.10 per 100,000 population per year; </w:t>
      </w:r>
      <w:r w:rsidRPr="00B14006">
        <w:rPr>
          <w:rStyle w:val="Emphasis"/>
          <w:b w:val="0"/>
          <w:bCs w:val="0"/>
        </w:rPr>
        <w:t>p</w:t>
      </w:r>
      <w:r>
        <w:t xml:space="preserve"> = 0.01) (Table 3, Table 4). While there was an increase in the notification and hospitalisation rate in people aged &lt; 65 years across the two periods, this was not statistically significant. </w:t>
      </w:r>
    </w:p>
    <w:p w14:paraId="2F2B7674" w14:textId="77777777" w:rsidR="00601A36" w:rsidRDefault="00601A36" w:rsidP="00601A36">
      <w:pPr>
        <w:divId w:val="1847091836"/>
      </w:pPr>
      <w:r>
        <w:t xml:space="preserve">Of the eight tetanus deaths reported among NNDSS notifications during the study period, five occurred between 2003–2012 and three occurred between 2013–2019. The mean annual death rate was the same in both periods (0.002 per 100,000 population per year). </w:t>
      </w:r>
    </w:p>
    <w:p w14:paraId="316C01C7" w14:textId="77777777" w:rsidR="00601A36" w:rsidRPr="00601A36" w:rsidRDefault="00601A36" w:rsidP="00601A36">
      <w:pPr>
        <w:pStyle w:val="Heading2"/>
        <w:divId w:val="1847091836"/>
      </w:pPr>
      <w:r w:rsidRPr="00601A36">
        <w:t xml:space="preserve">Vaccination status </w:t>
      </w:r>
    </w:p>
    <w:p w14:paraId="178D0DA1" w14:textId="77777777" w:rsidR="00601A36" w:rsidRDefault="00601A36" w:rsidP="00601A36">
      <w:pPr>
        <w:divId w:val="1847091836"/>
      </w:pPr>
      <w:r>
        <w:t xml:space="preserve">The vaccination status of notified tetanus cases </w:t>
      </w:r>
      <w:proofErr w:type="gramStart"/>
      <w:r>
        <w:t>was recorded</w:t>
      </w:r>
      <w:proofErr w:type="gramEnd"/>
      <w:r>
        <w:t xml:space="preserve"> for 70% of notifications (44/63). Only 25% (11/44) had proof of prior vaccination, with only one person </w:t>
      </w:r>
      <w:proofErr w:type="gramStart"/>
      <w:r>
        <w:t>having</w:t>
      </w:r>
      <w:proofErr w:type="gramEnd"/>
      <w:r>
        <w:t xml:space="preserve"> proof of the full five-dose childhood vaccination schedule, and one additional person having proof of a three-dose childhood vaccination schedule. No case had documented evidence of tetanus vaccination within the ten years prior to contracting tetanus. One case recorded as having died had one dose of vaccine recorded, which </w:t>
      </w:r>
      <w:proofErr w:type="gramStart"/>
      <w:r>
        <w:t>was administered</w:t>
      </w:r>
      <w:proofErr w:type="gramEnd"/>
      <w:r>
        <w:t xml:space="preserve"> over 50 years prior to disease. </w:t>
      </w:r>
    </w:p>
    <w:p w14:paraId="1950A744" w14:textId="77777777" w:rsidR="00601A36" w:rsidRPr="00601A36" w:rsidRDefault="00601A36" w:rsidP="00601A36">
      <w:pPr>
        <w:pStyle w:val="Heading1"/>
        <w:divId w:val="1847091836"/>
      </w:pPr>
      <w:r w:rsidRPr="00601A36">
        <w:t xml:space="preserve">Discussion </w:t>
      </w:r>
    </w:p>
    <w:p w14:paraId="462DA402" w14:textId="77777777" w:rsidR="00601A36" w:rsidRDefault="00601A36" w:rsidP="00601A36">
      <w:pPr>
        <w:divId w:val="1847091836"/>
      </w:pPr>
      <w:r>
        <w:t>Tetanus is rare in Australia, with an average annual notification rate over the 2003–2019 period of 0.02 per 100,000 population, and an average annual hospitalisation rate of 0.05 per 100,000 population. These rates are approximately half those reported in the 1993-2002 period (0.04 and 0.09 per 100,000 population per year, respectively),</w:t>
      </w:r>
      <w:r>
        <w:rPr>
          <w:vertAlign w:val="superscript"/>
        </w:rPr>
        <w:t>7</w:t>
      </w:r>
      <w:r>
        <w:t xml:space="preserve"> and are similar to those in other developed countries (0.01 per 100,000 population per year in England [2001–2014]</w:t>
      </w:r>
      <w:r>
        <w:rPr>
          <w:vertAlign w:val="superscript"/>
        </w:rPr>
        <w:t>11</w:t>
      </w:r>
      <w:r>
        <w:t xml:space="preserve"> and the United States of America [2001–2008];</w:t>
      </w:r>
      <w:r>
        <w:rPr>
          <w:vertAlign w:val="superscript"/>
        </w:rPr>
        <w:t>12</w:t>
      </w:r>
      <w:r>
        <w:t xml:space="preserve"> 0.02 per 100,000 population per year in </w:t>
      </w:r>
      <w:r>
        <w:lastRenderedPageBreak/>
        <w:t>Canada [1995–2019];</w:t>
      </w:r>
      <w:r>
        <w:rPr>
          <w:vertAlign w:val="superscript"/>
        </w:rPr>
        <w:t>13</w:t>
      </w:r>
      <w:r>
        <w:t xml:space="preserve"> and 0.02–0.03 per 100,000 population per year in the European Economic Union/Area [2012–2018]).</w:t>
      </w:r>
      <w:r>
        <w:rPr>
          <w:vertAlign w:val="superscript"/>
        </w:rPr>
        <w:t>14–18</w:t>
      </w:r>
      <w:r>
        <w:t xml:space="preserve"> </w:t>
      </w:r>
    </w:p>
    <w:p w14:paraId="5FF9C56E" w14:textId="77777777" w:rsidR="00601A36" w:rsidRDefault="00601A36" w:rsidP="00601A36">
      <w:pPr>
        <w:divId w:val="1847091836"/>
      </w:pPr>
      <w:r>
        <w:t>Almost two thirds of notifications and half of the hospitalisations over the 2003–2019 period were in adults aged ≥ 65 years, similar to the 1993–2002 period.</w:t>
      </w:r>
      <w:r>
        <w:rPr>
          <w:vertAlign w:val="superscript"/>
        </w:rPr>
        <w:t>7</w:t>
      </w:r>
      <w:r>
        <w:t xml:space="preserve"> Incidence of tetanus in developed countries is consistently much higher in older adults,</w:t>
      </w:r>
      <w:r>
        <w:rPr>
          <w:vertAlign w:val="superscript"/>
        </w:rPr>
        <w:t>11–18</w:t>
      </w:r>
      <w:r>
        <w:t xml:space="preserve"> likely due to a combination of lower vaccine coverage and waning immunity. In Australia, although tetanus-containing vaccines were available through state/territory-funded programs from the 1950s, with a nationally funded schedule from 1975, coverage was suboptimal, reaching approximately 70% among children in the mid-1990s.</w:t>
      </w:r>
      <w:r>
        <w:rPr>
          <w:vertAlign w:val="superscript"/>
        </w:rPr>
        <w:t>19,20</w:t>
      </w:r>
      <w:r>
        <w:t xml:space="preserve"> Following the introduction of the ‘Seven Point Plan’ in 1997,</w:t>
      </w:r>
      <w:r>
        <w:rPr>
          <w:vertAlign w:val="superscript"/>
        </w:rPr>
        <w:t>19,21</w:t>
      </w:r>
      <w:r>
        <w:t xml:space="preserve"> coverage improved considerably, with the primary course of tetanus-containing vaccine by 1 year of age achieving over 90% coverage since 2003 and reaching 95% by 2019.</w:t>
      </w:r>
      <w:r>
        <w:rPr>
          <w:vertAlign w:val="superscript"/>
        </w:rPr>
        <w:t>22,23</w:t>
      </w:r>
      <w:r>
        <w:t xml:space="preserve"> An adolescent booster dose of diphtheria-tetanus vaccine (dT) has been recommended at 15 years of age since 1982, with school vaccination programs in place in some jurisdictions since 1994 and an adolescent </w:t>
      </w:r>
      <w:proofErr w:type="spellStart"/>
      <w:r>
        <w:t>dTpa</w:t>
      </w:r>
      <w:proofErr w:type="spellEnd"/>
      <w:r>
        <w:t xml:space="preserve"> booster dose funded on the NIP from 2004,</w:t>
      </w:r>
      <w:r>
        <w:rPr>
          <w:vertAlign w:val="superscript"/>
        </w:rPr>
        <w:t>12</w:t>
      </w:r>
      <w:r>
        <w:t xml:space="preserve"> with 85% coverage by 15 years of age in 2019.</w:t>
      </w:r>
      <w:r>
        <w:rPr>
          <w:vertAlign w:val="superscript"/>
        </w:rPr>
        <w:t>23,24</w:t>
      </w:r>
      <w:r>
        <w:t xml:space="preserve"> Consistent with these historical coverage figures, a national serosurvey in 2007 showed that 96–98% of individuals in age groups &lt; 50 years had protective levels of antitoxin against tetanus, but only 83% in age groups between 50 and 84 years.</w:t>
      </w:r>
      <w:r>
        <w:rPr>
          <w:vertAlign w:val="superscript"/>
        </w:rPr>
        <w:t>8</w:t>
      </w:r>
      <w:r>
        <w:t xml:space="preserve"> Serosurveys from other developed countries have demonstrated similar results, with lower tetanus immunity levels observed in older adults.</w:t>
      </w:r>
      <w:r>
        <w:rPr>
          <w:vertAlign w:val="superscript"/>
        </w:rPr>
        <w:t xml:space="preserve">25–28 </w:t>
      </w:r>
    </w:p>
    <w:p w14:paraId="0C17EB99" w14:textId="77777777" w:rsidR="00601A36" w:rsidRDefault="00601A36" w:rsidP="00601A36">
      <w:pPr>
        <w:divId w:val="1847091836"/>
      </w:pPr>
      <w:r>
        <w:t xml:space="preserve">These findings informed the 2013 Australian recommendation for a </w:t>
      </w:r>
      <w:proofErr w:type="spellStart"/>
      <w:r>
        <w:t>dTpa</w:t>
      </w:r>
      <w:proofErr w:type="spellEnd"/>
      <w:r>
        <w:t xml:space="preserve"> booster vaccination for adults aged ≥ 65 years (additional to the booster already recommended at 50 years), although this was also driven by high pertussis hospitalisation rates in older adults.</w:t>
      </w:r>
      <w:r>
        <w:rPr>
          <w:vertAlign w:val="superscript"/>
        </w:rPr>
        <w:t>29</w:t>
      </w:r>
      <w:r>
        <w:t xml:space="preserve"> We found both notification and hospitalisation rates to be significantly lower (approximately half) in Australian adults aged ≥ 65 years in the 2013–2019 period than in the 2003–2012 period, while rates in those aged &lt; 65 years across these periods were not significantly different, suggesting an impact of the 2013 recommendation. There was no clear impact on deaths across the two periods, but this was based on small numbers. While decreased incidence in older adults is a welcome finding, rates </w:t>
      </w:r>
      <w:proofErr w:type="gramStart"/>
      <w:r>
        <w:t>remain</w:t>
      </w:r>
      <w:proofErr w:type="gramEnd"/>
      <w:r>
        <w:t xml:space="preserve"> much higher than in younger age groups, and all 11 deaths due to tetanus during 2007–2019 were in adults aged ≥ 75 years. Most of these deaths were likely preventable given the availability of a highly effective vaccine.</w:t>
      </w:r>
      <w:r>
        <w:rPr>
          <w:vertAlign w:val="superscript"/>
        </w:rPr>
        <w:t>30</w:t>
      </w:r>
      <w:r>
        <w:t xml:space="preserve"> As tetanus is unique among vaccine preventable diseases in being acquired solely from environmental sources, vaccination does not provide herd protection, so maintaining high vaccine coverage at all recommended age points is the primary strategy to minimise morbidity and mortality. There are no published data </w:t>
      </w:r>
      <w:proofErr w:type="gramStart"/>
      <w:r>
        <w:t>regarding</w:t>
      </w:r>
      <w:proofErr w:type="gramEnd"/>
      <w:r>
        <w:t xml:space="preserve"> adult tetanus vaccination uptake in Australia; however, uptake is likely to be suboptimal, as also found in the United States of America (USA),</w:t>
      </w:r>
      <w:r>
        <w:rPr>
          <w:vertAlign w:val="superscript"/>
        </w:rPr>
        <w:t>31</w:t>
      </w:r>
      <w:r>
        <w:t xml:space="preserve"> particularly given that the recommended adult booster doses are not funded by the NIP. Promoting awareness of the recommendation among public and providers may increase uptake and may further reduce the tetanus incidence and severity, and coverage should be </w:t>
      </w:r>
      <w:proofErr w:type="gramStart"/>
      <w:r>
        <w:t>monitored</w:t>
      </w:r>
      <w:proofErr w:type="gramEnd"/>
      <w:r>
        <w:t xml:space="preserve"> now that whole-of-life coverage data are available on the Australian Immunisation Register (AIR) from 2016. </w:t>
      </w:r>
    </w:p>
    <w:p w14:paraId="0CB60FDF" w14:textId="77777777" w:rsidR="00601A36" w:rsidRDefault="00601A36" w:rsidP="00601A36">
      <w:pPr>
        <w:divId w:val="1847091836"/>
      </w:pPr>
      <w:r>
        <w:t>However, while the estimated half-life of tetanus antibody response to vaccination is 14 years,</w:t>
      </w:r>
      <w:r>
        <w:rPr>
          <w:vertAlign w:val="superscript"/>
        </w:rPr>
        <w:t>32</w:t>
      </w:r>
      <w:r>
        <w:t xml:space="preserve"> suggesting the need for repeated booster vaccination, tetanus is rare in individuals who have received five or more previous doses of vaccine and death is rare in those who have received at least three doses.</w:t>
      </w:r>
      <w:r>
        <w:rPr>
          <w:vertAlign w:val="superscript"/>
        </w:rPr>
        <w:t>33,34</w:t>
      </w:r>
      <w:r>
        <w:t xml:space="preserve"> Recommendations for adult booster doses vary widely, with some countries such as the USA and Canada recommending boosters every ten years,</w:t>
      </w:r>
      <w:r>
        <w:rPr>
          <w:vertAlign w:val="superscript"/>
        </w:rPr>
        <w:t>13,35</w:t>
      </w:r>
      <w:r>
        <w:t xml:space="preserve"> while the World Health Organization (WHO) recommends only childhood and adolescent boosters.</w:t>
      </w:r>
      <w:r>
        <w:rPr>
          <w:vertAlign w:val="superscript"/>
        </w:rPr>
        <w:t>34</w:t>
      </w:r>
      <w:r>
        <w:t xml:space="preserve"> Although the WHO recommendation is likely influenced by programmatic feasibility in lower and middle income countries, some developed countries such as the United Kingdom also do not recommend routine adult booster doses (booster doses are only recommended for individuals with tetanus-prone wounds whose last tetanus vaccine dose was received more than ten years ago),</w:t>
      </w:r>
      <w:r>
        <w:rPr>
          <w:vertAlign w:val="superscript"/>
        </w:rPr>
        <w:t>36</w:t>
      </w:r>
      <w:r>
        <w:t xml:space="preserve"> yet maintain low rates of disease.</w:t>
      </w:r>
      <w:r>
        <w:rPr>
          <w:vertAlign w:val="superscript"/>
        </w:rPr>
        <w:t>11</w:t>
      </w:r>
      <w:r>
        <w:t xml:space="preserve"> A large-scale retrospective study found no significant difference in overall tetanus incidence between developed countries with and without adult vaccination programs.</w:t>
      </w:r>
      <w:r>
        <w:rPr>
          <w:vertAlign w:val="superscript"/>
        </w:rPr>
        <w:t>37</w:t>
      </w:r>
      <w:r>
        <w:t xml:space="preserve"> However, there are also concerns regarding reliance on a wound-based vaccination approach, given that medical </w:t>
      </w:r>
      <w:r>
        <w:lastRenderedPageBreak/>
        <w:t>care is not always sought for tetanus-prone wounds; that tetanus boosters are not always administered where indicated; and that tetanus is severe, usually resulting in hospitalisation and potentially fatal.</w:t>
      </w:r>
      <w:r>
        <w:rPr>
          <w:vertAlign w:val="superscript"/>
        </w:rPr>
        <w:t>30</w:t>
      </w:r>
      <w:r>
        <w:t xml:space="preserve"> </w:t>
      </w:r>
    </w:p>
    <w:p w14:paraId="3F8B95D5" w14:textId="77777777" w:rsidR="00601A36" w:rsidRDefault="00601A36" w:rsidP="00601A36">
      <w:pPr>
        <w:divId w:val="1847091836"/>
      </w:pPr>
      <w:r>
        <w:t xml:space="preserve">Our study has some limitations. We found the tetanus hospitalisation rate between 2003 and 2019 to be 3.3-fold higher than the notification rate, which is </w:t>
      </w:r>
      <w:proofErr w:type="gramStart"/>
      <w:r>
        <w:t>likely due</w:t>
      </w:r>
      <w:proofErr w:type="gramEnd"/>
      <w:r>
        <w:t xml:space="preserve"> to a combination of factors including under-reporting of notifications, multiple hospital admissions for individual cases and coding errors. While we were unable to assess for multiple admissions, a previous Australian study which used data matching to exclude multiple admissions estimated an under-notification rate of 75% for the 1993–2011 period.</w:t>
      </w:r>
      <w:r>
        <w:rPr>
          <w:vertAlign w:val="superscript"/>
        </w:rPr>
        <w:t>8</w:t>
      </w:r>
      <w:r>
        <w:t xml:space="preserve"> Death data from ACR was from a shorter period than notification and hospitalisation data (2007–2019 as opposed to 2003–2019). Our notification data did not </w:t>
      </w:r>
      <w:proofErr w:type="gramStart"/>
      <w:r>
        <w:t>contain</w:t>
      </w:r>
      <w:proofErr w:type="gramEnd"/>
      <w:r>
        <w:t xml:space="preserve"> method of diagnosis; however, it is likely that most were clinical diagnoses given the complexity and difficulty of laboratory diagnosis for tetanus. Vaccination status was absent for around a third of tetanus notifications. Given the AIR is now whole-of-life, vaccination data in adults should become more complete over time. We were also unable to accurately </w:t>
      </w:r>
      <w:proofErr w:type="gramStart"/>
      <w:r>
        <w:t>determine</w:t>
      </w:r>
      <w:proofErr w:type="gramEnd"/>
      <w:r>
        <w:t xml:space="preserve"> median length of hospital stay, an important indicator of severe morbidity, due to the 30-day cap in hospitalisation data. </w:t>
      </w:r>
    </w:p>
    <w:p w14:paraId="68FFF294" w14:textId="77777777" w:rsidR="00601A36" w:rsidRPr="00601A36" w:rsidRDefault="00601A36" w:rsidP="00601A36">
      <w:pPr>
        <w:pStyle w:val="Heading1"/>
        <w:divId w:val="1847091836"/>
      </w:pPr>
      <w:r w:rsidRPr="00601A36">
        <w:t xml:space="preserve">Conclusions </w:t>
      </w:r>
    </w:p>
    <w:p w14:paraId="3E0A0EAD" w14:textId="77777777" w:rsidR="00601A36" w:rsidRDefault="00601A36" w:rsidP="00601A36">
      <w:pPr>
        <w:divId w:val="1847091836"/>
      </w:pPr>
      <w:r>
        <w:t xml:space="preserve">Although tetanus is rare in Australia and rates have decreased, there </w:t>
      </w:r>
      <w:proofErr w:type="gramStart"/>
      <w:r>
        <w:t>remains</w:t>
      </w:r>
      <w:proofErr w:type="gramEnd"/>
      <w:r>
        <w:t xml:space="preserve"> a significant burden of morbidity and mortality falling disproportionately on older adults. While there is debate internationally about the need for and frequency of adult tetanus boosters, dT booster vaccination at 50 years of age and </w:t>
      </w:r>
      <w:proofErr w:type="spellStart"/>
      <w:r>
        <w:t>dTpa</w:t>
      </w:r>
      <w:proofErr w:type="spellEnd"/>
      <w:r>
        <w:t xml:space="preserve"> booster vaccination for those aged ≥ 65 years, as recommended in the Australian Immunisation Handbook,</w:t>
      </w:r>
      <w:r>
        <w:rPr>
          <w:vertAlign w:val="superscript"/>
        </w:rPr>
        <w:t>5</w:t>
      </w:r>
      <w:r>
        <w:t xml:space="preserve"> should be promoted to optimise protection, not just against tetanus, but also diphtheria and pertussis. </w:t>
      </w:r>
    </w:p>
    <w:p w14:paraId="22E1E6CE" w14:textId="77777777" w:rsidR="00601A36" w:rsidRPr="00601A36" w:rsidRDefault="00601A36" w:rsidP="00601A36">
      <w:pPr>
        <w:pStyle w:val="Heading1"/>
        <w:divId w:val="1847091836"/>
      </w:pPr>
      <w:r w:rsidRPr="00601A36">
        <w:t xml:space="preserve">Acknowledgements </w:t>
      </w:r>
    </w:p>
    <w:p w14:paraId="4F602C26" w14:textId="77777777" w:rsidR="00601A36" w:rsidRDefault="00601A36" w:rsidP="00601A36">
      <w:pPr>
        <w:divId w:val="1847091836"/>
      </w:pPr>
      <w:r>
        <w:t xml:space="preserve">We thank the Australian Coordinating Registry, state and territory registries of births, deaths and marriages, state and territory coroners, and the National Coronial Information System for </w:t>
      </w:r>
      <w:proofErr w:type="gramStart"/>
      <w:r>
        <w:t>providing</w:t>
      </w:r>
      <w:proofErr w:type="gramEnd"/>
      <w:r>
        <w:t xml:space="preserve"> access to cause-of-death data. We acknowledge Australian states and territories through the Communicable Diseases Network Australia for release of data from the National Notifiable Diseases Surveillance System, and the Australian Institute of Health and Welfare for the data provided from the National Hospital Morbidity Database. </w:t>
      </w:r>
    </w:p>
    <w:p w14:paraId="378A9A4D" w14:textId="77777777" w:rsidR="00601A36" w:rsidRDefault="00601A36" w:rsidP="00601A36">
      <w:pPr>
        <w:divId w:val="1847091836"/>
      </w:pPr>
      <w:r>
        <w:t xml:space="preserve">NCIRS </w:t>
      </w:r>
      <w:proofErr w:type="gramStart"/>
      <w:r>
        <w:t>is supported</w:t>
      </w:r>
      <w:proofErr w:type="gramEnd"/>
      <w:r>
        <w:t xml:space="preserve"> by the Australian Government Department of Health and Aged Care, the New South Wales Ministry of Health, and The Sydney Children’s Hospitals Network.</w:t>
      </w:r>
    </w:p>
    <w:p w14:paraId="5B4E5669" w14:textId="77777777" w:rsidR="00601A36" w:rsidRPr="00601A36" w:rsidRDefault="00601A36" w:rsidP="00601A36">
      <w:pPr>
        <w:pStyle w:val="Heading1"/>
        <w:divId w:val="1847091836"/>
      </w:pPr>
      <w:r w:rsidRPr="00601A36">
        <w:t xml:space="preserve">Author details </w:t>
      </w:r>
    </w:p>
    <w:p w14:paraId="6755DD33" w14:textId="77777777" w:rsidR="00601A36" w:rsidRDefault="00601A36" w:rsidP="00601A36">
      <w:pPr>
        <w:divId w:val="1847091836"/>
      </w:pPr>
      <w:proofErr w:type="spellStart"/>
      <w:r>
        <w:t>Eliora</w:t>
      </w:r>
      <w:proofErr w:type="spellEnd"/>
      <w:r>
        <w:t xml:space="preserve"> SG Morris,</w:t>
      </w:r>
      <w:r>
        <w:rPr>
          <w:vertAlign w:val="superscript"/>
        </w:rPr>
        <w:t>1</w:t>
      </w:r>
      <w:r>
        <w:t xml:space="preserve"> Aditi Dey,</w:t>
      </w:r>
      <w:r>
        <w:rPr>
          <w:vertAlign w:val="superscript"/>
        </w:rPr>
        <w:t>1,2</w:t>
      </w:r>
      <w:r>
        <w:t xml:space="preserve"> Kaitlyn Vette,</w:t>
      </w:r>
      <w:r>
        <w:rPr>
          <w:vertAlign w:val="superscript"/>
        </w:rPr>
        <w:t>1</w:t>
      </w:r>
      <w:r>
        <w:t xml:space="preserve"> </w:t>
      </w:r>
      <w:proofErr w:type="spellStart"/>
      <w:r>
        <w:t>Harunor</w:t>
      </w:r>
      <w:proofErr w:type="spellEnd"/>
      <w:r>
        <w:t xml:space="preserve"> Rashid,</w:t>
      </w:r>
      <w:r>
        <w:rPr>
          <w:vertAlign w:val="superscript"/>
        </w:rPr>
        <w:t>1,2</w:t>
      </w:r>
      <w:r>
        <w:t xml:space="preserve"> Nicholas Wood,</w:t>
      </w:r>
      <w:r>
        <w:rPr>
          <w:vertAlign w:val="superscript"/>
        </w:rPr>
        <w:t xml:space="preserve"> 1,2</w:t>
      </w:r>
      <w:r>
        <w:t xml:space="preserve"> Frank Beard</w:t>
      </w:r>
      <w:r>
        <w:rPr>
          <w:vertAlign w:val="superscript"/>
        </w:rPr>
        <w:t xml:space="preserve">1,2 </w:t>
      </w:r>
    </w:p>
    <w:p w14:paraId="6413CC4F" w14:textId="77777777" w:rsidR="00601A36" w:rsidRPr="00601A36" w:rsidRDefault="00601A36" w:rsidP="00601A36">
      <w:pPr>
        <w:pStyle w:val="ListParagraph"/>
        <w:numPr>
          <w:ilvl w:val="0"/>
          <w:numId w:val="9"/>
        </w:numPr>
        <w:divId w:val="1847091836"/>
        <w:rPr>
          <w:rFonts w:eastAsia="Times New Roman"/>
        </w:rPr>
      </w:pPr>
      <w:r w:rsidRPr="00601A36">
        <w:rPr>
          <w:rFonts w:eastAsia="Times New Roman"/>
        </w:rPr>
        <w:t xml:space="preserve">Faculty of Medicine and Health, The University of Sydney, New South Wales, Australia </w:t>
      </w:r>
    </w:p>
    <w:p w14:paraId="6691EA48" w14:textId="77777777" w:rsidR="00601A36" w:rsidRPr="00601A36" w:rsidRDefault="00601A36" w:rsidP="00601A36">
      <w:pPr>
        <w:pStyle w:val="ListParagraph"/>
        <w:numPr>
          <w:ilvl w:val="0"/>
          <w:numId w:val="9"/>
        </w:numPr>
        <w:divId w:val="1847091836"/>
        <w:rPr>
          <w:rFonts w:eastAsia="Times New Roman"/>
        </w:rPr>
      </w:pPr>
      <w:r w:rsidRPr="00601A36">
        <w:rPr>
          <w:rFonts w:eastAsia="Times New Roman"/>
        </w:rPr>
        <w:t>National Centre for Immunisation Research and Surveillance, Westmead, New South Wales, Australia</w:t>
      </w:r>
    </w:p>
    <w:p w14:paraId="35AA9697" w14:textId="77777777" w:rsidR="00B440A7" w:rsidRDefault="00B440A7">
      <w:pPr>
        <w:rPr>
          <w:rFonts w:asciiTheme="majorHAnsi" w:eastAsiaTheme="majorEastAsia" w:hAnsiTheme="majorHAnsi" w:cstheme="majorBidi"/>
          <w:b/>
          <w:bCs/>
          <w:sz w:val="26"/>
          <w:szCs w:val="26"/>
        </w:rPr>
      </w:pPr>
      <w:r>
        <w:br w:type="page"/>
      </w:r>
    </w:p>
    <w:p w14:paraId="06D5C877" w14:textId="7C8C83D6" w:rsidR="00601A36" w:rsidRPr="00601A36" w:rsidRDefault="00601A36" w:rsidP="00601A36">
      <w:pPr>
        <w:pStyle w:val="Heading2"/>
        <w:divId w:val="1847091836"/>
      </w:pPr>
      <w:r w:rsidRPr="00601A36">
        <w:lastRenderedPageBreak/>
        <w:t xml:space="preserve">Corresponding author </w:t>
      </w:r>
    </w:p>
    <w:p w14:paraId="52783DD1" w14:textId="77777777" w:rsidR="00601A36" w:rsidRDefault="00601A36" w:rsidP="00601A36">
      <w:pPr>
        <w:divId w:val="1847091836"/>
      </w:pPr>
      <w:r>
        <w:t xml:space="preserve">A/Prof Frank Beard </w:t>
      </w:r>
    </w:p>
    <w:p w14:paraId="69E86ACB" w14:textId="77777777" w:rsidR="00601A36" w:rsidRDefault="00601A36" w:rsidP="00601A36">
      <w:pPr>
        <w:divId w:val="1847091836"/>
      </w:pPr>
      <w:r>
        <w:t xml:space="preserve">National Centre for Immunisation Research and Surveillance, Kids Research at The Children’s Hospital at Westmead, </w:t>
      </w:r>
      <w:proofErr w:type="spellStart"/>
      <w:r>
        <w:t>Cnr</w:t>
      </w:r>
      <w:proofErr w:type="spellEnd"/>
      <w:r>
        <w:t xml:space="preserve"> Hawkesbury Road and Hainsworth Street, Westmead, Locked Bag 4001, Westmead NSW 2145, Australia </w:t>
      </w:r>
    </w:p>
    <w:p w14:paraId="1455CEDB" w14:textId="77777777" w:rsidR="00601A36" w:rsidRDefault="00601A36" w:rsidP="00601A36">
      <w:pPr>
        <w:divId w:val="1847091836"/>
      </w:pPr>
      <w:r>
        <w:t xml:space="preserve">Phone: 02 98451433 </w:t>
      </w:r>
    </w:p>
    <w:p w14:paraId="3AED6A9F" w14:textId="77777777" w:rsidR="00601A36" w:rsidRDefault="00601A36" w:rsidP="00601A36">
      <w:pPr>
        <w:divId w:val="1847091836"/>
      </w:pPr>
      <w:r>
        <w:t>Email: frank.beard@health.nsw.gov.au</w:t>
      </w:r>
    </w:p>
    <w:p w14:paraId="41201F0B" w14:textId="77777777" w:rsidR="00601A36" w:rsidRPr="00601A36" w:rsidRDefault="00601A36" w:rsidP="00601A36">
      <w:pPr>
        <w:pStyle w:val="Heading1"/>
        <w:divId w:val="1847091836"/>
      </w:pPr>
      <w:r w:rsidRPr="00601A36">
        <w:t xml:space="preserve">References </w:t>
      </w:r>
    </w:p>
    <w:p w14:paraId="0853B534" w14:textId="77777777" w:rsidR="00601A36" w:rsidRPr="00601A36" w:rsidRDefault="00601A36" w:rsidP="00601A36">
      <w:pPr>
        <w:pStyle w:val="ListParagraph"/>
        <w:numPr>
          <w:ilvl w:val="0"/>
          <w:numId w:val="10"/>
        </w:numPr>
        <w:divId w:val="1847091836"/>
        <w:rPr>
          <w:rFonts w:eastAsia="Times New Roman"/>
        </w:rPr>
      </w:pPr>
      <w:r w:rsidRPr="00601A36">
        <w:rPr>
          <w:rFonts w:eastAsia="Times New Roman"/>
        </w:rPr>
        <w:t xml:space="preserve">Farrar JJ, Yen LM, Cook T, Fairweather N, Binh N, Parry J et al. Tetanus. </w:t>
      </w:r>
      <w:r w:rsidRPr="00B14006">
        <w:rPr>
          <w:rStyle w:val="Emphasis"/>
          <w:rFonts w:eastAsia="Times New Roman"/>
          <w:b w:val="0"/>
          <w:bCs w:val="0"/>
        </w:rPr>
        <w:t xml:space="preserve">J Neurol </w:t>
      </w:r>
      <w:proofErr w:type="spellStart"/>
      <w:r w:rsidRPr="00B14006">
        <w:rPr>
          <w:rStyle w:val="Emphasis"/>
          <w:rFonts w:eastAsia="Times New Roman"/>
          <w:b w:val="0"/>
          <w:bCs w:val="0"/>
        </w:rPr>
        <w:t>Neurosurg</w:t>
      </w:r>
      <w:proofErr w:type="spellEnd"/>
      <w:r w:rsidRPr="00B14006">
        <w:rPr>
          <w:rStyle w:val="Emphasis"/>
          <w:rFonts w:eastAsia="Times New Roman"/>
          <w:b w:val="0"/>
          <w:bCs w:val="0"/>
        </w:rPr>
        <w:t xml:space="preserve"> Psychiatry</w:t>
      </w:r>
      <w:r w:rsidRPr="00601A36">
        <w:rPr>
          <w:rFonts w:eastAsia="Times New Roman"/>
        </w:rPr>
        <w:t xml:space="preserve">. 2000;69(3):292–301. </w:t>
      </w:r>
      <w:proofErr w:type="spellStart"/>
      <w:r w:rsidRPr="00601A36">
        <w:rPr>
          <w:rFonts w:eastAsia="Times New Roman"/>
        </w:rPr>
        <w:t>doi</w:t>
      </w:r>
      <w:proofErr w:type="spellEnd"/>
      <w:r w:rsidRPr="00601A36">
        <w:rPr>
          <w:rFonts w:eastAsia="Times New Roman"/>
        </w:rPr>
        <w:t xml:space="preserve">: https://doi.org/10.1136/jnnp.69.3.292. </w:t>
      </w:r>
    </w:p>
    <w:p w14:paraId="0E5B34F4" w14:textId="77777777" w:rsidR="00601A36" w:rsidRPr="00601A36" w:rsidRDefault="00601A36" w:rsidP="00601A36">
      <w:pPr>
        <w:pStyle w:val="ListParagraph"/>
        <w:numPr>
          <w:ilvl w:val="0"/>
          <w:numId w:val="10"/>
        </w:numPr>
        <w:divId w:val="1847091836"/>
        <w:rPr>
          <w:rFonts w:eastAsia="Times New Roman"/>
        </w:rPr>
      </w:pPr>
      <w:r w:rsidRPr="00601A36">
        <w:rPr>
          <w:rFonts w:eastAsia="Times New Roman"/>
        </w:rPr>
        <w:t xml:space="preserve">Yen LM, Thwaites CL. Tetanus. </w:t>
      </w:r>
      <w:r w:rsidRPr="00B14006">
        <w:rPr>
          <w:rStyle w:val="Emphasis"/>
          <w:rFonts w:eastAsia="Times New Roman"/>
          <w:b w:val="0"/>
          <w:bCs w:val="0"/>
        </w:rPr>
        <w:t>Lancet</w:t>
      </w:r>
      <w:r w:rsidRPr="00601A36">
        <w:rPr>
          <w:rFonts w:eastAsia="Times New Roman"/>
        </w:rPr>
        <w:t xml:space="preserve">. 2019;393(10181):1657–68. </w:t>
      </w:r>
      <w:proofErr w:type="spellStart"/>
      <w:r w:rsidRPr="00601A36">
        <w:rPr>
          <w:rFonts w:eastAsia="Times New Roman"/>
        </w:rPr>
        <w:t>doi</w:t>
      </w:r>
      <w:proofErr w:type="spellEnd"/>
      <w:r w:rsidRPr="00601A36">
        <w:rPr>
          <w:rFonts w:eastAsia="Times New Roman"/>
        </w:rPr>
        <w:t xml:space="preserve">: https://doi.org/10.1016/s0140-6736(18)33131-3. </w:t>
      </w:r>
    </w:p>
    <w:p w14:paraId="5C0B3CCC" w14:textId="77777777" w:rsidR="00601A36" w:rsidRPr="00601A36" w:rsidRDefault="00601A36" w:rsidP="00601A36">
      <w:pPr>
        <w:pStyle w:val="ListParagraph"/>
        <w:numPr>
          <w:ilvl w:val="0"/>
          <w:numId w:val="10"/>
        </w:numPr>
        <w:divId w:val="1847091836"/>
        <w:rPr>
          <w:rFonts w:eastAsia="Times New Roman"/>
        </w:rPr>
      </w:pPr>
      <w:r w:rsidRPr="00601A36">
        <w:rPr>
          <w:rFonts w:eastAsia="Times New Roman"/>
        </w:rPr>
        <w:t xml:space="preserve">Tiwari TSP, Moro PL, Acosta AM. Tetanus. In Hall E, </w:t>
      </w:r>
      <w:proofErr w:type="spellStart"/>
      <w:r w:rsidRPr="00601A36">
        <w:rPr>
          <w:rFonts w:eastAsia="Times New Roman"/>
        </w:rPr>
        <w:t>Wodi</w:t>
      </w:r>
      <w:proofErr w:type="spellEnd"/>
      <w:r w:rsidRPr="00601A36">
        <w:rPr>
          <w:rFonts w:eastAsia="Times New Roman"/>
        </w:rPr>
        <w:t xml:space="preserve"> AP, </w:t>
      </w:r>
      <w:proofErr w:type="spellStart"/>
      <w:r w:rsidRPr="00601A36">
        <w:rPr>
          <w:rFonts w:eastAsia="Times New Roman"/>
        </w:rPr>
        <w:t>Hamborsky</w:t>
      </w:r>
      <w:proofErr w:type="spellEnd"/>
      <w:r w:rsidRPr="00601A36">
        <w:rPr>
          <w:rFonts w:eastAsia="Times New Roman"/>
        </w:rPr>
        <w:t xml:space="preserve"> J, Morelli V, </w:t>
      </w:r>
      <w:proofErr w:type="spellStart"/>
      <w:r w:rsidRPr="00601A36">
        <w:rPr>
          <w:rFonts w:eastAsia="Times New Roman"/>
        </w:rPr>
        <w:t>Schillie</w:t>
      </w:r>
      <w:proofErr w:type="spellEnd"/>
      <w:r w:rsidRPr="00601A36">
        <w:rPr>
          <w:rFonts w:eastAsia="Times New Roman"/>
        </w:rPr>
        <w:t xml:space="preserve"> S, eds. </w:t>
      </w:r>
      <w:r w:rsidRPr="00B14006">
        <w:rPr>
          <w:rStyle w:val="Emphasis"/>
          <w:rFonts w:eastAsia="Times New Roman"/>
          <w:b w:val="0"/>
          <w:bCs w:val="0"/>
        </w:rPr>
        <w:t xml:space="preserve">Epidemiology and Prevention of Vaccine-Preventable Diseases </w:t>
      </w:r>
      <w:r w:rsidRPr="00601A36">
        <w:rPr>
          <w:rFonts w:eastAsia="Times New Roman"/>
        </w:rPr>
        <w:t xml:space="preserve">(the ‘Pink Book’) (14th edition). Washington DC: </w:t>
      </w:r>
      <w:proofErr w:type="spellStart"/>
      <w:r w:rsidRPr="00601A36">
        <w:rPr>
          <w:rFonts w:eastAsia="Times New Roman"/>
        </w:rPr>
        <w:t>Centers</w:t>
      </w:r>
      <w:proofErr w:type="spellEnd"/>
      <w:r w:rsidRPr="00601A36">
        <w:rPr>
          <w:rFonts w:eastAsia="Times New Roman"/>
        </w:rPr>
        <w:t xml:space="preserve"> for Disease Control and Prevention, Public Health Foundation, 2021. </w:t>
      </w:r>
    </w:p>
    <w:p w14:paraId="362834E1" w14:textId="77777777" w:rsidR="00601A36" w:rsidRPr="00601A36" w:rsidRDefault="00601A36" w:rsidP="00601A36">
      <w:pPr>
        <w:pStyle w:val="ListParagraph"/>
        <w:numPr>
          <w:ilvl w:val="0"/>
          <w:numId w:val="10"/>
        </w:numPr>
        <w:divId w:val="1847091836"/>
        <w:rPr>
          <w:rFonts w:eastAsia="Times New Roman"/>
        </w:rPr>
      </w:pPr>
      <w:r w:rsidRPr="00601A36">
        <w:rPr>
          <w:rFonts w:eastAsia="Times New Roman"/>
        </w:rPr>
        <w:t xml:space="preserve">Thwaites CL, </w:t>
      </w:r>
      <w:proofErr w:type="spellStart"/>
      <w:r w:rsidRPr="00601A36">
        <w:rPr>
          <w:rFonts w:eastAsia="Times New Roman"/>
        </w:rPr>
        <w:t>Beeching</w:t>
      </w:r>
      <w:proofErr w:type="spellEnd"/>
      <w:r w:rsidRPr="00601A36">
        <w:rPr>
          <w:rFonts w:eastAsia="Times New Roman"/>
        </w:rPr>
        <w:t xml:space="preserve"> NJ, Newton CR. Maternal and neonatal tetanus. </w:t>
      </w:r>
      <w:r w:rsidRPr="00B14006">
        <w:rPr>
          <w:rStyle w:val="Emphasis"/>
          <w:rFonts w:eastAsia="Times New Roman"/>
          <w:b w:val="0"/>
          <w:bCs w:val="0"/>
        </w:rPr>
        <w:t>Lancet</w:t>
      </w:r>
      <w:r w:rsidRPr="00601A36">
        <w:rPr>
          <w:rFonts w:eastAsia="Times New Roman"/>
        </w:rPr>
        <w:t xml:space="preserve">. 2015;385(9965):362–70. </w:t>
      </w:r>
      <w:proofErr w:type="spellStart"/>
      <w:r w:rsidRPr="00601A36">
        <w:rPr>
          <w:rFonts w:eastAsia="Times New Roman"/>
        </w:rPr>
        <w:t>doi</w:t>
      </w:r>
      <w:proofErr w:type="spellEnd"/>
      <w:r w:rsidRPr="00601A36">
        <w:rPr>
          <w:rFonts w:eastAsia="Times New Roman"/>
        </w:rPr>
        <w:t xml:space="preserve">: https://doi.org/10.1016/s0140-6736(14)60236-1. </w:t>
      </w:r>
    </w:p>
    <w:p w14:paraId="3F815C40" w14:textId="77777777" w:rsidR="00601A36" w:rsidRPr="00601A36" w:rsidRDefault="00601A36" w:rsidP="00601A36">
      <w:pPr>
        <w:pStyle w:val="ListParagraph"/>
        <w:numPr>
          <w:ilvl w:val="0"/>
          <w:numId w:val="10"/>
        </w:numPr>
        <w:divId w:val="1847091836"/>
        <w:rPr>
          <w:rFonts w:eastAsia="Times New Roman"/>
        </w:rPr>
      </w:pPr>
      <w:r w:rsidRPr="00601A36">
        <w:rPr>
          <w:rFonts w:eastAsia="Times New Roman"/>
        </w:rPr>
        <w:t xml:space="preserve">Australian Government Department of Health and Aged Care. Australian Immunisation Handbook. [Website.] Canberra: Australian Government Department of Health and Aged Care, Australian Technical Advisory Group on Immunisation (ATAGI); 2022. Available from: https://immunisationhandbook.health.gov.au/. </w:t>
      </w:r>
    </w:p>
    <w:p w14:paraId="60BCEC26" w14:textId="77777777" w:rsidR="00601A36" w:rsidRPr="00601A36" w:rsidRDefault="00601A36" w:rsidP="00601A36">
      <w:pPr>
        <w:pStyle w:val="ListParagraph"/>
        <w:numPr>
          <w:ilvl w:val="0"/>
          <w:numId w:val="10"/>
        </w:numPr>
        <w:divId w:val="1847091836"/>
        <w:rPr>
          <w:rFonts w:eastAsia="Times New Roman"/>
        </w:rPr>
      </w:pPr>
      <w:r w:rsidRPr="00601A36">
        <w:rPr>
          <w:rFonts w:eastAsia="Times New Roman"/>
        </w:rPr>
        <w:t xml:space="preserve">National Centre for Immunisation Research and Surveillance (NCIRS). </w:t>
      </w:r>
      <w:proofErr w:type="gramStart"/>
      <w:r w:rsidRPr="00B14006">
        <w:rPr>
          <w:rStyle w:val="Emphasis"/>
          <w:rFonts w:eastAsia="Times New Roman"/>
          <w:b w:val="0"/>
          <w:bCs w:val="0"/>
        </w:rPr>
        <w:t>Significant events</w:t>
      </w:r>
      <w:proofErr w:type="gramEnd"/>
      <w:r w:rsidRPr="00B14006">
        <w:rPr>
          <w:rStyle w:val="Emphasis"/>
          <w:rFonts w:eastAsia="Times New Roman"/>
          <w:b w:val="0"/>
          <w:bCs w:val="0"/>
        </w:rPr>
        <w:t xml:space="preserve"> in diphtheria, tetanus and pertussis vaccination practice in Australia</w:t>
      </w:r>
      <w:r w:rsidRPr="00601A36">
        <w:rPr>
          <w:rFonts w:eastAsia="Times New Roman"/>
        </w:rPr>
        <w:t xml:space="preserve">. Sydney: NCIRS; July 2018. [Accessed on 27 July 2021.] Available from: https://www.ncirs.org.au/sites/default/files/2018-11/Diphtheria-tetanus-pertussis-history-July-2018.pdf. </w:t>
      </w:r>
    </w:p>
    <w:p w14:paraId="4ABC5308" w14:textId="77777777" w:rsidR="00601A36" w:rsidRPr="00601A36" w:rsidRDefault="00601A36" w:rsidP="00601A36">
      <w:pPr>
        <w:pStyle w:val="ListParagraph"/>
        <w:numPr>
          <w:ilvl w:val="0"/>
          <w:numId w:val="10"/>
        </w:numPr>
        <w:divId w:val="1847091836"/>
        <w:rPr>
          <w:rFonts w:eastAsia="Times New Roman"/>
        </w:rPr>
      </w:pPr>
      <w:r w:rsidRPr="00601A36">
        <w:rPr>
          <w:rFonts w:eastAsia="Times New Roman"/>
        </w:rPr>
        <w:t xml:space="preserve">Quinn HE, McIntyre PB. Tetanus in the elderly--an important preventable disease in Australia. </w:t>
      </w:r>
      <w:r w:rsidRPr="00B14006">
        <w:rPr>
          <w:rStyle w:val="Emphasis"/>
          <w:rFonts w:eastAsia="Times New Roman"/>
          <w:b w:val="0"/>
          <w:bCs w:val="0"/>
        </w:rPr>
        <w:t>Vaccine</w:t>
      </w:r>
      <w:r w:rsidRPr="00601A36">
        <w:rPr>
          <w:rFonts w:eastAsia="Times New Roman"/>
        </w:rPr>
        <w:t xml:space="preserve">. 2007;25(7):1304–9. </w:t>
      </w:r>
      <w:proofErr w:type="spellStart"/>
      <w:r w:rsidRPr="00601A36">
        <w:rPr>
          <w:rFonts w:eastAsia="Times New Roman"/>
        </w:rPr>
        <w:t>doi</w:t>
      </w:r>
      <w:proofErr w:type="spellEnd"/>
      <w:r w:rsidRPr="00601A36">
        <w:rPr>
          <w:rFonts w:eastAsia="Times New Roman"/>
        </w:rPr>
        <w:t xml:space="preserve">: https://doi.org/10.1016/j.vaccine.2006.09.084. </w:t>
      </w:r>
    </w:p>
    <w:p w14:paraId="35CA42F5" w14:textId="77777777" w:rsidR="00601A36" w:rsidRPr="00601A36" w:rsidRDefault="00601A36" w:rsidP="00601A36">
      <w:pPr>
        <w:pStyle w:val="ListParagraph"/>
        <w:numPr>
          <w:ilvl w:val="0"/>
          <w:numId w:val="10"/>
        </w:numPr>
        <w:divId w:val="1847091836"/>
        <w:rPr>
          <w:rFonts w:eastAsia="Times New Roman"/>
        </w:rPr>
      </w:pPr>
      <w:r w:rsidRPr="00601A36">
        <w:rPr>
          <w:rFonts w:eastAsia="Times New Roman"/>
        </w:rPr>
        <w:t xml:space="preserve">Lu X, Quinn HE, Menzies RI, </w:t>
      </w:r>
      <w:proofErr w:type="spellStart"/>
      <w:r w:rsidRPr="00601A36">
        <w:rPr>
          <w:rFonts w:eastAsia="Times New Roman"/>
        </w:rPr>
        <w:t>Hueston</w:t>
      </w:r>
      <w:proofErr w:type="spellEnd"/>
      <w:r w:rsidRPr="00601A36">
        <w:rPr>
          <w:rFonts w:eastAsia="Times New Roman"/>
        </w:rPr>
        <w:t xml:space="preserve"> L, McIntyre PB et al. Tetanus immunity and epidemiology in Australia, 1993–2010. </w:t>
      </w:r>
      <w:r w:rsidRPr="00B14006">
        <w:rPr>
          <w:rStyle w:val="Emphasis"/>
          <w:rFonts w:eastAsia="Times New Roman"/>
          <w:b w:val="0"/>
          <w:bCs w:val="0"/>
        </w:rPr>
        <w:t xml:space="preserve">Infect </w:t>
      </w:r>
      <w:proofErr w:type="spellStart"/>
      <w:r w:rsidRPr="00B14006">
        <w:rPr>
          <w:rStyle w:val="Emphasis"/>
          <w:rFonts w:eastAsia="Times New Roman"/>
          <w:b w:val="0"/>
          <w:bCs w:val="0"/>
        </w:rPr>
        <w:t>Disord</w:t>
      </w:r>
      <w:proofErr w:type="spellEnd"/>
      <w:r w:rsidRPr="00B14006">
        <w:rPr>
          <w:rStyle w:val="Emphasis"/>
          <w:rFonts w:eastAsia="Times New Roman"/>
          <w:b w:val="0"/>
          <w:bCs w:val="0"/>
        </w:rPr>
        <w:t xml:space="preserve"> Drug Targets</w:t>
      </w:r>
      <w:r w:rsidRPr="00601A36">
        <w:rPr>
          <w:rFonts w:eastAsia="Times New Roman"/>
        </w:rPr>
        <w:t xml:space="preserve">. 2020;20(3):330–40. </w:t>
      </w:r>
      <w:proofErr w:type="spellStart"/>
      <w:r w:rsidRPr="00601A36">
        <w:rPr>
          <w:rFonts w:eastAsia="Times New Roman"/>
        </w:rPr>
        <w:t>doi</w:t>
      </w:r>
      <w:proofErr w:type="spellEnd"/>
      <w:r w:rsidRPr="00601A36">
        <w:rPr>
          <w:rFonts w:eastAsia="Times New Roman"/>
        </w:rPr>
        <w:t xml:space="preserve">: https://doi.org/10.2174/1871526518666181005111405. </w:t>
      </w:r>
    </w:p>
    <w:p w14:paraId="2B777DCF" w14:textId="77777777" w:rsidR="00601A36" w:rsidRPr="00601A36" w:rsidRDefault="00601A36" w:rsidP="00601A36">
      <w:pPr>
        <w:pStyle w:val="ListParagraph"/>
        <w:numPr>
          <w:ilvl w:val="0"/>
          <w:numId w:val="10"/>
        </w:numPr>
        <w:divId w:val="1847091836"/>
        <w:rPr>
          <w:rFonts w:eastAsia="Times New Roman"/>
        </w:rPr>
      </w:pPr>
      <w:r w:rsidRPr="00601A36">
        <w:rPr>
          <w:rFonts w:eastAsia="Times New Roman"/>
        </w:rPr>
        <w:t xml:space="preserve">Australian Government Department of Health and Aged Care. Tetanus – Surveillance case definition. [Webpage.] Canberra: Australian Government Department of Health and Aged Care; 1 July 2016. [Accessed on 27 June 2021.] Available from: https://www.health.gov.au/resources/publications/tetanus-surveillance-case-definition. </w:t>
      </w:r>
    </w:p>
    <w:p w14:paraId="222228A5" w14:textId="77777777" w:rsidR="00601A36" w:rsidRPr="00601A36" w:rsidRDefault="00601A36" w:rsidP="00601A36">
      <w:pPr>
        <w:pStyle w:val="ListParagraph"/>
        <w:numPr>
          <w:ilvl w:val="0"/>
          <w:numId w:val="10"/>
        </w:numPr>
        <w:divId w:val="1847091836"/>
        <w:rPr>
          <w:rFonts w:eastAsia="Times New Roman"/>
        </w:rPr>
      </w:pPr>
      <w:r w:rsidRPr="00601A36">
        <w:rPr>
          <w:rFonts w:eastAsia="Times New Roman"/>
        </w:rPr>
        <w:t xml:space="preserve">Juul S, Frydenberg M, Hansen S. </w:t>
      </w:r>
      <w:proofErr w:type="spellStart"/>
      <w:r w:rsidRPr="00B14006">
        <w:rPr>
          <w:rStyle w:val="Emphasis"/>
          <w:rFonts w:eastAsia="Times New Roman"/>
          <w:b w:val="0"/>
          <w:bCs w:val="0"/>
        </w:rPr>
        <w:t>EpiBasic</w:t>
      </w:r>
      <w:proofErr w:type="spellEnd"/>
      <w:r w:rsidRPr="00601A36">
        <w:rPr>
          <w:rFonts w:eastAsia="Times New Roman"/>
        </w:rPr>
        <w:t xml:space="preserve">. [Computer program.] Aarhus: The University of Aarhus; August 2019. Available from: https://ph.medarbejdere.au.dk/undervisning/software. </w:t>
      </w:r>
    </w:p>
    <w:p w14:paraId="137E0F7F" w14:textId="77777777" w:rsidR="00601A36" w:rsidRPr="00601A36" w:rsidRDefault="00601A36" w:rsidP="00601A36">
      <w:pPr>
        <w:pStyle w:val="ListParagraph"/>
        <w:numPr>
          <w:ilvl w:val="0"/>
          <w:numId w:val="10"/>
        </w:numPr>
        <w:divId w:val="1847091836"/>
        <w:rPr>
          <w:rFonts w:eastAsia="Times New Roman"/>
        </w:rPr>
      </w:pPr>
      <w:r w:rsidRPr="00601A36">
        <w:rPr>
          <w:rFonts w:eastAsia="Times New Roman"/>
        </w:rPr>
        <w:t xml:space="preserve">Collins S, Amirthalingam G, </w:t>
      </w:r>
      <w:proofErr w:type="spellStart"/>
      <w:r w:rsidRPr="00601A36">
        <w:rPr>
          <w:rFonts w:eastAsia="Times New Roman"/>
        </w:rPr>
        <w:t>Beeching</w:t>
      </w:r>
      <w:proofErr w:type="spellEnd"/>
      <w:r w:rsidRPr="00601A36">
        <w:rPr>
          <w:rFonts w:eastAsia="Times New Roman"/>
        </w:rPr>
        <w:t xml:space="preserve"> NJ, Chand MA, Godbole G, Ramsay ME et al. Current epidemiology of tetanus in England, 2001–2014. </w:t>
      </w:r>
      <w:r w:rsidRPr="00B14006">
        <w:rPr>
          <w:rStyle w:val="Emphasis"/>
          <w:rFonts w:eastAsia="Times New Roman"/>
          <w:b w:val="0"/>
          <w:bCs w:val="0"/>
        </w:rPr>
        <w:t>Epidemiol Infect</w:t>
      </w:r>
      <w:r w:rsidRPr="00601A36">
        <w:rPr>
          <w:rFonts w:eastAsia="Times New Roman"/>
        </w:rPr>
        <w:t xml:space="preserve">. 2016;144(16):3343–53. </w:t>
      </w:r>
      <w:proofErr w:type="spellStart"/>
      <w:r w:rsidRPr="00601A36">
        <w:rPr>
          <w:rFonts w:eastAsia="Times New Roman"/>
        </w:rPr>
        <w:t>doi</w:t>
      </w:r>
      <w:proofErr w:type="spellEnd"/>
      <w:r w:rsidRPr="00601A36">
        <w:rPr>
          <w:rFonts w:eastAsia="Times New Roman"/>
        </w:rPr>
        <w:t xml:space="preserve">: https://doi.org/10.1017/s095026881600128x. </w:t>
      </w:r>
    </w:p>
    <w:p w14:paraId="66252E89" w14:textId="77777777" w:rsidR="00601A36" w:rsidRPr="00601A36" w:rsidRDefault="00601A36" w:rsidP="00601A36">
      <w:pPr>
        <w:pStyle w:val="ListParagraph"/>
        <w:numPr>
          <w:ilvl w:val="0"/>
          <w:numId w:val="10"/>
        </w:numPr>
        <w:divId w:val="1847091836"/>
        <w:rPr>
          <w:rFonts w:eastAsia="Times New Roman"/>
        </w:rPr>
      </w:pPr>
      <w:proofErr w:type="spellStart"/>
      <w:r w:rsidRPr="00601A36">
        <w:rPr>
          <w:rFonts w:eastAsia="Times New Roman"/>
        </w:rPr>
        <w:t>Centers</w:t>
      </w:r>
      <w:proofErr w:type="spellEnd"/>
      <w:r w:rsidRPr="00601A36">
        <w:rPr>
          <w:rFonts w:eastAsia="Times New Roman"/>
        </w:rPr>
        <w:t xml:space="preserve"> for Disease Control and Prevention. Tetanus surveillance --- United States, 2001–2008. </w:t>
      </w:r>
      <w:r w:rsidRPr="00B14006">
        <w:rPr>
          <w:rStyle w:val="Emphasis"/>
          <w:rFonts w:eastAsia="Times New Roman"/>
          <w:b w:val="0"/>
          <w:bCs w:val="0"/>
        </w:rPr>
        <w:t xml:space="preserve">MMWR </w:t>
      </w:r>
      <w:proofErr w:type="spellStart"/>
      <w:r w:rsidRPr="00B14006">
        <w:rPr>
          <w:rStyle w:val="Emphasis"/>
          <w:rFonts w:eastAsia="Times New Roman"/>
          <w:b w:val="0"/>
          <w:bCs w:val="0"/>
        </w:rPr>
        <w:t>Morb</w:t>
      </w:r>
      <w:proofErr w:type="spellEnd"/>
      <w:r w:rsidRPr="00B14006">
        <w:rPr>
          <w:rStyle w:val="Emphasis"/>
          <w:rFonts w:eastAsia="Times New Roman"/>
          <w:b w:val="0"/>
          <w:bCs w:val="0"/>
        </w:rPr>
        <w:t xml:space="preserve"> Mortal </w:t>
      </w:r>
      <w:proofErr w:type="spellStart"/>
      <w:r w:rsidRPr="00B14006">
        <w:rPr>
          <w:rStyle w:val="Emphasis"/>
          <w:rFonts w:eastAsia="Times New Roman"/>
          <w:b w:val="0"/>
          <w:bCs w:val="0"/>
        </w:rPr>
        <w:t>Wkly</w:t>
      </w:r>
      <w:proofErr w:type="spellEnd"/>
      <w:r w:rsidRPr="00B14006">
        <w:rPr>
          <w:rStyle w:val="Emphasis"/>
          <w:rFonts w:eastAsia="Times New Roman"/>
          <w:b w:val="0"/>
          <w:bCs w:val="0"/>
        </w:rPr>
        <w:t xml:space="preserve"> Rep</w:t>
      </w:r>
      <w:r w:rsidRPr="00601A36">
        <w:rPr>
          <w:rFonts w:eastAsia="Times New Roman"/>
        </w:rPr>
        <w:t xml:space="preserve">. 2011;60(12):365–9. </w:t>
      </w:r>
    </w:p>
    <w:p w14:paraId="3B772ED6" w14:textId="77777777" w:rsidR="00601A36" w:rsidRPr="00601A36" w:rsidRDefault="00601A36" w:rsidP="00601A36">
      <w:pPr>
        <w:pStyle w:val="ListParagraph"/>
        <w:numPr>
          <w:ilvl w:val="0"/>
          <w:numId w:val="10"/>
        </w:numPr>
        <w:divId w:val="1847091836"/>
        <w:rPr>
          <w:rFonts w:eastAsia="Times New Roman"/>
        </w:rPr>
      </w:pPr>
      <w:r w:rsidRPr="00601A36">
        <w:rPr>
          <w:rFonts w:eastAsia="Times New Roman"/>
        </w:rPr>
        <w:t xml:space="preserve">Salem N, Huang G, Squires SG, Salvadori MI, Li YA. Epidemiology of tetanus in Canada, 1995–2019. </w:t>
      </w:r>
      <w:r w:rsidRPr="00B14006">
        <w:rPr>
          <w:rStyle w:val="Emphasis"/>
          <w:rFonts w:eastAsia="Times New Roman"/>
          <w:b w:val="0"/>
          <w:bCs w:val="0"/>
        </w:rPr>
        <w:t>Can J Public Health</w:t>
      </w:r>
      <w:r w:rsidRPr="00601A36">
        <w:rPr>
          <w:rFonts w:eastAsia="Times New Roman"/>
        </w:rPr>
        <w:t xml:space="preserve">. 2023;114(3):432–40. </w:t>
      </w:r>
      <w:proofErr w:type="spellStart"/>
      <w:r w:rsidRPr="00601A36">
        <w:rPr>
          <w:rFonts w:eastAsia="Times New Roman"/>
        </w:rPr>
        <w:t>doi</w:t>
      </w:r>
      <w:proofErr w:type="spellEnd"/>
      <w:r w:rsidRPr="00601A36">
        <w:rPr>
          <w:rFonts w:eastAsia="Times New Roman"/>
        </w:rPr>
        <w:t xml:space="preserve">: https://doi.org/10.17269/s41997-022-00732-7. </w:t>
      </w:r>
    </w:p>
    <w:p w14:paraId="664CA540" w14:textId="77777777" w:rsidR="00601A36" w:rsidRPr="00601A36" w:rsidRDefault="00601A36" w:rsidP="00601A36">
      <w:pPr>
        <w:pStyle w:val="ListParagraph"/>
        <w:numPr>
          <w:ilvl w:val="0"/>
          <w:numId w:val="10"/>
        </w:numPr>
        <w:divId w:val="1847091836"/>
        <w:rPr>
          <w:rFonts w:eastAsia="Times New Roman"/>
        </w:rPr>
      </w:pPr>
      <w:r w:rsidRPr="00601A36">
        <w:rPr>
          <w:rFonts w:eastAsia="Times New Roman"/>
        </w:rPr>
        <w:lastRenderedPageBreak/>
        <w:t xml:space="preserve">European Centre for Disease Prevention and Control (ECDC). </w:t>
      </w:r>
      <w:r w:rsidRPr="00B14006">
        <w:rPr>
          <w:rStyle w:val="Emphasis"/>
          <w:rFonts w:eastAsia="Times New Roman"/>
          <w:b w:val="0"/>
          <w:bCs w:val="0"/>
        </w:rPr>
        <w:t>Tetanus – annual epidemiological report for 2018</w:t>
      </w:r>
      <w:r w:rsidRPr="00601A36">
        <w:rPr>
          <w:rFonts w:eastAsia="Times New Roman"/>
        </w:rPr>
        <w:t xml:space="preserve">. Solna: ECDC; 3 December 2020. Available from: https://www.ecdc.europa.eu/en/publications-data/tetanus-annual-epidemiological-report-2018. </w:t>
      </w:r>
    </w:p>
    <w:p w14:paraId="256C7C77" w14:textId="77777777" w:rsidR="00601A36" w:rsidRPr="00601A36" w:rsidRDefault="00601A36" w:rsidP="00601A36">
      <w:pPr>
        <w:pStyle w:val="ListParagraph"/>
        <w:numPr>
          <w:ilvl w:val="0"/>
          <w:numId w:val="10"/>
        </w:numPr>
        <w:divId w:val="1847091836"/>
        <w:rPr>
          <w:rFonts w:eastAsia="Times New Roman"/>
        </w:rPr>
      </w:pPr>
      <w:r w:rsidRPr="00601A36">
        <w:rPr>
          <w:rFonts w:eastAsia="Times New Roman"/>
        </w:rPr>
        <w:t xml:space="preserve">ECDC. </w:t>
      </w:r>
      <w:r w:rsidRPr="00B14006">
        <w:rPr>
          <w:rStyle w:val="Emphasis"/>
          <w:rFonts w:eastAsia="Times New Roman"/>
          <w:b w:val="0"/>
          <w:bCs w:val="0"/>
        </w:rPr>
        <w:t>Tetanus – annual epidemiological report for 2017</w:t>
      </w:r>
      <w:r w:rsidRPr="00601A36">
        <w:rPr>
          <w:rFonts w:eastAsia="Times New Roman"/>
        </w:rPr>
        <w:t xml:space="preserve">. Solna: ECDC; 28 June 2019. Available from: https://www.ecdc.europa.eu/en/publications-data/tetanus-annual-epidemiological-report-2017. </w:t>
      </w:r>
    </w:p>
    <w:p w14:paraId="4DEFB081" w14:textId="77777777" w:rsidR="00601A36" w:rsidRPr="00601A36" w:rsidRDefault="00601A36" w:rsidP="00601A36">
      <w:pPr>
        <w:pStyle w:val="ListParagraph"/>
        <w:numPr>
          <w:ilvl w:val="0"/>
          <w:numId w:val="10"/>
        </w:numPr>
        <w:divId w:val="1847091836"/>
        <w:rPr>
          <w:rFonts w:eastAsia="Times New Roman"/>
        </w:rPr>
      </w:pPr>
      <w:r w:rsidRPr="00601A36">
        <w:rPr>
          <w:rFonts w:eastAsia="Times New Roman"/>
        </w:rPr>
        <w:t xml:space="preserve">ECDC. </w:t>
      </w:r>
      <w:r w:rsidRPr="00B14006">
        <w:rPr>
          <w:rStyle w:val="Emphasis"/>
          <w:rFonts w:eastAsia="Times New Roman"/>
          <w:b w:val="0"/>
          <w:bCs w:val="0"/>
        </w:rPr>
        <w:t>Tetanus – annual epidemiological report for 2016</w:t>
      </w:r>
      <w:r w:rsidRPr="00601A36">
        <w:rPr>
          <w:rFonts w:eastAsia="Times New Roman"/>
        </w:rPr>
        <w:t xml:space="preserve">. Solna: ECDC; 29 August 2018. Available from: https://www.ecdc.europa.eu/en/publications-data/tetanus-annual-epidemiological-report-2016. </w:t>
      </w:r>
    </w:p>
    <w:p w14:paraId="7F532571" w14:textId="77777777" w:rsidR="00601A36" w:rsidRPr="00601A36" w:rsidRDefault="00601A36" w:rsidP="00601A36">
      <w:pPr>
        <w:pStyle w:val="ListParagraph"/>
        <w:numPr>
          <w:ilvl w:val="0"/>
          <w:numId w:val="10"/>
        </w:numPr>
        <w:divId w:val="1847091836"/>
        <w:rPr>
          <w:rFonts w:eastAsia="Times New Roman"/>
        </w:rPr>
      </w:pPr>
      <w:r w:rsidRPr="00601A36">
        <w:rPr>
          <w:rFonts w:eastAsia="Times New Roman"/>
        </w:rPr>
        <w:t xml:space="preserve">ECDC. </w:t>
      </w:r>
      <w:r w:rsidRPr="00B14006">
        <w:rPr>
          <w:rStyle w:val="Emphasis"/>
          <w:rFonts w:eastAsia="Times New Roman"/>
          <w:b w:val="0"/>
          <w:bCs w:val="0"/>
        </w:rPr>
        <w:t>Tetanus – annual epidemiological report for 2015</w:t>
      </w:r>
      <w:r w:rsidRPr="00601A36">
        <w:rPr>
          <w:rFonts w:eastAsia="Times New Roman"/>
        </w:rPr>
        <w:t xml:space="preserve">. Solna: ECDC; 29 November 2017. Available from: https://www.ecdc.europa.eu/en/publications-data/tetanus-annual-epidemiological-report-2015. </w:t>
      </w:r>
    </w:p>
    <w:p w14:paraId="33D0656D" w14:textId="77777777" w:rsidR="00601A36" w:rsidRPr="00601A36" w:rsidRDefault="00601A36" w:rsidP="00601A36">
      <w:pPr>
        <w:pStyle w:val="ListParagraph"/>
        <w:numPr>
          <w:ilvl w:val="0"/>
          <w:numId w:val="10"/>
        </w:numPr>
        <w:divId w:val="1847091836"/>
        <w:rPr>
          <w:rFonts w:eastAsia="Times New Roman"/>
        </w:rPr>
      </w:pPr>
      <w:r w:rsidRPr="00601A36">
        <w:rPr>
          <w:rFonts w:eastAsia="Times New Roman"/>
        </w:rPr>
        <w:t xml:space="preserve">ECDC. </w:t>
      </w:r>
      <w:r w:rsidRPr="00B14006">
        <w:rPr>
          <w:rStyle w:val="Emphasis"/>
          <w:rFonts w:eastAsia="Times New Roman"/>
          <w:b w:val="0"/>
          <w:bCs w:val="0"/>
        </w:rPr>
        <w:t>Tetanus – annual epidemiological report 2016 [2014 data]</w:t>
      </w:r>
      <w:r w:rsidRPr="00601A36">
        <w:rPr>
          <w:rFonts w:eastAsia="Times New Roman"/>
        </w:rPr>
        <w:t xml:space="preserve">. Solna: ECDC; 19 September 2016. Available from: https://www.ecdc.europa.eu/en/publications-data/tetanus-annual-epidemiological-report-2016-2014-data. </w:t>
      </w:r>
    </w:p>
    <w:p w14:paraId="5CCFC65C" w14:textId="77777777" w:rsidR="00601A36" w:rsidRPr="00601A36" w:rsidRDefault="00601A36" w:rsidP="00601A36">
      <w:pPr>
        <w:pStyle w:val="ListParagraph"/>
        <w:numPr>
          <w:ilvl w:val="0"/>
          <w:numId w:val="10"/>
        </w:numPr>
        <w:divId w:val="1847091836"/>
        <w:rPr>
          <w:rFonts w:eastAsia="Times New Roman"/>
        </w:rPr>
      </w:pPr>
      <w:r w:rsidRPr="00601A36">
        <w:rPr>
          <w:rFonts w:eastAsia="Times New Roman"/>
        </w:rPr>
        <w:t xml:space="preserve">Parliament of Australia. House of Representatives Official Hansard. Thirty-eighth parliament first session—third period. No. 211, 1997. [Hansard.] Canberra: Parliament of Australia, House of Representatives Official Hansard; Tuesday, 25 February 1997; pp. 1163–84. </w:t>
      </w:r>
    </w:p>
    <w:p w14:paraId="29F9A75E" w14:textId="77777777" w:rsidR="00601A36" w:rsidRPr="00601A36" w:rsidRDefault="00601A36" w:rsidP="00601A36">
      <w:pPr>
        <w:pStyle w:val="ListParagraph"/>
        <w:numPr>
          <w:ilvl w:val="0"/>
          <w:numId w:val="10"/>
        </w:numPr>
        <w:divId w:val="1847091836"/>
        <w:rPr>
          <w:rFonts w:eastAsia="Times New Roman"/>
        </w:rPr>
      </w:pPr>
      <w:r w:rsidRPr="00601A36">
        <w:rPr>
          <w:rFonts w:eastAsia="Times New Roman"/>
        </w:rPr>
        <w:t xml:space="preserve">Australian Institute of Health and Welfare (AIHW). </w:t>
      </w:r>
      <w:r w:rsidRPr="00B14006">
        <w:rPr>
          <w:rStyle w:val="Emphasis"/>
          <w:rFonts w:eastAsia="Times New Roman"/>
          <w:b w:val="0"/>
          <w:bCs w:val="0"/>
        </w:rPr>
        <w:t>Tetanus in Australia</w:t>
      </w:r>
      <w:r w:rsidRPr="00601A36">
        <w:rPr>
          <w:rFonts w:eastAsia="Times New Roman"/>
        </w:rPr>
        <w:t xml:space="preserve">. Canberra: Australian Government, AIHW; 13 November 2018. Available from: https://www.aihw.gov.au/getmedia/f877a2da-23e3-4516-948f-df05ca7ceb43/aihw-phe-236_Tetanus.pdf.aspx. </w:t>
      </w:r>
    </w:p>
    <w:p w14:paraId="699682DC" w14:textId="77777777" w:rsidR="00601A36" w:rsidRPr="00601A36" w:rsidRDefault="00601A36" w:rsidP="00601A36">
      <w:pPr>
        <w:pStyle w:val="ListParagraph"/>
        <w:numPr>
          <w:ilvl w:val="0"/>
          <w:numId w:val="10"/>
        </w:numPr>
        <w:divId w:val="1847091836"/>
        <w:rPr>
          <w:rFonts w:eastAsia="Times New Roman"/>
        </w:rPr>
      </w:pPr>
      <w:r w:rsidRPr="00601A36">
        <w:rPr>
          <w:rFonts w:eastAsia="Times New Roman"/>
        </w:rPr>
        <w:t xml:space="preserve">NCIRS. </w:t>
      </w:r>
      <w:proofErr w:type="gramStart"/>
      <w:r w:rsidRPr="00B14006">
        <w:rPr>
          <w:rStyle w:val="Emphasis"/>
          <w:rFonts w:eastAsia="Times New Roman"/>
          <w:b w:val="0"/>
          <w:bCs w:val="0"/>
        </w:rPr>
        <w:t>Significant events</w:t>
      </w:r>
      <w:proofErr w:type="gramEnd"/>
      <w:r w:rsidRPr="00B14006">
        <w:rPr>
          <w:rStyle w:val="Emphasis"/>
          <w:rFonts w:eastAsia="Times New Roman"/>
          <w:b w:val="0"/>
          <w:bCs w:val="0"/>
        </w:rPr>
        <w:t xml:space="preserve"> in immunisation policy and practice in Australia</w:t>
      </w:r>
      <w:r w:rsidRPr="00601A36">
        <w:rPr>
          <w:rFonts w:eastAsia="Times New Roman"/>
        </w:rPr>
        <w:t xml:space="preserve">. Sydney: NCIRS; July 2020. [Accessed on 2 February 2023.] Available from: https://ncirs.org.au/sites/default/files/2020-07/Immunisation-policy-and-practice-Australia-1%20July%202020_Final%20for%20web.pdf. </w:t>
      </w:r>
    </w:p>
    <w:p w14:paraId="4E271739" w14:textId="77777777" w:rsidR="00601A36" w:rsidRPr="00601A36" w:rsidRDefault="00601A36" w:rsidP="00601A36">
      <w:pPr>
        <w:pStyle w:val="ListParagraph"/>
        <w:numPr>
          <w:ilvl w:val="0"/>
          <w:numId w:val="10"/>
        </w:numPr>
        <w:divId w:val="1847091836"/>
        <w:rPr>
          <w:rFonts w:eastAsia="Times New Roman"/>
        </w:rPr>
      </w:pPr>
      <w:r w:rsidRPr="00601A36">
        <w:rPr>
          <w:rFonts w:eastAsia="Times New Roman"/>
        </w:rPr>
        <w:t xml:space="preserve">Hull B, </w:t>
      </w:r>
      <w:proofErr w:type="spellStart"/>
      <w:r w:rsidRPr="00601A36">
        <w:rPr>
          <w:rFonts w:eastAsia="Times New Roman"/>
        </w:rPr>
        <w:t>Deeks</w:t>
      </w:r>
      <w:proofErr w:type="spellEnd"/>
      <w:r w:rsidRPr="00601A36">
        <w:rPr>
          <w:rFonts w:eastAsia="Times New Roman"/>
        </w:rPr>
        <w:t xml:space="preserve"> S, Menzies R, McIntyre P. Immunisation coverage annual report, 2007. </w:t>
      </w:r>
      <w:proofErr w:type="spellStart"/>
      <w:r w:rsidRPr="00B14006">
        <w:rPr>
          <w:rStyle w:val="Emphasis"/>
          <w:rFonts w:eastAsia="Times New Roman"/>
          <w:b w:val="0"/>
          <w:bCs w:val="0"/>
        </w:rPr>
        <w:t>Commun</w:t>
      </w:r>
      <w:proofErr w:type="spellEnd"/>
      <w:r w:rsidRPr="00B14006">
        <w:rPr>
          <w:rStyle w:val="Emphasis"/>
          <w:rFonts w:eastAsia="Times New Roman"/>
          <w:b w:val="0"/>
          <w:bCs w:val="0"/>
        </w:rPr>
        <w:t xml:space="preserve"> Dis </w:t>
      </w:r>
      <w:proofErr w:type="spellStart"/>
      <w:r w:rsidRPr="00B14006">
        <w:rPr>
          <w:rStyle w:val="Emphasis"/>
          <w:rFonts w:eastAsia="Times New Roman"/>
          <w:b w:val="0"/>
          <w:bCs w:val="0"/>
        </w:rPr>
        <w:t>Intell</w:t>
      </w:r>
      <w:proofErr w:type="spellEnd"/>
      <w:r w:rsidRPr="00B14006">
        <w:rPr>
          <w:rStyle w:val="Emphasis"/>
          <w:rFonts w:eastAsia="Times New Roman"/>
          <w:b w:val="0"/>
          <w:bCs w:val="0"/>
        </w:rPr>
        <w:t xml:space="preserve"> Q Rep</w:t>
      </w:r>
      <w:r w:rsidRPr="00601A36">
        <w:rPr>
          <w:rFonts w:eastAsia="Times New Roman"/>
        </w:rPr>
        <w:t xml:space="preserve">. 2009;33(2):170–87. </w:t>
      </w:r>
    </w:p>
    <w:p w14:paraId="4CB2D5B9" w14:textId="77777777" w:rsidR="00601A36" w:rsidRPr="00601A36" w:rsidRDefault="00601A36" w:rsidP="00601A36">
      <w:pPr>
        <w:pStyle w:val="ListParagraph"/>
        <w:numPr>
          <w:ilvl w:val="0"/>
          <w:numId w:val="10"/>
        </w:numPr>
        <w:divId w:val="1847091836"/>
        <w:rPr>
          <w:rFonts w:eastAsia="Times New Roman"/>
        </w:rPr>
      </w:pPr>
      <w:r w:rsidRPr="00601A36">
        <w:rPr>
          <w:rFonts w:eastAsia="Times New Roman"/>
        </w:rPr>
        <w:t xml:space="preserve">Hull B, Hendry A, Dey A, Macartney K, Beard F. Immunisation Coverage Annual Report 2019. </w:t>
      </w:r>
      <w:proofErr w:type="spellStart"/>
      <w:r w:rsidRPr="00B14006">
        <w:rPr>
          <w:rStyle w:val="Emphasis"/>
          <w:rFonts w:eastAsia="Times New Roman"/>
          <w:b w:val="0"/>
          <w:bCs w:val="0"/>
        </w:rPr>
        <w:t>Commun</w:t>
      </w:r>
      <w:proofErr w:type="spellEnd"/>
      <w:r w:rsidRPr="00B14006">
        <w:rPr>
          <w:rStyle w:val="Emphasis"/>
          <w:rFonts w:eastAsia="Times New Roman"/>
          <w:b w:val="0"/>
          <w:bCs w:val="0"/>
        </w:rPr>
        <w:t xml:space="preserve"> Dis </w:t>
      </w:r>
      <w:proofErr w:type="spellStart"/>
      <w:r w:rsidRPr="00B14006">
        <w:rPr>
          <w:rStyle w:val="Emphasis"/>
          <w:rFonts w:eastAsia="Times New Roman"/>
          <w:b w:val="0"/>
          <w:bCs w:val="0"/>
        </w:rPr>
        <w:t>Intell</w:t>
      </w:r>
      <w:proofErr w:type="spellEnd"/>
      <w:r w:rsidRPr="00B14006">
        <w:rPr>
          <w:rStyle w:val="Emphasis"/>
          <w:rFonts w:eastAsia="Times New Roman"/>
          <w:b w:val="0"/>
          <w:bCs w:val="0"/>
        </w:rPr>
        <w:t xml:space="preserve"> (2018)</w:t>
      </w:r>
      <w:r w:rsidRPr="00601A36">
        <w:rPr>
          <w:rFonts w:eastAsia="Times New Roman"/>
        </w:rPr>
        <w:t>. 2021;</w:t>
      </w:r>
      <w:proofErr w:type="gramStart"/>
      <w:r w:rsidRPr="00601A36">
        <w:rPr>
          <w:rFonts w:eastAsia="Times New Roman"/>
        </w:rPr>
        <w:t>45</w:t>
      </w:r>
      <w:proofErr w:type="gramEnd"/>
      <w:r w:rsidRPr="00601A36">
        <w:rPr>
          <w:rFonts w:eastAsia="Times New Roman"/>
        </w:rPr>
        <w:t xml:space="preserve">. </w:t>
      </w:r>
      <w:proofErr w:type="spellStart"/>
      <w:r w:rsidRPr="00601A36">
        <w:rPr>
          <w:rFonts w:eastAsia="Times New Roman"/>
        </w:rPr>
        <w:t>doi</w:t>
      </w:r>
      <w:proofErr w:type="spellEnd"/>
      <w:r w:rsidRPr="00601A36">
        <w:rPr>
          <w:rFonts w:eastAsia="Times New Roman"/>
        </w:rPr>
        <w:t xml:space="preserve">: https://doi.org/10.33321/cdi.2021.45.18 10.33321/cdi.2020.45.18. </w:t>
      </w:r>
    </w:p>
    <w:p w14:paraId="03BE0941" w14:textId="77777777" w:rsidR="00601A36" w:rsidRPr="00601A36" w:rsidRDefault="00601A36" w:rsidP="00601A36">
      <w:pPr>
        <w:pStyle w:val="ListParagraph"/>
        <w:numPr>
          <w:ilvl w:val="0"/>
          <w:numId w:val="10"/>
        </w:numPr>
        <w:divId w:val="1847091836"/>
        <w:rPr>
          <w:rFonts w:eastAsia="Times New Roman"/>
        </w:rPr>
      </w:pPr>
      <w:r w:rsidRPr="00601A36">
        <w:rPr>
          <w:rFonts w:eastAsia="Times New Roman"/>
        </w:rPr>
        <w:t xml:space="preserve">Hull B, Hendry A, Dey A, Brotherton J, Macartney K, Beard F. Annual immunisation coverage report 2020. </w:t>
      </w:r>
      <w:proofErr w:type="spellStart"/>
      <w:r w:rsidRPr="00B14006">
        <w:rPr>
          <w:rStyle w:val="Emphasis"/>
          <w:rFonts w:eastAsia="Times New Roman"/>
          <w:b w:val="0"/>
          <w:bCs w:val="0"/>
        </w:rPr>
        <w:t>Commun</w:t>
      </w:r>
      <w:proofErr w:type="spellEnd"/>
      <w:r w:rsidRPr="00B14006">
        <w:rPr>
          <w:rStyle w:val="Emphasis"/>
          <w:rFonts w:eastAsia="Times New Roman"/>
          <w:b w:val="0"/>
          <w:bCs w:val="0"/>
        </w:rPr>
        <w:t xml:space="preserve"> Dis </w:t>
      </w:r>
      <w:proofErr w:type="spellStart"/>
      <w:r w:rsidRPr="00B14006">
        <w:rPr>
          <w:rStyle w:val="Emphasis"/>
          <w:rFonts w:eastAsia="Times New Roman"/>
          <w:b w:val="0"/>
          <w:bCs w:val="0"/>
        </w:rPr>
        <w:t>Intell</w:t>
      </w:r>
      <w:proofErr w:type="spellEnd"/>
      <w:r w:rsidRPr="00B14006">
        <w:rPr>
          <w:rStyle w:val="Emphasis"/>
          <w:rFonts w:eastAsia="Times New Roman"/>
          <w:b w:val="0"/>
          <w:bCs w:val="0"/>
        </w:rPr>
        <w:t xml:space="preserve"> (2018)</w:t>
      </w:r>
      <w:r w:rsidRPr="00601A36">
        <w:rPr>
          <w:rFonts w:eastAsia="Times New Roman"/>
        </w:rPr>
        <w:t>. 2022;</w:t>
      </w:r>
      <w:proofErr w:type="gramStart"/>
      <w:r w:rsidRPr="00601A36">
        <w:rPr>
          <w:rFonts w:eastAsia="Times New Roman"/>
        </w:rPr>
        <w:t>46</w:t>
      </w:r>
      <w:proofErr w:type="gramEnd"/>
      <w:r w:rsidRPr="00601A36">
        <w:rPr>
          <w:rFonts w:eastAsia="Times New Roman"/>
        </w:rPr>
        <w:t xml:space="preserve">. </w:t>
      </w:r>
      <w:proofErr w:type="spellStart"/>
      <w:r w:rsidRPr="00601A36">
        <w:rPr>
          <w:rFonts w:eastAsia="Times New Roman"/>
        </w:rPr>
        <w:t>doi</w:t>
      </w:r>
      <w:proofErr w:type="spellEnd"/>
      <w:r w:rsidRPr="00601A36">
        <w:rPr>
          <w:rFonts w:eastAsia="Times New Roman"/>
        </w:rPr>
        <w:t xml:space="preserve">: https://doi.org/10.33321/cdi.2022.46.60. </w:t>
      </w:r>
    </w:p>
    <w:p w14:paraId="2C75BD6F" w14:textId="77777777" w:rsidR="00601A36" w:rsidRPr="00601A36" w:rsidRDefault="00601A36" w:rsidP="00601A36">
      <w:pPr>
        <w:pStyle w:val="ListParagraph"/>
        <w:numPr>
          <w:ilvl w:val="0"/>
          <w:numId w:val="10"/>
        </w:numPr>
        <w:divId w:val="1847091836"/>
        <w:rPr>
          <w:rFonts w:eastAsia="Times New Roman"/>
        </w:rPr>
      </w:pPr>
      <w:r w:rsidRPr="00601A36">
        <w:rPr>
          <w:rFonts w:eastAsia="Times New Roman"/>
        </w:rPr>
        <w:t xml:space="preserve">Liang JL, Tiwari T, Moro P, </w:t>
      </w:r>
      <w:proofErr w:type="spellStart"/>
      <w:r w:rsidRPr="00601A36">
        <w:rPr>
          <w:rFonts w:eastAsia="Times New Roman"/>
        </w:rPr>
        <w:t>Messonnier</w:t>
      </w:r>
      <w:proofErr w:type="spellEnd"/>
      <w:r w:rsidRPr="00601A36">
        <w:rPr>
          <w:rFonts w:eastAsia="Times New Roman"/>
        </w:rPr>
        <w:t xml:space="preserve"> NE, </w:t>
      </w:r>
      <w:proofErr w:type="spellStart"/>
      <w:r w:rsidRPr="00601A36">
        <w:rPr>
          <w:rFonts w:eastAsia="Times New Roman"/>
        </w:rPr>
        <w:t>Reingold</w:t>
      </w:r>
      <w:proofErr w:type="spellEnd"/>
      <w:r w:rsidRPr="00601A36">
        <w:rPr>
          <w:rFonts w:eastAsia="Times New Roman"/>
        </w:rPr>
        <w:t xml:space="preserve"> A, Sawyer M et al. Prevention of pertussis, tetanus, and diphtheria with vaccines in the United States: recommendations of the Advisory Committee on Immunization Practices (ACIP). </w:t>
      </w:r>
      <w:r w:rsidRPr="00B14006">
        <w:rPr>
          <w:rStyle w:val="Emphasis"/>
          <w:rFonts w:eastAsia="Times New Roman"/>
          <w:b w:val="0"/>
          <w:bCs w:val="0"/>
        </w:rPr>
        <w:t xml:space="preserve">MMWR </w:t>
      </w:r>
      <w:proofErr w:type="spellStart"/>
      <w:r w:rsidRPr="00B14006">
        <w:rPr>
          <w:rStyle w:val="Emphasis"/>
          <w:rFonts w:eastAsia="Times New Roman"/>
          <w:b w:val="0"/>
          <w:bCs w:val="0"/>
        </w:rPr>
        <w:t>Recomm</w:t>
      </w:r>
      <w:proofErr w:type="spellEnd"/>
      <w:r w:rsidRPr="00B14006">
        <w:rPr>
          <w:rStyle w:val="Emphasis"/>
          <w:rFonts w:eastAsia="Times New Roman"/>
          <w:b w:val="0"/>
          <w:bCs w:val="0"/>
        </w:rPr>
        <w:t xml:space="preserve"> Rep</w:t>
      </w:r>
      <w:r w:rsidRPr="00601A36">
        <w:rPr>
          <w:rFonts w:eastAsia="Times New Roman"/>
        </w:rPr>
        <w:t xml:space="preserve">. 2018;67(2):1–44. </w:t>
      </w:r>
      <w:proofErr w:type="spellStart"/>
      <w:r w:rsidRPr="00601A36">
        <w:rPr>
          <w:rFonts w:eastAsia="Times New Roman"/>
        </w:rPr>
        <w:t>doi</w:t>
      </w:r>
      <w:proofErr w:type="spellEnd"/>
      <w:r w:rsidRPr="00601A36">
        <w:rPr>
          <w:rFonts w:eastAsia="Times New Roman"/>
        </w:rPr>
        <w:t xml:space="preserve">: https://doi.org/10.15585/mmwr.rr6702a1. </w:t>
      </w:r>
    </w:p>
    <w:p w14:paraId="3BF1155B" w14:textId="77777777" w:rsidR="00601A36" w:rsidRPr="00601A36" w:rsidRDefault="00601A36" w:rsidP="00601A36">
      <w:pPr>
        <w:pStyle w:val="ListParagraph"/>
        <w:numPr>
          <w:ilvl w:val="0"/>
          <w:numId w:val="10"/>
        </w:numPr>
        <w:divId w:val="1847091836"/>
        <w:rPr>
          <w:rFonts w:eastAsia="Times New Roman"/>
        </w:rPr>
      </w:pPr>
      <w:r w:rsidRPr="00601A36">
        <w:rPr>
          <w:rFonts w:eastAsia="Times New Roman"/>
        </w:rPr>
        <w:t xml:space="preserve">Wagner KS, White JM, Andrews NJ, Borrow R, Stanford E, Newton E et al. Immunity to tetanus and diphtheria in the UK in 2009. </w:t>
      </w:r>
      <w:r w:rsidRPr="00B14006">
        <w:rPr>
          <w:rStyle w:val="Emphasis"/>
          <w:rFonts w:eastAsia="Times New Roman"/>
          <w:b w:val="0"/>
          <w:bCs w:val="0"/>
        </w:rPr>
        <w:t>Vaccine</w:t>
      </w:r>
      <w:r w:rsidRPr="00601A36">
        <w:rPr>
          <w:rFonts w:eastAsia="Times New Roman"/>
        </w:rPr>
        <w:t xml:space="preserve">. 2012;30(49):7111–7. </w:t>
      </w:r>
      <w:proofErr w:type="spellStart"/>
      <w:r w:rsidRPr="00601A36">
        <w:rPr>
          <w:rFonts w:eastAsia="Times New Roman"/>
        </w:rPr>
        <w:t>doi</w:t>
      </w:r>
      <w:proofErr w:type="spellEnd"/>
      <w:r w:rsidRPr="00601A36">
        <w:rPr>
          <w:rFonts w:eastAsia="Times New Roman"/>
        </w:rPr>
        <w:t xml:space="preserve">: https://doi.org/10.1016/j.vaccine.2012.09.029. </w:t>
      </w:r>
    </w:p>
    <w:p w14:paraId="2ACD0938" w14:textId="77777777" w:rsidR="00601A36" w:rsidRPr="00601A36" w:rsidRDefault="00601A36" w:rsidP="00601A36">
      <w:pPr>
        <w:pStyle w:val="ListParagraph"/>
        <w:numPr>
          <w:ilvl w:val="0"/>
          <w:numId w:val="10"/>
        </w:numPr>
        <w:divId w:val="1847091836"/>
        <w:rPr>
          <w:rFonts w:eastAsia="Times New Roman"/>
        </w:rPr>
      </w:pPr>
      <w:r w:rsidRPr="00601A36">
        <w:rPr>
          <w:rFonts w:eastAsia="Times New Roman"/>
        </w:rPr>
        <w:t xml:space="preserve">Steens A, </w:t>
      </w:r>
      <w:proofErr w:type="spellStart"/>
      <w:r w:rsidRPr="00601A36">
        <w:rPr>
          <w:rFonts w:eastAsia="Times New Roman"/>
        </w:rPr>
        <w:t>Mollema</w:t>
      </w:r>
      <w:proofErr w:type="spellEnd"/>
      <w:r w:rsidRPr="00601A36">
        <w:rPr>
          <w:rFonts w:eastAsia="Times New Roman"/>
        </w:rPr>
        <w:t xml:space="preserve"> L, </w:t>
      </w:r>
      <w:proofErr w:type="gramStart"/>
      <w:r w:rsidRPr="00601A36">
        <w:rPr>
          <w:rFonts w:eastAsia="Times New Roman"/>
        </w:rPr>
        <w:t>Berbers</w:t>
      </w:r>
      <w:proofErr w:type="gramEnd"/>
      <w:r w:rsidRPr="00601A36">
        <w:rPr>
          <w:rFonts w:eastAsia="Times New Roman"/>
        </w:rPr>
        <w:t xml:space="preserve"> GAM, van </w:t>
      </w:r>
      <w:proofErr w:type="spellStart"/>
      <w:r w:rsidRPr="00601A36">
        <w:rPr>
          <w:rFonts w:eastAsia="Times New Roman"/>
        </w:rPr>
        <w:t>Gageldonk</w:t>
      </w:r>
      <w:proofErr w:type="spellEnd"/>
      <w:r w:rsidRPr="00601A36">
        <w:rPr>
          <w:rFonts w:eastAsia="Times New Roman"/>
        </w:rPr>
        <w:t xml:space="preserve"> PGM, van der Klis FR, de </w:t>
      </w:r>
      <w:proofErr w:type="spellStart"/>
      <w:r w:rsidRPr="00601A36">
        <w:rPr>
          <w:rFonts w:eastAsia="Times New Roman"/>
        </w:rPr>
        <w:t>Melker</w:t>
      </w:r>
      <w:proofErr w:type="spellEnd"/>
      <w:r w:rsidRPr="00601A36">
        <w:rPr>
          <w:rFonts w:eastAsia="Times New Roman"/>
        </w:rPr>
        <w:t xml:space="preserve"> HE. High tetanus antitoxin antibody concentrations in the Netherlands: a </w:t>
      </w:r>
      <w:proofErr w:type="spellStart"/>
      <w:r w:rsidRPr="00601A36">
        <w:rPr>
          <w:rFonts w:eastAsia="Times New Roman"/>
        </w:rPr>
        <w:t>seroepidemiological</w:t>
      </w:r>
      <w:proofErr w:type="spellEnd"/>
      <w:r w:rsidRPr="00601A36">
        <w:rPr>
          <w:rFonts w:eastAsia="Times New Roman"/>
        </w:rPr>
        <w:t xml:space="preserve"> study. </w:t>
      </w:r>
      <w:r w:rsidRPr="00B14006">
        <w:rPr>
          <w:rStyle w:val="Emphasis"/>
          <w:rFonts w:eastAsia="Times New Roman"/>
          <w:b w:val="0"/>
          <w:bCs w:val="0"/>
        </w:rPr>
        <w:t>Vaccine</w:t>
      </w:r>
      <w:r w:rsidRPr="00601A36">
        <w:rPr>
          <w:rFonts w:eastAsia="Times New Roman"/>
        </w:rPr>
        <w:t xml:space="preserve">. 2010;28(49):7803–9. </w:t>
      </w:r>
      <w:proofErr w:type="spellStart"/>
      <w:r w:rsidRPr="00601A36">
        <w:rPr>
          <w:rFonts w:eastAsia="Times New Roman"/>
        </w:rPr>
        <w:t>doi</w:t>
      </w:r>
      <w:proofErr w:type="spellEnd"/>
      <w:r w:rsidRPr="00601A36">
        <w:rPr>
          <w:rFonts w:eastAsia="Times New Roman"/>
        </w:rPr>
        <w:t xml:space="preserve">: https://doi.org/10.1016/j.vaccine.2010.09.036. </w:t>
      </w:r>
    </w:p>
    <w:p w14:paraId="16E775EC" w14:textId="77777777" w:rsidR="00601A36" w:rsidRPr="00601A36" w:rsidRDefault="00601A36" w:rsidP="00601A36">
      <w:pPr>
        <w:pStyle w:val="ListParagraph"/>
        <w:numPr>
          <w:ilvl w:val="0"/>
          <w:numId w:val="10"/>
        </w:numPr>
        <w:divId w:val="1847091836"/>
        <w:rPr>
          <w:rFonts w:eastAsia="Times New Roman"/>
        </w:rPr>
      </w:pPr>
      <w:r w:rsidRPr="00601A36">
        <w:rPr>
          <w:rFonts w:eastAsia="Times New Roman"/>
        </w:rPr>
        <w:t xml:space="preserve">Weir R, Jennings L, Young S, Brunton C, Murdoch D. </w:t>
      </w:r>
      <w:r w:rsidRPr="00B14006">
        <w:rPr>
          <w:rStyle w:val="Emphasis"/>
          <w:rFonts w:eastAsia="Times New Roman"/>
          <w:b w:val="0"/>
          <w:bCs w:val="0"/>
        </w:rPr>
        <w:t>National serosurvey of vaccine preventable diseases. Report to the Ministry of Health</w:t>
      </w:r>
      <w:r w:rsidRPr="00601A36">
        <w:rPr>
          <w:rFonts w:eastAsia="Times New Roman"/>
        </w:rPr>
        <w:t>. Wellington: New Zealand Government Ministry of Health (</w:t>
      </w:r>
      <w:proofErr w:type="spellStart"/>
      <w:r w:rsidRPr="00601A36">
        <w:rPr>
          <w:rFonts w:eastAsia="Times New Roman"/>
        </w:rPr>
        <w:t>Manatū</w:t>
      </w:r>
      <w:proofErr w:type="spellEnd"/>
      <w:r w:rsidRPr="00601A36">
        <w:rPr>
          <w:rFonts w:eastAsia="Times New Roman"/>
        </w:rPr>
        <w:t xml:space="preserve"> Hauora); 2 May 2009. Available from: https://www.health.govt.nz/publication/national-serosurvey-vaccine-preventable-diseases. </w:t>
      </w:r>
    </w:p>
    <w:p w14:paraId="48A3AAA3" w14:textId="77777777" w:rsidR="00601A36" w:rsidRPr="00601A36" w:rsidRDefault="00601A36" w:rsidP="00601A36">
      <w:pPr>
        <w:pStyle w:val="ListParagraph"/>
        <w:numPr>
          <w:ilvl w:val="0"/>
          <w:numId w:val="10"/>
        </w:numPr>
        <w:divId w:val="1847091836"/>
        <w:rPr>
          <w:rFonts w:eastAsia="Times New Roman"/>
        </w:rPr>
      </w:pPr>
      <w:r w:rsidRPr="00601A36">
        <w:rPr>
          <w:rFonts w:eastAsia="Times New Roman"/>
        </w:rPr>
        <w:t xml:space="preserve">Pillsbury A, Quinn HE, McIntyre PB. Australian vaccine preventable disease epidemiological review series: pertussis, 2006–2012. </w:t>
      </w:r>
      <w:proofErr w:type="spellStart"/>
      <w:r w:rsidRPr="00B14006">
        <w:rPr>
          <w:rStyle w:val="Emphasis"/>
          <w:rFonts w:eastAsia="Times New Roman"/>
          <w:b w:val="0"/>
          <w:bCs w:val="0"/>
        </w:rPr>
        <w:t>Commun</w:t>
      </w:r>
      <w:proofErr w:type="spellEnd"/>
      <w:r w:rsidRPr="00B14006">
        <w:rPr>
          <w:rStyle w:val="Emphasis"/>
          <w:rFonts w:eastAsia="Times New Roman"/>
          <w:b w:val="0"/>
          <w:bCs w:val="0"/>
        </w:rPr>
        <w:t xml:space="preserve"> Dis </w:t>
      </w:r>
      <w:proofErr w:type="spellStart"/>
      <w:r w:rsidRPr="00B14006">
        <w:rPr>
          <w:rStyle w:val="Emphasis"/>
          <w:rFonts w:eastAsia="Times New Roman"/>
          <w:b w:val="0"/>
          <w:bCs w:val="0"/>
        </w:rPr>
        <w:t>Intell</w:t>
      </w:r>
      <w:proofErr w:type="spellEnd"/>
      <w:r w:rsidRPr="00B14006">
        <w:rPr>
          <w:rStyle w:val="Emphasis"/>
          <w:rFonts w:eastAsia="Times New Roman"/>
          <w:b w:val="0"/>
          <w:bCs w:val="0"/>
        </w:rPr>
        <w:t xml:space="preserve"> Q Rep</w:t>
      </w:r>
      <w:r w:rsidRPr="00601A36">
        <w:rPr>
          <w:rFonts w:eastAsia="Times New Roman"/>
        </w:rPr>
        <w:t>. 2014;38(3</w:t>
      </w:r>
      <w:proofErr w:type="gramStart"/>
      <w:r w:rsidRPr="00601A36">
        <w:rPr>
          <w:rFonts w:eastAsia="Times New Roman"/>
        </w:rPr>
        <w:t>):E</w:t>
      </w:r>
      <w:proofErr w:type="gramEnd"/>
      <w:r w:rsidRPr="00601A36">
        <w:rPr>
          <w:rFonts w:eastAsia="Times New Roman"/>
        </w:rPr>
        <w:t xml:space="preserve">179–94. </w:t>
      </w:r>
    </w:p>
    <w:p w14:paraId="49D60921" w14:textId="77777777" w:rsidR="00601A36" w:rsidRPr="00601A36" w:rsidRDefault="00601A36" w:rsidP="00601A36">
      <w:pPr>
        <w:pStyle w:val="ListParagraph"/>
        <w:numPr>
          <w:ilvl w:val="0"/>
          <w:numId w:val="10"/>
        </w:numPr>
        <w:divId w:val="1847091836"/>
        <w:rPr>
          <w:rFonts w:eastAsia="Times New Roman"/>
        </w:rPr>
      </w:pPr>
      <w:r w:rsidRPr="00601A36">
        <w:rPr>
          <w:rFonts w:eastAsia="Times New Roman"/>
        </w:rPr>
        <w:t xml:space="preserve">Roper MH, </w:t>
      </w:r>
      <w:proofErr w:type="spellStart"/>
      <w:r w:rsidRPr="00601A36">
        <w:rPr>
          <w:rFonts w:eastAsia="Times New Roman"/>
        </w:rPr>
        <w:t>Wassilak</w:t>
      </w:r>
      <w:proofErr w:type="spellEnd"/>
      <w:r w:rsidRPr="00601A36">
        <w:rPr>
          <w:rFonts w:eastAsia="Times New Roman"/>
        </w:rPr>
        <w:t xml:space="preserve"> SGF, Scobie HM, Ridpath AD, Orenstein WA. 58 – Tetanus toxoid. In Plotkin SA, Orenstein WA, Offit PA, Edwards KM, eds. </w:t>
      </w:r>
      <w:r w:rsidRPr="00B14006">
        <w:rPr>
          <w:rStyle w:val="Emphasis"/>
          <w:rFonts w:eastAsia="Times New Roman"/>
          <w:b w:val="0"/>
          <w:bCs w:val="0"/>
        </w:rPr>
        <w:t>Plotkin’s Vaccines</w:t>
      </w:r>
      <w:r w:rsidRPr="00601A36">
        <w:rPr>
          <w:rFonts w:eastAsia="Times New Roman"/>
        </w:rPr>
        <w:t xml:space="preserve"> (</w:t>
      </w:r>
      <w:proofErr w:type="gramStart"/>
      <w:r w:rsidRPr="00601A36">
        <w:rPr>
          <w:rFonts w:eastAsia="Times New Roman"/>
        </w:rPr>
        <w:t>7th</w:t>
      </w:r>
      <w:proofErr w:type="gramEnd"/>
      <w:r w:rsidRPr="00601A36">
        <w:rPr>
          <w:rFonts w:eastAsia="Times New Roman"/>
        </w:rPr>
        <w:t xml:space="preserve"> edition). Amsterdam: Elsevier, 2018;1052–</w:t>
      </w:r>
      <w:proofErr w:type="gramStart"/>
      <w:r w:rsidRPr="00601A36">
        <w:rPr>
          <w:rFonts w:eastAsia="Times New Roman"/>
        </w:rPr>
        <w:t>79.e</w:t>
      </w:r>
      <w:proofErr w:type="gramEnd"/>
      <w:r w:rsidRPr="00601A36">
        <w:rPr>
          <w:rFonts w:eastAsia="Times New Roman"/>
        </w:rPr>
        <w:t xml:space="preserve">18. </w:t>
      </w:r>
      <w:proofErr w:type="spellStart"/>
      <w:r w:rsidRPr="00601A36">
        <w:rPr>
          <w:rFonts w:eastAsia="Times New Roman"/>
        </w:rPr>
        <w:t>doi</w:t>
      </w:r>
      <w:proofErr w:type="spellEnd"/>
      <w:r w:rsidRPr="00601A36">
        <w:rPr>
          <w:rFonts w:eastAsia="Times New Roman"/>
        </w:rPr>
        <w:t xml:space="preserve">: https//doi.org/10.1016/B978-0-323-35761-6.00058-4. </w:t>
      </w:r>
    </w:p>
    <w:p w14:paraId="33290FA1" w14:textId="77777777" w:rsidR="00601A36" w:rsidRPr="00601A36" w:rsidRDefault="00601A36" w:rsidP="00601A36">
      <w:pPr>
        <w:pStyle w:val="ListParagraph"/>
        <w:numPr>
          <w:ilvl w:val="0"/>
          <w:numId w:val="10"/>
        </w:numPr>
        <w:divId w:val="1847091836"/>
        <w:rPr>
          <w:rFonts w:eastAsia="Times New Roman"/>
        </w:rPr>
      </w:pPr>
      <w:r w:rsidRPr="00601A36">
        <w:rPr>
          <w:rFonts w:eastAsia="Times New Roman"/>
        </w:rPr>
        <w:lastRenderedPageBreak/>
        <w:t xml:space="preserve">Hung MC, Williams WW, Lu PJ, Woods LO, </w:t>
      </w:r>
      <w:proofErr w:type="spellStart"/>
      <w:r w:rsidRPr="00601A36">
        <w:rPr>
          <w:rFonts w:eastAsia="Times New Roman"/>
        </w:rPr>
        <w:t>Koppaka</w:t>
      </w:r>
      <w:proofErr w:type="spellEnd"/>
      <w:r w:rsidRPr="00601A36">
        <w:rPr>
          <w:rFonts w:eastAsia="Times New Roman"/>
        </w:rPr>
        <w:t xml:space="preserve"> R, Lindley MC. Vaccination coverage among adults in the United States, National Health Interview Survey, 2017. [Webpage.] Atlanta: United States Government, </w:t>
      </w:r>
      <w:proofErr w:type="spellStart"/>
      <w:r w:rsidRPr="00601A36">
        <w:rPr>
          <w:rFonts w:eastAsia="Times New Roman"/>
        </w:rPr>
        <w:t>Centers</w:t>
      </w:r>
      <w:proofErr w:type="spellEnd"/>
      <w:r w:rsidRPr="00601A36">
        <w:rPr>
          <w:rFonts w:eastAsia="Times New Roman"/>
        </w:rPr>
        <w:t xml:space="preserve"> for Disease Control and Prevention; 8 February 2018. Available from: https://www.cdc.gov/vaccines/imz-managers/coverage/adultvaxview/pubs-resources/NHIS-2017.html#. </w:t>
      </w:r>
    </w:p>
    <w:p w14:paraId="494968C2" w14:textId="77777777" w:rsidR="00601A36" w:rsidRPr="00601A36" w:rsidRDefault="00601A36" w:rsidP="00601A36">
      <w:pPr>
        <w:pStyle w:val="ListParagraph"/>
        <w:numPr>
          <w:ilvl w:val="0"/>
          <w:numId w:val="10"/>
        </w:numPr>
        <w:divId w:val="1847091836"/>
        <w:rPr>
          <w:rFonts w:eastAsia="Times New Roman"/>
        </w:rPr>
      </w:pPr>
      <w:r w:rsidRPr="00601A36">
        <w:rPr>
          <w:rFonts w:eastAsia="Times New Roman"/>
        </w:rPr>
        <w:t xml:space="preserve">Hammarlund E, Thomas A, Poore EA, </w:t>
      </w:r>
      <w:proofErr w:type="spellStart"/>
      <w:r w:rsidRPr="00601A36">
        <w:rPr>
          <w:rFonts w:eastAsia="Times New Roman"/>
        </w:rPr>
        <w:t>Amanna</w:t>
      </w:r>
      <w:proofErr w:type="spellEnd"/>
      <w:r w:rsidRPr="00601A36">
        <w:rPr>
          <w:rFonts w:eastAsia="Times New Roman"/>
        </w:rPr>
        <w:t xml:space="preserve"> IJ, </w:t>
      </w:r>
      <w:proofErr w:type="spellStart"/>
      <w:r w:rsidRPr="00601A36">
        <w:rPr>
          <w:rFonts w:eastAsia="Times New Roman"/>
        </w:rPr>
        <w:t>Rynko</w:t>
      </w:r>
      <w:proofErr w:type="spellEnd"/>
      <w:r w:rsidRPr="00601A36">
        <w:rPr>
          <w:rFonts w:eastAsia="Times New Roman"/>
        </w:rPr>
        <w:t xml:space="preserve"> AE, Mori M et al. Durability of vaccine-induced immunity against tetanus and diphtheria toxins: a cross-sectional analysis. </w:t>
      </w:r>
      <w:r w:rsidRPr="00B14006">
        <w:rPr>
          <w:rStyle w:val="Emphasis"/>
          <w:rFonts w:eastAsia="Times New Roman"/>
          <w:b w:val="0"/>
          <w:bCs w:val="0"/>
        </w:rPr>
        <w:t>Clin Infect Dis</w:t>
      </w:r>
      <w:r w:rsidRPr="00601A36">
        <w:rPr>
          <w:rFonts w:eastAsia="Times New Roman"/>
        </w:rPr>
        <w:t xml:space="preserve">. 2016;62(9):1111–18. </w:t>
      </w:r>
      <w:proofErr w:type="spellStart"/>
      <w:r w:rsidRPr="00601A36">
        <w:rPr>
          <w:rFonts w:eastAsia="Times New Roman"/>
        </w:rPr>
        <w:t>doi</w:t>
      </w:r>
      <w:proofErr w:type="spellEnd"/>
      <w:r w:rsidRPr="00601A36">
        <w:rPr>
          <w:rFonts w:eastAsia="Times New Roman"/>
        </w:rPr>
        <w:t xml:space="preserve">: https://doi.org/10.1093/cid/ciw066. </w:t>
      </w:r>
    </w:p>
    <w:p w14:paraId="2044A914" w14:textId="77777777" w:rsidR="00601A36" w:rsidRPr="00601A36" w:rsidRDefault="00601A36" w:rsidP="00601A36">
      <w:pPr>
        <w:pStyle w:val="ListParagraph"/>
        <w:numPr>
          <w:ilvl w:val="0"/>
          <w:numId w:val="10"/>
        </w:numPr>
        <w:divId w:val="1847091836"/>
        <w:rPr>
          <w:rFonts w:eastAsia="Times New Roman"/>
        </w:rPr>
      </w:pPr>
      <w:r w:rsidRPr="00601A36">
        <w:rPr>
          <w:rFonts w:eastAsia="Times New Roman"/>
        </w:rPr>
        <w:t xml:space="preserve">Gardner P. Issues related to the decennial tetanus-diphtheria toxoid booster recommendations in adults. </w:t>
      </w:r>
      <w:r w:rsidRPr="00B14006">
        <w:rPr>
          <w:rStyle w:val="Emphasis"/>
          <w:rFonts w:eastAsia="Times New Roman"/>
          <w:b w:val="0"/>
          <w:bCs w:val="0"/>
        </w:rPr>
        <w:t>Infect Dis Clin North Am</w:t>
      </w:r>
      <w:r w:rsidRPr="00601A36">
        <w:rPr>
          <w:rFonts w:eastAsia="Times New Roman"/>
        </w:rPr>
        <w:t xml:space="preserve">. 2001;15(1):143–53. </w:t>
      </w:r>
      <w:proofErr w:type="spellStart"/>
      <w:r w:rsidRPr="00601A36">
        <w:rPr>
          <w:rFonts w:eastAsia="Times New Roman"/>
        </w:rPr>
        <w:t>doi</w:t>
      </w:r>
      <w:proofErr w:type="spellEnd"/>
      <w:r w:rsidRPr="00601A36">
        <w:rPr>
          <w:rFonts w:eastAsia="Times New Roman"/>
        </w:rPr>
        <w:t xml:space="preserve">: https://doi.org/10.1016/s0891-5520(05)70272-5. </w:t>
      </w:r>
    </w:p>
    <w:p w14:paraId="05172C80" w14:textId="77777777" w:rsidR="00601A36" w:rsidRPr="00601A36" w:rsidRDefault="00601A36" w:rsidP="00601A36">
      <w:pPr>
        <w:pStyle w:val="ListParagraph"/>
        <w:numPr>
          <w:ilvl w:val="0"/>
          <w:numId w:val="10"/>
        </w:numPr>
        <w:divId w:val="1847091836"/>
        <w:rPr>
          <w:rFonts w:eastAsia="Times New Roman"/>
        </w:rPr>
      </w:pPr>
      <w:r w:rsidRPr="00601A36">
        <w:rPr>
          <w:rFonts w:eastAsia="Times New Roman"/>
        </w:rPr>
        <w:t xml:space="preserve">World Health Organization. Tetanus vaccines: WHO position paper – February 2017. </w:t>
      </w:r>
      <w:proofErr w:type="spellStart"/>
      <w:r w:rsidRPr="00B14006">
        <w:rPr>
          <w:rStyle w:val="Emphasis"/>
          <w:rFonts w:eastAsia="Times New Roman"/>
          <w:b w:val="0"/>
          <w:bCs w:val="0"/>
        </w:rPr>
        <w:t>Wkly</w:t>
      </w:r>
      <w:proofErr w:type="spellEnd"/>
      <w:r w:rsidRPr="00B14006">
        <w:rPr>
          <w:rStyle w:val="Emphasis"/>
          <w:rFonts w:eastAsia="Times New Roman"/>
          <w:b w:val="0"/>
          <w:bCs w:val="0"/>
        </w:rPr>
        <w:t xml:space="preserve"> Epidemiol Rec</w:t>
      </w:r>
      <w:r w:rsidRPr="00601A36">
        <w:rPr>
          <w:rFonts w:eastAsia="Times New Roman"/>
        </w:rPr>
        <w:t xml:space="preserve">. 2017;92(6):53–76. </w:t>
      </w:r>
    </w:p>
    <w:p w14:paraId="6512E1DF" w14:textId="77777777" w:rsidR="00601A36" w:rsidRPr="00601A36" w:rsidRDefault="00601A36" w:rsidP="00601A36">
      <w:pPr>
        <w:pStyle w:val="ListParagraph"/>
        <w:numPr>
          <w:ilvl w:val="0"/>
          <w:numId w:val="10"/>
        </w:numPr>
        <w:divId w:val="1847091836"/>
        <w:rPr>
          <w:rFonts w:eastAsia="Times New Roman"/>
        </w:rPr>
      </w:pPr>
      <w:r w:rsidRPr="00601A36">
        <w:rPr>
          <w:rFonts w:eastAsia="Times New Roman"/>
        </w:rPr>
        <w:t xml:space="preserve">Havers FP, Moro PL, Hunter P, Hariri S, Bernstein H. Use of tetanus toxoid, reduced diphtheria toxoid, and acellular pertussis vaccines: updated recommendations of the Advisory Committee on Immunization Practices — United States, 2019. </w:t>
      </w:r>
      <w:r w:rsidRPr="00B14006">
        <w:rPr>
          <w:rStyle w:val="Emphasis"/>
          <w:rFonts w:eastAsia="Times New Roman"/>
          <w:b w:val="0"/>
          <w:bCs w:val="0"/>
        </w:rPr>
        <w:t xml:space="preserve">MMWR </w:t>
      </w:r>
      <w:proofErr w:type="spellStart"/>
      <w:r w:rsidRPr="00B14006">
        <w:rPr>
          <w:rStyle w:val="Emphasis"/>
          <w:rFonts w:eastAsia="Times New Roman"/>
          <w:b w:val="0"/>
          <w:bCs w:val="0"/>
        </w:rPr>
        <w:t>Morb</w:t>
      </w:r>
      <w:proofErr w:type="spellEnd"/>
      <w:r w:rsidRPr="00B14006">
        <w:rPr>
          <w:rStyle w:val="Emphasis"/>
          <w:rFonts w:eastAsia="Times New Roman"/>
          <w:b w:val="0"/>
          <w:bCs w:val="0"/>
        </w:rPr>
        <w:t xml:space="preserve"> Mortal </w:t>
      </w:r>
      <w:proofErr w:type="spellStart"/>
      <w:r w:rsidRPr="00B14006">
        <w:rPr>
          <w:rStyle w:val="Emphasis"/>
          <w:rFonts w:eastAsia="Times New Roman"/>
          <w:b w:val="0"/>
          <w:bCs w:val="0"/>
        </w:rPr>
        <w:t>Wkly</w:t>
      </w:r>
      <w:proofErr w:type="spellEnd"/>
      <w:r w:rsidRPr="00B14006">
        <w:rPr>
          <w:rStyle w:val="Emphasis"/>
          <w:rFonts w:eastAsia="Times New Roman"/>
          <w:b w:val="0"/>
          <w:bCs w:val="0"/>
        </w:rPr>
        <w:t xml:space="preserve"> Rep</w:t>
      </w:r>
      <w:r w:rsidRPr="00601A36">
        <w:rPr>
          <w:rFonts w:eastAsia="Times New Roman"/>
        </w:rPr>
        <w:t xml:space="preserve">. </w:t>
      </w:r>
      <w:proofErr w:type="gramStart"/>
      <w:r w:rsidRPr="00601A36">
        <w:rPr>
          <w:rFonts w:eastAsia="Times New Roman"/>
        </w:rPr>
        <w:t>2020;69:77</w:t>
      </w:r>
      <w:proofErr w:type="gramEnd"/>
      <w:r w:rsidRPr="00601A36">
        <w:rPr>
          <w:rFonts w:eastAsia="Times New Roman"/>
        </w:rPr>
        <w:t xml:space="preserve">–83. </w:t>
      </w:r>
      <w:proofErr w:type="spellStart"/>
      <w:r w:rsidRPr="00601A36">
        <w:rPr>
          <w:rFonts w:eastAsia="Times New Roman"/>
        </w:rPr>
        <w:t>doi</w:t>
      </w:r>
      <w:proofErr w:type="spellEnd"/>
      <w:r w:rsidRPr="00601A36">
        <w:rPr>
          <w:rFonts w:eastAsia="Times New Roman"/>
        </w:rPr>
        <w:t xml:space="preserve">: https://doi.org/10.15585/mmwr.mm6903a5. </w:t>
      </w:r>
    </w:p>
    <w:p w14:paraId="20700AC5" w14:textId="77777777" w:rsidR="00601A36" w:rsidRPr="00601A36" w:rsidRDefault="00601A36" w:rsidP="00601A36">
      <w:pPr>
        <w:pStyle w:val="ListParagraph"/>
        <w:numPr>
          <w:ilvl w:val="0"/>
          <w:numId w:val="10"/>
        </w:numPr>
        <w:divId w:val="1847091836"/>
        <w:rPr>
          <w:rFonts w:eastAsia="Times New Roman"/>
        </w:rPr>
      </w:pPr>
      <w:r w:rsidRPr="00601A36">
        <w:rPr>
          <w:rFonts w:eastAsia="Times New Roman"/>
        </w:rPr>
        <w:t xml:space="preserve">UK Health Security Agency. </w:t>
      </w:r>
      <w:r w:rsidRPr="00B14006">
        <w:rPr>
          <w:rStyle w:val="Emphasis"/>
          <w:rFonts w:eastAsia="Times New Roman"/>
          <w:b w:val="0"/>
          <w:bCs w:val="0"/>
        </w:rPr>
        <w:t>Tetanus: The Green Book, Chapter 30</w:t>
      </w:r>
      <w:r w:rsidRPr="00601A36">
        <w:rPr>
          <w:rFonts w:eastAsia="Times New Roman"/>
        </w:rPr>
        <w:t xml:space="preserve">. London: Government of the United Kingdom, UK Health Security Agency; 1 June 2022. Available from: https://www.gov.uk/government/publications/tetanus-the-green-book-chapter-30. </w:t>
      </w:r>
    </w:p>
    <w:p w14:paraId="0559EA7B" w14:textId="77777777" w:rsidR="00601A36" w:rsidRPr="00601A36" w:rsidRDefault="00601A36" w:rsidP="00601A36">
      <w:pPr>
        <w:pStyle w:val="ListParagraph"/>
        <w:numPr>
          <w:ilvl w:val="0"/>
          <w:numId w:val="10"/>
        </w:numPr>
        <w:divId w:val="1847091836"/>
        <w:rPr>
          <w:rFonts w:eastAsia="Times New Roman"/>
        </w:rPr>
      </w:pPr>
      <w:proofErr w:type="spellStart"/>
      <w:r w:rsidRPr="00601A36">
        <w:rPr>
          <w:rFonts w:eastAsia="Times New Roman"/>
        </w:rPr>
        <w:t>Slifka</w:t>
      </w:r>
      <w:proofErr w:type="spellEnd"/>
      <w:r w:rsidRPr="00601A36">
        <w:rPr>
          <w:rFonts w:eastAsia="Times New Roman"/>
        </w:rPr>
        <w:t xml:space="preserve"> AM, Park B, Gao L, </w:t>
      </w:r>
      <w:proofErr w:type="spellStart"/>
      <w:r w:rsidRPr="00601A36">
        <w:rPr>
          <w:rFonts w:eastAsia="Times New Roman"/>
        </w:rPr>
        <w:t>Slifka</w:t>
      </w:r>
      <w:proofErr w:type="spellEnd"/>
      <w:r w:rsidRPr="00601A36">
        <w:rPr>
          <w:rFonts w:eastAsia="Times New Roman"/>
        </w:rPr>
        <w:t xml:space="preserve"> MK. Incidence of tetanus and diphtheria in relation to adult vaccination schedules. </w:t>
      </w:r>
      <w:r w:rsidRPr="00B14006">
        <w:rPr>
          <w:rStyle w:val="Emphasis"/>
          <w:rFonts w:eastAsia="Times New Roman"/>
          <w:b w:val="0"/>
          <w:bCs w:val="0"/>
        </w:rPr>
        <w:t>Clin Infect Dis</w:t>
      </w:r>
      <w:r w:rsidRPr="00601A36">
        <w:rPr>
          <w:rFonts w:eastAsia="Times New Roman"/>
        </w:rPr>
        <w:t xml:space="preserve">. 2020;72(2):285–92. </w:t>
      </w:r>
      <w:proofErr w:type="spellStart"/>
      <w:r w:rsidRPr="00601A36">
        <w:rPr>
          <w:rFonts w:eastAsia="Times New Roman"/>
        </w:rPr>
        <w:t>doi</w:t>
      </w:r>
      <w:proofErr w:type="spellEnd"/>
      <w:r w:rsidRPr="00601A36">
        <w:rPr>
          <w:rFonts w:eastAsia="Times New Roman"/>
        </w:rPr>
        <w:t>: https://doi.org/10.1093/cid/ciaa017.</w:t>
      </w:r>
    </w:p>
    <w:p w14:paraId="67549802" w14:textId="77777777" w:rsidR="008B5348" w:rsidRDefault="008B5348">
      <w:pPr>
        <w:rPr>
          <w:rStyle w:val="A10"/>
        </w:rPr>
      </w:pPr>
    </w:p>
    <w:p w14:paraId="0CC3E54C" w14:textId="6BC53CDF" w:rsidR="00650157" w:rsidRDefault="00650157">
      <w:pPr>
        <w:rPr>
          <w:rStyle w:val="A10"/>
        </w:rPr>
        <w:sectPr w:rsidR="00650157" w:rsidSect="00A30C37">
          <w:headerReference w:type="default" r:id="rId15"/>
          <w:footerReference w:type="default" r:id="rId16"/>
          <w:footerReference w:type="first" r:id="rId17"/>
          <w:footnotePr>
            <w:numFmt w:val="lowerRoman"/>
          </w:footnotePr>
          <w:pgSz w:w="11906" w:h="16838"/>
          <w:pgMar w:top="720" w:right="720" w:bottom="1134" w:left="720" w:header="709" w:footer="284" w:gutter="0"/>
          <w:cols w:space="708"/>
          <w:titlePg/>
          <w:docGrid w:linePitch="360"/>
        </w:sectPr>
      </w:pPr>
    </w:p>
    <w:p w14:paraId="524052BA"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08B281AE"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4325ABC7" w14:textId="77777777" w:rsidR="000A5F42" w:rsidRPr="000606CC" w:rsidRDefault="000A5F42" w:rsidP="000A5F42">
      <w:pPr>
        <w:pStyle w:val="NoSpacing"/>
        <w:rPr>
          <w:rStyle w:val="URI"/>
          <w:rFonts w:cstheme="minorHAnsi"/>
          <w:sz w:val="20"/>
          <w:szCs w:val="18"/>
        </w:rPr>
      </w:pPr>
    </w:p>
    <w:p w14:paraId="173BDAA5"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 xml:space="preserve">Department of </w:t>
      </w:r>
      <w:proofErr w:type="gramStart"/>
      <w:r w:rsidR="001723AC">
        <w:rPr>
          <w:rStyle w:val="Strong"/>
          <w:rFonts w:cs="Calibri"/>
          <w:b w:val="0"/>
          <w:bCs w:val="0"/>
          <w:sz w:val="20"/>
          <w:szCs w:val="18"/>
        </w:rPr>
        <w:t>Health</w:t>
      </w:r>
      <w:proofErr w:type="gramEnd"/>
      <w:r w:rsidR="001723AC">
        <w:rPr>
          <w:rStyle w:val="Strong"/>
          <w:rFonts w:cs="Calibri"/>
          <w:b w:val="0"/>
          <w:bCs w:val="0"/>
          <w:sz w:val="20"/>
          <w:szCs w:val="18"/>
        </w:rPr>
        <w:t xml:space="preserve"> and Aged Care</w:t>
      </w:r>
      <w:r w:rsidRPr="000606CC">
        <w:rPr>
          <w:rStyle w:val="Strong"/>
          <w:rFonts w:cs="Calibri"/>
          <w:b w:val="0"/>
          <w:bCs w:val="0"/>
          <w:sz w:val="20"/>
          <w:szCs w:val="18"/>
        </w:rPr>
        <w:t xml:space="preserve">. The journal aims to </w:t>
      </w:r>
      <w:proofErr w:type="gramStart"/>
      <w:r w:rsidRPr="000606CC">
        <w:rPr>
          <w:rStyle w:val="Strong"/>
          <w:rFonts w:cs="Calibri"/>
          <w:b w:val="0"/>
          <w:bCs w:val="0"/>
          <w:sz w:val="20"/>
          <w:szCs w:val="18"/>
        </w:rPr>
        <w:t>disseminate</w:t>
      </w:r>
      <w:proofErr w:type="gramEnd"/>
      <w:r w:rsidRPr="000606CC">
        <w:rPr>
          <w:rStyle w:val="Strong"/>
          <w:rFonts w:cs="Calibri"/>
          <w:b w:val="0"/>
          <w:bCs w:val="0"/>
          <w:sz w:val="20"/>
          <w:szCs w:val="18"/>
        </w:rPr>
        <w:t xml:space="preserve"> information on the epidemiology, surveillance, prevention and control of communicable diseases of relevance to Australia.</w:t>
      </w:r>
    </w:p>
    <w:p w14:paraId="6E3FAE40" w14:textId="77777777" w:rsidR="000A5F42" w:rsidRPr="000606CC" w:rsidRDefault="000A5F42" w:rsidP="000A5F42">
      <w:pPr>
        <w:pStyle w:val="NoSpacing"/>
        <w:rPr>
          <w:rStyle w:val="Strong"/>
          <w:rFonts w:cstheme="minorHAnsi"/>
          <w:sz w:val="20"/>
          <w:szCs w:val="18"/>
        </w:rPr>
      </w:pPr>
    </w:p>
    <w:p w14:paraId="1C0CC3F0"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8B62FF">
        <w:rPr>
          <w:rFonts w:cstheme="minorHAnsi"/>
          <w:sz w:val="20"/>
          <w:szCs w:val="18"/>
        </w:rPr>
        <w:t>Christina Bareja</w:t>
      </w:r>
    </w:p>
    <w:p w14:paraId="30C59D3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282DF8D7"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06B0151E"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CF75DF" w:rsidRPr="00CF75DF">
        <w:rPr>
          <w:rFonts w:cstheme="minorHAnsi"/>
          <w:sz w:val="20"/>
          <w:szCs w:val="18"/>
        </w:rPr>
        <w:t xml:space="preserve">David Durrheim, Mark Ferson, Clare Huppatz, John Kaldor, Martyn Kirk, Meru </w:t>
      </w:r>
      <w:proofErr w:type="gramStart"/>
      <w:r w:rsidR="00CF75DF" w:rsidRPr="00CF75DF">
        <w:rPr>
          <w:rFonts w:cstheme="minorHAnsi"/>
          <w:sz w:val="20"/>
          <w:szCs w:val="18"/>
        </w:rPr>
        <w:t>Sheel</w:t>
      </w:r>
      <w:proofErr w:type="gramEnd"/>
      <w:r w:rsidR="00CF75DF" w:rsidRPr="00CF75DF">
        <w:rPr>
          <w:rFonts w:cstheme="minorHAnsi"/>
          <w:sz w:val="20"/>
          <w:szCs w:val="18"/>
        </w:rPr>
        <w:t xml:space="preserve"> and Steph</w:t>
      </w:r>
      <w:r w:rsidR="00CF75DF">
        <w:rPr>
          <w:rFonts w:cstheme="minorHAnsi"/>
          <w:sz w:val="20"/>
          <w:szCs w:val="18"/>
        </w:rPr>
        <w:t> </w:t>
      </w:r>
      <w:r w:rsidR="00CF75DF" w:rsidRPr="00CF75DF">
        <w:rPr>
          <w:rFonts w:cstheme="minorHAnsi"/>
          <w:sz w:val="20"/>
          <w:szCs w:val="18"/>
        </w:rPr>
        <w:t>Williams</w:t>
      </w:r>
    </w:p>
    <w:p w14:paraId="2C26DE8A" w14:textId="77777777" w:rsidR="000A5F42" w:rsidRPr="000606CC" w:rsidRDefault="000A5F42" w:rsidP="000A5F42">
      <w:pPr>
        <w:pStyle w:val="NoSpacing"/>
        <w:rPr>
          <w:rStyle w:val="Strong"/>
          <w:rFonts w:cstheme="minorHAnsi"/>
          <w:sz w:val="20"/>
          <w:szCs w:val="18"/>
        </w:rPr>
      </w:pPr>
    </w:p>
    <w:p w14:paraId="6A342846" w14:textId="2C5F9C16"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8"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6DFA04F5" w14:textId="77777777" w:rsidR="000A5F42" w:rsidRPr="000606CC" w:rsidRDefault="000A5F42" w:rsidP="000A5F42">
      <w:pPr>
        <w:pStyle w:val="NoSpacing"/>
        <w:rPr>
          <w:rStyle w:val="Strong"/>
          <w:rFonts w:cstheme="minorHAnsi"/>
          <w:sz w:val="20"/>
          <w:szCs w:val="18"/>
        </w:rPr>
      </w:pPr>
    </w:p>
    <w:p w14:paraId="2B9D0AB0"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w:t>
      </w:r>
      <w:proofErr w:type="gramStart"/>
      <w:r w:rsidR="00E54BBD">
        <w:rPr>
          <w:rFonts w:cstheme="minorHAnsi"/>
          <w:sz w:val="20"/>
          <w:szCs w:val="18"/>
        </w:rPr>
        <w:t>is produced</w:t>
      </w:r>
      <w:proofErr w:type="gramEnd"/>
      <w:r w:rsidR="00E54BBD">
        <w:rPr>
          <w:rFonts w:cstheme="minorHAnsi"/>
          <w:sz w:val="20"/>
          <w:szCs w:val="18"/>
        </w:rPr>
        <w:t xml:space="preserve">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42AFDA21" w14:textId="77777777" w:rsidR="000A5F42" w:rsidRPr="000606CC" w:rsidRDefault="000A5F42" w:rsidP="000A5F42">
      <w:pPr>
        <w:pStyle w:val="NoSpacing"/>
        <w:rPr>
          <w:rStyle w:val="Strong"/>
          <w:rFonts w:cstheme="minorHAnsi"/>
          <w:sz w:val="20"/>
          <w:szCs w:val="18"/>
        </w:rPr>
      </w:pPr>
    </w:p>
    <w:p w14:paraId="6F4FF5CF" w14:textId="14E24C8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9"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6995ED86" w14:textId="77777777" w:rsidR="000A5F42" w:rsidRPr="000606CC" w:rsidRDefault="000A5F42" w:rsidP="000A5F42">
      <w:pPr>
        <w:pStyle w:val="NoSpacing"/>
        <w:rPr>
          <w:rStyle w:val="Strong"/>
          <w:rFonts w:cstheme="minorHAnsi"/>
          <w:sz w:val="20"/>
          <w:szCs w:val="18"/>
        </w:rPr>
      </w:pPr>
    </w:p>
    <w:p w14:paraId="37C61A1A" w14:textId="37559033"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w:t>
      </w:r>
      <w:proofErr w:type="gramStart"/>
      <w:r w:rsidRPr="000606CC">
        <w:rPr>
          <w:rFonts w:cstheme="minorHAnsi"/>
          <w:sz w:val="20"/>
          <w:szCs w:val="18"/>
        </w:rPr>
        <w:t>regarding</w:t>
      </w:r>
      <w:proofErr w:type="gramEnd"/>
      <w:r w:rsidRPr="000606CC">
        <w:rPr>
          <w:rFonts w:cstheme="minorHAnsi"/>
          <w:sz w:val="20"/>
          <w:szCs w:val="18"/>
        </w:rPr>
        <w:t xml:space="preserve"> CDI can be found at: </w:t>
      </w:r>
      <w:hyperlink r:id="rId20"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45E42AEA" w14:textId="02D3D11A"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w:t>
      </w:r>
      <w:proofErr w:type="gramStart"/>
      <w:r w:rsidRPr="000606CC">
        <w:rPr>
          <w:rFonts w:cstheme="minorHAnsi"/>
          <w:sz w:val="20"/>
          <w:szCs w:val="18"/>
        </w:rPr>
        <w:t>be directed</w:t>
      </w:r>
      <w:proofErr w:type="gramEnd"/>
      <w:r w:rsidRPr="000606CC">
        <w:rPr>
          <w:rFonts w:cstheme="minorHAnsi"/>
          <w:sz w:val="20"/>
          <w:szCs w:val="18"/>
        </w:rPr>
        <w:t xml:space="preserve"> to: </w:t>
      </w:r>
      <w:hyperlink r:id="rId21" w:history="1">
        <w:r w:rsidRPr="000606CC">
          <w:rPr>
            <w:rStyle w:val="Hyperlink"/>
            <w:rFonts w:cstheme="minorHAnsi"/>
            <w:sz w:val="20"/>
            <w:szCs w:val="18"/>
          </w:rPr>
          <w:t>cdi.editor@health.gov.au</w:t>
        </w:r>
      </w:hyperlink>
      <w:r w:rsidRPr="000606CC">
        <w:rPr>
          <w:rFonts w:cstheme="minorHAnsi"/>
          <w:sz w:val="20"/>
          <w:szCs w:val="18"/>
        </w:rPr>
        <w:t>.</w:t>
      </w:r>
    </w:p>
    <w:p w14:paraId="5D4F3A2F" w14:textId="77777777" w:rsidR="000A5F42" w:rsidRPr="000606CC" w:rsidRDefault="000A5F42" w:rsidP="000A5F42">
      <w:pPr>
        <w:pStyle w:val="NoSpacing"/>
        <w:pBdr>
          <w:bottom w:val="single" w:sz="6" w:space="1" w:color="auto"/>
        </w:pBdr>
        <w:rPr>
          <w:rStyle w:val="Strong"/>
          <w:rFonts w:cstheme="minorHAnsi"/>
          <w:sz w:val="12"/>
          <w:szCs w:val="18"/>
        </w:rPr>
      </w:pPr>
    </w:p>
    <w:p w14:paraId="4377FB7C" w14:textId="77777777" w:rsidR="000A5F42" w:rsidRPr="000606CC" w:rsidRDefault="000A5F42" w:rsidP="000A5F42">
      <w:pPr>
        <w:pStyle w:val="NoSpacing"/>
        <w:rPr>
          <w:rFonts w:cstheme="minorHAnsi"/>
          <w:sz w:val="20"/>
          <w:szCs w:val="18"/>
        </w:rPr>
      </w:pPr>
    </w:p>
    <w:p w14:paraId="6CF798CA"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w:t>
      </w:r>
      <w:proofErr w:type="gramStart"/>
      <w:r w:rsidRPr="000606CC">
        <w:rPr>
          <w:rFonts w:cstheme="minorHAnsi"/>
          <w:sz w:val="20"/>
          <w:szCs w:val="18"/>
        </w:rPr>
        <w:t>is indexed</w:t>
      </w:r>
      <w:proofErr w:type="gramEnd"/>
      <w:r w:rsidRPr="000606CC">
        <w:rPr>
          <w:rFonts w:cstheme="minorHAnsi"/>
          <w:sz w:val="20"/>
          <w:szCs w:val="18"/>
        </w:rPr>
        <w:t xml:space="preserve">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71AD67EE" w14:textId="77777777" w:rsidR="000A5F42" w:rsidRPr="000606CC" w:rsidRDefault="000A5F42" w:rsidP="000A5F42">
      <w:pPr>
        <w:pStyle w:val="NoSpacing"/>
        <w:rPr>
          <w:rFonts w:cstheme="minorHAnsi"/>
          <w:sz w:val="20"/>
          <w:szCs w:val="18"/>
        </w:rPr>
      </w:pPr>
    </w:p>
    <w:p w14:paraId="2478FAB1"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50361B10"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F3428D">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46B90895" w14:textId="3EE06C69"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22"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438B18D1" w14:textId="77777777" w:rsidR="000A5F42" w:rsidRPr="000606CC" w:rsidRDefault="000A5F42" w:rsidP="000A5F42">
      <w:pPr>
        <w:pStyle w:val="NoSpacing"/>
        <w:rPr>
          <w:rFonts w:cstheme="minorHAnsi"/>
          <w:sz w:val="20"/>
          <w:szCs w:val="18"/>
        </w:rPr>
      </w:pPr>
    </w:p>
    <w:p w14:paraId="4A43D7D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27BC9C71" w14:textId="4DF265A6"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3"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09CA512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 xml:space="preserve">’s logo) and </w:t>
      </w:r>
      <w:proofErr w:type="gramStart"/>
      <w:r w:rsidRPr="000606CC">
        <w:rPr>
          <w:rFonts w:cstheme="minorHAnsi"/>
          <w:sz w:val="20"/>
          <w:szCs w:val="18"/>
        </w:rPr>
        <w:t>trademarks;</w:t>
      </w:r>
      <w:proofErr w:type="gramEnd"/>
    </w:p>
    <w:p w14:paraId="3197FE31"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2EFF5A0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152E3356"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28742DD4" w14:textId="77777777" w:rsidR="000A5F42" w:rsidRPr="000606CC" w:rsidRDefault="000A5F42" w:rsidP="000A5F42">
      <w:pPr>
        <w:pStyle w:val="NoSpacing"/>
        <w:rPr>
          <w:rStyle w:val="Strong"/>
          <w:rFonts w:cstheme="minorHAnsi"/>
          <w:sz w:val="20"/>
          <w:szCs w:val="18"/>
        </w:rPr>
      </w:pPr>
    </w:p>
    <w:p w14:paraId="0C0EF1B7"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345BA8D6" w14:textId="77777777" w:rsidR="000A5F42" w:rsidRPr="000606CC" w:rsidRDefault="000A5F42" w:rsidP="000A5F42">
      <w:pPr>
        <w:pStyle w:val="NoSpacing"/>
        <w:rPr>
          <w:rStyle w:val="Strong"/>
          <w:rFonts w:cstheme="minorHAnsi"/>
          <w:sz w:val="20"/>
          <w:szCs w:val="18"/>
        </w:rPr>
      </w:pPr>
    </w:p>
    <w:p w14:paraId="3B68EBCA" w14:textId="4AE812AA"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24"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432A7A40" w14:textId="77777777" w:rsidR="000A5F42" w:rsidRPr="000606CC" w:rsidRDefault="000A5F42" w:rsidP="000A5F42">
      <w:pPr>
        <w:pStyle w:val="NoSpacing"/>
        <w:rPr>
          <w:rStyle w:val="URI"/>
          <w:rFonts w:cstheme="minorHAnsi"/>
          <w:sz w:val="20"/>
          <w:szCs w:val="18"/>
        </w:rPr>
      </w:pPr>
    </w:p>
    <w:p w14:paraId="4FA0C93C" w14:textId="4F28B8FE"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5"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6"/>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014E1" w14:textId="77777777" w:rsidR="00F3428D" w:rsidRDefault="00F3428D" w:rsidP="00E54DBA">
      <w:r>
        <w:separator/>
      </w:r>
    </w:p>
    <w:p w14:paraId="13CDC984" w14:textId="77777777" w:rsidR="00F3428D" w:rsidRDefault="00F3428D"/>
    <w:p w14:paraId="58B89542" w14:textId="77777777" w:rsidR="00F3428D" w:rsidRDefault="00F3428D" w:rsidP="008714B0"/>
  </w:endnote>
  <w:endnote w:type="continuationSeparator" w:id="0">
    <w:p w14:paraId="6E0B96D8" w14:textId="77777777" w:rsidR="00F3428D" w:rsidRDefault="00F3428D" w:rsidP="00E54DBA">
      <w:r>
        <w:continuationSeparator/>
      </w:r>
    </w:p>
    <w:p w14:paraId="4DA6C61E" w14:textId="77777777" w:rsidR="00F3428D" w:rsidRDefault="00F3428D"/>
    <w:p w14:paraId="120B4B3C" w14:textId="77777777" w:rsidR="00F3428D" w:rsidRDefault="00F3428D"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20B050303040309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19423" w14:textId="16B1875C"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B14006">
      <w:rPr>
        <w:i/>
        <w:sz w:val="18"/>
      </w:rPr>
      <w:t>Commun</w:t>
    </w:r>
    <w:proofErr w:type="spellEnd"/>
    <w:r w:rsidR="00CE342B" w:rsidRPr="00B14006">
      <w:rPr>
        <w:i/>
        <w:sz w:val="18"/>
      </w:rPr>
      <w:t xml:space="preserve"> Dis </w:t>
    </w:r>
    <w:proofErr w:type="spellStart"/>
    <w:r w:rsidR="00CE342B" w:rsidRPr="00B14006">
      <w:rPr>
        <w:i/>
        <w:sz w:val="18"/>
      </w:rPr>
      <w:t>Intell</w:t>
    </w:r>
    <w:proofErr w:type="spellEnd"/>
    <w:r w:rsidR="00CE342B" w:rsidRPr="00B14006">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F3428D">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F3428D">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E8353A">
      <w:rPr>
        <w:sz w:val="18"/>
      </w:rPr>
      <w:t>https://doi.org/10.33321/cdi.2023.47.61</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E8353A">
      <w:rPr>
        <w:sz w:val="18"/>
      </w:rPr>
      <w:t>19/10/2023</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69D7" w14:textId="7CD9E6C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B14006">
      <w:rPr>
        <w:i/>
        <w:sz w:val="18"/>
      </w:rPr>
      <w:t>Commun</w:t>
    </w:r>
    <w:proofErr w:type="spellEnd"/>
    <w:r w:rsidR="00A164D5" w:rsidRPr="00B14006">
      <w:rPr>
        <w:i/>
        <w:sz w:val="18"/>
      </w:rPr>
      <w:t xml:space="preserve"> Dis </w:t>
    </w:r>
    <w:proofErr w:type="spellStart"/>
    <w:r w:rsidR="00A164D5" w:rsidRPr="00B14006">
      <w:rPr>
        <w:i/>
        <w:sz w:val="18"/>
      </w:rPr>
      <w:t>Intell</w:t>
    </w:r>
    <w:proofErr w:type="spellEnd"/>
    <w:r w:rsidR="00A164D5" w:rsidRPr="00B14006">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F3428D">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F3428D">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5C07B6">
      <w:rPr>
        <w:sz w:val="18"/>
      </w:rPr>
      <w:t>https://doi.org/10.33321/cdi.2023.47.61</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5C07B6">
      <w:rPr>
        <w:sz w:val="18"/>
      </w:rPr>
      <w:t>19/10/2023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4D06C" w14:textId="77777777" w:rsidR="00F3428D" w:rsidRPr="00B91FB5" w:rsidRDefault="00F3428D" w:rsidP="00B91FB5">
      <w:pPr>
        <w:spacing w:after="0" w:line="240" w:lineRule="auto"/>
        <w:rPr>
          <w:sz w:val="18"/>
          <w:szCs w:val="18"/>
        </w:rPr>
      </w:pPr>
      <w:r w:rsidRPr="00B91FB5">
        <w:rPr>
          <w:sz w:val="18"/>
          <w:szCs w:val="18"/>
        </w:rPr>
        <w:separator/>
      </w:r>
    </w:p>
  </w:footnote>
  <w:footnote w:type="continuationSeparator" w:id="0">
    <w:p w14:paraId="6B21B3AD" w14:textId="77777777" w:rsidR="00F3428D" w:rsidRDefault="00F3428D" w:rsidP="00E54DBA">
      <w:r>
        <w:continuationSeparator/>
      </w:r>
    </w:p>
  </w:footnote>
  <w:footnote w:type="continuationNotice" w:id="1">
    <w:p w14:paraId="45D8E3B3" w14:textId="77777777" w:rsidR="00F3428D" w:rsidRPr="00224EFF" w:rsidRDefault="00F3428D" w:rsidP="00224EFF">
      <w:pPr>
        <w:pStyle w:val="Footer"/>
      </w:pPr>
    </w:p>
  </w:footnote>
  <w:footnote w:id="2">
    <w:p w14:paraId="52E8E998" w14:textId="235DCB82" w:rsidR="00D47D06" w:rsidRPr="00D47D06" w:rsidRDefault="00D47D06" w:rsidP="00D47D06">
      <w:pPr>
        <w:pStyle w:val="CDIfootnotes"/>
      </w:pPr>
      <w:r w:rsidRPr="00D47D06">
        <w:rPr>
          <w:rStyle w:val="FootnoteReference"/>
          <w:vertAlign w:val="baseline"/>
        </w:rPr>
        <w:footnoteRef/>
      </w:r>
      <w:r w:rsidRPr="00D47D06">
        <w:t xml:space="preserve"> </w:t>
      </w:r>
      <w:r>
        <w:tab/>
      </w:r>
      <w:r w:rsidRPr="00D47D06">
        <w:t>To comply with the AIHW’s data release condition that hospitalisation counts &lt; 5 be suppressed in published reports, counts between 1 and 4 are reported as a range.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C71B6" w14:textId="03E11D20" w:rsidR="00257484" w:rsidRPr="00A153B6" w:rsidRDefault="00083CA6"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F47B7A">
          <w:t>Original article</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8E55B"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795FF2BA" wp14:editId="70EFB4A4">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6AA6265"/>
    <w:multiLevelType w:val="hybridMultilevel"/>
    <w:tmpl w:val="2C02B7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AE649D9"/>
    <w:multiLevelType w:val="multilevel"/>
    <w:tmpl w:val="90907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8332CF1"/>
    <w:multiLevelType w:val="multilevel"/>
    <w:tmpl w:val="B2865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D0211B4"/>
    <w:multiLevelType w:val="hybridMultilevel"/>
    <w:tmpl w:val="C68677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44344863">
    <w:abstractNumId w:val="1"/>
  </w:num>
  <w:num w:numId="2" w16cid:durableId="848328452">
    <w:abstractNumId w:val="4"/>
  </w:num>
  <w:num w:numId="3" w16cid:durableId="731393934">
    <w:abstractNumId w:val="5"/>
  </w:num>
  <w:num w:numId="4" w16cid:durableId="1636182971">
    <w:abstractNumId w:val="0"/>
  </w:num>
  <w:num w:numId="5" w16cid:durableId="642613033">
    <w:abstractNumId w:val="7"/>
  </w:num>
  <w:num w:numId="6" w16cid:durableId="155153381">
    <w:abstractNumId w:val="8"/>
  </w:num>
  <w:num w:numId="7" w16cid:durableId="497234133">
    <w:abstractNumId w:val="3"/>
  </w:num>
  <w:num w:numId="8" w16cid:durableId="417216052">
    <w:abstractNumId w:val="6"/>
  </w:num>
  <w:num w:numId="9" w16cid:durableId="1383554592">
    <w:abstractNumId w:val="2"/>
  </w:num>
  <w:num w:numId="10" w16cid:durableId="432198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28D"/>
    <w:rsid w:val="00000B5B"/>
    <w:rsid w:val="00001611"/>
    <w:rsid w:val="000104A8"/>
    <w:rsid w:val="0001246E"/>
    <w:rsid w:val="000124B1"/>
    <w:rsid w:val="00016FE6"/>
    <w:rsid w:val="00031064"/>
    <w:rsid w:val="00031692"/>
    <w:rsid w:val="00032531"/>
    <w:rsid w:val="000325A0"/>
    <w:rsid w:val="00034E96"/>
    <w:rsid w:val="000471BF"/>
    <w:rsid w:val="00047B68"/>
    <w:rsid w:val="00052600"/>
    <w:rsid w:val="0005643C"/>
    <w:rsid w:val="0006264A"/>
    <w:rsid w:val="00073D77"/>
    <w:rsid w:val="00081655"/>
    <w:rsid w:val="00083CA6"/>
    <w:rsid w:val="000864E0"/>
    <w:rsid w:val="000969B3"/>
    <w:rsid w:val="000A5F42"/>
    <w:rsid w:val="000D4B4D"/>
    <w:rsid w:val="001016C9"/>
    <w:rsid w:val="00113D58"/>
    <w:rsid w:val="001200CB"/>
    <w:rsid w:val="001378A3"/>
    <w:rsid w:val="001419C7"/>
    <w:rsid w:val="00155582"/>
    <w:rsid w:val="00161590"/>
    <w:rsid w:val="00171CC0"/>
    <w:rsid w:val="001723AC"/>
    <w:rsid w:val="00175494"/>
    <w:rsid w:val="00175629"/>
    <w:rsid w:val="001830EC"/>
    <w:rsid w:val="00183534"/>
    <w:rsid w:val="0018758E"/>
    <w:rsid w:val="001A4A96"/>
    <w:rsid w:val="001A5D05"/>
    <w:rsid w:val="001A796C"/>
    <w:rsid w:val="001B2614"/>
    <w:rsid w:val="001B37B8"/>
    <w:rsid w:val="001B552F"/>
    <w:rsid w:val="001C0893"/>
    <w:rsid w:val="001C1303"/>
    <w:rsid w:val="001C70B2"/>
    <w:rsid w:val="001D37C7"/>
    <w:rsid w:val="001D6888"/>
    <w:rsid w:val="001E4E1D"/>
    <w:rsid w:val="00200E3B"/>
    <w:rsid w:val="00224EFF"/>
    <w:rsid w:val="002276DC"/>
    <w:rsid w:val="00227E00"/>
    <w:rsid w:val="002307CB"/>
    <w:rsid w:val="00231046"/>
    <w:rsid w:val="00234F21"/>
    <w:rsid w:val="00242659"/>
    <w:rsid w:val="002428F7"/>
    <w:rsid w:val="00242AEF"/>
    <w:rsid w:val="0024315F"/>
    <w:rsid w:val="0024631C"/>
    <w:rsid w:val="00252C9A"/>
    <w:rsid w:val="00256309"/>
    <w:rsid w:val="00257484"/>
    <w:rsid w:val="00260636"/>
    <w:rsid w:val="00275C5C"/>
    <w:rsid w:val="00275C78"/>
    <w:rsid w:val="00280594"/>
    <w:rsid w:val="00281EE3"/>
    <w:rsid w:val="00284E4A"/>
    <w:rsid w:val="002A3799"/>
    <w:rsid w:val="002A3BCC"/>
    <w:rsid w:val="002A4516"/>
    <w:rsid w:val="002A569F"/>
    <w:rsid w:val="002A7066"/>
    <w:rsid w:val="002B001E"/>
    <w:rsid w:val="002B09B7"/>
    <w:rsid w:val="002B75A9"/>
    <w:rsid w:val="002C21B0"/>
    <w:rsid w:val="002C6849"/>
    <w:rsid w:val="002E2FB3"/>
    <w:rsid w:val="002F327B"/>
    <w:rsid w:val="00301626"/>
    <w:rsid w:val="003059EC"/>
    <w:rsid w:val="00316CCD"/>
    <w:rsid w:val="00324F7E"/>
    <w:rsid w:val="003323BC"/>
    <w:rsid w:val="00332C0A"/>
    <w:rsid w:val="00346D42"/>
    <w:rsid w:val="00346E11"/>
    <w:rsid w:val="003601C0"/>
    <w:rsid w:val="003635F5"/>
    <w:rsid w:val="00372A88"/>
    <w:rsid w:val="00381A0F"/>
    <w:rsid w:val="003A1B3A"/>
    <w:rsid w:val="003A40F5"/>
    <w:rsid w:val="003B5B8C"/>
    <w:rsid w:val="003C7841"/>
    <w:rsid w:val="003D5302"/>
    <w:rsid w:val="003D584E"/>
    <w:rsid w:val="003D79B1"/>
    <w:rsid w:val="003E74EE"/>
    <w:rsid w:val="003F0552"/>
    <w:rsid w:val="003F3BC2"/>
    <w:rsid w:val="003F725B"/>
    <w:rsid w:val="00401ED1"/>
    <w:rsid w:val="00401ED2"/>
    <w:rsid w:val="0040224C"/>
    <w:rsid w:val="00413EE1"/>
    <w:rsid w:val="004164BB"/>
    <w:rsid w:val="0042000E"/>
    <w:rsid w:val="00421ECE"/>
    <w:rsid w:val="00422FEB"/>
    <w:rsid w:val="0042435E"/>
    <w:rsid w:val="004315F5"/>
    <w:rsid w:val="00433456"/>
    <w:rsid w:val="00433DFA"/>
    <w:rsid w:val="00435D67"/>
    <w:rsid w:val="00441AD7"/>
    <w:rsid w:val="0045228E"/>
    <w:rsid w:val="00464A58"/>
    <w:rsid w:val="00473D2D"/>
    <w:rsid w:val="00476F25"/>
    <w:rsid w:val="00493E55"/>
    <w:rsid w:val="004A2125"/>
    <w:rsid w:val="004A38F6"/>
    <w:rsid w:val="004B4EB6"/>
    <w:rsid w:val="004C083C"/>
    <w:rsid w:val="004C67C6"/>
    <w:rsid w:val="004D29DE"/>
    <w:rsid w:val="00510EAC"/>
    <w:rsid w:val="00512C17"/>
    <w:rsid w:val="00535CE6"/>
    <w:rsid w:val="00542A57"/>
    <w:rsid w:val="00565974"/>
    <w:rsid w:val="0057074F"/>
    <w:rsid w:val="005732C0"/>
    <w:rsid w:val="0057336D"/>
    <w:rsid w:val="0057489A"/>
    <w:rsid w:val="00574ACF"/>
    <w:rsid w:val="00581588"/>
    <w:rsid w:val="0058540B"/>
    <w:rsid w:val="00587C87"/>
    <w:rsid w:val="00590B80"/>
    <w:rsid w:val="005B3134"/>
    <w:rsid w:val="005B4E61"/>
    <w:rsid w:val="005B595A"/>
    <w:rsid w:val="005B66C2"/>
    <w:rsid w:val="005C07B6"/>
    <w:rsid w:val="005C66A6"/>
    <w:rsid w:val="005D2465"/>
    <w:rsid w:val="005D44A3"/>
    <w:rsid w:val="005E33DD"/>
    <w:rsid w:val="005E4229"/>
    <w:rsid w:val="005E5181"/>
    <w:rsid w:val="005E540E"/>
    <w:rsid w:val="005E55FB"/>
    <w:rsid w:val="005F16BB"/>
    <w:rsid w:val="00601A36"/>
    <w:rsid w:val="00603AD6"/>
    <w:rsid w:val="00607115"/>
    <w:rsid w:val="00620768"/>
    <w:rsid w:val="0062594B"/>
    <w:rsid w:val="00631406"/>
    <w:rsid w:val="006324FF"/>
    <w:rsid w:val="006351D6"/>
    <w:rsid w:val="00636E0D"/>
    <w:rsid w:val="0064142F"/>
    <w:rsid w:val="0064344E"/>
    <w:rsid w:val="00643CB4"/>
    <w:rsid w:val="00650157"/>
    <w:rsid w:val="00656427"/>
    <w:rsid w:val="00660255"/>
    <w:rsid w:val="00660ED3"/>
    <w:rsid w:val="00663EA5"/>
    <w:rsid w:val="006971F3"/>
    <w:rsid w:val="006C74A3"/>
    <w:rsid w:val="006D1381"/>
    <w:rsid w:val="006D31BC"/>
    <w:rsid w:val="006E7943"/>
    <w:rsid w:val="006F24EA"/>
    <w:rsid w:val="00704CA9"/>
    <w:rsid w:val="0071048D"/>
    <w:rsid w:val="00710F86"/>
    <w:rsid w:val="007111A8"/>
    <w:rsid w:val="00721344"/>
    <w:rsid w:val="00723B5F"/>
    <w:rsid w:val="00731BC3"/>
    <w:rsid w:val="00741192"/>
    <w:rsid w:val="00743A33"/>
    <w:rsid w:val="00746080"/>
    <w:rsid w:val="0075144A"/>
    <w:rsid w:val="0076060D"/>
    <w:rsid w:val="00786329"/>
    <w:rsid w:val="007866B5"/>
    <w:rsid w:val="00791091"/>
    <w:rsid w:val="00792C7D"/>
    <w:rsid w:val="00794A4D"/>
    <w:rsid w:val="007A5234"/>
    <w:rsid w:val="007B7854"/>
    <w:rsid w:val="007C56A1"/>
    <w:rsid w:val="007C6454"/>
    <w:rsid w:val="007E01E0"/>
    <w:rsid w:val="007E5CA0"/>
    <w:rsid w:val="007F0B93"/>
    <w:rsid w:val="007F2ECA"/>
    <w:rsid w:val="00802960"/>
    <w:rsid w:val="00811708"/>
    <w:rsid w:val="00816B90"/>
    <w:rsid w:val="00817799"/>
    <w:rsid w:val="00822F5F"/>
    <w:rsid w:val="00824FD3"/>
    <w:rsid w:val="00826589"/>
    <w:rsid w:val="00834BCC"/>
    <w:rsid w:val="00850648"/>
    <w:rsid w:val="00850D54"/>
    <w:rsid w:val="00852E2B"/>
    <w:rsid w:val="008714B0"/>
    <w:rsid w:val="00872936"/>
    <w:rsid w:val="00876331"/>
    <w:rsid w:val="00880726"/>
    <w:rsid w:val="00880849"/>
    <w:rsid w:val="008A3544"/>
    <w:rsid w:val="008B2E23"/>
    <w:rsid w:val="008B48B8"/>
    <w:rsid w:val="008B5348"/>
    <w:rsid w:val="008B58F8"/>
    <w:rsid w:val="008B62FF"/>
    <w:rsid w:val="008C0712"/>
    <w:rsid w:val="008C4520"/>
    <w:rsid w:val="008C5F09"/>
    <w:rsid w:val="008D470F"/>
    <w:rsid w:val="008E1F8F"/>
    <w:rsid w:val="008E4768"/>
    <w:rsid w:val="008E761E"/>
    <w:rsid w:val="008F77B3"/>
    <w:rsid w:val="009008F5"/>
    <w:rsid w:val="00904CC1"/>
    <w:rsid w:val="009066AF"/>
    <w:rsid w:val="00912050"/>
    <w:rsid w:val="00912E48"/>
    <w:rsid w:val="00912E68"/>
    <w:rsid w:val="0092746F"/>
    <w:rsid w:val="00935DC9"/>
    <w:rsid w:val="009446C0"/>
    <w:rsid w:val="0096082E"/>
    <w:rsid w:val="009612B1"/>
    <w:rsid w:val="00961347"/>
    <w:rsid w:val="00967410"/>
    <w:rsid w:val="00967D73"/>
    <w:rsid w:val="00970468"/>
    <w:rsid w:val="0098119A"/>
    <w:rsid w:val="00984AAF"/>
    <w:rsid w:val="00991B09"/>
    <w:rsid w:val="00993CB2"/>
    <w:rsid w:val="009A5166"/>
    <w:rsid w:val="009A76F8"/>
    <w:rsid w:val="009B2B83"/>
    <w:rsid w:val="009C49F8"/>
    <w:rsid w:val="009D77CC"/>
    <w:rsid w:val="009D797A"/>
    <w:rsid w:val="009E2423"/>
    <w:rsid w:val="009E2A01"/>
    <w:rsid w:val="009E55D7"/>
    <w:rsid w:val="009F33D1"/>
    <w:rsid w:val="009F4150"/>
    <w:rsid w:val="009F5665"/>
    <w:rsid w:val="009F5DAD"/>
    <w:rsid w:val="00A01BCA"/>
    <w:rsid w:val="00A10458"/>
    <w:rsid w:val="00A153B6"/>
    <w:rsid w:val="00A164D5"/>
    <w:rsid w:val="00A273C3"/>
    <w:rsid w:val="00A30C37"/>
    <w:rsid w:val="00A32998"/>
    <w:rsid w:val="00A36C65"/>
    <w:rsid w:val="00A41BBE"/>
    <w:rsid w:val="00A443E3"/>
    <w:rsid w:val="00A45BDD"/>
    <w:rsid w:val="00A46A0A"/>
    <w:rsid w:val="00A553F8"/>
    <w:rsid w:val="00A6708F"/>
    <w:rsid w:val="00A71BF6"/>
    <w:rsid w:val="00A72AF9"/>
    <w:rsid w:val="00A86F9A"/>
    <w:rsid w:val="00AA35E6"/>
    <w:rsid w:val="00AA50B6"/>
    <w:rsid w:val="00AA5B16"/>
    <w:rsid w:val="00AB3472"/>
    <w:rsid w:val="00AD0762"/>
    <w:rsid w:val="00AE0209"/>
    <w:rsid w:val="00AE3DCF"/>
    <w:rsid w:val="00AE4452"/>
    <w:rsid w:val="00AE7C38"/>
    <w:rsid w:val="00AF5290"/>
    <w:rsid w:val="00B01F99"/>
    <w:rsid w:val="00B02B37"/>
    <w:rsid w:val="00B05276"/>
    <w:rsid w:val="00B113ED"/>
    <w:rsid w:val="00B132DB"/>
    <w:rsid w:val="00B14006"/>
    <w:rsid w:val="00B31427"/>
    <w:rsid w:val="00B33861"/>
    <w:rsid w:val="00B40DE2"/>
    <w:rsid w:val="00B440A7"/>
    <w:rsid w:val="00B50210"/>
    <w:rsid w:val="00B50D8D"/>
    <w:rsid w:val="00B53955"/>
    <w:rsid w:val="00B53BFC"/>
    <w:rsid w:val="00B63C79"/>
    <w:rsid w:val="00B6408A"/>
    <w:rsid w:val="00B6478A"/>
    <w:rsid w:val="00B714B8"/>
    <w:rsid w:val="00B82C2C"/>
    <w:rsid w:val="00B8720B"/>
    <w:rsid w:val="00B876EF"/>
    <w:rsid w:val="00B91FB5"/>
    <w:rsid w:val="00BA4697"/>
    <w:rsid w:val="00BB5378"/>
    <w:rsid w:val="00BC0BD3"/>
    <w:rsid w:val="00BD0107"/>
    <w:rsid w:val="00BE0C33"/>
    <w:rsid w:val="00BE262C"/>
    <w:rsid w:val="00BE4C25"/>
    <w:rsid w:val="00BE6C3D"/>
    <w:rsid w:val="00BF2192"/>
    <w:rsid w:val="00C07606"/>
    <w:rsid w:val="00C12542"/>
    <w:rsid w:val="00C130EE"/>
    <w:rsid w:val="00C24725"/>
    <w:rsid w:val="00C30BA9"/>
    <w:rsid w:val="00C3541E"/>
    <w:rsid w:val="00C36A8F"/>
    <w:rsid w:val="00C4197E"/>
    <w:rsid w:val="00C42834"/>
    <w:rsid w:val="00C42FFA"/>
    <w:rsid w:val="00C44286"/>
    <w:rsid w:val="00C507D8"/>
    <w:rsid w:val="00C51F5A"/>
    <w:rsid w:val="00C57018"/>
    <w:rsid w:val="00C62EAC"/>
    <w:rsid w:val="00C63F9F"/>
    <w:rsid w:val="00C76ABA"/>
    <w:rsid w:val="00C7723C"/>
    <w:rsid w:val="00C838F5"/>
    <w:rsid w:val="00C841C0"/>
    <w:rsid w:val="00C93CB2"/>
    <w:rsid w:val="00CA1AF4"/>
    <w:rsid w:val="00CA6068"/>
    <w:rsid w:val="00CB15E1"/>
    <w:rsid w:val="00CB3D46"/>
    <w:rsid w:val="00CD1A87"/>
    <w:rsid w:val="00CD35F3"/>
    <w:rsid w:val="00CD5C93"/>
    <w:rsid w:val="00CE342B"/>
    <w:rsid w:val="00CF320C"/>
    <w:rsid w:val="00CF3A4B"/>
    <w:rsid w:val="00CF4001"/>
    <w:rsid w:val="00CF75DF"/>
    <w:rsid w:val="00D05837"/>
    <w:rsid w:val="00D12D8A"/>
    <w:rsid w:val="00D13E0C"/>
    <w:rsid w:val="00D24E9D"/>
    <w:rsid w:val="00D25896"/>
    <w:rsid w:val="00D373A1"/>
    <w:rsid w:val="00D37C0F"/>
    <w:rsid w:val="00D43570"/>
    <w:rsid w:val="00D45661"/>
    <w:rsid w:val="00D45943"/>
    <w:rsid w:val="00D47D06"/>
    <w:rsid w:val="00D47D22"/>
    <w:rsid w:val="00D51865"/>
    <w:rsid w:val="00D51D0C"/>
    <w:rsid w:val="00D54E0F"/>
    <w:rsid w:val="00D74140"/>
    <w:rsid w:val="00D85831"/>
    <w:rsid w:val="00D87D04"/>
    <w:rsid w:val="00DA6E56"/>
    <w:rsid w:val="00DA78DD"/>
    <w:rsid w:val="00DB1C65"/>
    <w:rsid w:val="00DC24E5"/>
    <w:rsid w:val="00DC6705"/>
    <w:rsid w:val="00DD2DE8"/>
    <w:rsid w:val="00DE38B4"/>
    <w:rsid w:val="00DE5D02"/>
    <w:rsid w:val="00DF051C"/>
    <w:rsid w:val="00DF2102"/>
    <w:rsid w:val="00E005A9"/>
    <w:rsid w:val="00E065BA"/>
    <w:rsid w:val="00E1166E"/>
    <w:rsid w:val="00E21B4B"/>
    <w:rsid w:val="00E24DC0"/>
    <w:rsid w:val="00E2519C"/>
    <w:rsid w:val="00E25F2A"/>
    <w:rsid w:val="00E41455"/>
    <w:rsid w:val="00E42AD2"/>
    <w:rsid w:val="00E50856"/>
    <w:rsid w:val="00E538CC"/>
    <w:rsid w:val="00E54BBD"/>
    <w:rsid w:val="00E54DBA"/>
    <w:rsid w:val="00E63D7C"/>
    <w:rsid w:val="00E640D5"/>
    <w:rsid w:val="00E66E2E"/>
    <w:rsid w:val="00E67691"/>
    <w:rsid w:val="00E8353A"/>
    <w:rsid w:val="00E92237"/>
    <w:rsid w:val="00E951EF"/>
    <w:rsid w:val="00E96F96"/>
    <w:rsid w:val="00EA3D54"/>
    <w:rsid w:val="00EA56D9"/>
    <w:rsid w:val="00EA5CE3"/>
    <w:rsid w:val="00EB51C1"/>
    <w:rsid w:val="00EB5AE1"/>
    <w:rsid w:val="00EB5E0B"/>
    <w:rsid w:val="00EC2171"/>
    <w:rsid w:val="00ED3870"/>
    <w:rsid w:val="00ED442D"/>
    <w:rsid w:val="00ED70C2"/>
    <w:rsid w:val="00EE18FF"/>
    <w:rsid w:val="00EE3E29"/>
    <w:rsid w:val="00EE489F"/>
    <w:rsid w:val="00F038DA"/>
    <w:rsid w:val="00F0647F"/>
    <w:rsid w:val="00F10CE3"/>
    <w:rsid w:val="00F12006"/>
    <w:rsid w:val="00F13443"/>
    <w:rsid w:val="00F14F3B"/>
    <w:rsid w:val="00F16362"/>
    <w:rsid w:val="00F207C7"/>
    <w:rsid w:val="00F31401"/>
    <w:rsid w:val="00F3428D"/>
    <w:rsid w:val="00F36B6D"/>
    <w:rsid w:val="00F43FA3"/>
    <w:rsid w:val="00F47B7A"/>
    <w:rsid w:val="00F55648"/>
    <w:rsid w:val="00F70046"/>
    <w:rsid w:val="00F71775"/>
    <w:rsid w:val="00F748C2"/>
    <w:rsid w:val="00F74958"/>
    <w:rsid w:val="00F76C5C"/>
    <w:rsid w:val="00F81EF3"/>
    <w:rsid w:val="00F84496"/>
    <w:rsid w:val="00F85DCB"/>
    <w:rsid w:val="00F86F9C"/>
    <w:rsid w:val="00F90D76"/>
    <w:rsid w:val="00FC002E"/>
    <w:rsid w:val="00FC4C23"/>
    <w:rsid w:val="00FC642E"/>
    <w:rsid w:val="00FC6A43"/>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D621C"/>
  <w15:docId w15:val="{1D3E595A-92CE-4980-8879-CE3FD48B7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B50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1032146181">
      <w:bodyDiv w:val="1"/>
      <w:marLeft w:val="0"/>
      <w:marRight w:val="0"/>
      <w:marTop w:val="0"/>
      <w:marBottom w:val="0"/>
      <w:divBdr>
        <w:top w:val="none" w:sz="0" w:space="0" w:color="auto"/>
        <w:left w:val="none" w:sz="0" w:space="0" w:color="auto"/>
        <w:bottom w:val="none" w:sz="0" w:space="0" w:color="auto"/>
        <w:right w:val="none" w:sz="0" w:space="0" w:color="auto"/>
      </w:divBdr>
    </w:div>
    <w:div w:id="184709183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www.health.gov.au/cdi"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mailto:cdi.editor@health.gov.au"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www.health.gov.au/cdn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health.gov.au/cd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file:///C:\Users\yousek\OneDrive%20-%20Department%20of%20Health\Desktop\T%202023\59-Australian%20VPD%20epidemiological%20review%20series%20tetanus%202003&#8211;2019\MS-Word%20output\59-Australian_VPD_epidemiological_review_series_tetanus_2003&#8211;2019-web-resources\image\figures.png" TargetMode="External"/><Relationship Id="rId24" Type="http://schemas.openxmlformats.org/officeDocument/2006/relationships/hyperlink" Target="mailto:copyright@health.gov.a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www.itsanhonour.gov.au/"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hyperlink" Target="http://health.gov.au/cdi" TargetMode="External"/><Relationship Id="rId14" Type="http://schemas.openxmlformats.org/officeDocument/2006/relationships/image" Target="media/image4.png"/><Relationship Id="rId22" Type="http://schemas.openxmlformats.org/officeDocument/2006/relationships/hyperlink" Target="https://creativecommons.org/licenses/by-nc-nd/4.0/legalcode"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usek\OneDrive%20-%20Department%20of%20Health\Desktop\T%20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26</TotalTime>
  <Pages>14</Pages>
  <Words>4977</Words>
  <Characters>31093</Characters>
  <Application>Microsoft Office Word</Application>
  <DocSecurity>0</DocSecurity>
  <Lines>259</Lines>
  <Paragraphs>71</Paragraphs>
  <ScaleCrop>false</ScaleCrop>
  <HeadingPairs>
    <vt:vector size="2" baseType="variant">
      <vt:variant>
        <vt:lpstr>Title</vt:lpstr>
      </vt:variant>
      <vt:variant>
        <vt:i4>1</vt:i4>
      </vt:variant>
    </vt:vector>
  </HeadingPairs>
  <TitlesOfParts>
    <vt:vector size="1" baseType="lpstr">
      <vt:lpstr>Communicable Diseases Intelligence - Australian vaccine preventable disease epidemiological review series: tetanus 2003–2019</vt:lpstr>
    </vt:vector>
  </TitlesOfParts>
  <Company>Australian Government, Department of Health</Company>
  <LinksUpToDate>false</LinksUpToDate>
  <CharactersWithSpaces>35999</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vaccine preventable disease epidemiological review series: tetanus 2003–2019</dc:title>
  <dc:subject>This report describes the epidemiology of tetanus in Australia from 2013-2019 using notification, hospitalisation and death data. The epidemiology of tetanus is examined in the context of the introduction of a recommendation for adults aged ≥65 to receive a booster dose of reduced antigen content diphtheria–tetanus¬–acellular pertussis (dTpa) vaccine in 2013.</dc:subject>
  <dc:creator>Eliora SG Morris;Aditi Dey;Kaitlyn Vette;Harunor Rashid;Nicholas Wood;Frank Beard</dc:creator>
  <cp:keywords>booster vaccination; epidemiology; immunisation; tetanus; vaccine preventable disease</cp:keywords>
  <dc:description>© Commonwealth of Australia CC BY-NC-ND ISSN: 2209-6051 (Online)</dc:description>
  <cp:lastModifiedBy>YOUSEFI, Kasra</cp:lastModifiedBy>
  <cp:revision>10</cp:revision>
  <cp:lastPrinted>2018-05-10T02:19:00Z</cp:lastPrinted>
  <dcterms:created xsi:type="dcterms:W3CDTF">2023-09-20T01:10:00Z</dcterms:created>
  <dcterms:modified xsi:type="dcterms:W3CDTF">2023-10-16T01:49:00Z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19/10/2023</vt:lpwstr>
  </property>
  <property fmtid="{D5CDD505-2E9C-101B-9397-08002B2CF9AE}" pid="5" name="DOI">
    <vt:lpwstr>https://doi.org/10.33321/cdi.2023.47.61</vt:lpwstr>
  </property>
</Properties>
</file>