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5B08" w14:textId="77777777" w:rsidR="008B1022" w:rsidRDefault="008B1022" w:rsidP="008B1022">
      <w:pPr>
        <w:pStyle w:val="Title"/>
        <w:rPr>
          <w:rFonts w:eastAsia="Times New Roman"/>
        </w:rPr>
      </w:pPr>
      <w:r>
        <w:rPr>
          <w:rFonts w:eastAsia="Times New Roman"/>
        </w:rPr>
        <w:t xml:space="preserve">Four recent ciguatera fish poisoning incidents in New South Wales, Australia linked to imported </w:t>
      </w:r>
      <w:proofErr w:type="gramStart"/>
      <w:r>
        <w:rPr>
          <w:rFonts w:eastAsia="Times New Roman"/>
        </w:rPr>
        <w:t>fish</w:t>
      </w:r>
      <w:proofErr w:type="gramEnd"/>
      <w:r>
        <w:rPr>
          <w:rFonts w:eastAsia="Times New Roman"/>
        </w:rPr>
        <w:t xml:space="preserve"> </w:t>
      </w:r>
    </w:p>
    <w:p w14:paraId="391E1514" w14:textId="77777777" w:rsidR="008B1022" w:rsidRDefault="008B1022" w:rsidP="008B1022">
      <w:r>
        <w:t xml:space="preserve">Alan Edwards, Anthony Zammit and Hazel Farrell </w:t>
      </w:r>
    </w:p>
    <w:p w14:paraId="521B6B91" w14:textId="77777777" w:rsidR="008B1022" w:rsidRDefault="008B1022">
      <w:pPr>
        <w:pStyle w:val="Heading1"/>
        <w:rPr>
          <w:rFonts w:eastAsia="Times New Roman"/>
        </w:rPr>
      </w:pPr>
      <w:r>
        <w:rPr>
          <w:rFonts w:eastAsia="Times New Roman"/>
        </w:rPr>
        <w:t xml:space="preserve">Abstract </w:t>
      </w:r>
    </w:p>
    <w:p w14:paraId="00FA8893" w14:textId="77777777" w:rsidR="008B1022" w:rsidRDefault="008B1022" w:rsidP="008B1022">
      <w:r>
        <w:t xml:space="preserve">Between 2015 and 2017, the NSW Food Authority investigated 4 ciguatera fish poisoning incidents linked to fish caught in tropical Australian and international waters and imported to New South Wales. Three of the implicated fish were caught near the Capel Bank Seamount, part of the Lord Howe Island Seamount Chain off the coast of Queensland. The fourth incident, in 2017, involved a fish caught between Cooktown and </w:t>
      </w:r>
      <w:proofErr w:type="gramStart"/>
      <w:r>
        <w:t>Lizard island</w:t>
      </w:r>
      <w:proofErr w:type="gramEnd"/>
      <w:r>
        <w:t xml:space="preserve">, also off the Queensland coast. Thirteen individuals were affected. Early identification of potential Ciguatera fish poisoning (CFP) cases can facilitate a faster incident response, patient </w:t>
      </w:r>
      <w:proofErr w:type="gramStart"/>
      <w:r>
        <w:t>diagnosis</w:t>
      </w:r>
      <w:proofErr w:type="gramEnd"/>
      <w:r>
        <w:t xml:space="preserve"> and treatment. While different fish species were involved, and the severity and duration of symptoms varied between individuals, 3 of the 4 incidents were distinguished by those affected having consumed a fish meal prepared with the head of the fish. Affected individuals also described a sensation of hot/cold temperature reversal or a painful ‘sharpness’ when in contact with or drinking cold water. This paper outlines a series of incidents where a case’s symptoms, which can vary substantially in conjunction with their previous exposure history, the type of fish consumed and how the fish was cooked, can be used to identify potential CFP cases and hence CFP risks that may need to be addressed. </w:t>
      </w:r>
    </w:p>
    <w:p w14:paraId="26561C49" w14:textId="77777777" w:rsidR="008B1022" w:rsidRDefault="008B1022" w:rsidP="008B1022">
      <w:r>
        <w:t xml:space="preserve">Keywords: Ciguatera fish poisoning, ciguatoxins, seafood borne illness, New South Wales, Australia, Pacific ciguatoxin 1-B (P-CTX-1B). </w:t>
      </w:r>
    </w:p>
    <w:p w14:paraId="5087EECB" w14:textId="77777777" w:rsidR="008B1022" w:rsidRDefault="008B1022">
      <w:pPr>
        <w:pStyle w:val="Heading1"/>
        <w:rPr>
          <w:rFonts w:eastAsia="Times New Roman"/>
        </w:rPr>
      </w:pPr>
      <w:r>
        <w:rPr>
          <w:rFonts w:eastAsia="Times New Roman"/>
        </w:rPr>
        <w:t xml:space="preserve">Introduction </w:t>
      </w:r>
    </w:p>
    <w:p w14:paraId="09E0B1A9" w14:textId="77777777" w:rsidR="008B1022" w:rsidRDefault="008B1022">
      <w:pPr>
        <w:pStyle w:val="Heading2"/>
        <w:rPr>
          <w:rFonts w:eastAsia="Times New Roman"/>
        </w:rPr>
      </w:pPr>
      <w:r>
        <w:rPr>
          <w:rFonts w:eastAsia="Times New Roman"/>
        </w:rPr>
        <w:t xml:space="preserve">What is ciguatera fish poisoning (CFP)? </w:t>
      </w:r>
    </w:p>
    <w:p w14:paraId="0C0C5C57" w14:textId="77777777" w:rsidR="008B1022" w:rsidRDefault="008B1022" w:rsidP="008B1022">
      <w:r>
        <w:t xml:space="preserve">Ciguatoxins are naturally occurring micro algal toxins produced by the dinoflagellate genus </w:t>
      </w:r>
      <w:proofErr w:type="spellStart"/>
      <w:r w:rsidRPr="00FA7D97">
        <w:rPr>
          <w:rStyle w:val="Emphasis"/>
          <w:b w:val="0"/>
        </w:rPr>
        <w:t>Gambierdiscus</w:t>
      </w:r>
      <w:proofErr w:type="spellEnd"/>
      <w:r>
        <w:t>. The accumulation of ciguatoxins through the marine food chain is the cause of ciguatera fish poisoning (CFP) in seafood consumers. More than 90 species of fish have been linked to CFP, most species originating from tropical or sub-tropical locations.</w:t>
      </w:r>
      <w:r>
        <w:rPr>
          <w:vertAlign w:val="superscript"/>
        </w:rPr>
        <w:t>1</w:t>
      </w:r>
      <w:r>
        <w:t xml:space="preserve"> The possible indicators of CFP include a variety of gastrointestinal, neurological and cardiovascular symptoms.</w:t>
      </w:r>
      <w:r>
        <w:rPr>
          <w:vertAlign w:val="superscript"/>
        </w:rPr>
        <w:t>2,3</w:t>
      </w:r>
      <w:r>
        <w:t xml:space="preserve"> A key identifier of CFP, although it may not always be reported, is the sensation of hot/cold temperature reversal (temperature dysesthesia).</w:t>
      </w:r>
      <w:r>
        <w:rPr>
          <w:vertAlign w:val="superscript"/>
        </w:rPr>
        <w:t>2-4</w:t>
      </w:r>
      <w:r>
        <w:t xml:space="preserve"> The manifestation of CFP symptoms will vary depending on the species of fish, size and type of portion consumed, the overall health of the consumer and if they have previously been exposed to ciguatoxins.</w:t>
      </w:r>
      <w:r>
        <w:rPr>
          <w:vertAlign w:val="superscript"/>
        </w:rPr>
        <w:t xml:space="preserve">4,5 </w:t>
      </w:r>
      <w:r>
        <w:t xml:space="preserve">As a result, CFP can be misdiagnosed as another type of seafood poisoning (e.g. histamine, saxitoxin or </w:t>
      </w:r>
      <w:proofErr w:type="spellStart"/>
      <w:r>
        <w:t>brevetoxin</w:t>
      </w:r>
      <w:proofErr w:type="spellEnd"/>
      <w:r>
        <w:t>) or, in severe chronic cases, as a brain tumour, multiple sclerosis or chronic fatigue syndrome.</w:t>
      </w:r>
      <w:r>
        <w:rPr>
          <w:vertAlign w:val="superscript"/>
        </w:rPr>
        <w:t xml:space="preserve">4,6 </w:t>
      </w:r>
    </w:p>
    <w:p w14:paraId="513F3512" w14:textId="77777777" w:rsidR="008B1022" w:rsidRDefault="008B1022">
      <w:pPr>
        <w:pStyle w:val="Heading2"/>
        <w:rPr>
          <w:rFonts w:eastAsia="Times New Roman"/>
        </w:rPr>
      </w:pPr>
      <w:r>
        <w:rPr>
          <w:rFonts w:eastAsia="Times New Roman"/>
        </w:rPr>
        <w:t xml:space="preserve">Where does CFP occur? </w:t>
      </w:r>
    </w:p>
    <w:p w14:paraId="00E3C79D" w14:textId="77777777" w:rsidR="008B1022" w:rsidRDefault="008B1022" w:rsidP="008B1022">
      <w:r>
        <w:t>CFP is an illness commonly thought to be an issue in tropical or subtropical regions only, however, there has been an apparent increase in reported cases of CFP globally</w:t>
      </w:r>
      <w:r>
        <w:rPr>
          <w:vertAlign w:val="superscript"/>
        </w:rPr>
        <w:t>7</w:t>
      </w:r>
      <w:r>
        <w:t xml:space="preserve"> and in the geographic range of CFP cases along the Eastern coastline of Australia. Historical reports of CFP in NSW mainly refer to large outbreaks (1984: 40 cases</w:t>
      </w:r>
      <w:r>
        <w:rPr>
          <w:vertAlign w:val="superscript"/>
        </w:rPr>
        <w:t>8</w:t>
      </w:r>
      <w:r>
        <w:t>, 1987: 63 cases</w:t>
      </w:r>
      <w:r>
        <w:rPr>
          <w:vertAlign w:val="superscript"/>
        </w:rPr>
        <w:t>9</w:t>
      </w:r>
      <w:r>
        <w:t>, 1994: &gt;30 cases</w:t>
      </w:r>
      <w:r>
        <w:rPr>
          <w:vertAlign w:val="superscript"/>
        </w:rPr>
        <w:t>10</w:t>
      </w:r>
      <w:r>
        <w:t>, 1997 and 1998: 26 cases, 3 clusters</w:t>
      </w:r>
      <w:r>
        <w:rPr>
          <w:vertAlign w:val="superscript"/>
        </w:rPr>
        <w:t>11</w:t>
      </w:r>
      <w:r>
        <w:t>) linked to fish originating from tropical areas. An outbreak in 2002 was linked to 2 Spanish Mackerel caught near Brunswick Heads, northern NSW.</w:t>
      </w:r>
      <w:r>
        <w:rPr>
          <w:vertAlign w:val="superscript"/>
        </w:rPr>
        <w:t>12</w:t>
      </w:r>
      <w:r>
        <w:t xml:space="preserve"> Following this, 2 investigations into suspected CFP outbreaks were from fish sourced in Fiji (2005) and Queensland (NSW Food </w:t>
      </w:r>
      <w:r>
        <w:lastRenderedPageBreak/>
        <w:t>Authority, unpublished data</w:t>
      </w:r>
      <w:r>
        <w:rPr>
          <w:vertAlign w:val="superscript"/>
        </w:rPr>
        <w:t>13</w:t>
      </w:r>
      <w:r>
        <w:t>). Since 2014, there have been 5 CFP incidents associated with Spanish Mackerel caught in New South Wales (NSW) coastal waters.</w:t>
      </w:r>
      <w:r>
        <w:rPr>
          <w:vertAlign w:val="superscript"/>
        </w:rPr>
        <w:t>13,14</w:t>
      </w:r>
      <w:r>
        <w:t xml:space="preserve"> This article focuses on 4 recent CFP cases linked to fish sourced outside of NSW. </w:t>
      </w:r>
    </w:p>
    <w:p w14:paraId="3D6D7DDE" w14:textId="77777777" w:rsidR="008B1022" w:rsidRDefault="008B1022">
      <w:pPr>
        <w:pStyle w:val="Heading2"/>
        <w:rPr>
          <w:rFonts w:eastAsia="Times New Roman"/>
        </w:rPr>
      </w:pPr>
      <w:r>
        <w:rPr>
          <w:rFonts w:eastAsia="Times New Roman"/>
        </w:rPr>
        <w:t xml:space="preserve">How is the risk of CFP managed? </w:t>
      </w:r>
    </w:p>
    <w:p w14:paraId="2C829175" w14:textId="77777777" w:rsidR="008B1022" w:rsidRDefault="008B1022" w:rsidP="008B1022">
      <w:r>
        <w:t>Regulatory criteria for ciguatoxins have not been established. This is due largely to the limited availability of certified reference material, which in turn has limited the development of cost effective routine testing. There are, however, several interrelated strategies in place across Australia to ensure that seafood is both safe and suitable for human consumption.</w:t>
      </w:r>
      <w:r>
        <w:rPr>
          <w:vertAlign w:val="superscript"/>
        </w:rPr>
        <w:t>15</w:t>
      </w:r>
      <w:r>
        <w:t xml:space="preserve"> In addition, the risk of CFP to NSW consumers is addressed through 2 industry initiatives. The first is to limit the size and type of fish that can be sold wholesale (e.g. prohibited species include </w:t>
      </w:r>
      <w:proofErr w:type="spellStart"/>
      <w:r>
        <w:t>Chinamanfish</w:t>
      </w:r>
      <w:proofErr w:type="spellEnd"/>
      <w:r>
        <w:t xml:space="preserve"> (</w:t>
      </w:r>
      <w:proofErr w:type="spellStart"/>
      <w:r w:rsidRPr="00FA7D97">
        <w:rPr>
          <w:rStyle w:val="Emphasis"/>
          <w:b w:val="0"/>
        </w:rPr>
        <w:t>Symphorus</w:t>
      </w:r>
      <w:proofErr w:type="spellEnd"/>
      <w:r w:rsidRPr="00FA7D97">
        <w:rPr>
          <w:rStyle w:val="Emphasis"/>
          <w:b w:val="0"/>
        </w:rPr>
        <w:t xml:space="preserve"> </w:t>
      </w:r>
      <w:proofErr w:type="spellStart"/>
      <w:r w:rsidRPr="00FA7D97">
        <w:rPr>
          <w:rStyle w:val="Emphasis"/>
          <w:b w:val="0"/>
        </w:rPr>
        <w:t>nematophorus</w:t>
      </w:r>
      <w:proofErr w:type="spellEnd"/>
      <w:r>
        <w:t xml:space="preserve">), Tripletail </w:t>
      </w:r>
      <w:proofErr w:type="spellStart"/>
      <w:r>
        <w:t>Maori</w:t>
      </w:r>
      <w:proofErr w:type="spellEnd"/>
      <w:r>
        <w:t xml:space="preserve"> Wrasse (</w:t>
      </w:r>
      <w:proofErr w:type="spellStart"/>
      <w:r w:rsidRPr="00FA7D97">
        <w:rPr>
          <w:rStyle w:val="Emphasis"/>
          <w:b w:val="0"/>
        </w:rPr>
        <w:t>Cheilinus</w:t>
      </w:r>
      <w:proofErr w:type="spellEnd"/>
      <w:r w:rsidRPr="00FA7D97">
        <w:rPr>
          <w:rStyle w:val="Emphasis"/>
          <w:b w:val="0"/>
        </w:rPr>
        <w:t xml:space="preserve"> </w:t>
      </w:r>
      <w:proofErr w:type="spellStart"/>
      <w:r w:rsidRPr="00FA7D97">
        <w:rPr>
          <w:rStyle w:val="Emphasis"/>
          <w:b w:val="0"/>
        </w:rPr>
        <w:t>trilobatus</w:t>
      </w:r>
      <w:proofErr w:type="spellEnd"/>
      <w:r>
        <w:t xml:space="preserve">), </w:t>
      </w:r>
      <w:proofErr w:type="spellStart"/>
      <w:r>
        <w:t>Humphead</w:t>
      </w:r>
      <w:proofErr w:type="spellEnd"/>
      <w:r>
        <w:t xml:space="preserve"> </w:t>
      </w:r>
      <w:proofErr w:type="spellStart"/>
      <w:r>
        <w:t>Maori</w:t>
      </w:r>
      <w:proofErr w:type="spellEnd"/>
      <w:r>
        <w:t xml:space="preserve"> Wrasse (</w:t>
      </w:r>
      <w:proofErr w:type="spellStart"/>
      <w:r w:rsidRPr="00FA7D97">
        <w:rPr>
          <w:rStyle w:val="Emphasis"/>
          <w:b w:val="0"/>
        </w:rPr>
        <w:t>Cheilinus</w:t>
      </w:r>
      <w:proofErr w:type="spellEnd"/>
      <w:r w:rsidRPr="00FA7D97">
        <w:rPr>
          <w:rStyle w:val="Emphasis"/>
          <w:b w:val="0"/>
        </w:rPr>
        <w:t xml:space="preserve"> undulatus</w:t>
      </w:r>
      <w:r>
        <w:t>), Red Bass (</w:t>
      </w:r>
      <w:r w:rsidRPr="00FA7D97">
        <w:rPr>
          <w:rStyle w:val="Emphasis"/>
          <w:b w:val="0"/>
        </w:rPr>
        <w:t xml:space="preserve">Lutjanus </w:t>
      </w:r>
      <w:proofErr w:type="spellStart"/>
      <w:r w:rsidRPr="00FA7D97">
        <w:rPr>
          <w:rStyle w:val="Emphasis"/>
          <w:b w:val="0"/>
        </w:rPr>
        <w:t>bohar</w:t>
      </w:r>
      <w:proofErr w:type="spellEnd"/>
      <w:r>
        <w:t xml:space="preserve">), </w:t>
      </w:r>
      <w:proofErr w:type="spellStart"/>
      <w:r>
        <w:t>Paddletail</w:t>
      </w:r>
      <w:proofErr w:type="spellEnd"/>
      <w:r>
        <w:t xml:space="preserve"> (</w:t>
      </w:r>
      <w:r w:rsidRPr="00FA7D97">
        <w:rPr>
          <w:rStyle w:val="Emphasis"/>
          <w:b w:val="0"/>
        </w:rPr>
        <w:t>Lutjanus gibbus</w:t>
      </w:r>
      <w:r>
        <w:t>), Giant Moray (</w:t>
      </w:r>
      <w:proofErr w:type="spellStart"/>
      <w:r w:rsidRPr="00FA7D97">
        <w:rPr>
          <w:rStyle w:val="Emphasis"/>
          <w:b w:val="0"/>
        </w:rPr>
        <w:t>Gymnothorax</w:t>
      </w:r>
      <w:proofErr w:type="spellEnd"/>
      <w:r w:rsidRPr="00FA7D97">
        <w:rPr>
          <w:rStyle w:val="Emphasis"/>
          <w:b w:val="0"/>
        </w:rPr>
        <w:t xml:space="preserve"> </w:t>
      </w:r>
      <w:proofErr w:type="spellStart"/>
      <w:r w:rsidRPr="00FA7D97">
        <w:rPr>
          <w:rStyle w:val="Emphasis"/>
          <w:b w:val="0"/>
        </w:rPr>
        <w:t>javanicus</w:t>
      </w:r>
      <w:proofErr w:type="spellEnd"/>
      <w:r>
        <w:t>) and Mackerel over 10 kg). The second is to limit the sale of fish caught in “Ciguatera High-Risk Areas”, these are usually tropical regions where the risk of contracting CFP from certain fish species is high.</w:t>
      </w:r>
      <w:r>
        <w:rPr>
          <w:vertAlign w:val="superscript"/>
        </w:rPr>
        <w:t>16-19</w:t>
      </w:r>
      <w:r>
        <w:t xml:space="preserve"> In addition, the NSW Food Authority template food safety program published for seafood processors contains information regarding ‘Ciguatera control’, which refers to the industry controls above.</w:t>
      </w:r>
      <w:r>
        <w:rPr>
          <w:vertAlign w:val="superscript"/>
        </w:rPr>
        <w:t>20</w:t>
      </w:r>
      <w:r>
        <w:t xml:space="preserve"> Complementing these strategies is the surveillance of foodborne illness complaints and reports to regulators. In NSW, this includes monitoring of local incidents by NSW Health and the state regulatory agency, the NSW Food Authority.</w:t>
      </w:r>
      <w:r>
        <w:rPr>
          <w:vertAlign w:val="superscript"/>
        </w:rPr>
        <w:t>21,22</w:t>
      </w:r>
      <w:r>
        <w:t xml:space="preserve"> Similar monitoring occurs in all Australian </w:t>
      </w:r>
      <w:r w:rsidR="004332FC">
        <w:t>s</w:t>
      </w:r>
      <w:r>
        <w:t xml:space="preserve">tates and </w:t>
      </w:r>
      <w:proofErr w:type="gramStart"/>
      <w:r w:rsidR="004332FC">
        <w:t>t</w:t>
      </w:r>
      <w:r>
        <w:t>erritories, and</w:t>
      </w:r>
      <w:proofErr w:type="gramEnd"/>
      <w:r>
        <w:t xml:space="preserve"> is coordinated nationally by OzFoodNet.</w:t>
      </w:r>
      <w:r>
        <w:rPr>
          <w:vertAlign w:val="superscript"/>
        </w:rPr>
        <w:t>23</w:t>
      </w:r>
      <w:r>
        <w:t xml:space="preserve"> </w:t>
      </w:r>
    </w:p>
    <w:p w14:paraId="2812F259" w14:textId="77777777" w:rsidR="008B1022" w:rsidRDefault="008B1022">
      <w:pPr>
        <w:pStyle w:val="Heading1"/>
        <w:rPr>
          <w:rFonts w:eastAsia="Times New Roman"/>
        </w:rPr>
      </w:pPr>
      <w:r>
        <w:rPr>
          <w:rFonts w:eastAsia="Times New Roman"/>
        </w:rPr>
        <w:t xml:space="preserve">Methods </w:t>
      </w:r>
    </w:p>
    <w:p w14:paraId="79E806B0" w14:textId="77777777" w:rsidR="008B1022" w:rsidRDefault="008B1022">
      <w:pPr>
        <w:pStyle w:val="Heading2"/>
        <w:rPr>
          <w:rFonts w:eastAsia="Times New Roman"/>
        </w:rPr>
      </w:pPr>
      <w:r>
        <w:rPr>
          <w:rFonts w:eastAsia="Times New Roman"/>
        </w:rPr>
        <w:t xml:space="preserve">Case investigations </w:t>
      </w:r>
    </w:p>
    <w:p w14:paraId="55557D48" w14:textId="77777777" w:rsidR="008B1022" w:rsidRDefault="008B1022" w:rsidP="008B1022">
      <w:r>
        <w:t xml:space="preserve">This paper considers NSW Food Authority investigations into 4 recent (2015-2017) CFP complaints. These outbreak investigations were conducted under the Food Act 2003 (NSW) and thus ethics approval was not required. The illness complaints and notifications were received by the NSW Food Authority and investigation findings were provided to NSW Health in accordance with established protocols. The NSW Food Authority investigation involved: </w:t>
      </w:r>
    </w:p>
    <w:p w14:paraId="4BB409FF" w14:textId="77777777" w:rsidR="008B1022" w:rsidRPr="008B1022" w:rsidRDefault="008B1022" w:rsidP="008B1022">
      <w:pPr>
        <w:pStyle w:val="ListParagraph"/>
        <w:numPr>
          <w:ilvl w:val="0"/>
          <w:numId w:val="10"/>
        </w:numPr>
        <w:rPr>
          <w:rFonts w:eastAsia="Times New Roman"/>
        </w:rPr>
      </w:pPr>
      <w:r w:rsidRPr="008B1022">
        <w:rPr>
          <w:rFonts w:eastAsia="Times New Roman"/>
        </w:rPr>
        <w:t xml:space="preserve">obtaining supplier details and tracing the supply of the fish back to its catch </w:t>
      </w:r>
      <w:proofErr w:type="gramStart"/>
      <w:r w:rsidRPr="008B1022">
        <w:rPr>
          <w:rFonts w:eastAsia="Times New Roman"/>
        </w:rPr>
        <w:t>location;</w:t>
      </w:r>
      <w:proofErr w:type="gramEnd"/>
      <w:r w:rsidRPr="008B1022">
        <w:rPr>
          <w:rFonts w:eastAsia="Times New Roman"/>
        </w:rPr>
        <w:t xml:space="preserve"> </w:t>
      </w:r>
    </w:p>
    <w:p w14:paraId="54F0697B" w14:textId="77777777" w:rsidR="008B1022" w:rsidRPr="008B1022" w:rsidRDefault="008B1022" w:rsidP="008B1022">
      <w:pPr>
        <w:pStyle w:val="ListParagraph"/>
        <w:numPr>
          <w:ilvl w:val="0"/>
          <w:numId w:val="10"/>
        </w:numPr>
        <w:rPr>
          <w:rFonts w:eastAsia="Times New Roman"/>
        </w:rPr>
      </w:pPr>
      <w:r w:rsidRPr="008B1022">
        <w:rPr>
          <w:rFonts w:eastAsia="Times New Roman"/>
        </w:rPr>
        <w:t>securing samples of leftovers (Incidents 1 and 4) or of fish from the same batch (Incidents 2 and 3</w:t>
      </w:r>
      <w:proofErr w:type="gramStart"/>
      <w:r w:rsidRPr="008B1022">
        <w:rPr>
          <w:rFonts w:eastAsia="Times New Roman"/>
        </w:rPr>
        <w:t>);</w:t>
      </w:r>
      <w:proofErr w:type="gramEnd"/>
      <w:r w:rsidRPr="008B1022">
        <w:rPr>
          <w:rFonts w:eastAsia="Times New Roman"/>
        </w:rPr>
        <w:t xml:space="preserve"> </w:t>
      </w:r>
    </w:p>
    <w:p w14:paraId="260B7877" w14:textId="77777777" w:rsidR="008B1022" w:rsidRPr="008B1022" w:rsidRDefault="008B1022" w:rsidP="008B1022">
      <w:pPr>
        <w:pStyle w:val="ListParagraph"/>
        <w:numPr>
          <w:ilvl w:val="0"/>
          <w:numId w:val="10"/>
        </w:numPr>
        <w:rPr>
          <w:rFonts w:eastAsia="Times New Roman"/>
        </w:rPr>
      </w:pPr>
      <w:r w:rsidRPr="008B1022">
        <w:rPr>
          <w:rFonts w:eastAsia="Times New Roman"/>
        </w:rPr>
        <w:t xml:space="preserve">submitting samples for analysis; and </w:t>
      </w:r>
    </w:p>
    <w:p w14:paraId="21192C79" w14:textId="77777777" w:rsidR="008B1022" w:rsidRPr="008B1022" w:rsidRDefault="008B1022" w:rsidP="008B1022">
      <w:pPr>
        <w:pStyle w:val="ListParagraph"/>
        <w:numPr>
          <w:ilvl w:val="0"/>
          <w:numId w:val="10"/>
        </w:numPr>
        <w:rPr>
          <w:rFonts w:eastAsia="Times New Roman"/>
        </w:rPr>
      </w:pPr>
      <w:r w:rsidRPr="008B1022">
        <w:rPr>
          <w:rFonts w:eastAsia="Times New Roman"/>
        </w:rPr>
        <w:t xml:space="preserve">obtaining details, where possible, of case symptoms, how the fish was cooked and served and how much fish was consumed by individuals. </w:t>
      </w:r>
    </w:p>
    <w:p w14:paraId="5DCBDD1F" w14:textId="77777777" w:rsidR="008B1022" w:rsidRDefault="008B1022">
      <w:pPr>
        <w:pStyle w:val="Heading2"/>
        <w:rPr>
          <w:rFonts w:eastAsia="Times New Roman"/>
        </w:rPr>
      </w:pPr>
      <w:r>
        <w:rPr>
          <w:rFonts w:eastAsia="Times New Roman"/>
        </w:rPr>
        <w:t xml:space="preserve">Toxin analysis </w:t>
      </w:r>
    </w:p>
    <w:p w14:paraId="70EECCD2" w14:textId="77777777" w:rsidR="008B1022" w:rsidRDefault="008B1022" w:rsidP="008B1022">
      <w:r>
        <w:t>Where available, fish/meal samples were screened for Pacific ciguatoxin-1B (P-CTX-1B) at the Australian Research Facility for Marine Microbial Biotoxins, Sydney, using an Orbitrap liquid chromatography mass spectrometry (LC-MS)</w:t>
      </w:r>
      <w:r w:rsidR="006D61F4">
        <w:t> </w:t>
      </w:r>
      <w:r>
        <w:t>system.</w:t>
      </w:r>
      <w:r>
        <w:rPr>
          <w:vertAlign w:val="superscript"/>
        </w:rPr>
        <w:t>24</w:t>
      </w:r>
      <w:r>
        <w:t xml:space="preserve"> </w:t>
      </w:r>
    </w:p>
    <w:p w14:paraId="143476F9" w14:textId="77777777" w:rsidR="008B1022" w:rsidRDefault="008B1022">
      <w:pPr>
        <w:pStyle w:val="Heading1"/>
        <w:rPr>
          <w:rFonts w:eastAsia="Times New Roman"/>
        </w:rPr>
      </w:pPr>
      <w:r>
        <w:rPr>
          <w:rFonts w:eastAsia="Times New Roman"/>
        </w:rPr>
        <w:t xml:space="preserve">Results </w:t>
      </w:r>
    </w:p>
    <w:p w14:paraId="3BC4EA7A" w14:textId="77777777" w:rsidR="00677BD6" w:rsidRDefault="008B1022" w:rsidP="008B1022">
      <w:r>
        <w:t xml:space="preserve">All complainants reported symptoms that appeared to vary depending upon 3 factors: the </w:t>
      </w:r>
      <w:proofErr w:type="gramStart"/>
      <w:r>
        <w:t>amount</w:t>
      </w:r>
      <w:proofErr w:type="gramEnd"/>
      <w:r>
        <w:t xml:space="preserve"> of fish consumed; how the fish was prepared for consumption; and, whether the complainant had previously been exposed to the</w:t>
      </w:r>
      <w:r w:rsidR="001902D2">
        <w:t> </w:t>
      </w:r>
      <w:r>
        <w:t xml:space="preserve">toxin. </w:t>
      </w:r>
    </w:p>
    <w:p w14:paraId="0C6410C2" w14:textId="77777777" w:rsidR="00677BD6" w:rsidRDefault="00677BD6" w:rsidP="00677BD6">
      <w:r>
        <w:br w:type="page"/>
      </w:r>
    </w:p>
    <w:p w14:paraId="75E38C0F" w14:textId="77777777" w:rsidR="008B1022" w:rsidRDefault="008B1022">
      <w:pPr>
        <w:pStyle w:val="Heading2"/>
        <w:rPr>
          <w:rFonts w:eastAsia="Times New Roman"/>
        </w:rPr>
      </w:pPr>
      <w:r>
        <w:rPr>
          <w:rFonts w:eastAsia="Times New Roman"/>
        </w:rPr>
        <w:lastRenderedPageBreak/>
        <w:t xml:space="preserve">Incident 1: Red Throat Emperor - September 2015 </w:t>
      </w:r>
    </w:p>
    <w:p w14:paraId="35811462" w14:textId="77777777" w:rsidR="008B1022" w:rsidRDefault="008B1022" w:rsidP="008B1022">
      <w:r>
        <w:t xml:space="preserve">This incident involved a Red Throat Emperor that weighed between 1.5 and 2 kg. The fish was part of a 150-250 kg batch caught off the Capel Bank Seamount, off the coast of Queensland, to the </w:t>
      </w:r>
      <w:proofErr w:type="gramStart"/>
      <w:r>
        <w:t>south west</w:t>
      </w:r>
      <w:proofErr w:type="gramEnd"/>
      <w:r>
        <w:t xml:space="preserve"> of New Caledonia. The fish was sold ‘butterflied’, in that the supplier had removed the spine of the fish in addition to eviscerating it. The fish was purchased, baked in a </w:t>
      </w:r>
      <w:proofErr w:type="gramStart"/>
      <w:r>
        <w:t>casserole</w:t>
      </w:r>
      <w:proofErr w:type="gramEnd"/>
      <w:r>
        <w:t xml:space="preserve"> and consumed on the same day. This incident resulted in 3 cases of CFP within the same family. Case 1 reported experiencing an onset of abdominal cramping and diarrhoea shortly after eating the head of the fish and </w:t>
      </w:r>
      <w:proofErr w:type="gramStart"/>
      <w:r>
        <w:t>that symptoms</w:t>
      </w:r>
      <w:proofErr w:type="gramEnd"/>
      <w:r>
        <w:t xml:space="preserve"> progressively worsened during the following week. Three days post consumption, case 1 reported to hospital with headaches, abdominal cramping, diarrhoea, some numbness to lips and paraesthesia to lower limbs with hot and cold temperature reversal. Cases 2 and 3 reported eating ‘only a mouthful’ of the meal, that they generally ‘felt unwell’ and experienced tingling of the lower lip and hypersensitivity to the legs. Symptom onset for cases 2 and 3 was approximately 48 hours post consumption. Cases 2 and 3 did not seek medical advice. None of the cases were aware of any prior exposure to ciguatoxins. Leftover food from the fish meal was collected and ciguatoxin was detected at 0.023 µg/kg P-CTX-1B in the flesh of this sample. </w:t>
      </w:r>
    </w:p>
    <w:p w14:paraId="33F7D409" w14:textId="77777777" w:rsidR="008B1022" w:rsidRDefault="008B1022">
      <w:pPr>
        <w:pStyle w:val="Heading2"/>
        <w:rPr>
          <w:rFonts w:eastAsia="Times New Roman"/>
        </w:rPr>
      </w:pPr>
      <w:r>
        <w:rPr>
          <w:rFonts w:eastAsia="Times New Roman"/>
        </w:rPr>
        <w:t xml:space="preserve">Incident 2: Purple Rock Cod - September 2015 </w:t>
      </w:r>
    </w:p>
    <w:p w14:paraId="458E2E58" w14:textId="77777777" w:rsidR="008B1022" w:rsidRDefault="008B1022" w:rsidP="008B1022">
      <w:r>
        <w:t xml:space="preserve">This incident involved a Purple Rock Cod the size and weight of which is unknown. The fish was part of the same batch in which the Red Throat Emperor identified in incident 1 was caught. It is not known how the Purple Rock Cod was cooked. This incident involved a single case who reported their illness directly to the vendor of the fish. The consumer reported that they became lethargic after consuming only the flesh of the fish. Samples of Purple Rock Cod from the same batch as that sold to the consumer were retained by the vendor and submitted for analysis. Ciguatoxin was detected at 0.069 µg/kg P-CTX-1B in the flesh of this sample. </w:t>
      </w:r>
    </w:p>
    <w:p w14:paraId="7A94ADF9" w14:textId="77777777" w:rsidR="008B1022" w:rsidRDefault="008B1022">
      <w:pPr>
        <w:pStyle w:val="Heading2"/>
        <w:rPr>
          <w:rFonts w:eastAsia="Times New Roman"/>
        </w:rPr>
      </w:pPr>
      <w:r>
        <w:rPr>
          <w:rFonts w:eastAsia="Times New Roman"/>
        </w:rPr>
        <w:t xml:space="preserve">Incident 3: Green </w:t>
      </w:r>
      <w:proofErr w:type="spellStart"/>
      <w:r>
        <w:rPr>
          <w:rFonts w:eastAsia="Times New Roman"/>
        </w:rPr>
        <w:t>Jobfish</w:t>
      </w:r>
      <w:proofErr w:type="spellEnd"/>
      <w:r>
        <w:rPr>
          <w:rFonts w:eastAsia="Times New Roman"/>
        </w:rPr>
        <w:t xml:space="preserve"> - August 2016 </w:t>
      </w:r>
    </w:p>
    <w:p w14:paraId="34E318A7" w14:textId="77777777" w:rsidR="008B1022" w:rsidRDefault="008B1022" w:rsidP="008B1022">
      <w:r>
        <w:t xml:space="preserve">This incident involved a Green </w:t>
      </w:r>
      <w:proofErr w:type="spellStart"/>
      <w:r>
        <w:t>Jobfish</w:t>
      </w:r>
      <w:proofErr w:type="spellEnd"/>
      <w:r>
        <w:t xml:space="preserve"> that was approximately 80 cm long and one of 3 Green </w:t>
      </w:r>
      <w:proofErr w:type="spellStart"/>
      <w:r>
        <w:t>Jobfish</w:t>
      </w:r>
      <w:proofErr w:type="spellEnd"/>
      <w:r>
        <w:t xml:space="preserve"> purchased by the consumer. The 3 fish were caught off the Capel Bank Seamount, off the coast of Queensland, to the </w:t>
      </w:r>
      <w:proofErr w:type="gramStart"/>
      <w:r>
        <w:t>south west</w:t>
      </w:r>
      <w:proofErr w:type="gramEnd"/>
      <w:r>
        <w:t xml:space="preserve"> of New Caledonia. The fish were purchased in July 2016, transported to the purchaser’s home, descaled, gutted (including removal of eyes and gills), </w:t>
      </w:r>
      <w:proofErr w:type="gramStart"/>
      <w:r>
        <w:t>portioned</w:t>
      </w:r>
      <w:proofErr w:type="gramEnd"/>
      <w:r>
        <w:t xml:space="preserve"> and stored frozen. One of these fish was used to prepare a fish soup on 30 August 2016. That soup was shared amongst 6 family and friends. Symptoms experienced by each of the consumers varied (Table 1). One of the cases described their symptoms as “Water bites tongue; tingling lips; heavy face; diarrhoea; at times shortness of breath”. P-CTX-1B was detected in 3 of 3 uncooked portions of the remaining fish (0.006, 0.036 and 0.020 µg/kg). </w:t>
      </w:r>
    </w:p>
    <w:p w14:paraId="0735876D" w14:textId="77777777" w:rsidR="00831587" w:rsidRDefault="00831587">
      <w:pPr>
        <w:rPr>
          <w:rFonts w:eastAsia="Times New Roman"/>
          <w:b/>
        </w:rPr>
      </w:pPr>
      <w:r>
        <w:rPr>
          <w:rFonts w:eastAsia="Times New Roman"/>
        </w:rPr>
        <w:br w:type="page"/>
      </w:r>
    </w:p>
    <w:p w14:paraId="2B992263" w14:textId="77777777" w:rsidR="008B1022" w:rsidRDefault="008B1022" w:rsidP="008B1022">
      <w:pPr>
        <w:pStyle w:val="CDIFigures"/>
        <w:rPr>
          <w:rFonts w:eastAsia="Times New Roman"/>
        </w:rPr>
      </w:pPr>
      <w:r>
        <w:rPr>
          <w:rFonts w:eastAsia="Times New Roman"/>
        </w:rPr>
        <w:lastRenderedPageBreak/>
        <w:t xml:space="preserve">Table 1: Summary of reported symptoms from cases who consumed Green </w:t>
      </w:r>
      <w:proofErr w:type="spellStart"/>
      <w:r>
        <w:rPr>
          <w:rFonts w:eastAsia="Times New Roman"/>
        </w:rPr>
        <w:t>Jobfish</w:t>
      </w:r>
      <w:proofErr w:type="spellEnd"/>
      <w:r>
        <w:rPr>
          <w:rFonts w:eastAsia="Times New Roman"/>
        </w:rPr>
        <w:t xml:space="preserve"> (Incident 3). </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Table 1: Summary of reported symptoms from cases who consumed Green Jobfish (Incident 3). "/>
        <w:tblDescription w:val="Table 1 A summary of the reported symptoms from the six cases who consumed Grouper (Incident 3) including age of individual, part of fish consumed and if the individual had previous exposure to ciguatera fish poisoning."/>
      </w:tblPr>
      <w:tblGrid>
        <w:gridCol w:w="708"/>
        <w:gridCol w:w="1273"/>
        <w:gridCol w:w="633"/>
        <w:gridCol w:w="1366"/>
        <w:gridCol w:w="4455"/>
        <w:gridCol w:w="2031"/>
      </w:tblGrid>
      <w:tr w:rsidR="008B1022" w14:paraId="3FE2B447" w14:textId="77777777" w:rsidTr="000C28EA">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2CC8F5E0" w14:textId="77777777" w:rsidR="008B1022" w:rsidRPr="00831587" w:rsidRDefault="008B1022">
            <w:pPr>
              <w:rPr>
                <w:rFonts w:eastAsia="Times New Roman"/>
                <w:color w:val="FFFFFF" w:themeColor="background1"/>
                <w:sz w:val="24"/>
                <w:szCs w:val="24"/>
              </w:rPr>
            </w:pPr>
            <w:r w:rsidRPr="00831587">
              <w:rPr>
                <w:rFonts w:eastAsia="Times New Roman"/>
                <w:color w:val="FFFFFF" w:themeColor="background1"/>
              </w:rPr>
              <w:t xml:space="preserve">Case </w:t>
            </w:r>
          </w:p>
        </w:tc>
        <w:tc>
          <w:tcPr>
            <w:tcW w:w="0" w:type="auto"/>
            <w:hideMark/>
          </w:tcPr>
          <w:p w14:paraId="348D57E9" w14:textId="77777777" w:rsidR="008B1022" w:rsidRPr="00831587" w:rsidRDefault="008B1022" w:rsidP="00831587">
            <w:pPr>
              <w:jc w:val="center"/>
              <w:rPr>
                <w:rFonts w:eastAsia="Times New Roman"/>
                <w:color w:val="FFFFFF" w:themeColor="background1"/>
                <w:sz w:val="24"/>
                <w:szCs w:val="24"/>
              </w:rPr>
            </w:pPr>
            <w:r w:rsidRPr="00831587">
              <w:rPr>
                <w:rFonts w:eastAsia="Times New Roman"/>
                <w:color w:val="FFFFFF" w:themeColor="background1"/>
              </w:rPr>
              <w:t>Prior exposure to CFP</w:t>
            </w:r>
            <w:r w:rsidRPr="00831587">
              <w:rPr>
                <w:rFonts w:eastAsia="Times New Roman"/>
                <w:color w:val="FFFFFF" w:themeColor="background1"/>
                <w:vertAlign w:val="superscript"/>
              </w:rPr>
              <w:t>*</w:t>
            </w:r>
          </w:p>
        </w:tc>
        <w:tc>
          <w:tcPr>
            <w:tcW w:w="0" w:type="auto"/>
            <w:hideMark/>
          </w:tcPr>
          <w:p w14:paraId="2D724EB3" w14:textId="77777777" w:rsidR="008B1022" w:rsidRPr="00831587" w:rsidRDefault="008B1022" w:rsidP="00831587">
            <w:pPr>
              <w:jc w:val="center"/>
              <w:rPr>
                <w:rFonts w:eastAsia="Times New Roman"/>
                <w:color w:val="FFFFFF" w:themeColor="background1"/>
                <w:sz w:val="24"/>
                <w:szCs w:val="24"/>
              </w:rPr>
            </w:pPr>
            <w:r w:rsidRPr="00831587">
              <w:rPr>
                <w:rFonts w:eastAsia="Times New Roman"/>
                <w:color w:val="FFFFFF" w:themeColor="background1"/>
              </w:rPr>
              <w:t>Age</w:t>
            </w:r>
          </w:p>
        </w:tc>
        <w:tc>
          <w:tcPr>
            <w:tcW w:w="0" w:type="auto"/>
            <w:hideMark/>
          </w:tcPr>
          <w:p w14:paraId="154206B1" w14:textId="77777777" w:rsidR="008B1022" w:rsidRPr="00831587" w:rsidRDefault="008B1022" w:rsidP="000C28EA">
            <w:pPr>
              <w:rPr>
                <w:rFonts w:eastAsia="Times New Roman"/>
                <w:color w:val="FFFFFF" w:themeColor="background1"/>
                <w:sz w:val="24"/>
                <w:szCs w:val="24"/>
              </w:rPr>
            </w:pPr>
            <w:r w:rsidRPr="00831587">
              <w:rPr>
                <w:rFonts w:eastAsia="Times New Roman"/>
                <w:color w:val="FFFFFF" w:themeColor="background1"/>
              </w:rPr>
              <w:t>Part of fish consumed</w:t>
            </w:r>
          </w:p>
        </w:tc>
        <w:tc>
          <w:tcPr>
            <w:tcW w:w="0" w:type="auto"/>
            <w:hideMark/>
          </w:tcPr>
          <w:p w14:paraId="210769BA" w14:textId="77777777" w:rsidR="008B1022" w:rsidRPr="00831587" w:rsidRDefault="008B1022" w:rsidP="000C28EA">
            <w:pPr>
              <w:rPr>
                <w:rFonts w:eastAsia="Times New Roman"/>
                <w:color w:val="FFFFFF" w:themeColor="background1"/>
                <w:sz w:val="24"/>
                <w:szCs w:val="24"/>
              </w:rPr>
            </w:pPr>
            <w:r w:rsidRPr="00831587">
              <w:rPr>
                <w:rFonts w:eastAsia="Times New Roman"/>
                <w:color w:val="FFFFFF" w:themeColor="background1"/>
              </w:rPr>
              <w:t>Symptoms (onset time)</w:t>
            </w:r>
          </w:p>
        </w:tc>
        <w:tc>
          <w:tcPr>
            <w:tcW w:w="0" w:type="auto"/>
            <w:hideMark/>
          </w:tcPr>
          <w:p w14:paraId="346FCB9A" w14:textId="77777777" w:rsidR="008B1022" w:rsidRPr="00831587" w:rsidRDefault="008B1022" w:rsidP="000C28EA">
            <w:pPr>
              <w:rPr>
                <w:rFonts w:eastAsia="Times New Roman"/>
                <w:color w:val="FFFFFF" w:themeColor="background1"/>
                <w:sz w:val="24"/>
                <w:szCs w:val="24"/>
              </w:rPr>
            </w:pPr>
            <w:r w:rsidRPr="00831587">
              <w:rPr>
                <w:rFonts w:eastAsia="Times New Roman"/>
                <w:color w:val="FFFFFF" w:themeColor="background1"/>
              </w:rPr>
              <w:t>Notes</w:t>
            </w:r>
          </w:p>
        </w:tc>
      </w:tr>
      <w:tr w:rsidR="008B1022" w14:paraId="791AC492" w14:textId="77777777" w:rsidTr="000C28EA">
        <w:tc>
          <w:tcPr>
            <w:tcW w:w="0" w:type="auto"/>
            <w:hideMark/>
          </w:tcPr>
          <w:p w14:paraId="772ADFC1" w14:textId="77777777" w:rsidR="008B1022" w:rsidRDefault="008B1022">
            <w:pPr>
              <w:rPr>
                <w:rFonts w:eastAsia="Times New Roman"/>
                <w:sz w:val="24"/>
                <w:szCs w:val="24"/>
              </w:rPr>
            </w:pPr>
            <w:r>
              <w:rPr>
                <w:rFonts w:eastAsia="Times New Roman"/>
              </w:rPr>
              <w:t xml:space="preserve">1 </w:t>
            </w:r>
          </w:p>
        </w:tc>
        <w:tc>
          <w:tcPr>
            <w:tcW w:w="0" w:type="auto"/>
            <w:hideMark/>
          </w:tcPr>
          <w:p w14:paraId="42D6F8C2" w14:textId="77777777" w:rsidR="008B1022" w:rsidRDefault="008B1022" w:rsidP="00831587">
            <w:pPr>
              <w:jc w:val="center"/>
              <w:rPr>
                <w:rFonts w:eastAsia="Times New Roman"/>
                <w:sz w:val="24"/>
                <w:szCs w:val="24"/>
              </w:rPr>
            </w:pPr>
            <w:r>
              <w:rPr>
                <w:rFonts w:eastAsia="Times New Roman"/>
              </w:rPr>
              <w:t>Yes</w:t>
            </w:r>
          </w:p>
        </w:tc>
        <w:tc>
          <w:tcPr>
            <w:tcW w:w="0" w:type="auto"/>
            <w:hideMark/>
          </w:tcPr>
          <w:p w14:paraId="4C11F7E1" w14:textId="77777777" w:rsidR="008B1022" w:rsidRDefault="008B1022" w:rsidP="00831587">
            <w:pPr>
              <w:jc w:val="center"/>
              <w:rPr>
                <w:rFonts w:eastAsia="Times New Roman"/>
                <w:sz w:val="24"/>
                <w:szCs w:val="24"/>
              </w:rPr>
            </w:pPr>
            <w:r>
              <w:rPr>
                <w:rFonts w:eastAsia="Times New Roman"/>
              </w:rPr>
              <w:t>63</w:t>
            </w:r>
          </w:p>
        </w:tc>
        <w:tc>
          <w:tcPr>
            <w:tcW w:w="0" w:type="auto"/>
            <w:hideMark/>
          </w:tcPr>
          <w:p w14:paraId="685F3E90" w14:textId="77777777" w:rsidR="008B1022" w:rsidRDefault="008B1022" w:rsidP="000C28EA">
            <w:pPr>
              <w:rPr>
                <w:rFonts w:eastAsia="Times New Roman"/>
                <w:sz w:val="24"/>
                <w:szCs w:val="24"/>
              </w:rPr>
            </w:pPr>
            <w:r>
              <w:rPr>
                <w:rFonts w:eastAsia="Times New Roman"/>
              </w:rPr>
              <w:t>Small piece of the head</w:t>
            </w:r>
          </w:p>
        </w:tc>
        <w:tc>
          <w:tcPr>
            <w:tcW w:w="0" w:type="auto"/>
            <w:hideMark/>
          </w:tcPr>
          <w:p w14:paraId="28F013A0" w14:textId="77777777" w:rsidR="008B1022" w:rsidRDefault="008B1022" w:rsidP="000C28EA">
            <w:pPr>
              <w:rPr>
                <w:rFonts w:eastAsia="Times New Roman"/>
                <w:sz w:val="24"/>
                <w:szCs w:val="24"/>
              </w:rPr>
            </w:pPr>
            <w:r>
              <w:rPr>
                <w:rFonts w:eastAsia="Times New Roman"/>
              </w:rPr>
              <w:t>Itchiness; diarrhoea; nausea; lethargy. (Unknown)</w:t>
            </w:r>
          </w:p>
        </w:tc>
        <w:tc>
          <w:tcPr>
            <w:tcW w:w="0" w:type="auto"/>
            <w:hideMark/>
          </w:tcPr>
          <w:p w14:paraId="1D2D9787" w14:textId="77777777" w:rsidR="008B1022" w:rsidRDefault="008B1022" w:rsidP="000C28EA">
            <w:pPr>
              <w:rPr>
                <w:rFonts w:eastAsia="Times New Roman"/>
                <w:sz w:val="24"/>
                <w:szCs w:val="24"/>
              </w:rPr>
            </w:pPr>
            <w:r>
              <w:rPr>
                <w:rFonts w:eastAsia="Times New Roman"/>
              </w:rPr>
              <w:t>Case reported that they were generally unwell, with existing medical issues, prior to the meal.</w:t>
            </w:r>
          </w:p>
        </w:tc>
      </w:tr>
      <w:tr w:rsidR="008B1022" w14:paraId="42C82B64" w14:textId="77777777" w:rsidTr="000C28EA">
        <w:trPr>
          <w:cnfStyle w:val="000000010000" w:firstRow="0" w:lastRow="0" w:firstColumn="0" w:lastColumn="0" w:oddVBand="0" w:evenVBand="0" w:oddHBand="0" w:evenHBand="1" w:firstRowFirstColumn="0" w:firstRowLastColumn="0" w:lastRowFirstColumn="0" w:lastRowLastColumn="0"/>
        </w:trPr>
        <w:tc>
          <w:tcPr>
            <w:tcW w:w="0" w:type="auto"/>
            <w:hideMark/>
          </w:tcPr>
          <w:p w14:paraId="12F40D87" w14:textId="77777777" w:rsidR="008B1022" w:rsidRDefault="008B1022">
            <w:pPr>
              <w:rPr>
                <w:rFonts w:eastAsia="Times New Roman"/>
                <w:sz w:val="24"/>
                <w:szCs w:val="24"/>
              </w:rPr>
            </w:pPr>
            <w:r>
              <w:rPr>
                <w:rFonts w:eastAsia="Times New Roman"/>
              </w:rPr>
              <w:t xml:space="preserve">2 </w:t>
            </w:r>
          </w:p>
        </w:tc>
        <w:tc>
          <w:tcPr>
            <w:tcW w:w="0" w:type="auto"/>
            <w:hideMark/>
          </w:tcPr>
          <w:p w14:paraId="37B7AA84" w14:textId="77777777" w:rsidR="008B1022" w:rsidRDefault="008B1022" w:rsidP="00831587">
            <w:pPr>
              <w:jc w:val="center"/>
              <w:rPr>
                <w:rFonts w:eastAsia="Times New Roman"/>
                <w:sz w:val="24"/>
                <w:szCs w:val="24"/>
              </w:rPr>
            </w:pPr>
            <w:r>
              <w:rPr>
                <w:rFonts w:eastAsia="Times New Roman"/>
              </w:rPr>
              <w:t>Yes</w:t>
            </w:r>
          </w:p>
        </w:tc>
        <w:tc>
          <w:tcPr>
            <w:tcW w:w="0" w:type="auto"/>
            <w:hideMark/>
          </w:tcPr>
          <w:p w14:paraId="1C1565D1" w14:textId="77777777" w:rsidR="008B1022" w:rsidRDefault="008B1022" w:rsidP="00831587">
            <w:pPr>
              <w:jc w:val="center"/>
              <w:rPr>
                <w:rFonts w:eastAsia="Times New Roman"/>
                <w:sz w:val="24"/>
                <w:szCs w:val="24"/>
              </w:rPr>
            </w:pPr>
            <w:r>
              <w:rPr>
                <w:rFonts w:eastAsia="Times New Roman"/>
              </w:rPr>
              <w:t>30</w:t>
            </w:r>
          </w:p>
        </w:tc>
        <w:tc>
          <w:tcPr>
            <w:tcW w:w="0" w:type="auto"/>
            <w:hideMark/>
          </w:tcPr>
          <w:p w14:paraId="7BEFD0EC" w14:textId="77777777" w:rsidR="008B1022" w:rsidRDefault="004332FC" w:rsidP="000C28EA">
            <w:pPr>
              <w:rPr>
                <w:rFonts w:eastAsia="Times New Roman"/>
                <w:sz w:val="24"/>
                <w:szCs w:val="24"/>
              </w:rPr>
            </w:pPr>
            <w:r>
              <w:rPr>
                <w:rFonts w:eastAsia="Times New Roman"/>
              </w:rPr>
              <w:t>Head</w:t>
            </w:r>
          </w:p>
        </w:tc>
        <w:tc>
          <w:tcPr>
            <w:tcW w:w="0" w:type="auto"/>
            <w:hideMark/>
          </w:tcPr>
          <w:p w14:paraId="3A2EF14F" w14:textId="77777777" w:rsidR="008B1022" w:rsidRDefault="008B1022" w:rsidP="000C28EA">
            <w:pPr>
              <w:rPr>
                <w:rFonts w:eastAsia="Times New Roman"/>
                <w:sz w:val="24"/>
                <w:szCs w:val="24"/>
              </w:rPr>
            </w:pPr>
            <w:r>
              <w:rPr>
                <w:rFonts w:eastAsia="Times New Roman"/>
              </w:rPr>
              <w:t>Itchiness; lethargy; heavy chest. (Unknown)</w:t>
            </w:r>
          </w:p>
        </w:tc>
        <w:tc>
          <w:tcPr>
            <w:tcW w:w="0" w:type="auto"/>
            <w:hideMark/>
          </w:tcPr>
          <w:p w14:paraId="35EC3C0A" w14:textId="77777777" w:rsidR="008B1022" w:rsidRDefault="008B1022" w:rsidP="000C28EA">
            <w:pPr>
              <w:rPr>
                <w:rFonts w:eastAsia="Times New Roman"/>
                <w:sz w:val="24"/>
                <w:szCs w:val="24"/>
              </w:rPr>
            </w:pPr>
            <w:r>
              <w:rPr>
                <w:rFonts w:eastAsia="Times New Roman"/>
              </w:rPr>
              <w:t>Case reported that they will ‘suck’ on bones during meal.</w:t>
            </w:r>
          </w:p>
        </w:tc>
      </w:tr>
      <w:tr w:rsidR="008B1022" w14:paraId="5F44D420" w14:textId="77777777" w:rsidTr="000C28EA">
        <w:tc>
          <w:tcPr>
            <w:tcW w:w="0" w:type="auto"/>
            <w:hideMark/>
          </w:tcPr>
          <w:p w14:paraId="14357A6A" w14:textId="77777777" w:rsidR="008B1022" w:rsidRDefault="008B1022">
            <w:pPr>
              <w:rPr>
                <w:rFonts w:eastAsia="Times New Roman"/>
                <w:sz w:val="24"/>
                <w:szCs w:val="24"/>
              </w:rPr>
            </w:pPr>
            <w:r>
              <w:rPr>
                <w:rFonts w:eastAsia="Times New Roman"/>
              </w:rPr>
              <w:t xml:space="preserve">3 </w:t>
            </w:r>
          </w:p>
        </w:tc>
        <w:tc>
          <w:tcPr>
            <w:tcW w:w="0" w:type="auto"/>
            <w:hideMark/>
          </w:tcPr>
          <w:p w14:paraId="62A5FB3D" w14:textId="77777777" w:rsidR="008B1022" w:rsidRDefault="008B1022" w:rsidP="00831587">
            <w:pPr>
              <w:jc w:val="center"/>
              <w:rPr>
                <w:rFonts w:eastAsia="Times New Roman"/>
                <w:sz w:val="24"/>
                <w:szCs w:val="24"/>
              </w:rPr>
            </w:pPr>
            <w:r>
              <w:rPr>
                <w:rFonts w:eastAsia="Times New Roman"/>
              </w:rPr>
              <w:t>None reported</w:t>
            </w:r>
          </w:p>
        </w:tc>
        <w:tc>
          <w:tcPr>
            <w:tcW w:w="0" w:type="auto"/>
            <w:hideMark/>
          </w:tcPr>
          <w:p w14:paraId="14A43EFC" w14:textId="77777777" w:rsidR="008B1022" w:rsidRDefault="008B1022" w:rsidP="00831587">
            <w:pPr>
              <w:jc w:val="center"/>
              <w:rPr>
                <w:rFonts w:eastAsia="Times New Roman"/>
                <w:sz w:val="24"/>
                <w:szCs w:val="24"/>
              </w:rPr>
            </w:pPr>
            <w:r>
              <w:rPr>
                <w:rFonts w:eastAsia="Times New Roman"/>
              </w:rPr>
              <w:t>30</w:t>
            </w:r>
          </w:p>
        </w:tc>
        <w:tc>
          <w:tcPr>
            <w:tcW w:w="0" w:type="auto"/>
            <w:hideMark/>
          </w:tcPr>
          <w:p w14:paraId="7C110BA1" w14:textId="77777777" w:rsidR="008B1022" w:rsidRDefault="008B1022" w:rsidP="000C28EA">
            <w:pPr>
              <w:rPr>
                <w:rFonts w:eastAsia="Times New Roman"/>
                <w:sz w:val="24"/>
                <w:szCs w:val="24"/>
              </w:rPr>
            </w:pPr>
            <w:r>
              <w:rPr>
                <w:rFonts w:eastAsia="Times New Roman"/>
              </w:rPr>
              <w:t>Flesh (fillet) only</w:t>
            </w:r>
          </w:p>
        </w:tc>
        <w:tc>
          <w:tcPr>
            <w:tcW w:w="0" w:type="auto"/>
            <w:hideMark/>
          </w:tcPr>
          <w:p w14:paraId="34F827A2" w14:textId="77777777" w:rsidR="008B1022" w:rsidRDefault="008B1022" w:rsidP="000C28EA">
            <w:pPr>
              <w:rPr>
                <w:rFonts w:eastAsia="Times New Roman"/>
                <w:sz w:val="24"/>
                <w:szCs w:val="24"/>
              </w:rPr>
            </w:pPr>
            <w:r>
              <w:rPr>
                <w:rFonts w:eastAsia="Times New Roman"/>
              </w:rPr>
              <w:t>Heavy chest. (12 hours post meal)</w:t>
            </w:r>
          </w:p>
        </w:tc>
        <w:tc>
          <w:tcPr>
            <w:tcW w:w="0" w:type="auto"/>
            <w:hideMark/>
          </w:tcPr>
          <w:p w14:paraId="2F154D57" w14:textId="77777777" w:rsidR="008B1022" w:rsidRDefault="008B1022" w:rsidP="000C28EA">
            <w:pPr>
              <w:rPr>
                <w:rFonts w:eastAsia="Times New Roman"/>
                <w:sz w:val="24"/>
                <w:szCs w:val="24"/>
              </w:rPr>
            </w:pPr>
            <w:r>
              <w:rPr>
                <w:rFonts w:eastAsia="Times New Roman"/>
              </w:rPr>
              <w:t>N/A</w:t>
            </w:r>
          </w:p>
        </w:tc>
      </w:tr>
      <w:tr w:rsidR="008B1022" w14:paraId="67132507" w14:textId="77777777" w:rsidTr="000C28EA">
        <w:trPr>
          <w:cnfStyle w:val="000000010000" w:firstRow="0" w:lastRow="0" w:firstColumn="0" w:lastColumn="0" w:oddVBand="0" w:evenVBand="0" w:oddHBand="0" w:evenHBand="1" w:firstRowFirstColumn="0" w:firstRowLastColumn="0" w:lastRowFirstColumn="0" w:lastRowLastColumn="0"/>
        </w:trPr>
        <w:tc>
          <w:tcPr>
            <w:tcW w:w="0" w:type="auto"/>
            <w:hideMark/>
          </w:tcPr>
          <w:p w14:paraId="6E8AC170" w14:textId="77777777" w:rsidR="008B1022" w:rsidRDefault="008B1022">
            <w:pPr>
              <w:rPr>
                <w:rFonts w:eastAsia="Times New Roman"/>
                <w:sz w:val="24"/>
                <w:szCs w:val="24"/>
              </w:rPr>
            </w:pPr>
            <w:r>
              <w:rPr>
                <w:rFonts w:eastAsia="Times New Roman"/>
              </w:rPr>
              <w:t xml:space="preserve">4 </w:t>
            </w:r>
          </w:p>
        </w:tc>
        <w:tc>
          <w:tcPr>
            <w:tcW w:w="0" w:type="auto"/>
            <w:hideMark/>
          </w:tcPr>
          <w:p w14:paraId="5C2BE284" w14:textId="77777777" w:rsidR="008B1022" w:rsidRDefault="008B1022" w:rsidP="00831587">
            <w:pPr>
              <w:jc w:val="center"/>
              <w:rPr>
                <w:rFonts w:eastAsia="Times New Roman"/>
                <w:sz w:val="24"/>
                <w:szCs w:val="24"/>
              </w:rPr>
            </w:pPr>
            <w:r>
              <w:rPr>
                <w:rFonts w:eastAsia="Times New Roman"/>
              </w:rPr>
              <w:t>Yes</w:t>
            </w:r>
          </w:p>
        </w:tc>
        <w:tc>
          <w:tcPr>
            <w:tcW w:w="0" w:type="auto"/>
            <w:hideMark/>
          </w:tcPr>
          <w:p w14:paraId="1A9DD379" w14:textId="77777777" w:rsidR="008B1022" w:rsidRDefault="008B1022" w:rsidP="00831587">
            <w:pPr>
              <w:jc w:val="center"/>
              <w:rPr>
                <w:rFonts w:eastAsia="Times New Roman"/>
                <w:sz w:val="24"/>
                <w:szCs w:val="24"/>
              </w:rPr>
            </w:pPr>
            <w:r>
              <w:rPr>
                <w:rFonts w:eastAsia="Times New Roman"/>
              </w:rPr>
              <w:t>33</w:t>
            </w:r>
          </w:p>
        </w:tc>
        <w:tc>
          <w:tcPr>
            <w:tcW w:w="0" w:type="auto"/>
            <w:hideMark/>
          </w:tcPr>
          <w:p w14:paraId="33C6838D" w14:textId="77777777" w:rsidR="008B1022" w:rsidRDefault="008B1022" w:rsidP="000C28EA">
            <w:pPr>
              <w:rPr>
                <w:rFonts w:eastAsia="Times New Roman"/>
                <w:sz w:val="24"/>
                <w:szCs w:val="24"/>
              </w:rPr>
            </w:pPr>
            <w:r>
              <w:rPr>
                <w:rFonts w:eastAsia="Times New Roman"/>
              </w:rPr>
              <w:t>Mainly flesh (fillet)</w:t>
            </w:r>
          </w:p>
        </w:tc>
        <w:tc>
          <w:tcPr>
            <w:tcW w:w="0" w:type="auto"/>
            <w:hideMark/>
          </w:tcPr>
          <w:p w14:paraId="61B193B5" w14:textId="77777777" w:rsidR="008B1022" w:rsidRDefault="008B1022" w:rsidP="000C28EA">
            <w:pPr>
              <w:rPr>
                <w:rFonts w:eastAsia="Times New Roman"/>
                <w:sz w:val="24"/>
                <w:szCs w:val="24"/>
              </w:rPr>
            </w:pPr>
            <w:r>
              <w:rPr>
                <w:rFonts w:eastAsia="Times New Roman"/>
              </w:rPr>
              <w:t>No symptoms.</w:t>
            </w:r>
          </w:p>
        </w:tc>
        <w:tc>
          <w:tcPr>
            <w:tcW w:w="0" w:type="auto"/>
            <w:hideMark/>
          </w:tcPr>
          <w:p w14:paraId="747C7EA3" w14:textId="77777777" w:rsidR="008B1022" w:rsidRDefault="008B1022" w:rsidP="000C28EA">
            <w:pPr>
              <w:rPr>
                <w:rFonts w:eastAsia="Times New Roman"/>
                <w:sz w:val="24"/>
                <w:szCs w:val="24"/>
              </w:rPr>
            </w:pPr>
            <w:r>
              <w:rPr>
                <w:rFonts w:eastAsia="Times New Roman"/>
              </w:rPr>
              <w:t>N/A</w:t>
            </w:r>
          </w:p>
        </w:tc>
      </w:tr>
      <w:tr w:rsidR="008B1022" w14:paraId="4334791A" w14:textId="77777777" w:rsidTr="000C28EA">
        <w:tc>
          <w:tcPr>
            <w:tcW w:w="0" w:type="auto"/>
            <w:hideMark/>
          </w:tcPr>
          <w:p w14:paraId="64807A72" w14:textId="77777777" w:rsidR="008B1022" w:rsidRDefault="008B1022">
            <w:pPr>
              <w:rPr>
                <w:rFonts w:eastAsia="Times New Roman"/>
                <w:sz w:val="24"/>
                <w:szCs w:val="24"/>
              </w:rPr>
            </w:pPr>
            <w:r>
              <w:rPr>
                <w:rFonts w:eastAsia="Times New Roman"/>
              </w:rPr>
              <w:t xml:space="preserve">5 </w:t>
            </w:r>
          </w:p>
        </w:tc>
        <w:tc>
          <w:tcPr>
            <w:tcW w:w="0" w:type="auto"/>
            <w:hideMark/>
          </w:tcPr>
          <w:p w14:paraId="2FE65FC0" w14:textId="77777777" w:rsidR="008B1022" w:rsidRDefault="008B1022" w:rsidP="00831587">
            <w:pPr>
              <w:jc w:val="center"/>
              <w:rPr>
                <w:rFonts w:eastAsia="Times New Roman"/>
                <w:sz w:val="24"/>
                <w:szCs w:val="24"/>
              </w:rPr>
            </w:pPr>
            <w:r>
              <w:rPr>
                <w:rFonts w:eastAsia="Times New Roman"/>
              </w:rPr>
              <w:t>None reported</w:t>
            </w:r>
          </w:p>
        </w:tc>
        <w:tc>
          <w:tcPr>
            <w:tcW w:w="0" w:type="auto"/>
            <w:hideMark/>
          </w:tcPr>
          <w:p w14:paraId="33F417A7" w14:textId="77777777" w:rsidR="008B1022" w:rsidRDefault="008B1022" w:rsidP="00831587">
            <w:pPr>
              <w:jc w:val="center"/>
              <w:rPr>
                <w:rFonts w:eastAsia="Times New Roman"/>
                <w:sz w:val="24"/>
                <w:szCs w:val="24"/>
              </w:rPr>
            </w:pPr>
            <w:r>
              <w:rPr>
                <w:rFonts w:eastAsia="Times New Roman"/>
              </w:rPr>
              <w:t>65</w:t>
            </w:r>
          </w:p>
        </w:tc>
        <w:tc>
          <w:tcPr>
            <w:tcW w:w="0" w:type="auto"/>
            <w:hideMark/>
          </w:tcPr>
          <w:p w14:paraId="363C1F69" w14:textId="77777777" w:rsidR="008B1022" w:rsidRDefault="008B1022" w:rsidP="000C28EA">
            <w:pPr>
              <w:rPr>
                <w:rFonts w:eastAsia="Times New Roman"/>
                <w:sz w:val="24"/>
                <w:szCs w:val="24"/>
              </w:rPr>
            </w:pPr>
            <w:r>
              <w:rPr>
                <w:rFonts w:eastAsia="Times New Roman"/>
              </w:rPr>
              <w:t>Not known</w:t>
            </w:r>
          </w:p>
        </w:tc>
        <w:tc>
          <w:tcPr>
            <w:tcW w:w="0" w:type="auto"/>
            <w:hideMark/>
          </w:tcPr>
          <w:p w14:paraId="3B8DCC65" w14:textId="77777777" w:rsidR="008B1022" w:rsidRDefault="008B1022" w:rsidP="000C28EA">
            <w:pPr>
              <w:rPr>
                <w:rFonts w:eastAsia="Times New Roman"/>
                <w:sz w:val="24"/>
                <w:szCs w:val="24"/>
              </w:rPr>
            </w:pPr>
            <w:r>
              <w:rPr>
                <w:rFonts w:eastAsia="Times New Roman"/>
              </w:rPr>
              <w:t>Disorientated. (Unknown)</w:t>
            </w:r>
          </w:p>
        </w:tc>
        <w:tc>
          <w:tcPr>
            <w:tcW w:w="0" w:type="auto"/>
            <w:hideMark/>
          </w:tcPr>
          <w:p w14:paraId="49E722F2" w14:textId="77777777" w:rsidR="008B1022" w:rsidRDefault="008B1022" w:rsidP="000C28EA">
            <w:pPr>
              <w:rPr>
                <w:rFonts w:eastAsia="Times New Roman"/>
                <w:sz w:val="24"/>
                <w:szCs w:val="24"/>
              </w:rPr>
            </w:pPr>
            <w:r>
              <w:rPr>
                <w:rFonts w:eastAsia="Times New Roman"/>
              </w:rPr>
              <w:t>N/A</w:t>
            </w:r>
          </w:p>
        </w:tc>
      </w:tr>
      <w:tr w:rsidR="008B1022" w14:paraId="1ECCCEDC" w14:textId="77777777" w:rsidTr="000C28EA">
        <w:trPr>
          <w:cnfStyle w:val="000000010000" w:firstRow="0" w:lastRow="0" w:firstColumn="0" w:lastColumn="0" w:oddVBand="0" w:evenVBand="0" w:oddHBand="0" w:evenHBand="1" w:firstRowFirstColumn="0" w:firstRowLastColumn="0" w:lastRowFirstColumn="0" w:lastRowLastColumn="0"/>
        </w:trPr>
        <w:tc>
          <w:tcPr>
            <w:tcW w:w="0" w:type="auto"/>
            <w:hideMark/>
          </w:tcPr>
          <w:p w14:paraId="4F16B675" w14:textId="77777777" w:rsidR="008B1022" w:rsidRDefault="008B1022">
            <w:pPr>
              <w:rPr>
                <w:rFonts w:eastAsia="Times New Roman"/>
                <w:sz w:val="24"/>
                <w:szCs w:val="24"/>
              </w:rPr>
            </w:pPr>
            <w:r>
              <w:rPr>
                <w:rFonts w:eastAsia="Times New Roman"/>
              </w:rPr>
              <w:t xml:space="preserve">6 </w:t>
            </w:r>
          </w:p>
        </w:tc>
        <w:tc>
          <w:tcPr>
            <w:tcW w:w="0" w:type="auto"/>
            <w:hideMark/>
          </w:tcPr>
          <w:p w14:paraId="35628271" w14:textId="77777777" w:rsidR="008B1022" w:rsidRDefault="008B1022" w:rsidP="00831587">
            <w:pPr>
              <w:jc w:val="center"/>
              <w:rPr>
                <w:rFonts w:eastAsia="Times New Roman"/>
                <w:sz w:val="24"/>
                <w:szCs w:val="24"/>
              </w:rPr>
            </w:pPr>
            <w:r>
              <w:rPr>
                <w:rFonts w:eastAsia="Times New Roman"/>
              </w:rPr>
              <w:t>Yes</w:t>
            </w:r>
          </w:p>
        </w:tc>
        <w:tc>
          <w:tcPr>
            <w:tcW w:w="0" w:type="auto"/>
            <w:hideMark/>
          </w:tcPr>
          <w:p w14:paraId="1F32FE06" w14:textId="77777777" w:rsidR="008B1022" w:rsidRDefault="008B1022" w:rsidP="00831587">
            <w:pPr>
              <w:jc w:val="center"/>
              <w:rPr>
                <w:rFonts w:eastAsia="Times New Roman"/>
                <w:sz w:val="24"/>
                <w:szCs w:val="24"/>
              </w:rPr>
            </w:pPr>
            <w:r>
              <w:rPr>
                <w:rFonts w:eastAsia="Times New Roman"/>
              </w:rPr>
              <w:t>62</w:t>
            </w:r>
          </w:p>
        </w:tc>
        <w:tc>
          <w:tcPr>
            <w:tcW w:w="0" w:type="auto"/>
            <w:hideMark/>
          </w:tcPr>
          <w:p w14:paraId="0247DEE9" w14:textId="77777777" w:rsidR="008B1022" w:rsidRDefault="008B1022" w:rsidP="000C28EA">
            <w:pPr>
              <w:rPr>
                <w:rFonts w:eastAsia="Times New Roman"/>
                <w:sz w:val="24"/>
                <w:szCs w:val="24"/>
              </w:rPr>
            </w:pPr>
            <w:r>
              <w:rPr>
                <w:rFonts w:eastAsia="Times New Roman"/>
              </w:rPr>
              <w:t>Head</w:t>
            </w:r>
          </w:p>
        </w:tc>
        <w:tc>
          <w:tcPr>
            <w:tcW w:w="0" w:type="auto"/>
            <w:hideMark/>
          </w:tcPr>
          <w:p w14:paraId="1A3F4300" w14:textId="77777777" w:rsidR="008B1022" w:rsidRDefault="008B1022" w:rsidP="000C28EA">
            <w:pPr>
              <w:rPr>
                <w:rFonts w:eastAsia="Times New Roman"/>
                <w:sz w:val="24"/>
                <w:szCs w:val="24"/>
              </w:rPr>
            </w:pPr>
            <w:r>
              <w:rPr>
                <w:rFonts w:eastAsia="Times New Roman"/>
              </w:rPr>
              <w:t>Felt generally unwell after the evening meal and woke with diarrhea at 3am the next morning. Described symptoms as: diarrhoea with sharp pain; numb face; swollen lips; Itchy arms and legs; lethargy; nausea; ‘water bites’ tongue; breathlessness. (From 5.5hrs post meal)</w:t>
            </w:r>
          </w:p>
        </w:tc>
        <w:tc>
          <w:tcPr>
            <w:tcW w:w="0" w:type="auto"/>
            <w:hideMark/>
          </w:tcPr>
          <w:p w14:paraId="07FA0CE1" w14:textId="77777777" w:rsidR="008B1022" w:rsidRDefault="008B1022" w:rsidP="000C28EA">
            <w:pPr>
              <w:rPr>
                <w:rFonts w:eastAsia="Times New Roman"/>
                <w:sz w:val="24"/>
                <w:szCs w:val="24"/>
              </w:rPr>
            </w:pPr>
            <w:r>
              <w:rPr>
                <w:rFonts w:eastAsia="Times New Roman"/>
              </w:rPr>
              <w:t>Case reported that they will ‘suck’ on bones during meal.</w:t>
            </w:r>
          </w:p>
        </w:tc>
      </w:tr>
    </w:tbl>
    <w:p w14:paraId="32288D76" w14:textId="77777777" w:rsidR="008B1022" w:rsidRDefault="008B1022" w:rsidP="008B1022">
      <w:pPr>
        <w:pStyle w:val="CDIfootnotes"/>
        <w:rPr>
          <w:rFonts w:eastAsia="Times New Roman"/>
        </w:rPr>
      </w:pPr>
      <w:r>
        <w:rPr>
          <w:rFonts w:eastAsia="Times New Roman"/>
          <w:vertAlign w:val="superscript"/>
        </w:rPr>
        <w:t>*</w:t>
      </w:r>
      <w:r>
        <w:rPr>
          <w:rFonts w:eastAsia="Times New Roman"/>
        </w:rPr>
        <w:t xml:space="preserve"> </w:t>
      </w:r>
      <w:proofErr w:type="gramStart"/>
      <w:r>
        <w:rPr>
          <w:rFonts w:eastAsia="Times New Roman"/>
        </w:rPr>
        <w:t>reported</w:t>
      </w:r>
      <w:proofErr w:type="gramEnd"/>
      <w:r>
        <w:rPr>
          <w:rFonts w:eastAsia="Times New Roman"/>
        </w:rPr>
        <w:t xml:space="preserve"> by the affected individuals. </w:t>
      </w:r>
    </w:p>
    <w:p w14:paraId="58C7C2E7" w14:textId="77777777" w:rsidR="008B1022" w:rsidRDefault="008B1022">
      <w:pPr>
        <w:pStyle w:val="Heading2"/>
        <w:rPr>
          <w:rFonts w:eastAsia="Times New Roman"/>
        </w:rPr>
      </w:pPr>
      <w:r>
        <w:rPr>
          <w:rFonts w:eastAsia="Times New Roman"/>
        </w:rPr>
        <w:t xml:space="preserve">Incident 4: Grouper - February 2017 </w:t>
      </w:r>
    </w:p>
    <w:p w14:paraId="028D0C5C" w14:textId="77777777" w:rsidR="008B1022" w:rsidRDefault="008B1022" w:rsidP="008B1022">
      <w:r>
        <w:t>This incident involved a 5.646 kg Grouper, reportedly caught between Cooktown and Lizard Island that was served by a restaurant at a family function. The fish was selected alive – from a fish tank in the restaurant – and cooked 3 ways: st</w:t>
      </w:r>
      <w:r w:rsidR="004332FC">
        <w:t>eamed; cooked in a hot-pot; and</w:t>
      </w:r>
      <w:r>
        <w:t xml:space="preserve"> served as fillets. The hot pot contained the head and skin of the fish. The offal and gills of the fish had been removed and were not cooked. There were 5 containers of ‘leftovers’ which were taken home by the consumer. Four of those containers were of the hot-pot dish. The fifth container was the steamed fish dish. Four family members who consumed the hot pot fell ill. Those who did not consume the hot pot remained well. Two of the 4 cases who fell ill consumed the hot-pot during the function as well as some leftovers the next day. The remaining 2 cases only ate the hot pot during the function and had milder symptoms. Symptoms experienced by each of the consumers are summarised in Table 2. P-CTX-1B was not detected in any of the 3 containers of leftovers which were available for analysis. </w:t>
      </w:r>
    </w:p>
    <w:p w14:paraId="781FE33C" w14:textId="77777777" w:rsidR="00C166CD" w:rsidRDefault="00C166CD">
      <w:pPr>
        <w:rPr>
          <w:rFonts w:eastAsia="Times New Roman"/>
          <w:b/>
        </w:rPr>
      </w:pPr>
      <w:r>
        <w:rPr>
          <w:rFonts w:eastAsia="Times New Roman"/>
        </w:rPr>
        <w:br w:type="page"/>
      </w:r>
    </w:p>
    <w:p w14:paraId="7A5D6F61" w14:textId="77777777" w:rsidR="008B1022" w:rsidRDefault="008B1022" w:rsidP="008B1022">
      <w:pPr>
        <w:pStyle w:val="CDIFigures"/>
        <w:rPr>
          <w:rFonts w:eastAsia="Times New Roman"/>
        </w:rPr>
      </w:pPr>
      <w:r>
        <w:rPr>
          <w:rFonts w:eastAsia="Times New Roman"/>
        </w:rPr>
        <w:lastRenderedPageBreak/>
        <w:t xml:space="preserve">Table 2: Summary of reported symptoms from cases who consumed Grouper (Incident 4). </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Table 2: Summary of reported symptoms from cases who consumed Grouper (Incident 4). "/>
        <w:tblDescription w:val="- Table 2 A summary of the reported symptoms from the four cases who consumed Green Jobfish (Incident 4) including part of fish consumed and if the individual had previous exposure to ciguatera fish poisoning.&#10;&#10;"/>
      </w:tblPr>
      <w:tblGrid>
        <w:gridCol w:w="708"/>
        <w:gridCol w:w="1313"/>
        <w:gridCol w:w="1818"/>
        <w:gridCol w:w="4375"/>
        <w:gridCol w:w="2252"/>
      </w:tblGrid>
      <w:tr w:rsidR="008B1022" w14:paraId="6CE4D06A" w14:textId="77777777" w:rsidTr="00C166CD">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6D86D372" w14:textId="77777777" w:rsidR="008B1022" w:rsidRPr="00C166CD" w:rsidRDefault="008B1022">
            <w:pPr>
              <w:rPr>
                <w:rFonts w:eastAsia="Times New Roman"/>
                <w:color w:val="FFFFFF" w:themeColor="background1"/>
                <w:sz w:val="24"/>
                <w:szCs w:val="24"/>
              </w:rPr>
            </w:pPr>
            <w:r w:rsidRPr="00C166CD">
              <w:rPr>
                <w:rFonts w:eastAsia="Times New Roman"/>
                <w:color w:val="FFFFFF" w:themeColor="background1"/>
              </w:rPr>
              <w:t xml:space="preserve">Case </w:t>
            </w:r>
          </w:p>
        </w:tc>
        <w:tc>
          <w:tcPr>
            <w:tcW w:w="0" w:type="auto"/>
            <w:hideMark/>
          </w:tcPr>
          <w:p w14:paraId="686ABC51" w14:textId="77777777" w:rsidR="008B1022" w:rsidRPr="00C166CD" w:rsidRDefault="008B1022">
            <w:pPr>
              <w:rPr>
                <w:rFonts w:eastAsia="Times New Roman"/>
                <w:color w:val="FFFFFF" w:themeColor="background1"/>
                <w:sz w:val="24"/>
                <w:szCs w:val="24"/>
              </w:rPr>
            </w:pPr>
            <w:r w:rsidRPr="00C166CD">
              <w:rPr>
                <w:rFonts w:eastAsia="Times New Roman"/>
                <w:color w:val="FFFFFF" w:themeColor="background1"/>
              </w:rPr>
              <w:t>Prior exposure to CFP</w:t>
            </w:r>
            <w:r w:rsidRPr="00C166CD">
              <w:rPr>
                <w:rFonts w:eastAsia="Times New Roman"/>
                <w:color w:val="FFFFFF" w:themeColor="background1"/>
                <w:vertAlign w:val="superscript"/>
              </w:rPr>
              <w:t>*</w:t>
            </w:r>
          </w:p>
        </w:tc>
        <w:tc>
          <w:tcPr>
            <w:tcW w:w="0" w:type="auto"/>
            <w:hideMark/>
          </w:tcPr>
          <w:p w14:paraId="61C74BA9" w14:textId="77777777" w:rsidR="008B1022" w:rsidRPr="00C166CD" w:rsidRDefault="008B1022">
            <w:pPr>
              <w:rPr>
                <w:rFonts w:eastAsia="Times New Roman"/>
                <w:color w:val="FFFFFF" w:themeColor="background1"/>
                <w:sz w:val="24"/>
                <w:szCs w:val="24"/>
              </w:rPr>
            </w:pPr>
            <w:r w:rsidRPr="00C166CD">
              <w:rPr>
                <w:rFonts w:eastAsia="Times New Roman"/>
                <w:color w:val="FFFFFF" w:themeColor="background1"/>
              </w:rPr>
              <w:t xml:space="preserve">Part of fish consumed: </w:t>
            </w:r>
          </w:p>
        </w:tc>
        <w:tc>
          <w:tcPr>
            <w:tcW w:w="0" w:type="auto"/>
            <w:hideMark/>
          </w:tcPr>
          <w:p w14:paraId="35AE833D" w14:textId="77777777" w:rsidR="008B1022" w:rsidRPr="00C166CD" w:rsidRDefault="008B1022">
            <w:pPr>
              <w:rPr>
                <w:rFonts w:eastAsia="Times New Roman"/>
                <w:color w:val="FFFFFF" w:themeColor="background1"/>
                <w:sz w:val="24"/>
                <w:szCs w:val="24"/>
              </w:rPr>
            </w:pPr>
            <w:r w:rsidRPr="00C166CD">
              <w:rPr>
                <w:rFonts w:eastAsia="Times New Roman"/>
                <w:color w:val="FFFFFF" w:themeColor="background1"/>
              </w:rPr>
              <w:t xml:space="preserve">Symptoms (onset time) </w:t>
            </w:r>
          </w:p>
        </w:tc>
        <w:tc>
          <w:tcPr>
            <w:tcW w:w="0" w:type="auto"/>
            <w:hideMark/>
          </w:tcPr>
          <w:p w14:paraId="02ED83C5" w14:textId="77777777" w:rsidR="008B1022" w:rsidRPr="00C166CD" w:rsidRDefault="008B1022">
            <w:pPr>
              <w:rPr>
                <w:rFonts w:eastAsia="Times New Roman"/>
                <w:color w:val="FFFFFF" w:themeColor="background1"/>
                <w:sz w:val="24"/>
                <w:szCs w:val="24"/>
              </w:rPr>
            </w:pPr>
            <w:r w:rsidRPr="00C166CD">
              <w:rPr>
                <w:rFonts w:eastAsia="Times New Roman"/>
                <w:color w:val="FFFFFF" w:themeColor="background1"/>
              </w:rPr>
              <w:t xml:space="preserve">Notes </w:t>
            </w:r>
          </w:p>
        </w:tc>
      </w:tr>
      <w:tr w:rsidR="008B1022" w14:paraId="6B35505F" w14:textId="77777777" w:rsidTr="002D2638">
        <w:trPr>
          <w:trHeight w:val="1611"/>
        </w:trPr>
        <w:tc>
          <w:tcPr>
            <w:tcW w:w="0" w:type="auto"/>
            <w:hideMark/>
          </w:tcPr>
          <w:p w14:paraId="211C6707" w14:textId="77777777" w:rsidR="008B1022" w:rsidRDefault="008B1022">
            <w:pPr>
              <w:rPr>
                <w:rFonts w:eastAsia="Times New Roman"/>
                <w:sz w:val="24"/>
                <w:szCs w:val="24"/>
              </w:rPr>
            </w:pPr>
            <w:r>
              <w:rPr>
                <w:rFonts w:eastAsia="Times New Roman"/>
              </w:rPr>
              <w:t xml:space="preserve">1 </w:t>
            </w:r>
          </w:p>
        </w:tc>
        <w:tc>
          <w:tcPr>
            <w:tcW w:w="0" w:type="auto"/>
            <w:hideMark/>
          </w:tcPr>
          <w:p w14:paraId="59A92CF7" w14:textId="77777777" w:rsidR="008B1022" w:rsidRDefault="008B1022">
            <w:pPr>
              <w:rPr>
                <w:rFonts w:eastAsia="Times New Roman"/>
                <w:sz w:val="24"/>
                <w:szCs w:val="24"/>
              </w:rPr>
            </w:pPr>
            <w:r>
              <w:rPr>
                <w:rFonts w:eastAsia="Times New Roman"/>
              </w:rPr>
              <w:t xml:space="preserve">None reported </w:t>
            </w:r>
          </w:p>
        </w:tc>
        <w:tc>
          <w:tcPr>
            <w:tcW w:w="0" w:type="auto"/>
            <w:hideMark/>
          </w:tcPr>
          <w:p w14:paraId="4A2EED20" w14:textId="77777777" w:rsidR="008B1022" w:rsidRDefault="008B1022">
            <w:pPr>
              <w:rPr>
                <w:rFonts w:eastAsia="Times New Roman"/>
                <w:sz w:val="24"/>
                <w:szCs w:val="24"/>
              </w:rPr>
            </w:pPr>
            <w:r>
              <w:rPr>
                <w:rFonts w:eastAsia="Times New Roman"/>
              </w:rPr>
              <w:t xml:space="preserve">Hot-pot: Head and skin on 2 consecutive days </w:t>
            </w:r>
          </w:p>
        </w:tc>
        <w:tc>
          <w:tcPr>
            <w:tcW w:w="0" w:type="auto"/>
            <w:hideMark/>
          </w:tcPr>
          <w:p w14:paraId="054BC5F6" w14:textId="77777777" w:rsidR="008B1022" w:rsidRDefault="008B1022">
            <w:pPr>
              <w:rPr>
                <w:rFonts w:eastAsia="Times New Roman"/>
                <w:sz w:val="24"/>
                <w:szCs w:val="24"/>
              </w:rPr>
            </w:pPr>
            <w:r>
              <w:rPr>
                <w:rFonts w:eastAsia="Times New Roman"/>
              </w:rPr>
              <w:t xml:space="preserve">central dull chest pain two episodes of diarrhoea lack of energy and weakness itchy and redness. (Reported 2 days after the second meal) hot and cold sensations racing heart lethargy anxiety (Ongoing 4 weeks after the second meal) </w:t>
            </w:r>
          </w:p>
        </w:tc>
        <w:tc>
          <w:tcPr>
            <w:tcW w:w="0" w:type="auto"/>
            <w:hideMark/>
          </w:tcPr>
          <w:p w14:paraId="46F61FF8" w14:textId="77777777" w:rsidR="008B1022" w:rsidRDefault="008B1022">
            <w:pPr>
              <w:rPr>
                <w:rFonts w:eastAsia="Times New Roman"/>
                <w:sz w:val="24"/>
                <w:szCs w:val="24"/>
              </w:rPr>
            </w:pPr>
            <w:r>
              <w:rPr>
                <w:rFonts w:eastAsia="Times New Roman"/>
              </w:rPr>
              <w:t xml:space="preserve">Case reported that they ate the head of the fish but does not suck on bones during the meal. </w:t>
            </w:r>
          </w:p>
        </w:tc>
      </w:tr>
      <w:tr w:rsidR="008B1022" w14:paraId="53570940" w14:textId="77777777" w:rsidTr="002D2638">
        <w:trPr>
          <w:cnfStyle w:val="000000010000" w:firstRow="0" w:lastRow="0" w:firstColumn="0" w:lastColumn="0" w:oddVBand="0" w:evenVBand="0" w:oddHBand="0" w:evenHBand="1" w:firstRowFirstColumn="0" w:firstRowLastColumn="0" w:lastRowFirstColumn="0" w:lastRowLastColumn="0"/>
          <w:trHeight w:val="1611"/>
        </w:trPr>
        <w:tc>
          <w:tcPr>
            <w:tcW w:w="0" w:type="auto"/>
            <w:hideMark/>
          </w:tcPr>
          <w:p w14:paraId="77594033" w14:textId="77777777" w:rsidR="008B1022" w:rsidRDefault="008B1022">
            <w:pPr>
              <w:rPr>
                <w:rFonts w:eastAsia="Times New Roman"/>
                <w:sz w:val="24"/>
                <w:szCs w:val="24"/>
              </w:rPr>
            </w:pPr>
            <w:r>
              <w:rPr>
                <w:rFonts w:eastAsia="Times New Roman"/>
              </w:rPr>
              <w:t xml:space="preserve">2 </w:t>
            </w:r>
          </w:p>
        </w:tc>
        <w:tc>
          <w:tcPr>
            <w:tcW w:w="0" w:type="auto"/>
            <w:hideMark/>
          </w:tcPr>
          <w:p w14:paraId="3600CFC0" w14:textId="77777777" w:rsidR="008B1022" w:rsidRDefault="008B1022">
            <w:pPr>
              <w:rPr>
                <w:rFonts w:eastAsia="Times New Roman"/>
                <w:sz w:val="24"/>
                <w:szCs w:val="24"/>
              </w:rPr>
            </w:pPr>
            <w:r>
              <w:rPr>
                <w:rFonts w:eastAsia="Times New Roman"/>
              </w:rPr>
              <w:t xml:space="preserve">None reported </w:t>
            </w:r>
          </w:p>
        </w:tc>
        <w:tc>
          <w:tcPr>
            <w:tcW w:w="0" w:type="auto"/>
            <w:hideMark/>
          </w:tcPr>
          <w:p w14:paraId="582ECFE4" w14:textId="77777777" w:rsidR="008B1022" w:rsidRDefault="008B1022">
            <w:pPr>
              <w:rPr>
                <w:rFonts w:eastAsia="Times New Roman"/>
                <w:sz w:val="24"/>
                <w:szCs w:val="24"/>
              </w:rPr>
            </w:pPr>
            <w:r>
              <w:rPr>
                <w:rFonts w:eastAsia="Times New Roman"/>
              </w:rPr>
              <w:t xml:space="preserve">Hot-pot: Head and skin on 2 consecutive days </w:t>
            </w:r>
          </w:p>
        </w:tc>
        <w:tc>
          <w:tcPr>
            <w:tcW w:w="0" w:type="auto"/>
            <w:hideMark/>
          </w:tcPr>
          <w:p w14:paraId="16EA4130" w14:textId="77777777" w:rsidR="008B1022" w:rsidRDefault="008B1022">
            <w:pPr>
              <w:rPr>
                <w:rFonts w:eastAsia="Times New Roman"/>
                <w:sz w:val="24"/>
                <w:szCs w:val="24"/>
              </w:rPr>
            </w:pPr>
            <w:r>
              <w:rPr>
                <w:rFonts w:eastAsia="Times New Roman"/>
              </w:rPr>
              <w:t xml:space="preserve">hot sensations with pain on one side numbness in the legs and arms (Reported 2 days after the second meal) hot and cold sensations racing heart lethargy anxiety (Ongoing 4 weeks after the second meal) </w:t>
            </w:r>
          </w:p>
        </w:tc>
        <w:tc>
          <w:tcPr>
            <w:tcW w:w="0" w:type="auto"/>
            <w:hideMark/>
          </w:tcPr>
          <w:p w14:paraId="33D37C5F" w14:textId="77777777" w:rsidR="008B1022" w:rsidRDefault="008B1022">
            <w:pPr>
              <w:rPr>
                <w:rFonts w:eastAsia="Times New Roman"/>
                <w:sz w:val="24"/>
                <w:szCs w:val="24"/>
              </w:rPr>
            </w:pPr>
            <w:r>
              <w:rPr>
                <w:rFonts w:eastAsia="Times New Roman"/>
              </w:rPr>
              <w:t xml:space="preserve">Case reported that they ate the head of the fish but does not suck on bones during the meal. </w:t>
            </w:r>
          </w:p>
        </w:tc>
      </w:tr>
      <w:tr w:rsidR="008B1022" w14:paraId="1BD90F5E" w14:textId="77777777" w:rsidTr="002D2638">
        <w:trPr>
          <w:trHeight w:val="1611"/>
        </w:trPr>
        <w:tc>
          <w:tcPr>
            <w:tcW w:w="0" w:type="auto"/>
            <w:hideMark/>
          </w:tcPr>
          <w:p w14:paraId="4D0AB3B1" w14:textId="77777777" w:rsidR="008B1022" w:rsidRDefault="008B1022">
            <w:pPr>
              <w:rPr>
                <w:rFonts w:eastAsia="Times New Roman"/>
                <w:sz w:val="24"/>
                <w:szCs w:val="24"/>
              </w:rPr>
            </w:pPr>
            <w:r>
              <w:rPr>
                <w:rFonts w:eastAsia="Times New Roman"/>
              </w:rPr>
              <w:t xml:space="preserve">3 </w:t>
            </w:r>
          </w:p>
        </w:tc>
        <w:tc>
          <w:tcPr>
            <w:tcW w:w="0" w:type="auto"/>
            <w:hideMark/>
          </w:tcPr>
          <w:p w14:paraId="2E9C662B" w14:textId="77777777" w:rsidR="008B1022" w:rsidRDefault="008B1022">
            <w:pPr>
              <w:rPr>
                <w:rFonts w:eastAsia="Times New Roman"/>
                <w:sz w:val="24"/>
                <w:szCs w:val="24"/>
              </w:rPr>
            </w:pPr>
            <w:r>
              <w:rPr>
                <w:rFonts w:eastAsia="Times New Roman"/>
              </w:rPr>
              <w:t xml:space="preserve">None reported </w:t>
            </w:r>
          </w:p>
        </w:tc>
        <w:tc>
          <w:tcPr>
            <w:tcW w:w="0" w:type="auto"/>
            <w:hideMark/>
          </w:tcPr>
          <w:p w14:paraId="4108436E" w14:textId="77777777" w:rsidR="008B1022" w:rsidRDefault="008B1022">
            <w:pPr>
              <w:rPr>
                <w:rFonts w:eastAsia="Times New Roman"/>
                <w:sz w:val="24"/>
                <w:szCs w:val="24"/>
              </w:rPr>
            </w:pPr>
            <w:r>
              <w:rPr>
                <w:rFonts w:eastAsia="Times New Roman"/>
              </w:rPr>
              <w:t xml:space="preserve">Hot-pot: Head and skin on 9/2 </w:t>
            </w:r>
          </w:p>
        </w:tc>
        <w:tc>
          <w:tcPr>
            <w:tcW w:w="0" w:type="auto"/>
            <w:hideMark/>
          </w:tcPr>
          <w:p w14:paraId="750FBB8F" w14:textId="77777777" w:rsidR="008B1022" w:rsidRDefault="008B1022">
            <w:pPr>
              <w:rPr>
                <w:rFonts w:eastAsia="Times New Roman"/>
                <w:sz w:val="24"/>
                <w:szCs w:val="24"/>
              </w:rPr>
            </w:pPr>
            <w:r>
              <w:rPr>
                <w:rFonts w:eastAsia="Times New Roman"/>
              </w:rPr>
              <w:t xml:space="preserve">Diarrhoea. (Unknown) </w:t>
            </w:r>
          </w:p>
        </w:tc>
        <w:tc>
          <w:tcPr>
            <w:tcW w:w="0" w:type="auto"/>
            <w:hideMark/>
          </w:tcPr>
          <w:p w14:paraId="779B4CAA" w14:textId="77777777" w:rsidR="008B1022" w:rsidRDefault="008B1022">
            <w:pPr>
              <w:rPr>
                <w:rFonts w:eastAsia="Times New Roman"/>
                <w:sz w:val="24"/>
                <w:szCs w:val="24"/>
              </w:rPr>
            </w:pPr>
            <w:r>
              <w:rPr>
                <w:rFonts w:eastAsia="Times New Roman"/>
              </w:rPr>
              <w:t xml:space="preserve">N/A </w:t>
            </w:r>
          </w:p>
        </w:tc>
      </w:tr>
      <w:tr w:rsidR="008B1022" w14:paraId="3688E2FD" w14:textId="77777777" w:rsidTr="002D2638">
        <w:trPr>
          <w:cnfStyle w:val="000000010000" w:firstRow="0" w:lastRow="0" w:firstColumn="0" w:lastColumn="0" w:oddVBand="0" w:evenVBand="0" w:oddHBand="0" w:evenHBand="1" w:firstRowFirstColumn="0" w:firstRowLastColumn="0" w:lastRowFirstColumn="0" w:lastRowLastColumn="0"/>
          <w:trHeight w:val="1611"/>
        </w:trPr>
        <w:tc>
          <w:tcPr>
            <w:tcW w:w="0" w:type="auto"/>
            <w:hideMark/>
          </w:tcPr>
          <w:p w14:paraId="712F5B7E" w14:textId="77777777" w:rsidR="008B1022" w:rsidRDefault="008B1022">
            <w:pPr>
              <w:rPr>
                <w:rFonts w:eastAsia="Times New Roman"/>
                <w:sz w:val="24"/>
                <w:szCs w:val="24"/>
              </w:rPr>
            </w:pPr>
            <w:r>
              <w:rPr>
                <w:rFonts w:eastAsia="Times New Roman"/>
              </w:rPr>
              <w:t xml:space="preserve">4 </w:t>
            </w:r>
          </w:p>
        </w:tc>
        <w:tc>
          <w:tcPr>
            <w:tcW w:w="0" w:type="auto"/>
            <w:hideMark/>
          </w:tcPr>
          <w:p w14:paraId="40D5E284" w14:textId="77777777" w:rsidR="008B1022" w:rsidRDefault="008B1022">
            <w:pPr>
              <w:rPr>
                <w:rFonts w:eastAsia="Times New Roman"/>
                <w:sz w:val="24"/>
                <w:szCs w:val="24"/>
              </w:rPr>
            </w:pPr>
            <w:r>
              <w:rPr>
                <w:rFonts w:eastAsia="Times New Roman"/>
              </w:rPr>
              <w:t xml:space="preserve">None reported </w:t>
            </w:r>
          </w:p>
        </w:tc>
        <w:tc>
          <w:tcPr>
            <w:tcW w:w="0" w:type="auto"/>
            <w:hideMark/>
          </w:tcPr>
          <w:p w14:paraId="685FB19A" w14:textId="77777777" w:rsidR="008B1022" w:rsidRDefault="008B1022">
            <w:pPr>
              <w:rPr>
                <w:rFonts w:eastAsia="Times New Roman"/>
                <w:sz w:val="24"/>
                <w:szCs w:val="24"/>
              </w:rPr>
            </w:pPr>
            <w:r>
              <w:rPr>
                <w:rFonts w:eastAsia="Times New Roman"/>
              </w:rPr>
              <w:t xml:space="preserve">Hot-pot: Head and skin on 9/2 </w:t>
            </w:r>
          </w:p>
        </w:tc>
        <w:tc>
          <w:tcPr>
            <w:tcW w:w="0" w:type="auto"/>
            <w:hideMark/>
          </w:tcPr>
          <w:p w14:paraId="3A2D3E02" w14:textId="77777777" w:rsidR="008B1022" w:rsidRDefault="008B1022">
            <w:pPr>
              <w:rPr>
                <w:rFonts w:eastAsia="Times New Roman"/>
                <w:sz w:val="24"/>
                <w:szCs w:val="24"/>
              </w:rPr>
            </w:pPr>
            <w:r>
              <w:rPr>
                <w:rFonts w:eastAsia="Times New Roman"/>
              </w:rPr>
              <w:t xml:space="preserve">Diarrhoea. (Unknown) </w:t>
            </w:r>
          </w:p>
        </w:tc>
        <w:tc>
          <w:tcPr>
            <w:tcW w:w="0" w:type="auto"/>
            <w:hideMark/>
          </w:tcPr>
          <w:p w14:paraId="74B09D21" w14:textId="77777777" w:rsidR="008B1022" w:rsidRDefault="008B1022">
            <w:pPr>
              <w:rPr>
                <w:rFonts w:eastAsia="Times New Roman"/>
                <w:sz w:val="24"/>
                <w:szCs w:val="24"/>
              </w:rPr>
            </w:pPr>
            <w:r>
              <w:rPr>
                <w:rFonts w:eastAsia="Times New Roman"/>
              </w:rPr>
              <w:t xml:space="preserve">N/A </w:t>
            </w:r>
          </w:p>
        </w:tc>
      </w:tr>
    </w:tbl>
    <w:p w14:paraId="3C78E23F" w14:textId="77777777" w:rsidR="008B1022" w:rsidRDefault="008B1022" w:rsidP="008B1022">
      <w:pPr>
        <w:pStyle w:val="CDIfootnotes"/>
        <w:rPr>
          <w:rFonts w:eastAsia="Times New Roman"/>
        </w:rPr>
      </w:pPr>
      <w:r>
        <w:rPr>
          <w:rFonts w:eastAsia="Times New Roman"/>
          <w:vertAlign w:val="superscript"/>
        </w:rPr>
        <w:t>*</w:t>
      </w:r>
      <w:proofErr w:type="gramStart"/>
      <w:r>
        <w:rPr>
          <w:rFonts w:eastAsia="Times New Roman"/>
        </w:rPr>
        <w:t>reported</w:t>
      </w:r>
      <w:proofErr w:type="gramEnd"/>
      <w:r>
        <w:rPr>
          <w:rFonts w:eastAsia="Times New Roman"/>
        </w:rPr>
        <w:t xml:space="preserve"> by the affected individuals. </w:t>
      </w:r>
    </w:p>
    <w:p w14:paraId="048C58AB" w14:textId="77777777" w:rsidR="008B1022" w:rsidRDefault="008B1022" w:rsidP="008B1022">
      <w:r>
        <w:t xml:space="preserve">In summary, 13 individuals were affected across 4 CFP incidents between 2015 and 2017 (Table 3). Different fish species were implicated in each incident, 4 in total. Common to at least 3 of the 4 incidents was the consumption of the head of the fish. All 4 fish were caught in tropical regions. The fish involved in incidents 1-3 were caught in and around international waters near the Capel Bank Seamount, off the Queensland coast, </w:t>
      </w:r>
      <w:proofErr w:type="gramStart"/>
      <w:r>
        <w:t>south west</w:t>
      </w:r>
      <w:proofErr w:type="gramEnd"/>
      <w:r>
        <w:t xml:space="preserve"> of New Caledonia. The fish involved in incident 4 during 2017 was caught between Cooktown and Lizard Island within the Australian Exclusive Economic Zone. </w:t>
      </w:r>
    </w:p>
    <w:p w14:paraId="17323A11" w14:textId="77777777" w:rsidR="002D2638" w:rsidRDefault="002D2638">
      <w:pPr>
        <w:rPr>
          <w:rFonts w:eastAsia="Times New Roman"/>
          <w:b/>
        </w:rPr>
      </w:pPr>
      <w:r>
        <w:rPr>
          <w:rFonts w:eastAsia="Times New Roman"/>
        </w:rPr>
        <w:br w:type="page"/>
      </w:r>
    </w:p>
    <w:p w14:paraId="7CEA5C83" w14:textId="77777777" w:rsidR="008B1022" w:rsidRDefault="008B1022" w:rsidP="008B1022">
      <w:pPr>
        <w:pStyle w:val="CDIFigures"/>
        <w:rPr>
          <w:rFonts w:eastAsia="Times New Roman"/>
        </w:rPr>
      </w:pPr>
      <w:r>
        <w:rPr>
          <w:rFonts w:eastAsia="Times New Roman"/>
        </w:rPr>
        <w:lastRenderedPageBreak/>
        <w:t xml:space="preserve">Table 3: Summary of reported CFP incidents linked to imported fish in NSW since 2015. </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Table 3: Summary of reported CFP incidents linked to imported fish in NSW since 2015. "/>
        <w:tblDescription w:val="- Table 3 A summary of the four reported ciguatera fish poisoning incidents linked to imported fish in New South Wales, Australia between 2015 and 2017 including the fish species, origin of the fish, number of individuals affected, meal type, history of previous exposure to ciguatera fish poisoning, number of samples retrieved during the investigation and test results for pacific ciguatoxin-1B (if detected)."/>
      </w:tblPr>
      <w:tblGrid>
        <w:gridCol w:w="1430"/>
        <w:gridCol w:w="1964"/>
        <w:gridCol w:w="2333"/>
        <w:gridCol w:w="2504"/>
        <w:gridCol w:w="2235"/>
      </w:tblGrid>
      <w:tr w:rsidR="00865E25" w:rsidRPr="00865E25" w14:paraId="7E315F51" w14:textId="77777777" w:rsidTr="00865E25">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45EC1296" w14:textId="77777777" w:rsidR="008B1022" w:rsidRPr="00865E25" w:rsidRDefault="008B1022">
            <w:pPr>
              <w:rPr>
                <w:rFonts w:eastAsia="Times New Roman"/>
                <w:color w:val="FFFFFF" w:themeColor="background1"/>
                <w:sz w:val="24"/>
                <w:szCs w:val="24"/>
              </w:rPr>
            </w:pPr>
            <w:r w:rsidRPr="00865E25">
              <w:rPr>
                <w:rFonts w:eastAsia="Times New Roman"/>
                <w:color w:val="FFFFFF" w:themeColor="background1"/>
              </w:rPr>
              <w:t> </w:t>
            </w:r>
          </w:p>
        </w:tc>
        <w:tc>
          <w:tcPr>
            <w:tcW w:w="0" w:type="auto"/>
            <w:hideMark/>
          </w:tcPr>
          <w:p w14:paraId="0C91EE38" w14:textId="77777777" w:rsidR="008B1022" w:rsidRPr="00865E25" w:rsidRDefault="008B1022">
            <w:pPr>
              <w:rPr>
                <w:rFonts w:eastAsia="Times New Roman"/>
                <w:color w:val="FFFFFF" w:themeColor="background1"/>
                <w:sz w:val="24"/>
                <w:szCs w:val="24"/>
              </w:rPr>
            </w:pPr>
            <w:r w:rsidRPr="00865E25">
              <w:rPr>
                <w:rFonts w:eastAsia="Times New Roman"/>
                <w:color w:val="FFFFFF" w:themeColor="background1"/>
              </w:rPr>
              <w:t xml:space="preserve">Incident 1 </w:t>
            </w:r>
          </w:p>
        </w:tc>
        <w:tc>
          <w:tcPr>
            <w:tcW w:w="0" w:type="auto"/>
            <w:hideMark/>
          </w:tcPr>
          <w:p w14:paraId="556C9922" w14:textId="77777777" w:rsidR="008B1022" w:rsidRPr="00865E25" w:rsidRDefault="008B1022">
            <w:pPr>
              <w:rPr>
                <w:rFonts w:eastAsia="Times New Roman"/>
                <w:color w:val="FFFFFF" w:themeColor="background1"/>
                <w:sz w:val="24"/>
                <w:szCs w:val="24"/>
              </w:rPr>
            </w:pPr>
            <w:r w:rsidRPr="00865E25">
              <w:rPr>
                <w:rFonts w:eastAsia="Times New Roman"/>
                <w:color w:val="FFFFFF" w:themeColor="background1"/>
              </w:rPr>
              <w:t xml:space="preserve">Incident 2 </w:t>
            </w:r>
          </w:p>
        </w:tc>
        <w:tc>
          <w:tcPr>
            <w:tcW w:w="0" w:type="auto"/>
            <w:hideMark/>
          </w:tcPr>
          <w:p w14:paraId="423B8F6F" w14:textId="77777777" w:rsidR="008B1022" w:rsidRPr="00865E25" w:rsidRDefault="008B1022">
            <w:pPr>
              <w:rPr>
                <w:rFonts w:eastAsia="Times New Roman"/>
                <w:color w:val="FFFFFF" w:themeColor="background1"/>
                <w:sz w:val="24"/>
                <w:szCs w:val="24"/>
              </w:rPr>
            </w:pPr>
            <w:r w:rsidRPr="00865E25">
              <w:rPr>
                <w:rFonts w:eastAsia="Times New Roman"/>
                <w:color w:val="FFFFFF" w:themeColor="background1"/>
              </w:rPr>
              <w:t xml:space="preserve">Incident 3 </w:t>
            </w:r>
          </w:p>
        </w:tc>
        <w:tc>
          <w:tcPr>
            <w:tcW w:w="0" w:type="auto"/>
            <w:hideMark/>
          </w:tcPr>
          <w:p w14:paraId="01FA6640" w14:textId="77777777" w:rsidR="008B1022" w:rsidRPr="00865E25" w:rsidRDefault="008B1022">
            <w:pPr>
              <w:rPr>
                <w:rFonts w:eastAsia="Times New Roman"/>
                <w:color w:val="FFFFFF" w:themeColor="background1"/>
                <w:sz w:val="24"/>
                <w:szCs w:val="24"/>
              </w:rPr>
            </w:pPr>
            <w:r w:rsidRPr="00865E25">
              <w:rPr>
                <w:rFonts w:eastAsia="Times New Roman"/>
                <w:color w:val="FFFFFF" w:themeColor="background1"/>
              </w:rPr>
              <w:t xml:space="preserve">Incident 4 </w:t>
            </w:r>
          </w:p>
        </w:tc>
      </w:tr>
      <w:tr w:rsidR="008B1022" w14:paraId="3002FDA7" w14:textId="77777777" w:rsidTr="00865E25">
        <w:tc>
          <w:tcPr>
            <w:tcW w:w="0" w:type="auto"/>
            <w:hideMark/>
          </w:tcPr>
          <w:p w14:paraId="47229DDD" w14:textId="77777777" w:rsidR="008B1022" w:rsidRDefault="008B1022">
            <w:pPr>
              <w:rPr>
                <w:rFonts w:eastAsia="Times New Roman"/>
                <w:sz w:val="24"/>
                <w:szCs w:val="24"/>
              </w:rPr>
            </w:pPr>
            <w:r>
              <w:rPr>
                <w:rFonts w:eastAsia="Times New Roman"/>
              </w:rPr>
              <w:t xml:space="preserve">Year </w:t>
            </w:r>
          </w:p>
        </w:tc>
        <w:tc>
          <w:tcPr>
            <w:tcW w:w="0" w:type="auto"/>
            <w:hideMark/>
          </w:tcPr>
          <w:p w14:paraId="160F065F" w14:textId="77777777" w:rsidR="008B1022" w:rsidRDefault="008B1022">
            <w:pPr>
              <w:rPr>
                <w:rFonts w:eastAsia="Times New Roman"/>
                <w:sz w:val="24"/>
                <w:szCs w:val="24"/>
              </w:rPr>
            </w:pPr>
            <w:r>
              <w:rPr>
                <w:rFonts w:eastAsia="Times New Roman"/>
              </w:rPr>
              <w:t xml:space="preserve">2015 </w:t>
            </w:r>
          </w:p>
        </w:tc>
        <w:tc>
          <w:tcPr>
            <w:tcW w:w="0" w:type="auto"/>
            <w:hideMark/>
          </w:tcPr>
          <w:p w14:paraId="5974313E" w14:textId="77777777" w:rsidR="008B1022" w:rsidRDefault="008B1022">
            <w:pPr>
              <w:rPr>
                <w:rFonts w:eastAsia="Times New Roman"/>
                <w:sz w:val="24"/>
                <w:szCs w:val="24"/>
              </w:rPr>
            </w:pPr>
            <w:r>
              <w:rPr>
                <w:rFonts w:eastAsia="Times New Roman"/>
              </w:rPr>
              <w:t xml:space="preserve">2015 </w:t>
            </w:r>
          </w:p>
        </w:tc>
        <w:tc>
          <w:tcPr>
            <w:tcW w:w="0" w:type="auto"/>
            <w:hideMark/>
          </w:tcPr>
          <w:p w14:paraId="59920358" w14:textId="77777777" w:rsidR="008B1022" w:rsidRDefault="008B1022">
            <w:pPr>
              <w:rPr>
                <w:rFonts w:eastAsia="Times New Roman"/>
                <w:sz w:val="24"/>
                <w:szCs w:val="24"/>
              </w:rPr>
            </w:pPr>
            <w:r>
              <w:rPr>
                <w:rFonts w:eastAsia="Times New Roman"/>
              </w:rPr>
              <w:t xml:space="preserve">2016 </w:t>
            </w:r>
          </w:p>
        </w:tc>
        <w:tc>
          <w:tcPr>
            <w:tcW w:w="0" w:type="auto"/>
            <w:hideMark/>
          </w:tcPr>
          <w:p w14:paraId="51972F6B" w14:textId="77777777" w:rsidR="008B1022" w:rsidRDefault="008B1022">
            <w:pPr>
              <w:rPr>
                <w:rFonts w:eastAsia="Times New Roman"/>
                <w:sz w:val="24"/>
                <w:szCs w:val="24"/>
              </w:rPr>
            </w:pPr>
            <w:r>
              <w:rPr>
                <w:rFonts w:eastAsia="Times New Roman"/>
              </w:rPr>
              <w:t xml:space="preserve">2017 </w:t>
            </w:r>
          </w:p>
        </w:tc>
      </w:tr>
      <w:tr w:rsidR="008B1022" w14:paraId="6D32D30E" w14:textId="77777777" w:rsidTr="00865E25">
        <w:trPr>
          <w:cnfStyle w:val="000000010000" w:firstRow="0" w:lastRow="0" w:firstColumn="0" w:lastColumn="0" w:oddVBand="0" w:evenVBand="0" w:oddHBand="0" w:evenHBand="1" w:firstRowFirstColumn="0" w:firstRowLastColumn="0" w:lastRowFirstColumn="0" w:lastRowLastColumn="0"/>
        </w:trPr>
        <w:tc>
          <w:tcPr>
            <w:tcW w:w="0" w:type="auto"/>
            <w:hideMark/>
          </w:tcPr>
          <w:p w14:paraId="7DC9CB14" w14:textId="77777777" w:rsidR="008B1022" w:rsidRDefault="008B1022">
            <w:pPr>
              <w:rPr>
                <w:rFonts w:eastAsia="Times New Roman"/>
                <w:sz w:val="24"/>
                <w:szCs w:val="24"/>
              </w:rPr>
            </w:pPr>
            <w:r>
              <w:rPr>
                <w:rFonts w:eastAsia="Times New Roman"/>
              </w:rPr>
              <w:t xml:space="preserve">Fish species </w:t>
            </w:r>
          </w:p>
        </w:tc>
        <w:tc>
          <w:tcPr>
            <w:tcW w:w="0" w:type="auto"/>
            <w:hideMark/>
          </w:tcPr>
          <w:p w14:paraId="4180AF2F" w14:textId="77777777" w:rsidR="008B1022" w:rsidRDefault="008B1022">
            <w:pPr>
              <w:rPr>
                <w:rFonts w:eastAsia="Times New Roman"/>
                <w:sz w:val="24"/>
                <w:szCs w:val="24"/>
              </w:rPr>
            </w:pPr>
            <w:r>
              <w:rPr>
                <w:rFonts w:eastAsia="Times New Roman"/>
              </w:rPr>
              <w:t xml:space="preserve">Red Throat Emperor </w:t>
            </w:r>
          </w:p>
        </w:tc>
        <w:tc>
          <w:tcPr>
            <w:tcW w:w="0" w:type="auto"/>
            <w:hideMark/>
          </w:tcPr>
          <w:p w14:paraId="00CD6DBA" w14:textId="77777777" w:rsidR="008B1022" w:rsidRDefault="008B1022">
            <w:pPr>
              <w:rPr>
                <w:rFonts w:eastAsia="Times New Roman"/>
                <w:sz w:val="24"/>
                <w:szCs w:val="24"/>
              </w:rPr>
            </w:pPr>
            <w:r>
              <w:rPr>
                <w:rFonts w:eastAsia="Times New Roman"/>
              </w:rPr>
              <w:t xml:space="preserve">Purple Rock Cod </w:t>
            </w:r>
          </w:p>
        </w:tc>
        <w:tc>
          <w:tcPr>
            <w:tcW w:w="0" w:type="auto"/>
            <w:hideMark/>
          </w:tcPr>
          <w:p w14:paraId="63F72F44" w14:textId="77777777" w:rsidR="008B1022" w:rsidRDefault="008B1022">
            <w:pPr>
              <w:rPr>
                <w:rFonts w:eastAsia="Times New Roman"/>
                <w:sz w:val="24"/>
                <w:szCs w:val="24"/>
              </w:rPr>
            </w:pPr>
            <w:r>
              <w:rPr>
                <w:rFonts w:eastAsia="Times New Roman"/>
              </w:rPr>
              <w:t xml:space="preserve">Green </w:t>
            </w:r>
            <w:proofErr w:type="spellStart"/>
            <w:r>
              <w:rPr>
                <w:rFonts w:eastAsia="Times New Roman"/>
              </w:rPr>
              <w:t>Jobfish</w:t>
            </w:r>
            <w:proofErr w:type="spellEnd"/>
            <w:r>
              <w:rPr>
                <w:rFonts w:eastAsia="Times New Roman"/>
              </w:rPr>
              <w:t xml:space="preserve"> </w:t>
            </w:r>
          </w:p>
        </w:tc>
        <w:tc>
          <w:tcPr>
            <w:tcW w:w="0" w:type="auto"/>
            <w:hideMark/>
          </w:tcPr>
          <w:p w14:paraId="1CDD3479" w14:textId="77777777" w:rsidR="008B1022" w:rsidRDefault="008B1022">
            <w:pPr>
              <w:rPr>
                <w:rFonts w:eastAsia="Times New Roman"/>
                <w:sz w:val="24"/>
                <w:szCs w:val="24"/>
              </w:rPr>
            </w:pPr>
            <w:r>
              <w:rPr>
                <w:rFonts w:eastAsia="Times New Roman"/>
              </w:rPr>
              <w:t xml:space="preserve">Grouper </w:t>
            </w:r>
          </w:p>
        </w:tc>
      </w:tr>
      <w:tr w:rsidR="008B1022" w14:paraId="44D508E9" w14:textId="77777777" w:rsidTr="00865E25">
        <w:tc>
          <w:tcPr>
            <w:tcW w:w="0" w:type="auto"/>
            <w:hideMark/>
          </w:tcPr>
          <w:p w14:paraId="51D7BCC4" w14:textId="77777777" w:rsidR="008B1022" w:rsidRDefault="008B1022">
            <w:pPr>
              <w:rPr>
                <w:rFonts w:eastAsia="Times New Roman"/>
                <w:sz w:val="24"/>
                <w:szCs w:val="24"/>
              </w:rPr>
            </w:pPr>
            <w:r>
              <w:rPr>
                <w:rFonts w:eastAsia="Times New Roman"/>
              </w:rPr>
              <w:t xml:space="preserve">Origin of fish </w:t>
            </w:r>
          </w:p>
        </w:tc>
        <w:tc>
          <w:tcPr>
            <w:tcW w:w="0" w:type="auto"/>
            <w:hideMark/>
          </w:tcPr>
          <w:p w14:paraId="5C718EA2" w14:textId="77777777" w:rsidR="008B1022" w:rsidRDefault="008B1022">
            <w:pPr>
              <w:rPr>
                <w:rFonts w:eastAsia="Times New Roman"/>
                <w:sz w:val="24"/>
                <w:szCs w:val="24"/>
              </w:rPr>
            </w:pPr>
            <w:r>
              <w:rPr>
                <w:rFonts w:eastAsia="Times New Roman"/>
              </w:rPr>
              <w:t xml:space="preserve">Capel Bank Seamount. Same shipment as incident 2. </w:t>
            </w:r>
          </w:p>
        </w:tc>
        <w:tc>
          <w:tcPr>
            <w:tcW w:w="0" w:type="auto"/>
            <w:hideMark/>
          </w:tcPr>
          <w:p w14:paraId="0B79B81E" w14:textId="77777777" w:rsidR="008B1022" w:rsidRDefault="008B1022">
            <w:pPr>
              <w:rPr>
                <w:rFonts w:eastAsia="Times New Roman"/>
                <w:sz w:val="24"/>
                <w:szCs w:val="24"/>
              </w:rPr>
            </w:pPr>
            <w:r>
              <w:rPr>
                <w:rFonts w:eastAsia="Times New Roman"/>
              </w:rPr>
              <w:t xml:space="preserve">Capel Bank Seamount. Same shipment as incident 1. </w:t>
            </w:r>
          </w:p>
        </w:tc>
        <w:tc>
          <w:tcPr>
            <w:tcW w:w="0" w:type="auto"/>
            <w:hideMark/>
          </w:tcPr>
          <w:p w14:paraId="57991384" w14:textId="77777777" w:rsidR="008B1022" w:rsidRDefault="008B1022">
            <w:pPr>
              <w:rPr>
                <w:rFonts w:eastAsia="Times New Roman"/>
                <w:sz w:val="24"/>
                <w:szCs w:val="24"/>
              </w:rPr>
            </w:pPr>
            <w:r>
              <w:rPr>
                <w:rFonts w:eastAsia="Times New Roman"/>
              </w:rPr>
              <w:t xml:space="preserve">Capel Bank Seamount. </w:t>
            </w:r>
          </w:p>
        </w:tc>
        <w:tc>
          <w:tcPr>
            <w:tcW w:w="0" w:type="auto"/>
            <w:hideMark/>
          </w:tcPr>
          <w:p w14:paraId="268E86C5" w14:textId="77777777" w:rsidR="008B1022" w:rsidRDefault="008B1022">
            <w:pPr>
              <w:rPr>
                <w:rFonts w:eastAsia="Times New Roman"/>
                <w:sz w:val="24"/>
                <w:szCs w:val="24"/>
              </w:rPr>
            </w:pPr>
            <w:r>
              <w:rPr>
                <w:rFonts w:eastAsia="Times New Roman"/>
              </w:rPr>
              <w:t xml:space="preserve">Between Cooktown and Lizard Island off the Queensland coast. </w:t>
            </w:r>
          </w:p>
        </w:tc>
      </w:tr>
      <w:tr w:rsidR="008B1022" w14:paraId="7DB0CE22" w14:textId="77777777" w:rsidTr="00865E25">
        <w:trPr>
          <w:cnfStyle w:val="000000010000" w:firstRow="0" w:lastRow="0" w:firstColumn="0" w:lastColumn="0" w:oddVBand="0" w:evenVBand="0" w:oddHBand="0" w:evenHBand="1" w:firstRowFirstColumn="0" w:firstRowLastColumn="0" w:lastRowFirstColumn="0" w:lastRowLastColumn="0"/>
        </w:trPr>
        <w:tc>
          <w:tcPr>
            <w:tcW w:w="0" w:type="auto"/>
            <w:hideMark/>
          </w:tcPr>
          <w:p w14:paraId="3BC3A837" w14:textId="77777777" w:rsidR="008B1022" w:rsidRDefault="008B1022">
            <w:pPr>
              <w:rPr>
                <w:rFonts w:eastAsia="Times New Roman"/>
                <w:sz w:val="24"/>
                <w:szCs w:val="24"/>
              </w:rPr>
            </w:pPr>
            <w:r>
              <w:rPr>
                <w:rFonts w:eastAsia="Times New Roman"/>
              </w:rPr>
              <w:t xml:space="preserve">Cases </w:t>
            </w:r>
          </w:p>
        </w:tc>
        <w:tc>
          <w:tcPr>
            <w:tcW w:w="0" w:type="auto"/>
            <w:hideMark/>
          </w:tcPr>
          <w:p w14:paraId="5C190A17" w14:textId="77777777" w:rsidR="008B1022" w:rsidRDefault="008B1022">
            <w:pPr>
              <w:rPr>
                <w:rFonts w:eastAsia="Times New Roman"/>
                <w:sz w:val="24"/>
                <w:szCs w:val="24"/>
              </w:rPr>
            </w:pPr>
            <w:r>
              <w:rPr>
                <w:rFonts w:eastAsia="Times New Roman"/>
              </w:rPr>
              <w:t xml:space="preserve">3/3 </w:t>
            </w:r>
          </w:p>
        </w:tc>
        <w:tc>
          <w:tcPr>
            <w:tcW w:w="0" w:type="auto"/>
            <w:hideMark/>
          </w:tcPr>
          <w:p w14:paraId="47A4F277" w14:textId="77777777" w:rsidR="008B1022" w:rsidRDefault="008B1022">
            <w:pPr>
              <w:rPr>
                <w:rFonts w:eastAsia="Times New Roman"/>
                <w:sz w:val="24"/>
                <w:szCs w:val="24"/>
              </w:rPr>
            </w:pPr>
            <w:r>
              <w:rPr>
                <w:rFonts w:eastAsia="Times New Roman"/>
              </w:rPr>
              <w:t xml:space="preserve">1/1 </w:t>
            </w:r>
          </w:p>
        </w:tc>
        <w:tc>
          <w:tcPr>
            <w:tcW w:w="0" w:type="auto"/>
            <w:hideMark/>
          </w:tcPr>
          <w:p w14:paraId="1DF69E77" w14:textId="77777777" w:rsidR="008B1022" w:rsidRDefault="008B1022">
            <w:pPr>
              <w:rPr>
                <w:rFonts w:eastAsia="Times New Roman"/>
                <w:sz w:val="24"/>
                <w:szCs w:val="24"/>
              </w:rPr>
            </w:pPr>
            <w:r>
              <w:rPr>
                <w:rFonts w:eastAsia="Times New Roman"/>
              </w:rPr>
              <w:t xml:space="preserve">5/6 </w:t>
            </w:r>
          </w:p>
        </w:tc>
        <w:tc>
          <w:tcPr>
            <w:tcW w:w="0" w:type="auto"/>
            <w:hideMark/>
          </w:tcPr>
          <w:p w14:paraId="192A0FE7" w14:textId="77777777" w:rsidR="008B1022" w:rsidRDefault="008B1022">
            <w:pPr>
              <w:rPr>
                <w:rFonts w:eastAsia="Times New Roman"/>
                <w:sz w:val="24"/>
                <w:szCs w:val="24"/>
              </w:rPr>
            </w:pPr>
            <w:r>
              <w:rPr>
                <w:rFonts w:eastAsia="Times New Roman"/>
              </w:rPr>
              <w:t xml:space="preserve">4/11 </w:t>
            </w:r>
          </w:p>
        </w:tc>
      </w:tr>
      <w:tr w:rsidR="008B1022" w14:paraId="47536568" w14:textId="77777777" w:rsidTr="00865E25">
        <w:tc>
          <w:tcPr>
            <w:tcW w:w="0" w:type="auto"/>
            <w:hideMark/>
          </w:tcPr>
          <w:p w14:paraId="02E0D78E" w14:textId="77777777" w:rsidR="008B1022" w:rsidRDefault="008B1022">
            <w:pPr>
              <w:rPr>
                <w:rFonts w:eastAsia="Times New Roman"/>
                <w:sz w:val="24"/>
                <w:szCs w:val="24"/>
              </w:rPr>
            </w:pPr>
            <w:r>
              <w:rPr>
                <w:rFonts w:eastAsia="Times New Roman"/>
              </w:rPr>
              <w:t xml:space="preserve">Meal type </w:t>
            </w:r>
          </w:p>
        </w:tc>
        <w:tc>
          <w:tcPr>
            <w:tcW w:w="0" w:type="auto"/>
            <w:hideMark/>
          </w:tcPr>
          <w:p w14:paraId="06BA16F7" w14:textId="77777777" w:rsidR="008B1022" w:rsidRDefault="008B1022">
            <w:pPr>
              <w:rPr>
                <w:rFonts w:eastAsia="Times New Roman"/>
                <w:sz w:val="24"/>
                <w:szCs w:val="24"/>
              </w:rPr>
            </w:pPr>
            <w:r>
              <w:rPr>
                <w:rFonts w:eastAsia="Times New Roman"/>
              </w:rPr>
              <w:t xml:space="preserve">Fish casserole. Included eating the head of the fish. </w:t>
            </w:r>
          </w:p>
        </w:tc>
        <w:tc>
          <w:tcPr>
            <w:tcW w:w="0" w:type="auto"/>
            <w:hideMark/>
          </w:tcPr>
          <w:p w14:paraId="2C0FB3F0" w14:textId="77777777" w:rsidR="008B1022" w:rsidRDefault="008B1022">
            <w:pPr>
              <w:rPr>
                <w:rFonts w:eastAsia="Times New Roman"/>
                <w:sz w:val="24"/>
                <w:szCs w:val="24"/>
              </w:rPr>
            </w:pPr>
            <w:r>
              <w:rPr>
                <w:rFonts w:eastAsia="Times New Roman"/>
              </w:rPr>
              <w:t xml:space="preserve">Unknown. </w:t>
            </w:r>
          </w:p>
        </w:tc>
        <w:tc>
          <w:tcPr>
            <w:tcW w:w="0" w:type="auto"/>
            <w:hideMark/>
          </w:tcPr>
          <w:p w14:paraId="7176BD1D" w14:textId="77777777" w:rsidR="008B1022" w:rsidRDefault="008B1022">
            <w:pPr>
              <w:rPr>
                <w:rFonts w:eastAsia="Times New Roman"/>
                <w:sz w:val="24"/>
                <w:szCs w:val="24"/>
              </w:rPr>
            </w:pPr>
            <w:r>
              <w:rPr>
                <w:rFonts w:eastAsia="Times New Roman"/>
              </w:rPr>
              <w:t xml:space="preserve">Fish soup. Included eating the head of the fish. </w:t>
            </w:r>
          </w:p>
        </w:tc>
        <w:tc>
          <w:tcPr>
            <w:tcW w:w="0" w:type="auto"/>
            <w:hideMark/>
          </w:tcPr>
          <w:p w14:paraId="734208AA" w14:textId="77777777" w:rsidR="008B1022" w:rsidRDefault="008B1022">
            <w:pPr>
              <w:rPr>
                <w:rFonts w:eastAsia="Times New Roman"/>
                <w:sz w:val="24"/>
                <w:szCs w:val="24"/>
              </w:rPr>
            </w:pPr>
            <w:r>
              <w:rPr>
                <w:rFonts w:eastAsia="Times New Roman"/>
              </w:rPr>
              <w:t xml:space="preserve">Whole fish was prepared 3 ways: steamed, fillet and in hotpot. </w:t>
            </w:r>
          </w:p>
        </w:tc>
      </w:tr>
      <w:tr w:rsidR="008B1022" w14:paraId="357E4348" w14:textId="77777777" w:rsidTr="00865E25">
        <w:trPr>
          <w:cnfStyle w:val="000000010000" w:firstRow="0" w:lastRow="0" w:firstColumn="0" w:lastColumn="0" w:oddVBand="0" w:evenVBand="0" w:oddHBand="0" w:evenHBand="1" w:firstRowFirstColumn="0" w:firstRowLastColumn="0" w:lastRowFirstColumn="0" w:lastRowLastColumn="0"/>
        </w:trPr>
        <w:tc>
          <w:tcPr>
            <w:tcW w:w="0" w:type="auto"/>
            <w:hideMark/>
          </w:tcPr>
          <w:p w14:paraId="6566262A" w14:textId="77777777" w:rsidR="008B1022" w:rsidRDefault="008B1022">
            <w:pPr>
              <w:rPr>
                <w:rFonts w:eastAsia="Times New Roman"/>
                <w:sz w:val="24"/>
                <w:szCs w:val="24"/>
              </w:rPr>
            </w:pPr>
            <w:r>
              <w:rPr>
                <w:rFonts w:eastAsia="Times New Roman"/>
              </w:rPr>
              <w:t>Prior exposure to CFP</w:t>
            </w:r>
            <w:r>
              <w:rPr>
                <w:rFonts w:eastAsia="Times New Roman"/>
                <w:vertAlign w:val="superscript"/>
              </w:rPr>
              <w:t>*</w:t>
            </w:r>
          </w:p>
        </w:tc>
        <w:tc>
          <w:tcPr>
            <w:tcW w:w="0" w:type="auto"/>
            <w:hideMark/>
          </w:tcPr>
          <w:p w14:paraId="1AD2FBDE" w14:textId="77777777" w:rsidR="008B1022" w:rsidRDefault="008B1022">
            <w:pPr>
              <w:rPr>
                <w:rFonts w:eastAsia="Times New Roman"/>
                <w:sz w:val="24"/>
                <w:szCs w:val="24"/>
              </w:rPr>
            </w:pPr>
            <w:r>
              <w:rPr>
                <w:rFonts w:eastAsia="Times New Roman"/>
              </w:rPr>
              <w:t xml:space="preserve">None known. </w:t>
            </w:r>
          </w:p>
        </w:tc>
        <w:tc>
          <w:tcPr>
            <w:tcW w:w="0" w:type="auto"/>
            <w:hideMark/>
          </w:tcPr>
          <w:p w14:paraId="2B1528A0" w14:textId="77777777" w:rsidR="008B1022" w:rsidRDefault="008B1022">
            <w:pPr>
              <w:rPr>
                <w:rFonts w:eastAsia="Times New Roman"/>
                <w:sz w:val="24"/>
                <w:szCs w:val="24"/>
              </w:rPr>
            </w:pPr>
            <w:r>
              <w:rPr>
                <w:rFonts w:eastAsia="Times New Roman"/>
              </w:rPr>
              <w:t xml:space="preserve">None known. </w:t>
            </w:r>
          </w:p>
        </w:tc>
        <w:tc>
          <w:tcPr>
            <w:tcW w:w="0" w:type="auto"/>
            <w:hideMark/>
          </w:tcPr>
          <w:p w14:paraId="65C445B5" w14:textId="77777777" w:rsidR="008B1022" w:rsidRDefault="004332FC">
            <w:pPr>
              <w:rPr>
                <w:rFonts w:eastAsia="Times New Roman"/>
                <w:sz w:val="24"/>
                <w:szCs w:val="24"/>
              </w:rPr>
            </w:pPr>
            <w:r>
              <w:rPr>
                <w:rFonts w:eastAsia="Times New Roman"/>
              </w:rPr>
              <w:t>4</w:t>
            </w:r>
            <w:r w:rsidR="008B1022">
              <w:rPr>
                <w:rFonts w:eastAsia="Times New Roman"/>
              </w:rPr>
              <w:t xml:space="preserve"> cases. </w:t>
            </w:r>
          </w:p>
        </w:tc>
        <w:tc>
          <w:tcPr>
            <w:tcW w:w="0" w:type="auto"/>
            <w:hideMark/>
          </w:tcPr>
          <w:p w14:paraId="35B32AD0" w14:textId="77777777" w:rsidR="008B1022" w:rsidRDefault="008B1022">
            <w:pPr>
              <w:rPr>
                <w:rFonts w:eastAsia="Times New Roman"/>
                <w:sz w:val="24"/>
                <w:szCs w:val="24"/>
              </w:rPr>
            </w:pPr>
            <w:r>
              <w:rPr>
                <w:rFonts w:eastAsia="Times New Roman"/>
              </w:rPr>
              <w:t xml:space="preserve">None known. </w:t>
            </w:r>
          </w:p>
        </w:tc>
      </w:tr>
      <w:tr w:rsidR="008B1022" w14:paraId="3A397FD0" w14:textId="77777777" w:rsidTr="00865E25">
        <w:tc>
          <w:tcPr>
            <w:tcW w:w="0" w:type="auto"/>
            <w:hideMark/>
          </w:tcPr>
          <w:p w14:paraId="47E7F334" w14:textId="77777777" w:rsidR="008B1022" w:rsidRDefault="008B1022">
            <w:pPr>
              <w:rPr>
                <w:rFonts w:eastAsia="Times New Roman"/>
                <w:sz w:val="24"/>
                <w:szCs w:val="24"/>
              </w:rPr>
            </w:pPr>
            <w:r>
              <w:rPr>
                <w:rFonts w:eastAsia="Times New Roman"/>
              </w:rPr>
              <w:t xml:space="preserve">Number of samples </w:t>
            </w:r>
          </w:p>
        </w:tc>
        <w:tc>
          <w:tcPr>
            <w:tcW w:w="0" w:type="auto"/>
            <w:hideMark/>
          </w:tcPr>
          <w:p w14:paraId="2869E7C3" w14:textId="77777777" w:rsidR="008B1022" w:rsidRDefault="008B1022">
            <w:pPr>
              <w:rPr>
                <w:rFonts w:eastAsia="Times New Roman"/>
                <w:sz w:val="24"/>
                <w:szCs w:val="24"/>
              </w:rPr>
            </w:pPr>
            <w:r>
              <w:rPr>
                <w:rFonts w:eastAsia="Times New Roman"/>
              </w:rPr>
              <w:t xml:space="preserve">1 </w:t>
            </w:r>
          </w:p>
        </w:tc>
        <w:tc>
          <w:tcPr>
            <w:tcW w:w="0" w:type="auto"/>
            <w:hideMark/>
          </w:tcPr>
          <w:p w14:paraId="01ECDD77" w14:textId="77777777" w:rsidR="008B1022" w:rsidRDefault="008B1022">
            <w:pPr>
              <w:rPr>
                <w:rFonts w:eastAsia="Times New Roman"/>
                <w:sz w:val="24"/>
                <w:szCs w:val="24"/>
              </w:rPr>
            </w:pPr>
            <w:r>
              <w:rPr>
                <w:rFonts w:eastAsia="Times New Roman"/>
              </w:rPr>
              <w:t xml:space="preserve">1 </w:t>
            </w:r>
          </w:p>
        </w:tc>
        <w:tc>
          <w:tcPr>
            <w:tcW w:w="0" w:type="auto"/>
            <w:hideMark/>
          </w:tcPr>
          <w:p w14:paraId="76F8C57D" w14:textId="77777777" w:rsidR="008B1022" w:rsidRDefault="008B1022">
            <w:pPr>
              <w:rPr>
                <w:rFonts w:eastAsia="Times New Roman"/>
                <w:sz w:val="24"/>
                <w:szCs w:val="24"/>
              </w:rPr>
            </w:pPr>
            <w:r>
              <w:rPr>
                <w:rFonts w:eastAsia="Times New Roman"/>
              </w:rPr>
              <w:t xml:space="preserve">3 </w:t>
            </w:r>
          </w:p>
        </w:tc>
        <w:tc>
          <w:tcPr>
            <w:tcW w:w="0" w:type="auto"/>
            <w:hideMark/>
          </w:tcPr>
          <w:p w14:paraId="40BD5382" w14:textId="77777777" w:rsidR="008B1022" w:rsidRDefault="008B1022">
            <w:pPr>
              <w:rPr>
                <w:rFonts w:eastAsia="Times New Roman"/>
                <w:sz w:val="24"/>
                <w:szCs w:val="24"/>
              </w:rPr>
            </w:pPr>
            <w:r>
              <w:rPr>
                <w:rFonts w:eastAsia="Times New Roman"/>
              </w:rPr>
              <w:t xml:space="preserve">2 </w:t>
            </w:r>
          </w:p>
        </w:tc>
      </w:tr>
      <w:tr w:rsidR="008B1022" w14:paraId="77AD5168" w14:textId="77777777" w:rsidTr="00865E25">
        <w:trPr>
          <w:cnfStyle w:val="000000010000" w:firstRow="0" w:lastRow="0" w:firstColumn="0" w:lastColumn="0" w:oddVBand="0" w:evenVBand="0" w:oddHBand="0" w:evenHBand="1" w:firstRowFirstColumn="0" w:firstRowLastColumn="0" w:lastRowFirstColumn="0" w:lastRowLastColumn="0"/>
        </w:trPr>
        <w:tc>
          <w:tcPr>
            <w:tcW w:w="0" w:type="auto"/>
            <w:hideMark/>
          </w:tcPr>
          <w:p w14:paraId="4AE92362" w14:textId="77777777" w:rsidR="008B1022" w:rsidRDefault="008B1022">
            <w:pPr>
              <w:rPr>
                <w:rFonts w:eastAsia="Times New Roman"/>
                <w:sz w:val="24"/>
                <w:szCs w:val="24"/>
              </w:rPr>
            </w:pPr>
            <w:r>
              <w:rPr>
                <w:rFonts w:eastAsia="Times New Roman"/>
              </w:rPr>
              <w:t xml:space="preserve">Ciguatoxin test results </w:t>
            </w:r>
          </w:p>
        </w:tc>
        <w:tc>
          <w:tcPr>
            <w:tcW w:w="0" w:type="auto"/>
            <w:hideMark/>
          </w:tcPr>
          <w:p w14:paraId="6CFF31C1" w14:textId="77777777" w:rsidR="008B1022" w:rsidRDefault="008B1022">
            <w:pPr>
              <w:rPr>
                <w:rFonts w:eastAsia="Times New Roman"/>
                <w:sz w:val="24"/>
                <w:szCs w:val="24"/>
              </w:rPr>
            </w:pPr>
            <w:r>
              <w:rPr>
                <w:rFonts w:eastAsia="Times New Roman"/>
              </w:rPr>
              <w:t xml:space="preserve">Positive meal sample: 0.023 µg/kg P-CTX-1B. </w:t>
            </w:r>
          </w:p>
        </w:tc>
        <w:tc>
          <w:tcPr>
            <w:tcW w:w="0" w:type="auto"/>
            <w:hideMark/>
          </w:tcPr>
          <w:p w14:paraId="15249A13" w14:textId="77777777" w:rsidR="008B1022" w:rsidRDefault="008B1022">
            <w:pPr>
              <w:rPr>
                <w:rFonts w:eastAsia="Times New Roman"/>
                <w:sz w:val="24"/>
                <w:szCs w:val="24"/>
              </w:rPr>
            </w:pPr>
            <w:r>
              <w:rPr>
                <w:rFonts w:eastAsia="Times New Roman"/>
              </w:rPr>
              <w:t xml:space="preserve">Positive fillet sample in a fish from the same batch: 0.069 µg/kg P-CTX-1B. </w:t>
            </w:r>
          </w:p>
        </w:tc>
        <w:tc>
          <w:tcPr>
            <w:tcW w:w="0" w:type="auto"/>
            <w:hideMark/>
          </w:tcPr>
          <w:p w14:paraId="3837802D" w14:textId="77777777" w:rsidR="008B1022" w:rsidRDefault="008B1022">
            <w:pPr>
              <w:rPr>
                <w:rFonts w:eastAsia="Times New Roman"/>
                <w:sz w:val="24"/>
                <w:szCs w:val="24"/>
              </w:rPr>
            </w:pPr>
            <w:r>
              <w:rPr>
                <w:rFonts w:eastAsia="Times New Roman"/>
              </w:rPr>
              <w:t xml:space="preserve">Positive fillet samples from the same batch: 0.006, 0.036 and 0.020 µg/kg P-CTX-1B. </w:t>
            </w:r>
          </w:p>
        </w:tc>
        <w:tc>
          <w:tcPr>
            <w:tcW w:w="0" w:type="auto"/>
            <w:hideMark/>
          </w:tcPr>
          <w:p w14:paraId="443D1DCE" w14:textId="77777777" w:rsidR="008B1022" w:rsidRDefault="008B1022">
            <w:pPr>
              <w:rPr>
                <w:rFonts w:eastAsia="Times New Roman"/>
                <w:sz w:val="24"/>
                <w:szCs w:val="24"/>
              </w:rPr>
            </w:pPr>
            <w:r>
              <w:rPr>
                <w:rFonts w:eastAsia="Times New Roman"/>
              </w:rPr>
              <w:t xml:space="preserve">Not detected. </w:t>
            </w:r>
          </w:p>
        </w:tc>
      </w:tr>
    </w:tbl>
    <w:p w14:paraId="4F19005C" w14:textId="77777777" w:rsidR="008B1022" w:rsidRDefault="008B1022" w:rsidP="008B1022">
      <w:pPr>
        <w:pStyle w:val="CDIfootnotes"/>
        <w:rPr>
          <w:rFonts w:eastAsia="Times New Roman"/>
        </w:rPr>
      </w:pPr>
      <w:r>
        <w:rPr>
          <w:rFonts w:eastAsia="Times New Roman"/>
          <w:vertAlign w:val="superscript"/>
        </w:rPr>
        <w:t>*</w:t>
      </w:r>
      <w:proofErr w:type="gramStart"/>
      <w:r>
        <w:rPr>
          <w:rFonts w:eastAsia="Times New Roman"/>
        </w:rPr>
        <w:t>reported</w:t>
      </w:r>
      <w:proofErr w:type="gramEnd"/>
      <w:r>
        <w:rPr>
          <w:rFonts w:eastAsia="Times New Roman"/>
        </w:rPr>
        <w:t xml:space="preserve"> by the affected individuals. </w:t>
      </w:r>
    </w:p>
    <w:p w14:paraId="0D2FB3C0" w14:textId="77777777" w:rsidR="008B1022" w:rsidRDefault="008B1022" w:rsidP="008B1022">
      <w:r>
        <w:t xml:space="preserve">The severity and duration of symptoms varied across all cases. Common across all incidents was a progression of symptoms from an initial feeling of being unwell (1-2 hours), including gastrointestinal symptoms (3-6 hours), followed by neurological symptoms (3-6 days) (Figure 1). </w:t>
      </w:r>
    </w:p>
    <w:p w14:paraId="7A0F768F" w14:textId="77777777" w:rsidR="00FC2CC4" w:rsidRDefault="00FC2CC4">
      <w:pPr>
        <w:rPr>
          <w:b/>
        </w:rPr>
      </w:pPr>
      <w:r>
        <w:br w:type="page"/>
      </w:r>
    </w:p>
    <w:p w14:paraId="3E44336D" w14:textId="77777777" w:rsidR="00FC2CC4" w:rsidRDefault="00005F04" w:rsidP="00005F04">
      <w:pPr>
        <w:pStyle w:val="CDIFigures"/>
        <w:rPr>
          <w:noProof/>
        </w:rPr>
      </w:pPr>
      <w:r>
        <w:lastRenderedPageBreak/>
        <w:t>Figure 1: Overview of progressive symptoms and estimated timeframes across four CFP cases (13 individuals) investigated by the NSW Food Authority (2015 – 2017).</w:t>
      </w:r>
      <w:r w:rsidR="00FC2CC4" w:rsidRPr="00FC2CC4">
        <w:rPr>
          <w:noProof/>
        </w:rPr>
        <w:t xml:space="preserve"> </w:t>
      </w:r>
    </w:p>
    <w:p w14:paraId="5975B097" w14:textId="77777777" w:rsidR="00005F04" w:rsidRDefault="00FC2CC4" w:rsidP="00FC2CC4">
      <w:pPr>
        <w:pStyle w:val="CDIFigures"/>
        <w:jc w:val="center"/>
      </w:pPr>
      <w:r>
        <w:rPr>
          <w:noProof/>
        </w:rPr>
        <w:drawing>
          <wp:inline distT="0" distB="0" distL="0" distR="0" wp14:anchorId="73D416B5" wp14:editId="7F8D6785">
            <wp:extent cx="5303520" cy="1200785"/>
            <wp:effectExtent l="0" t="0" r="0" b="0"/>
            <wp:docPr id="1" name="Picture 1" descr="- Figure 1 gives an overview of the estimate timeline of progressive symptoms across the four ciguatera fish poisoning incidents (13 individuals) investigated by the NSW Food Authority between 2015 and 2017 that were linked to imported fish. Within 1-2 hours, individuals reported a general 'unwell' feeling. Gastrointestinal symptoms were reported to occur within 3-6 hours and neurological symptoms were reported to occur within 3-6 days. There was a variable intensity and rate of progression of symptoms depending on: the amount of fish consumed, the type of portion consumed, the concentration of ciguatoxin, the overall health of the individual and the exposure history of the individual." title="Figure 1: Overview of progressive symptoms and estimated timeframes across four CFP cases (13 individuals) investigated by the NSW Food Authority (2015 – 20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ging\CDESS\ZoFE\CDI\Desktopping\OpenCDI\OpenCDI-2018-volume\25-H-Farrell-Four recent ciguatera fish poisoning\MS-Word output\tables-web-resources\image\22767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3520" cy="1200785"/>
                    </a:xfrm>
                    <a:prstGeom prst="rect">
                      <a:avLst/>
                    </a:prstGeom>
                    <a:noFill/>
                    <a:ln>
                      <a:noFill/>
                    </a:ln>
                  </pic:spPr>
                </pic:pic>
              </a:graphicData>
            </a:graphic>
          </wp:inline>
        </w:drawing>
      </w:r>
    </w:p>
    <w:p w14:paraId="13048273" w14:textId="77777777" w:rsidR="00695150" w:rsidRDefault="00695150" w:rsidP="00695150">
      <w:pPr>
        <w:pStyle w:val="CDIfootnotes"/>
      </w:pPr>
      <w:r>
        <w:t>Variable intensity and rate of progression of symptoms depending on:</w:t>
      </w:r>
    </w:p>
    <w:p w14:paraId="2F0D3757" w14:textId="77777777" w:rsidR="00695150" w:rsidRDefault="00695150" w:rsidP="00695150">
      <w:pPr>
        <w:pStyle w:val="CDIfootnotes"/>
        <w:numPr>
          <w:ilvl w:val="0"/>
          <w:numId w:val="14"/>
        </w:numPr>
      </w:pPr>
      <w:r>
        <w:t xml:space="preserve">amount of fish </w:t>
      </w:r>
      <w:proofErr w:type="gramStart"/>
      <w:r>
        <w:t>consumed</w:t>
      </w:r>
      <w:proofErr w:type="gramEnd"/>
    </w:p>
    <w:p w14:paraId="2910DBF9" w14:textId="77777777" w:rsidR="00695150" w:rsidRDefault="00695150" w:rsidP="00695150">
      <w:pPr>
        <w:pStyle w:val="CDIfootnotes"/>
        <w:numPr>
          <w:ilvl w:val="0"/>
          <w:numId w:val="14"/>
        </w:numPr>
      </w:pPr>
      <w:r>
        <w:t xml:space="preserve">type of portion </w:t>
      </w:r>
      <w:proofErr w:type="gramStart"/>
      <w:r>
        <w:t>consumed</w:t>
      </w:r>
      <w:proofErr w:type="gramEnd"/>
    </w:p>
    <w:p w14:paraId="06D3B15C" w14:textId="77777777" w:rsidR="00695150" w:rsidRDefault="00695150" w:rsidP="00695150">
      <w:pPr>
        <w:pStyle w:val="CDIfootnotes"/>
        <w:numPr>
          <w:ilvl w:val="0"/>
          <w:numId w:val="14"/>
        </w:numPr>
      </w:pPr>
      <w:r>
        <w:t>concentration of ciguatoxin</w:t>
      </w:r>
    </w:p>
    <w:p w14:paraId="0247B7FE" w14:textId="77777777" w:rsidR="004403AE" w:rsidRDefault="00695150" w:rsidP="00695150">
      <w:pPr>
        <w:pStyle w:val="CDIfootnotes"/>
        <w:numPr>
          <w:ilvl w:val="0"/>
          <w:numId w:val="14"/>
        </w:numPr>
      </w:pPr>
      <w:r>
        <w:t>exposure history of individua</w:t>
      </w:r>
    </w:p>
    <w:p w14:paraId="146A4D23" w14:textId="77777777" w:rsidR="008B1022" w:rsidRDefault="008B1022">
      <w:pPr>
        <w:pStyle w:val="Heading1"/>
        <w:rPr>
          <w:rFonts w:eastAsia="Times New Roman"/>
        </w:rPr>
      </w:pPr>
      <w:r>
        <w:rPr>
          <w:rFonts w:eastAsia="Times New Roman"/>
        </w:rPr>
        <w:t xml:space="preserve">Discussion </w:t>
      </w:r>
    </w:p>
    <w:p w14:paraId="4D1E0498" w14:textId="77777777" w:rsidR="008B1022" w:rsidRDefault="008B1022" w:rsidP="008B1022">
      <w:r>
        <w:t>As demonstrated by the incidents outlined in this paper, the identification and confirmation of possible CFP cases can be complicated. Management of CFP risk is multifaceted and, as recently reviewed by Farrell et al.,</w:t>
      </w:r>
      <w:r>
        <w:rPr>
          <w:vertAlign w:val="superscript"/>
        </w:rPr>
        <w:t>25</w:t>
      </w:r>
      <w:r>
        <w:t xml:space="preserve"> requires understanding of the reasons behind the apparent increases in illnesses and geographic range, the ability to reliably detect CTX in seafood and to understand how toxin concentrations and consumption patterns relate to illness cases. The early identification and triage of CFP cases are invaluable to incident management for 2 reasons. They facilitate appropriate supportive treatment of those affected and provide industry with an opportunity to remove the implicated product from sale to reduce the risk to consumers of exposure to the toxin. Investigation of these 4 recent incidents highlights the issues faced in identifying and responding to cases of CFP. In NSW, foodborne-illness outbreak responses are used to address CFP incidents,</w:t>
      </w:r>
      <w:r>
        <w:rPr>
          <w:vertAlign w:val="superscript"/>
        </w:rPr>
        <w:t>26</w:t>
      </w:r>
      <w:r w:rsidR="00E673B3">
        <w:rPr>
          <w:vertAlign w:val="superscript"/>
        </w:rPr>
        <w:t xml:space="preserve"> </w:t>
      </w:r>
      <w:r>
        <w:t>and typically involve 3 phases. The first is identification of potential cases. The second is a more detailed investigation leading, where appropriate, to regulatory action to address any potential risk to public health and safety. The final phase involves identifying and implementing any appropriate system changes to reduce the risk of a similar incident occurring in the future. With CFP incidents, the response process is limited for 2 reasons. The first is that cases of CFP can be easily misdiagnosed given the wide range of associated symptoms.</w:t>
      </w:r>
      <w:r>
        <w:rPr>
          <w:vertAlign w:val="superscript"/>
        </w:rPr>
        <w:t>4,5</w:t>
      </w:r>
      <w:r>
        <w:t xml:space="preserve"> As a result, despite the large number of cases worldwide, CFP is grossly underreported.</w:t>
      </w:r>
      <w:r>
        <w:rPr>
          <w:vertAlign w:val="superscript"/>
        </w:rPr>
        <w:t>4,5</w:t>
      </w:r>
      <w:r>
        <w:t xml:space="preserve"> The second reason is there is no specific diagnostic ‘test’ for the toxin in humans.</w:t>
      </w:r>
      <w:r>
        <w:rPr>
          <w:vertAlign w:val="superscript"/>
        </w:rPr>
        <w:t>27</w:t>
      </w:r>
      <w:r>
        <w:t xml:space="preserve"> In addition, it should be noted that the availability of CTX standard reference material is limited P-CTX-1B was the only available reference material for the samples collected as part of these investigations. It is likely that other ciguatoxin analogues were present in the implicated fish samples. Improved testing methodology is required to enhance understanding and management of the risk of CFP. These factors highlight the need to improve identification of potential CFP cases. Although CFP incidents are difficult to identify, analysis of the 4 recent reports of CFP distinguished common indicators that could be used to improve identification of a potential CFP incident. </w:t>
      </w:r>
    </w:p>
    <w:p w14:paraId="13A313A3" w14:textId="77777777" w:rsidR="008B1022" w:rsidRDefault="008B1022" w:rsidP="008B1022">
      <w:r>
        <w:t xml:space="preserve">Two factors were identified as strong indicators of CFP following a fish meal. </w:t>
      </w:r>
    </w:p>
    <w:p w14:paraId="72351493" w14:textId="77777777" w:rsidR="008B1022" w:rsidRPr="008B1022" w:rsidRDefault="008B1022" w:rsidP="008B1022">
      <w:pPr>
        <w:pStyle w:val="ListParagraph"/>
        <w:numPr>
          <w:ilvl w:val="0"/>
          <w:numId w:val="11"/>
        </w:numPr>
        <w:rPr>
          <w:rFonts w:eastAsia="Times New Roman"/>
        </w:rPr>
      </w:pPr>
      <w:r w:rsidRPr="008B1022">
        <w:rPr>
          <w:rFonts w:eastAsia="Times New Roman"/>
        </w:rPr>
        <w:t>Whether the complainant experienced a sensation of hot/cold temperature reversal. This can include burning sensation or skin pain on contact with cold water or a stinging sensation when drinking water. This sensation may also be identified as a painful ‘</w:t>
      </w:r>
      <w:proofErr w:type="gramStart"/>
      <w:r w:rsidRPr="008B1022">
        <w:rPr>
          <w:rFonts w:eastAsia="Times New Roman"/>
        </w:rPr>
        <w:t>sharpness’;</w:t>
      </w:r>
      <w:proofErr w:type="gramEnd"/>
      <w:r w:rsidRPr="008B1022">
        <w:rPr>
          <w:rFonts w:eastAsia="Times New Roman"/>
        </w:rPr>
        <w:t xml:space="preserve"> </w:t>
      </w:r>
    </w:p>
    <w:p w14:paraId="79634CBA" w14:textId="77777777" w:rsidR="008B1022" w:rsidRPr="008B1022" w:rsidRDefault="008B1022" w:rsidP="008B1022">
      <w:pPr>
        <w:pStyle w:val="ListParagraph"/>
        <w:numPr>
          <w:ilvl w:val="0"/>
          <w:numId w:val="11"/>
        </w:numPr>
        <w:rPr>
          <w:rFonts w:eastAsia="Times New Roman"/>
        </w:rPr>
      </w:pPr>
      <w:r w:rsidRPr="008B1022">
        <w:rPr>
          <w:rFonts w:eastAsia="Times New Roman"/>
        </w:rPr>
        <w:lastRenderedPageBreak/>
        <w:t>Whether symptoms are associated with eating the head or offal of the fish, particularly as a meal of fish soup</w:t>
      </w:r>
      <w:r w:rsidR="002E03AC">
        <w:rPr>
          <w:rFonts w:eastAsia="Times New Roman"/>
        </w:rPr>
        <w:t> </w:t>
      </w:r>
      <w:r w:rsidRPr="008B1022">
        <w:rPr>
          <w:rFonts w:eastAsia="Times New Roman"/>
        </w:rPr>
        <w:t xml:space="preserve">or stew. </w:t>
      </w:r>
    </w:p>
    <w:p w14:paraId="71836930" w14:textId="77777777" w:rsidR="008B1022" w:rsidRDefault="008B1022" w:rsidP="008B1022">
      <w:r>
        <w:t xml:space="preserve">Associated indicators included: </w:t>
      </w:r>
    </w:p>
    <w:p w14:paraId="59674CC0" w14:textId="77777777" w:rsidR="008B1022" w:rsidRPr="008B1022" w:rsidRDefault="008B1022" w:rsidP="008B1022">
      <w:pPr>
        <w:pStyle w:val="ListParagraph"/>
        <w:numPr>
          <w:ilvl w:val="0"/>
          <w:numId w:val="12"/>
        </w:numPr>
        <w:rPr>
          <w:rFonts w:eastAsia="Times New Roman"/>
        </w:rPr>
      </w:pPr>
      <w:r w:rsidRPr="008B1022">
        <w:rPr>
          <w:rFonts w:eastAsia="Times New Roman"/>
        </w:rPr>
        <w:t xml:space="preserve">Previous reported exposure correlating with more severe symptoms. </w:t>
      </w:r>
    </w:p>
    <w:p w14:paraId="6AF83465" w14:textId="77777777" w:rsidR="008B1022" w:rsidRPr="008B1022" w:rsidRDefault="008B1022" w:rsidP="008B1022">
      <w:pPr>
        <w:pStyle w:val="ListParagraph"/>
        <w:numPr>
          <w:ilvl w:val="0"/>
          <w:numId w:val="12"/>
        </w:numPr>
        <w:rPr>
          <w:rFonts w:eastAsia="Times New Roman"/>
        </w:rPr>
      </w:pPr>
      <w:r w:rsidRPr="008B1022">
        <w:rPr>
          <w:rFonts w:eastAsia="Times New Roman"/>
        </w:rPr>
        <w:t xml:space="preserve">Two or more consumers of the same meal experiencing symptoms. </w:t>
      </w:r>
    </w:p>
    <w:p w14:paraId="4EFEEDF1" w14:textId="77777777" w:rsidR="008B1022" w:rsidRPr="008B1022" w:rsidRDefault="008B1022" w:rsidP="008B1022">
      <w:pPr>
        <w:pStyle w:val="ListParagraph"/>
        <w:numPr>
          <w:ilvl w:val="0"/>
          <w:numId w:val="12"/>
        </w:numPr>
        <w:rPr>
          <w:rFonts w:eastAsia="Times New Roman"/>
        </w:rPr>
      </w:pPr>
      <w:r w:rsidRPr="008B1022">
        <w:rPr>
          <w:rFonts w:eastAsia="Times New Roman"/>
        </w:rPr>
        <w:t xml:space="preserve">A progression from initial symptoms of itchy arms and legs, diarrhoea, </w:t>
      </w:r>
      <w:proofErr w:type="gramStart"/>
      <w:r w:rsidRPr="008B1022">
        <w:rPr>
          <w:rFonts w:eastAsia="Times New Roman"/>
        </w:rPr>
        <w:t>nausea</w:t>
      </w:r>
      <w:proofErr w:type="gramEnd"/>
      <w:r w:rsidRPr="008B1022">
        <w:rPr>
          <w:rFonts w:eastAsia="Times New Roman"/>
        </w:rPr>
        <w:t xml:space="preserve"> or lethargy followed 2 to 3 days later by any one or more symptoms that cases described as: heavy chest; sharp tongue (temperature reversal); breathlessness; diarrhoea with sharp pain; numb face; swollen lips; hot and cold sensations; racing heart and/or anxiety. </w:t>
      </w:r>
    </w:p>
    <w:p w14:paraId="24FB1C15" w14:textId="77777777" w:rsidR="008B1022" w:rsidRPr="008B1022" w:rsidRDefault="008B1022" w:rsidP="008B1022">
      <w:pPr>
        <w:pStyle w:val="ListParagraph"/>
        <w:numPr>
          <w:ilvl w:val="0"/>
          <w:numId w:val="12"/>
        </w:numPr>
        <w:rPr>
          <w:rFonts w:eastAsia="Times New Roman"/>
        </w:rPr>
      </w:pPr>
      <w:r w:rsidRPr="008B1022">
        <w:rPr>
          <w:rFonts w:eastAsia="Times New Roman"/>
        </w:rPr>
        <w:t xml:space="preserve">Persisting symptoms which could include: “heavy chest”; “sharp tongue” (temperature reversal); breathlessness; diarrhoea with sharp pain; numb face; swollen lips; hot and cold sensations; racing heart and/or anxiety. </w:t>
      </w:r>
    </w:p>
    <w:p w14:paraId="507109D3" w14:textId="77777777" w:rsidR="008B1022" w:rsidRDefault="008B1022">
      <w:pPr>
        <w:pStyle w:val="Heading1"/>
        <w:rPr>
          <w:rFonts w:eastAsia="Times New Roman"/>
        </w:rPr>
      </w:pPr>
      <w:r>
        <w:rPr>
          <w:rFonts w:eastAsia="Times New Roman"/>
        </w:rPr>
        <w:t xml:space="preserve">Conclusion </w:t>
      </w:r>
    </w:p>
    <w:p w14:paraId="1B92C656" w14:textId="77777777" w:rsidR="008B1022" w:rsidRDefault="008B1022" w:rsidP="008B1022">
      <w:r>
        <w:t xml:space="preserve">Improved diagnosis and reporting of potential ciguatoxin cases </w:t>
      </w:r>
      <w:proofErr w:type="gramStart"/>
      <w:r>
        <w:t>is</w:t>
      </w:r>
      <w:proofErr w:type="gramEnd"/>
      <w:r>
        <w:t xml:space="preserve"> essential in facilitating appropriate supportive treatment of those affected. The regulatory strategies used to address the risk of CFP, such as removal of the implicated product from sale, so as to reduce the risk to consumers of exposure to the toxin, rely on prompt identification of cases. Pending development of reliable, cost effective test methods for CTX, these incidents demonstrate that case symptoms, which can vary substantially in conjunction with their reported previous exposure history, the type of fish consumed and how the fish was cooked, can be used to identify potential CFP cases and hence CFP risks that may need to be addressed. </w:t>
      </w:r>
    </w:p>
    <w:p w14:paraId="68CF8D2F" w14:textId="77777777" w:rsidR="002E03AC" w:rsidRDefault="002E03AC">
      <w:pPr>
        <w:rPr>
          <w:rFonts w:asciiTheme="majorHAnsi" w:eastAsia="Times New Roman" w:hAnsiTheme="majorHAnsi" w:cstheme="majorBidi"/>
          <w:b/>
          <w:bCs/>
          <w:sz w:val="32"/>
          <w:szCs w:val="28"/>
        </w:rPr>
      </w:pPr>
      <w:r>
        <w:rPr>
          <w:rFonts w:eastAsia="Times New Roman"/>
        </w:rPr>
        <w:br w:type="page"/>
      </w:r>
    </w:p>
    <w:p w14:paraId="7D6829E6" w14:textId="77777777" w:rsidR="008B1022" w:rsidRDefault="008B1022">
      <w:pPr>
        <w:pStyle w:val="Heading1"/>
        <w:rPr>
          <w:rFonts w:eastAsia="Times New Roman"/>
        </w:rPr>
      </w:pPr>
      <w:r>
        <w:rPr>
          <w:rFonts w:eastAsia="Times New Roman"/>
        </w:rPr>
        <w:lastRenderedPageBreak/>
        <w:t xml:space="preserve">Acknowledgements </w:t>
      </w:r>
    </w:p>
    <w:p w14:paraId="201C56FD" w14:textId="77777777" w:rsidR="008B1022" w:rsidRDefault="008B1022" w:rsidP="008B1022">
      <w:r>
        <w:t>The authors wish to thank the individuals affected by CFP who participated in the investigations. The authors acknowledge NSW Food Authority officers for collection and delivery of samples for testing. Results of ciguatoxin testing for incidents 1 and 2 were provided by Sydney Fish Markets Pty Ltd. The authors wish to thank Dr.</w:t>
      </w:r>
      <w:r w:rsidR="00514C1E">
        <w:t> </w:t>
      </w:r>
      <w:r>
        <w:t xml:space="preserve">Chowdhury </w:t>
      </w:r>
      <w:proofErr w:type="spellStart"/>
      <w:r>
        <w:t>Sarowoar</w:t>
      </w:r>
      <w:proofErr w:type="spellEnd"/>
      <w:r>
        <w:t xml:space="preserve"> for conducting the ciguatoxin analyses at the Sydney Institute of Marine Science, and A/Prof. Shauna Murray for advice in interpreting ciguatoxin results. The authors would like to thank Dr. Alison Imlay (NSW Food Authority) for feedback on the final manuscript. </w:t>
      </w:r>
    </w:p>
    <w:p w14:paraId="7A41FA41" w14:textId="77777777" w:rsidR="008B1022" w:rsidRDefault="008B1022">
      <w:pPr>
        <w:pStyle w:val="Heading1"/>
        <w:rPr>
          <w:rFonts w:eastAsia="Times New Roman"/>
        </w:rPr>
      </w:pPr>
      <w:r>
        <w:rPr>
          <w:rFonts w:eastAsia="Times New Roman"/>
        </w:rPr>
        <w:t xml:space="preserve">Author details </w:t>
      </w:r>
    </w:p>
    <w:p w14:paraId="502A815B" w14:textId="77777777" w:rsidR="008B1022" w:rsidRDefault="008B1022" w:rsidP="008B1022">
      <w:pPr>
        <w:pStyle w:val="NoSpacing"/>
      </w:pPr>
      <w:r>
        <w:t>Alan Edwards</w:t>
      </w:r>
      <w:r w:rsidR="00E673B3" w:rsidRPr="00E673B3">
        <w:rPr>
          <w:vertAlign w:val="superscript"/>
        </w:rPr>
        <w:t>1</w:t>
      </w:r>
      <w:r>
        <w:t xml:space="preserve"> </w:t>
      </w:r>
    </w:p>
    <w:p w14:paraId="09B14FB6" w14:textId="77777777" w:rsidR="00E673B3" w:rsidRDefault="008B1022" w:rsidP="008B1022">
      <w:pPr>
        <w:pStyle w:val="NoSpacing"/>
      </w:pPr>
      <w:r>
        <w:t>Anthony Zammit</w:t>
      </w:r>
      <w:r w:rsidR="00E673B3" w:rsidRPr="00E673B3">
        <w:rPr>
          <w:vertAlign w:val="superscript"/>
        </w:rPr>
        <w:t>2</w:t>
      </w:r>
      <w:r>
        <w:t xml:space="preserve"> </w:t>
      </w:r>
    </w:p>
    <w:p w14:paraId="724BAFD0" w14:textId="77777777" w:rsidR="00E673B3" w:rsidRDefault="00E673B3" w:rsidP="008B1022">
      <w:pPr>
        <w:pStyle w:val="NoSpacing"/>
      </w:pPr>
    </w:p>
    <w:p w14:paraId="5CA4AF54" w14:textId="285590FE" w:rsidR="003769EA" w:rsidRDefault="003769EA" w:rsidP="003769EA">
      <w:pPr>
        <w:pStyle w:val="NoSpacing"/>
        <w:numPr>
          <w:ilvl w:val="0"/>
          <w:numId w:val="15"/>
        </w:numPr>
      </w:pPr>
      <w:r w:rsidRPr="003769EA">
        <w:t xml:space="preserve">Senior Food Incident Response &amp; Complaints Co-ordinator </w:t>
      </w:r>
      <w:hyperlink r:id="rId10" w:history="1">
        <w:r w:rsidRPr="00C731FA">
          <w:rPr>
            <w:rStyle w:val="Hyperlink"/>
          </w:rPr>
          <w:t>alan.edwards@dpi.nsw.gov.au</w:t>
        </w:r>
      </w:hyperlink>
      <w:r>
        <w:t xml:space="preserve"> </w:t>
      </w:r>
      <w:r w:rsidRPr="003769EA">
        <w:t>NSW Food Authority, 6 Avenue of the Americas, Newington, NSW 2127, Australia.</w:t>
      </w:r>
    </w:p>
    <w:p w14:paraId="34E71198" w14:textId="6A125773" w:rsidR="00E673B3" w:rsidRDefault="003769EA" w:rsidP="003769EA">
      <w:pPr>
        <w:pStyle w:val="NoSpacing"/>
        <w:numPr>
          <w:ilvl w:val="0"/>
          <w:numId w:val="15"/>
        </w:numPr>
      </w:pPr>
      <w:r w:rsidRPr="003769EA">
        <w:t xml:space="preserve">Manager NSW Shellfish Program </w:t>
      </w:r>
      <w:hyperlink r:id="rId11" w:history="1">
        <w:r w:rsidRPr="00C731FA">
          <w:rPr>
            <w:rStyle w:val="Hyperlink"/>
          </w:rPr>
          <w:t>anthony.zammit@dpi.nsw.gov.au</w:t>
        </w:r>
      </w:hyperlink>
      <w:r>
        <w:t xml:space="preserve"> </w:t>
      </w:r>
      <w:r w:rsidRPr="003769EA">
        <w:t>NSW Food Authority, 6 Avenue of the Americas, Newington, NSW 2127, Australia</w:t>
      </w:r>
    </w:p>
    <w:p w14:paraId="1F9AB329" w14:textId="77777777" w:rsidR="00E673B3" w:rsidRDefault="00E673B3" w:rsidP="00E673B3">
      <w:pPr>
        <w:pStyle w:val="Heading2"/>
      </w:pPr>
      <w:r>
        <w:t xml:space="preserve">Corresponding author </w:t>
      </w:r>
    </w:p>
    <w:p w14:paraId="0CD7F58D" w14:textId="1967BDF1" w:rsidR="00E673B3" w:rsidRDefault="00E673B3" w:rsidP="00E673B3">
      <w:pPr>
        <w:pStyle w:val="NoSpacing"/>
      </w:pPr>
      <w:r>
        <w:t xml:space="preserve">Hazel Farrell, </w:t>
      </w:r>
      <w:r w:rsidR="003769EA" w:rsidRPr="003769EA">
        <w:t xml:space="preserve">Shellfish Operations Officer </w:t>
      </w:r>
      <w:hyperlink r:id="rId12" w:history="1">
        <w:r w:rsidR="003769EA" w:rsidRPr="00C731FA">
          <w:rPr>
            <w:rStyle w:val="Hyperlink"/>
          </w:rPr>
          <w:t>hazel.farrell@dpi.nsw.gov.au</w:t>
        </w:r>
      </w:hyperlink>
      <w:r w:rsidR="003769EA">
        <w:t xml:space="preserve"> </w:t>
      </w:r>
      <w:r w:rsidR="003769EA" w:rsidRPr="003769EA">
        <w:t>NSW Food Authority, 6 Avenue of the Americas, Newington, NSW 2127, Australia.</w:t>
      </w:r>
    </w:p>
    <w:p w14:paraId="53F3EAE7" w14:textId="77777777" w:rsidR="008B1022" w:rsidRDefault="008B1022">
      <w:pPr>
        <w:pStyle w:val="Heading1"/>
        <w:rPr>
          <w:rFonts w:eastAsia="Times New Roman"/>
        </w:rPr>
      </w:pPr>
      <w:r>
        <w:rPr>
          <w:rFonts w:eastAsia="Times New Roman"/>
        </w:rPr>
        <w:t xml:space="preserve">References </w:t>
      </w:r>
    </w:p>
    <w:p w14:paraId="4F878119"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Kohli GS, Farrell H, Murray SA. </w:t>
      </w:r>
      <w:proofErr w:type="spellStart"/>
      <w:r w:rsidRPr="00FA7D97">
        <w:rPr>
          <w:rStyle w:val="Emphasis"/>
          <w:rFonts w:eastAsia="Times New Roman"/>
          <w:b w:val="0"/>
        </w:rPr>
        <w:t>Gambierdiscus</w:t>
      </w:r>
      <w:proofErr w:type="spellEnd"/>
      <w:r>
        <w:rPr>
          <w:rFonts w:eastAsia="Times New Roman"/>
        </w:rPr>
        <w:t xml:space="preserve">, the cause of ciguatera fish poisoning: An increased human health threat influenced by climate change. In: Botana LM, </w:t>
      </w:r>
      <w:proofErr w:type="spellStart"/>
      <w:r>
        <w:rPr>
          <w:rFonts w:eastAsia="Times New Roman"/>
        </w:rPr>
        <w:t>Louzao</w:t>
      </w:r>
      <w:proofErr w:type="spellEnd"/>
      <w:r>
        <w:rPr>
          <w:rFonts w:eastAsia="Times New Roman"/>
        </w:rPr>
        <w:t xml:space="preserve"> C, </w:t>
      </w:r>
      <w:proofErr w:type="spellStart"/>
      <w:r>
        <w:rPr>
          <w:rFonts w:eastAsia="Times New Roman"/>
        </w:rPr>
        <w:t>Vilariño</w:t>
      </w:r>
      <w:proofErr w:type="spellEnd"/>
      <w:r>
        <w:rPr>
          <w:rFonts w:eastAsia="Times New Roman"/>
        </w:rPr>
        <w:t xml:space="preserve"> N. (editors). Climate Change and Marine and Freshwater Toxins. De Gruyter; Berlin, Germany: 2015;273–312. </w:t>
      </w:r>
    </w:p>
    <w:p w14:paraId="1C708C7A"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Gillespie N, Lewis R, </w:t>
      </w:r>
      <w:proofErr w:type="spellStart"/>
      <w:r>
        <w:rPr>
          <w:rFonts w:eastAsia="Times New Roman"/>
        </w:rPr>
        <w:t>Pearn</w:t>
      </w:r>
      <w:proofErr w:type="spellEnd"/>
      <w:r>
        <w:rPr>
          <w:rFonts w:eastAsia="Times New Roman"/>
        </w:rPr>
        <w:t xml:space="preserve"> J, Bourke A, Holmes M, Bourke J, et al. Ciguatera in Australia. Occurrence, clinical features, </w:t>
      </w:r>
      <w:proofErr w:type="gramStart"/>
      <w:r>
        <w:rPr>
          <w:rFonts w:eastAsia="Times New Roman"/>
        </w:rPr>
        <w:t>pathophysiology</w:t>
      </w:r>
      <w:proofErr w:type="gramEnd"/>
      <w:r>
        <w:rPr>
          <w:rFonts w:eastAsia="Times New Roman"/>
        </w:rPr>
        <w:t xml:space="preserve"> and management. Med J Aust 1986;145(11-12):584-590. </w:t>
      </w:r>
    </w:p>
    <w:p w14:paraId="24C9E97B"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Sims JK. A theoretical discourse on the pharmacology of toxic marine ingestions. Ann </w:t>
      </w:r>
      <w:proofErr w:type="spellStart"/>
      <w:r>
        <w:rPr>
          <w:rFonts w:eastAsia="Times New Roman"/>
        </w:rPr>
        <w:t>Emerg</w:t>
      </w:r>
      <w:proofErr w:type="spellEnd"/>
      <w:r>
        <w:rPr>
          <w:rFonts w:eastAsia="Times New Roman"/>
        </w:rPr>
        <w:t xml:space="preserve"> Med 1987;16(9):1006–1015. </w:t>
      </w:r>
    </w:p>
    <w:p w14:paraId="710EE042"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Friedman MA, Fleming LE, Fernandez M, </w:t>
      </w:r>
      <w:proofErr w:type="spellStart"/>
      <w:r>
        <w:rPr>
          <w:rFonts w:eastAsia="Times New Roman"/>
        </w:rPr>
        <w:t>Bienfang</w:t>
      </w:r>
      <w:proofErr w:type="spellEnd"/>
      <w:r>
        <w:rPr>
          <w:rFonts w:eastAsia="Times New Roman"/>
        </w:rPr>
        <w:t xml:space="preserve"> P, </w:t>
      </w:r>
      <w:proofErr w:type="spellStart"/>
      <w:r>
        <w:rPr>
          <w:rFonts w:eastAsia="Times New Roman"/>
        </w:rPr>
        <w:t>Schrank</w:t>
      </w:r>
      <w:proofErr w:type="spellEnd"/>
      <w:r>
        <w:rPr>
          <w:rFonts w:eastAsia="Times New Roman"/>
        </w:rPr>
        <w:t xml:space="preserve"> K, Dickey R, et al. Ciguatera fish poisoning: treatment, </w:t>
      </w:r>
      <w:proofErr w:type="gramStart"/>
      <w:r>
        <w:rPr>
          <w:rFonts w:eastAsia="Times New Roman"/>
        </w:rPr>
        <w:t>prevention</w:t>
      </w:r>
      <w:proofErr w:type="gramEnd"/>
      <w:r>
        <w:rPr>
          <w:rFonts w:eastAsia="Times New Roman"/>
        </w:rPr>
        <w:t xml:space="preserve"> and management. Marine Drugs 2008;6(3):456–479. </w:t>
      </w:r>
    </w:p>
    <w:p w14:paraId="62BE363E" w14:textId="77777777" w:rsidR="008B1022" w:rsidRDefault="008B1022" w:rsidP="008B1022">
      <w:pPr>
        <w:numPr>
          <w:ilvl w:val="0"/>
          <w:numId w:val="9"/>
        </w:numPr>
        <w:spacing w:before="100" w:beforeAutospacing="1" w:after="100" w:afterAutospacing="1" w:line="240" w:lineRule="auto"/>
        <w:rPr>
          <w:rFonts w:eastAsia="Times New Roman"/>
        </w:rPr>
      </w:pPr>
      <w:proofErr w:type="spellStart"/>
      <w:r>
        <w:rPr>
          <w:rFonts w:eastAsia="Times New Roman"/>
        </w:rPr>
        <w:t>Lehane</w:t>
      </w:r>
      <w:proofErr w:type="spellEnd"/>
      <w:r>
        <w:rPr>
          <w:rFonts w:eastAsia="Times New Roman"/>
        </w:rPr>
        <w:t xml:space="preserve"> L, Lewis RJ. Ciguatera: recent advances but the risk remains. Int J Food Microbiol 2000;61(2):91–125. </w:t>
      </w:r>
    </w:p>
    <w:p w14:paraId="3633C283"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Lindsay JA. Chronic sequelae of foodborne disease. </w:t>
      </w:r>
      <w:proofErr w:type="spellStart"/>
      <w:r>
        <w:rPr>
          <w:rFonts w:eastAsia="Times New Roman"/>
        </w:rPr>
        <w:t>Emerg</w:t>
      </w:r>
      <w:proofErr w:type="spellEnd"/>
      <w:r>
        <w:rPr>
          <w:rFonts w:eastAsia="Times New Roman"/>
        </w:rPr>
        <w:t xml:space="preserve"> Infect Dis 1997;3(4):443. </w:t>
      </w:r>
    </w:p>
    <w:p w14:paraId="7AB9FB32"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Friedman MA, Fernandez M, Backer, LC, Dickey RW, Bernstein J, </w:t>
      </w:r>
      <w:proofErr w:type="spellStart"/>
      <w:r>
        <w:rPr>
          <w:rFonts w:eastAsia="Times New Roman"/>
        </w:rPr>
        <w:t>Schrank</w:t>
      </w:r>
      <w:proofErr w:type="spellEnd"/>
      <w:r>
        <w:rPr>
          <w:rFonts w:eastAsia="Times New Roman"/>
        </w:rPr>
        <w:t xml:space="preserve"> K, et al. An Updated Review of Ciguatera Fish Poisoning: Clinical, Epidemiological, Environmental, and Public Health Management. Marine Drugs 2017;15(72): doi:10.3390/md15030072. </w:t>
      </w:r>
    </w:p>
    <w:p w14:paraId="4BE6A4AD"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Capra M. Ciguatera Poisoning. Fisheries Research and Development Corporation; Canberra, Australia: 1995. p. 136 </w:t>
      </w:r>
    </w:p>
    <w:p w14:paraId="6A484FE5"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Cameron J., Capra M. Neurological studies on the effect of ciguatoxin on mammalian nerve. In: Miller D., editor. Ciguatera Seafood Toxins. CRC Press; Boca Raton, FL, USA: 1991. pp. 21–32. </w:t>
      </w:r>
    </w:p>
    <w:p w14:paraId="732DF63B" w14:textId="77777777" w:rsidR="008B1022" w:rsidRDefault="008B1022" w:rsidP="008B1022">
      <w:pPr>
        <w:numPr>
          <w:ilvl w:val="0"/>
          <w:numId w:val="9"/>
        </w:numPr>
        <w:spacing w:before="100" w:beforeAutospacing="1" w:after="100" w:afterAutospacing="1" w:line="240" w:lineRule="auto"/>
        <w:rPr>
          <w:rFonts w:eastAsia="Times New Roman"/>
        </w:rPr>
      </w:pPr>
      <w:proofErr w:type="spellStart"/>
      <w:r>
        <w:rPr>
          <w:rFonts w:eastAsia="Times New Roman"/>
        </w:rPr>
        <w:t>Kraa</w:t>
      </w:r>
      <w:proofErr w:type="spellEnd"/>
      <w:r>
        <w:rPr>
          <w:rFonts w:eastAsia="Times New Roman"/>
        </w:rPr>
        <w:t xml:space="preserve"> E., Campbell B. Ciguatera outbreak, NSW, 1994. NSW Public Health Bull. 1994;5:69. </w:t>
      </w:r>
    </w:p>
    <w:p w14:paraId="454C20CE" w14:textId="77777777" w:rsidR="008B1022" w:rsidRDefault="008B1022" w:rsidP="008B1022">
      <w:pPr>
        <w:numPr>
          <w:ilvl w:val="0"/>
          <w:numId w:val="9"/>
        </w:numPr>
        <w:spacing w:before="100" w:beforeAutospacing="1" w:after="100" w:afterAutospacing="1" w:line="240" w:lineRule="auto"/>
        <w:rPr>
          <w:rFonts w:eastAsia="Times New Roman"/>
        </w:rPr>
      </w:pPr>
      <w:proofErr w:type="spellStart"/>
      <w:r>
        <w:rPr>
          <w:rFonts w:eastAsia="Times New Roman"/>
        </w:rPr>
        <w:t>Karalis</w:t>
      </w:r>
      <w:proofErr w:type="spellEnd"/>
      <w:r>
        <w:rPr>
          <w:rFonts w:eastAsia="Times New Roman"/>
        </w:rPr>
        <w:t xml:space="preserve"> T., Gupta L., Chu M., Campbell B.A., Capra M.F., Maywood P.A. Three clusters of ciguatera poisoning: Clinical manifestations and public health implications. Med J Aus. 2000;172:160–162. </w:t>
      </w:r>
    </w:p>
    <w:p w14:paraId="149363EB"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Tobin A., </w:t>
      </w:r>
      <w:proofErr w:type="spellStart"/>
      <w:r>
        <w:rPr>
          <w:rFonts w:eastAsia="Times New Roman"/>
        </w:rPr>
        <w:t>Mapleston</w:t>
      </w:r>
      <w:proofErr w:type="spellEnd"/>
      <w:r>
        <w:rPr>
          <w:rFonts w:eastAsia="Times New Roman"/>
        </w:rPr>
        <w:t xml:space="preserve"> A. Exploitation </w:t>
      </w:r>
      <w:proofErr w:type="gramStart"/>
      <w:r>
        <w:rPr>
          <w:rFonts w:eastAsia="Times New Roman"/>
        </w:rPr>
        <w:t>Dynamics</w:t>
      </w:r>
      <w:proofErr w:type="gramEnd"/>
      <w:r>
        <w:rPr>
          <w:rFonts w:eastAsia="Times New Roman"/>
        </w:rPr>
        <w:t xml:space="preserve"> and Biological Characteristics of the Queensland East Coast Spanish Mackerel (</w:t>
      </w:r>
      <w:r w:rsidRPr="00FA7D97">
        <w:rPr>
          <w:rStyle w:val="Emphasis"/>
          <w:rFonts w:eastAsia="Times New Roman"/>
          <w:b w:val="0"/>
        </w:rPr>
        <w:t xml:space="preserve">Scomberomorus </w:t>
      </w:r>
      <w:proofErr w:type="spellStart"/>
      <w:r w:rsidRPr="00FA7D97">
        <w:rPr>
          <w:rStyle w:val="Emphasis"/>
          <w:rFonts w:eastAsia="Times New Roman"/>
          <w:b w:val="0"/>
        </w:rPr>
        <w:t>commerson</w:t>
      </w:r>
      <w:proofErr w:type="spellEnd"/>
      <w:r>
        <w:rPr>
          <w:rFonts w:eastAsia="Times New Roman"/>
        </w:rPr>
        <w:t xml:space="preserve">) Fishery. CRC Reef Research Centre; Townsville, Australia: 2004. p. 69. </w:t>
      </w:r>
    </w:p>
    <w:p w14:paraId="756CE31E"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lastRenderedPageBreak/>
        <w:t xml:space="preserve">Farrell H, Zammit A, Harwood DT, McNabb P, Shadbolt C, Manning J, </w:t>
      </w:r>
      <w:proofErr w:type="spellStart"/>
      <w:r>
        <w:rPr>
          <w:rFonts w:eastAsia="Times New Roman"/>
        </w:rPr>
        <w:t>Turahui</w:t>
      </w:r>
      <w:proofErr w:type="spellEnd"/>
      <w:r>
        <w:rPr>
          <w:rFonts w:eastAsia="Times New Roman"/>
        </w:rPr>
        <w:t xml:space="preserve"> JA, van den Berg DJ, Szabo L. Clinical </w:t>
      </w:r>
      <w:proofErr w:type="gramStart"/>
      <w:r>
        <w:rPr>
          <w:rFonts w:eastAsia="Times New Roman"/>
        </w:rPr>
        <w:t>diagnosis</w:t>
      </w:r>
      <w:proofErr w:type="gramEnd"/>
      <w:r>
        <w:rPr>
          <w:rFonts w:eastAsia="Times New Roman"/>
        </w:rPr>
        <w:t xml:space="preserve"> and chemical confirmation of ciguatera fish poisoning in New South Wales, Australia. Commun Dis Intel 2016;40(1):E1-6. </w:t>
      </w:r>
    </w:p>
    <w:p w14:paraId="6D51F14E"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Farrell H, Zammit A, Harwood DT, Murray S. Is ciguatera moving south in Australia? Harmful Algal News 2016;54:5-6. </w:t>
      </w:r>
    </w:p>
    <w:p w14:paraId="7BA31D77"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Hussain MA, Saputra T, Szabo EA, </w:t>
      </w:r>
      <w:proofErr w:type="spellStart"/>
      <w:r>
        <w:rPr>
          <w:rFonts w:eastAsia="Times New Roman"/>
        </w:rPr>
        <w:t>Nelan</w:t>
      </w:r>
      <w:proofErr w:type="spellEnd"/>
      <w:r>
        <w:rPr>
          <w:rFonts w:eastAsia="Times New Roman"/>
        </w:rPr>
        <w:t xml:space="preserve"> B. An Overview of Seafood Supply, Food Safety and Regulation in New South Wales, Australia. Foods 2017;6(52). </w:t>
      </w:r>
    </w:p>
    <w:p w14:paraId="3BAE603B"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Sydney Fish Market Pty Ltd. Schedule of ciguatera high risk areas and species size limits. 2005. Available from: http://www.sydneyfishmarket.com.au/Portals/0/Ciguatera_Schedule.pdf </w:t>
      </w:r>
    </w:p>
    <w:p w14:paraId="2BAE96F8"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Sydney Fish Market Pty Ltd. Seafood Handling Guidelines. 2013 Available from: http://www.sydneyfishmarket.com.au/Portals/0/PDF/seafoodhandlingguidelines.pdf </w:t>
      </w:r>
    </w:p>
    <w:p w14:paraId="63E27245"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Sydney Fish Market Pty Ltd. Ciguatera. 2017. Available from: http://www.sydneyfishmarket.com.au/seafood-school/seafood-info/health-safety-faqs/faq-details?cat=14&amp;id=112</w:t>
      </w:r>
    </w:p>
    <w:p w14:paraId="0146BA88"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Sydney Fish Market Pty Ltd. Seafood Handling Guidelines. Available from: https://www.sydneyfishmarket.com.au/Portals/0/PDF/02%2010%2015%20Seafood%20Handling%20Guidelines.pdf?ver=2016-01-25-134033-917</w:t>
      </w:r>
    </w:p>
    <w:p w14:paraId="116E9161"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NSW Food Authority. Food Safety Program for Seafood Processing. Available from: http://www.foodauthority.nsw.gov.au/industry/seafood/seafood-processing-businesses</w:t>
      </w:r>
    </w:p>
    <w:p w14:paraId="59CC02E4"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NSW Health. Health Protection Report. 2016. Available from: http://www.health.nsw.gov.au/hpr/Pages/default.aspx </w:t>
      </w:r>
    </w:p>
    <w:p w14:paraId="0297C334"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NSW Food Authority. Food Complaints. 2017. Available from: http://www.foodauthority.nsw.gov.au/gp/complaints-about-food </w:t>
      </w:r>
    </w:p>
    <w:p w14:paraId="13285FEF" w14:textId="77777777" w:rsidR="008B1022" w:rsidRDefault="008B1022" w:rsidP="008B1022">
      <w:pPr>
        <w:numPr>
          <w:ilvl w:val="0"/>
          <w:numId w:val="9"/>
        </w:numPr>
        <w:spacing w:before="100" w:beforeAutospacing="1" w:after="100" w:afterAutospacing="1" w:line="240" w:lineRule="auto"/>
        <w:rPr>
          <w:rFonts w:eastAsia="Times New Roman"/>
        </w:rPr>
      </w:pPr>
      <w:proofErr w:type="spellStart"/>
      <w:r>
        <w:rPr>
          <w:rFonts w:eastAsia="Times New Roman"/>
        </w:rPr>
        <w:t>OzFoodNet</w:t>
      </w:r>
      <w:proofErr w:type="spellEnd"/>
      <w:r>
        <w:rPr>
          <w:rFonts w:eastAsia="Times New Roman"/>
        </w:rPr>
        <w:t xml:space="preserve">. </w:t>
      </w:r>
      <w:proofErr w:type="spellStart"/>
      <w:r>
        <w:rPr>
          <w:rFonts w:eastAsia="Times New Roman"/>
        </w:rPr>
        <w:t>OzFoodNet</w:t>
      </w:r>
      <w:proofErr w:type="spellEnd"/>
      <w:r>
        <w:rPr>
          <w:rFonts w:eastAsia="Times New Roman"/>
        </w:rPr>
        <w:t xml:space="preserve"> - Enhancing surveillance for foodborne disease in Australia. 2017. Available from: http://health.gov.au/internet/main/publishing.nsf/Content/cdna-ozfoodnet.htm</w:t>
      </w:r>
    </w:p>
    <w:p w14:paraId="0EF51697"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Harwood et al. in prep. Toxicon. </w:t>
      </w:r>
    </w:p>
    <w:p w14:paraId="6B706343"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 xml:space="preserve">Farrell H, Murray SA, Zammit A, Edwards AW. Management of Ciguatoxin Risk in Eastern Australia. </w:t>
      </w:r>
      <w:proofErr w:type="spellStart"/>
      <w:r>
        <w:rPr>
          <w:rFonts w:eastAsia="Times New Roman"/>
        </w:rPr>
        <w:t>Vilariño</w:t>
      </w:r>
      <w:proofErr w:type="spellEnd"/>
      <w:r>
        <w:rPr>
          <w:rFonts w:eastAsia="Times New Roman"/>
        </w:rPr>
        <w:t xml:space="preserve"> N, ed. Toxins. 2017;9(11):367. doi:10.3390/toxins9110367. </w:t>
      </w:r>
    </w:p>
    <w:p w14:paraId="519CFB53"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NSW Health. Foodborne-illness outbreak control guideline. 2013 Available from: http://www.health.nsw.gov.au/Infectious/controlguideline/Pages/foodborne-illness.aspx</w:t>
      </w:r>
    </w:p>
    <w:p w14:paraId="0E626DE8" w14:textId="77777777" w:rsidR="008B1022" w:rsidRDefault="008B1022" w:rsidP="008B1022">
      <w:pPr>
        <w:numPr>
          <w:ilvl w:val="0"/>
          <w:numId w:val="9"/>
        </w:numPr>
        <w:spacing w:before="100" w:beforeAutospacing="1" w:after="100" w:afterAutospacing="1" w:line="240" w:lineRule="auto"/>
        <w:rPr>
          <w:rFonts w:eastAsia="Times New Roman"/>
        </w:rPr>
      </w:pPr>
      <w:r>
        <w:rPr>
          <w:rFonts w:eastAsia="Times New Roman"/>
        </w:rPr>
        <w:t>NSW Health. Seafood poisoning factsheet. 2014. Available from: http://www.health.nsw.gov.au/Infectious/factsheets/Pages/seafood_poisoning.aspx</w:t>
      </w:r>
    </w:p>
    <w:p w14:paraId="711F0D15" w14:textId="77777777" w:rsidR="001E5242" w:rsidRDefault="001E5242" w:rsidP="001B37B8">
      <w:pPr>
        <w:rPr>
          <w:rFonts w:cs="Myriad Pro"/>
          <w:color w:val="211D1E"/>
          <w:sz w:val="20"/>
          <w:szCs w:val="20"/>
        </w:rPr>
        <w:sectPr w:rsidR="001E5242" w:rsidSect="00656427">
          <w:headerReference w:type="even" r:id="rId13"/>
          <w:headerReference w:type="default" r:id="rId14"/>
          <w:footerReference w:type="even" r:id="rId15"/>
          <w:footerReference w:type="default" r:id="rId16"/>
          <w:headerReference w:type="first" r:id="rId17"/>
          <w:footerReference w:type="first" r:id="rId18"/>
          <w:pgSz w:w="11906" w:h="16838"/>
          <w:pgMar w:top="720" w:right="720" w:bottom="1134" w:left="720" w:header="709" w:footer="284" w:gutter="0"/>
          <w:pgNumType w:start="1"/>
          <w:cols w:space="708"/>
          <w:titlePg/>
          <w:docGrid w:linePitch="360"/>
        </w:sectPr>
      </w:pPr>
    </w:p>
    <w:p w14:paraId="4F45DA7C" w14:textId="77777777" w:rsidR="001E5242" w:rsidRPr="000606CC" w:rsidRDefault="001E5242" w:rsidP="001E5242">
      <w:pPr>
        <w:pStyle w:val="NoSpacing"/>
        <w:rPr>
          <w:rFonts w:cstheme="minorHAnsi"/>
          <w:sz w:val="18"/>
          <w:szCs w:val="18"/>
        </w:rPr>
      </w:pPr>
      <w:r w:rsidRPr="000606CC">
        <w:rPr>
          <w:rStyle w:val="Strong"/>
          <w:bCs w:val="0"/>
          <w:sz w:val="20"/>
        </w:rPr>
        <w:lastRenderedPageBreak/>
        <w:t>Communicable Diseases Intelligence</w:t>
      </w:r>
    </w:p>
    <w:p w14:paraId="45DBAAA0" w14:textId="77777777" w:rsidR="001E5242" w:rsidRPr="000606CC" w:rsidRDefault="001E5242" w:rsidP="001E5242">
      <w:pPr>
        <w:pStyle w:val="NoSpacing"/>
        <w:rPr>
          <w:rFonts w:cstheme="minorHAnsi"/>
          <w:sz w:val="20"/>
          <w:szCs w:val="18"/>
        </w:rPr>
      </w:pPr>
      <w:r w:rsidRPr="000606CC">
        <w:rPr>
          <w:rFonts w:cstheme="minorHAnsi"/>
          <w:sz w:val="20"/>
          <w:szCs w:val="18"/>
        </w:rPr>
        <w:t>ISSN: 2209-6051 Online</w:t>
      </w:r>
    </w:p>
    <w:p w14:paraId="172DA554" w14:textId="77777777" w:rsidR="001E5242" w:rsidRPr="000606CC" w:rsidRDefault="001E5242" w:rsidP="001E5242">
      <w:pPr>
        <w:pStyle w:val="NoSpacing"/>
        <w:rPr>
          <w:rStyle w:val="URI"/>
          <w:rFonts w:cstheme="minorHAnsi"/>
          <w:sz w:val="20"/>
          <w:szCs w:val="18"/>
        </w:rPr>
      </w:pPr>
    </w:p>
    <w:p w14:paraId="4D2C3BE4" w14:textId="77777777" w:rsidR="001E5242" w:rsidRPr="000606CC" w:rsidRDefault="001E5242" w:rsidP="001E52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35027265" w14:textId="77777777" w:rsidR="001E5242" w:rsidRPr="000606CC" w:rsidRDefault="001E5242" w:rsidP="001E5242">
      <w:pPr>
        <w:pStyle w:val="NoSpacing"/>
        <w:rPr>
          <w:rStyle w:val="Strong"/>
          <w:rFonts w:cstheme="minorHAnsi"/>
          <w:sz w:val="20"/>
          <w:szCs w:val="18"/>
        </w:rPr>
      </w:pPr>
    </w:p>
    <w:p w14:paraId="39EB5AFE" w14:textId="77777777" w:rsidR="001E5242" w:rsidRPr="000606CC" w:rsidRDefault="001E5242" w:rsidP="001E52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150E94FF" w14:textId="77777777" w:rsidR="001E5242" w:rsidRPr="000606CC" w:rsidRDefault="001E5242" w:rsidP="001E5242">
      <w:pPr>
        <w:pStyle w:val="NoSpacing"/>
        <w:rPr>
          <w:rFonts w:cstheme="minorHAnsi"/>
          <w:sz w:val="20"/>
          <w:szCs w:val="18"/>
        </w:rPr>
      </w:pPr>
      <w:r w:rsidRPr="000606CC">
        <w:rPr>
          <w:rStyle w:val="Strong"/>
          <w:rFonts w:cstheme="minorHAnsi"/>
          <w:sz w:val="20"/>
          <w:szCs w:val="18"/>
        </w:rPr>
        <w:t xml:space="preserve">Deputy Editor: </w:t>
      </w:r>
      <w:r w:rsidRPr="000606CC">
        <w:rPr>
          <w:rFonts w:cstheme="minorHAnsi"/>
          <w:sz w:val="20"/>
          <w:szCs w:val="18"/>
        </w:rPr>
        <w:t>Phil Wright</w:t>
      </w:r>
    </w:p>
    <w:p w14:paraId="6B76C27E" w14:textId="77777777" w:rsidR="001E5242" w:rsidRPr="000606CC" w:rsidRDefault="001E5242" w:rsidP="001E5242">
      <w:pPr>
        <w:pStyle w:val="NoSpacing"/>
        <w:rPr>
          <w:rFonts w:cstheme="minorHAnsi"/>
          <w:sz w:val="20"/>
          <w:szCs w:val="18"/>
        </w:rPr>
      </w:pPr>
      <w:r w:rsidRPr="000606CC">
        <w:rPr>
          <w:rStyle w:val="Strong"/>
          <w:rFonts w:cstheme="minorHAnsi"/>
          <w:sz w:val="20"/>
          <w:szCs w:val="18"/>
        </w:rPr>
        <w:t xml:space="preserve">Editorial and Production Staff: </w:t>
      </w:r>
      <w:r w:rsidRPr="000606CC">
        <w:rPr>
          <w:rFonts w:cstheme="minorHAnsi"/>
          <w:sz w:val="20"/>
          <w:szCs w:val="18"/>
        </w:rPr>
        <w:t>Leroy Trapani and Kasra Yousefi</w:t>
      </w:r>
    </w:p>
    <w:p w14:paraId="46103D08" w14:textId="77777777" w:rsidR="001E5242" w:rsidRPr="000606CC" w:rsidRDefault="001E5242" w:rsidP="001E52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Pr="000606CC">
        <w:rPr>
          <w:rFonts w:cstheme="minorHAnsi"/>
          <w:sz w:val="20"/>
          <w:szCs w:val="18"/>
        </w:rPr>
        <w:t xml:space="preserve">, John Kaldor and </w:t>
      </w:r>
      <w:r w:rsidRPr="000606CC">
        <w:rPr>
          <w:rStyle w:val="nobreak"/>
          <w:rFonts w:cstheme="minorHAnsi"/>
          <w:sz w:val="20"/>
          <w:szCs w:val="18"/>
        </w:rPr>
        <w:t>Martyn Kirk</w:t>
      </w:r>
    </w:p>
    <w:p w14:paraId="78022D0D" w14:textId="77777777" w:rsidR="001E5242" w:rsidRPr="000606CC" w:rsidRDefault="001E5242" w:rsidP="001E5242">
      <w:pPr>
        <w:pStyle w:val="NoSpacing"/>
        <w:rPr>
          <w:rStyle w:val="Strong"/>
          <w:rFonts w:cstheme="minorHAnsi"/>
          <w:sz w:val="20"/>
          <w:szCs w:val="18"/>
        </w:rPr>
      </w:pPr>
    </w:p>
    <w:p w14:paraId="06874110" w14:textId="38AB0AD5" w:rsidR="001E5242" w:rsidRPr="000606CC" w:rsidRDefault="001E5242" w:rsidP="001E52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9"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DD7C7AD" w14:textId="77777777" w:rsidR="001E5242" w:rsidRPr="000606CC" w:rsidRDefault="001E5242" w:rsidP="001E5242">
      <w:pPr>
        <w:pStyle w:val="NoSpacing"/>
        <w:rPr>
          <w:rStyle w:val="Strong"/>
          <w:rFonts w:cstheme="minorHAnsi"/>
          <w:sz w:val="20"/>
          <w:szCs w:val="18"/>
        </w:rPr>
      </w:pPr>
    </w:p>
    <w:p w14:paraId="2A13E88D" w14:textId="77777777" w:rsidR="001E5242" w:rsidRPr="000606CC" w:rsidRDefault="001E5242" w:rsidP="001E52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8CD459C" w14:textId="77777777" w:rsidR="001E5242" w:rsidRPr="000606CC" w:rsidRDefault="001E5242" w:rsidP="001E5242">
      <w:pPr>
        <w:pStyle w:val="NoSpacing"/>
        <w:rPr>
          <w:rStyle w:val="Strong"/>
          <w:rFonts w:cstheme="minorHAnsi"/>
          <w:sz w:val="20"/>
          <w:szCs w:val="18"/>
        </w:rPr>
      </w:pPr>
    </w:p>
    <w:p w14:paraId="55F44A16" w14:textId="5FF8DCB1" w:rsidR="001E5242" w:rsidRPr="000606CC" w:rsidRDefault="001E5242" w:rsidP="001E5242">
      <w:pPr>
        <w:pStyle w:val="NoSpacing"/>
        <w:rPr>
          <w:rStyle w:val="URI"/>
          <w:rFonts w:cstheme="minorHAnsi"/>
          <w:sz w:val="20"/>
          <w:szCs w:val="18"/>
        </w:rPr>
      </w:pPr>
      <w:r w:rsidRPr="000606CC">
        <w:rPr>
          <w:rStyle w:val="Strong"/>
          <w:rFonts w:cstheme="minorHAnsi"/>
          <w:sz w:val="20"/>
          <w:szCs w:val="18"/>
        </w:rPr>
        <w:t xml:space="preserve">Email: </w:t>
      </w:r>
      <w:hyperlink r:id="rId20"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7CB14B9" w14:textId="77777777" w:rsidR="001E5242" w:rsidRPr="000606CC" w:rsidRDefault="001E5242" w:rsidP="001E5242">
      <w:pPr>
        <w:pStyle w:val="NoSpacing"/>
        <w:rPr>
          <w:rStyle w:val="Strong"/>
          <w:rFonts w:cstheme="minorHAnsi"/>
          <w:sz w:val="20"/>
          <w:szCs w:val="18"/>
        </w:rPr>
      </w:pPr>
    </w:p>
    <w:p w14:paraId="64E6B1CE" w14:textId="1B211198" w:rsidR="001E5242" w:rsidRPr="000606CC" w:rsidRDefault="001E5242" w:rsidP="001E52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1"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140194F" w14:textId="4C21E327" w:rsidR="001E5242" w:rsidRPr="000606CC" w:rsidRDefault="001E5242" w:rsidP="001E5242">
      <w:pPr>
        <w:pStyle w:val="NoSpacing"/>
        <w:rPr>
          <w:rFonts w:cstheme="minorHAnsi"/>
          <w:sz w:val="20"/>
          <w:szCs w:val="18"/>
        </w:rPr>
      </w:pPr>
      <w:r w:rsidRPr="000606CC">
        <w:rPr>
          <w:rFonts w:cstheme="minorHAnsi"/>
          <w:sz w:val="20"/>
          <w:szCs w:val="18"/>
        </w:rPr>
        <w:t xml:space="preserve">Further enquiries should be directed to: </w:t>
      </w:r>
      <w:hyperlink r:id="rId22" w:history="1">
        <w:r w:rsidRPr="000606CC">
          <w:rPr>
            <w:rStyle w:val="Hyperlink"/>
            <w:rFonts w:cstheme="minorHAnsi"/>
            <w:sz w:val="20"/>
            <w:szCs w:val="18"/>
          </w:rPr>
          <w:t>cdi.editor@health.gov.au</w:t>
        </w:r>
      </w:hyperlink>
      <w:r w:rsidRPr="000606CC">
        <w:rPr>
          <w:rFonts w:cstheme="minorHAnsi"/>
          <w:sz w:val="20"/>
          <w:szCs w:val="18"/>
        </w:rPr>
        <w:t>.</w:t>
      </w:r>
    </w:p>
    <w:p w14:paraId="1317ADA4" w14:textId="77777777" w:rsidR="001E5242" w:rsidRPr="000606CC" w:rsidRDefault="001E5242" w:rsidP="001E5242">
      <w:pPr>
        <w:pStyle w:val="NoSpacing"/>
        <w:pBdr>
          <w:bottom w:val="single" w:sz="6" w:space="1" w:color="auto"/>
        </w:pBdr>
        <w:rPr>
          <w:rStyle w:val="Strong"/>
          <w:rFonts w:cstheme="minorHAnsi"/>
          <w:sz w:val="12"/>
          <w:szCs w:val="18"/>
        </w:rPr>
      </w:pPr>
    </w:p>
    <w:p w14:paraId="0E6D1A10" w14:textId="77777777" w:rsidR="001E5242" w:rsidRPr="000606CC" w:rsidRDefault="001E5242" w:rsidP="001E5242">
      <w:pPr>
        <w:pStyle w:val="NoSpacing"/>
        <w:rPr>
          <w:rFonts w:cstheme="minorHAnsi"/>
          <w:sz w:val="20"/>
          <w:szCs w:val="18"/>
        </w:rPr>
      </w:pPr>
    </w:p>
    <w:p w14:paraId="0A8DA09C" w14:textId="77777777" w:rsidR="001E5242" w:rsidRPr="000606CC" w:rsidRDefault="001E5242" w:rsidP="001E52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65732C2" w14:textId="77777777" w:rsidR="001E5242" w:rsidRPr="000606CC" w:rsidRDefault="001E5242" w:rsidP="001E5242">
      <w:pPr>
        <w:pStyle w:val="NoSpacing"/>
        <w:rPr>
          <w:rFonts w:cstheme="minorHAnsi"/>
          <w:sz w:val="20"/>
          <w:szCs w:val="18"/>
        </w:rPr>
      </w:pPr>
    </w:p>
    <w:p w14:paraId="0A4339DF" w14:textId="77777777" w:rsidR="001E5242" w:rsidRPr="000606CC" w:rsidRDefault="001E5242" w:rsidP="001E52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00FE5C5" w14:textId="77777777" w:rsidR="001E5242" w:rsidRPr="000606CC" w:rsidRDefault="001E5242" w:rsidP="001E5242">
      <w:pPr>
        <w:pStyle w:val="NoSpacing"/>
        <w:rPr>
          <w:rFonts w:cstheme="minorHAnsi"/>
          <w:sz w:val="20"/>
          <w:szCs w:val="18"/>
        </w:rPr>
      </w:pPr>
      <w:r w:rsidRPr="000606CC">
        <w:rPr>
          <w:rFonts w:cstheme="minorHAnsi"/>
          <w:sz w:val="20"/>
          <w:szCs w:val="18"/>
        </w:rPr>
        <w:t>© 2019 Commonwealth of Australia as represented by the Department of Health</w:t>
      </w:r>
    </w:p>
    <w:p w14:paraId="0CEE9488" w14:textId="33AF4524" w:rsidR="001E5242" w:rsidRPr="000606CC" w:rsidRDefault="001E5242" w:rsidP="001E52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3"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7C4D057" w14:textId="77777777" w:rsidR="001E5242" w:rsidRPr="000606CC" w:rsidRDefault="001E5242" w:rsidP="001E5242">
      <w:pPr>
        <w:pStyle w:val="NoSpacing"/>
        <w:rPr>
          <w:rFonts w:cstheme="minorHAnsi"/>
          <w:sz w:val="20"/>
          <w:szCs w:val="18"/>
        </w:rPr>
      </w:pPr>
    </w:p>
    <w:p w14:paraId="14797685" w14:textId="77777777" w:rsidR="001E5242" w:rsidRPr="000606CC" w:rsidRDefault="001E5242" w:rsidP="001E52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12C488C9" w14:textId="3B4F2835" w:rsidR="001E5242" w:rsidRPr="000606CC" w:rsidRDefault="001E5242" w:rsidP="001E5242">
      <w:pPr>
        <w:pStyle w:val="NoSpacing"/>
        <w:numPr>
          <w:ilvl w:val="0"/>
          <w:numId w:val="1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4"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8C050E7" w14:textId="77777777" w:rsidR="001E5242" w:rsidRPr="000606CC" w:rsidRDefault="001E5242" w:rsidP="001E5242">
      <w:pPr>
        <w:pStyle w:val="NoSpacing"/>
        <w:numPr>
          <w:ilvl w:val="0"/>
          <w:numId w:val="1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24EC6524" w14:textId="77777777" w:rsidR="001E5242" w:rsidRPr="000606CC" w:rsidRDefault="001E5242" w:rsidP="001E5242">
      <w:pPr>
        <w:pStyle w:val="NoSpacing"/>
        <w:numPr>
          <w:ilvl w:val="0"/>
          <w:numId w:val="1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BF0EAE6" w14:textId="77777777" w:rsidR="001E5242" w:rsidRPr="000606CC" w:rsidRDefault="001E5242" w:rsidP="001E5242">
      <w:pPr>
        <w:pStyle w:val="NoSpacing"/>
        <w:numPr>
          <w:ilvl w:val="0"/>
          <w:numId w:val="16"/>
        </w:numPr>
        <w:rPr>
          <w:rFonts w:cstheme="minorHAnsi"/>
          <w:sz w:val="20"/>
          <w:szCs w:val="18"/>
        </w:rPr>
      </w:pPr>
      <w:r w:rsidRPr="000606CC">
        <w:rPr>
          <w:rFonts w:cstheme="minorHAnsi"/>
          <w:sz w:val="20"/>
          <w:szCs w:val="18"/>
        </w:rPr>
        <w:t>any signatures; and</w:t>
      </w:r>
    </w:p>
    <w:p w14:paraId="047044B6" w14:textId="77777777" w:rsidR="001E5242" w:rsidRPr="000606CC" w:rsidRDefault="001E5242" w:rsidP="001E5242">
      <w:pPr>
        <w:pStyle w:val="NoSpacing"/>
        <w:numPr>
          <w:ilvl w:val="0"/>
          <w:numId w:val="16"/>
        </w:numPr>
        <w:rPr>
          <w:rFonts w:cstheme="minorHAnsi"/>
          <w:sz w:val="20"/>
          <w:szCs w:val="18"/>
        </w:rPr>
      </w:pPr>
      <w:r w:rsidRPr="000606CC">
        <w:rPr>
          <w:rFonts w:cstheme="minorHAnsi"/>
          <w:sz w:val="20"/>
          <w:szCs w:val="18"/>
        </w:rPr>
        <w:t xml:space="preserve">any material belonging to third parties. </w:t>
      </w:r>
    </w:p>
    <w:p w14:paraId="6208B4B6" w14:textId="77777777" w:rsidR="001E5242" w:rsidRPr="000606CC" w:rsidRDefault="001E5242" w:rsidP="001E5242">
      <w:pPr>
        <w:pStyle w:val="NoSpacing"/>
        <w:rPr>
          <w:rStyle w:val="Strong"/>
          <w:rFonts w:cstheme="minorHAnsi"/>
          <w:sz w:val="20"/>
          <w:szCs w:val="18"/>
        </w:rPr>
      </w:pPr>
    </w:p>
    <w:p w14:paraId="0309859C" w14:textId="77777777" w:rsidR="001E5242" w:rsidRPr="000606CC" w:rsidRDefault="001E5242" w:rsidP="001E52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F575CD5" w14:textId="77777777" w:rsidR="001E5242" w:rsidRPr="000606CC" w:rsidRDefault="001E5242" w:rsidP="001E5242">
      <w:pPr>
        <w:pStyle w:val="NoSpacing"/>
        <w:rPr>
          <w:rStyle w:val="Strong"/>
          <w:rFonts w:cstheme="minorHAnsi"/>
          <w:sz w:val="20"/>
          <w:szCs w:val="18"/>
        </w:rPr>
      </w:pPr>
    </w:p>
    <w:p w14:paraId="759122D5" w14:textId="7170A231" w:rsidR="001E5242" w:rsidRPr="000606CC" w:rsidRDefault="001E5242" w:rsidP="001E52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5"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BF232D9" w14:textId="77777777" w:rsidR="001E5242" w:rsidRPr="000606CC" w:rsidRDefault="001E5242" w:rsidP="001E5242">
      <w:pPr>
        <w:pStyle w:val="NoSpacing"/>
        <w:rPr>
          <w:rStyle w:val="URI"/>
          <w:rFonts w:cstheme="minorHAnsi"/>
          <w:sz w:val="20"/>
          <w:szCs w:val="18"/>
        </w:rPr>
      </w:pPr>
    </w:p>
    <w:p w14:paraId="75959734" w14:textId="7972BF47" w:rsidR="001E5242" w:rsidRPr="000606CC" w:rsidRDefault="001E5242" w:rsidP="001E52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6" w:tooltip="Communicable Diseases Network Australia website" w:history="1">
        <w:r w:rsidRPr="000606CC">
          <w:rPr>
            <w:rStyle w:val="Hyperlink"/>
            <w:rFonts w:cstheme="minorHAnsi"/>
            <w:sz w:val="20"/>
            <w:szCs w:val="18"/>
          </w:rPr>
          <w:t>http://www.health.gov.au/cdna</w:t>
        </w:r>
      </w:hyperlink>
    </w:p>
    <w:p w14:paraId="06D6A712" w14:textId="77777777" w:rsidR="001B37B8" w:rsidRPr="00E92237" w:rsidRDefault="001B37B8" w:rsidP="001B37B8">
      <w:pPr>
        <w:rPr>
          <w:rFonts w:cs="Myriad Pro"/>
          <w:color w:val="211D1E"/>
          <w:sz w:val="20"/>
          <w:szCs w:val="20"/>
        </w:rPr>
      </w:pPr>
    </w:p>
    <w:sectPr w:rsidR="001B37B8" w:rsidRPr="00E92237" w:rsidSect="001E5242">
      <w:headerReference w:type="first" r:id="rId27"/>
      <w:pgSz w:w="11906" w:h="16838"/>
      <w:pgMar w:top="720" w:right="720" w:bottom="1134" w:left="720"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E8FA" w14:textId="77777777" w:rsidR="009E67EA" w:rsidRDefault="009E67EA" w:rsidP="00E54DBA">
      <w:r>
        <w:separator/>
      </w:r>
    </w:p>
    <w:p w14:paraId="3D838C72" w14:textId="77777777" w:rsidR="009E67EA" w:rsidRDefault="009E67EA"/>
    <w:p w14:paraId="7AAFD225" w14:textId="77777777" w:rsidR="009E67EA" w:rsidRDefault="009E67EA" w:rsidP="008714B0"/>
  </w:endnote>
  <w:endnote w:type="continuationSeparator" w:id="0">
    <w:p w14:paraId="7EB72DFF" w14:textId="77777777" w:rsidR="009E67EA" w:rsidRDefault="009E67EA" w:rsidP="00E54DBA">
      <w:r>
        <w:continuationSeparator/>
      </w:r>
    </w:p>
    <w:p w14:paraId="546C8E44" w14:textId="77777777" w:rsidR="009E67EA" w:rsidRDefault="009E67EA"/>
    <w:p w14:paraId="639A9FA4" w14:textId="77777777" w:rsidR="009E67EA" w:rsidRDefault="009E67E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F997" w14:textId="77777777" w:rsidR="00F831E8" w:rsidRDefault="00F83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34C0" w14:textId="09BBDE0A"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769EA">
      <w:rPr>
        <w:noProof/>
        <w:sz w:val="18"/>
      </w:rPr>
      <w:t>10</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3769EA">
      <w:rPr>
        <w:noProof/>
        <w:sz w:val="18"/>
      </w:rPr>
      <w:t>11</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F831E8" w:rsidRPr="00F831E8">
      <w:t xml:space="preserve"> </w:t>
    </w:r>
    <w:r w:rsidR="00F831E8" w:rsidRPr="00F831E8">
      <w:rPr>
        <w:sz w:val="18"/>
      </w:rPr>
      <w:t>Commun Dis Intell (2018) 2019;43 https://doi.org/10.33321/cdi.2019.43.</w:t>
    </w:r>
    <w:r w:rsidR="00F831E8">
      <w:rPr>
        <w:sz w:val="18"/>
      </w:rPr>
      <w:t>4</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A3F7" w14:textId="7CB7874E"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E67EA">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9E67EA">
      <w:rPr>
        <w:noProof/>
        <w:sz w:val="18"/>
      </w:rPr>
      <w:t>1</w:t>
    </w:r>
    <w:r w:rsidR="00B132DB">
      <w:rPr>
        <w:noProof/>
        <w:sz w:val="18"/>
      </w:rPr>
      <w:fldChar w:fldCharType="end"/>
    </w:r>
    <w:r>
      <w:rPr>
        <w:noProof/>
        <w:sz w:val="18"/>
      </w:rPr>
      <w:t xml:space="preserve"> </w:t>
    </w:r>
    <w:r>
      <w:rPr>
        <w:noProof/>
        <w:sz w:val="18"/>
      </w:rPr>
      <w:ptab w:relativeTo="margin" w:alignment="center" w:leader="none"/>
    </w:r>
    <w:r w:rsidR="00F831E8" w:rsidRPr="00F831E8">
      <w:rPr>
        <w:sz w:val="18"/>
      </w:rPr>
      <w:t>Commun Dis Intell (2018) 2019;43 https://doi.org/10.33321/cdi.2019.43.</w:t>
    </w:r>
    <w:r w:rsidR="00F831E8">
      <w:rPr>
        <w:sz w:val="18"/>
      </w:rPr>
      <w:t>4</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0E4C" w14:textId="77777777" w:rsidR="009E67EA" w:rsidRDefault="009E67EA" w:rsidP="00E54DBA">
      <w:r>
        <w:separator/>
      </w:r>
    </w:p>
    <w:p w14:paraId="5AC94CDA" w14:textId="77777777" w:rsidR="009E67EA" w:rsidRDefault="009E67EA"/>
    <w:p w14:paraId="77963FD4" w14:textId="77777777" w:rsidR="009E67EA" w:rsidRDefault="009E67EA" w:rsidP="008714B0"/>
  </w:footnote>
  <w:footnote w:type="continuationSeparator" w:id="0">
    <w:p w14:paraId="6EDB2313" w14:textId="77777777" w:rsidR="009E67EA" w:rsidRDefault="009E67EA" w:rsidP="00E54DBA">
      <w:r>
        <w:continuationSeparator/>
      </w:r>
    </w:p>
    <w:p w14:paraId="67DD8BFB" w14:textId="77777777" w:rsidR="009E67EA" w:rsidRDefault="009E67EA"/>
    <w:p w14:paraId="39501498" w14:textId="77777777" w:rsidR="009E67EA" w:rsidRDefault="009E67EA"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6254" w14:textId="77777777" w:rsidR="00F831E8" w:rsidRDefault="00F83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4254" w14:textId="77777777" w:rsidR="00257484" w:rsidRDefault="00F831E8"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C67C6">
          <w:t>Short report</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8E8B" w14:textId="77777777" w:rsidR="00F831E8" w:rsidRDefault="00F831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3E46" w14:textId="77777777" w:rsidR="00637677" w:rsidRDefault="001E5242" w:rsidP="008F3500">
    <w:pPr>
      <w:pStyle w:val="Header"/>
      <w:jc w:val="center"/>
    </w:pPr>
    <w:r w:rsidRPr="00E810C5">
      <w:rPr>
        <w:rFonts w:cs="Myriad Pro"/>
        <w:noProof/>
        <w:color w:val="211D1E"/>
        <w:sz w:val="16"/>
      </w:rPr>
      <w:drawing>
        <wp:inline distT="0" distB="0" distL="0" distR="0" wp14:anchorId="5CF8D8A2" wp14:editId="235342BD">
          <wp:extent cx="1804481" cy="436389"/>
          <wp:effectExtent l="0" t="0" r="5715" b="1905"/>
          <wp:docPr id="2" name="Picture 2"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3D99"/>
    <w:multiLevelType w:val="multilevel"/>
    <w:tmpl w:val="B790B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662F3"/>
    <w:multiLevelType w:val="hybridMultilevel"/>
    <w:tmpl w:val="C0CA8F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565C69"/>
    <w:multiLevelType w:val="multilevel"/>
    <w:tmpl w:val="F844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333CCA"/>
    <w:multiLevelType w:val="hybridMultilevel"/>
    <w:tmpl w:val="C8D4E3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F50010"/>
    <w:multiLevelType w:val="hybridMultilevel"/>
    <w:tmpl w:val="4210D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0079D1"/>
    <w:multiLevelType w:val="hybridMultilevel"/>
    <w:tmpl w:val="7D861B58"/>
    <w:lvl w:ilvl="0" w:tplc="5540F67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6A3827"/>
    <w:multiLevelType w:val="multilevel"/>
    <w:tmpl w:val="020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1B2142"/>
    <w:multiLevelType w:val="hybridMultilevel"/>
    <w:tmpl w:val="4CEC5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96706D"/>
    <w:multiLevelType w:val="multilevel"/>
    <w:tmpl w:val="AD2A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4874B6"/>
    <w:multiLevelType w:val="hybridMultilevel"/>
    <w:tmpl w:val="59D80F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95834030">
    <w:abstractNumId w:val="4"/>
  </w:num>
  <w:num w:numId="2" w16cid:durableId="810564228">
    <w:abstractNumId w:val="10"/>
  </w:num>
  <w:num w:numId="3" w16cid:durableId="521170115">
    <w:abstractNumId w:val="11"/>
  </w:num>
  <w:num w:numId="4" w16cid:durableId="1662272375">
    <w:abstractNumId w:val="3"/>
  </w:num>
  <w:num w:numId="5" w16cid:durableId="575240033">
    <w:abstractNumId w:val="13"/>
  </w:num>
  <w:num w:numId="6" w16cid:durableId="64305585">
    <w:abstractNumId w:val="2"/>
  </w:num>
  <w:num w:numId="7" w16cid:durableId="629289505">
    <w:abstractNumId w:val="0"/>
  </w:num>
  <w:num w:numId="8" w16cid:durableId="912273537">
    <w:abstractNumId w:val="12"/>
  </w:num>
  <w:num w:numId="9" w16cid:durableId="1681200445">
    <w:abstractNumId w:val="8"/>
  </w:num>
  <w:num w:numId="10" w16cid:durableId="2047607072">
    <w:abstractNumId w:val="15"/>
  </w:num>
  <w:num w:numId="11" w16cid:durableId="643046414">
    <w:abstractNumId w:val="9"/>
  </w:num>
  <w:num w:numId="12" w16cid:durableId="576674379">
    <w:abstractNumId w:val="1"/>
  </w:num>
  <w:num w:numId="13" w16cid:durableId="947202841">
    <w:abstractNumId w:val="6"/>
  </w:num>
  <w:num w:numId="14" w16cid:durableId="1400204489">
    <w:abstractNumId w:val="7"/>
  </w:num>
  <w:num w:numId="15" w16cid:durableId="904950491">
    <w:abstractNumId w:val="5"/>
  </w:num>
  <w:num w:numId="16" w16cid:durableId="512377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4D"/>
    <w:rsid w:val="00000B5B"/>
    <w:rsid w:val="00001611"/>
    <w:rsid w:val="00005F04"/>
    <w:rsid w:val="000104A8"/>
    <w:rsid w:val="0001246E"/>
    <w:rsid w:val="000124B1"/>
    <w:rsid w:val="00016FE6"/>
    <w:rsid w:val="00031064"/>
    <w:rsid w:val="00032531"/>
    <w:rsid w:val="000471BF"/>
    <w:rsid w:val="00052600"/>
    <w:rsid w:val="0005643C"/>
    <w:rsid w:val="0006264A"/>
    <w:rsid w:val="00073D77"/>
    <w:rsid w:val="00081655"/>
    <w:rsid w:val="000864E0"/>
    <w:rsid w:val="00094E45"/>
    <w:rsid w:val="000969B3"/>
    <w:rsid w:val="000C28EA"/>
    <w:rsid w:val="000D4B4D"/>
    <w:rsid w:val="00113D58"/>
    <w:rsid w:val="001177F2"/>
    <w:rsid w:val="00123C4D"/>
    <w:rsid w:val="00155582"/>
    <w:rsid w:val="00161590"/>
    <w:rsid w:val="00171CC0"/>
    <w:rsid w:val="00175494"/>
    <w:rsid w:val="00175629"/>
    <w:rsid w:val="001830EC"/>
    <w:rsid w:val="00183534"/>
    <w:rsid w:val="001902D2"/>
    <w:rsid w:val="001A4A96"/>
    <w:rsid w:val="001A5D05"/>
    <w:rsid w:val="001A796C"/>
    <w:rsid w:val="001B2614"/>
    <w:rsid w:val="001B37B8"/>
    <w:rsid w:val="001B552F"/>
    <w:rsid w:val="001C0893"/>
    <w:rsid w:val="001C1303"/>
    <w:rsid w:val="001C70B2"/>
    <w:rsid w:val="001D6888"/>
    <w:rsid w:val="001E5242"/>
    <w:rsid w:val="002276DC"/>
    <w:rsid w:val="00227E00"/>
    <w:rsid w:val="002307CB"/>
    <w:rsid w:val="00231046"/>
    <w:rsid w:val="00242659"/>
    <w:rsid w:val="002428F7"/>
    <w:rsid w:val="0024315F"/>
    <w:rsid w:val="00252C9A"/>
    <w:rsid w:val="00256309"/>
    <w:rsid w:val="00257484"/>
    <w:rsid w:val="00260636"/>
    <w:rsid w:val="00280594"/>
    <w:rsid w:val="00281EE3"/>
    <w:rsid w:val="00284E4A"/>
    <w:rsid w:val="002A3799"/>
    <w:rsid w:val="002A3BCC"/>
    <w:rsid w:val="002A4516"/>
    <w:rsid w:val="002A569F"/>
    <w:rsid w:val="002A7066"/>
    <w:rsid w:val="002B001E"/>
    <w:rsid w:val="002B09B7"/>
    <w:rsid w:val="002C21B0"/>
    <w:rsid w:val="002D2638"/>
    <w:rsid w:val="002D76EA"/>
    <w:rsid w:val="002E03AC"/>
    <w:rsid w:val="002E2FB3"/>
    <w:rsid w:val="002F327B"/>
    <w:rsid w:val="00301626"/>
    <w:rsid w:val="00316CCD"/>
    <w:rsid w:val="00324F7E"/>
    <w:rsid w:val="003323BC"/>
    <w:rsid w:val="00340981"/>
    <w:rsid w:val="00346D42"/>
    <w:rsid w:val="00346E11"/>
    <w:rsid w:val="003601C0"/>
    <w:rsid w:val="003635F5"/>
    <w:rsid w:val="00372A88"/>
    <w:rsid w:val="003769EA"/>
    <w:rsid w:val="0038124C"/>
    <w:rsid w:val="00381A0F"/>
    <w:rsid w:val="00385A27"/>
    <w:rsid w:val="003A1B3A"/>
    <w:rsid w:val="003A40F5"/>
    <w:rsid w:val="003B5B8C"/>
    <w:rsid w:val="003E74EE"/>
    <w:rsid w:val="003F0552"/>
    <w:rsid w:val="003F3BC2"/>
    <w:rsid w:val="00401ED1"/>
    <w:rsid w:val="00413EE1"/>
    <w:rsid w:val="004164BB"/>
    <w:rsid w:val="00421ECE"/>
    <w:rsid w:val="004239C4"/>
    <w:rsid w:val="0042435E"/>
    <w:rsid w:val="004315F5"/>
    <w:rsid w:val="004332FC"/>
    <w:rsid w:val="00433456"/>
    <w:rsid w:val="00433DFA"/>
    <w:rsid w:val="00435D67"/>
    <w:rsid w:val="004403AE"/>
    <w:rsid w:val="00464A58"/>
    <w:rsid w:val="00473D2D"/>
    <w:rsid w:val="004A2125"/>
    <w:rsid w:val="004A38F6"/>
    <w:rsid w:val="004B4EB6"/>
    <w:rsid w:val="004C67C6"/>
    <w:rsid w:val="00510EAC"/>
    <w:rsid w:val="00514C1E"/>
    <w:rsid w:val="00526367"/>
    <w:rsid w:val="00542A57"/>
    <w:rsid w:val="00566F8C"/>
    <w:rsid w:val="005732C0"/>
    <w:rsid w:val="0057336D"/>
    <w:rsid w:val="00584A86"/>
    <w:rsid w:val="0058540B"/>
    <w:rsid w:val="00587C87"/>
    <w:rsid w:val="00590B80"/>
    <w:rsid w:val="005A67D5"/>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37677"/>
    <w:rsid w:val="0064142F"/>
    <w:rsid w:val="00643CB4"/>
    <w:rsid w:val="00656427"/>
    <w:rsid w:val="00660255"/>
    <w:rsid w:val="00677BD6"/>
    <w:rsid w:val="00694843"/>
    <w:rsid w:val="00695150"/>
    <w:rsid w:val="006971F3"/>
    <w:rsid w:val="006C74A3"/>
    <w:rsid w:val="006D1381"/>
    <w:rsid w:val="006D31BC"/>
    <w:rsid w:val="006D61F4"/>
    <w:rsid w:val="006E7943"/>
    <w:rsid w:val="006F24EA"/>
    <w:rsid w:val="00702BD7"/>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811708"/>
    <w:rsid w:val="00816B90"/>
    <w:rsid w:val="00817799"/>
    <w:rsid w:val="00822F5F"/>
    <w:rsid w:val="00824FD3"/>
    <w:rsid w:val="00826589"/>
    <w:rsid w:val="00831587"/>
    <w:rsid w:val="00834BCC"/>
    <w:rsid w:val="00850D54"/>
    <w:rsid w:val="00865E25"/>
    <w:rsid w:val="008714B0"/>
    <w:rsid w:val="00876331"/>
    <w:rsid w:val="00880726"/>
    <w:rsid w:val="008A3544"/>
    <w:rsid w:val="008B1022"/>
    <w:rsid w:val="008B48B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45672"/>
    <w:rsid w:val="0096082E"/>
    <w:rsid w:val="00967D73"/>
    <w:rsid w:val="0098119A"/>
    <w:rsid w:val="00984AAF"/>
    <w:rsid w:val="00991B09"/>
    <w:rsid w:val="00993CB2"/>
    <w:rsid w:val="009A5166"/>
    <w:rsid w:val="009A76F8"/>
    <w:rsid w:val="009B2B83"/>
    <w:rsid w:val="009C49F8"/>
    <w:rsid w:val="009D694F"/>
    <w:rsid w:val="009D77CC"/>
    <w:rsid w:val="009E2423"/>
    <w:rsid w:val="009E55D7"/>
    <w:rsid w:val="009E67EA"/>
    <w:rsid w:val="009F4150"/>
    <w:rsid w:val="009F5665"/>
    <w:rsid w:val="009F5DAD"/>
    <w:rsid w:val="00A10458"/>
    <w:rsid w:val="00A273C3"/>
    <w:rsid w:val="00A36C65"/>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46134"/>
    <w:rsid w:val="00B50210"/>
    <w:rsid w:val="00B53955"/>
    <w:rsid w:val="00B6408A"/>
    <w:rsid w:val="00B6646F"/>
    <w:rsid w:val="00B714B8"/>
    <w:rsid w:val="00B82C2C"/>
    <w:rsid w:val="00B8720B"/>
    <w:rsid w:val="00B876EF"/>
    <w:rsid w:val="00BA4697"/>
    <w:rsid w:val="00BB5378"/>
    <w:rsid w:val="00BC0BD3"/>
    <w:rsid w:val="00BD0107"/>
    <w:rsid w:val="00BE0C33"/>
    <w:rsid w:val="00BE262C"/>
    <w:rsid w:val="00BE6C3D"/>
    <w:rsid w:val="00BE7EFC"/>
    <w:rsid w:val="00C07606"/>
    <w:rsid w:val="00C12542"/>
    <w:rsid w:val="00C166CD"/>
    <w:rsid w:val="00C24725"/>
    <w:rsid w:val="00C30BA9"/>
    <w:rsid w:val="00C3541E"/>
    <w:rsid w:val="00C36A8F"/>
    <w:rsid w:val="00C42FFA"/>
    <w:rsid w:val="00C507D8"/>
    <w:rsid w:val="00C62EAC"/>
    <w:rsid w:val="00C63F9F"/>
    <w:rsid w:val="00C7723C"/>
    <w:rsid w:val="00CA1AF4"/>
    <w:rsid w:val="00CA6068"/>
    <w:rsid w:val="00CB15E1"/>
    <w:rsid w:val="00CB3D46"/>
    <w:rsid w:val="00CD1A87"/>
    <w:rsid w:val="00CD35F3"/>
    <w:rsid w:val="00CD5C93"/>
    <w:rsid w:val="00CF320C"/>
    <w:rsid w:val="00CF3A4B"/>
    <w:rsid w:val="00D05837"/>
    <w:rsid w:val="00D12D8A"/>
    <w:rsid w:val="00D13E0C"/>
    <w:rsid w:val="00D25896"/>
    <w:rsid w:val="00D373A1"/>
    <w:rsid w:val="00D37C0F"/>
    <w:rsid w:val="00D45661"/>
    <w:rsid w:val="00D45943"/>
    <w:rsid w:val="00D47D22"/>
    <w:rsid w:val="00D51865"/>
    <w:rsid w:val="00D51D0C"/>
    <w:rsid w:val="00D74140"/>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3FA"/>
    <w:rsid w:val="00E54DBA"/>
    <w:rsid w:val="00E63D7C"/>
    <w:rsid w:val="00E640D5"/>
    <w:rsid w:val="00E673B3"/>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36B6D"/>
    <w:rsid w:val="00F4174A"/>
    <w:rsid w:val="00F43FA3"/>
    <w:rsid w:val="00F70046"/>
    <w:rsid w:val="00F748C2"/>
    <w:rsid w:val="00F76C5C"/>
    <w:rsid w:val="00F81EF3"/>
    <w:rsid w:val="00F831E8"/>
    <w:rsid w:val="00F84496"/>
    <w:rsid w:val="00F85DCB"/>
    <w:rsid w:val="00F86F9C"/>
    <w:rsid w:val="00FA7D97"/>
    <w:rsid w:val="00FC002E"/>
    <w:rsid w:val="00FC2CC4"/>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F587B2"/>
  <w15:docId w15:val="{E9FAC000-B2E6-41D3-87B3-99031668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1E5242"/>
    <w:rPr>
      <w:color w:val="000000"/>
      <w:u w:val="thick"/>
    </w:rPr>
  </w:style>
  <w:style w:type="character" w:customStyle="1" w:styleId="nobreak">
    <w:name w:val="no break"/>
    <w:uiPriority w:val="99"/>
    <w:rsid w:val="001E5242"/>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health.gov.au/cdna" TargetMode="External"/><Relationship Id="rId3" Type="http://schemas.openxmlformats.org/officeDocument/2006/relationships/numbering" Target="numbering.xml"/><Relationship Id="rId21" Type="http://schemas.openxmlformats.org/officeDocument/2006/relationships/hyperlink" Target="http://health.gov.au/cdi" TargetMode="External"/><Relationship Id="rId7" Type="http://schemas.openxmlformats.org/officeDocument/2006/relationships/footnotes" Target="footnotes.xml"/><Relationship Id="rId12" Type="http://schemas.openxmlformats.org/officeDocument/2006/relationships/hyperlink" Target="mailto:hazel.farrell@dpi.nsw.gov.au" TargetMode="External"/><Relationship Id="rId17" Type="http://schemas.openxmlformats.org/officeDocument/2006/relationships/header" Target="header3.xml"/><Relationship Id="rId25" Type="http://schemas.openxmlformats.org/officeDocument/2006/relationships/hyperlink" Target="mailto:copyright@health.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di.editor@health.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thony.zammit@dpi.nsw.gov.au" TargetMode="External"/><Relationship Id="rId24" Type="http://schemas.openxmlformats.org/officeDocument/2006/relationships/hyperlink" Target="http://www.itsanhonour.gov.au/"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creativecommons.org/licenses/by-nc-nd/4.0/legalcode" TargetMode="External"/><Relationship Id="rId28" Type="http://schemas.openxmlformats.org/officeDocument/2006/relationships/fontTable" Target="fontTable.xml"/><Relationship Id="rId10" Type="http://schemas.openxmlformats.org/officeDocument/2006/relationships/hyperlink" Target="mailto:alan.edwards@dpi.nsw.gov.au" TargetMode="External"/><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mailto:cdi.editor@health.gov.au" TargetMode="External"/><Relationship Id="rId27"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78421A-511F-434C-ADE0-BD9E5F76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4127</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Communicable Diseases Intelligence 2018 - Four recent ciguatera fish poisoning incidents in New South Wales, Australia linked to imported fish</vt:lpstr>
    </vt:vector>
  </TitlesOfParts>
  <Company>Australian Government, Department of Health</Company>
  <LinksUpToDate>false</LinksUpToDate>
  <CharactersWithSpaces>28319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Four recent ciguatera fish poisoning incidents in New South Wales, Australia linked to imported fish</dc:title>
  <dc:subject>Article reports on four incidents of ciguatera fish poisoning in New South Wales, Australia between 2015 and 2017. All four incidents were linked to imported fish. The article highlights the commonalities between these incidents and seeks to increase awareness of ciguatera fish poisoning.</dc:subject>
  <dc:creator>Alan Edwards;Anthony Zammit;Hazel Farrell</dc:creator>
  <cp:keywords>; Ciguatera fish poisoning; ciguatoxins; seafood borne illness; New South Wales; Australia; Pacific ciguatoxin 1-B (P-CTX-1B)</cp:keywords>
  <dc:description>© Commonwealth of Australia CC BY-NC-ND</dc:description>
  <cp:lastPrinted>2018-11-16T00:57:00Z</cp:lastPrinted>
  <dcterms:created xsi:type="dcterms:W3CDTF">2024-08-28T04:15:00Z</dcterms:created>
  <dcterms:modified xsi:type="dcterms:W3CDTF">2024-08-28T04:15:00Z</dcterms:modified>
  <cp:category>Short report</cp:category>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ies>
</file>