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36553" w14:textId="77777777" w:rsidR="00B50D8D" w:rsidRPr="00B50D8D" w:rsidRDefault="00B50D8D" w:rsidP="00B50D8D">
      <w:pPr>
        <w:pStyle w:val="CDIfootnotes"/>
      </w:pPr>
      <w:r w:rsidRPr="00B50D8D">
        <w:rPr>
          <w:i/>
          <w:iCs/>
        </w:rPr>
        <w:t>Communicable Diseases Intelligence</w:t>
      </w:r>
      <w:r w:rsidRPr="00B50D8D">
        <w:t xml:space="preserve">, Year </w:t>
      </w:r>
      <w:r w:rsidR="001D2021">
        <w:fldChar w:fldCharType="begin"/>
      </w:r>
      <w:r w:rsidR="001D2021">
        <w:instrText xml:space="preserve"> DOCPROPERTY  Year  \* MERGEFORMAT </w:instrText>
      </w:r>
      <w:r w:rsidR="001D2021">
        <w:fldChar w:fldCharType="separate"/>
      </w:r>
      <w:r w:rsidR="00A05099">
        <w:t>2023</w:t>
      </w:r>
      <w:r w:rsidR="001D2021">
        <w:fldChar w:fldCharType="end"/>
      </w:r>
      <w:r w:rsidRPr="00B50D8D">
        <w:t xml:space="preserve">, Volume </w:t>
      </w:r>
      <w:r w:rsidR="001D2021">
        <w:fldChar w:fldCharType="begin"/>
      </w:r>
      <w:r w:rsidR="001D2021">
        <w:instrText xml:space="preserve"> DOCPROPERTY  Vol  \* MERGEFORMAT </w:instrText>
      </w:r>
      <w:r w:rsidR="001D2021">
        <w:fldChar w:fldCharType="separate"/>
      </w:r>
      <w:r w:rsidR="00A05099">
        <w:t>47</w:t>
      </w:r>
      <w:r w:rsidR="001D2021">
        <w:fldChar w:fldCharType="end"/>
      </w:r>
    </w:p>
    <w:p w14:paraId="5712E436" w14:textId="417FD25F" w:rsidR="00B50D8D" w:rsidRPr="00B50D8D" w:rsidRDefault="001D2021" w:rsidP="00B50D8D">
      <w:pPr>
        <w:pStyle w:val="CDIfootnotes"/>
      </w:pPr>
      <w:r>
        <w:fldChar w:fldCharType="begin"/>
      </w:r>
      <w:r>
        <w:instrText xml:space="preserve"> DOCPROPERTY  DOI  \* MERGEFORMAT </w:instrText>
      </w:r>
      <w:r>
        <w:fldChar w:fldCharType="separate"/>
      </w:r>
      <w:r w:rsidR="00530456">
        <w:t>https://doi.org/10.33321/cdi.2023.47.62</w:t>
      </w:r>
      <w:r>
        <w:fldChar w:fldCharType="end"/>
      </w:r>
    </w:p>
    <w:p w14:paraId="0AC9DB44" w14:textId="71399E46" w:rsidR="00B50D8D" w:rsidRPr="00B50D8D" w:rsidRDefault="00B50D8D" w:rsidP="00B50D8D">
      <w:pPr>
        <w:pStyle w:val="CDIfootnotes"/>
      </w:pPr>
      <w:r w:rsidRPr="00B50D8D">
        <w:t xml:space="preserve">Publication date: </w:t>
      </w:r>
      <w:r w:rsidR="001D2021">
        <w:fldChar w:fldCharType="begin"/>
      </w:r>
      <w:r w:rsidR="001D2021">
        <w:instrText xml:space="preserve"> DOCPROPERTY  ePubDate  \* MERGEFORMAT </w:instrText>
      </w:r>
      <w:r w:rsidR="001D2021">
        <w:fldChar w:fldCharType="separate"/>
      </w:r>
      <w:r w:rsidR="00530456">
        <w:t>19/10/2023</w:t>
      </w:r>
      <w:r w:rsidR="001D2021">
        <w:fldChar w:fldCharType="end"/>
      </w:r>
    </w:p>
    <w:p w14:paraId="7CED658A" w14:textId="3E45ED3E" w:rsidR="00B50D8D" w:rsidRPr="00B50D8D" w:rsidRDefault="001D2021" w:rsidP="00B50D8D">
      <w:pPr>
        <w:pStyle w:val="CDIfootnotes"/>
      </w:pPr>
      <w:hyperlink r:id="rId9" w:history="1">
        <w:r w:rsidR="00B50D8D" w:rsidRPr="00B50D8D">
          <w:rPr>
            <w:rStyle w:val="Hyperlink"/>
          </w:rPr>
          <w:t>http://health.gov.au/cdi</w:t>
        </w:r>
      </w:hyperlink>
      <w:r w:rsidR="00B50D8D" w:rsidRPr="00B50D8D">
        <w:t xml:space="preserve"> </w:t>
      </w:r>
    </w:p>
    <w:p w14:paraId="26D1608E" w14:textId="77777777" w:rsidR="00D27C67" w:rsidRDefault="00D27C67" w:rsidP="00D27C67">
      <w:pPr>
        <w:pStyle w:val="Title"/>
        <w:divId w:val="1848444104"/>
        <w:rPr>
          <w:rFonts w:eastAsia="Times New Roman"/>
          <w:sz w:val="48"/>
          <w:szCs w:val="48"/>
        </w:rPr>
      </w:pPr>
      <w:r>
        <w:rPr>
          <w:rFonts w:eastAsia="Times New Roman"/>
        </w:rPr>
        <w:t xml:space="preserve">Using notifications data to increase hepatitis C testing and treatment rates in </w:t>
      </w:r>
      <w:proofErr w:type="gramStart"/>
      <w:r>
        <w:rPr>
          <w:rFonts w:eastAsia="Times New Roman"/>
        </w:rPr>
        <w:t>Queensland</w:t>
      </w:r>
      <w:proofErr w:type="gramEnd"/>
      <w:r>
        <w:rPr>
          <w:rFonts w:eastAsia="Times New Roman"/>
        </w:rPr>
        <w:t xml:space="preserve"> </w:t>
      </w:r>
    </w:p>
    <w:p w14:paraId="4971FAC2" w14:textId="77777777" w:rsidR="00D27C67" w:rsidRDefault="00D27C67" w:rsidP="00D27C67">
      <w:pPr>
        <w:divId w:val="1848444104"/>
      </w:pPr>
      <w:r>
        <w:t xml:space="preserve">Morris Carpenter, Linda A Selvey, Stephen B Lambert, Robert Kemp </w:t>
      </w:r>
    </w:p>
    <w:p w14:paraId="34ADAFC8" w14:textId="77777777" w:rsidR="00D27C67" w:rsidRPr="00D27C67" w:rsidRDefault="00D27C67" w:rsidP="00D27C67">
      <w:pPr>
        <w:pStyle w:val="Heading1"/>
        <w:divId w:val="1848444104"/>
      </w:pPr>
      <w:r w:rsidRPr="00D27C67">
        <w:t xml:space="preserve">Abstract </w:t>
      </w:r>
    </w:p>
    <w:p w14:paraId="063D5431" w14:textId="77777777" w:rsidR="00D27C67" w:rsidRDefault="00D27C67" w:rsidP="00D27C67">
      <w:pPr>
        <w:divId w:val="1848444104"/>
      </w:pPr>
      <w:r>
        <w:t xml:space="preserve">Australia’s goal of </w:t>
      </w:r>
      <w:proofErr w:type="gramStart"/>
      <w:r>
        <w:t>eliminating</w:t>
      </w:r>
      <w:proofErr w:type="gramEnd"/>
      <w:r>
        <w:t xml:space="preserve"> hepatitis C by 2030 requires increases in uptake of and access to testing and treatment. As hepatitis C is a notifiable condition, health departments have access to information about people exposed to the hepatitis C virus (HCV), including the details of notifying clinicians who ordered their diagnostic pathology tests. Hepatitis C RNA testing confirms active infection that requires treatment, </w:t>
      </w:r>
      <w:proofErr w:type="gramStart"/>
      <w:r>
        <w:t>whereas</w:t>
      </w:r>
      <w:proofErr w:type="gramEnd"/>
      <w:r>
        <w:t xml:space="preserve"> a positive antibody test result only indicates prior exposure to the virus. </w:t>
      </w:r>
    </w:p>
    <w:p w14:paraId="79D388AE" w14:textId="77777777" w:rsidR="00D27C67" w:rsidRDefault="00D27C67" w:rsidP="00D27C67">
      <w:pPr>
        <w:divId w:val="1848444104"/>
      </w:pPr>
      <w:r>
        <w:t xml:space="preserve">We undertook a pilot project in Queensland to follow up hepatitis C notifications with clinicians, aiming to increase HCV-RNA testing and treatment uptake. For all individuals with a first-time hepatitis C notification in Queensland between 3 November 2020 and 28 May 2021, we sought information </w:t>
      </w:r>
      <w:proofErr w:type="gramStart"/>
      <w:r>
        <w:t>regarding</w:t>
      </w:r>
      <w:proofErr w:type="gramEnd"/>
      <w:r>
        <w:t xml:space="preserve"> hepatitis C RNA testing from laboratories, excluding those cases diagnosed in prisons. </w:t>
      </w:r>
    </w:p>
    <w:p w14:paraId="432F73D8" w14:textId="77777777" w:rsidR="00D27C67" w:rsidRDefault="00D27C67" w:rsidP="00D27C67">
      <w:pPr>
        <w:divId w:val="1848444104"/>
      </w:pPr>
      <w:r>
        <w:t xml:space="preserve">Cases who did not have RNA testing identified as part of or after their </w:t>
      </w:r>
      <w:proofErr w:type="gramStart"/>
      <w:r>
        <w:t>initial</w:t>
      </w:r>
      <w:proofErr w:type="gramEnd"/>
      <w:r>
        <w:t xml:space="preserve"> diagnostic tests were followed up via their notifying clinician. Interviews with selected clinicians </w:t>
      </w:r>
      <w:proofErr w:type="gramStart"/>
      <w:r>
        <w:t>were undertaken</w:t>
      </w:r>
      <w:proofErr w:type="gramEnd"/>
      <w:r>
        <w:t xml:space="preserve"> to improve our understanding of the follow-up process. </w:t>
      </w:r>
    </w:p>
    <w:p w14:paraId="0E7C1065" w14:textId="77777777" w:rsidR="00D27C67" w:rsidRDefault="00D27C67" w:rsidP="00D27C67">
      <w:pPr>
        <w:divId w:val="1848444104"/>
      </w:pPr>
      <w:r>
        <w:t xml:space="preserve">There were 769 new hepatitis C notifications during our study period: 244 had no subsequent RNA test </w:t>
      </w:r>
      <w:proofErr w:type="gramStart"/>
      <w:r>
        <w:t>identified</w:t>
      </w:r>
      <w:proofErr w:type="gramEnd"/>
      <w:r>
        <w:t xml:space="preserve"> and were followed up for this study. Of these, 134 cases were lost to follow-up; </w:t>
      </w:r>
      <w:proofErr w:type="gramStart"/>
      <w:r>
        <w:t>26</w:t>
      </w:r>
      <w:proofErr w:type="gramEnd"/>
      <w:r>
        <w:t xml:space="preserve"> were already being effectively case managed; 22 reported previous treatment and no further risk; and 62 were eligible for HCV-RNA testing. Twenty-six cases </w:t>
      </w:r>
      <w:proofErr w:type="gramStart"/>
      <w:r>
        <w:t>subsequently</w:t>
      </w:r>
      <w:proofErr w:type="gramEnd"/>
      <w:r>
        <w:t xml:space="preserve"> started hepatitis C treatment. Thirty-four percent of notifications that </w:t>
      </w:r>
      <w:proofErr w:type="gramStart"/>
      <w:r>
        <w:t>required</w:t>
      </w:r>
      <w:proofErr w:type="gramEnd"/>
      <w:r>
        <w:t xml:space="preserve"> follow-up resulted from testing initially requested in hospital settings. </w:t>
      </w:r>
    </w:p>
    <w:p w14:paraId="488DADE2" w14:textId="77777777" w:rsidR="00D27C67" w:rsidRDefault="00D27C67" w:rsidP="00D27C67">
      <w:pPr>
        <w:divId w:val="1848444104"/>
      </w:pPr>
      <w:r>
        <w:t xml:space="preserve">Following up hepatitis C notifications can result in increased treatment rates; however, the process was resource-intensive and often </w:t>
      </w:r>
      <w:proofErr w:type="gramStart"/>
      <w:r>
        <w:t>failed to</w:t>
      </w:r>
      <w:proofErr w:type="gramEnd"/>
      <w:r>
        <w:t xml:space="preserve"> result in further contact between clinicians and patients. Our findings also highlight the importance of supporting better continuity of care between hospitals and community settings. </w:t>
      </w:r>
    </w:p>
    <w:p w14:paraId="7E54A3F8" w14:textId="77777777" w:rsidR="00D27C67" w:rsidRDefault="00D27C67" w:rsidP="00D27C67">
      <w:pPr>
        <w:divId w:val="1848444104"/>
      </w:pPr>
      <w:r>
        <w:t xml:space="preserve">Keywords: Hepatitis C; HCV; RNA testing; notifications; direct-acting antivirals; treatment </w:t>
      </w:r>
    </w:p>
    <w:p w14:paraId="10235E61" w14:textId="77777777" w:rsidR="00D27C67" w:rsidRPr="00D27C67" w:rsidRDefault="00D27C67" w:rsidP="00D27C67">
      <w:pPr>
        <w:pStyle w:val="Heading1"/>
        <w:divId w:val="1848444104"/>
      </w:pPr>
      <w:r w:rsidRPr="00D27C67">
        <w:t xml:space="preserve">Introduction </w:t>
      </w:r>
    </w:p>
    <w:p w14:paraId="37E85753" w14:textId="77777777" w:rsidR="00D27C67" w:rsidRDefault="00D27C67" w:rsidP="00D27C67">
      <w:pPr>
        <w:divId w:val="1848444104"/>
      </w:pPr>
      <w:r>
        <w:t>Highly effective direct acting antivirals (DAA) for the treatment of hepatitis C virus (HCV) infection have made the elimination of HCV possible.</w:t>
      </w:r>
      <w:r>
        <w:rPr>
          <w:vertAlign w:val="superscript"/>
        </w:rPr>
        <w:t>1</w:t>
      </w:r>
      <w:r>
        <w:t xml:space="preserve"> In line with the World Health Organization’s strategy, Australia has the goal of eliminating viral hepatitis as a public health threat by 2030.</w:t>
      </w:r>
      <w:r>
        <w:rPr>
          <w:vertAlign w:val="superscript"/>
        </w:rPr>
        <w:t>2,3</w:t>
      </w:r>
      <w:r>
        <w:t xml:space="preserve"> In March 2016, DAA treatment was subsidised and became available to patients through the Pharmaceutical Benefits Scheme in Australia.</w:t>
      </w:r>
      <w:r>
        <w:rPr>
          <w:vertAlign w:val="superscript"/>
        </w:rPr>
        <w:t>4</w:t>
      </w:r>
      <w:r>
        <w:t xml:space="preserve"> As of December 2021, there were 99,735 people in Australia who had received DAA hepatitis C treatment; that number is around 53% of the people estimated to be living with hepatitis C in 2015.</w:t>
      </w:r>
      <w:r>
        <w:rPr>
          <w:vertAlign w:val="superscript"/>
        </w:rPr>
        <w:t>5</w:t>
      </w:r>
      <w:r>
        <w:t xml:space="preserve"> </w:t>
      </w:r>
    </w:p>
    <w:p w14:paraId="676AEBCF" w14:textId="77777777" w:rsidR="00D27C67" w:rsidRDefault="00D27C67" w:rsidP="00D27C67">
      <w:pPr>
        <w:divId w:val="1848444104"/>
      </w:pPr>
      <w:r>
        <w:lastRenderedPageBreak/>
        <w:t>HCV testing usually involves initial testing for HCV antibodies (HCV-AB), and if positive, this is followed by a test for HCV ribonucleic acid (HCV-RNA).The increasing availability of point of care HCV-RNA testing among people at high risk of HCV infection means that HCV-RNA testing may be done without a preceding HCV-AB test.</w:t>
      </w:r>
      <w:r>
        <w:rPr>
          <w:vertAlign w:val="superscript"/>
        </w:rPr>
        <w:t xml:space="preserve"> 6</w:t>
      </w:r>
      <w:r>
        <w:t xml:space="preserve"> </w:t>
      </w:r>
    </w:p>
    <w:p w14:paraId="0BE54A2E" w14:textId="77777777" w:rsidR="00D27C67" w:rsidRDefault="00D27C67" w:rsidP="00D27C67">
      <w:pPr>
        <w:divId w:val="1848444104"/>
      </w:pPr>
      <w:r>
        <w:t xml:space="preserve">In Australia, HCV testing and treatment is available in the community in a range of settings including general practice (GP), sexual health services, and some specialised health services such as alcohol and other drugs treatment services, and clinics specifically for people who inject drugs. </w:t>
      </w:r>
    </w:p>
    <w:p w14:paraId="765B825A" w14:textId="77777777" w:rsidR="00D27C67" w:rsidRDefault="00D27C67" w:rsidP="00D27C67">
      <w:pPr>
        <w:divId w:val="1848444104"/>
      </w:pPr>
      <w:r>
        <w:t xml:space="preserve">There is limited evidence on the effectiveness of following up HCV notifications to link patients to treatment in Australia. To address this gap, we followed up notifications of hepatitis C with notifying clinicians to obtain further information about testing and treatment, to request case updates on their patients’ HCV status, and to </w:t>
      </w:r>
      <w:proofErr w:type="gramStart"/>
      <w:r>
        <w:t>provide</w:t>
      </w:r>
      <w:proofErr w:type="gramEnd"/>
      <w:r>
        <w:t xml:space="preserve"> links to resources and services that could support further HCV testing and treatment.</w:t>
      </w:r>
    </w:p>
    <w:p w14:paraId="2FA4A704" w14:textId="77777777" w:rsidR="00D27C67" w:rsidRPr="00D27C67" w:rsidRDefault="00D27C67" w:rsidP="00D27C67">
      <w:pPr>
        <w:pStyle w:val="Heading1"/>
        <w:divId w:val="1848444104"/>
      </w:pPr>
      <w:r w:rsidRPr="00D27C67">
        <w:t xml:space="preserve">Methods </w:t>
      </w:r>
    </w:p>
    <w:p w14:paraId="5AA802B8" w14:textId="77777777" w:rsidR="00D27C67" w:rsidRDefault="00D27C67" w:rsidP="00D27C67">
      <w:pPr>
        <w:divId w:val="1848444104"/>
      </w:pPr>
      <w:r>
        <w:t xml:space="preserve">HCV infection is a notifiable condition in Queensland under the </w:t>
      </w:r>
      <w:r w:rsidRPr="00A32890">
        <w:rPr>
          <w:rStyle w:val="Emphasis"/>
          <w:b w:val="0"/>
          <w:bCs w:val="0"/>
        </w:rPr>
        <w:t>Public Health Act 2005</w:t>
      </w:r>
      <w:r>
        <w:t xml:space="preserve"> and its subordinate regulation 2018.</w:t>
      </w:r>
      <w:r>
        <w:rPr>
          <w:vertAlign w:val="superscript"/>
        </w:rPr>
        <w:t>7</w:t>
      </w:r>
      <w:r>
        <w:t xml:space="preserve"> All HCV-AB positive and HCV-RNA positive results are notifiable by pathology laboratories to the Queensland Government Department of Health (Queensland Health). HCV notifications </w:t>
      </w:r>
      <w:proofErr w:type="gramStart"/>
      <w:r>
        <w:t>are stored</w:t>
      </w:r>
      <w:proofErr w:type="gramEnd"/>
      <w:r>
        <w:t xml:space="preserve"> in the Notifiable Conditions System (</w:t>
      </w:r>
      <w:proofErr w:type="spellStart"/>
      <w:r>
        <w:t>NoCS</w:t>
      </w:r>
      <w:proofErr w:type="spellEnd"/>
      <w:r>
        <w:t xml:space="preserve">) managed by Queensland Health’s Communicable Diseases Branch. Notifications data from </w:t>
      </w:r>
      <w:proofErr w:type="spellStart"/>
      <w:r>
        <w:t>NoCS</w:t>
      </w:r>
      <w:proofErr w:type="spellEnd"/>
      <w:r>
        <w:t xml:space="preserve"> </w:t>
      </w:r>
      <w:proofErr w:type="gramStart"/>
      <w:r>
        <w:t>were accessed</w:t>
      </w:r>
      <w:proofErr w:type="gramEnd"/>
      <w:r>
        <w:t xml:space="preserve"> for this project. Each week from 3 November 2020 to 28 May 2021, all first-time notifications of individuals with positive HCV test results in Queensland </w:t>
      </w:r>
      <w:proofErr w:type="gramStart"/>
      <w:r>
        <w:t>were reviewed</w:t>
      </w:r>
      <w:proofErr w:type="gramEnd"/>
      <w:r>
        <w:t xml:space="preserve">, four weeks in arrears (Figure 1). Notification data include the name and date of birth of the person </w:t>
      </w:r>
      <w:proofErr w:type="gramStart"/>
      <w:r>
        <w:t>tested</w:t>
      </w:r>
      <w:proofErr w:type="gramEnd"/>
      <w:r>
        <w:t xml:space="preserve">, as well as the name and contact details of the clinician who ordered the test (the notifying clinician). All notifications </w:t>
      </w:r>
      <w:proofErr w:type="gramStart"/>
      <w:r>
        <w:t>were included</w:t>
      </w:r>
      <w:proofErr w:type="gramEnd"/>
      <w:r>
        <w:t xml:space="preserve"> in the study, except results from HCV testing undertaken while individuals were incarcerated. Prisoners </w:t>
      </w:r>
      <w:proofErr w:type="gramStart"/>
      <w:r>
        <w:t>were excluded</w:t>
      </w:r>
      <w:proofErr w:type="gramEnd"/>
      <w:r>
        <w:t xml:space="preserve"> as they were engaged with care through prisoner health services, and there was no scope to expand this activity. </w:t>
      </w:r>
    </w:p>
    <w:p w14:paraId="34B22EEA" w14:textId="77777777" w:rsidR="00372D26" w:rsidRDefault="00372D26">
      <w:r>
        <w:br w:type="page"/>
      </w:r>
    </w:p>
    <w:p w14:paraId="32BE9D54" w14:textId="77777777" w:rsidR="00372D26" w:rsidRPr="00430135" w:rsidRDefault="00372D26" w:rsidP="00372D26">
      <w:pPr>
        <w:pStyle w:val="CDIFigures"/>
        <w:divId w:val="1848444104"/>
      </w:pPr>
      <w:r w:rsidRPr="00430135">
        <w:rPr>
          <w:rStyle w:val="Strong"/>
          <w:b/>
          <w:bCs w:val="0"/>
        </w:rPr>
        <w:lastRenderedPageBreak/>
        <w:t xml:space="preserve">Figure 1: Project protocol procedure for following up new HCV </w:t>
      </w:r>
      <w:proofErr w:type="gramStart"/>
      <w:r w:rsidRPr="00430135">
        <w:rPr>
          <w:rStyle w:val="Strong"/>
          <w:b/>
          <w:bCs w:val="0"/>
        </w:rPr>
        <w:t>notifications</w:t>
      </w:r>
      <w:proofErr w:type="gramEnd"/>
    </w:p>
    <w:p w14:paraId="55A65C95" w14:textId="77777777" w:rsidR="00372D26" w:rsidRDefault="00372D26" w:rsidP="00372D26">
      <w:pPr>
        <w:divId w:val="1848444104"/>
        <w:rPr>
          <w:rFonts w:eastAsia="Times New Roman"/>
          <w:lang w:val="en-GB"/>
        </w:rPr>
      </w:pPr>
      <w:r>
        <w:rPr>
          <w:rFonts w:eastAsia="Times New Roman"/>
          <w:noProof/>
          <w:lang w:val="en-GB"/>
        </w:rPr>
        <w:drawing>
          <wp:inline distT="0" distB="0" distL="0" distR="0" wp14:anchorId="6A3A9B64" wp14:editId="07F862F5">
            <wp:extent cx="6629400" cy="7566558"/>
            <wp:effectExtent l="0" t="0" r="0" b="15875"/>
            <wp:docPr id="12" name="Picture 12" descr="Flow chart illustrating the pilot project’s protocol procedure that the case officer undertook to follow-up hepatitis C notifications with notifying clinicians. All new notifications were reviewed four weeks in arrears, to ascertain whether subsequent HCV-RNA tests had been ordered by clinicians. If HCV-RNA tests were discovered on NoCS or in pathology laboratory databases no further action was taken, however, if no HCV-RNA test was discovered, the follow-up procedure was initiated. All follow-ups were first randomised to telephone and email contact. After contacting clinicians to encourage HCV-RNA testing, pathology laboratory databases were searched again after four weeks. If HCV-RNA negative test results were discovered no further action was taken. If no results were found, clinicians were re-contacted for case updates. If no HCV-RNA test results were found after contacting clinicians a total of three times, cases were considered lost to follow-up. If HCV-RNA positive test results were found, clinicians were re-contacted for case updates and to confirm intention to tre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 chart illustrating the pilot project’s protocol procedure that the case officer undertook to follow-up hepatitis C notifications with notifying clinicians. All new notifications were reviewed four weeks in arrears, to ascertain whether subsequent HCV-RNA tests had been ordered by clinicians. If HCV-RNA tests were discovered on NoCS or in pathology laboratory databases no further action was taken, however, if no HCV-RNA test was discovered, the follow-up procedure was initiated. All follow-ups were first randomised to telephone and email contact. After contacting clinicians to encourage HCV-RNA testing, pathology laboratory databases were searched again after four weeks. If HCV-RNA negative test results were discovered no further action was taken. If no results were found, clinicians were re-contacted for case updates. If no HCV-RNA test results were found after contacting clinicians a total of three times, cases were considered lost to follow-up. If HCV-RNA positive test results were found, clinicians were re-contacted for case updates and to confirm intention to treat. &#10;"/>
                    <pic:cNvPicPr>
                      <a:picLocks noChangeAspect="1" noChangeArrowheads="1"/>
                    </pic:cNvPicPr>
                  </pic:nvPicPr>
                  <pic:blipFill>
                    <a:blip r:embed="rId10" r:link="rId11" cstate="print">
                      <a:extLst>
                        <a:ext uri="{28A0092B-C50C-407E-A947-70E740481C1C}">
                          <a14:useLocalDpi xmlns:a14="http://schemas.microsoft.com/office/drawing/2010/main" val="0"/>
                        </a:ext>
                      </a:extLst>
                    </a:blip>
                    <a:stretch>
                      <a:fillRect/>
                    </a:stretch>
                  </pic:blipFill>
                  <pic:spPr bwMode="auto">
                    <a:xfrm>
                      <a:off x="0" y="0"/>
                      <a:ext cx="6634866" cy="7572796"/>
                    </a:xfrm>
                    <a:prstGeom prst="rect">
                      <a:avLst/>
                    </a:prstGeom>
                  </pic:spPr>
                </pic:pic>
              </a:graphicData>
            </a:graphic>
          </wp:inline>
        </w:drawing>
      </w:r>
    </w:p>
    <w:p w14:paraId="7A7D2482" w14:textId="38872C10" w:rsidR="00D27C67" w:rsidRDefault="00D27C67" w:rsidP="00D27C67">
      <w:pPr>
        <w:divId w:val="1848444104"/>
      </w:pPr>
      <w:r>
        <w:t xml:space="preserve">Four weeks after a positive HCV-AB test notification was reported to </w:t>
      </w:r>
      <w:proofErr w:type="spellStart"/>
      <w:r>
        <w:t>NoCS</w:t>
      </w:r>
      <w:proofErr w:type="spellEnd"/>
      <w:r>
        <w:t xml:space="preserve">, Queensland pathology laboratory databases were searched to </w:t>
      </w:r>
      <w:proofErr w:type="gramStart"/>
      <w:r>
        <w:t>ascertain</w:t>
      </w:r>
      <w:proofErr w:type="gramEnd"/>
      <w:r>
        <w:t xml:space="preserve"> whether a subsequent HCV-RNA test had been undertaken on or after the date of the initial HCV-AB positive test. Cases with no record of </w:t>
      </w:r>
      <w:proofErr w:type="gramStart"/>
      <w:r>
        <w:t>subsequent</w:t>
      </w:r>
      <w:proofErr w:type="gramEnd"/>
      <w:r>
        <w:t xml:space="preserve"> HCV-RNA testing were followed up via their notifying clinicians, who were randomly assigned to be contacted by either telephone or email, to establish which method of communication facilitated the higher response rate within the limited resources of the pilot </w:t>
      </w:r>
      <w:r>
        <w:lastRenderedPageBreak/>
        <w:t xml:space="preserve">project. Notifying clinicians in the email group </w:t>
      </w:r>
      <w:proofErr w:type="gramStart"/>
      <w:r>
        <w:t>were sent</w:t>
      </w:r>
      <w:proofErr w:type="gramEnd"/>
      <w:r>
        <w:t xml:space="preserve"> a questionnaire on a fillable PDF file (Appendix A.1). The others </w:t>
      </w:r>
      <w:proofErr w:type="gramStart"/>
      <w:r>
        <w:t>were telephoned</w:t>
      </w:r>
      <w:proofErr w:type="gramEnd"/>
      <w:r>
        <w:t xml:space="preserve"> and asked the same questions. If hospital-based clinicians reported that they had informed the patient’s GP of the positive HCV-AB test result, follow-up </w:t>
      </w:r>
      <w:proofErr w:type="gramStart"/>
      <w:r>
        <w:t>was continued</w:t>
      </w:r>
      <w:proofErr w:type="gramEnd"/>
      <w:r>
        <w:t xml:space="preserve"> with the GP (Appendix A.2). </w:t>
      </w:r>
    </w:p>
    <w:p w14:paraId="2DEE7CFF" w14:textId="77777777" w:rsidR="00D27C67" w:rsidRDefault="00D27C67" w:rsidP="00D27C67">
      <w:pPr>
        <w:divId w:val="1848444104"/>
      </w:pPr>
      <w:r>
        <w:t xml:space="preserve">If notifying clinicians </w:t>
      </w:r>
      <w:proofErr w:type="gramStart"/>
      <w:r>
        <w:t>indicated</w:t>
      </w:r>
      <w:proofErr w:type="gramEnd"/>
      <w:r>
        <w:t xml:space="preserve"> that an HCV-RNA test had, or would be, requested, pathology laboratory databases were again searched for HCV-RNA test results four weeks after follow-up communication. If no results </w:t>
      </w:r>
      <w:proofErr w:type="gramStart"/>
      <w:r>
        <w:t>were found</w:t>
      </w:r>
      <w:proofErr w:type="gramEnd"/>
      <w:r>
        <w:t xml:space="preserve">, notifying/managing clinicians were recontacted for a case update. After two attempts to recontact notifying/managing clinicians with no </w:t>
      </w:r>
      <w:proofErr w:type="gramStart"/>
      <w:r>
        <w:t>subsequent</w:t>
      </w:r>
      <w:proofErr w:type="gramEnd"/>
      <w:r>
        <w:t xml:space="preserve"> HCV-RNA outcome, patients were considered lost to follow-up. If HCV-RNA positive test results </w:t>
      </w:r>
      <w:proofErr w:type="gramStart"/>
      <w:r>
        <w:t>were found</w:t>
      </w:r>
      <w:proofErr w:type="gramEnd"/>
      <w:r>
        <w:t xml:space="preserve">, notifying clinicians were recontacted to confirm intention to treat. </w:t>
      </w:r>
    </w:p>
    <w:p w14:paraId="313E2086" w14:textId="77777777" w:rsidR="00D27C67" w:rsidRDefault="00D27C67" w:rsidP="00D27C67">
      <w:pPr>
        <w:divId w:val="1848444104"/>
      </w:pPr>
      <w:r>
        <w:t>Toward the end of the study, notifying clinicians were purposively sampled and 17 were invited to participate in a semi-structured telephone interview (Appendix B.1–B.3) to discuss HCV testing and treatment and the role of the notifications system; one turned down the request and 16 agreed to participate. Our sample reflected the range and location of clinicians followed-up throughout the project. A thematic analysis was conducted on the qualitative data,</w:t>
      </w:r>
      <w:proofErr w:type="gramStart"/>
      <w:r>
        <w:rPr>
          <w:vertAlign w:val="superscript"/>
        </w:rPr>
        <w:t>8</w:t>
      </w:r>
      <w:proofErr w:type="gramEnd"/>
      <w:r>
        <w:t xml:space="preserve"> which were coded and collated using NVivo 12 (QSR International Pty Ltd., 2018). </w:t>
      </w:r>
    </w:p>
    <w:p w14:paraId="37727F02" w14:textId="77777777" w:rsidR="00D27C67" w:rsidRDefault="00D27C67" w:rsidP="00D27C67">
      <w:pPr>
        <w:divId w:val="1848444104"/>
      </w:pPr>
      <w:r>
        <w:t xml:space="preserve">Ethics approval to evaluate the project </w:t>
      </w:r>
      <w:proofErr w:type="gramStart"/>
      <w:r>
        <w:t>was granted</w:t>
      </w:r>
      <w:proofErr w:type="gramEnd"/>
      <w:r>
        <w:t xml:space="preserve"> by Darling Downs Hospital and Health Service (DDHHS) Human Research Ethics Committee (HREC), reference number: HREA/2020/QTDD/66248. A waiver of consent for the project </w:t>
      </w:r>
      <w:proofErr w:type="gramStart"/>
      <w:r>
        <w:t>was granted</w:t>
      </w:r>
      <w:proofErr w:type="gramEnd"/>
      <w:r>
        <w:t xml:space="preserve"> by DDHHS HREC to use de-identified data gathered from Queensland Health’s </w:t>
      </w:r>
      <w:proofErr w:type="spellStart"/>
      <w:r>
        <w:t>NoCS</w:t>
      </w:r>
      <w:proofErr w:type="spellEnd"/>
      <w:r>
        <w:t xml:space="preserve"> for project evaluation. Quantitative data were de-</w:t>
      </w:r>
      <w:proofErr w:type="gramStart"/>
      <w:r>
        <w:t>identified</w:t>
      </w:r>
      <w:proofErr w:type="gramEnd"/>
      <w:r>
        <w:t xml:space="preserve"> prior to analysis. </w:t>
      </w:r>
    </w:p>
    <w:p w14:paraId="3E7F50C2" w14:textId="77777777" w:rsidR="00D27C67" w:rsidRPr="00D27C67" w:rsidRDefault="00D27C67" w:rsidP="00D27C67">
      <w:pPr>
        <w:pStyle w:val="Heading1"/>
        <w:divId w:val="1848444104"/>
      </w:pPr>
      <w:r w:rsidRPr="00D27C67">
        <w:t xml:space="preserve">Results </w:t>
      </w:r>
    </w:p>
    <w:p w14:paraId="354A04EF" w14:textId="77777777" w:rsidR="00D27C67" w:rsidRDefault="00D27C67" w:rsidP="00D27C67">
      <w:pPr>
        <w:divId w:val="1848444104"/>
      </w:pPr>
      <w:r>
        <w:t xml:space="preserve">Between 3 November 2020 and 28 May 2021, there were 1,162 new HCV notifications reported to </w:t>
      </w:r>
      <w:proofErr w:type="spellStart"/>
      <w:r>
        <w:t>NoCS</w:t>
      </w:r>
      <w:proofErr w:type="spellEnd"/>
      <w:r>
        <w:t xml:space="preserve"> in Queensland; 393 (34%) were from people who </w:t>
      </w:r>
      <w:proofErr w:type="gramStart"/>
      <w:r>
        <w:t>were incarcerated</w:t>
      </w:r>
      <w:proofErr w:type="gramEnd"/>
      <w:r>
        <w:t xml:space="preserve"> and were excluded from further follow-up activity. The remaining 769 notifications came from tests requested by GPs, hospital doctors, and other health providers, including Aboriginal Medical Services, sexual health services, and alcohol and other drugs services. </w:t>
      </w:r>
    </w:p>
    <w:p w14:paraId="73AC1239" w14:textId="77777777" w:rsidR="00D27C67" w:rsidRDefault="00D27C67" w:rsidP="00D27C67">
      <w:pPr>
        <w:divId w:val="1848444104"/>
      </w:pPr>
      <w:r>
        <w:t xml:space="preserve">Of the 769 cases, 315 (41%) </w:t>
      </w:r>
      <w:proofErr w:type="gramStart"/>
      <w:r>
        <w:t>tested</w:t>
      </w:r>
      <w:proofErr w:type="gramEnd"/>
      <w:r>
        <w:t xml:space="preserve"> HCV-RNA negative at the time of or after notification; 210 (27%) tested HCV-RNA positive at the time of or after notification; and 244 (32%) had no subsequent HCV-RNA test identified (Figure 2). </w:t>
      </w:r>
    </w:p>
    <w:p w14:paraId="3F55492E" w14:textId="77777777" w:rsidR="00271D15" w:rsidRDefault="00271D15">
      <w:r>
        <w:br w:type="page"/>
      </w:r>
    </w:p>
    <w:p w14:paraId="45E53C82" w14:textId="77777777" w:rsidR="00271D15" w:rsidRPr="00430135" w:rsidRDefault="00271D15" w:rsidP="00271D15">
      <w:pPr>
        <w:pStyle w:val="CDIFigures"/>
        <w:divId w:val="1848444104"/>
      </w:pPr>
      <w:r w:rsidRPr="00430135">
        <w:rPr>
          <w:rStyle w:val="Strong"/>
          <w:b/>
          <w:bCs w:val="0"/>
        </w:rPr>
        <w:lastRenderedPageBreak/>
        <w:t xml:space="preserve">Figure 2: New HCV case notifications in Queensland, 3 November 2020 – 28 May 2021, that resulted in follow up and subsequent testing and </w:t>
      </w:r>
      <w:proofErr w:type="gramStart"/>
      <w:r w:rsidRPr="00430135">
        <w:rPr>
          <w:rStyle w:val="Strong"/>
          <w:b/>
          <w:bCs w:val="0"/>
        </w:rPr>
        <w:t>treatment</w:t>
      </w:r>
      <w:proofErr w:type="gramEnd"/>
    </w:p>
    <w:p w14:paraId="064F160E" w14:textId="77777777" w:rsidR="00271D15" w:rsidRDefault="00271D15" w:rsidP="00271D15">
      <w:pPr>
        <w:divId w:val="1848444104"/>
        <w:rPr>
          <w:rFonts w:eastAsia="Times New Roman"/>
          <w:lang w:val="en-GB"/>
        </w:rPr>
      </w:pPr>
      <w:r>
        <w:rPr>
          <w:rFonts w:eastAsia="Times New Roman"/>
          <w:noProof/>
          <w:lang w:val="en-GB"/>
        </w:rPr>
        <w:drawing>
          <wp:inline distT="0" distB="0" distL="0" distR="0" wp14:anchorId="230DCDDC" wp14:editId="1378457C">
            <wp:extent cx="6629400" cy="7767382"/>
            <wp:effectExtent l="0" t="0" r="0" b="5080"/>
            <wp:docPr id="2" name="Picture 2" descr="Flow chart showing how all new hepatitis C notifications received by Queensland Health between 3 November 2020 and 28 May 2021, were categorised during the pilot project, and how the cases that required follow-up progressed to completion. Initially all new cases were divided between those that emanated from community settings, and those that were requested for prisoners. Community cases were then divided into categories that contained HCV-RNA tests that had been undertaken, and those that hadn’t which were follow-up. After follow-up it was possible to define four case categories: Those already being case managed effectively; those who had been previously treated for HCV; those lost to follow-up; and those eligible for follow-up. Finally, those who were eligible for follow-up were divided into two groups: those tested post follow-up but not treated; and those tested and treated post follow-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 chart showing how all new hepatitis C notifications received by Queensland Health between 3 November 2020 and 28 May 2021, were categorised during the pilot project, and how the cases that required follow-up progressed to completion. Initially all new cases were divided between those that emanated from community settings, and those that were requested for prisoners. Community cases were then divided into categories that contained HCV-RNA tests that had been undertaken, and those that hadn’t which were follow-up. After follow-up it was possible to define four case categories: Those already being case managed effectively; those who had been previously treated for HCV; those lost to follow-up; and those eligible for follow-up. Finally, those who were eligible for follow-up were divided into two groups: those tested post follow-up but not treated; and those tested and treated post follow-up. "/>
                    <pic:cNvPicPr>
                      <a:picLocks noChangeAspect="1" noChangeArrowheads="1"/>
                    </pic:cNvPicPr>
                  </pic:nvPicPr>
                  <pic:blipFill>
                    <a:blip r:embed="rId12" r:link="rId13" cstate="print">
                      <a:extLst>
                        <a:ext uri="{28A0092B-C50C-407E-A947-70E740481C1C}">
                          <a14:useLocalDpi xmlns:a14="http://schemas.microsoft.com/office/drawing/2010/main" val="0"/>
                        </a:ext>
                      </a:extLst>
                    </a:blip>
                    <a:stretch>
                      <a:fillRect/>
                    </a:stretch>
                  </pic:blipFill>
                  <pic:spPr bwMode="auto">
                    <a:xfrm>
                      <a:off x="0" y="0"/>
                      <a:ext cx="6631658" cy="7770028"/>
                    </a:xfrm>
                    <a:prstGeom prst="rect">
                      <a:avLst/>
                    </a:prstGeom>
                  </pic:spPr>
                </pic:pic>
              </a:graphicData>
            </a:graphic>
          </wp:inline>
        </w:drawing>
      </w:r>
    </w:p>
    <w:p w14:paraId="2B4406E6" w14:textId="19598278" w:rsidR="00D27C67" w:rsidRDefault="00D27C67" w:rsidP="00D27C67">
      <w:pPr>
        <w:divId w:val="1848444104"/>
      </w:pPr>
      <w:r>
        <w:t xml:space="preserve">Of the 244 cases that were followed up, 83 (34%) were </w:t>
      </w:r>
      <w:proofErr w:type="gramStart"/>
      <w:r>
        <w:t>tested</w:t>
      </w:r>
      <w:proofErr w:type="gramEnd"/>
      <w:r>
        <w:t xml:space="preserve"> in hospital wards, out-patients or emergency departments (Table 1). </w:t>
      </w:r>
      <w:proofErr w:type="gramStart"/>
      <w:r>
        <w:t>The majority of</w:t>
      </w:r>
      <w:proofErr w:type="gramEnd"/>
      <w:r>
        <w:t xml:space="preserve"> cases (55%) were lost to follow-up (Table 2); the remaining 110 cases were successfully followed up. Of those who were followed up, 62 (56%) had not progressed to treatment at the time of </w:t>
      </w:r>
      <w:proofErr w:type="gramStart"/>
      <w:r>
        <w:lastRenderedPageBreak/>
        <w:t>initial</w:t>
      </w:r>
      <w:proofErr w:type="gramEnd"/>
      <w:r>
        <w:t xml:space="preserve"> contact and were eligible for further testing and, if necessary, treatment. Of these, </w:t>
      </w:r>
      <w:proofErr w:type="gramStart"/>
      <w:r>
        <w:t>29</w:t>
      </w:r>
      <w:proofErr w:type="gramEnd"/>
      <w:r>
        <w:t xml:space="preserve"> tested HCV-RNA positive, 26 of whom were prescribed treatment (Figure 2).</w:t>
      </w:r>
    </w:p>
    <w:p w14:paraId="22F54B72" w14:textId="77777777" w:rsidR="00651FF0" w:rsidRPr="00430135" w:rsidRDefault="00651FF0" w:rsidP="00651FF0">
      <w:pPr>
        <w:pStyle w:val="CDIFigures"/>
        <w:divId w:val="1848444104"/>
      </w:pPr>
      <w:r w:rsidRPr="00430135">
        <w:rPr>
          <w:rStyle w:val="Strong"/>
          <w:b/>
          <w:bCs w:val="0"/>
        </w:rPr>
        <w:t xml:space="preserve">Table 1: Source of notifications requiring </w:t>
      </w:r>
      <w:proofErr w:type="gramStart"/>
      <w:r w:rsidRPr="00430135">
        <w:rPr>
          <w:rStyle w:val="Strong"/>
          <w:b/>
          <w:bCs w:val="0"/>
        </w:rPr>
        <w:t>follow-up</w:t>
      </w:r>
      <w:proofErr w:type="gramEnd"/>
      <w:r w:rsidRPr="00430135">
        <w:t xml:space="preserve"> </w:t>
      </w:r>
    </w:p>
    <w:tbl>
      <w:tblPr>
        <w:tblStyle w:val="CDI-StandardTable"/>
        <w:tblW w:w="0" w:type="auto"/>
        <w:tblLook w:val="04A0" w:firstRow="1" w:lastRow="0" w:firstColumn="1" w:lastColumn="0" w:noHBand="0" w:noVBand="1"/>
        <w:tblDescription w:val="Table 1 shows the numbers of and proportional percentages of positive hepatitis C test notifications that required follow-up, from the types of clinicians and/or medical services that referred individuals for those tests. &#10;"/>
      </w:tblPr>
      <w:tblGrid>
        <w:gridCol w:w="5245"/>
        <w:gridCol w:w="5195"/>
      </w:tblGrid>
      <w:tr w:rsidR="00651FF0" w:rsidRPr="00651FF0" w14:paraId="3CDB2512" w14:textId="77777777" w:rsidTr="00645EA2">
        <w:trPr>
          <w:cnfStyle w:val="100000000000" w:firstRow="1" w:lastRow="0" w:firstColumn="0" w:lastColumn="0" w:oddVBand="0" w:evenVBand="0" w:oddHBand="0" w:evenHBand="0" w:firstRowFirstColumn="0" w:firstRowLastColumn="0" w:lastRowFirstColumn="0" w:lastRowLastColumn="0"/>
          <w:divId w:val="1848444104"/>
        </w:trPr>
        <w:tc>
          <w:tcPr>
            <w:tcW w:w="5245" w:type="dxa"/>
            <w:hideMark/>
          </w:tcPr>
          <w:p w14:paraId="375C142E" w14:textId="77777777" w:rsidR="00651FF0" w:rsidRPr="00651FF0" w:rsidRDefault="00651FF0" w:rsidP="00651FF0">
            <w:pPr>
              <w:pStyle w:val="NormalWeb"/>
              <w:jc w:val="left"/>
              <w:rPr>
                <w:sz w:val="18"/>
                <w:szCs w:val="18"/>
              </w:rPr>
            </w:pPr>
            <w:r w:rsidRPr="00651FF0">
              <w:rPr>
                <w:sz w:val="18"/>
                <w:szCs w:val="18"/>
              </w:rPr>
              <w:t>Notification source</w:t>
            </w:r>
          </w:p>
        </w:tc>
        <w:tc>
          <w:tcPr>
            <w:tcW w:w="5195" w:type="dxa"/>
            <w:hideMark/>
          </w:tcPr>
          <w:p w14:paraId="627EFDCA" w14:textId="1447ECDF" w:rsidR="00651FF0" w:rsidRPr="00651FF0" w:rsidRDefault="00651FF0" w:rsidP="0029415E">
            <w:pPr>
              <w:pStyle w:val="NormalWeb"/>
              <w:rPr>
                <w:sz w:val="18"/>
                <w:szCs w:val="18"/>
              </w:rPr>
            </w:pPr>
            <w:r w:rsidRPr="00651FF0">
              <w:rPr>
                <w:sz w:val="18"/>
                <w:szCs w:val="18"/>
              </w:rPr>
              <w:t>Cases</w:t>
            </w:r>
            <w:r w:rsidR="00AA15D1">
              <w:rPr>
                <w:sz w:val="18"/>
                <w:szCs w:val="18"/>
              </w:rPr>
              <w:t xml:space="preserve"> </w:t>
            </w:r>
            <w:r w:rsidRPr="00651FF0">
              <w:rPr>
                <w:sz w:val="18"/>
                <w:szCs w:val="18"/>
              </w:rPr>
              <w:t>n (%)</w:t>
            </w:r>
          </w:p>
        </w:tc>
      </w:tr>
      <w:tr w:rsidR="00651FF0" w:rsidRPr="00651FF0" w14:paraId="0DA08AC8" w14:textId="77777777" w:rsidTr="00645EA2">
        <w:trPr>
          <w:divId w:val="1848444104"/>
        </w:trPr>
        <w:tc>
          <w:tcPr>
            <w:tcW w:w="5245" w:type="dxa"/>
            <w:hideMark/>
          </w:tcPr>
          <w:p w14:paraId="3E29F297" w14:textId="77777777" w:rsidR="00651FF0" w:rsidRPr="00651FF0" w:rsidRDefault="00651FF0" w:rsidP="00651FF0">
            <w:pPr>
              <w:pStyle w:val="NormalWeb"/>
              <w:jc w:val="left"/>
              <w:rPr>
                <w:sz w:val="18"/>
                <w:szCs w:val="18"/>
              </w:rPr>
            </w:pPr>
            <w:r w:rsidRPr="00651FF0">
              <w:rPr>
                <w:sz w:val="18"/>
                <w:szCs w:val="18"/>
              </w:rPr>
              <w:t>General practice</w:t>
            </w:r>
          </w:p>
        </w:tc>
        <w:tc>
          <w:tcPr>
            <w:tcW w:w="5195" w:type="dxa"/>
            <w:hideMark/>
          </w:tcPr>
          <w:p w14:paraId="6A4C5688" w14:textId="77777777" w:rsidR="00651FF0" w:rsidRPr="00651FF0" w:rsidRDefault="00651FF0" w:rsidP="0029415E">
            <w:pPr>
              <w:pStyle w:val="NormalWeb"/>
              <w:rPr>
                <w:sz w:val="18"/>
                <w:szCs w:val="18"/>
              </w:rPr>
            </w:pPr>
            <w:r w:rsidRPr="00651FF0">
              <w:rPr>
                <w:sz w:val="18"/>
                <w:szCs w:val="18"/>
              </w:rPr>
              <w:t>143 (58.6)</w:t>
            </w:r>
          </w:p>
        </w:tc>
      </w:tr>
      <w:tr w:rsidR="00651FF0" w:rsidRPr="00651FF0" w14:paraId="5FB72147" w14:textId="77777777" w:rsidTr="00645EA2">
        <w:trPr>
          <w:cnfStyle w:val="000000010000" w:firstRow="0" w:lastRow="0" w:firstColumn="0" w:lastColumn="0" w:oddVBand="0" w:evenVBand="0" w:oddHBand="0" w:evenHBand="1" w:firstRowFirstColumn="0" w:firstRowLastColumn="0" w:lastRowFirstColumn="0" w:lastRowLastColumn="0"/>
          <w:divId w:val="1848444104"/>
        </w:trPr>
        <w:tc>
          <w:tcPr>
            <w:tcW w:w="5245" w:type="dxa"/>
            <w:hideMark/>
          </w:tcPr>
          <w:p w14:paraId="62F8D94B" w14:textId="77777777" w:rsidR="00651FF0" w:rsidRPr="00651FF0" w:rsidRDefault="00651FF0" w:rsidP="00651FF0">
            <w:pPr>
              <w:pStyle w:val="NormalWeb"/>
              <w:jc w:val="left"/>
              <w:rPr>
                <w:sz w:val="18"/>
                <w:szCs w:val="18"/>
              </w:rPr>
            </w:pPr>
            <w:r w:rsidRPr="00651FF0">
              <w:rPr>
                <w:sz w:val="18"/>
                <w:szCs w:val="18"/>
              </w:rPr>
              <w:t>Hospital</w:t>
            </w:r>
          </w:p>
        </w:tc>
        <w:tc>
          <w:tcPr>
            <w:tcW w:w="5195" w:type="dxa"/>
            <w:hideMark/>
          </w:tcPr>
          <w:p w14:paraId="7FB50CC0" w14:textId="77777777" w:rsidR="00651FF0" w:rsidRPr="00651FF0" w:rsidRDefault="00651FF0" w:rsidP="0029415E">
            <w:pPr>
              <w:pStyle w:val="NormalWeb"/>
              <w:rPr>
                <w:sz w:val="18"/>
                <w:szCs w:val="18"/>
              </w:rPr>
            </w:pPr>
            <w:r w:rsidRPr="00651FF0">
              <w:rPr>
                <w:sz w:val="18"/>
                <w:szCs w:val="18"/>
              </w:rPr>
              <w:t>49 (20.1)</w:t>
            </w:r>
          </w:p>
        </w:tc>
      </w:tr>
      <w:tr w:rsidR="00651FF0" w:rsidRPr="00651FF0" w14:paraId="72418752" w14:textId="77777777" w:rsidTr="00645EA2">
        <w:trPr>
          <w:divId w:val="1848444104"/>
        </w:trPr>
        <w:tc>
          <w:tcPr>
            <w:tcW w:w="5245" w:type="dxa"/>
            <w:hideMark/>
          </w:tcPr>
          <w:p w14:paraId="0F8480A1" w14:textId="77777777" w:rsidR="00651FF0" w:rsidRPr="00651FF0" w:rsidRDefault="00651FF0" w:rsidP="00651FF0">
            <w:pPr>
              <w:pStyle w:val="NormalWeb"/>
              <w:jc w:val="left"/>
              <w:rPr>
                <w:sz w:val="18"/>
                <w:szCs w:val="18"/>
              </w:rPr>
            </w:pPr>
            <w:r w:rsidRPr="00651FF0">
              <w:rPr>
                <w:sz w:val="18"/>
                <w:szCs w:val="18"/>
              </w:rPr>
              <w:t>Emergency departments</w:t>
            </w:r>
          </w:p>
        </w:tc>
        <w:tc>
          <w:tcPr>
            <w:tcW w:w="5195" w:type="dxa"/>
            <w:hideMark/>
          </w:tcPr>
          <w:p w14:paraId="6947602D" w14:textId="77777777" w:rsidR="00651FF0" w:rsidRPr="00651FF0" w:rsidRDefault="00651FF0" w:rsidP="0029415E">
            <w:pPr>
              <w:pStyle w:val="NormalWeb"/>
              <w:rPr>
                <w:sz w:val="18"/>
                <w:szCs w:val="18"/>
              </w:rPr>
            </w:pPr>
            <w:r w:rsidRPr="00651FF0">
              <w:rPr>
                <w:sz w:val="18"/>
                <w:szCs w:val="18"/>
              </w:rPr>
              <w:t>34 (13.9)</w:t>
            </w:r>
          </w:p>
        </w:tc>
      </w:tr>
      <w:tr w:rsidR="00651FF0" w:rsidRPr="00651FF0" w14:paraId="21215D80" w14:textId="77777777" w:rsidTr="00645EA2">
        <w:trPr>
          <w:cnfStyle w:val="000000010000" w:firstRow="0" w:lastRow="0" w:firstColumn="0" w:lastColumn="0" w:oddVBand="0" w:evenVBand="0" w:oddHBand="0" w:evenHBand="1" w:firstRowFirstColumn="0" w:firstRowLastColumn="0" w:lastRowFirstColumn="0" w:lastRowLastColumn="0"/>
          <w:divId w:val="1848444104"/>
        </w:trPr>
        <w:tc>
          <w:tcPr>
            <w:tcW w:w="5245" w:type="dxa"/>
            <w:hideMark/>
          </w:tcPr>
          <w:p w14:paraId="56F140FC" w14:textId="77777777" w:rsidR="00651FF0" w:rsidRPr="00651FF0" w:rsidRDefault="00651FF0" w:rsidP="00651FF0">
            <w:pPr>
              <w:pStyle w:val="NormalWeb"/>
              <w:jc w:val="left"/>
              <w:rPr>
                <w:sz w:val="18"/>
                <w:szCs w:val="18"/>
              </w:rPr>
            </w:pPr>
            <w:r w:rsidRPr="00651FF0">
              <w:rPr>
                <w:sz w:val="18"/>
                <w:szCs w:val="18"/>
              </w:rPr>
              <w:t xml:space="preserve">Sexual health services, </w:t>
            </w:r>
            <w:proofErr w:type="gramStart"/>
            <w:r w:rsidRPr="00651FF0">
              <w:rPr>
                <w:sz w:val="18"/>
                <w:szCs w:val="18"/>
              </w:rPr>
              <w:t>alcohol</w:t>
            </w:r>
            <w:proofErr w:type="gramEnd"/>
            <w:r w:rsidRPr="00651FF0">
              <w:rPr>
                <w:sz w:val="18"/>
                <w:szCs w:val="18"/>
              </w:rPr>
              <w:t xml:space="preserve"> and other drugs services</w:t>
            </w:r>
          </w:p>
        </w:tc>
        <w:tc>
          <w:tcPr>
            <w:tcW w:w="5195" w:type="dxa"/>
            <w:hideMark/>
          </w:tcPr>
          <w:p w14:paraId="0056E87B" w14:textId="77777777" w:rsidR="00651FF0" w:rsidRPr="00651FF0" w:rsidRDefault="00651FF0" w:rsidP="0029415E">
            <w:pPr>
              <w:pStyle w:val="NormalWeb"/>
              <w:rPr>
                <w:sz w:val="18"/>
                <w:szCs w:val="18"/>
              </w:rPr>
            </w:pPr>
            <w:r w:rsidRPr="00651FF0">
              <w:rPr>
                <w:sz w:val="18"/>
                <w:szCs w:val="18"/>
              </w:rPr>
              <w:t>7 (2.9)</w:t>
            </w:r>
          </w:p>
        </w:tc>
      </w:tr>
      <w:tr w:rsidR="00651FF0" w:rsidRPr="00651FF0" w14:paraId="57564B4D" w14:textId="77777777" w:rsidTr="00645EA2">
        <w:trPr>
          <w:divId w:val="1848444104"/>
        </w:trPr>
        <w:tc>
          <w:tcPr>
            <w:tcW w:w="5245" w:type="dxa"/>
            <w:hideMark/>
          </w:tcPr>
          <w:p w14:paraId="180CAE6D" w14:textId="226D97D2" w:rsidR="00651FF0" w:rsidRPr="00651FF0" w:rsidRDefault="00651FF0" w:rsidP="00651FF0">
            <w:pPr>
              <w:pStyle w:val="NormalWeb"/>
              <w:jc w:val="left"/>
              <w:rPr>
                <w:sz w:val="18"/>
                <w:szCs w:val="18"/>
              </w:rPr>
            </w:pPr>
            <w:r w:rsidRPr="00651FF0">
              <w:rPr>
                <w:sz w:val="18"/>
                <w:szCs w:val="18"/>
              </w:rPr>
              <w:t>Other medical specialists</w:t>
            </w:r>
            <w:r w:rsidR="004D6F01">
              <w:rPr>
                <w:sz w:val="18"/>
                <w:szCs w:val="18"/>
              </w:rPr>
              <w:t xml:space="preserve"> </w:t>
            </w:r>
            <w:r w:rsidRPr="00651FF0">
              <w:rPr>
                <w:sz w:val="18"/>
                <w:szCs w:val="18"/>
                <w:vertAlign w:val="superscript"/>
              </w:rPr>
              <w:t>a</w:t>
            </w:r>
          </w:p>
        </w:tc>
        <w:tc>
          <w:tcPr>
            <w:tcW w:w="5195" w:type="dxa"/>
            <w:hideMark/>
          </w:tcPr>
          <w:p w14:paraId="398C52EE" w14:textId="77777777" w:rsidR="00651FF0" w:rsidRPr="00651FF0" w:rsidRDefault="00651FF0" w:rsidP="0029415E">
            <w:pPr>
              <w:pStyle w:val="NormalWeb"/>
              <w:rPr>
                <w:sz w:val="18"/>
                <w:szCs w:val="18"/>
              </w:rPr>
            </w:pPr>
            <w:r w:rsidRPr="00651FF0">
              <w:rPr>
                <w:sz w:val="18"/>
                <w:szCs w:val="18"/>
              </w:rPr>
              <w:t>11 (4.5)</w:t>
            </w:r>
          </w:p>
        </w:tc>
      </w:tr>
      <w:tr w:rsidR="00651FF0" w:rsidRPr="00807736" w14:paraId="199362FF" w14:textId="77777777" w:rsidTr="00645EA2">
        <w:trPr>
          <w:cnfStyle w:val="000000010000" w:firstRow="0" w:lastRow="0" w:firstColumn="0" w:lastColumn="0" w:oddVBand="0" w:evenVBand="0" w:oddHBand="0" w:evenHBand="1" w:firstRowFirstColumn="0" w:firstRowLastColumn="0" w:lastRowFirstColumn="0" w:lastRowLastColumn="0"/>
          <w:divId w:val="1848444104"/>
        </w:trPr>
        <w:tc>
          <w:tcPr>
            <w:tcW w:w="5245" w:type="dxa"/>
            <w:shd w:val="clear" w:color="auto" w:fill="F7ECDD"/>
            <w:hideMark/>
          </w:tcPr>
          <w:p w14:paraId="2493B6D2" w14:textId="77777777" w:rsidR="00651FF0" w:rsidRPr="00807736" w:rsidRDefault="00651FF0" w:rsidP="00651FF0">
            <w:pPr>
              <w:pStyle w:val="NormalWeb"/>
              <w:jc w:val="left"/>
              <w:rPr>
                <w:b/>
                <w:bCs/>
                <w:sz w:val="18"/>
                <w:szCs w:val="18"/>
              </w:rPr>
            </w:pPr>
            <w:r w:rsidRPr="00807736">
              <w:rPr>
                <w:b/>
                <w:bCs/>
                <w:sz w:val="18"/>
                <w:szCs w:val="18"/>
              </w:rPr>
              <w:t>Total</w:t>
            </w:r>
          </w:p>
        </w:tc>
        <w:tc>
          <w:tcPr>
            <w:tcW w:w="5195" w:type="dxa"/>
            <w:shd w:val="clear" w:color="auto" w:fill="F7ECDD"/>
            <w:hideMark/>
          </w:tcPr>
          <w:p w14:paraId="51D954B4" w14:textId="77777777" w:rsidR="00651FF0" w:rsidRPr="00807736" w:rsidRDefault="00651FF0" w:rsidP="0029415E">
            <w:pPr>
              <w:pStyle w:val="NormalWeb"/>
              <w:rPr>
                <w:b/>
                <w:bCs/>
                <w:sz w:val="18"/>
                <w:szCs w:val="18"/>
              </w:rPr>
            </w:pPr>
            <w:r w:rsidRPr="00807736">
              <w:rPr>
                <w:b/>
                <w:bCs/>
                <w:sz w:val="18"/>
                <w:szCs w:val="18"/>
              </w:rPr>
              <w:t>244</w:t>
            </w:r>
          </w:p>
        </w:tc>
      </w:tr>
    </w:tbl>
    <w:p w14:paraId="019A993C" w14:textId="0540FF58" w:rsidR="00651FF0" w:rsidRPr="00651FF0" w:rsidRDefault="00651FF0" w:rsidP="00651FF0">
      <w:pPr>
        <w:pStyle w:val="CDIfootnotes"/>
        <w:divId w:val="1848444104"/>
        <w:rPr>
          <w:lang w:val="en-GB"/>
        </w:rPr>
      </w:pPr>
      <w:r>
        <w:rPr>
          <w:lang w:val="en-GB"/>
        </w:rPr>
        <w:t>a</w:t>
      </w:r>
      <w:r>
        <w:rPr>
          <w:lang w:val="en-GB"/>
        </w:rPr>
        <w:tab/>
        <w:t>‘Other medical specialists’ includes private endocrinologists, private gastroenterology clinics, private haematology clinics, private fertility clinics, medicals for immigration visas, and outpatient mental health services.</w:t>
      </w:r>
    </w:p>
    <w:p w14:paraId="596C1F5F" w14:textId="77777777" w:rsidR="00ED4111" w:rsidRPr="00FB36FD" w:rsidRDefault="00ED4111" w:rsidP="00ED4111">
      <w:pPr>
        <w:pStyle w:val="CDIFigures"/>
        <w:divId w:val="1848444104"/>
      </w:pPr>
      <w:r w:rsidRPr="00FB36FD">
        <w:rPr>
          <w:rStyle w:val="Strong"/>
          <w:b/>
          <w:bCs w:val="0"/>
        </w:rPr>
        <w:t>Table 2: Reason for loss to follow-up</w:t>
      </w:r>
      <w:r w:rsidRPr="00FB36FD">
        <w:t xml:space="preserve"> </w:t>
      </w:r>
    </w:p>
    <w:tbl>
      <w:tblPr>
        <w:tblStyle w:val="CDI-StandardTable"/>
        <w:tblW w:w="0" w:type="auto"/>
        <w:tblLook w:val="04A0" w:firstRow="1" w:lastRow="0" w:firstColumn="1" w:lastColumn="0" w:noHBand="0" w:noVBand="1"/>
        <w:tblDescription w:val="Table 2 shows the numbers of, proportional percentages, and various categories attributed to cases that were considered lost to follow-up. &#10;"/>
      </w:tblPr>
      <w:tblGrid>
        <w:gridCol w:w="5245"/>
        <w:gridCol w:w="5195"/>
      </w:tblGrid>
      <w:tr w:rsidR="00ED4111" w:rsidRPr="00FB36FD" w14:paraId="5C7D7EEB" w14:textId="77777777" w:rsidTr="00645EA2">
        <w:trPr>
          <w:cnfStyle w:val="100000000000" w:firstRow="1" w:lastRow="0" w:firstColumn="0" w:lastColumn="0" w:oddVBand="0" w:evenVBand="0" w:oddHBand="0" w:evenHBand="0" w:firstRowFirstColumn="0" w:firstRowLastColumn="0" w:lastRowFirstColumn="0" w:lastRowLastColumn="0"/>
          <w:divId w:val="1848444104"/>
        </w:trPr>
        <w:tc>
          <w:tcPr>
            <w:tcW w:w="5245" w:type="dxa"/>
            <w:hideMark/>
          </w:tcPr>
          <w:p w14:paraId="23FC698A" w14:textId="77777777" w:rsidR="00ED4111" w:rsidRPr="00FB36FD" w:rsidRDefault="00ED4111" w:rsidP="00645EA2">
            <w:pPr>
              <w:pStyle w:val="NormalWeb"/>
              <w:jc w:val="left"/>
              <w:rPr>
                <w:sz w:val="18"/>
                <w:szCs w:val="18"/>
              </w:rPr>
            </w:pPr>
            <w:r w:rsidRPr="00FB36FD">
              <w:rPr>
                <w:sz w:val="18"/>
                <w:szCs w:val="18"/>
              </w:rPr>
              <w:t>Reason</w:t>
            </w:r>
          </w:p>
        </w:tc>
        <w:tc>
          <w:tcPr>
            <w:tcW w:w="5195" w:type="dxa"/>
            <w:hideMark/>
          </w:tcPr>
          <w:p w14:paraId="2569876F" w14:textId="487E5C1E" w:rsidR="00ED4111" w:rsidRPr="00FB36FD" w:rsidRDefault="00ED4111" w:rsidP="0029415E">
            <w:pPr>
              <w:pStyle w:val="NormalWeb"/>
              <w:rPr>
                <w:sz w:val="18"/>
                <w:szCs w:val="18"/>
              </w:rPr>
            </w:pPr>
            <w:r w:rsidRPr="00FB36FD">
              <w:rPr>
                <w:sz w:val="18"/>
                <w:szCs w:val="18"/>
              </w:rPr>
              <w:t>Cases</w:t>
            </w:r>
            <w:r w:rsidR="00645EA2">
              <w:rPr>
                <w:sz w:val="18"/>
                <w:szCs w:val="18"/>
              </w:rPr>
              <w:t xml:space="preserve"> </w:t>
            </w:r>
            <w:r w:rsidRPr="00FB36FD">
              <w:rPr>
                <w:sz w:val="18"/>
                <w:szCs w:val="18"/>
              </w:rPr>
              <w:t>n (%)</w:t>
            </w:r>
          </w:p>
        </w:tc>
      </w:tr>
      <w:tr w:rsidR="00ED4111" w:rsidRPr="00FB36FD" w14:paraId="2B0D391E" w14:textId="77777777" w:rsidTr="00645EA2">
        <w:trPr>
          <w:divId w:val="1848444104"/>
        </w:trPr>
        <w:tc>
          <w:tcPr>
            <w:tcW w:w="5245" w:type="dxa"/>
            <w:hideMark/>
          </w:tcPr>
          <w:p w14:paraId="557AF628" w14:textId="342B955F" w:rsidR="00ED4111" w:rsidRPr="00FB36FD" w:rsidRDefault="00ED4111" w:rsidP="00645EA2">
            <w:pPr>
              <w:pStyle w:val="NormalWeb"/>
              <w:jc w:val="left"/>
              <w:rPr>
                <w:sz w:val="18"/>
                <w:szCs w:val="18"/>
              </w:rPr>
            </w:pPr>
            <w:r w:rsidRPr="00FB36FD">
              <w:rPr>
                <w:sz w:val="18"/>
                <w:szCs w:val="18"/>
              </w:rPr>
              <w:t>Patients did not re-present to clinic</w:t>
            </w:r>
            <w:r w:rsidR="004D6F01">
              <w:rPr>
                <w:sz w:val="18"/>
                <w:szCs w:val="18"/>
              </w:rPr>
              <w:t xml:space="preserve"> </w:t>
            </w:r>
            <w:r w:rsidRPr="001B6E6D">
              <w:rPr>
                <w:sz w:val="18"/>
                <w:szCs w:val="18"/>
                <w:vertAlign w:val="superscript"/>
              </w:rPr>
              <w:t>a</w:t>
            </w:r>
          </w:p>
        </w:tc>
        <w:tc>
          <w:tcPr>
            <w:tcW w:w="5195" w:type="dxa"/>
            <w:hideMark/>
          </w:tcPr>
          <w:p w14:paraId="69422EE0" w14:textId="77777777" w:rsidR="00ED4111" w:rsidRPr="00FB36FD" w:rsidRDefault="00ED4111" w:rsidP="0029415E">
            <w:pPr>
              <w:pStyle w:val="NormalWeb"/>
              <w:rPr>
                <w:sz w:val="18"/>
                <w:szCs w:val="18"/>
              </w:rPr>
            </w:pPr>
            <w:r w:rsidRPr="00FB36FD">
              <w:rPr>
                <w:sz w:val="18"/>
                <w:szCs w:val="18"/>
              </w:rPr>
              <w:t>64 (47.8)</w:t>
            </w:r>
          </w:p>
        </w:tc>
      </w:tr>
      <w:tr w:rsidR="00ED4111" w:rsidRPr="00FB36FD" w14:paraId="7FCECA5A" w14:textId="77777777" w:rsidTr="00645EA2">
        <w:trPr>
          <w:cnfStyle w:val="000000010000" w:firstRow="0" w:lastRow="0" w:firstColumn="0" w:lastColumn="0" w:oddVBand="0" w:evenVBand="0" w:oddHBand="0" w:evenHBand="1" w:firstRowFirstColumn="0" w:firstRowLastColumn="0" w:lastRowFirstColumn="0" w:lastRowLastColumn="0"/>
          <w:divId w:val="1848444104"/>
        </w:trPr>
        <w:tc>
          <w:tcPr>
            <w:tcW w:w="5245" w:type="dxa"/>
            <w:hideMark/>
          </w:tcPr>
          <w:p w14:paraId="35550366" w14:textId="7144C660" w:rsidR="00ED4111" w:rsidRPr="00FB36FD" w:rsidRDefault="00ED4111" w:rsidP="00645EA2">
            <w:pPr>
              <w:pStyle w:val="NormalWeb"/>
              <w:jc w:val="left"/>
              <w:rPr>
                <w:sz w:val="18"/>
                <w:szCs w:val="18"/>
              </w:rPr>
            </w:pPr>
            <w:r w:rsidRPr="00FB36FD">
              <w:rPr>
                <w:sz w:val="18"/>
                <w:szCs w:val="18"/>
              </w:rPr>
              <w:t xml:space="preserve">Patients could not </w:t>
            </w:r>
            <w:proofErr w:type="gramStart"/>
            <w:r w:rsidRPr="00FB36FD">
              <w:rPr>
                <w:sz w:val="18"/>
                <w:szCs w:val="18"/>
              </w:rPr>
              <w:t>be contacted</w:t>
            </w:r>
            <w:proofErr w:type="gramEnd"/>
            <w:r w:rsidRPr="00FB36FD">
              <w:rPr>
                <w:sz w:val="18"/>
                <w:szCs w:val="18"/>
              </w:rPr>
              <w:t xml:space="preserve"> after follow-up</w:t>
            </w:r>
            <w:r w:rsidR="004D6F01">
              <w:rPr>
                <w:sz w:val="18"/>
                <w:szCs w:val="18"/>
              </w:rPr>
              <w:t xml:space="preserve"> </w:t>
            </w:r>
            <w:r w:rsidRPr="001B6E6D">
              <w:rPr>
                <w:sz w:val="18"/>
                <w:szCs w:val="18"/>
                <w:vertAlign w:val="superscript"/>
              </w:rPr>
              <w:t>b</w:t>
            </w:r>
          </w:p>
        </w:tc>
        <w:tc>
          <w:tcPr>
            <w:tcW w:w="5195" w:type="dxa"/>
            <w:hideMark/>
          </w:tcPr>
          <w:p w14:paraId="19702F2F" w14:textId="77777777" w:rsidR="00ED4111" w:rsidRPr="00FB36FD" w:rsidRDefault="00ED4111" w:rsidP="0029415E">
            <w:pPr>
              <w:pStyle w:val="NormalWeb"/>
              <w:rPr>
                <w:sz w:val="18"/>
                <w:szCs w:val="18"/>
              </w:rPr>
            </w:pPr>
            <w:r w:rsidRPr="00FB36FD">
              <w:rPr>
                <w:sz w:val="18"/>
                <w:szCs w:val="18"/>
              </w:rPr>
              <w:t>53 (39.6)</w:t>
            </w:r>
          </w:p>
        </w:tc>
      </w:tr>
      <w:tr w:rsidR="00ED4111" w:rsidRPr="00FB36FD" w14:paraId="7F8C27A0" w14:textId="77777777" w:rsidTr="00645EA2">
        <w:trPr>
          <w:divId w:val="1848444104"/>
        </w:trPr>
        <w:tc>
          <w:tcPr>
            <w:tcW w:w="5245" w:type="dxa"/>
            <w:hideMark/>
          </w:tcPr>
          <w:p w14:paraId="3B35EC4F" w14:textId="767B4204" w:rsidR="00ED4111" w:rsidRPr="00FB36FD" w:rsidRDefault="00ED4111" w:rsidP="00645EA2">
            <w:pPr>
              <w:pStyle w:val="NormalWeb"/>
              <w:jc w:val="left"/>
              <w:rPr>
                <w:sz w:val="18"/>
                <w:szCs w:val="18"/>
              </w:rPr>
            </w:pPr>
            <w:r w:rsidRPr="00FB36FD">
              <w:rPr>
                <w:sz w:val="18"/>
                <w:szCs w:val="18"/>
              </w:rPr>
              <w:t>No clinician response after second reminder</w:t>
            </w:r>
            <w:r w:rsidR="004D6F01">
              <w:rPr>
                <w:sz w:val="18"/>
                <w:szCs w:val="18"/>
              </w:rPr>
              <w:t xml:space="preserve"> </w:t>
            </w:r>
            <w:r w:rsidRPr="001B6E6D">
              <w:rPr>
                <w:sz w:val="18"/>
                <w:szCs w:val="18"/>
                <w:vertAlign w:val="superscript"/>
              </w:rPr>
              <w:t>c</w:t>
            </w:r>
          </w:p>
        </w:tc>
        <w:tc>
          <w:tcPr>
            <w:tcW w:w="5195" w:type="dxa"/>
            <w:hideMark/>
          </w:tcPr>
          <w:p w14:paraId="1EB7783B" w14:textId="77777777" w:rsidR="00ED4111" w:rsidRPr="00FB36FD" w:rsidRDefault="00ED4111" w:rsidP="0029415E">
            <w:pPr>
              <w:pStyle w:val="NormalWeb"/>
              <w:rPr>
                <w:sz w:val="18"/>
                <w:szCs w:val="18"/>
              </w:rPr>
            </w:pPr>
            <w:r w:rsidRPr="00FB36FD">
              <w:rPr>
                <w:sz w:val="18"/>
                <w:szCs w:val="18"/>
              </w:rPr>
              <w:t>10 (7.5)</w:t>
            </w:r>
          </w:p>
        </w:tc>
      </w:tr>
      <w:tr w:rsidR="00ED4111" w:rsidRPr="00FB36FD" w14:paraId="51058ECC" w14:textId="77777777" w:rsidTr="00645EA2">
        <w:trPr>
          <w:cnfStyle w:val="000000010000" w:firstRow="0" w:lastRow="0" w:firstColumn="0" w:lastColumn="0" w:oddVBand="0" w:evenVBand="0" w:oddHBand="0" w:evenHBand="1" w:firstRowFirstColumn="0" w:firstRowLastColumn="0" w:lastRowFirstColumn="0" w:lastRowLastColumn="0"/>
          <w:divId w:val="1848444104"/>
        </w:trPr>
        <w:tc>
          <w:tcPr>
            <w:tcW w:w="5245" w:type="dxa"/>
            <w:hideMark/>
          </w:tcPr>
          <w:p w14:paraId="3ED92E2B" w14:textId="71A07814" w:rsidR="00ED4111" w:rsidRPr="00FB36FD" w:rsidRDefault="00ED4111" w:rsidP="00645EA2">
            <w:pPr>
              <w:pStyle w:val="NormalWeb"/>
              <w:jc w:val="left"/>
              <w:rPr>
                <w:sz w:val="18"/>
                <w:szCs w:val="18"/>
              </w:rPr>
            </w:pPr>
            <w:r w:rsidRPr="00FB36FD">
              <w:rPr>
                <w:sz w:val="18"/>
                <w:szCs w:val="18"/>
              </w:rPr>
              <w:t>Lost to follow-up for other reason</w:t>
            </w:r>
            <w:r w:rsidR="004D6F01">
              <w:rPr>
                <w:sz w:val="18"/>
                <w:szCs w:val="18"/>
              </w:rPr>
              <w:t xml:space="preserve"> </w:t>
            </w:r>
            <w:r w:rsidRPr="001B6E6D">
              <w:rPr>
                <w:sz w:val="18"/>
                <w:szCs w:val="18"/>
                <w:vertAlign w:val="superscript"/>
              </w:rPr>
              <w:t>d</w:t>
            </w:r>
          </w:p>
        </w:tc>
        <w:tc>
          <w:tcPr>
            <w:tcW w:w="5195" w:type="dxa"/>
            <w:hideMark/>
          </w:tcPr>
          <w:p w14:paraId="2CCD0A01" w14:textId="77777777" w:rsidR="00ED4111" w:rsidRPr="00FB36FD" w:rsidRDefault="00ED4111" w:rsidP="0029415E">
            <w:pPr>
              <w:pStyle w:val="NormalWeb"/>
              <w:rPr>
                <w:sz w:val="18"/>
                <w:szCs w:val="18"/>
              </w:rPr>
            </w:pPr>
            <w:r w:rsidRPr="00FB36FD">
              <w:rPr>
                <w:sz w:val="18"/>
                <w:szCs w:val="18"/>
              </w:rPr>
              <w:t>7 (5.2)</w:t>
            </w:r>
          </w:p>
        </w:tc>
      </w:tr>
      <w:tr w:rsidR="00ED4111" w:rsidRPr="00EA4313" w14:paraId="1CA8E21A" w14:textId="77777777" w:rsidTr="00EA4313">
        <w:trPr>
          <w:divId w:val="1848444104"/>
        </w:trPr>
        <w:tc>
          <w:tcPr>
            <w:tcW w:w="5245" w:type="dxa"/>
            <w:shd w:val="clear" w:color="auto" w:fill="F7ECDD"/>
            <w:hideMark/>
          </w:tcPr>
          <w:p w14:paraId="5D43F80E" w14:textId="77777777" w:rsidR="00ED4111" w:rsidRPr="00EA4313" w:rsidRDefault="00ED4111" w:rsidP="00645EA2">
            <w:pPr>
              <w:pStyle w:val="NormalWeb"/>
              <w:jc w:val="left"/>
              <w:rPr>
                <w:b/>
                <w:bCs/>
                <w:sz w:val="18"/>
                <w:szCs w:val="18"/>
              </w:rPr>
            </w:pPr>
            <w:r w:rsidRPr="00EA4313">
              <w:rPr>
                <w:b/>
                <w:bCs/>
                <w:sz w:val="18"/>
                <w:szCs w:val="18"/>
              </w:rPr>
              <w:t>Total</w:t>
            </w:r>
          </w:p>
        </w:tc>
        <w:tc>
          <w:tcPr>
            <w:tcW w:w="5195" w:type="dxa"/>
            <w:shd w:val="clear" w:color="auto" w:fill="F7ECDD"/>
            <w:hideMark/>
          </w:tcPr>
          <w:p w14:paraId="13902A06" w14:textId="77777777" w:rsidR="00ED4111" w:rsidRPr="00EA4313" w:rsidRDefault="00ED4111" w:rsidP="0029415E">
            <w:pPr>
              <w:pStyle w:val="NormalWeb"/>
              <w:rPr>
                <w:b/>
                <w:bCs/>
                <w:sz w:val="18"/>
                <w:szCs w:val="18"/>
              </w:rPr>
            </w:pPr>
            <w:r w:rsidRPr="00EA4313">
              <w:rPr>
                <w:b/>
                <w:bCs/>
                <w:sz w:val="18"/>
                <w:szCs w:val="18"/>
              </w:rPr>
              <w:t>134</w:t>
            </w:r>
          </w:p>
        </w:tc>
      </w:tr>
    </w:tbl>
    <w:p w14:paraId="15F6C295" w14:textId="77777777" w:rsidR="00ED4111" w:rsidRDefault="00ED4111" w:rsidP="00ED4111">
      <w:pPr>
        <w:pStyle w:val="CDIfootnotes"/>
        <w:divId w:val="1848444104"/>
        <w:rPr>
          <w:lang w:val="en-GB"/>
        </w:rPr>
      </w:pPr>
      <w:r>
        <w:rPr>
          <w:lang w:val="en-GB"/>
        </w:rPr>
        <w:t>a</w:t>
      </w:r>
      <w:r>
        <w:rPr>
          <w:lang w:val="en-GB"/>
        </w:rPr>
        <w:tab/>
        <w:t>Clinics had already attempted and failed to recall patients before follow-up.</w:t>
      </w:r>
    </w:p>
    <w:p w14:paraId="36939E61" w14:textId="77777777" w:rsidR="00ED4111" w:rsidRDefault="00ED4111" w:rsidP="00ED4111">
      <w:pPr>
        <w:pStyle w:val="CDIfootnotes"/>
        <w:divId w:val="1848444104"/>
        <w:rPr>
          <w:lang w:val="en-GB"/>
        </w:rPr>
      </w:pPr>
      <w:r>
        <w:rPr>
          <w:lang w:val="en-GB"/>
        </w:rPr>
        <w:t>b</w:t>
      </w:r>
      <w:r>
        <w:rPr>
          <w:lang w:val="en-GB"/>
        </w:rPr>
        <w:tab/>
      </w:r>
      <w:proofErr w:type="gramStart"/>
      <w:r>
        <w:rPr>
          <w:lang w:val="en-GB"/>
        </w:rPr>
        <w:t>At</w:t>
      </w:r>
      <w:proofErr w:type="gramEnd"/>
      <w:r>
        <w:rPr>
          <w:lang w:val="en-GB"/>
        </w:rPr>
        <w:t xml:space="preserve"> point of follow-up, patients hadn’t re-presented to clinics; after follow-up, clinicians or clinics made attempts to contact patients but were unable to do so.</w:t>
      </w:r>
    </w:p>
    <w:p w14:paraId="582FB751" w14:textId="77777777" w:rsidR="00ED4111" w:rsidRDefault="00ED4111" w:rsidP="00ED4111">
      <w:pPr>
        <w:pStyle w:val="CDIfootnotes"/>
        <w:divId w:val="1848444104"/>
        <w:rPr>
          <w:lang w:val="en-GB"/>
        </w:rPr>
      </w:pPr>
      <w:r>
        <w:rPr>
          <w:lang w:val="en-GB"/>
        </w:rPr>
        <w:t>c</w:t>
      </w:r>
      <w:r>
        <w:rPr>
          <w:lang w:val="en-GB"/>
        </w:rPr>
        <w:tab/>
        <w:t>Clinician did not respond to Queensland Health’s attempts at contact.</w:t>
      </w:r>
    </w:p>
    <w:p w14:paraId="48FAD28C" w14:textId="4CECC02F" w:rsidR="00ED4111" w:rsidRPr="00503D20" w:rsidRDefault="00ED4111" w:rsidP="00503D20">
      <w:pPr>
        <w:pStyle w:val="CDIfootnotes"/>
        <w:divId w:val="1848444104"/>
        <w:rPr>
          <w:lang w:val="en-GB"/>
        </w:rPr>
      </w:pPr>
      <w:r>
        <w:rPr>
          <w:lang w:val="en-GB"/>
        </w:rPr>
        <w:t>d</w:t>
      </w:r>
      <w:r>
        <w:rPr>
          <w:lang w:val="en-GB"/>
        </w:rPr>
        <w:tab/>
        <w:t>GP named by patient during hospital admission was not current, or patient deceased before Queensland Health follow-up actions.</w:t>
      </w:r>
    </w:p>
    <w:p w14:paraId="6BC9787F" w14:textId="5FDD5460" w:rsidR="00D27C67" w:rsidRDefault="00D27C67" w:rsidP="00D27C67">
      <w:pPr>
        <w:divId w:val="1848444104"/>
      </w:pPr>
      <w:r>
        <w:t xml:space="preserve">Phone calls were the most effective way of contacting GPs, while email </w:t>
      </w:r>
      <w:proofErr w:type="gramStart"/>
      <w:r>
        <w:t>appeared to be</w:t>
      </w:r>
      <w:proofErr w:type="gramEnd"/>
      <w:r>
        <w:t xml:space="preserve"> better for hospital doctors. Many GPs used personal email addresses, and follow-up questionnaires </w:t>
      </w:r>
      <w:proofErr w:type="gramStart"/>
      <w:r>
        <w:t>were often sent</w:t>
      </w:r>
      <w:proofErr w:type="gramEnd"/>
      <w:r>
        <w:t xml:space="preserve"> to general clinic email addresses. All 65 GPs initially contacted by telephone were spoken to, but four of the </w:t>
      </w:r>
      <w:proofErr w:type="gramStart"/>
      <w:r>
        <w:t>65</w:t>
      </w:r>
      <w:proofErr w:type="gramEnd"/>
      <w:r>
        <w:t xml:space="preserve"> initially contacted by email were never successfully reached. It was difficult and time-consuming to contact hospital and emergency department doctors by telephone because of shift patterns and changing rosters, and because they </w:t>
      </w:r>
      <w:proofErr w:type="gramStart"/>
      <w:r>
        <w:t>frequently</w:t>
      </w:r>
      <w:proofErr w:type="gramEnd"/>
      <w:r>
        <w:t xml:space="preserve"> did not have ready access to patient records during the phone call. Hospital doctors usually completed the fillable PDF files electronically and emailed them back themselves from their hospital email addresses. For hospital and emergency department clinicians, four of the </w:t>
      </w:r>
      <w:proofErr w:type="gramStart"/>
      <w:r>
        <w:t>40</w:t>
      </w:r>
      <w:proofErr w:type="gramEnd"/>
      <w:r>
        <w:t xml:space="preserve"> contacted by telephone were never reached, and two of the 42 contacted by email never replied. </w:t>
      </w:r>
    </w:p>
    <w:p w14:paraId="2B20A343" w14:textId="77777777" w:rsidR="00D27C67" w:rsidRDefault="00D27C67" w:rsidP="00D27C67">
      <w:pPr>
        <w:divId w:val="1848444104"/>
      </w:pPr>
      <w:r>
        <w:t xml:space="preserve">Searching the pathology laboratory databases for individual patient records was time consuming. The three main pathology laboratories used in Queensland could </w:t>
      </w:r>
      <w:proofErr w:type="gramStart"/>
      <w:r>
        <w:t>be searched</w:t>
      </w:r>
      <w:proofErr w:type="gramEnd"/>
      <w:r>
        <w:t xml:space="preserve"> with online access to their databases. Occasionally, other laboratories were contacted by telephone to check for results, and telephone waiting times were sometimes </w:t>
      </w:r>
      <w:proofErr w:type="gramStart"/>
      <w:r>
        <w:t>exacerbated</w:t>
      </w:r>
      <w:proofErr w:type="gramEnd"/>
      <w:r>
        <w:t xml:space="preserve"> during the coronavirus disease 2019 (COVID-19) pandemic. The project officer spent two days every week working on the HCV notifications data and follow-ups: one day searching pathology databases for test results, and the other in </w:t>
      </w:r>
      <w:proofErr w:type="gramStart"/>
      <w:r>
        <w:t>attempting</w:t>
      </w:r>
      <w:proofErr w:type="gramEnd"/>
      <w:r>
        <w:t xml:space="preserve"> to contact the notifying/managing clinicians. </w:t>
      </w:r>
    </w:p>
    <w:p w14:paraId="1E241663" w14:textId="77777777" w:rsidR="00D27C67" w:rsidRPr="00D27C67" w:rsidRDefault="00D27C67" w:rsidP="00D27C67">
      <w:pPr>
        <w:pStyle w:val="Heading1"/>
        <w:divId w:val="1848444104"/>
      </w:pPr>
      <w:r w:rsidRPr="00D27C67">
        <w:lastRenderedPageBreak/>
        <w:t xml:space="preserve">Qualitative results </w:t>
      </w:r>
    </w:p>
    <w:p w14:paraId="697B8DA8" w14:textId="081F82F5" w:rsidR="00D27C67" w:rsidRDefault="00D27C67" w:rsidP="00D27C67">
      <w:pPr>
        <w:divId w:val="1848444104"/>
      </w:pPr>
      <w:r>
        <w:t xml:space="preserve">Fifteen doctors and one nurse practitioner </w:t>
      </w:r>
      <w:proofErr w:type="gramStart"/>
      <w:r>
        <w:t>participated</w:t>
      </w:r>
      <w:proofErr w:type="gramEnd"/>
      <w:r>
        <w:t xml:space="preserve"> in telephone interviews, which were conducted between 27 August and 30 September 2021 (Table 3).</w:t>
      </w:r>
    </w:p>
    <w:p w14:paraId="0F59701D" w14:textId="77777777" w:rsidR="00994682" w:rsidRPr="001B6E6D" w:rsidRDefault="00994682" w:rsidP="00994682">
      <w:pPr>
        <w:pStyle w:val="CDIFigures"/>
        <w:divId w:val="1848444104"/>
      </w:pPr>
      <w:r w:rsidRPr="001B6E6D">
        <w:rPr>
          <w:rStyle w:val="Strong"/>
          <w:b/>
          <w:bCs w:val="0"/>
        </w:rPr>
        <w:t xml:space="preserve">Table 3: Details of clinicians participating in telephone </w:t>
      </w:r>
      <w:proofErr w:type="gramStart"/>
      <w:r w:rsidRPr="001B6E6D">
        <w:rPr>
          <w:rStyle w:val="Strong"/>
          <w:b/>
          <w:bCs w:val="0"/>
        </w:rPr>
        <w:t>interviews</w:t>
      </w:r>
      <w:proofErr w:type="gramEnd"/>
    </w:p>
    <w:tbl>
      <w:tblPr>
        <w:tblStyle w:val="CDI-StandardTable"/>
        <w:tblW w:w="0" w:type="auto"/>
        <w:tblLook w:val="04A0" w:firstRow="1" w:lastRow="0" w:firstColumn="1" w:lastColumn="0" w:noHBand="0" w:noVBand="1"/>
        <w:tblDescription w:val="Table 3 shows the numbers and categories of clinicians who participated in qualitative interviews towards the end of the pilot project, to facilitate a better understanding of some of the challenges and barriers to testing and treating individuals at high risk of hepatitis C infection. &#10;"/>
      </w:tblPr>
      <w:tblGrid>
        <w:gridCol w:w="4536"/>
        <w:gridCol w:w="567"/>
        <w:gridCol w:w="5363"/>
      </w:tblGrid>
      <w:tr w:rsidR="00994682" w:rsidRPr="001B6E6D" w14:paraId="242AB4EF" w14:textId="77777777" w:rsidTr="00D455B7">
        <w:trPr>
          <w:cnfStyle w:val="100000000000" w:firstRow="1" w:lastRow="0" w:firstColumn="0" w:lastColumn="0" w:oddVBand="0" w:evenVBand="0" w:oddHBand="0" w:evenHBand="0" w:firstRowFirstColumn="0" w:firstRowLastColumn="0" w:lastRowFirstColumn="0" w:lastRowLastColumn="0"/>
          <w:divId w:val="1848444104"/>
        </w:trPr>
        <w:tc>
          <w:tcPr>
            <w:tcW w:w="4536" w:type="dxa"/>
            <w:tcBorders>
              <w:bottom w:val="single" w:sz="2" w:space="0" w:color="808080" w:themeColor="background1" w:themeShade="80"/>
            </w:tcBorders>
            <w:hideMark/>
          </w:tcPr>
          <w:p w14:paraId="752ECFCA" w14:textId="77777777" w:rsidR="00994682" w:rsidRPr="001B6E6D" w:rsidRDefault="00994682" w:rsidP="0029415E">
            <w:pPr>
              <w:pStyle w:val="NormalWeb"/>
              <w:rPr>
                <w:sz w:val="18"/>
                <w:szCs w:val="18"/>
              </w:rPr>
            </w:pPr>
            <w:r w:rsidRPr="001B6E6D">
              <w:rPr>
                <w:sz w:val="18"/>
                <w:szCs w:val="18"/>
              </w:rPr>
              <w:t>Clinicians</w:t>
            </w:r>
          </w:p>
        </w:tc>
        <w:tc>
          <w:tcPr>
            <w:tcW w:w="567" w:type="dxa"/>
            <w:tcBorders>
              <w:bottom w:val="single" w:sz="2" w:space="0" w:color="808080" w:themeColor="background1" w:themeShade="80"/>
            </w:tcBorders>
            <w:hideMark/>
          </w:tcPr>
          <w:p w14:paraId="1FE66E9F" w14:textId="77777777" w:rsidR="00994682" w:rsidRPr="001B6E6D" w:rsidRDefault="00994682" w:rsidP="0029415E">
            <w:pPr>
              <w:pStyle w:val="NormalWeb"/>
              <w:rPr>
                <w:sz w:val="18"/>
                <w:szCs w:val="18"/>
              </w:rPr>
            </w:pPr>
            <w:r w:rsidRPr="001B6E6D">
              <w:rPr>
                <w:sz w:val="18"/>
                <w:szCs w:val="18"/>
              </w:rPr>
              <w:t>N</w:t>
            </w:r>
          </w:p>
        </w:tc>
        <w:tc>
          <w:tcPr>
            <w:tcW w:w="5363" w:type="dxa"/>
            <w:tcBorders>
              <w:bottom w:val="single" w:sz="2" w:space="0" w:color="808080" w:themeColor="background1" w:themeShade="80"/>
            </w:tcBorders>
            <w:hideMark/>
          </w:tcPr>
          <w:p w14:paraId="662E9583" w14:textId="77777777" w:rsidR="00994682" w:rsidRPr="001B6E6D" w:rsidRDefault="00994682" w:rsidP="00D455B7">
            <w:pPr>
              <w:pStyle w:val="NormalWeb"/>
              <w:jc w:val="left"/>
              <w:rPr>
                <w:sz w:val="18"/>
                <w:szCs w:val="18"/>
              </w:rPr>
            </w:pPr>
            <w:r w:rsidRPr="001B6E6D">
              <w:rPr>
                <w:sz w:val="18"/>
                <w:szCs w:val="18"/>
              </w:rPr>
              <w:t>Details</w:t>
            </w:r>
          </w:p>
        </w:tc>
      </w:tr>
      <w:tr w:rsidR="00994682" w:rsidRPr="001B6E6D" w14:paraId="5841602A" w14:textId="77777777" w:rsidTr="00D455B7">
        <w:trPr>
          <w:divId w:val="1848444104"/>
        </w:trPr>
        <w:tc>
          <w:tcPr>
            <w:tcW w:w="453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6BEF59" w14:textId="77777777" w:rsidR="00994682" w:rsidRPr="001B6E6D" w:rsidRDefault="00994682" w:rsidP="00D455B7">
            <w:pPr>
              <w:pStyle w:val="NormalWeb"/>
              <w:jc w:val="left"/>
              <w:rPr>
                <w:sz w:val="18"/>
                <w:szCs w:val="18"/>
              </w:rPr>
            </w:pPr>
            <w:r w:rsidRPr="001B6E6D">
              <w:rPr>
                <w:sz w:val="18"/>
                <w:szCs w:val="18"/>
              </w:rPr>
              <w:t>General practitioners</w:t>
            </w:r>
          </w:p>
        </w:tc>
        <w:tc>
          <w:tcPr>
            <w:tcW w:w="56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C9D77C" w14:textId="77777777" w:rsidR="00994682" w:rsidRPr="001B6E6D" w:rsidRDefault="00994682" w:rsidP="0029415E">
            <w:pPr>
              <w:pStyle w:val="NormalWeb"/>
              <w:rPr>
                <w:sz w:val="18"/>
                <w:szCs w:val="18"/>
              </w:rPr>
            </w:pPr>
            <w:r w:rsidRPr="001B6E6D">
              <w:rPr>
                <w:sz w:val="18"/>
                <w:szCs w:val="18"/>
              </w:rPr>
              <w:t>6</w:t>
            </w: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5CAC0E" w14:textId="77777777" w:rsidR="00994682" w:rsidRPr="001B6E6D" w:rsidRDefault="00994682" w:rsidP="00D455B7">
            <w:pPr>
              <w:pStyle w:val="NormalWeb"/>
              <w:jc w:val="left"/>
              <w:rPr>
                <w:sz w:val="18"/>
                <w:szCs w:val="18"/>
              </w:rPr>
            </w:pPr>
            <w:r w:rsidRPr="001B6E6D">
              <w:rPr>
                <w:sz w:val="18"/>
                <w:szCs w:val="18"/>
              </w:rPr>
              <w:t>Three general practitioners in group practices</w:t>
            </w:r>
          </w:p>
        </w:tc>
      </w:tr>
      <w:tr w:rsidR="00D455B7" w:rsidRPr="001B6E6D" w14:paraId="73BB7D91" w14:textId="77777777" w:rsidTr="00D455B7">
        <w:trPr>
          <w:cnfStyle w:val="000000010000" w:firstRow="0" w:lastRow="0" w:firstColumn="0" w:lastColumn="0" w:oddVBand="0" w:evenVBand="0" w:oddHBand="0" w:evenHBand="1" w:firstRowFirstColumn="0" w:firstRowLastColumn="0" w:lastRowFirstColumn="0" w:lastRowLastColumn="0"/>
          <w:divId w:val="1848444104"/>
        </w:trPr>
        <w:tc>
          <w:tcPr>
            <w:tcW w:w="453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13053F" w14:textId="77777777" w:rsidR="00994682" w:rsidRPr="001B6E6D" w:rsidRDefault="00994682" w:rsidP="00D455B7">
            <w:pPr>
              <w:rPr>
                <w:sz w:val="18"/>
                <w:szCs w:val="18"/>
              </w:rPr>
            </w:pPr>
          </w:p>
        </w:tc>
        <w:tc>
          <w:tcPr>
            <w:tcW w:w="56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BD217E" w14:textId="77777777" w:rsidR="00994682" w:rsidRPr="001B6E6D" w:rsidRDefault="00994682" w:rsidP="0029415E">
            <w:pPr>
              <w:rPr>
                <w:sz w:val="18"/>
                <w:szCs w:val="18"/>
              </w:rPr>
            </w:pP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BAD649" w14:textId="77777777" w:rsidR="00994682" w:rsidRPr="001B6E6D" w:rsidRDefault="00994682" w:rsidP="00D455B7">
            <w:pPr>
              <w:pStyle w:val="NormalWeb"/>
              <w:jc w:val="left"/>
              <w:rPr>
                <w:sz w:val="18"/>
                <w:szCs w:val="18"/>
              </w:rPr>
            </w:pPr>
            <w:r w:rsidRPr="001B6E6D">
              <w:rPr>
                <w:sz w:val="18"/>
                <w:szCs w:val="18"/>
              </w:rPr>
              <w:t>Two general practitioners working in Aboriginal Medical Services</w:t>
            </w:r>
          </w:p>
        </w:tc>
      </w:tr>
      <w:tr w:rsidR="00994682" w:rsidRPr="001B6E6D" w14:paraId="0BE23454" w14:textId="77777777" w:rsidTr="00D455B7">
        <w:trPr>
          <w:divId w:val="1848444104"/>
        </w:trPr>
        <w:tc>
          <w:tcPr>
            <w:tcW w:w="453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CD15B7" w14:textId="77777777" w:rsidR="00994682" w:rsidRPr="001B6E6D" w:rsidRDefault="00994682" w:rsidP="00D455B7">
            <w:pPr>
              <w:rPr>
                <w:sz w:val="18"/>
                <w:szCs w:val="18"/>
              </w:rPr>
            </w:pPr>
          </w:p>
        </w:tc>
        <w:tc>
          <w:tcPr>
            <w:tcW w:w="56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C6F901" w14:textId="77777777" w:rsidR="00994682" w:rsidRPr="001B6E6D" w:rsidRDefault="00994682" w:rsidP="0029415E">
            <w:pPr>
              <w:rPr>
                <w:sz w:val="18"/>
                <w:szCs w:val="18"/>
              </w:rPr>
            </w:pP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4B6803" w14:textId="77777777" w:rsidR="00994682" w:rsidRPr="001B6E6D" w:rsidRDefault="00994682" w:rsidP="00D455B7">
            <w:pPr>
              <w:pStyle w:val="NormalWeb"/>
              <w:jc w:val="left"/>
              <w:rPr>
                <w:sz w:val="18"/>
                <w:szCs w:val="18"/>
              </w:rPr>
            </w:pPr>
            <w:r w:rsidRPr="001B6E6D">
              <w:rPr>
                <w:sz w:val="18"/>
                <w:szCs w:val="18"/>
              </w:rPr>
              <w:t>One general practitioner working at a homeless and low socioeconomic status specialist outreach service in Brisbane</w:t>
            </w:r>
          </w:p>
        </w:tc>
      </w:tr>
      <w:tr w:rsidR="00D455B7" w:rsidRPr="001B6E6D" w14:paraId="0EF206C3" w14:textId="77777777" w:rsidTr="00D455B7">
        <w:trPr>
          <w:cnfStyle w:val="000000010000" w:firstRow="0" w:lastRow="0" w:firstColumn="0" w:lastColumn="0" w:oddVBand="0" w:evenVBand="0" w:oddHBand="0" w:evenHBand="1" w:firstRowFirstColumn="0" w:firstRowLastColumn="0" w:lastRowFirstColumn="0" w:lastRowLastColumn="0"/>
          <w:divId w:val="1848444104"/>
        </w:trPr>
        <w:tc>
          <w:tcPr>
            <w:tcW w:w="453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FE2A17" w14:textId="77777777" w:rsidR="00994682" w:rsidRPr="001B6E6D" w:rsidRDefault="00994682" w:rsidP="00D455B7">
            <w:pPr>
              <w:pStyle w:val="NormalWeb"/>
              <w:jc w:val="left"/>
              <w:rPr>
                <w:sz w:val="18"/>
                <w:szCs w:val="18"/>
              </w:rPr>
            </w:pPr>
            <w:r w:rsidRPr="001B6E6D">
              <w:rPr>
                <w:sz w:val="18"/>
                <w:szCs w:val="18"/>
              </w:rPr>
              <w:t>Hospital and emergency department doctors</w:t>
            </w:r>
          </w:p>
        </w:tc>
        <w:tc>
          <w:tcPr>
            <w:tcW w:w="56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A1C1AB" w14:textId="77777777" w:rsidR="00994682" w:rsidRPr="001B6E6D" w:rsidRDefault="00994682" w:rsidP="0029415E">
            <w:pPr>
              <w:pStyle w:val="NormalWeb"/>
              <w:rPr>
                <w:sz w:val="18"/>
                <w:szCs w:val="18"/>
              </w:rPr>
            </w:pPr>
            <w:r w:rsidRPr="001B6E6D">
              <w:rPr>
                <w:sz w:val="18"/>
                <w:szCs w:val="18"/>
              </w:rPr>
              <w:t>7</w:t>
            </w: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8FAD23" w14:textId="77777777" w:rsidR="00994682" w:rsidRPr="001B6E6D" w:rsidRDefault="00994682" w:rsidP="00D455B7">
            <w:pPr>
              <w:pStyle w:val="NormalWeb"/>
              <w:jc w:val="left"/>
              <w:rPr>
                <w:sz w:val="18"/>
                <w:szCs w:val="18"/>
              </w:rPr>
            </w:pPr>
            <w:r w:rsidRPr="001B6E6D">
              <w:rPr>
                <w:sz w:val="18"/>
                <w:szCs w:val="18"/>
              </w:rPr>
              <w:t xml:space="preserve">Three emergency department directors from large metropolitan hospitals in </w:t>
            </w:r>
            <w:proofErr w:type="gramStart"/>
            <w:r w:rsidRPr="001B6E6D">
              <w:rPr>
                <w:sz w:val="18"/>
                <w:szCs w:val="18"/>
              </w:rPr>
              <w:t>south east</w:t>
            </w:r>
            <w:proofErr w:type="gramEnd"/>
            <w:r w:rsidRPr="001B6E6D">
              <w:rPr>
                <w:sz w:val="18"/>
                <w:szCs w:val="18"/>
              </w:rPr>
              <w:t xml:space="preserve"> Queensland</w:t>
            </w:r>
          </w:p>
        </w:tc>
      </w:tr>
      <w:tr w:rsidR="00994682" w:rsidRPr="001B6E6D" w14:paraId="4898BB0E" w14:textId="77777777" w:rsidTr="00D455B7">
        <w:trPr>
          <w:divId w:val="1848444104"/>
        </w:trPr>
        <w:tc>
          <w:tcPr>
            <w:tcW w:w="453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FA21A8" w14:textId="77777777" w:rsidR="00994682" w:rsidRPr="001B6E6D" w:rsidRDefault="00994682" w:rsidP="00D455B7">
            <w:pPr>
              <w:rPr>
                <w:sz w:val="18"/>
                <w:szCs w:val="18"/>
              </w:rPr>
            </w:pPr>
          </w:p>
        </w:tc>
        <w:tc>
          <w:tcPr>
            <w:tcW w:w="56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EA1A6D" w14:textId="77777777" w:rsidR="00994682" w:rsidRPr="001B6E6D" w:rsidRDefault="00994682" w:rsidP="0029415E">
            <w:pPr>
              <w:rPr>
                <w:sz w:val="18"/>
                <w:szCs w:val="18"/>
              </w:rPr>
            </w:pP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048CC3" w14:textId="77777777" w:rsidR="00994682" w:rsidRPr="001B6E6D" w:rsidRDefault="00994682" w:rsidP="00D455B7">
            <w:pPr>
              <w:pStyle w:val="NormalWeb"/>
              <w:jc w:val="left"/>
              <w:rPr>
                <w:sz w:val="18"/>
                <w:szCs w:val="18"/>
              </w:rPr>
            </w:pPr>
            <w:r w:rsidRPr="001B6E6D">
              <w:rPr>
                <w:sz w:val="18"/>
                <w:szCs w:val="18"/>
              </w:rPr>
              <w:t>Two emergency department directors from regional Queensland hospitals</w:t>
            </w:r>
          </w:p>
        </w:tc>
      </w:tr>
      <w:tr w:rsidR="00D455B7" w:rsidRPr="001B6E6D" w14:paraId="13138798" w14:textId="77777777" w:rsidTr="00D455B7">
        <w:trPr>
          <w:cnfStyle w:val="000000010000" w:firstRow="0" w:lastRow="0" w:firstColumn="0" w:lastColumn="0" w:oddVBand="0" w:evenVBand="0" w:oddHBand="0" w:evenHBand="1" w:firstRowFirstColumn="0" w:firstRowLastColumn="0" w:lastRowFirstColumn="0" w:lastRowLastColumn="0"/>
          <w:divId w:val="1848444104"/>
        </w:trPr>
        <w:tc>
          <w:tcPr>
            <w:tcW w:w="453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4CD3FD" w14:textId="77777777" w:rsidR="00994682" w:rsidRPr="001B6E6D" w:rsidRDefault="00994682" w:rsidP="00D455B7">
            <w:pPr>
              <w:rPr>
                <w:sz w:val="18"/>
                <w:szCs w:val="18"/>
              </w:rPr>
            </w:pPr>
          </w:p>
        </w:tc>
        <w:tc>
          <w:tcPr>
            <w:tcW w:w="56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D6AD2" w14:textId="77777777" w:rsidR="00994682" w:rsidRPr="001B6E6D" w:rsidRDefault="00994682" w:rsidP="0029415E">
            <w:pPr>
              <w:rPr>
                <w:sz w:val="18"/>
                <w:szCs w:val="18"/>
              </w:rPr>
            </w:pP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A7F94B" w14:textId="77777777" w:rsidR="00994682" w:rsidRPr="001B6E6D" w:rsidRDefault="00994682" w:rsidP="00D455B7">
            <w:pPr>
              <w:pStyle w:val="NormalWeb"/>
              <w:jc w:val="left"/>
              <w:rPr>
                <w:sz w:val="18"/>
                <w:szCs w:val="18"/>
              </w:rPr>
            </w:pPr>
            <w:r w:rsidRPr="001B6E6D">
              <w:rPr>
                <w:sz w:val="18"/>
                <w:szCs w:val="18"/>
              </w:rPr>
              <w:t>One resident/senior house officer at an emergency department in regional Queensland</w:t>
            </w:r>
          </w:p>
        </w:tc>
      </w:tr>
      <w:tr w:rsidR="00994682" w:rsidRPr="001B6E6D" w14:paraId="20B6EC64" w14:textId="77777777" w:rsidTr="00D455B7">
        <w:trPr>
          <w:divId w:val="1848444104"/>
        </w:trPr>
        <w:tc>
          <w:tcPr>
            <w:tcW w:w="453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45816C" w14:textId="77777777" w:rsidR="00994682" w:rsidRPr="001B6E6D" w:rsidRDefault="00994682" w:rsidP="00D455B7">
            <w:pPr>
              <w:rPr>
                <w:sz w:val="18"/>
                <w:szCs w:val="18"/>
              </w:rPr>
            </w:pPr>
          </w:p>
        </w:tc>
        <w:tc>
          <w:tcPr>
            <w:tcW w:w="56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82F6B5" w14:textId="77777777" w:rsidR="00994682" w:rsidRPr="001B6E6D" w:rsidRDefault="00994682" w:rsidP="0029415E">
            <w:pPr>
              <w:rPr>
                <w:sz w:val="18"/>
                <w:szCs w:val="18"/>
              </w:rPr>
            </w:pP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3F5BF1" w14:textId="77777777" w:rsidR="00994682" w:rsidRPr="001B6E6D" w:rsidRDefault="00994682" w:rsidP="00D455B7">
            <w:pPr>
              <w:pStyle w:val="NormalWeb"/>
              <w:jc w:val="left"/>
              <w:rPr>
                <w:sz w:val="18"/>
                <w:szCs w:val="18"/>
              </w:rPr>
            </w:pPr>
            <w:r w:rsidRPr="001B6E6D">
              <w:rPr>
                <w:sz w:val="18"/>
                <w:szCs w:val="18"/>
              </w:rPr>
              <w:t xml:space="preserve">One infectious diseases director at a large metropolitan hospital in </w:t>
            </w:r>
            <w:proofErr w:type="gramStart"/>
            <w:r w:rsidRPr="001B6E6D">
              <w:rPr>
                <w:sz w:val="18"/>
                <w:szCs w:val="18"/>
              </w:rPr>
              <w:t>south east</w:t>
            </w:r>
            <w:proofErr w:type="gramEnd"/>
            <w:r w:rsidRPr="001B6E6D">
              <w:rPr>
                <w:sz w:val="18"/>
                <w:szCs w:val="18"/>
              </w:rPr>
              <w:t xml:space="preserve"> Queensland</w:t>
            </w:r>
          </w:p>
        </w:tc>
      </w:tr>
      <w:tr w:rsidR="00D455B7" w:rsidRPr="001B6E6D" w14:paraId="5BCED54C" w14:textId="77777777" w:rsidTr="00D455B7">
        <w:trPr>
          <w:cnfStyle w:val="000000010000" w:firstRow="0" w:lastRow="0" w:firstColumn="0" w:lastColumn="0" w:oddVBand="0" w:evenVBand="0" w:oddHBand="0" w:evenHBand="1" w:firstRowFirstColumn="0" w:firstRowLastColumn="0" w:lastRowFirstColumn="0" w:lastRowLastColumn="0"/>
          <w:divId w:val="1848444104"/>
        </w:trPr>
        <w:tc>
          <w:tcPr>
            <w:tcW w:w="453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9788E1" w14:textId="77777777" w:rsidR="00994682" w:rsidRPr="001B6E6D" w:rsidRDefault="00994682" w:rsidP="00D455B7">
            <w:pPr>
              <w:pStyle w:val="NormalWeb"/>
              <w:jc w:val="left"/>
              <w:rPr>
                <w:sz w:val="18"/>
                <w:szCs w:val="18"/>
              </w:rPr>
            </w:pPr>
            <w:r w:rsidRPr="001B6E6D">
              <w:rPr>
                <w:sz w:val="18"/>
                <w:szCs w:val="18"/>
              </w:rPr>
              <w:t xml:space="preserve">Alcohol and other drugs services and sexual health </w:t>
            </w:r>
            <w:proofErr w:type="gramStart"/>
            <w:r w:rsidRPr="001B6E6D">
              <w:rPr>
                <w:sz w:val="18"/>
                <w:szCs w:val="18"/>
              </w:rPr>
              <w:t>service</w:t>
            </w:r>
            <w:proofErr w:type="gramEnd"/>
          </w:p>
        </w:tc>
        <w:tc>
          <w:tcPr>
            <w:tcW w:w="56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6ADD54" w14:textId="77777777" w:rsidR="00994682" w:rsidRPr="001B6E6D" w:rsidRDefault="00994682" w:rsidP="0029415E">
            <w:pPr>
              <w:pStyle w:val="NormalWeb"/>
              <w:rPr>
                <w:sz w:val="18"/>
                <w:szCs w:val="18"/>
              </w:rPr>
            </w:pPr>
            <w:r w:rsidRPr="001B6E6D">
              <w:rPr>
                <w:sz w:val="18"/>
                <w:szCs w:val="18"/>
              </w:rPr>
              <w:t>3</w:t>
            </w: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B9C531" w14:textId="77777777" w:rsidR="00994682" w:rsidRPr="001B6E6D" w:rsidRDefault="00994682" w:rsidP="00D455B7">
            <w:pPr>
              <w:pStyle w:val="NormalWeb"/>
              <w:jc w:val="left"/>
              <w:rPr>
                <w:sz w:val="18"/>
                <w:szCs w:val="18"/>
              </w:rPr>
            </w:pPr>
            <w:r w:rsidRPr="001B6E6D">
              <w:rPr>
                <w:sz w:val="18"/>
                <w:szCs w:val="18"/>
              </w:rPr>
              <w:t>Two sexual health services directors/consultants in regional Queensland</w:t>
            </w:r>
          </w:p>
        </w:tc>
      </w:tr>
      <w:tr w:rsidR="00994682" w:rsidRPr="001B6E6D" w14:paraId="3D62AD78" w14:textId="77777777" w:rsidTr="00D455B7">
        <w:trPr>
          <w:divId w:val="1848444104"/>
        </w:trPr>
        <w:tc>
          <w:tcPr>
            <w:tcW w:w="453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D99F0D" w14:textId="77777777" w:rsidR="00994682" w:rsidRPr="001B6E6D" w:rsidRDefault="00994682" w:rsidP="0029415E">
            <w:pPr>
              <w:rPr>
                <w:sz w:val="18"/>
                <w:szCs w:val="18"/>
              </w:rPr>
            </w:pPr>
          </w:p>
        </w:tc>
        <w:tc>
          <w:tcPr>
            <w:tcW w:w="56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B7726A" w14:textId="77777777" w:rsidR="00994682" w:rsidRPr="001B6E6D" w:rsidRDefault="00994682" w:rsidP="0029415E">
            <w:pPr>
              <w:rPr>
                <w:sz w:val="18"/>
                <w:szCs w:val="18"/>
              </w:rPr>
            </w:pPr>
          </w:p>
        </w:tc>
        <w:tc>
          <w:tcPr>
            <w:tcW w:w="53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AD2B4A" w14:textId="77777777" w:rsidR="00994682" w:rsidRPr="001B6E6D" w:rsidRDefault="00994682" w:rsidP="00D455B7">
            <w:pPr>
              <w:pStyle w:val="NormalWeb"/>
              <w:jc w:val="left"/>
              <w:rPr>
                <w:sz w:val="18"/>
                <w:szCs w:val="18"/>
              </w:rPr>
            </w:pPr>
            <w:r w:rsidRPr="001B6E6D">
              <w:rPr>
                <w:sz w:val="18"/>
                <w:szCs w:val="18"/>
              </w:rPr>
              <w:t>One alcohol and other drugs service nurse practitioner in regional Queensland</w:t>
            </w:r>
          </w:p>
        </w:tc>
      </w:tr>
    </w:tbl>
    <w:p w14:paraId="759C7C4C" w14:textId="77777777" w:rsidR="00994682" w:rsidRDefault="00994682" w:rsidP="00D27C67">
      <w:pPr>
        <w:divId w:val="1848444104"/>
      </w:pPr>
    </w:p>
    <w:p w14:paraId="43F660FD" w14:textId="052AA67E" w:rsidR="00D27C67" w:rsidRDefault="00D27C67" w:rsidP="00D27C67">
      <w:pPr>
        <w:divId w:val="1848444104"/>
      </w:pPr>
      <w:r>
        <w:t>Although clinicians in both community and hospital settings reported trying to contact individuals to inform them of a positive HCV result, patients were sometimes uncontactable. Clinicians reported that some HCV positive patients had complex lifestyles or had competing issues in their lives that they prioritised above a health condition such as</w:t>
      </w:r>
      <w:r w:rsidR="003E6769">
        <w:t> </w:t>
      </w:r>
      <w:r>
        <w:t xml:space="preserve">HCV: </w:t>
      </w:r>
    </w:p>
    <w:p w14:paraId="5DF3A685" w14:textId="77777777" w:rsidR="00D27C67" w:rsidRDefault="00D27C67" w:rsidP="004D6F01">
      <w:pPr>
        <w:ind w:left="720"/>
        <w:divId w:val="1848444104"/>
      </w:pPr>
      <w:proofErr w:type="gramStart"/>
      <w:r>
        <w:t>Generally, this</w:t>
      </w:r>
      <w:proofErr w:type="gramEnd"/>
      <w:r>
        <w:t xml:space="preserve"> group of people don’t have a GP, which makes it even harder. </w:t>
      </w:r>
      <w:proofErr w:type="gramStart"/>
      <w:r>
        <w:t>So</w:t>
      </w:r>
      <w:proofErr w:type="gramEnd"/>
      <w:r>
        <w:t xml:space="preserve"> you look on the system, often they’re slightly more likely to not pick up their phone or have a disconnected number, so you can’t get on to them and then they don’t have a GP on the system, which then gets stuck there. (</w:t>
      </w:r>
      <w:r w:rsidRPr="00A32890">
        <w:rPr>
          <w:rStyle w:val="Emphasis"/>
          <w:b w:val="0"/>
          <w:bCs w:val="0"/>
        </w:rPr>
        <w:t>Senior house officer in regional emergency department</w:t>
      </w:r>
      <w:r>
        <w:t xml:space="preserve">) </w:t>
      </w:r>
    </w:p>
    <w:p w14:paraId="674829A2" w14:textId="77777777" w:rsidR="00D27C67" w:rsidRDefault="00D27C67" w:rsidP="00D27C67">
      <w:pPr>
        <w:divId w:val="1848444104"/>
      </w:pPr>
      <w:r>
        <w:t xml:space="preserve">Challenges to follow-up also </w:t>
      </w:r>
      <w:proofErr w:type="spellStart"/>
      <w:r>
        <w:t>occured</w:t>
      </w:r>
      <w:proofErr w:type="spellEnd"/>
      <w:r>
        <w:t xml:space="preserve"> with patients of community-based services: </w:t>
      </w:r>
    </w:p>
    <w:p w14:paraId="56722C94" w14:textId="77777777" w:rsidR="00D27C67" w:rsidRDefault="00D27C67" w:rsidP="004D6F01">
      <w:pPr>
        <w:ind w:left="720"/>
        <w:divId w:val="1848444104"/>
        <w:rPr>
          <w:rFonts w:eastAsia="Times New Roman"/>
        </w:rPr>
      </w:pPr>
      <w:r>
        <w:rPr>
          <w:rFonts w:eastAsia="Times New Roman"/>
        </w:rPr>
        <w:t xml:space="preserve">I’ve only met her three or four times and each time we’ve talked about her hepatitis </w:t>
      </w:r>
      <w:proofErr w:type="gramStart"/>
      <w:r>
        <w:rPr>
          <w:rFonts w:eastAsia="Times New Roman"/>
        </w:rPr>
        <w:t>C</w:t>
      </w:r>
      <w:proofErr w:type="gramEnd"/>
      <w:r>
        <w:rPr>
          <w:rFonts w:eastAsia="Times New Roman"/>
        </w:rPr>
        <w:t xml:space="preserve"> and I’ve arranged investigations which she then hasn’t got done… I </w:t>
      </w:r>
      <w:proofErr w:type="gramStart"/>
      <w:r>
        <w:rPr>
          <w:rFonts w:eastAsia="Times New Roman"/>
        </w:rPr>
        <w:t>don’t</w:t>
      </w:r>
      <w:proofErr w:type="gramEnd"/>
      <w:r>
        <w:rPr>
          <w:rFonts w:eastAsia="Times New Roman"/>
        </w:rPr>
        <w:t xml:space="preserve"> know what, what has happened to that patient actually. </w:t>
      </w:r>
      <w:proofErr w:type="gramStart"/>
      <w:r>
        <w:rPr>
          <w:rFonts w:eastAsia="Times New Roman"/>
        </w:rPr>
        <w:t>She’s</w:t>
      </w:r>
      <w:proofErr w:type="gramEnd"/>
      <w:r>
        <w:rPr>
          <w:rFonts w:eastAsia="Times New Roman"/>
        </w:rPr>
        <w:t xml:space="preserve"> not returned back to the clinic. (</w:t>
      </w:r>
      <w:r w:rsidRPr="00A32890">
        <w:rPr>
          <w:rStyle w:val="Emphasis"/>
          <w:rFonts w:eastAsia="Times New Roman"/>
          <w:b w:val="0"/>
          <w:bCs w:val="0"/>
        </w:rPr>
        <w:t>GP in a regional town</w:t>
      </w:r>
      <w:r>
        <w:rPr>
          <w:rFonts w:eastAsia="Times New Roman"/>
        </w:rPr>
        <w:t xml:space="preserve">) </w:t>
      </w:r>
    </w:p>
    <w:p w14:paraId="752505D9" w14:textId="77777777" w:rsidR="00D27C67" w:rsidRDefault="00D27C67" w:rsidP="00D27C67">
      <w:pPr>
        <w:divId w:val="1848444104"/>
      </w:pPr>
      <w:r>
        <w:t xml:space="preserve">Hospital and emergency department clinicians sometimes tried to inform a patient’s GP of a positive HCV-AB test result if they could not reach a patient; the direct communication channels or record sharing systems between hospitals and GPs were limited to telephones, faxes, emails, discharge summaries (for inpatients only) and letter writing. Requests to GPs to follow up with further HCV-RNA testing could only be made if patients had </w:t>
      </w:r>
      <w:proofErr w:type="gramStart"/>
      <w:r>
        <w:t>provided</w:t>
      </w:r>
      <w:proofErr w:type="gramEnd"/>
      <w:r>
        <w:t xml:space="preserve"> GP details at the time of hospital admission. </w:t>
      </w:r>
    </w:p>
    <w:p w14:paraId="285E5F1A" w14:textId="77777777" w:rsidR="00D27C67" w:rsidRDefault="00D27C67" w:rsidP="00D27C67">
      <w:pPr>
        <w:divId w:val="1848444104"/>
      </w:pPr>
      <w:r>
        <w:t xml:space="preserve">Poor communication between hospital doctors and GPs could also be a barrier to follow-up care after diagnosis: </w:t>
      </w:r>
    </w:p>
    <w:p w14:paraId="4773394B" w14:textId="77777777" w:rsidR="00D27C67" w:rsidRDefault="00D27C67" w:rsidP="004D6F01">
      <w:pPr>
        <w:ind w:left="720"/>
        <w:divId w:val="1848444104"/>
        <w:rPr>
          <w:rFonts w:eastAsia="Times New Roman"/>
        </w:rPr>
      </w:pPr>
      <w:proofErr w:type="gramStart"/>
      <w:r>
        <w:rPr>
          <w:rFonts w:eastAsia="Times New Roman"/>
        </w:rPr>
        <w:lastRenderedPageBreak/>
        <w:t>Believe it or not</w:t>
      </w:r>
      <w:proofErr w:type="gramEnd"/>
      <w:r>
        <w:rPr>
          <w:rFonts w:eastAsia="Times New Roman"/>
        </w:rPr>
        <w:t xml:space="preserve">, there’s very poor communication systems from within our electronic record back to the GP... </w:t>
      </w:r>
      <w:proofErr w:type="gramStart"/>
      <w:r>
        <w:rPr>
          <w:rFonts w:eastAsia="Times New Roman"/>
        </w:rPr>
        <w:t>Generally, their</w:t>
      </w:r>
      <w:proofErr w:type="gramEnd"/>
      <w:r>
        <w:rPr>
          <w:rFonts w:eastAsia="Times New Roman"/>
        </w:rPr>
        <w:t xml:space="preserve"> discharge letter will be given to the patient, unless they’re admitted. If </w:t>
      </w:r>
      <w:proofErr w:type="gramStart"/>
      <w:r>
        <w:rPr>
          <w:rFonts w:eastAsia="Times New Roman"/>
        </w:rPr>
        <w:t>they’re</w:t>
      </w:r>
      <w:proofErr w:type="gramEnd"/>
      <w:r>
        <w:rPr>
          <w:rFonts w:eastAsia="Times New Roman"/>
        </w:rPr>
        <w:t xml:space="preserve"> admitted there’s an electronic discharge summary that will be transmitted directly back to their GP, but if they’re non-admitted emergency department patients they will just get what’s called a statement of attendance, and that’s given to the patient. (</w:t>
      </w:r>
      <w:r w:rsidRPr="00A32890">
        <w:rPr>
          <w:rStyle w:val="Emphasis"/>
          <w:rFonts w:eastAsia="Times New Roman"/>
          <w:b w:val="0"/>
          <w:bCs w:val="0"/>
        </w:rPr>
        <w:t>Emergency department director in regional Queensland</w:t>
      </w:r>
      <w:r>
        <w:rPr>
          <w:rFonts w:eastAsia="Times New Roman"/>
        </w:rPr>
        <w:t xml:space="preserve">) </w:t>
      </w:r>
    </w:p>
    <w:p w14:paraId="2A69CBB6" w14:textId="77777777" w:rsidR="00D27C67" w:rsidRDefault="00D27C67" w:rsidP="00D27C67">
      <w:pPr>
        <w:divId w:val="1848444104"/>
      </w:pPr>
      <w:r>
        <w:t xml:space="preserve">Hospital shift work was also a barrier if initial attempts to contact a GP or a patient had not been successful: </w:t>
      </w:r>
    </w:p>
    <w:p w14:paraId="37B8DA50" w14:textId="77777777" w:rsidR="00D27C67" w:rsidRDefault="00D27C67" w:rsidP="004D6F01">
      <w:pPr>
        <w:ind w:left="720"/>
        <w:divId w:val="1848444104"/>
        <w:rPr>
          <w:rFonts w:eastAsia="Times New Roman"/>
        </w:rPr>
      </w:pPr>
      <w:r>
        <w:rPr>
          <w:rFonts w:eastAsia="Times New Roman"/>
        </w:rPr>
        <w:t xml:space="preserve">The patient should </w:t>
      </w:r>
      <w:proofErr w:type="gramStart"/>
      <w:r>
        <w:rPr>
          <w:rFonts w:eastAsia="Times New Roman"/>
        </w:rPr>
        <w:t>be called</w:t>
      </w:r>
      <w:proofErr w:type="gramEnd"/>
      <w:r>
        <w:rPr>
          <w:rFonts w:eastAsia="Times New Roman"/>
        </w:rPr>
        <w:t xml:space="preserve">, and the GP should be contacted, or the patient should be told, “You have this positive result. You need to follow up with your </w:t>
      </w:r>
      <w:proofErr w:type="gramStart"/>
      <w:r>
        <w:rPr>
          <w:rFonts w:eastAsia="Times New Roman"/>
        </w:rPr>
        <w:t>GP”…</w:t>
      </w:r>
      <w:proofErr w:type="gramEnd"/>
      <w:r>
        <w:rPr>
          <w:rFonts w:eastAsia="Times New Roman"/>
        </w:rPr>
        <w:t xml:space="preserve"> If they have a voicemail with their name on it, I will leave a message… </w:t>
      </w:r>
      <w:proofErr w:type="gramStart"/>
      <w:r>
        <w:rPr>
          <w:rFonts w:eastAsia="Times New Roman"/>
        </w:rPr>
        <w:t>I guess the problem</w:t>
      </w:r>
      <w:proofErr w:type="gramEnd"/>
      <w:r>
        <w:rPr>
          <w:rFonts w:eastAsia="Times New Roman"/>
        </w:rPr>
        <w:t xml:space="preserve"> then is if they call back on a day when I’m not on shift… </w:t>
      </w:r>
      <w:proofErr w:type="gramStart"/>
      <w:r>
        <w:rPr>
          <w:rFonts w:eastAsia="Times New Roman"/>
        </w:rPr>
        <w:t>I’ll</w:t>
      </w:r>
      <w:proofErr w:type="gramEnd"/>
      <w:r>
        <w:rPr>
          <w:rFonts w:eastAsia="Times New Roman"/>
        </w:rPr>
        <w:t xml:space="preserve"> try two to three times before I give up. (</w:t>
      </w:r>
      <w:r w:rsidRPr="00A32890">
        <w:rPr>
          <w:rStyle w:val="Emphasis"/>
          <w:rFonts w:eastAsia="Times New Roman"/>
          <w:b w:val="0"/>
          <w:bCs w:val="0"/>
        </w:rPr>
        <w:t>Senior house officer in regional emergency department</w:t>
      </w:r>
      <w:r>
        <w:rPr>
          <w:rFonts w:eastAsia="Times New Roman"/>
        </w:rPr>
        <w:t xml:space="preserve">) </w:t>
      </w:r>
    </w:p>
    <w:p w14:paraId="499BF6B2" w14:textId="77777777" w:rsidR="00D27C67" w:rsidRDefault="00D27C67" w:rsidP="00D27C67">
      <w:pPr>
        <w:divId w:val="1848444104"/>
      </w:pPr>
      <w:r>
        <w:t xml:space="preserve">Given the high proportion of notified cases without </w:t>
      </w:r>
      <w:proofErr w:type="gramStart"/>
      <w:r>
        <w:t>subsequent</w:t>
      </w:r>
      <w:proofErr w:type="gramEnd"/>
      <w:r>
        <w:t xml:space="preserve"> HCV-RNA tests, we asked doctors working in the hospital setting why they tested their patients for HCV. General hepatitis screening and needlestick injuries from tested patients were commonly reported reasons, as well as having several patients presenting to emergency departments who reported injecting drugs. When testing because of a needlestick injury, the purpose of testing was to protect the healthcare worker rather than the patient, and the test </w:t>
      </w:r>
      <w:proofErr w:type="gramStart"/>
      <w:r>
        <w:t>was not done</w:t>
      </w:r>
      <w:proofErr w:type="gramEnd"/>
      <w:r>
        <w:t xml:space="preserve"> with patient follow-up in mind. </w:t>
      </w:r>
    </w:p>
    <w:p w14:paraId="7F53D703" w14:textId="77777777" w:rsidR="00D27C67" w:rsidRDefault="00D27C67" w:rsidP="00D27C67">
      <w:pPr>
        <w:divId w:val="1848444104"/>
      </w:pPr>
      <w:r>
        <w:t xml:space="preserve">The time taken for HCV-AB and HCV-RNA test results to be processed by pathology laboratories was another barrier to follow-up in hospital settings, as patients were often discharged or transferred before their </w:t>
      </w:r>
      <w:proofErr w:type="gramStart"/>
      <w:r>
        <w:t>initial</w:t>
      </w:r>
      <w:proofErr w:type="gramEnd"/>
      <w:r>
        <w:t xml:space="preserve"> HCV-AB result was known. In these cases, the only information available to a requesting clinician for follow-up with a patient were the contact details entered at intake, or recorded from </w:t>
      </w:r>
      <w:proofErr w:type="gramStart"/>
      <w:r>
        <w:t>previous</w:t>
      </w:r>
      <w:proofErr w:type="gramEnd"/>
      <w:r>
        <w:t xml:space="preserve"> admissions, which may not be correct or up to date. </w:t>
      </w:r>
    </w:p>
    <w:p w14:paraId="4E6C91D0" w14:textId="77777777" w:rsidR="00D27C67" w:rsidRDefault="00D27C67" w:rsidP="00D27C67">
      <w:pPr>
        <w:divId w:val="1848444104"/>
      </w:pPr>
      <w:r>
        <w:t xml:space="preserve">Pathology labs </w:t>
      </w:r>
      <w:proofErr w:type="gramStart"/>
      <w:r>
        <w:t>were responsible for</w:t>
      </w:r>
      <w:proofErr w:type="gramEnd"/>
      <w:r>
        <w:t xml:space="preserve"> reporting test results to the requesting doctor, who in turn had responsibility for following up results. However, the name of the requesting doctor on the pathology form was not always the same as the clinician who had ordered the test, who may have had little if any contact with the patient: </w:t>
      </w:r>
    </w:p>
    <w:p w14:paraId="3622BEFE" w14:textId="77777777" w:rsidR="00D27C67" w:rsidRDefault="00D27C67" w:rsidP="004D6F01">
      <w:pPr>
        <w:ind w:left="720"/>
        <w:divId w:val="1848444104"/>
        <w:rPr>
          <w:rFonts w:eastAsia="Times New Roman"/>
        </w:rPr>
      </w:pPr>
      <w:r>
        <w:rPr>
          <w:rFonts w:eastAsia="Times New Roman"/>
        </w:rPr>
        <w:t xml:space="preserve">The junior medical staff will run the emergency department routinely. </w:t>
      </w:r>
      <w:proofErr w:type="gramStart"/>
      <w:r>
        <w:rPr>
          <w:rFonts w:eastAsia="Times New Roman"/>
        </w:rPr>
        <w:t>They’ll</w:t>
      </w:r>
      <w:proofErr w:type="gramEnd"/>
      <w:r>
        <w:rPr>
          <w:rFonts w:eastAsia="Times New Roman"/>
        </w:rPr>
        <w:t xml:space="preserve"> be the ones that mostly see the patients. But </w:t>
      </w:r>
      <w:proofErr w:type="gramStart"/>
      <w:r>
        <w:rPr>
          <w:rFonts w:eastAsia="Times New Roman"/>
        </w:rPr>
        <w:t>they’ll</w:t>
      </w:r>
      <w:proofErr w:type="gramEnd"/>
      <w:r>
        <w:rPr>
          <w:rFonts w:eastAsia="Times New Roman"/>
        </w:rPr>
        <w:t xml:space="preserve"> order under the name of the consultant. </w:t>
      </w:r>
      <w:proofErr w:type="gramStart"/>
      <w:r>
        <w:rPr>
          <w:rFonts w:eastAsia="Times New Roman"/>
        </w:rPr>
        <w:t>So</w:t>
      </w:r>
      <w:proofErr w:type="gramEnd"/>
      <w:r>
        <w:rPr>
          <w:rFonts w:eastAsia="Times New Roman"/>
        </w:rPr>
        <w:t xml:space="preserve"> the consultant for the shift or the director of the department will be the name on the form. (</w:t>
      </w:r>
      <w:r w:rsidRPr="00A32890">
        <w:rPr>
          <w:rStyle w:val="Emphasis"/>
          <w:rFonts w:eastAsia="Times New Roman"/>
          <w:b w:val="0"/>
          <w:bCs w:val="0"/>
        </w:rPr>
        <w:t>Director of infectious diseases</w:t>
      </w:r>
      <w:r>
        <w:rPr>
          <w:rFonts w:eastAsia="Times New Roman"/>
        </w:rPr>
        <w:t xml:space="preserve">) </w:t>
      </w:r>
    </w:p>
    <w:p w14:paraId="6E05D55C" w14:textId="77777777" w:rsidR="00D27C67" w:rsidRDefault="00D27C67" w:rsidP="00D27C67">
      <w:pPr>
        <w:divId w:val="1848444104"/>
      </w:pPr>
      <w:r>
        <w:t xml:space="preserve">Many clinicians across different health service sectors agreed that it would be useful to know if an HCV-AB positive test result </w:t>
      </w:r>
      <w:proofErr w:type="gramStart"/>
      <w:r>
        <w:t>was</w:t>
      </w:r>
      <w:proofErr w:type="gramEnd"/>
      <w:r>
        <w:t xml:space="preserve"> the first time a patient had tested positive, as that would make them prioritise follow-up testing and treatment more vigorously. An emergency departments director from regional Queensland said “I think if that was a first positive notification, it certainly highlights that a lot more to the clinician reading that. </w:t>
      </w:r>
      <w:proofErr w:type="gramStart"/>
      <w:r>
        <w:t>So</w:t>
      </w:r>
      <w:proofErr w:type="gramEnd"/>
      <w:r>
        <w:t xml:space="preserve"> I think in that case, they will push further for the follow-up.” </w:t>
      </w:r>
    </w:p>
    <w:p w14:paraId="70D72860" w14:textId="77777777" w:rsidR="00D27C67" w:rsidRPr="00D27C67" w:rsidRDefault="00D27C67" w:rsidP="00D27C67">
      <w:pPr>
        <w:pStyle w:val="Heading1"/>
        <w:divId w:val="1848444104"/>
      </w:pPr>
      <w:r w:rsidRPr="00D27C67">
        <w:t xml:space="preserve">Discussion </w:t>
      </w:r>
    </w:p>
    <w:p w14:paraId="0934D1C1" w14:textId="77777777" w:rsidR="00D27C67" w:rsidRDefault="00D27C67" w:rsidP="00D27C67">
      <w:pPr>
        <w:divId w:val="1848444104"/>
      </w:pPr>
      <w:r>
        <w:t xml:space="preserve">Of the 769 new HCV notifications received by Queensland Health during the project period (excluding incarcerated individuals), 244 were eligible for follow-up actions with notifying clinicians. Sixty-two of those were </w:t>
      </w:r>
      <w:proofErr w:type="gramStart"/>
      <w:r>
        <w:t>tested</w:t>
      </w:r>
      <w:proofErr w:type="gramEnd"/>
      <w:r>
        <w:t xml:space="preserve"> for HCV-RNA after the follow-ups, and 26 were subsequently prescribed treatment. Although most patients with chronic HCV can be treated in general practice with pan-genotypic direct-acting antivirals,</w:t>
      </w:r>
      <w:proofErr w:type="gramStart"/>
      <w:r>
        <w:rPr>
          <w:vertAlign w:val="superscript"/>
        </w:rPr>
        <w:t>9</w:t>
      </w:r>
      <w:proofErr w:type="gramEnd"/>
      <w:r>
        <w:t xml:space="preserve"> some of the clinicians who were interviewed discussed how being made aware of a first-time diagnosis would emphasise the importance of progressing patients through the correct care cascade for HCV testing and treatment. </w:t>
      </w:r>
    </w:p>
    <w:p w14:paraId="4A5F9BB9" w14:textId="77777777" w:rsidR="00D27C67" w:rsidRDefault="00D27C67" w:rsidP="00D27C67">
      <w:pPr>
        <w:divId w:val="1848444104"/>
      </w:pPr>
      <w:r>
        <w:t xml:space="preserve">Thirty-four percent of the cases who were followed up had HCV testing </w:t>
      </w:r>
      <w:proofErr w:type="gramStart"/>
      <w:r>
        <w:t>initiated</w:t>
      </w:r>
      <w:proofErr w:type="gramEnd"/>
      <w:r>
        <w:t xml:space="preserve"> in hospitals. This was an unexpected finding that may be related to the fact that we only followed up cases who did not have a documented HCV-RNA test </w:t>
      </w:r>
      <w:r>
        <w:lastRenderedPageBreak/>
        <w:t xml:space="preserve">after their antibody test, and the challenges associated with managing further HCV testing, and if necessary, treatment, in hospital settings. More work is needed to improve follow-up of individuals initially </w:t>
      </w:r>
      <w:proofErr w:type="gramStart"/>
      <w:r>
        <w:t>tested</w:t>
      </w:r>
      <w:proofErr w:type="gramEnd"/>
      <w:r>
        <w:t xml:space="preserve"> in hospitals and emergency departments, to ensure they have the opportunity for further testing and treatment in a community setting. </w:t>
      </w:r>
    </w:p>
    <w:p w14:paraId="50E5F467" w14:textId="77777777" w:rsidR="00D27C67" w:rsidRDefault="00D27C67" w:rsidP="00D27C67">
      <w:pPr>
        <w:divId w:val="1848444104"/>
      </w:pPr>
      <w:r>
        <w:t xml:space="preserve">This project followed up new notifications (for all individuals not already recorded as HCV positive on the notifications system) four weeks in arrears; this increased the difficulty in reaching inpatients, notified from the hospital system, who had already </w:t>
      </w:r>
      <w:proofErr w:type="gramStart"/>
      <w:r>
        <w:t>been discharged</w:t>
      </w:r>
      <w:proofErr w:type="gramEnd"/>
      <w:r>
        <w:t>. The Coordinated Hepatitis response to Enhance the Cascade of Care by optimising existing Surveillance systems (CHECCS) pilot project was conducted in Victoria in 2021 and 2022,</w:t>
      </w:r>
      <w:r>
        <w:rPr>
          <w:vertAlign w:val="superscript"/>
        </w:rPr>
        <w:t>10</w:t>
      </w:r>
      <w:r>
        <w:t xml:space="preserve"> and followed up and supported notifying clinicians of individuals newly diagnosed with HCV who had no evidence of follow-up testing or treatment.</w:t>
      </w:r>
      <w:r>
        <w:rPr>
          <w:vertAlign w:val="superscript"/>
        </w:rPr>
        <w:t>10</w:t>
      </w:r>
      <w:r>
        <w:t xml:space="preserve"> The CHECCS project also made initial follow-up phone calls four weeks after the date of HCV notification and found hospital clinicians were challenging to engage with, because the delay meant that junior medical staff with no ongoing connection to patients had often rotated to other departments a month later. As a result of this, several months after the initiation of the CHECCS project, the team in Victoria shifted follow-up of hospital cases to occur </w:t>
      </w:r>
      <w:proofErr w:type="gramStart"/>
      <w:r>
        <w:t>immediately</w:t>
      </w:r>
      <w:proofErr w:type="gramEnd"/>
      <w:r>
        <w:t xml:space="preserve"> after notification rather than wait four weeks. In addition, consistent with our findings, the team found that written requests were more successful for obtaining necessary project data than was </w:t>
      </w:r>
      <w:proofErr w:type="gramStart"/>
      <w:r>
        <w:t>attempting</w:t>
      </w:r>
      <w:proofErr w:type="gramEnd"/>
      <w:r>
        <w:t xml:space="preserve"> follow-up phone calls to hospital clinicians alone.</w:t>
      </w:r>
      <w:r>
        <w:rPr>
          <w:vertAlign w:val="superscript"/>
        </w:rPr>
        <w:t>10</w:t>
      </w:r>
      <w:r>
        <w:t xml:space="preserve"> </w:t>
      </w:r>
    </w:p>
    <w:p w14:paraId="20DDF859" w14:textId="77777777" w:rsidR="00D27C67" w:rsidRDefault="00D27C67" w:rsidP="00D27C67">
      <w:pPr>
        <w:divId w:val="1848444104"/>
      </w:pPr>
      <w:r>
        <w:t xml:space="preserve">The major challenge with the roll-out of similar follow-up projects is the time and resources </w:t>
      </w:r>
      <w:proofErr w:type="gramStart"/>
      <w:r>
        <w:t>required</w:t>
      </w:r>
      <w:proofErr w:type="gramEnd"/>
      <w:r>
        <w:t xml:space="preserve"> to search the pathology databases to determine which cases were eligible for follow-up. An alternative strategy would have been to contact the notifying clinicians of all new notifications, but a previous study found that almost all patients who had an HCV-RNA test before notification follow-up had been linked to treatment.</w:t>
      </w:r>
      <w:r>
        <w:rPr>
          <w:vertAlign w:val="superscript"/>
        </w:rPr>
        <w:t>11</w:t>
      </w:r>
      <w:r>
        <w:t xml:space="preserve"> There is currently no requirement for pathology laboratories to report negative HCV-RNA test results. It is worth considering whether the current Australian case definition for HCV notification </w:t>
      </w:r>
      <w:proofErr w:type="gramStart"/>
      <w:r>
        <w:t>is still fit</w:t>
      </w:r>
      <w:proofErr w:type="gramEnd"/>
      <w:r>
        <w:t xml:space="preserve"> for purpose. If the notification requirements for HCV notifications in Australia were changed to require notification of all HCV-RNA test results, positive and negative, then the task of determining who had received a positive HCV-AB test, but had not yet taken a subsequent HCV-RNA test, would be a much easier and more efficient process as we approach elimination.</w:t>
      </w:r>
      <w:r>
        <w:rPr>
          <w:vertAlign w:val="superscript"/>
        </w:rPr>
        <w:t>10</w:t>
      </w:r>
      <w:r>
        <w:t xml:space="preserve"> Alternatively, making a positive HCV-RNA test result the only HCV notification criterion, rather than a positive HCV-AB test result, would make a significant difference to the way that HCV notifications data could be efficiently used by health departments in their efforts to contribute to Australia’s goal of eliminating HCV by 2030. However, this could only be done if reflexive HCV-RNA testing </w:t>
      </w:r>
      <w:proofErr w:type="gramStart"/>
      <w:r>
        <w:t>was</w:t>
      </w:r>
      <w:proofErr w:type="gramEnd"/>
      <w:r>
        <w:t xml:space="preserve"> routinely done, requiring changes to Medicare Benefits Scheme funding and pathology protocols. There are other advantages to reflexive testing; individuals </w:t>
      </w:r>
      <w:proofErr w:type="gramStart"/>
      <w:r>
        <w:t>are not required to</w:t>
      </w:r>
      <w:proofErr w:type="gramEnd"/>
      <w:r>
        <w:t xml:space="preserve"> make more than one trip to a pathology lab to assess their HCV-RNA status, and drawing blood once is also better for people who may have poor venous access or an aversion to needles.</w:t>
      </w:r>
      <w:r>
        <w:rPr>
          <w:vertAlign w:val="superscript"/>
        </w:rPr>
        <w:t>10</w:t>
      </w:r>
      <w:r>
        <w:t xml:space="preserve"> </w:t>
      </w:r>
    </w:p>
    <w:p w14:paraId="7E8D3B81" w14:textId="77777777" w:rsidR="00D27C67" w:rsidRDefault="00D27C67" w:rsidP="00D27C67">
      <w:pPr>
        <w:divId w:val="1848444104"/>
      </w:pPr>
      <w:proofErr w:type="gramStart"/>
      <w:r>
        <w:t>A large proportion</w:t>
      </w:r>
      <w:proofErr w:type="gramEnd"/>
      <w:r>
        <w:t xml:space="preserve"> of eligible cases (55%) in our study were recorded as lost to follow-up (Table 2), and the majority of these (87%) had not re-presented to clinicians following HCV-AB testing. Following up these notifications did not result in any progression to further testing and treatment. A randomised controlled trial, of active case management to support GPs and/or patients for further testing and treatment, did not find any difference between intervention and standard care.</w:t>
      </w:r>
      <w:r>
        <w:rPr>
          <w:vertAlign w:val="superscript"/>
        </w:rPr>
        <w:t>12</w:t>
      </w:r>
      <w:r>
        <w:t xml:space="preserve"> This supports our finding that loss to follow-up is a more significant issue than is clinicians’ understanding of the HCV care cascade. Our findings point to the need for other strategies to support patients testing positive for hepatitis C, </w:t>
      </w:r>
      <w:proofErr w:type="gramStart"/>
      <w:r>
        <w:t>so as to</w:t>
      </w:r>
      <w:proofErr w:type="gramEnd"/>
      <w:r>
        <w:t xml:space="preserve"> address the barriers to them receiving further testing and treatment. These strategies can include peer navigation and support, reflex HCV-RNA testing, and accessible testing and treatment services.</w:t>
      </w:r>
      <w:r>
        <w:rPr>
          <w:vertAlign w:val="superscript"/>
        </w:rPr>
        <w:t>3</w:t>
      </w:r>
      <w:r>
        <w:t xml:space="preserve"> </w:t>
      </w:r>
    </w:p>
    <w:p w14:paraId="0B30C784" w14:textId="77777777" w:rsidR="00D27C67" w:rsidRDefault="00D27C67" w:rsidP="00D27C67">
      <w:pPr>
        <w:divId w:val="1848444104"/>
      </w:pPr>
      <w:r>
        <w:t xml:space="preserve">Further research is needed to </w:t>
      </w:r>
      <w:proofErr w:type="gramStart"/>
      <w:r>
        <w:t>establish</w:t>
      </w:r>
      <w:proofErr w:type="gramEnd"/>
      <w:r>
        <w:t xml:space="preserve"> whether a disconnect in continuity of care between hospitals, emergency departments, and GPs is a factor in addressing the follow-up of first-time HCV notifications. Previous research has identified that the key elements of a discharge summary from emergency departments are discharge diagnosis, </w:t>
      </w:r>
      <w:r>
        <w:lastRenderedPageBreak/>
        <w:t>treatment received in hospital, results of investigations and the follow-up required.</w:t>
      </w:r>
      <w:r>
        <w:rPr>
          <w:vertAlign w:val="superscript"/>
        </w:rPr>
        <w:t>13</w:t>
      </w:r>
      <w:r>
        <w:t xml:space="preserve"> However, continuity of HCV case management between hospitals and general practitioners may be impacted because first-time positive HCV-AB tests sometimes result from incidental testing, rather than from investigations undertaken to diagnose the patients’ main reasons for presenting to hospitals or emergency departments. </w:t>
      </w:r>
      <w:proofErr w:type="spellStart"/>
      <w:r>
        <w:t>Wimsett</w:t>
      </w:r>
      <w:proofErr w:type="spellEnd"/>
      <w:r>
        <w:t xml:space="preserve"> et al</w:t>
      </w:r>
      <w:r>
        <w:rPr>
          <w:vertAlign w:val="superscript"/>
        </w:rPr>
        <w:t>13</w:t>
      </w:r>
      <w:r>
        <w:t xml:space="preserve"> found that too much information can sometimes </w:t>
      </w:r>
      <w:proofErr w:type="gramStart"/>
      <w:r>
        <w:t>impact</w:t>
      </w:r>
      <w:proofErr w:type="gramEnd"/>
      <w:r>
        <w:t xml:space="preserve"> the quality of discharge summaries, such as listing all results from laboratory tests. In addition, if the patient </w:t>
      </w:r>
      <w:proofErr w:type="gramStart"/>
      <w:r>
        <w:t>was</w:t>
      </w:r>
      <w:proofErr w:type="gramEnd"/>
      <w:r>
        <w:t xml:space="preserve"> discharged from an emergency department or ward before HCV test results were returned, their GP would not have been informed of the positive test result, even if they had received a discharge summary. </w:t>
      </w:r>
    </w:p>
    <w:p w14:paraId="6962CBF9" w14:textId="77777777" w:rsidR="00D27C67" w:rsidRDefault="00D27C67" w:rsidP="00D27C67">
      <w:pPr>
        <w:divId w:val="1848444104"/>
      </w:pPr>
      <w:r>
        <w:t xml:space="preserve">This project had some limitations. The resource-intensive nature of the </w:t>
      </w:r>
      <w:proofErr w:type="gramStart"/>
      <w:r>
        <w:t>work, and</w:t>
      </w:r>
      <w:proofErr w:type="gramEnd"/>
      <w:r>
        <w:t xml:space="preserve"> dealing with multiple pathology laboratories and information technology systems, meant that some results may not have been identified. It is also unclear from our work whether there were a higher proportion of cases notified from hospitals that had not been </w:t>
      </w:r>
      <w:proofErr w:type="gramStart"/>
      <w:r>
        <w:t>subsequently</w:t>
      </w:r>
      <w:proofErr w:type="gramEnd"/>
      <w:r>
        <w:t xml:space="preserve"> tested for HCV-RNA, than those that had received appropriate testing after their initial positive HCV-AB test results. This project also excluded incarcerated individuals. </w:t>
      </w:r>
    </w:p>
    <w:p w14:paraId="0E37F211" w14:textId="77777777" w:rsidR="00D27C67" w:rsidRDefault="00D27C67" w:rsidP="00D27C67">
      <w:pPr>
        <w:divId w:val="1848444104"/>
      </w:pPr>
      <w:r>
        <w:t xml:space="preserve">The follow-up of 769 eligible new HCV notifications in Queensland resulted in </w:t>
      </w:r>
      <w:proofErr w:type="gramStart"/>
      <w:r>
        <w:t>26</w:t>
      </w:r>
      <w:proofErr w:type="gramEnd"/>
      <w:r>
        <w:t xml:space="preserve"> individuals (3%) being engaged in care and progressing to treatment. The project was resource intensive and </w:t>
      </w:r>
      <w:proofErr w:type="gramStart"/>
      <w:r>
        <w:t>required</w:t>
      </w:r>
      <w:proofErr w:type="gramEnd"/>
      <w:r>
        <w:t xml:space="preserve"> two days per week of dedicated time. Telephone contact is the best form of follow-up communication for GPs, while emails are more efficient for hospital and emergency department doctors. The high proportion of notifications followed up who were initially </w:t>
      </w:r>
      <w:proofErr w:type="gramStart"/>
      <w:r>
        <w:t>tested</w:t>
      </w:r>
      <w:proofErr w:type="gramEnd"/>
      <w:r>
        <w:t xml:space="preserve"> in hospital and emergency department settings points to the importance of developing strategies to reach and support patients who are tested in these settings. These challenges </w:t>
      </w:r>
      <w:proofErr w:type="gramStart"/>
      <w:r>
        <w:t>demonstrate</w:t>
      </w:r>
      <w:proofErr w:type="gramEnd"/>
      <w:r>
        <w:t xml:space="preserve"> the need to streamline access to testing data and improved communication systems to ensure we can maximise engagement with care, testing and treatment following an initial positive HCV-AB result. The data and skills are available to accelerate HCV elimination, but their implementation is </w:t>
      </w:r>
      <w:proofErr w:type="gramStart"/>
      <w:r>
        <w:t>being hampered</w:t>
      </w:r>
      <w:proofErr w:type="gramEnd"/>
      <w:r>
        <w:t xml:space="preserve"> by complex system barriers. </w:t>
      </w:r>
    </w:p>
    <w:p w14:paraId="134E2B27" w14:textId="77777777" w:rsidR="00D27C67" w:rsidRPr="00D27C67" w:rsidRDefault="00D27C67" w:rsidP="00D27C67">
      <w:pPr>
        <w:pStyle w:val="Heading1"/>
        <w:divId w:val="1848444104"/>
      </w:pPr>
      <w:r w:rsidRPr="00D27C67">
        <w:t xml:space="preserve">Acknowledgements </w:t>
      </w:r>
    </w:p>
    <w:p w14:paraId="38DA3AC1" w14:textId="77777777" w:rsidR="00D27C67" w:rsidRDefault="00D27C67" w:rsidP="00D27C67">
      <w:pPr>
        <w:divId w:val="1848444104"/>
      </w:pPr>
      <w:r>
        <w:t xml:space="preserve">The authors gratefully acknowledge the contribution of the Eliminate Hepatitis C Australia Partnership (EC Australia) Executive Committee and Advisory Committee members and the EC Australia Project Team to this work. We would particularly like to acknowledge the support of Professor Mark </w:t>
      </w:r>
      <w:proofErr w:type="spellStart"/>
      <w:r>
        <w:t>Stoové</w:t>
      </w:r>
      <w:proofErr w:type="spellEnd"/>
      <w:r>
        <w:t>, Dr</w:t>
      </w:r>
      <w:r>
        <w:rPr>
          <w:rStyle w:val="Strong"/>
        </w:rPr>
        <w:t xml:space="preserve"> </w:t>
      </w:r>
      <w:r>
        <w:t xml:space="preserve">Jacqui Richmond, and Dr </w:t>
      </w:r>
      <w:proofErr w:type="spellStart"/>
      <w:r>
        <w:t>Tafireyi</w:t>
      </w:r>
      <w:proofErr w:type="spellEnd"/>
      <w:r>
        <w:t xml:space="preserve"> </w:t>
      </w:r>
      <w:proofErr w:type="spellStart"/>
      <w:r>
        <w:t>Marukutira</w:t>
      </w:r>
      <w:proofErr w:type="spellEnd"/>
      <w:r>
        <w:t xml:space="preserve"> at the Burnet institute in implementing this project. </w:t>
      </w:r>
      <w:proofErr w:type="gramStart"/>
      <w:r>
        <w:t>This project was funded by EC Australia</w:t>
      </w:r>
      <w:proofErr w:type="gramEnd"/>
      <w:r>
        <w:t xml:space="preserve">. EC Australia is a national partnership, funded by the Paul Ramsay Foundation and coordinated by the Burnet Institute. </w:t>
      </w:r>
    </w:p>
    <w:p w14:paraId="270CD1CF" w14:textId="77777777" w:rsidR="00D27C67" w:rsidRPr="00D27C67" w:rsidRDefault="00D27C67" w:rsidP="00D27C67">
      <w:pPr>
        <w:pStyle w:val="Heading1"/>
        <w:divId w:val="1848444104"/>
      </w:pPr>
      <w:r w:rsidRPr="00D27C67">
        <w:t xml:space="preserve">Author contributions </w:t>
      </w:r>
    </w:p>
    <w:p w14:paraId="31D9C7EB" w14:textId="77777777" w:rsidR="00D27C67" w:rsidRDefault="00D27C67" w:rsidP="00D27C67">
      <w:pPr>
        <w:divId w:val="1848444104"/>
      </w:pPr>
      <w:r>
        <w:t xml:space="preserve">All authors designed the project, LAS and MC designed the project evaluation. MC wrote the manuscript. All authors reviewed drafts of the manuscript and approved the </w:t>
      </w:r>
      <w:proofErr w:type="gramStart"/>
      <w:r>
        <w:t>final version</w:t>
      </w:r>
      <w:proofErr w:type="gramEnd"/>
      <w:r>
        <w:t xml:space="preserve">. The authors declare no competing interests. </w:t>
      </w:r>
    </w:p>
    <w:p w14:paraId="0AD7546C" w14:textId="1BAF47A8" w:rsidR="00D27C67" w:rsidRPr="00D27C67" w:rsidRDefault="00D27C67" w:rsidP="00D27C67">
      <w:pPr>
        <w:pStyle w:val="Heading1"/>
        <w:divId w:val="1848444104"/>
      </w:pPr>
      <w:r w:rsidRPr="00D27C67">
        <w:t xml:space="preserve">Declaration of </w:t>
      </w:r>
      <w:r w:rsidR="004D6F01">
        <w:t>f</w:t>
      </w:r>
      <w:r w:rsidRPr="00D27C67">
        <w:t xml:space="preserve">unding </w:t>
      </w:r>
    </w:p>
    <w:p w14:paraId="01CE62BE" w14:textId="77777777" w:rsidR="00D27C67" w:rsidRDefault="00D27C67" w:rsidP="00D27C67">
      <w:pPr>
        <w:divId w:val="1848444104"/>
      </w:pPr>
      <w:r>
        <w:t xml:space="preserve">This project </w:t>
      </w:r>
      <w:proofErr w:type="gramStart"/>
      <w:r>
        <w:t>was funded</w:t>
      </w:r>
      <w:proofErr w:type="gramEnd"/>
      <w:r>
        <w:t xml:space="preserve"> by the Eliminate Hepatitis C Australia Partnership (EC Australia). EC Australia is a national partnership, funded by the Paul Ramsay Foundation and coordinated by the Burnet Institute.</w:t>
      </w:r>
    </w:p>
    <w:p w14:paraId="44361C6D" w14:textId="77777777" w:rsidR="0032537C" w:rsidRDefault="0032537C">
      <w:pPr>
        <w:rPr>
          <w:rFonts w:asciiTheme="majorHAnsi" w:eastAsiaTheme="majorEastAsia" w:hAnsiTheme="majorHAnsi" w:cstheme="majorBidi"/>
          <w:b/>
          <w:bCs/>
          <w:sz w:val="32"/>
          <w:szCs w:val="28"/>
        </w:rPr>
      </w:pPr>
      <w:r>
        <w:br w:type="page"/>
      </w:r>
    </w:p>
    <w:p w14:paraId="65AECCA4" w14:textId="01DADBFD" w:rsidR="00D27C67" w:rsidRPr="00D27C67" w:rsidRDefault="00D27C67" w:rsidP="00D27C67">
      <w:pPr>
        <w:pStyle w:val="Heading1"/>
        <w:divId w:val="1848444104"/>
      </w:pPr>
      <w:r w:rsidRPr="00D27C67">
        <w:lastRenderedPageBreak/>
        <w:t xml:space="preserve">Author details </w:t>
      </w:r>
    </w:p>
    <w:p w14:paraId="7DEDA391" w14:textId="77777777" w:rsidR="00D27C67" w:rsidRDefault="00D27C67" w:rsidP="00D27C67">
      <w:pPr>
        <w:divId w:val="1848444104"/>
      </w:pPr>
      <w:r>
        <w:t>Morris Carpenter,</w:t>
      </w:r>
      <w:r>
        <w:rPr>
          <w:vertAlign w:val="superscript"/>
        </w:rPr>
        <w:t>1</w:t>
      </w:r>
      <w:r>
        <w:t xml:space="preserve"> PhD, Senior Research Fellow </w:t>
      </w:r>
    </w:p>
    <w:p w14:paraId="20A8E96A" w14:textId="77777777" w:rsidR="00D27C67" w:rsidRDefault="00D27C67" w:rsidP="00D27C67">
      <w:pPr>
        <w:divId w:val="1848444104"/>
      </w:pPr>
      <w:r>
        <w:t>Linda A Selvey,</w:t>
      </w:r>
      <w:r>
        <w:rPr>
          <w:vertAlign w:val="superscript"/>
        </w:rPr>
        <w:t>1</w:t>
      </w:r>
      <w:r>
        <w:t xml:space="preserve"> PhD, Associate Professor </w:t>
      </w:r>
    </w:p>
    <w:p w14:paraId="0B0F452D" w14:textId="77777777" w:rsidR="00D27C67" w:rsidRDefault="00D27C67" w:rsidP="00D27C67">
      <w:pPr>
        <w:divId w:val="1848444104"/>
      </w:pPr>
      <w:r>
        <w:t>Stephen B Lambert,</w:t>
      </w:r>
      <w:r>
        <w:rPr>
          <w:vertAlign w:val="superscript"/>
        </w:rPr>
        <w:t>2,3</w:t>
      </w:r>
      <w:r>
        <w:t xml:space="preserve"> PhD, Senior Medical Officer </w:t>
      </w:r>
    </w:p>
    <w:p w14:paraId="63DD95A1" w14:textId="77777777" w:rsidR="00D27C67" w:rsidRDefault="00D27C67" w:rsidP="00D27C67">
      <w:pPr>
        <w:divId w:val="1848444104"/>
      </w:pPr>
      <w:r>
        <w:t>Robert Kemp,</w:t>
      </w:r>
      <w:r>
        <w:rPr>
          <w:vertAlign w:val="superscript"/>
        </w:rPr>
        <w:t>2</w:t>
      </w:r>
      <w:r>
        <w:t xml:space="preserve"> Principal Public Health Officer </w:t>
      </w:r>
    </w:p>
    <w:p w14:paraId="46C229DD" w14:textId="77777777" w:rsidR="00D27C67" w:rsidRPr="00D27C67" w:rsidRDefault="00D27C67" w:rsidP="00D27C67">
      <w:pPr>
        <w:pStyle w:val="ListParagraph"/>
        <w:numPr>
          <w:ilvl w:val="0"/>
          <w:numId w:val="9"/>
        </w:numPr>
        <w:divId w:val="1848444104"/>
        <w:rPr>
          <w:rFonts w:eastAsia="Times New Roman"/>
        </w:rPr>
      </w:pPr>
      <w:r w:rsidRPr="00D27C67">
        <w:rPr>
          <w:rFonts w:eastAsia="Times New Roman"/>
        </w:rPr>
        <w:t xml:space="preserve">School of Public Health, Faculty of Medicine, The University of Queensland, Herston, Queensland 4006. </w:t>
      </w:r>
    </w:p>
    <w:p w14:paraId="21CCDE1A" w14:textId="77777777" w:rsidR="00D27C67" w:rsidRPr="00D27C67" w:rsidRDefault="00D27C67" w:rsidP="00D27C67">
      <w:pPr>
        <w:pStyle w:val="ListParagraph"/>
        <w:numPr>
          <w:ilvl w:val="0"/>
          <w:numId w:val="9"/>
        </w:numPr>
        <w:divId w:val="1848444104"/>
        <w:rPr>
          <w:rFonts w:eastAsia="Times New Roman"/>
        </w:rPr>
      </w:pPr>
      <w:r w:rsidRPr="00D27C67">
        <w:rPr>
          <w:rFonts w:eastAsia="Times New Roman"/>
        </w:rPr>
        <w:t xml:space="preserve">Communicable Diseases Branch, Queensland Public Health and Scientific Services, Queensland Health. </w:t>
      </w:r>
    </w:p>
    <w:p w14:paraId="4B71449D" w14:textId="77777777" w:rsidR="00D27C67" w:rsidRPr="00D27C67" w:rsidRDefault="00D27C67" w:rsidP="00D27C67">
      <w:pPr>
        <w:pStyle w:val="ListParagraph"/>
        <w:numPr>
          <w:ilvl w:val="0"/>
          <w:numId w:val="9"/>
        </w:numPr>
        <w:divId w:val="1848444104"/>
        <w:rPr>
          <w:rFonts w:eastAsia="Times New Roman"/>
        </w:rPr>
      </w:pPr>
      <w:r w:rsidRPr="00D27C67">
        <w:rPr>
          <w:rFonts w:eastAsia="Times New Roman"/>
        </w:rPr>
        <w:t xml:space="preserve">National Centre for Immunisation Research and Surveillance, Westmead, New South Wales 2145. </w:t>
      </w:r>
    </w:p>
    <w:p w14:paraId="53622B94" w14:textId="77777777" w:rsidR="00D27C67" w:rsidRPr="00D27C67" w:rsidRDefault="00D27C67" w:rsidP="00E62A91">
      <w:pPr>
        <w:pStyle w:val="Heading2"/>
        <w:spacing w:after="200"/>
        <w:divId w:val="1848444104"/>
      </w:pPr>
      <w:r w:rsidRPr="00D27C67">
        <w:t xml:space="preserve">Corresponding author </w:t>
      </w:r>
    </w:p>
    <w:p w14:paraId="782E9FDC" w14:textId="77777777" w:rsidR="00D27C67" w:rsidRDefault="00D27C67" w:rsidP="00D27C67">
      <w:pPr>
        <w:divId w:val="1848444104"/>
      </w:pPr>
      <w:r>
        <w:t xml:space="preserve">Morris Carpenter PhD </w:t>
      </w:r>
    </w:p>
    <w:p w14:paraId="2FB7A59F" w14:textId="77777777" w:rsidR="00D27C67" w:rsidRDefault="00D27C67" w:rsidP="00D27C67">
      <w:pPr>
        <w:divId w:val="1848444104"/>
      </w:pPr>
      <w:r>
        <w:t xml:space="preserve">Address: School of Public Health, Faculty of Medicine, The University of Queensland, 288 Herston Road, Herston, Queensland 4006 </w:t>
      </w:r>
    </w:p>
    <w:p w14:paraId="3359916A" w14:textId="77777777" w:rsidR="00D27C67" w:rsidRDefault="00D27C67" w:rsidP="00D27C67">
      <w:pPr>
        <w:divId w:val="1848444104"/>
      </w:pPr>
      <w:r>
        <w:t xml:space="preserve">Telephone: 0499 849 809 </w:t>
      </w:r>
    </w:p>
    <w:p w14:paraId="0E2C6262" w14:textId="77777777" w:rsidR="00D27C67" w:rsidRDefault="00D27C67" w:rsidP="00D27C67">
      <w:pPr>
        <w:divId w:val="1848444104"/>
      </w:pPr>
      <w:r>
        <w:t>Email: m.carpenter@uq.edu.au</w:t>
      </w:r>
    </w:p>
    <w:p w14:paraId="57C6F908" w14:textId="77777777" w:rsidR="00D27C67" w:rsidRPr="00D27C67" w:rsidRDefault="00D27C67" w:rsidP="00D27C67">
      <w:pPr>
        <w:pStyle w:val="Heading1"/>
        <w:divId w:val="1848444104"/>
      </w:pPr>
      <w:r w:rsidRPr="00D27C67">
        <w:t xml:space="preserve">References </w:t>
      </w:r>
    </w:p>
    <w:p w14:paraId="074C80ED"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Scott N, </w:t>
      </w:r>
      <w:proofErr w:type="spellStart"/>
      <w:r w:rsidRPr="00D27C67">
        <w:rPr>
          <w:rFonts w:eastAsia="Times New Roman"/>
        </w:rPr>
        <w:t>Iser</w:t>
      </w:r>
      <w:proofErr w:type="spellEnd"/>
      <w:r w:rsidRPr="00D27C67">
        <w:rPr>
          <w:rFonts w:eastAsia="Times New Roman"/>
        </w:rPr>
        <w:t xml:space="preserve"> DM, Thompson AJ, Doyle JS, </w:t>
      </w:r>
      <w:proofErr w:type="spellStart"/>
      <w:r w:rsidRPr="00D27C67">
        <w:rPr>
          <w:rFonts w:eastAsia="Times New Roman"/>
        </w:rPr>
        <w:t>Hellard</w:t>
      </w:r>
      <w:proofErr w:type="spellEnd"/>
      <w:r w:rsidRPr="00D27C67">
        <w:rPr>
          <w:rFonts w:eastAsia="Times New Roman"/>
        </w:rPr>
        <w:t xml:space="preserve"> ME. Cost-effectiveness of treating chronic hepatitis C virus with direct-acting antivirals in people who inject drugs in Australia. </w:t>
      </w:r>
      <w:r w:rsidRPr="00A32890">
        <w:rPr>
          <w:rStyle w:val="Emphasis"/>
          <w:rFonts w:eastAsia="Times New Roman"/>
          <w:b w:val="0"/>
          <w:bCs w:val="0"/>
        </w:rPr>
        <w:t>J Gastroenterol Hepatol</w:t>
      </w:r>
      <w:r w:rsidRPr="00D27C67">
        <w:rPr>
          <w:rFonts w:eastAsia="Times New Roman"/>
        </w:rPr>
        <w:t xml:space="preserve">. 2016;31(4):872–82. </w:t>
      </w:r>
      <w:proofErr w:type="spellStart"/>
      <w:r w:rsidRPr="00D27C67">
        <w:rPr>
          <w:rFonts w:eastAsia="Times New Roman"/>
        </w:rPr>
        <w:t>doi</w:t>
      </w:r>
      <w:proofErr w:type="spellEnd"/>
      <w:r w:rsidRPr="00D27C67">
        <w:rPr>
          <w:rFonts w:eastAsia="Times New Roman"/>
        </w:rPr>
        <w:t xml:space="preserve">: https://doi.org/10.1111/jgh.13223. </w:t>
      </w:r>
    </w:p>
    <w:p w14:paraId="1CFAAF7C"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World Health Organization (WHO). </w:t>
      </w:r>
      <w:r w:rsidRPr="00A32890">
        <w:rPr>
          <w:rStyle w:val="Emphasis"/>
          <w:rFonts w:eastAsia="Times New Roman"/>
          <w:b w:val="0"/>
          <w:bCs w:val="0"/>
        </w:rPr>
        <w:t>Global health sector strategy on viral hepatitis 2016–2021. Towards ending viral hepatitis</w:t>
      </w:r>
      <w:r w:rsidRPr="00D27C67">
        <w:rPr>
          <w:rFonts w:eastAsia="Times New Roman"/>
        </w:rPr>
        <w:t xml:space="preserve">. Geneva: WHO; June 2016. [Accessed on 5 August 2017.] Available from: https://apps.who.int/iris/handle/10665/246177. </w:t>
      </w:r>
    </w:p>
    <w:p w14:paraId="582AE20A"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Australian Government Department of Health and Aged Care. </w:t>
      </w:r>
      <w:r w:rsidRPr="00A32890">
        <w:rPr>
          <w:rStyle w:val="Emphasis"/>
          <w:rFonts w:eastAsia="Times New Roman"/>
          <w:b w:val="0"/>
          <w:bCs w:val="0"/>
        </w:rPr>
        <w:t>Fifth National Hepatitis C Strategy, 2018-2022</w:t>
      </w:r>
      <w:r w:rsidRPr="00D27C67">
        <w:rPr>
          <w:rFonts w:eastAsia="Times New Roman"/>
        </w:rPr>
        <w:t xml:space="preserve">. Canberra: Australian Government Department of Health and Aged Care; 2018. Available from: https://www.health.gov.au/sites/default/files/documents/2022/06/fifth-national-hepatitis-c-strategy-2018-2022.pdf. </w:t>
      </w:r>
    </w:p>
    <w:p w14:paraId="002E8A1B"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Dore GJ, </w:t>
      </w:r>
      <w:proofErr w:type="spellStart"/>
      <w:r w:rsidRPr="00D27C67">
        <w:rPr>
          <w:rFonts w:eastAsia="Times New Roman"/>
        </w:rPr>
        <w:t>Hajarizadeh</w:t>
      </w:r>
      <w:proofErr w:type="spellEnd"/>
      <w:r w:rsidRPr="00D27C67">
        <w:rPr>
          <w:rFonts w:eastAsia="Times New Roman"/>
        </w:rPr>
        <w:t xml:space="preserve"> B. Elimination of hepatitis C virus in Australia: laying the foundation. </w:t>
      </w:r>
      <w:r w:rsidRPr="00A32890">
        <w:rPr>
          <w:rStyle w:val="Emphasis"/>
          <w:rFonts w:eastAsia="Times New Roman"/>
          <w:b w:val="0"/>
          <w:bCs w:val="0"/>
        </w:rPr>
        <w:t>Infect Dis Clin North Am</w:t>
      </w:r>
      <w:r w:rsidRPr="00D27C67">
        <w:rPr>
          <w:rFonts w:eastAsia="Times New Roman"/>
        </w:rPr>
        <w:t xml:space="preserve">. 2018;32(2):269–79. </w:t>
      </w:r>
      <w:proofErr w:type="spellStart"/>
      <w:r w:rsidRPr="00D27C67">
        <w:rPr>
          <w:rFonts w:eastAsia="Times New Roman"/>
        </w:rPr>
        <w:t>doi</w:t>
      </w:r>
      <w:proofErr w:type="spellEnd"/>
      <w:r w:rsidRPr="00D27C67">
        <w:rPr>
          <w:rFonts w:eastAsia="Times New Roman"/>
        </w:rPr>
        <w:t xml:space="preserve">: https://doi.org/10.1016/j.idc.2018.02.006. </w:t>
      </w:r>
    </w:p>
    <w:p w14:paraId="1474D393"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The Kirby Institute. Monitoring hepatitis C treatment uptake in Australia: Issue 12, July 2022. Sydney: University of New South Wales, the Kirby Institute; 2022. Available from: https://www.kirby.unsw.edu.au/research/reports/monitoring-hepatitis-c-treatment-uptake-australia-issue-12-july-2022. </w:t>
      </w:r>
    </w:p>
    <w:p w14:paraId="60E576DC" w14:textId="77777777" w:rsidR="00D27C67" w:rsidRPr="00D27C67" w:rsidRDefault="00D27C67" w:rsidP="00D27C67">
      <w:pPr>
        <w:pStyle w:val="ListParagraph"/>
        <w:numPr>
          <w:ilvl w:val="0"/>
          <w:numId w:val="10"/>
        </w:numPr>
        <w:divId w:val="1848444104"/>
        <w:rPr>
          <w:rFonts w:eastAsia="Times New Roman"/>
        </w:rPr>
      </w:pPr>
      <w:proofErr w:type="spellStart"/>
      <w:r w:rsidRPr="00D27C67">
        <w:rPr>
          <w:rFonts w:eastAsia="Times New Roman"/>
        </w:rPr>
        <w:t>Grebely</w:t>
      </w:r>
      <w:proofErr w:type="spellEnd"/>
      <w:r w:rsidRPr="00D27C67">
        <w:rPr>
          <w:rFonts w:eastAsia="Times New Roman"/>
        </w:rPr>
        <w:t xml:space="preserve"> J, Markus C, Causer LM, Silk D, </w:t>
      </w:r>
      <w:proofErr w:type="spellStart"/>
      <w:r w:rsidRPr="00D27C67">
        <w:rPr>
          <w:rFonts w:eastAsia="Times New Roman"/>
        </w:rPr>
        <w:t>Comben</w:t>
      </w:r>
      <w:proofErr w:type="spellEnd"/>
      <w:r w:rsidRPr="00D27C67">
        <w:rPr>
          <w:rFonts w:eastAsia="Times New Roman"/>
        </w:rPr>
        <w:t xml:space="preserve"> S, Lloyd AR et al. A national programme to scale-up decentralised hepatitis C point-of-care testing and treatment in Australia. </w:t>
      </w:r>
      <w:r w:rsidRPr="00A32890">
        <w:rPr>
          <w:rStyle w:val="Emphasis"/>
          <w:rFonts w:eastAsia="Times New Roman"/>
          <w:b w:val="0"/>
          <w:bCs w:val="0"/>
        </w:rPr>
        <w:t>Lancet Gastroenterol Hepatol</w:t>
      </w:r>
      <w:r w:rsidRPr="00D27C67">
        <w:rPr>
          <w:rFonts w:eastAsia="Times New Roman"/>
        </w:rPr>
        <w:t xml:space="preserve">. 2023;8(3):204–7. </w:t>
      </w:r>
      <w:proofErr w:type="spellStart"/>
      <w:r w:rsidRPr="00D27C67">
        <w:rPr>
          <w:rFonts w:eastAsia="Times New Roman"/>
        </w:rPr>
        <w:t>doi</w:t>
      </w:r>
      <w:proofErr w:type="spellEnd"/>
      <w:r w:rsidRPr="00D27C67">
        <w:rPr>
          <w:rFonts w:eastAsia="Times New Roman"/>
        </w:rPr>
        <w:t xml:space="preserve">: https://doi.org/10.1016/S2468-1253(22)00355-7. </w:t>
      </w:r>
    </w:p>
    <w:p w14:paraId="5E0DB091"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Queensland State Government, Office of the Queensland Parliamentary Counsel. </w:t>
      </w:r>
      <w:r w:rsidRPr="00A32890">
        <w:rPr>
          <w:rStyle w:val="Emphasis"/>
          <w:rFonts w:eastAsia="Times New Roman"/>
          <w:b w:val="0"/>
          <w:bCs w:val="0"/>
        </w:rPr>
        <w:t>Public Health Act 2005</w:t>
      </w:r>
      <w:r w:rsidRPr="00D27C67">
        <w:rPr>
          <w:rFonts w:eastAsia="Times New Roman"/>
        </w:rPr>
        <w:t xml:space="preserve">. [Legislation.] Brisbane: Queensland Health; 2005. Available from: https://www.legislation.qld.gov.au/view/html/inforce/current/act-2005-048. </w:t>
      </w:r>
    </w:p>
    <w:p w14:paraId="4E3B8424"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lastRenderedPageBreak/>
        <w:t xml:space="preserve">Braun V, Clarke V. Using thematic analysis in psychology. </w:t>
      </w:r>
      <w:r w:rsidRPr="00A32890">
        <w:rPr>
          <w:rStyle w:val="Emphasis"/>
          <w:rFonts w:eastAsia="Times New Roman"/>
          <w:b w:val="0"/>
          <w:bCs w:val="0"/>
        </w:rPr>
        <w:t>Qual Res Psychol</w:t>
      </w:r>
      <w:r w:rsidRPr="00D27C67">
        <w:rPr>
          <w:rFonts w:eastAsia="Times New Roman"/>
        </w:rPr>
        <w:t xml:space="preserve">. 2006;3(2):77–101. </w:t>
      </w:r>
      <w:proofErr w:type="spellStart"/>
      <w:r w:rsidRPr="00D27C67">
        <w:rPr>
          <w:rFonts w:eastAsia="Times New Roman"/>
        </w:rPr>
        <w:t>doi</w:t>
      </w:r>
      <w:proofErr w:type="spellEnd"/>
      <w:r w:rsidRPr="00D27C67">
        <w:rPr>
          <w:rFonts w:eastAsia="Times New Roman"/>
        </w:rPr>
        <w:t xml:space="preserve">: https://doi.org/10.1191/1478088706qp063oa. </w:t>
      </w:r>
    </w:p>
    <w:p w14:paraId="5C492E45"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Muller K, Hasan M. Treating chronic hepatitis C in general practice. </w:t>
      </w:r>
      <w:r w:rsidRPr="00A32890">
        <w:rPr>
          <w:rStyle w:val="Emphasis"/>
          <w:rFonts w:eastAsia="Times New Roman"/>
          <w:b w:val="0"/>
          <w:bCs w:val="0"/>
        </w:rPr>
        <w:t xml:space="preserve">Aust J Gen </w:t>
      </w:r>
      <w:proofErr w:type="spellStart"/>
      <w:r w:rsidRPr="00A32890">
        <w:rPr>
          <w:rStyle w:val="Emphasis"/>
          <w:rFonts w:eastAsia="Times New Roman"/>
          <w:b w:val="0"/>
          <w:bCs w:val="0"/>
        </w:rPr>
        <w:t>Pract</w:t>
      </w:r>
      <w:proofErr w:type="spellEnd"/>
      <w:r w:rsidRPr="00D27C67">
        <w:rPr>
          <w:rFonts w:eastAsia="Times New Roman"/>
        </w:rPr>
        <w:t xml:space="preserve">. 2021;50(10):697–701. </w:t>
      </w:r>
      <w:proofErr w:type="spellStart"/>
      <w:r w:rsidRPr="00D27C67">
        <w:rPr>
          <w:rFonts w:eastAsia="Times New Roman"/>
        </w:rPr>
        <w:t>doi</w:t>
      </w:r>
      <w:proofErr w:type="spellEnd"/>
      <w:r w:rsidRPr="00D27C67">
        <w:rPr>
          <w:rFonts w:eastAsia="Times New Roman"/>
        </w:rPr>
        <w:t xml:space="preserve">: https://doi.org/10.31128/AJGP-06-21-6029. </w:t>
      </w:r>
    </w:p>
    <w:p w14:paraId="7E80FB0F"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WHO Collaborating Centre for Viral Hepatitis. </w:t>
      </w:r>
      <w:r w:rsidRPr="00A32890">
        <w:rPr>
          <w:rStyle w:val="Emphasis"/>
          <w:rFonts w:eastAsia="Times New Roman"/>
          <w:b w:val="0"/>
          <w:bCs w:val="0"/>
        </w:rPr>
        <w:t>CHECCS pilot program: evaluation report November 2022</w:t>
      </w:r>
      <w:r w:rsidRPr="00D27C67">
        <w:rPr>
          <w:rFonts w:eastAsia="Times New Roman"/>
        </w:rPr>
        <w:t xml:space="preserve">. Melbourne: </w:t>
      </w:r>
      <w:proofErr w:type="gramStart"/>
      <w:r w:rsidRPr="00D27C67">
        <w:rPr>
          <w:rFonts w:eastAsia="Times New Roman"/>
        </w:rPr>
        <w:t>the</w:t>
      </w:r>
      <w:proofErr w:type="gramEnd"/>
      <w:r w:rsidRPr="00D27C67">
        <w:rPr>
          <w:rFonts w:eastAsia="Times New Roman"/>
        </w:rPr>
        <w:t xml:space="preserve"> Peter Doherty Institute for Infection and Immunity; November 2022. Available from: https://www.doherty.edu.au/uploads/content_doc/CHECCS_Evaluation_Report_Final_webNov2022.pdf </w:t>
      </w:r>
    </w:p>
    <w:p w14:paraId="352C612A" w14:textId="77777777" w:rsidR="00D27C67" w:rsidRPr="00D27C67" w:rsidRDefault="00D27C67" w:rsidP="00D27C67">
      <w:pPr>
        <w:pStyle w:val="ListParagraph"/>
        <w:numPr>
          <w:ilvl w:val="0"/>
          <w:numId w:val="10"/>
        </w:numPr>
        <w:divId w:val="1848444104"/>
        <w:rPr>
          <w:rFonts w:eastAsia="Times New Roman"/>
        </w:rPr>
      </w:pPr>
      <w:r w:rsidRPr="00D27C67">
        <w:rPr>
          <w:rFonts w:eastAsia="Times New Roman"/>
        </w:rPr>
        <w:t xml:space="preserve">Selvey C, Fitzgerald TL, </w:t>
      </w:r>
      <w:proofErr w:type="spellStart"/>
      <w:r w:rsidRPr="00D27C67">
        <w:rPr>
          <w:rFonts w:eastAsia="Times New Roman"/>
        </w:rPr>
        <w:t>Sisnowski</w:t>
      </w:r>
      <w:proofErr w:type="spellEnd"/>
      <w:r w:rsidRPr="00D27C67">
        <w:rPr>
          <w:rFonts w:eastAsia="Times New Roman"/>
        </w:rPr>
        <w:t xml:space="preserve"> J, Sheppeard V. Use of routine notifications data to support DAA treatment uptake in New South Wales. [Conference presentation.] Prepared for the 12th Australasian Viral Hepatitis Conference, 16–18 August 2020. Sydney: New South Wales Government, NSW Health, Health Protection NSW; 2020. Available from: https://az659834.vo.msecnd.net/eventsairaueprod/production-ashm-public/fb06cd01413f4011afaf6c652e40af54. </w:t>
      </w:r>
    </w:p>
    <w:p w14:paraId="029865B3" w14:textId="77777777" w:rsidR="00D27C67" w:rsidRPr="00D27C67" w:rsidRDefault="00D27C67" w:rsidP="00D27C67">
      <w:pPr>
        <w:pStyle w:val="ListParagraph"/>
        <w:numPr>
          <w:ilvl w:val="0"/>
          <w:numId w:val="10"/>
        </w:numPr>
        <w:divId w:val="1848444104"/>
        <w:rPr>
          <w:rFonts w:eastAsia="Times New Roman"/>
        </w:rPr>
      </w:pPr>
      <w:proofErr w:type="spellStart"/>
      <w:r w:rsidRPr="00D27C67">
        <w:rPr>
          <w:rFonts w:eastAsia="Times New Roman"/>
        </w:rPr>
        <w:t>Marukutira</w:t>
      </w:r>
      <w:proofErr w:type="spellEnd"/>
      <w:r w:rsidRPr="00D27C67">
        <w:rPr>
          <w:rFonts w:eastAsia="Times New Roman"/>
        </w:rPr>
        <w:t xml:space="preserve"> T, Moore K, </w:t>
      </w:r>
      <w:proofErr w:type="spellStart"/>
      <w:r w:rsidRPr="00D27C67">
        <w:rPr>
          <w:rFonts w:eastAsia="Times New Roman"/>
        </w:rPr>
        <w:t>Hellard</w:t>
      </w:r>
      <w:proofErr w:type="spellEnd"/>
      <w:r w:rsidRPr="00D27C67">
        <w:rPr>
          <w:rFonts w:eastAsia="Times New Roman"/>
        </w:rPr>
        <w:t xml:space="preserve"> M, Richmond J, Turner K, </w:t>
      </w:r>
      <w:proofErr w:type="spellStart"/>
      <w:r w:rsidRPr="00D27C67">
        <w:rPr>
          <w:rFonts w:eastAsia="Times New Roman"/>
        </w:rPr>
        <w:t>Pedrana</w:t>
      </w:r>
      <w:proofErr w:type="spellEnd"/>
      <w:r w:rsidRPr="00D27C67">
        <w:rPr>
          <w:rFonts w:eastAsia="Times New Roman"/>
        </w:rPr>
        <w:t xml:space="preserve"> A et al. Active case management to connect hepatitis C notifications to care and treatment in Australia (CONNECT study), a randomised controlled trial. </w:t>
      </w:r>
      <w:r w:rsidRPr="00A32890">
        <w:rPr>
          <w:rStyle w:val="Emphasis"/>
          <w:rFonts w:eastAsia="Times New Roman"/>
          <w:b w:val="0"/>
          <w:bCs w:val="0"/>
        </w:rPr>
        <w:t>J Hepatol</w:t>
      </w:r>
      <w:r w:rsidRPr="00D27C67">
        <w:rPr>
          <w:rFonts w:eastAsia="Times New Roman"/>
        </w:rPr>
        <w:t>. July 2022 2022;77(1</w:t>
      </w:r>
      <w:proofErr w:type="gramStart"/>
      <w:r w:rsidRPr="00D27C67">
        <w:rPr>
          <w:rFonts w:eastAsia="Times New Roman"/>
        </w:rPr>
        <w:t>):S</w:t>
      </w:r>
      <w:proofErr w:type="gramEnd"/>
      <w:r w:rsidRPr="00D27C67">
        <w:rPr>
          <w:rFonts w:eastAsia="Times New Roman"/>
        </w:rPr>
        <w:t xml:space="preserve">541–2. </w:t>
      </w:r>
      <w:proofErr w:type="spellStart"/>
      <w:r w:rsidRPr="00D27C67">
        <w:rPr>
          <w:rFonts w:eastAsia="Times New Roman"/>
        </w:rPr>
        <w:t>doi</w:t>
      </w:r>
      <w:proofErr w:type="spellEnd"/>
      <w:proofErr w:type="gramStart"/>
      <w:r w:rsidRPr="00D27C67">
        <w:rPr>
          <w:rFonts w:eastAsia="Times New Roman"/>
        </w:rPr>
        <w:t>: :</w:t>
      </w:r>
      <w:proofErr w:type="gramEnd"/>
      <w:r w:rsidRPr="00D27C67">
        <w:rPr>
          <w:rFonts w:eastAsia="Times New Roman"/>
        </w:rPr>
        <w:t xml:space="preserve">https://doi.org/10.1016/S0168-8278(22)01406-4. </w:t>
      </w:r>
    </w:p>
    <w:p w14:paraId="2B82248C" w14:textId="77777777" w:rsidR="00D27C67" w:rsidRPr="00D27C67" w:rsidRDefault="00D27C67" w:rsidP="00D27C67">
      <w:pPr>
        <w:pStyle w:val="ListParagraph"/>
        <w:numPr>
          <w:ilvl w:val="0"/>
          <w:numId w:val="10"/>
        </w:numPr>
        <w:divId w:val="1848444104"/>
        <w:rPr>
          <w:rFonts w:eastAsia="Times New Roman"/>
        </w:rPr>
      </w:pPr>
      <w:proofErr w:type="spellStart"/>
      <w:r w:rsidRPr="00D27C67">
        <w:rPr>
          <w:rFonts w:eastAsia="Times New Roman"/>
        </w:rPr>
        <w:t>Wimsett</w:t>
      </w:r>
      <w:proofErr w:type="spellEnd"/>
      <w:r w:rsidRPr="00D27C67">
        <w:rPr>
          <w:rFonts w:eastAsia="Times New Roman"/>
        </w:rPr>
        <w:t xml:space="preserve"> J, Harper A, Jones P. Review article: Components of </w:t>
      </w:r>
      <w:proofErr w:type="gramStart"/>
      <w:r w:rsidRPr="00D27C67">
        <w:rPr>
          <w:rFonts w:eastAsia="Times New Roman"/>
        </w:rPr>
        <w:t>a good quality</w:t>
      </w:r>
      <w:proofErr w:type="gramEnd"/>
      <w:r w:rsidRPr="00D27C67">
        <w:rPr>
          <w:rFonts w:eastAsia="Times New Roman"/>
        </w:rPr>
        <w:t xml:space="preserve"> discharge summary: a systematic review. </w:t>
      </w:r>
      <w:proofErr w:type="spellStart"/>
      <w:r w:rsidRPr="00A32890">
        <w:rPr>
          <w:rStyle w:val="Emphasis"/>
          <w:rFonts w:eastAsia="Times New Roman"/>
          <w:b w:val="0"/>
          <w:bCs w:val="0"/>
        </w:rPr>
        <w:t>Emerg</w:t>
      </w:r>
      <w:proofErr w:type="spellEnd"/>
      <w:r w:rsidRPr="00A32890">
        <w:rPr>
          <w:rStyle w:val="Emphasis"/>
          <w:rFonts w:eastAsia="Times New Roman"/>
          <w:b w:val="0"/>
          <w:bCs w:val="0"/>
        </w:rPr>
        <w:t xml:space="preserve"> Med </w:t>
      </w:r>
      <w:proofErr w:type="spellStart"/>
      <w:r w:rsidRPr="00A32890">
        <w:rPr>
          <w:rStyle w:val="Emphasis"/>
          <w:rFonts w:eastAsia="Times New Roman"/>
          <w:b w:val="0"/>
          <w:bCs w:val="0"/>
        </w:rPr>
        <w:t>Australas</w:t>
      </w:r>
      <w:proofErr w:type="spellEnd"/>
      <w:r w:rsidRPr="00D27C67">
        <w:rPr>
          <w:rFonts w:eastAsia="Times New Roman"/>
        </w:rPr>
        <w:t xml:space="preserve">. 2014;26(5):430–8. </w:t>
      </w:r>
      <w:proofErr w:type="spellStart"/>
      <w:r w:rsidRPr="00D27C67">
        <w:rPr>
          <w:rFonts w:eastAsia="Times New Roman"/>
        </w:rPr>
        <w:t>doi</w:t>
      </w:r>
      <w:proofErr w:type="spellEnd"/>
      <w:r w:rsidRPr="00D27C67">
        <w:rPr>
          <w:rFonts w:eastAsia="Times New Roman"/>
        </w:rPr>
        <w:t xml:space="preserve">: https://doi.org/10.1111/1742-6723.12285. </w:t>
      </w:r>
    </w:p>
    <w:p w14:paraId="3A5D54EC" w14:textId="77777777" w:rsidR="008B5348" w:rsidRDefault="008B5348" w:rsidP="00B50D8D">
      <w:pPr>
        <w:rPr>
          <w:rStyle w:val="A10"/>
        </w:rPr>
      </w:pPr>
      <w:r>
        <w:rPr>
          <w:rStyle w:val="A10"/>
        </w:rPr>
        <w:br w:type="page"/>
      </w:r>
    </w:p>
    <w:p w14:paraId="401AADE0" w14:textId="4AB45AF1" w:rsidR="0032537C" w:rsidRDefault="0032537C" w:rsidP="0032537C">
      <w:pPr>
        <w:pStyle w:val="Heading1"/>
        <w:divId w:val="217671898"/>
      </w:pPr>
      <w:r>
        <w:lastRenderedPageBreak/>
        <w:t xml:space="preserve">Appendix A: Questionnaires sent to clinicians/general </w:t>
      </w:r>
      <w:proofErr w:type="gramStart"/>
      <w:r>
        <w:t>practitioners</w:t>
      </w:r>
      <w:proofErr w:type="gramEnd"/>
      <w:r>
        <w:t xml:space="preserve"> </w:t>
      </w:r>
    </w:p>
    <w:p w14:paraId="048096F5" w14:textId="77777777" w:rsidR="00B42EAC" w:rsidRDefault="00B42EAC" w:rsidP="00E10FFD">
      <w:pPr>
        <w:pStyle w:val="CDIFigures"/>
        <w:divId w:val="217671898"/>
      </w:pPr>
      <w:r>
        <w:t>Appendix A.1: Questionnaire for clinicians</w:t>
      </w:r>
    </w:p>
    <w:p w14:paraId="31ACDD02" w14:textId="5CEB0B3B" w:rsidR="00430135" w:rsidRDefault="00430135" w:rsidP="000A1F9C">
      <w:pPr>
        <w:jc w:val="center"/>
        <w:divId w:val="217671898"/>
        <w:rPr>
          <w:rFonts w:eastAsia="Times New Roman"/>
          <w:lang w:val="en-GB"/>
        </w:rPr>
      </w:pPr>
      <w:r w:rsidRPr="009567B5">
        <w:rPr>
          <w:rFonts w:eastAsia="Times New Roman"/>
          <w:noProof/>
          <w:bdr w:val="single" w:sz="2" w:space="0" w:color="808080" w:themeColor="background1" w:themeShade="80"/>
          <w:lang w:val="en-GB"/>
        </w:rPr>
        <w:drawing>
          <wp:inline distT="0" distB="0" distL="0" distR="0" wp14:anchorId="48B6C357" wp14:editId="38B5B7A7">
            <wp:extent cx="6089916" cy="8202185"/>
            <wp:effectExtent l="0" t="0" r="6350" b="8890"/>
            <wp:docPr id="3" name="Picture 3" descr="Appendix A.1 shows the standard questonnaire form (1 page) sent to reporting clinicians for follow-up on hepatitis C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endix A.1 shows the standard questonnaire form (1 page) sent to reporting clinicians for follow-up on hepatitis C notifications."/>
                    <pic:cNvPicPr>
                      <a:picLocks noChangeAspect="1" noChangeArrowheads="1"/>
                    </pic:cNvPicPr>
                  </pic:nvPicPr>
                  <pic:blipFill>
                    <a:blip r:embed="rId14" r:link="rId15" cstate="print">
                      <a:extLst>
                        <a:ext uri="{28A0092B-C50C-407E-A947-70E740481C1C}">
                          <a14:useLocalDpi xmlns:a14="http://schemas.microsoft.com/office/drawing/2010/main" val="0"/>
                        </a:ext>
                      </a:extLst>
                    </a:blip>
                    <a:stretch>
                      <a:fillRect/>
                    </a:stretch>
                  </pic:blipFill>
                  <pic:spPr bwMode="auto">
                    <a:xfrm>
                      <a:off x="0" y="0"/>
                      <a:ext cx="6089916" cy="8202185"/>
                    </a:xfrm>
                    <a:prstGeom prst="rect">
                      <a:avLst/>
                    </a:prstGeom>
                  </pic:spPr>
                </pic:pic>
              </a:graphicData>
            </a:graphic>
          </wp:inline>
        </w:drawing>
      </w:r>
    </w:p>
    <w:p w14:paraId="76692B67" w14:textId="29615895" w:rsidR="00E10FFD" w:rsidRPr="00E10FFD" w:rsidRDefault="00E10FFD" w:rsidP="00E10FFD">
      <w:pPr>
        <w:pStyle w:val="CDIFigures"/>
        <w:divId w:val="217671898"/>
        <w:rPr>
          <w:lang w:val="en-GB"/>
        </w:rPr>
      </w:pPr>
      <w:r>
        <w:rPr>
          <w:lang w:val="en-GB"/>
        </w:rPr>
        <w:lastRenderedPageBreak/>
        <w:t>Appendix A.2: Questionnaire for general practitioners</w:t>
      </w:r>
    </w:p>
    <w:p w14:paraId="2A0724D6" w14:textId="7B72991F" w:rsidR="00430135" w:rsidRDefault="00430135" w:rsidP="00870E78">
      <w:pPr>
        <w:jc w:val="center"/>
        <w:divId w:val="217671898"/>
        <w:rPr>
          <w:rFonts w:eastAsia="Times New Roman"/>
          <w:lang w:val="en-GB"/>
        </w:rPr>
      </w:pPr>
      <w:r w:rsidRPr="001A1CF2">
        <w:rPr>
          <w:rFonts w:eastAsia="Times New Roman"/>
          <w:noProof/>
          <w:bdr w:val="single" w:sz="2" w:space="0" w:color="808080" w:themeColor="background1" w:themeShade="80"/>
          <w:lang w:val="en-GB"/>
        </w:rPr>
        <w:drawing>
          <wp:inline distT="0" distB="0" distL="0" distR="0" wp14:anchorId="4CBEE3D2" wp14:editId="4C8EB70E">
            <wp:extent cx="6007620" cy="8272289"/>
            <wp:effectExtent l="0" t="0" r="12700" b="14605"/>
            <wp:docPr id="4" name="Picture 4" descr="Appendix A.2 shows the standard questonnaire form (1 page) sent to reporting general practitioners (GPs) for follow-up on hepatitis C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pendix A.2 shows the standard questonnaire form (1 page) sent to reporting general practitioners (GPs) for follow-up on hepatitis C notifications."/>
                    <pic:cNvPicPr>
                      <a:picLocks noChangeAspect="1" noChangeArrowheads="1"/>
                    </pic:cNvPicPr>
                  </pic:nvPicPr>
                  <pic:blipFill>
                    <a:blip r:embed="rId16" r:link="rId17" cstate="print">
                      <a:extLst>
                        <a:ext uri="{28A0092B-C50C-407E-A947-70E740481C1C}">
                          <a14:useLocalDpi xmlns:a14="http://schemas.microsoft.com/office/drawing/2010/main" val="0"/>
                        </a:ext>
                      </a:extLst>
                    </a:blip>
                    <a:stretch>
                      <a:fillRect/>
                    </a:stretch>
                  </pic:blipFill>
                  <pic:spPr bwMode="auto">
                    <a:xfrm>
                      <a:off x="0" y="0"/>
                      <a:ext cx="6007620" cy="8272289"/>
                    </a:xfrm>
                    <a:prstGeom prst="rect">
                      <a:avLst/>
                    </a:prstGeom>
                  </pic:spPr>
                </pic:pic>
              </a:graphicData>
            </a:graphic>
          </wp:inline>
        </w:drawing>
      </w:r>
    </w:p>
    <w:p w14:paraId="29F26D38" w14:textId="77777777" w:rsidR="004B6D17" w:rsidRDefault="004B6D17">
      <w:pPr>
        <w:rPr>
          <w:rFonts w:eastAsia="Times New Roman"/>
          <w:lang w:val="en-GB"/>
        </w:rPr>
      </w:pPr>
      <w:r>
        <w:rPr>
          <w:rFonts w:eastAsia="Times New Roman"/>
          <w:lang w:val="en-GB"/>
        </w:rPr>
        <w:br w:type="page"/>
      </w:r>
    </w:p>
    <w:p w14:paraId="1C51F3BF" w14:textId="09E57065" w:rsidR="004B6D17" w:rsidRDefault="004B6D17" w:rsidP="004B6D17">
      <w:pPr>
        <w:pStyle w:val="CDIFigures"/>
        <w:divId w:val="217671898"/>
        <w:rPr>
          <w:rFonts w:eastAsia="Times New Roman"/>
          <w:lang w:val="en-GB"/>
        </w:rPr>
      </w:pPr>
      <w:r w:rsidRPr="004B6D17">
        <w:rPr>
          <w:rFonts w:eastAsia="Times New Roman"/>
          <w:lang w:val="en-GB"/>
        </w:rPr>
        <w:lastRenderedPageBreak/>
        <w:t>Appendix B: Scripts followed</w:t>
      </w:r>
      <w:r>
        <w:rPr>
          <w:rFonts w:eastAsia="Times New Roman"/>
          <w:lang w:val="en-GB"/>
        </w:rPr>
        <w:t xml:space="preserve"> </w:t>
      </w:r>
      <w:r w:rsidRPr="004B6D17">
        <w:rPr>
          <w:rFonts w:eastAsia="Times New Roman"/>
          <w:lang w:val="en-GB"/>
        </w:rPr>
        <w:t xml:space="preserve">in semi-structured telephone interviews with invited clinicians/general </w:t>
      </w:r>
      <w:proofErr w:type="gramStart"/>
      <w:r w:rsidRPr="004B6D17">
        <w:rPr>
          <w:rFonts w:eastAsia="Times New Roman"/>
          <w:lang w:val="en-GB"/>
        </w:rPr>
        <w:t>practitioners</w:t>
      </w:r>
      <w:proofErr w:type="gramEnd"/>
      <w:r w:rsidRPr="004B6D17">
        <w:rPr>
          <w:rFonts w:eastAsia="Times New Roman"/>
          <w:lang w:val="en-GB"/>
        </w:rPr>
        <w:t xml:space="preserve"> </w:t>
      </w:r>
    </w:p>
    <w:p w14:paraId="37D55B53" w14:textId="5FAD3CCC" w:rsidR="0046533E" w:rsidRPr="0046533E" w:rsidRDefault="0046533E" w:rsidP="004B6D17">
      <w:pPr>
        <w:pStyle w:val="CDIFigures"/>
        <w:divId w:val="217671898"/>
        <w:rPr>
          <w:rFonts w:eastAsia="Times New Roman"/>
          <w:b w:val="0"/>
          <w:bCs/>
          <w:lang w:val="en-GB"/>
        </w:rPr>
      </w:pPr>
      <w:r w:rsidRPr="0046533E">
        <w:rPr>
          <w:rFonts w:eastAsia="Times New Roman"/>
          <w:b w:val="0"/>
          <w:bCs/>
          <w:lang w:val="en-GB"/>
        </w:rPr>
        <w:t>Appendix B.1: Interview guide for hospital clinicians</w:t>
      </w:r>
    </w:p>
    <w:p w14:paraId="44833FF3" w14:textId="33FD6D2C" w:rsidR="00430135" w:rsidRDefault="00430135" w:rsidP="00727D78">
      <w:pPr>
        <w:jc w:val="center"/>
        <w:divId w:val="217671898"/>
        <w:rPr>
          <w:rFonts w:eastAsia="Times New Roman"/>
          <w:lang w:val="en-GB"/>
        </w:rPr>
      </w:pPr>
      <w:r w:rsidRPr="001A1CF2">
        <w:rPr>
          <w:rFonts w:eastAsia="Times New Roman"/>
          <w:noProof/>
          <w:bdr w:val="single" w:sz="2" w:space="0" w:color="808080" w:themeColor="background1" w:themeShade="80"/>
          <w:lang w:val="en-GB"/>
        </w:rPr>
        <w:drawing>
          <wp:inline distT="0" distB="0" distL="0" distR="0" wp14:anchorId="1A41EF00" wp14:editId="2CD7CA8F">
            <wp:extent cx="5205995" cy="8223521"/>
            <wp:effectExtent l="0" t="0" r="13970" b="6350"/>
            <wp:docPr id="5" name="Picture 5" descr="Appendix B.1 shows the interview guide (3 pages) followed in semi-structured in-depth interviews with hospital clinicians, re follow-up on hepatitis C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pendix B.1 shows the interview guide (3 pages) followed in semi-structured in-depth interviews with hospital clinicians, re follow-up on hepatitis C notifications."/>
                    <pic:cNvPicPr>
                      <a:picLocks noChangeAspect="1" noChangeArrowheads="1"/>
                    </pic:cNvPicPr>
                  </pic:nvPicPr>
                  <pic:blipFill>
                    <a:blip r:embed="rId18" r:link="rId19" cstate="print">
                      <a:extLst>
                        <a:ext uri="{28A0092B-C50C-407E-A947-70E740481C1C}">
                          <a14:useLocalDpi xmlns:a14="http://schemas.microsoft.com/office/drawing/2010/main" val="0"/>
                        </a:ext>
                      </a:extLst>
                    </a:blip>
                    <a:stretch>
                      <a:fillRect/>
                    </a:stretch>
                  </pic:blipFill>
                  <pic:spPr bwMode="auto">
                    <a:xfrm>
                      <a:off x="0" y="0"/>
                      <a:ext cx="5205995" cy="8223521"/>
                    </a:xfrm>
                    <a:prstGeom prst="rect">
                      <a:avLst/>
                    </a:prstGeom>
                  </pic:spPr>
                </pic:pic>
              </a:graphicData>
            </a:graphic>
          </wp:inline>
        </w:drawing>
      </w:r>
    </w:p>
    <w:p w14:paraId="19795597" w14:textId="77777777" w:rsidR="005E5A09" w:rsidRDefault="00430135" w:rsidP="00862C99">
      <w:pPr>
        <w:jc w:val="center"/>
        <w:divId w:val="217671898"/>
        <w:rPr>
          <w:rFonts w:eastAsia="Times New Roman"/>
          <w:lang w:val="en-GB"/>
        </w:rPr>
      </w:pPr>
      <w:r w:rsidRPr="00862C99">
        <w:rPr>
          <w:rFonts w:eastAsia="Times New Roman"/>
          <w:noProof/>
          <w:bdr w:val="single" w:sz="2" w:space="0" w:color="808080" w:themeColor="background1" w:themeShade="80"/>
          <w:lang w:val="en-GB"/>
        </w:rPr>
        <w:lastRenderedPageBreak/>
        <w:drawing>
          <wp:inline distT="0" distB="0" distL="0" distR="0" wp14:anchorId="6EF8974E" wp14:editId="365B6CCE">
            <wp:extent cx="5785116" cy="9134875"/>
            <wp:effectExtent l="0" t="0" r="6350" b="9525"/>
            <wp:docPr id="6" name="Picture 6" descr="continuation of Appendix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ontinuation of Appendix B.1"/>
                    <pic:cNvPicPr>
                      <a:picLocks noChangeAspect="1" noChangeArrowheads="1"/>
                    </pic:cNvPicPr>
                  </pic:nvPicPr>
                  <pic:blipFill>
                    <a:blip r:embed="rId20" r:link="rId21" cstate="print">
                      <a:extLst>
                        <a:ext uri="{28A0092B-C50C-407E-A947-70E740481C1C}">
                          <a14:useLocalDpi xmlns:a14="http://schemas.microsoft.com/office/drawing/2010/main" val="0"/>
                        </a:ext>
                      </a:extLst>
                    </a:blip>
                    <a:stretch>
                      <a:fillRect/>
                    </a:stretch>
                  </pic:blipFill>
                  <pic:spPr bwMode="auto">
                    <a:xfrm>
                      <a:off x="0" y="0"/>
                      <a:ext cx="5785116" cy="9134875"/>
                    </a:xfrm>
                    <a:prstGeom prst="rect">
                      <a:avLst/>
                    </a:prstGeom>
                  </pic:spPr>
                </pic:pic>
              </a:graphicData>
            </a:graphic>
          </wp:inline>
        </w:drawing>
      </w:r>
    </w:p>
    <w:p w14:paraId="0739F265" w14:textId="77777777" w:rsidR="005E5A09" w:rsidRDefault="00430135" w:rsidP="00862C99">
      <w:pPr>
        <w:jc w:val="center"/>
        <w:divId w:val="217671898"/>
        <w:rPr>
          <w:rFonts w:eastAsia="Times New Roman"/>
          <w:lang w:val="en-GB"/>
        </w:rPr>
      </w:pPr>
      <w:r w:rsidRPr="00862C99">
        <w:rPr>
          <w:rFonts w:eastAsia="Times New Roman"/>
          <w:noProof/>
          <w:bdr w:val="single" w:sz="2" w:space="0" w:color="808080" w:themeColor="background1" w:themeShade="80"/>
          <w:lang w:val="en-GB"/>
        </w:rPr>
        <w:lastRenderedPageBreak/>
        <w:drawing>
          <wp:inline distT="0" distB="0" distL="0" distR="0" wp14:anchorId="6FA67615" wp14:editId="6F404B49">
            <wp:extent cx="5785116" cy="9134875"/>
            <wp:effectExtent l="0" t="0" r="6350" b="9525"/>
            <wp:docPr id="7" name="Picture 7" descr="continuation of Appendix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ntinuation of Appendix B.1"/>
                    <pic:cNvPicPr>
                      <a:picLocks noChangeAspect="1" noChangeArrowheads="1"/>
                    </pic:cNvPicPr>
                  </pic:nvPicPr>
                  <pic:blipFill>
                    <a:blip r:embed="rId22" r:link="rId23" cstate="print">
                      <a:extLst>
                        <a:ext uri="{28A0092B-C50C-407E-A947-70E740481C1C}">
                          <a14:useLocalDpi xmlns:a14="http://schemas.microsoft.com/office/drawing/2010/main" val="0"/>
                        </a:ext>
                      </a:extLst>
                    </a:blip>
                    <a:stretch>
                      <a:fillRect/>
                    </a:stretch>
                  </pic:blipFill>
                  <pic:spPr bwMode="auto">
                    <a:xfrm>
                      <a:off x="0" y="0"/>
                      <a:ext cx="5785116" cy="9134875"/>
                    </a:xfrm>
                    <a:prstGeom prst="rect">
                      <a:avLst/>
                    </a:prstGeom>
                  </pic:spPr>
                </pic:pic>
              </a:graphicData>
            </a:graphic>
          </wp:inline>
        </w:drawing>
      </w:r>
    </w:p>
    <w:p w14:paraId="1FACC7EB" w14:textId="77777777" w:rsidR="003737E5" w:rsidRDefault="003737E5" w:rsidP="003737E5">
      <w:pPr>
        <w:pStyle w:val="CDIFigures"/>
        <w:divId w:val="217671898"/>
      </w:pPr>
      <w:r>
        <w:lastRenderedPageBreak/>
        <w:t xml:space="preserve">Appendix B.2: Interview guide for emergency department clinicians </w:t>
      </w:r>
    </w:p>
    <w:p w14:paraId="02C5BD56" w14:textId="45D1E0E0" w:rsidR="00430135" w:rsidRDefault="00430135" w:rsidP="00EE1D27">
      <w:pPr>
        <w:jc w:val="center"/>
        <w:divId w:val="217671898"/>
        <w:rPr>
          <w:rFonts w:eastAsia="Times New Roman"/>
          <w:lang w:val="en-GB"/>
        </w:rPr>
      </w:pPr>
      <w:r w:rsidRPr="00EE1D27">
        <w:rPr>
          <w:rFonts w:eastAsia="Times New Roman"/>
          <w:noProof/>
          <w:bdr w:val="single" w:sz="2" w:space="0" w:color="808080" w:themeColor="background1" w:themeShade="80"/>
          <w:lang w:val="en-GB"/>
        </w:rPr>
        <w:drawing>
          <wp:inline distT="0" distB="0" distL="0" distR="0" wp14:anchorId="6D927D1F" wp14:editId="432CE25F">
            <wp:extent cx="5504107" cy="8691327"/>
            <wp:effectExtent l="0" t="0" r="1905" b="14605"/>
            <wp:docPr id="8" name="Picture 8" descr="Appendix B.2 shows the interview guide (2 pages) followed in semi-structured in-depth interviews with emergency department (ED) clinicians, re follow-up on hepatitis C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pendix B.2 shows the interview guide (2 pages) followed in semi-structured in-depth interviews with emergency department (ED) clinicians, re follow-up on hepatitis C notifications."/>
                    <pic:cNvPicPr>
                      <a:picLocks noChangeAspect="1" noChangeArrowheads="1"/>
                    </pic:cNvPicPr>
                  </pic:nvPicPr>
                  <pic:blipFill>
                    <a:blip r:embed="rId24" r:link="rId25" cstate="print">
                      <a:extLst>
                        <a:ext uri="{28A0092B-C50C-407E-A947-70E740481C1C}">
                          <a14:useLocalDpi xmlns:a14="http://schemas.microsoft.com/office/drawing/2010/main" val="0"/>
                        </a:ext>
                      </a:extLst>
                    </a:blip>
                    <a:stretch>
                      <a:fillRect/>
                    </a:stretch>
                  </pic:blipFill>
                  <pic:spPr bwMode="auto">
                    <a:xfrm>
                      <a:off x="0" y="0"/>
                      <a:ext cx="5505855" cy="8694087"/>
                    </a:xfrm>
                    <a:prstGeom prst="rect">
                      <a:avLst/>
                    </a:prstGeom>
                  </pic:spPr>
                </pic:pic>
              </a:graphicData>
            </a:graphic>
          </wp:inline>
        </w:drawing>
      </w:r>
    </w:p>
    <w:p w14:paraId="0619342E" w14:textId="77777777" w:rsidR="005E5A09" w:rsidRDefault="00430135" w:rsidP="00EE1D27">
      <w:pPr>
        <w:jc w:val="center"/>
        <w:divId w:val="217671898"/>
        <w:rPr>
          <w:rFonts w:eastAsia="Times New Roman"/>
          <w:lang w:val="en-GB"/>
        </w:rPr>
      </w:pPr>
      <w:r w:rsidRPr="00EE1D27">
        <w:rPr>
          <w:rFonts w:eastAsia="Times New Roman"/>
          <w:noProof/>
          <w:bdr w:val="single" w:sz="2" w:space="0" w:color="808080" w:themeColor="background1" w:themeShade="80"/>
          <w:lang w:val="en-GB"/>
        </w:rPr>
        <w:lastRenderedPageBreak/>
        <w:drawing>
          <wp:inline distT="0" distB="0" distL="0" distR="0" wp14:anchorId="7EF6ECB2" wp14:editId="0C2A8415">
            <wp:extent cx="5376683" cy="8488697"/>
            <wp:effectExtent l="0" t="0" r="14605" b="7620"/>
            <wp:docPr id="9" name="Picture 9" descr="continuation of Appendix 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ontinuation of Appendix B.2"/>
                    <pic:cNvPicPr>
                      <a:picLocks noChangeAspect="1" noChangeArrowheads="1"/>
                    </pic:cNvPicPr>
                  </pic:nvPicPr>
                  <pic:blipFill>
                    <a:blip r:embed="rId26" r:link="rId27" cstate="print">
                      <a:extLst>
                        <a:ext uri="{28A0092B-C50C-407E-A947-70E740481C1C}">
                          <a14:useLocalDpi xmlns:a14="http://schemas.microsoft.com/office/drawing/2010/main" val="0"/>
                        </a:ext>
                      </a:extLst>
                    </a:blip>
                    <a:stretch>
                      <a:fillRect/>
                    </a:stretch>
                  </pic:blipFill>
                  <pic:spPr bwMode="auto">
                    <a:xfrm>
                      <a:off x="0" y="0"/>
                      <a:ext cx="5376683" cy="8488697"/>
                    </a:xfrm>
                    <a:prstGeom prst="rect">
                      <a:avLst/>
                    </a:prstGeom>
                  </pic:spPr>
                </pic:pic>
              </a:graphicData>
            </a:graphic>
          </wp:inline>
        </w:drawing>
      </w:r>
    </w:p>
    <w:p w14:paraId="47715247" w14:textId="77777777" w:rsidR="00E7113F" w:rsidRDefault="00E7113F" w:rsidP="00EE1D27">
      <w:pPr>
        <w:jc w:val="center"/>
        <w:divId w:val="217671898"/>
        <w:rPr>
          <w:rFonts w:eastAsia="Times New Roman"/>
          <w:lang w:val="en-GB"/>
        </w:rPr>
      </w:pPr>
    </w:p>
    <w:p w14:paraId="716DA1B3" w14:textId="77777777" w:rsidR="00E7113F" w:rsidRDefault="00E7113F">
      <w:pPr>
        <w:rPr>
          <w:rFonts w:cs="Minion Variable Concept"/>
          <w:color w:val="211D1E"/>
          <w:sz w:val="23"/>
          <w:szCs w:val="23"/>
        </w:rPr>
      </w:pPr>
      <w:r>
        <w:rPr>
          <w:rFonts w:cs="Minion Variable Concept"/>
          <w:color w:val="211D1E"/>
          <w:sz w:val="23"/>
          <w:szCs w:val="23"/>
        </w:rPr>
        <w:br w:type="page"/>
      </w:r>
    </w:p>
    <w:p w14:paraId="08246986" w14:textId="77F0F180" w:rsidR="00E7113F" w:rsidRPr="00E7113F" w:rsidRDefault="00E7113F" w:rsidP="00E7113F">
      <w:pPr>
        <w:divId w:val="217671898"/>
        <w:rPr>
          <w:rFonts w:cs="Minion Variable Concept"/>
          <w:b/>
          <w:bCs/>
          <w:color w:val="211D1E"/>
          <w:sz w:val="23"/>
          <w:szCs w:val="23"/>
        </w:rPr>
      </w:pPr>
      <w:r w:rsidRPr="00E7113F">
        <w:rPr>
          <w:rFonts w:cs="Minion Variable Concept"/>
          <w:b/>
          <w:bCs/>
          <w:color w:val="211D1E"/>
          <w:sz w:val="23"/>
          <w:szCs w:val="23"/>
        </w:rPr>
        <w:lastRenderedPageBreak/>
        <w:t xml:space="preserve">Appendix B.3: Script for general practitioners </w:t>
      </w:r>
    </w:p>
    <w:p w14:paraId="6D683D2B" w14:textId="60DFE36B" w:rsidR="00430135" w:rsidRDefault="00430135" w:rsidP="00EE1D27">
      <w:pPr>
        <w:jc w:val="center"/>
        <w:divId w:val="217671898"/>
        <w:rPr>
          <w:rFonts w:eastAsia="Times New Roman"/>
          <w:lang w:val="en-GB"/>
        </w:rPr>
      </w:pPr>
      <w:r w:rsidRPr="00EE1D27">
        <w:rPr>
          <w:rFonts w:eastAsia="Times New Roman"/>
          <w:noProof/>
          <w:bdr w:val="single" w:sz="2" w:space="0" w:color="808080" w:themeColor="background1" w:themeShade="80"/>
          <w:lang w:val="en-GB"/>
        </w:rPr>
        <w:drawing>
          <wp:inline distT="0" distB="0" distL="0" distR="0" wp14:anchorId="6E3D6751" wp14:editId="370694AC">
            <wp:extent cx="5391923" cy="8787402"/>
            <wp:effectExtent l="0" t="0" r="18415" b="13970"/>
            <wp:docPr id="10" name="Picture 10" descr="Appendix B.3 shows the interview guide (2 pages) followed in semi-structured in-depth interviews with general practitioners (GPs), re follow-up on hepatitis C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ppendix B.3 shows the interview guide (2 pages) followed in semi-structured in-depth interviews with general practitioners (GPs), re follow-up on hepatitis C notifications."/>
                    <pic:cNvPicPr>
                      <a:picLocks noChangeAspect="1" noChangeArrowheads="1"/>
                    </pic:cNvPicPr>
                  </pic:nvPicPr>
                  <pic:blipFill>
                    <a:blip r:embed="rId28" r:link="rId29" cstate="print">
                      <a:extLst>
                        <a:ext uri="{28A0092B-C50C-407E-A947-70E740481C1C}">
                          <a14:useLocalDpi xmlns:a14="http://schemas.microsoft.com/office/drawing/2010/main" val="0"/>
                        </a:ext>
                      </a:extLst>
                    </a:blip>
                    <a:stretch>
                      <a:fillRect/>
                    </a:stretch>
                  </pic:blipFill>
                  <pic:spPr bwMode="auto">
                    <a:xfrm>
                      <a:off x="0" y="0"/>
                      <a:ext cx="5391923" cy="8787402"/>
                    </a:xfrm>
                    <a:prstGeom prst="rect">
                      <a:avLst/>
                    </a:prstGeom>
                  </pic:spPr>
                </pic:pic>
              </a:graphicData>
            </a:graphic>
          </wp:inline>
        </w:drawing>
      </w:r>
    </w:p>
    <w:p w14:paraId="32DDA2A9" w14:textId="77777777" w:rsidR="00430135" w:rsidRDefault="00430135" w:rsidP="009B53A2">
      <w:pPr>
        <w:jc w:val="center"/>
        <w:divId w:val="217671898"/>
        <w:rPr>
          <w:rFonts w:eastAsia="Times New Roman"/>
          <w:lang w:val="en-GB"/>
        </w:rPr>
      </w:pPr>
      <w:r w:rsidRPr="009B53A2">
        <w:rPr>
          <w:rFonts w:eastAsia="Times New Roman"/>
          <w:noProof/>
          <w:bdr w:val="single" w:sz="2" w:space="0" w:color="808080" w:themeColor="background1" w:themeShade="80"/>
          <w:lang w:val="en-GB"/>
        </w:rPr>
        <w:lastRenderedPageBreak/>
        <w:drawing>
          <wp:inline distT="0" distB="0" distL="0" distR="0" wp14:anchorId="6B6EA029" wp14:editId="4D608AB8">
            <wp:extent cx="5611379" cy="9147067"/>
            <wp:effectExtent l="0" t="0" r="8890" b="16510"/>
            <wp:docPr id="11" name="Picture 11" descr="continuation of Appendix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ontinuation of Appendix B.3"/>
                    <pic:cNvPicPr>
                      <a:picLocks noChangeAspect="1" noChangeArrowheads="1"/>
                    </pic:cNvPicPr>
                  </pic:nvPicPr>
                  <pic:blipFill>
                    <a:blip r:embed="rId30" r:link="rId31" cstate="print">
                      <a:extLst>
                        <a:ext uri="{28A0092B-C50C-407E-A947-70E740481C1C}">
                          <a14:useLocalDpi xmlns:a14="http://schemas.microsoft.com/office/drawing/2010/main" val="0"/>
                        </a:ext>
                      </a:extLst>
                    </a:blip>
                    <a:stretch>
                      <a:fillRect/>
                    </a:stretch>
                  </pic:blipFill>
                  <pic:spPr bwMode="auto">
                    <a:xfrm>
                      <a:off x="0" y="0"/>
                      <a:ext cx="5611379" cy="9147067"/>
                    </a:xfrm>
                    <a:prstGeom prst="rect">
                      <a:avLst/>
                    </a:prstGeom>
                  </pic:spPr>
                </pic:pic>
              </a:graphicData>
            </a:graphic>
          </wp:inline>
        </w:drawing>
      </w:r>
    </w:p>
    <w:p w14:paraId="07756699" w14:textId="77777777" w:rsidR="008B5348" w:rsidRDefault="008B5348">
      <w:pPr>
        <w:rPr>
          <w:rStyle w:val="A10"/>
        </w:rPr>
        <w:sectPr w:rsidR="008B5348" w:rsidSect="00A30C37">
          <w:headerReference w:type="default" r:id="rId32"/>
          <w:footerReference w:type="default" r:id="rId33"/>
          <w:footerReference w:type="first" r:id="rId34"/>
          <w:pgSz w:w="11906" w:h="16838"/>
          <w:pgMar w:top="720" w:right="720" w:bottom="1134" w:left="720" w:header="709" w:footer="284" w:gutter="0"/>
          <w:cols w:space="708"/>
          <w:titlePg/>
          <w:docGrid w:linePitch="360"/>
        </w:sectPr>
      </w:pPr>
    </w:p>
    <w:p w14:paraId="3DEDBC1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455CD9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ABE0BA0" w14:textId="77777777" w:rsidR="000A5F42" w:rsidRPr="000606CC" w:rsidRDefault="000A5F42" w:rsidP="000A5F42">
      <w:pPr>
        <w:pStyle w:val="NoSpacing"/>
        <w:rPr>
          <w:rStyle w:val="URI"/>
          <w:rFonts w:cstheme="minorHAnsi"/>
          <w:sz w:val="20"/>
          <w:szCs w:val="18"/>
        </w:rPr>
      </w:pPr>
    </w:p>
    <w:p w14:paraId="77D0E22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381A527" w14:textId="77777777" w:rsidR="000A5F42" w:rsidRPr="000606CC" w:rsidRDefault="000A5F42" w:rsidP="000A5F42">
      <w:pPr>
        <w:pStyle w:val="NoSpacing"/>
        <w:rPr>
          <w:rStyle w:val="Strong"/>
          <w:rFonts w:cstheme="minorHAnsi"/>
          <w:sz w:val="20"/>
          <w:szCs w:val="18"/>
        </w:rPr>
      </w:pPr>
    </w:p>
    <w:p w14:paraId="3FA983B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652DCB7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8E31D2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BE205E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19088918" w14:textId="77777777" w:rsidR="000A5F42" w:rsidRPr="000606CC" w:rsidRDefault="000A5F42" w:rsidP="000A5F42">
      <w:pPr>
        <w:pStyle w:val="NoSpacing"/>
        <w:rPr>
          <w:rStyle w:val="Strong"/>
          <w:rFonts w:cstheme="minorHAnsi"/>
          <w:sz w:val="20"/>
          <w:szCs w:val="18"/>
        </w:rPr>
      </w:pPr>
    </w:p>
    <w:p w14:paraId="778016F6" w14:textId="024E02A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7FDD2E2" w14:textId="77777777" w:rsidR="000A5F42" w:rsidRPr="000606CC" w:rsidRDefault="000A5F42" w:rsidP="000A5F42">
      <w:pPr>
        <w:pStyle w:val="NoSpacing"/>
        <w:rPr>
          <w:rStyle w:val="Strong"/>
          <w:rFonts w:cstheme="minorHAnsi"/>
          <w:sz w:val="20"/>
          <w:szCs w:val="18"/>
        </w:rPr>
      </w:pPr>
    </w:p>
    <w:p w14:paraId="2F8FD0C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B49A110" w14:textId="77777777" w:rsidR="000A5F42" w:rsidRPr="000606CC" w:rsidRDefault="000A5F42" w:rsidP="000A5F42">
      <w:pPr>
        <w:pStyle w:val="NoSpacing"/>
        <w:rPr>
          <w:rStyle w:val="Strong"/>
          <w:rFonts w:cstheme="minorHAnsi"/>
          <w:sz w:val="20"/>
          <w:szCs w:val="18"/>
        </w:rPr>
      </w:pPr>
    </w:p>
    <w:p w14:paraId="12B4A7D3" w14:textId="5E475E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797084B" w14:textId="77777777" w:rsidR="000A5F42" w:rsidRPr="000606CC" w:rsidRDefault="000A5F42" w:rsidP="000A5F42">
      <w:pPr>
        <w:pStyle w:val="NoSpacing"/>
        <w:rPr>
          <w:rStyle w:val="Strong"/>
          <w:rFonts w:cstheme="minorHAnsi"/>
          <w:sz w:val="20"/>
          <w:szCs w:val="18"/>
        </w:rPr>
      </w:pPr>
    </w:p>
    <w:p w14:paraId="3825F964" w14:textId="73D4F2A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3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3DD4A7F" w14:textId="6C8D6D7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38" w:history="1">
        <w:r w:rsidRPr="000606CC">
          <w:rPr>
            <w:rStyle w:val="Hyperlink"/>
            <w:rFonts w:cstheme="minorHAnsi"/>
            <w:sz w:val="20"/>
            <w:szCs w:val="18"/>
          </w:rPr>
          <w:t>cdi.editor@health.gov.au</w:t>
        </w:r>
      </w:hyperlink>
      <w:r w:rsidRPr="000606CC">
        <w:rPr>
          <w:rFonts w:cstheme="minorHAnsi"/>
          <w:sz w:val="20"/>
          <w:szCs w:val="18"/>
        </w:rPr>
        <w:t>.</w:t>
      </w:r>
    </w:p>
    <w:p w14:paraId="7B7FA374" w14:textId="77777777" w:rsidR="000A5F42" w:rsidRPr="000606CC" w:rsidRDefault="000A5F42" w:rsidP="000A5F42">
      <w:pPr>
        <w:pStyle w:val="NoSpacing"/>
        <w:pBdr>
          <w:bottom w:val="single" w:sz="6" w:space="1" w:color="auto"/>
        </w:pBdr>
        <w:rPr>
          <w:rStyle w:val="Strong"/>
          <w:rFonts w:cstheme="minorHAnsi"/>
          <w:sz w:val="12"/>
          <w:szCs w:val="18"/>
        </w:rPr>
      </w:pPr>
    </w:p>
    <w:p w14:paraId="6AAE979E" w14:textId="77777777" w:rsidR="000A5F42" w:rsidRPr="000606CC" w:rsidRDefault="000A5F42" w:rsidP="000A5F42">
      <w:pPr>
        <w:pStyle w:val="NoSpacing"/>
        <w:rPr>
          <w:rFonts w:cstheme="minorHAnsi"/>
          <w:sz w:val="20"/>
          <w:szCs w:val="18"/>
        </w:rPr>
      </w:pPr>
    </w:p>
    <w:p w14:paraId="46FB799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875677C" w14:textId="77777777" w:rsidR="000A5F42" w:rsidRPr="000606CC" w:rsidRDefault="000A5F42" w:rsidP="000A5F42">
      <w:pPr>
        <w:pStyle w:val="NoSpacing"/>
        <w:rPr>
          <w:rFonts w:cstheme="minorHAnsi"/>
          <w:sz w:val="20"/>
          <w:szCs w:val="18"/>
        </w:rPr>
      </w:pPr>
    </w:p>
    <w:p w14:paraId="0B0FC5A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71E8E0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A05099">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A3C889F" w14:textId="3DA93F0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F523E5D" w14:textId="77777777" w:rsidR="000A5F42" w:rsidRPr="000606CC" w:rsidRDefault="000A5F42" w:rsidP="000A5F42">
      <w:pPr>
        <w:pStyle w:val="NoSpacing"/>
        <w:rPr>
          <w:rFonts w:cstheme="minorHAnsi"/>
          <w:sz w:val="20"/>
          <w:szCs w:val="18"/>
        </w:rPr>
      </w:pPr>
    </w:p>
    <w:p w14:paraId="012F40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CC13950" w14:textId="65B0D9A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BC065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F129B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7EA75F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8BB665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851A52A" w14:textId="77777777" w:rsidR="000A5F42" w:rsidRPr="000606CC" w:rsidRDefault="000A5F42" w:rsidP="000A5F42">
      <w:pPr>
        <w:pStyle w:val="NoSpacing"/>
        <w:rPr>
          <w:rStyle w:val="Strong"/>
          <w:rFonts w:cstheme="minorHAnsi"/>
          <w:sz w:val="20"/>
          <w:szCs w:val="18"/>
        </w:rPr>
      </w:pPr>
    </w:p>
    <w:p w14:paraId="1F3A37B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77934B0" w14:textId="77777777" w:rsidR="000A5F42" w:rsidRPr="000606CC" w:rsidRDefault="000A5F42" w:rsidP="000A5F42">
      <w:pPr>
        <w:pStyle w:val="NoSpacing"/>
        <w:rPr>
          <w:rStyle w:val="Strong"/>
          <w:rFonts w:cstheme="minorHAnsi"/>
          <w:sz w:val="20"/>
          <w:szCs w:val="18"/>
        </w:rPr>
      </w:pPr>
    </w:p>
    <w:p w14:paraId="1FE7146A" w14:textId="77D23D0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4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F06DD21" w14:textId="77777777" w:rsidR="000A5F42" w:rsidRPr="000606CC" w:rsidRDefault="000A5F42" w:rsidP="000A5F42">
      <w:pPr>
        <w:pStyle w:val="NoSpacing"/>
        <w:rPr>
          <w:rStyle w:val="URI"/>
          <w:rFonts w:cstheme="minorHAnsi"/>
          <w:sz w:val="20"/>
          <w:szCs w:val="18"/>
        </w:rPr>
      </w:pPr>
    </w:p>
    <w:p w14:paraId="455E24C9" w14:textId="49B3F83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4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02F6A" w14:textId="77777777" w:rsidR="00A05099" w:rsidRDefault="00A05099" w:rsidP="00E54DBA">
      <w:r>
        <w:separator/>
      </w:r>
    </w:p>
    <w:p w14:paraId="1EC7F0B1" w14:textId="77777777" w:rsidR="00A05099" w:rsidRDefault="00A05099"/>
    <w:p w14:paraId="77698173" w14:textId="77777777" w:rsidR="00A05099" w:rsidRDefault="00A05099" w:rsidP="008714B0"/>
  </w:endnote>
  <w:endnote w:type="continuationSeparator" w:id="0">
    <w:p w14:paraId="58143AB8" w14:textId="77777777" w:rsidR="00A05099" w:rsidRDefault="00A05099" w:rsidP="00E54DBA">
      <w:r>
        <w:continuationSeparator/>
      </w:r>
    </w:p>
    <w:p w14:paraId="1B1D844E" w14:textId="77777777" w:rsidR="00A05099" w:rsidRDefault="00A05099"/>
    <w:p w14:paraId="5669678C" w14:textId="77777777" w:rsidR="00A05099" w:rsidRDefault="00A0509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5B26" w14:textId="07F18E1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32890">
      <w:rPr>
        <w:i/>
        <w:sz w:val="18"/>
      </w:rPr>
      <w:t>Commun</w:t>
    </w:r>
    <w:proofErr w:type="spellEnd"/>
    <w:r w:rsidR="00CE342B" w:rsidRPr="00A32890">
      <w:rPr>
        <w:i/>
        <w:sz w:val="18"/>
      </w:rPr>
      <w:t xml:space="preserve"> Dis </w:t>
    </w:r>
    <w:proofErr w:type="spellStart"/>
    <w:r w:rsidR="00CE342B" w:rsidRPr="00A32890">
      <w:rPr>
        <w:i/>
        <w:sz w:val="18"/>
      </w:rPr>
      <w:t>Intell</w:t>
    </w:r>
    <w:proofErr w:type="spellEnd"/>
    <w:r w:rsidR="00CE342B" w:rsidRPr="00A3289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05099">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05099">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D2021">
      <w:rPr>
        <w:sz w:val="18"/>
      </w:rPr>
      <w:t>https://doi.org/10.33321/cdi.2023.47.62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D2021">
      <w:rPr>
        <w:sz w:val="18"/>
      </w:rPr>
      <w:t>19/10/2023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0FC6" w14:textId="0B00341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32890">
      <w:rPr>
        <w:i/>
        <w:sz w:val="18"/>
      </w:rPr>
      <w:t>Commun</w:t>
    </w:r>
    <w:proofErr w:type="spellEnd"/>
    <w:r w:rsidR="00A164D5" w:rsidRPr="00A32890">
      <w:rPr>
        <w:i/>
        <w:sz w:val="18"/>
      </w:rPr>
      <w:t xml:space="preserve"> Dis </w:t>
    </w:r>
    <w:proofErr w:type="spellStart"/>
    <w:r w:rsidR="00A164D5" w:rsidRPr="00A32890">
      <w:rPr>
        <w:i/>
        <w:sz w:val="18"/>
      </w:rPr>
      <w:t>Intell</w:t>
    </w:r>
    <w:proofErr w:type="spellEnd"/>
    <w:r w:rsidR="00A164D5" w:rsidRPr="00A3289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05099">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05099">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D2021">
      <w:rPr>
        <w:sz w:val="18"/>
      </w:rPr>
      <w:t>https://doi.org/10.33321/cdi.2023.47.62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1D2021">
      <w:rPr>
        <w:sz w:val="18"/>
      </w:rPr>
      <w:t>19/10/2023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1F24" w14:textId="77777777" w:rsidR="00A05099" w:rsidRPr="00B91FB5" w:rsidRDefault="00A05099" w:rsidP="00B91FB5">
      <w:pPr>
        <w:spacing w:after="0" w:line="240" w:lineRule="auto"/>
        <w:rPr>
          <w:sz w:val="18"/>
          <w:szCs w:val="18"/>
        </w:rPr>
      </w:pPr>
      <w:r w:rsidRPr="00B91FB5">
        <w:rPr>
          <w:sz w:val="18"/>
          <w:szCs w:val="18"/>
        </w:rPr>
        <w:separator/>
      </w:r>
    </w:p>
  </w:footnote>
  <w:footnote w:type="continuationSeparator" w:id="0">
    <w:p w14:paraId="0A83FEEF" w14:textId="77777777" w:rsidR="00A05099" w:rsidRDefault="00A05099" w:rsidP="00E54DBA">
      <w:r>
        <w:continuationSeparator/>
      </w:r>
    </w:p>
  </w:footnote>
  <w:footnote w:type="continuationNotice" w:id="1">
    <w:p w14:paraId="65EE9857" w14:textId="77777777" w:rsidR="00A05099" w:rsidRPr="00224EFF" w:rsidRDefault="00A0509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EC39" w14:textId="2F2574BE" w:rsidR="00257484" w:rsidRPr="00A153B6" w:rsidRDefault="001D202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464D0">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AE8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B3C82E2" wp14:editId="0B760EB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1E56C2"/>
    <w:multiLevelType w:val="multilevel"/>
    <w:tmpl w:val="4316F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807328"/>
    <w:multiLevelType w:val="hybridMultilevel"/>
    <w:tmpl w:val="11AA03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F8378CF"/>
    <w:multiLevelType w:val="hybridMultilevel"/>
    <w:tmpl w:val="C7BABD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1235209"/>
    <w:multiLevelType w:val="multilevel"/>
    <w:tmpl w:val="F33C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9828967">
    <w:abstractNumId w:val="1"/>
  </w:num>
  <w:num w:numId="2" w16cid:durableId="1642691678">
    <w:abstractNumId w:val="3"/>
  </w:num>
  <w:num w:numId="3" w16cid:durableId="1995601711">
    <w:abstractNumId w:val="4"/>
  </w:num>
  <w:num w:numId="4" w16cid:durableId="783572969">
    <w:abstractNumId w:val="0"/>
  </w:num>
  <w:num w:numId="5" w16cid:durableId="1920016994">
    <w:abstractNumId w:val="8"/>
  </w:num>
  <w:num w:numId="6" w16cid:durableId="1114057813">
    <w:abstractNumId w:val="9"/>
  </w:num>
  <w:num w:numId="7" w16cid:durableId="547422352">
    <w:abstractNumId w:val="7"/>
  </w:num>
  <w:num w:numId="8" w16cid:durableId="812215272">
    <w:abstractNumId w:val="2"/>
  </w:num>
  <w:num w:numId="9" w16cid:durableId="890271490">
    <w:abstractNumId w:val="5"/>
  </w:num>
  <w:num w:numId="10" w16cid:durableId="606499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99"/>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1F9C"/>
    <w:rsid w:val="000A5F42"/>
    <w:rsid w:val="000D4B4D"/>
    <w:rsid w:val="00112E99"/>
    <w:rsid w:val="00113D58"/>
    <w:rsid w:val="001200CB"/>
    <w:rsid w:val="001378A3"/>
    <w:rsid w:val="00155582"/>
    <w:rsid w:val="00161590"/>
    <w:rsid w:val="00171CC0"/>
    <w:rsid w:val="001723AC"/>
    <w:rsid w:val="00175494"/>
    <w:rsid w:val="00175629"/>
    <w:rsid w:val="001830EC"/>
    <w:rsid w:val="00183534"/>
    <w:rsid w:val="0018758E"/>
    <w:rsid w:val="001A1CF2"/>
    <w:rsid w:val="001A4A96"/>
    <w:rsid w:val="001A5D05"/>
    <w:rsid w:val="001A796C"/>
    <w:rsid w:val="001B2614"/>
    <w:rsid w:val="001B37B8"/>
    <w:rsid w:val="001B552F"/>
    <w:rsid w:val="001B6E6D"/>
    <w:rsid w:val="001C0893"/>
    <w:rsid w:val="001C1303"/>
    <w:rsid w:val="001C70B2"/>
    <w:rsid w:val="001D2021"/>
    <w:rsid w:val="001D37C7"/>
    <w:rsid w:val="001D6888"/>
    <w:rsid w:val="001E4E1D"/>
    <w:rsid w:val="00224EFF"/>
    <w:rsid w:val="002276DC"/>
    <w:rsid w:val="00227E00"/>
    <w:rsid w:val="002307CB"/>
    <w:rsid w:val="00230FCF"/>
    <w:rsid w:val="00231046"/>
    <w:rsid w:val="00234F21"/>
    <w:rsid w:val="00242659"/>
    <w:rsid w:val="002428F7"/>
    <w:rsid w:val="0024315F"/>
    <w:rsid w:val="0024631C"/>
    <w:rsid w:val="00252C9A"/>
    <w:rsid w:val="00256309"/>
    <w:rsid w:val="00257484"/>
    <w:rsid w:val="00260636"/>
    <w:rsid w:val="00271D15"/>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2537C"/>
    <w:rsid w:val="003323BC"/>
    <w:rsid w:val="00346D42"/>
    <w:rsid w:val="00346E11"/>
    <w:rsid w:val="003601C0"/>
    <w:rsid w:val="003635F5"/>
    <w:rsid w:val="00372A88"/>
    <w:rsid w:val="00372D26"/>
    <w:rsid w:val="003737E5"/>
    <w:rsid w:val="00381A0F"/>
    <w:rsid w:val="003A1B3A"/>
    <w:rsid w:val="003A40F5"/>
    <w:rsid w:val="003B5B8C"/>
    <w:rsid w:val="003C7841"/>
    <w:rsid w:val="003D79B1"/>
    <w:rsid w:val="003E6769"/>
    <w:rsid w:val="003E74EE"/>
    <w:rsid w:val="003F0552"/>
    <w:rsid w:val="003F3BC2"/>
    <w:rsid w:val="003F725B"/>
    <w:rsid w:val="00401ED1"/>
    <w:rsid w:val="0040224C"/>
    <w:rsid w:val="00413EE1"/>
    <w:rsid w:val="004164BB"/>
    <w:rsid w:val="0042000E"/>
    <w:rsid w:val="00421ECE"/>
    <w:rsid w:val="00422FEB"/>
    <w:rsid w:val="0042435E"/>
    <w:rsid w:val="00430135"/>
    <w:rsid w:val="004315F5"/>
    <w:rsid w:val="00433456"/>
    <w:rsid w:val="00433DFA"/>
    <w:rsid w:val="00435D67"/>
    <w:rsid w:val="004573F0"/>
    <w:rsid w:val="00464A58"/>
    <w:rsid w:val="0046533E"/>
    <w:rsid w:val="00473D2D"/>
    <w:rsid w:val="004A2125"/>
    <w:rsid w:val="004A38F6"/>
    <w:rsid w:val="004B4EB6"/>
    <w:rsid w:val="004B6D17"/>
    <w:rsid w:val="004C083C"/>
    <w:rsid w:val="004C67C6"/>
    <w:rsid w:val="004D29DE"/>
    <w:rsid w:val="004D6F01"/>
    <w:rsid w:val="00503D20"/>
    <w:rsid w:val="00510EAC"/>
    <w:rsid w:val="00530456"/>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E5A09"/>
    <w:rsid w:val="005F16BB"/>
    <w:rsid w:val="005F2EB4"/>
    <w:rsid w:val="00607115"/>
    <w:rsid w:val="00620768"/>
    <w:rsid w:val="0062594B"/>
    <w:rsid w:val="00631406"/>
    <w:rsid w:val="006324FF"/>
    <w:rsid w:val="006351D6"/>
    <w:rsid w:val="00636E0D"/>
    <w:rsid w:val="0064142F"/>
    <w:rsid w:val="00643CB4"/>
    <w:rsid w:val="00645EA2"/>
    <w:rsid w:val="00651FF0"/>
    <w:rsid w:val="00656427"/>
    <w:rsid w:val="00660255"/>
    <w:rsid w:val="00663EA5"/>
    <w:rsid w:val="00687187"/>
    <w:rsid w:val="006971F3"/>
    <w:rsid w:val="006C74A3"/>
    <w:rsid w:val="006D1381"/>
    <w:rsid w:val="006D31BC"/>
    <w:rsid w:val="006E7943"/>
    <w:rsid w:val="006F24EA"/>
    <w:rsid w:val="006F5F03"/>
    <w:rsid w:val="00704CA9"/>
    <w:rsid w:val="0071048D"/>
    <w:rsid w:val="00710F86"/>
    <w:rsid w:val="007111A8"/>
    <w:rsid w:val="00723B5F"/>
    <w:rsid w:val="00727D78"/>
    <w:rsid w:val="00731BC3"/>
    <w:rsid w:val="00741192"/>
    <w:rsid w:val="00743A33"/>
    <w:rsid w:val="00746080"/>
    <w:rsid w:val="0075144A"/>
    <w:rsid w:val="00786329"/>
    <w:rsid w:val="00792C7D"/>
    <w:rsid w:val="00794A4D"/>
    <w:rsid w:val="007A5234"/>
    <w:rsid w:val="007B1B95"/>
    <w:rsid w:val="007B7854"/>
    <w:rsid w:val="007C56A1"/>
    <w:rsid w:val="007C6454"/>
    <w:rsid w:val="007D3920"/>
    <w:rsid w:val="007E01E0"/>
    <w:rsid w:val="007E5CA0"/>
    <w:rsid w:val="007F0B93"/>
    <w:rsid w:val="007F2ECA"/>
    <w:rsid w:val="00802960"/>
    <w:rsid w:val="00807736"/>
    <w:rsid w:val="00811708"/>
    <w:rsid w:val="00816B90"/>
    <w:rsid w:val="00817799"/>
    <w:rsid w:val="00822F5F"/>
    <w:rsid w:val="00824FD3"/>
    <w:rsid w:val="00826589"/>
    <w:rsid w:val="00834BCC"/>
    <w:rsid w:val="00850D54"/>
    <w:rsid w:val="008525DF"/>
    <w:rsid w:val="00852E2B"/>
    <w:rsid w:val="00862C99"/>
    <w:rsid w:val="00870E78"/>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567B5"/>
    <w:rsid w:val="0096082E"/>
    <w:rsid w:val="00961347"/>
    <w:rsid w:val="00967410"/>
    <w:rsid w:val="00967D73"/>
    <w:rsid w:val="0098119A"/>
    <w:rsid w:val="00984AAF"/>
    <w:rsid w:val="00991B09"/>
    <w:rsid w:val="00993CB2"/>
    <w:rsid w:val="00994682"/>
    <w:rsid w:val="009A5166"/>
    <w:rsid w:val="009A76F8"/>
    <w:rsid w:val="009B2B83"/>
    <w:rsid w:val="009B53A2"/>
    <w:rsid w:val="009C49F8"/>
    <w:rsid w:val="009D77CC"/>
    <w:rsid w:val="009D797A"/>
    <w:rsid w:val="009E2423"/>
    <w:rsid w:val="009E55D7"/>
    <w:rsid w:val="009F4150"/>
    <w:rsid w:val="009F5665"/>
    <w:rsid w:val="009F5DAD"/>
    <w:rsid w:val="00A01BCA"/>
    <w:rsid w:val="00A05099"/>
    <w:rsid w:val="00A10458"/>
    <w:rsid w:val="00A153B6"/>
    <w:rsid w:val="00A164D5"/>
    <w:rsid w:val="00A273C3"/>
    <w:rsid w:val="00A30C37"/>
    <w:rsid w:val="00A32890"/>
    <w:rsid w:val="00A36C65"/>
    <w:rsid w:val="00A41BBE"/>
    <w:rsid w:val="00A443E3"/>
    <w:rsid w:val="00A45BDD"/>
    <w:rsid w:val="00A46A0A"/>
    <w:rsid w:val="00A553F8"/>
    <w:rsid w:val="00A6708F"/>
    <w:rsid w:val="00A71BF6"/>
    <w:rsid w:val="00A72AF9"/>
    <w:rsid w:val="00A86F9A"/>
    <w:rsid w:val="00AA15D1"/>
    <w:rsid w:val="00AA227B"/>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42EAC"/>
    <w:rsid w:val="00B464D0"/>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27C67"/>
    <w:rsid w:val="00D373A1"/>
    <w:rsid w:val="00D37C0F"/>
    <w:rsid w:val="00D455B7"/>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0FFD"/>
    <w:rsid w:val="00E1166E"/>
    <w:rsid w:val="00E24DC0"/>
    <w:rsid w:val="00E2519C"/>
    <w:rsid w:val="00E25F2A"/>
    <w:rsid w:val="00E30432"/>
    <w:rsid w:val="00E41455"/>
    <w:rsid w:val="00E42AD2"/>
    <w:rsid w:val="00E50856"/>
    <w:rsid w:val="00E538CC"/>
    <w:rsid w:val="00E54BBD"/>
    <w:rsid w:val="00E54DBA"/>
    <w:rsid w:val="00E62A91"/>
    <w:rsid w:val="00E63D7C"/>
    <w:rsid w:val="00E640D5"/>
    <w:rsid w:val="00E66E2E"/>
    <w:rsid w:val="00E67691"/>
    <w:rsid w:val="00E7113F"/>
    <w:rsid w:val="00E86E44"/>
    <w:rsid w:val="00E877B9"/>
    <w:rsid w:val="00E92237"/>
    <w:rsid w:val="00E951EF"/>
    <w:rsid w:val="00EA3D54"/>
    <w:rsid w:val="00EA4313"/>
    <w:rsid w:val="00EA56D9"/>
    <w:rsid w:val="00EA5CE3"/>
    <w:rsid w:val="00EB51C1"/>
    <w:rsid w:val="00EB5AE1"/>
    <w:rsid w:val="00EB5E0B"/>
    <w:rsid w:val="00EC2171"/>
    <w:rsid w:val="00ED4111"/>
    <w:rsid w:val="00ED442D"/>
    <w:rsid w:val="00ED70C2"/>
    <w:rsid w:val="00EE18FF"/>
    <w:rsid w:val="00EE1D27"/>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36FD"/>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F25FC"/>
  <w15:docId w15:val="{F9ED7FA8-4DA8-4479-A74F-058F5BD3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17671898">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8484441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f2.png" TargetMode="Externa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11.png" TargetMode="External"/><Relationship Id="rId34" Type="http://schemas.openxmlformats.org/officeDocument/2006/relationships/footer" Target="footer2.xml"/><Relationship Id="rId42"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A2.png" TargetMode="External"/><Relationship Id="rId25"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2.png" TargetMode="External"/><Relationship Id="rId33" Type="http://schemas.openxmlformats.org/officeDocument/2006/relationships/footer" Target="footer1.xml"/><Relationship Id="rId38"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3.png" TargetMode="External"/><Relationship Id="rId41"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f1.png" TargetMode="External"/><Relationship Id="rId24" Type="http://schemas.openxmlformats.org/officeDocument/2006/relationships/image" Target="media/image8.png"/><Relationship Id="rId32" Type="http://schemas.openxmlformats.org/officeDocument/2006/relationships/header" Target="header1.xml"/><Relationship Id="rId37" Type="http://schemas.openxmlformats.org/officeDocument/2006/relationships/hyperlink" Target="http://health.gov.au/cdi" TargetMode="External"/><Relationship Id="rId40" Type="http://schemas.openxmlformats.org/officeDocument/2006/relationships/hyperlink" Target="http://www.itsanhonour.gov.a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A1.png" TargetMode="External"/><Relationship Id="rId23"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12.png" TargetMode="External"/><Relationship Id="rId28" Type="http://schemas.openxmlformats.org/officeDocument/2006/relationships/image" Target="media/image10.png"/><Relationship Id="rId36" Type="http://schemas.openxmlformats.org/officeDocument/2006/relationships/hyperlink" Target="mailto:cdi.editor@health.gov.au" TargetMode="External"/><Relationship Id="rId10" Type="http://schemas.openxmlformats.org/officeDocument/2006/relationships/image" Target="media/image1.png"/><Relationship Id="rId19"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1.png" TargetMode="External"/><Relationship Id="rId31"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31.png"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file:///C:\Users\yousek\OneDrive%20-%20Department%20of%20Health\Desktop\T%202023\62-Using%20notifications%20data%20to%20increase%20hep%20C%20testing%20and%20treatment%20rates%20in%20Qld\MS-Word%20output\figures_and_tables-web-resources\image\B21.png" TargetMode="External"/><Relationship Id="rId30" Type="http://schemas.openxmlformats.org/officeDocument/2006/relationships/image" Target="media/image11.png"/><Relationship Id="rId35" Type="http://schemas.openxmlformats.org/officeDocument/2006/relationships/hyperlink" Target="http://www.health.gov.au/cdi"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61</TotalTime>
  <Pages>22</Pages>
  <Words>4948</Words>
  <Characters>30050</Characters>
  <Application>Microsoft Office Word</Application>
  <DocSecurity>0</DocSecurity>
  <Lines>250</Lines>
  <Paragraphs>69</Paragraphs>
  <ScaleCrop>false</ScaleCrop>
  <HeadingPairs>
    <vt:vector size="2" baseType="variant">
      <vt:variant>
        <vt:lpstr>Title</vt:lpstr>
      </vt:variant>
      <vt:variant>
        <vt:i4>1</vt:i4>
      </vt:variant>
    </vt:vector>
  </HeadingPairs>
  <TitlesOfParts>
    <vt:vector size="1" baseType="lpstr">
      <vt:lpstr>Communicable Diseases Intelligence - Using notifications data to increase hepatitis C testing and treatment rates in Queensland</vt:lpstr>
    </vt:vector>
  </TitlesOfParts>
  <Company>Australian Government, Department of Health</Company>
  <LinksUpToDate>false</LinksUpToDate>
  <CharactersWithSpaces>34929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Using notifications data to increase hepatitis C testing and treatment rates in Queensland</dc:title>
  <dc:subject>This article reports on a pilot project undertaken at Queensland Health’s Communicable Diseases Branch, that used information contained within positive hepatitis C notifications from pathology laboratories, to facilitate follow-up with the clinicians who ordered the tests, with the aim of increase subsequent testing and treatment. Testing and treatment rates must improve if Australia is to achieve the stated goal of eliminating hepatitis C by 2030.</dc:subject>
  <dc:creator>Morris Carpenter;Linda A Selvey;Stephen B Lambert;Robert Kemp</dc:creator>
  <cp:keywords>Hepatitis C; HCV; RNA testing; notifications; direct-acting antivirals; treatment</cp:keywords>
  <dc:description>© Commonwealth of Australia CC BY-NC-ND ISSN: 2209-6051 (Online)</dc:description>
  <cp:lastModifiedBy>YOUSEFI, Kasra</cp:lastModifiedBy>
  <cp:revision>9</cp:revision>
  <cp:lastPrinted>2018-05-10T02:19:00Z</cp:lastPrinted>
  <dcterms:created xsi:type="dcterms:W3CDTF">2023-09-20T02:06:00Z</dcterms:created>
  <dcterms:modified xsi:type="dcterms:W3CDTF">2023-10-16T01:53:00Z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19/10/2023</vt:lpwstr>
  </property>
  <property fmtid="{D5CDD505-2E9C-101B-9397-08002B2CF9AE}" pid="5" name="DOI">
    <vt:lpwstr>https://doi.org/10.33321/cdi.2023.47.62</vt:lpwstr>
  </property>
</Properties>
</file>