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D6A9" w14:textId="14E55334" w:rsidR="003F5B53" w:rsidRPr="00A9179F" w:rsidRDefault="003F5B53" w:rsidP="00F84E0A">
      <w:pPr>
        <w:pStyle w:val="Title"/>
        <w:rPr>
          <w:rFonts w:eastAsia="Times New Roman"/>
          <w:sz w:val="44"/>
          <w:szCs w:val="44"/>
        </w:rPr>
      </w:pPr>
      <w:r w:rsidRPr="004D6E01">
        <w:rPr>
          <w:rFonts w:eastAsia="Times New Roman"/>
          <w:i/>
          <w:iCs/>
          <w:sz w:val="48"/>
          <w:szCs w:val="48"/>
        </w:rPr>
        <w:t xml:space="preserve">Staphylococcus </w:t>
      </w:r>
      <w:proofErr w:type="spellStart"/>
      <w:r w:rsidRPr="004D6E01">
        <w:rPr>
          <w:rFonts w:eastAsia="Times New Roman"/>
          <w:i/>
          <w:iCs/>
          <w:sz w:val="48"/>
          <w:szCs w:val="48"/>
        </w:rPr>
        <w:t>lugdunensis</w:t>
      </w:r>
      <w:proofErr w:type="spellEnd"/>
      <w:r w:rsidRPr="00A9179F">
        <w:rPr>
          <w:rFonts w:eastAsia="Times New Roman"/>
          <w:sz w:val="48"/>
          <w:szCs w:val="48"/>
        </w:rPr>
        <w:t xml:space="preserve"> and coagulase-negative staphylococci species characterisation in a tropical</w:t>
      </w:r>
      <w:r w:rsidR="006A44CC" w:rsidRPr="00A9179F">
        <w:rPr>
          <w:rFonts w:eastAsia="Times New Roman"/>
          <w:sz w:val="48"/>
          <w:szCs w:val="48"/>
        </w:rPr>
        <w:t> </w:t>
      </w:r>
      <w:r w:rsidRPr="00A9179F">
        <w:rPr>
          <w:rFonts w:eastAsia="Times New Roman"/>
          <w:sz w:val="48"/>
          <w:szCs w:val="48"/>
        </w:rPr>
        <w:t xml:space="preserve">climate </w:t>
      </w:r>
    </w:p>
    <w:p w14:paraId="48250BFA" w14:textId="77777777" w:rsidR="003F5B53" w:rsidRDefault="003F5B53" w:rsidP="00F84E0A">
      <w:r>
        <w:t xml:space="preserve">Matthew Howes, Rob Baird </w:t>
      </w:r>
    </w:p>
    <w:p w14:paraId="504955F4" w14:textId="12E083B1" w:rsidR="003F5B53" w:rsidRDefault="003F5B53" w:rsidP="00F84E0A">
      <w:r>
        <w:t>Differentiation between coagulase negative staphylococci (</w:t>
      </w:r>
      <w:proofErr w:type="spellStart"/>
      <w:r>
        <w:t>CoNS</w:t>
      </w:r>
      <w:proofErr w:type="spellEnd"/>
      <w:r>
        <w:t xml:space="preserve">), a heterogeneous group of human and animal colonisers, and their virulent relative </w:t>
      </w:r>
      <w:r w:rsidRPr="00F84E0A">
        <w:rPr>
          <w:rStyle w:val="Emphasis"/>
          <w:b w:val="0"/>
          <w:bCs w:val="0"/>
        </w:rPr>
        <w:t>Staphylococcus aureus</w:t>
      </w:r>
      <w:r>
        <w:t xml:space="preserve"> was historically important</w:t>
      </w:r>
      <w:r w:rsidRPr="00F84E0A">
        <w:rPr>
          <w:rStyle w:val="Emphasis"/>
          <w:b w:val="0"/>
          <w:bCs w:val="0"/>
        </w:rPr>
        <w:t>.</w:t>
      </w:r>
      <w:r>
        <w:t xml:space="preserve"> In recent times, </w:t>
      </w:r>
      <w:r w:rsidRPr="00F84E0A">
        <w:rPr>
          <w:rStyle w:val="Emphasis"/>
          <w:b w:val="0"/>
          <w:bCs w:val="0"/>
        </w:rPr>
        <w:t xml:space="preserve">Staphylococcus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has gained special attention in public health as a human pathogen and has been shown to cause severe invasive disease.</w:t>
      </w:r>
      <w:r>
        <w:rPr>
          <w:vertAlign w:val="superscript"/>
        </w:rPr>
        <w:t>1</w:t>
      </w:r>
      <w:r>
        <w:t xml:space="preserve"> Biochemical and genomic </w:t>
      </w:r>
      <w:r w:rsidR="004D6E01">
        <w:t>identification</w:t>
      </w:r>
      <w:r>
        <w:t xml:space="preserve"> has become more widely and routinely available, allowing the </w:t>
      </w:r>
      <w:proofErr w:type="spellStart"/>
      <w:r>
        <w:t>CoNS</w:t>
      </w:r>
      <w:proofErr w:type="spellEnd"/>
      <w:r>
        <w:t xml:space="preserve"> species distribution in human clinical samples to be better defined.</w:t>
      </w:r>
      <w:r>
        <w:rPr>
          <w:vertAlign w:val="superscript"/>
        </w:rPr>
        <w:t>2</w:t>
      </w:r>
      <w:r>
        <w:t xml:space="preserve"> We characterised the </w:t>
      </w:r>
      <w:proofErr w:type="spellStart"/>
      <w:r>
        <w:t>CoNS</w:t>
      </w:r>
      <w:proofErr w:type="spellEnd"/>
      <w:r>
        <w:t xml:space="preserve"> species from a single tropical tertiary centre for both swab and blood isolates, and review and compare with previous studies.</w:t>
      </w:r>
      <w:r>
        <w:rPr>
          <w:vertAlign w:val="superscript"/>
        </w:rPr>
        <w:t>3</w:t>
      </w:r>
      <w:r>
        <w:t xml:space="preserve"> This study was ethics approved: EFILE2022/25273. </w:t>
      </w:r>
    </w:p>
    <w:p w14:paraId="28734D34" w14:textId="6FDF9110" w:rsidR="003F5B53" w:rsidRDefault="003F5B53" w:rsidP="00F84E0A">
      <w:r>
        <w:t>Geographically, Royal Darwin Hospital is the tertiary referral hospital for the Top End of the Northern Territory, a region of over 500,000 km</w:t>
      </w:r>
      <w:r>
        <w:rPr>
          <w:vertAlign w:val="superscript"/>
        </w:rPr>
        <w:t>2</w:t>
      </w:r>
      <w:r>
        <w:t xml:space="preserve"> with a tropical climate (latitude 12.5°S). All clinical isolates of </w:t>
      </w:r>
      <w:proofErr w:type="spellStart"/>
      <w:r>
        <w:t>CoNS</w:t>
      </w:r>
      <w:proofErr w:type="spellEnd"/>
      <w:r>
        <w:t xml:space="preserve"> </w:t>
      </w:r>
      <w:proofErr w:type="gramStart"/>
      <w:r w:rsidR="004D6E01">
        <w:t>identified</w:t>
      </w:r>
      <w:proofErr w:type="gramEnd"/>
      <w:r>
        <w:t xml:space="preserve"> from 1 January 2019 to 30 June 2022 were included, with duplicate patient specimens excluded. During this time there were also 7,546 </w:t>
      </w:r>
      <w:r w:rsidRPr="00F84E0A">
        <w:rPr>
          <w:rStyle w:val="Emphasis"/>
          <w:b w:val="0"/>
          <w:bCs w:val="0"/>
        </w:rPr>
        <w:t>S. aureus</w:t>
      </w:r>
      <w:r>
        <w:t xml:space="preserve"> isolates (including 161 [2.1%] from bloodstream isolates). Isolates were biochemically </w:t>
      </w:r>
      <w:proofErr w:type="gramStart"/>
      <w:r>
        <w:t>identified</w:t>
      </w:r>
      <w:proofErr w:type="gramEnd"/>
      <w:r>
        <w:t xml:space="preserve"> by </w:t>
      </w:r>
      <w:proofErr w:type="spellStart"/>
      <w:r>
        <w:t>Vitek</w:t>
      </w:r>
      <w:proofErr w:type="spellEnd"/>
      <w:r>
        <w:t xml:space="preserve"> 2 (</w:t>
      </w:r>
      <w:proofErr w:type="spellStart"/>
      <w:r>
        <w:t>Biomerieux</w:t>
      </w:r>
      <w:proofErr w:type="spellEnd"/>
      <w:r>
        <w:t xml:space="preserve">, St Louis USA) and characterised as blood or swab isolates. There were 1,262 isolates collected, of which 203 (16%) were from bloodstream samples. The results </w:t>
      </w:r>
      <w:proofErr w:type="gramStart"/>
      <w:r>
        <w:t>are presented</w:t>
      </w:r>
      <w:proofErr w:type="gramEnd"/>
      <w:r>
        <w:t xml:space="preserve"> in Table 1. </w:t>
      </w:r>
    </w:p>
    <w:p w14:paraId="2A630F99" w14:textId="5307EBA8" w:rsidR="003277DE" w:rsidRDefault="003277DE" w:rsidP="003277DE">
      <w:pPr>
        <w:pStyle w:val="CDIFigures"/>
        <w:divId w:val="1492451635"/>
        <w:rPr>
          <w:sz w:val="24"/>
          <w:szCs w:val="24"/>
          <w:lang w:val="en-GB"/>
        </w:rPr>
      </w:pPr>
      <w:r>
        <w:rPr>
          <w:lang w:val="en-GB"/>
        </w:rPr>
        <w:t xml:space="preserve">Table 1: Characterisation of swab and bloodstream isolates of </w:t>
      </w:r>
      <w:proofErr w:type="spellStart"/>
      <w:r>
        <w:rPr>
          <w:lang w:val="en-GB"/>
        </w:rPr>
        <w:t>CoNS</w:t>
      </w:r>
      <w:proofErr w:type="spellEnd"/>
      <w:r>
        <w:rPr>
          <w:lang w:val="en-GB"/>
        </w:rPr>
        <w:t xml:space="preserve"> between 2019 and 2022</w:t>
      </w:r>
    </w:p>
    <w:tbl>
      <w:tblPr>
        <w:tblStyle w:val="CDI-StandardTable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82"/>
        <w:gridCol w:w="3496"/>
        <w:gridCol w:w="2631"/>
        <w:gridCol w:w="2703"/>
      </w:tblGrid>
      <w:tr w:rsidR="003277DE" w:rsidRPr="003277DE" w14:paraId="7314D4DA" w14:textId="77777777" w:rsidTr="00327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355A1CFA" w14:textId="77777777" w:rsidR="003277DE" w:rsidRPr="003277DE" w:rsidRDefault="003277DE" w:rsidP="003277DE">
            <w:pPr>
              <w:pStyle w:val="NormalWeb"/>
              <w:jc w:val="left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Species</w:t>
            </w:r>
          </w:p>
        </w:tc>
        <w:tc>
          <w:tcPr>
            <w:tcW w:w="0" w:type="auto"/>
            <w:hideMark/>
          </w:tcPr>
          <w:p w14:paraId="5D1665BB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 xml:space="preserve">All sites </w:t>
            </w:r>
            <w:proofErr w:type="gramStart"/>
            <w:r w:rsidRPr="003277DE">
              <w:rPr>
                <w:sz w:val="18"/>
                <w:szCs w:val="18"/>
                <w:lang w:val="en-GB"/>
              </w:rPr>
              <w:t>isolates</w:t>
            </w:r>
            <w:proofErr w:type="gramEnd"/>
            <w:r w:rsidRPr="003277DE">
              <w:rPr>
                <w:sz w:val="18"/>
                <w:szCs w:val="18"/>
                <w:lang w:val="en-GB"/>
              </w:rPr>
              <w:t xml:space="preserve"> number and frequency N (%)</w:t>
            </w:r>
          </w:p>
        </w:tc>
        <w:tc>
          <w:tcPr>
            <w:tcW w:w="0" w:type="auto"/>
            <w:hideMark/>
          </w:tcPr>
          <w:p w14:paraId="3F4998A4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 xml:space="preserve">Blood isolates N (% of total </w:t>
            </w:r>
            <w:proofErr w:type="spellStart"/>
            <w:r w:rsidRPr="003277DE">
              <w:rPr>
                <w:sz w:val="18"/>
                <w:szCs w:val="18"/>
                <w:lang w:val="en-GB"/>
              </w:rPr>
              <w:t>CoNS</w:t>
            </w:r>
            <w:proofErr w:type="spellEnd"/>
            <w:r w:rsidRPr="003277DE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2703" w:type="dxa"/>
            <w:hideMark/>
          </w:tcPr>
          <w:p w14:paraId="0571A007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 xml:space="preserve">% </w:t>
            </w:r>
            <w:proofErr w:type="gramStart"/>
            <w:r w:rsidRPr="003277DE">
              <w:rPr>
                <w:sz w:val="18"/>
                <w:szCs w:val="18"/>
                <w:lang w:val="en-GB"/>
              </w:rPr>
              <w:t>blood</w:t>
            </w:r>
            <w:proofErr w:type="gramEnd"/>
            <w:r w:rsidRPr="003277DE">
              <w:rPr>
                <w:sz w:val="18"/>
                <w:szCs w:val="18"/>
                <w:lang w:val="en-GB"/>
              </w:rPr>
              <w:t xml:space="preserve"> versus all sites isolates</w:t>
            </w:r>
          </w:p>
        </w:tc>
      </w:tr>
      <w:tr w:rsidR="003277DE" w:rsidRPr="003277DE" w14:paraId="2619A0F7" w14:textId="77777777" w:rsidTr="003277DE">
        <w:trPr>
          <w:divId w:val="1492451635"/>
        </w:trPr>
        <w:tc>
          <w:tcPr>
            <w:tcW w:w="0" w:type="auto"/>
            <w:hideMark/>
          </w:tcPr>
          <w:p w14:paraId="0136A4C3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>S. epidermidis</w:t>
            </w:r>
          </w:p>
        </w:tc>
        <w:tc>
          <w:tcPr>
            <w:tcW w:w="0" w:type="auto"/>
            <w:hideMark/>
          </w:tcPr>
          <w:p w14:paraId="285B802B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389 (30.8)</w:t>
            </w:r>
          </w:p>
        </w:tc>
        <w:tc>
          <w:tcPr>
            <w:tcW w:w="0" w:type="auto"/>
            <w:hideMark/>
          </w:tcPr>
          <w:p w14:paraId="5950B55B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104 (51.2)</w:t>
            </w:r>
          </w:p>
        </w:tc>
        <w:tc>
          <w:tcPr>
            <w:tcW w:w="2703" w:type="dxa"/>
            <w:hideMark/>
          </w:tcPr>
          <w:p w14:paraId="084A5132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26.7%</w:t>
            </w:r>
          </w:p>
        </w:tc>
      </w:tr>
      <w:tr w:rsidR="003277DE" w:rsidRPr="003277DE" w14:paraId="2F6E5D15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4040E73E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lugdunensis</w:t>
            </w:r>
            <w:proofErr w:type="spellEnd"/>
          </w:p>
        </w:tc>
        <w:tc>
          <w:tcPr>
            <w:tcW w:w="0" w:type="auto"/>
            <w:hideMark/>
          </w:tcPr>
          <w:p w14:paraId="14F40241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201 (15.9)</w:t>
            </w:r>
          </w:p>
        </w:tc>
        <w:tc>
          <w:tcPr>
            <w:tcW w:w="0" w:type="auto"/>
            <w:hideMark/>
          </w:tcPr>
          <w:p w14:paraId="70072B16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(0.5)</w:t>
            </w:r>
          </w:p>
        </w:tc>
        <w:tc>
          <w:tcPr>
            <w:tcW w:w="2703" w:type="dxa"/>
            <w:hideMark/>
          </w:tcPr>
          <w:p w14:paraId="5E0CE307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0.5%</w:t>
            </w:r>
          </w:p>
        </w:tc>
      </w:tr>
      <w:tr w:rsidR="003277DE" w:rsidRPr="003277DE" w14:paraId="0C1F552F" w14:textId="77777777" w:rsidTr="003277DE">
        <w:trPr>
          <w:divId w:val="1492451635"/>
        </w:trPr>
        <w:tc>
          <w:tcPr>
            <w:tcW w:w="0" w:type="auto"/>
            <w:hideMark/>
          </w:tcPr>
          <w:p w14:paraId="37F5CACB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saprophyticus</w:t>
            </w:r>
            <w:r w:rsidRPr="004D6E01">
              <w:rPr>
                <w:sz w:val="18"/>
                <w:szCs w:val="18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0" w:type="auto"/>
            <w:hideMark/>
          </w:tcPr>
          <w:p w14:paraId="6B719141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193 (15.3)</w:t>
            </w:r>
          </w:p>
        </w:tc>
        <w:tc>
          <w:tcPr>
            <w:tcW w:w="0" w:type="auto"/>
            <w:hideMark/>
          </w:tcPr>
          <w:p w14:paraId="7EDE5DB3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 (1.5)</w:t>
            </w:r>
          </w:p>
        </w:tc>
        <w:tc>
          <w:tcPr>
            <w:tcW w:w="2703" w:type="dxa"/>
            <w:hideMark/>
          </w:tcPr>
          <w:p w14:paraId="33BD9C3B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1.6%</w:t>
            </w:r>
          </w:p>
        </w:tc>
      </w:tr>
      <w:tr w:rsidR="003277DE" w:rsidRPr="003277DE" w14:paraId="3F547CEA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2913A612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haemolyticus</w:t>
            </w:r>
            <w:proofErr w:type="spellEnd"/>
          </w:p>
        </w:tc>
        <w:tc>
          <w:tcPr>
            <w:tcW w:w="0" w:type="auto"/>
            <w:hideMark/>
          </w:tcPr>
          <w:p w14:paraId="71D6CAA4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184 (14.6)</w:t>
            </w:r>
          </w:p>
        </w:tc>
        <w:tc>
          <w:tcPr>
            <w:tcW w:w="0" w:type="auto"/>
            <w:hideMark/>
          </w:tcPr>
          <w:p w14:paraId="5828E811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28 (13.8)</w:t>
            </w:r>
          </w:p>
        </w:tc>
        <w:tc>
          <w:tcPr>
            <w:tcW w:w="2703" w:type="dxa"/>
            <w:hideMark/>
          </w:tcPr>
          <w:p w14:paraId="345BC2FF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15.2%</w:t>
            </w:r>
          </w:p>
        </w:tc>
      </w:tr>
      <w:tr w:rsidR="003277DE" w:rsidRPr="003277DE" w14:paraId="7CF071E1" w14:textId="77777777" w:rsidTr="003277DE">
        <w:trPr>
          <w:divId w:val="1492451635"/>
        </w:trPr>
        <w:tc>
          <w:tcPr>
            <w:tcW w:w="0" w:type="auto"/>
            <w:hideMark/>
          </w:tcPr>
          <w:p w14:paraId="2748F367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>S. capitis</w:t>
            </w:r>
          </w:p>
        </w:tc>
        <w:tc>
          <w:tcPr>
            <w:tcW w:w="0" w:type="auto"/>
            <w:hideMark/>
          </w:tcPr>
          <w:p w14:paraId="34AE7A74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55 (4.4)</w:t>
            </w:r>
          </w:p>
        </w:tc>
        <w:tc>
          <w:tcPr>
            <w:tcW w:w="0" w:type="auto"/>
            <w:hideMark/>
          </w:tcPr>
          <w:p w14:paraId="249C8B49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23 (11.3)</w:t>
            </w:r>
          </w:p>
        </w:tc>
        <w:tc>
          <w:tcPr>
            <w:tcW w:w="2703" w:type="dxa"/>
            <w:hideMark/>
          </w:tcPr>
          <w:p w14:paraId="24982C83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41.8%</w:t>
            </w:r>
          </w:p>
        </w:tc>
      </w:tr>
      <w:tr w:rsidR="003277DE" w:rsidRPr="003277DE" w14:paraId="4CE3F6C3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2F4DD234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proofErr w:type="gramStart"/>
            <w:r w:rsidRPr="003277DE">
              <w:rPr>
                <w:i/>
                <w:iCs/>
                <w:sz w:val="18"/>
                <w:szCs w:val="18"/>
                <w:lang w:val="en-GB"/>
              </w:rPr>
              <w:t>hom.hominis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5785EC55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44 (3.5)</w:t>
            </w:r>
          </w:p>
        </w:tc>
        <w:tc>
          <w:tcPr>
            <w:tcW w:w="0" w:type="auto"/>
            <w:hideMark/>
          </w:tcPr>
          <w:p w14:paraId="47C851B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23 (11.3)</w:t>
            </w:r>
          </w:p>
        </w:tc>
        <w:tc>
          <w:tcPr>
            <w:tcW w:w="2703" w:type="dxa"/>
            <w:hideMark/>
          </w:tcPr>
          <w:p w14:paraId="6AF4D032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52.3%</w:t>
            </w:r>
          </w:p>
        </w:tc>
      </w:tr>
      <w:tr w:rsidR="003277DE" w:rsidRPr="003277DE" w14:paraId="131CD65F" w14:textId="77777777" w:rsidTr="003277DE">
        <w:trPr>
          <w:divId w:val="1492451635"/>
        </w:trPr>
        <w:tc>
          <w:tcPr>
            <w:tcW w:w="0" w:type="auto"/>
            <w:hideMark/>
          </w:tcPr>
          <w:p w14:paraId="607E868E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caprae</w:t>
            </w:r>
            <w:proofErr w:type="spellEnd"/>
          </w:p>
        </w:tc>
        <w:tc>
          <w:tcPr>
            <w:tcW w:w="0" w:type="auto"/>
            <w:hideMark/>
          </w:tcPr>
          <w:p w14:paraId="70FCEF1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38 (3.0)</w:t>
            </w:r>
          </w:p>
        </w:tc>
        <w:tc>
          <w:tcPr>
            <w:tcW w:w="0" w:type="auto"/>
            <w:hideMark/>
          </w:tcPr>
          <w:p w14:paraId="326E4391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 (2.0)</w:t>
            </w:r>
          </w:p>
        </w:tc>
        <w:tc>
          <w:tcPr>
            <w:tcW w:w="2703" w:type="dxa"/>
            <w:hideMark/>
          </w:tcPr>
          <w:p w14:paraId="4B22DA48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10.5%</w:t>
            </w:r>
          </w:p>
        </w:tc>
      </w:tr>
      <w:tr w:rsidR="003277DE" w:rsidRPr="003277DE" w14:paraId="5889847B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5458C8A9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simulans</w:t>
            </w:r>
            <w:proofErr w:type="spellEnd"/>
          </w:p>
        </w:tc>
        <w:tc>
          <w:tcPr>
            <w:tcW w:w="0" w:type="auto"/>
            <w:hideMark/>
          </w:tcPr>
          <w:p w14:paraId="6D16E68A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36 (2.9)</w:t>
            </w:r>
          </w:p>
        </w:tc>
        <w:tc>
          <w:tcPr>
            <w:tcW w:w="0" w:type="auto"/>
            <w:hideMark/>
          </w:tcPr>
          <w:p w14:paraId="22973299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(0.5)</w:t>
            </w:r>
          </w:p>
        </w:tc>
        <w:tc>
          <w:tcPr>
            <w:tcW w:w="2703" w:type="dxa"/>
            <w:hideMark/>
          </w:tcPr>
          <w:p w14:paraId="1D7CD1C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2.8%</w:t>
            </w:r>
          </w:p>
        </w:tc>
      </w:tr>
      <w:tr w:rsidR="003277DE" w:rsidRPr="003277DE" w14:paraId="2A159A9D" w14:textId="77777777" w:rsidTr="003277DE">
        <w:trPr>
          <w:divId w:val="1492451635"/>
        </w:trPr>
        <w:tc>
          <w:tcPr>
            <w:tcW w:w="0" w:type="auto"/>
            <w:hideMark/>
          </w:tcPr>
          <w:p w14:paraId="2EAC48D0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lentus</w:t>
            </w:r>
            <w:proofErr w:type="spellEnd"/>
          </w:p>
        </w:tc>
        <w:tc>
          <w:tcPr>
            <w:tcW w:w="0" w:type="auto"/>
            <w:hideMark/>
          </w:tcPr>
          <w:p w14:paraId="22721D25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29 (2.3)</w:t>
            </w:r>
          </w:p>
        </w:tc>
        <w:tc>
          <w:tcPr>
            <w:tcW w:w="0" w:type="auto"/>
            <w:hideMark/>
          </w:tcPr>
          <w:p w14:paraId="0ED4D628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 (3)</w:t>
            </w:r>
          </w:p>
        </w:tc>
        <w:tc>
          <w:tcPr>
            <w:tcW w:w="2703" w:type="dxa"/>
            <w:hideMark/>
          </w:tcPr>
          <w:p w14:paraId="16287B79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13.8%</w:t>
            </w:r>
          </w:p>
        </w:tc>
      </w:tr>
      <w:tr w:rsidR="003277DE" w:rsidRPr="003277DE" w14:paraId="09387014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19D941B8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pseudintermedius</w:t>
            </w:r>
            <w:proofErr w:type="spellEnd"/>
          </w:p>
        </w:tc>
        <w:tc>
          <w:tcPr>
            <w:tcW w:w="0" w:type="auto"/>
            <w:hideMark/>
          </w:tcPr>
          <w:p w14:paraId="3EBAEAAA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24 (1.9)</w:t>
            </w:r>
          </w:p>
        </w:tc>
        <w:tc>
          <w:tcPr>
            <w:tcW w:w="0" w:type="auto"/>
            <w:hideMark/>
          </w:tcPr>
          <w:p w14:paraId="23C945CA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 (1.0)</w:t>
            </w:r>
          </w:p>
        </w:tc>
        <w:tc>
          <w:tcPr>
            <w:tcW w:w="2703" w:type="dxa"/>
            <w:hideMark/>
          </w:tcPr>
          <w:p w14:paraId="7B871B8A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8.3%</w:t>
            </w:r>
          </w:p>
        </w:tc>
      </w:tr>
      <w:tr w:rsidR="003277DE" w:rsidRPr="003277DE" w14:paraId="67B491EB" w14:textId="77777777" w:rsidTr="003277DE">
        <w:trPr>
          <w:divId w:val="1492451635"/>
        </w:trPr>
        <w:tc>
          <w:tcPr>
            <w:tcW w:w="0" w:type="auto"/>
            <w:hideMark/>
          </w:tcPr>
          <w:p w14:paraId="553054F4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sciuri</w:t>
            </w:r>
            <w:proofErr w:type="spellEnd"/>
          </w:p>
        </w:tc>
        <w:tc>
          <w:tcPr>
            <w:tcW w:w="0" w:type="auto"/>
            <w:hideMark/>
          </w:tcPr>
          <w:p w14:paraId="3A37FC7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21 (1.7)</w:t>
            </w:r>
          </w:p>
        </w:tc>
        <w:tc>
          <w:tcPr>
            <w:tcW w:w="0" w:type="auto"/>
            <w:hideMark/>
          </w:tcPr>
          <w:p w14:paraId="10DE3E2D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(0.5)</w:t>
            </w:r>
          </w:p>
        </w:tc>
        <w:tc>
          <w:tcPr>
            <w:tcW w:w="2703" w:type="dxa"/>
            <w:hideMark/>
          </w:tcPr>
          <w:p w14:paraId="3903F401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4.8%</w:t>
            </w:r>
          </w:p>
        </w:tc>
      </w:tr>
      <w:tr w:rsidR="003277DE" w:rsidRPr="003277DE" w14:paraId="560E63F9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154ED01F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warneri</w:t>
            </w:r>
            <w:proofErr w:type="spellEnd"/>
          </w:p>
        </w:tc>
        <w:tc>
          <w:tcPr>
            <w:tcW w:w="0" w:type="auto"/>
            <w:hideMark/>
          </w:tcPr>
          <w:p w14:paraId="0B92F062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14 (1.1)</w:t>
            </w:r>
          </w:p>
        </w:tc>
        <w:tc>
          <w:tcPr>
            <w:tcW w:w="0" w:type="auto"/>
            <w:hideMark/>
          </w:tcPr>
          <w:p w14:paraId="1F1C9F25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 (1.0)</w:t>
            </w:r>
          </w:p>
        </w:tc>
        <w:tc>
          <w:tcPr>
            <w:tcW w:w="2703" w:type="dxa"/>
            <w:hideMark/>
          </w:tcPr>
          <w:p w14:paraId="2812031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14.3%</w:t>
            </w:r>
          </w:p>
        </w:tc>
      </w:tr>
      <w:tr w:rsidR="003277DE" w:rsidRPr="003277DE" w14:paraId="2D44B69F" w14:textId="77777777" w:rsidTr="003277DE">
        <w:trPr>
          <w:divId w:val="1492451635"/>
        </w:trPr>
        <w:tc>
          <w:tcPr>
            <w:tcW w:w="0" w:type="auto"/>
            <w:hideMark/>
          </w:tcPr>
          <w:p w14:paraId="011E2BA4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>S. auricularis</w:t>
            </w:r>
          </w:p>
        </w:tc>
        <w:tc>
          <w:tcPr>
            <w:tcW w:w="0" w:type="auto"/>
            <w:hideMark/>
          </w:tcPr>
          <w:p w14:paraId="7D7CE06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13 (1.0)</w:t>
            </w:r>
          </w:p>
        </w:tc>
        <w:tc>
          <w:tcPr>
            <w:tcW w:w="0" w:type="auto"/>
            <w:hideMark/>
          </w:tcPr>
          <w:p w14:paraId="3ABAE276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 (2.0)</w:t>
            </w:r>
          </w:p>
        </w:tc>
        <w:tc>
          <w:tcPr>
            <w:tcW w:w="2703" w:type="dxa"/>
            <w:hideMark/>
          </w:tcPr>
          <w:p w14:paraId="2E8E89A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30.8%</w:t>
            </w:r>
          </w:p>
        </w:tc>
      </w:tr>
      <w:tr w:rsidR="003277DE" w:rsidRPr="003277DE" w14:paraId="4AED2834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401EC682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cohnii</w:t>
            </w:r>
            <w:proofErr w:type="spellEnd"/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cohnii</w:t>
            </w:r>
            <w:proofErr w:type="spellEnd"/>
          </w:p>
        </w:tc>
        <w:tc>
          <w:tcPr>
            <w:tcW w:w="0" w:type="auto"/>
            <w:hideMark/>
          </w:tcPr>
          <w:p w14:paraId="77B22D69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10 (0.8)</w:t>
            </w:r>
          </w:p>
        </w:tc>
        <w:tc>
          <w:tcPr>
            <w:tcW w:w="0" w:type="auto"/>
            <w:hideMark/>
          </w:tcPr>
          <w:p w14:paraId="0984FA3A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 (1.0)</w:t>
            </w:r>
          </w:p>
        </w:tc>
        <w:tc>
          <w:tcPr>
            <w:tcW w:w="2703" w:type="dxa"/>
            <w:hideMark/>
          </w:tcPr>
          <w:p w14:paraId="4D8037E5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20.0%</w:t>
            </w:r>
          </w:p>
        </w:tc>
      </w:tr>
      <w:tr w:rsidR="003277DE" w:rsidRPr="003277DE" w14:paraId="77DB9EB2" w14:textId="77777777" w:rsidTr="003277DE">
        <w:trPr>
          <w:divId w:val="1492451635"/>
        </w:trPr>
        <w:tc>
          <w:tcPr>
            <w:tcW w:w="0" w:type="auto"/>
            <w:hideMark/>
          </w:tcPr>
          <w:p w14:paraId="072C2ED5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xylosus</w:t>
            </w:r>
            <w:proofErr w:type="spellEnd"/>
          </w:p>
        </w:tc>
        <w:tc>
          <w:tcPr>
            <w:tcW w:w="0" w:type="auto"/>
            <w:hideMark/>
          </w:tcPr>
          <w:p w14:paraId="450D4FFC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4 (0.3)</w:t>
            </w:r>
          </w:p>
        </w:tc>
        <w:tc>
          <w:tcPr>
            <w:tcW w:w="0" w:type="auto"/>
            <w:hideMark/>
          </w:tcPr>
          <w:p w14:paraId="2AC24FA3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703" w:type="dxa"/>
            <w:hideMark/>
          </w:tcPr>
          <w:p w14:paraId="7B75F8ED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0.0%</w:t>
            </w:r>
          </w:p>
        </w:tc>
      </w:tr>
      <w:tr w:rsidR="003277DE" w:rsidRPr="003277DE" w14:paraId="7A85789B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3F640395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proofErr w:type="gramStart"/>
            <w:r w:rsidRPr="003277DE">
              <w:rPr>
                <w:i/>
                <w:iCs/>
                <w:sz w:val="18"/>
                <w:szCs w:val="18"/>
                <w:lang w:val="en-GB"/>
              </w:rPr>
              <w:t>carn.carnosus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7AEA3AC6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3 (0.2)</w:t>
            </w:r>
          </w:p>
        </w:tc>
        <w:tc>
          <w:tcPr>
            <w:tcW w:w="0" w:type="auto"/>
            <w:hideMark/>
          </w:tcPr>
          <w:p w14:paraId="06DDC15C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703" w:type="dxa"/>
            <w:hideMark/>
          </w:tcPr>
          <w:p w14:paraId="044F8A9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0.0%</w:t>
            </w:r>
          </w:p>
        </w:tc>
      </w:tr>
      <w:tr w:rsidR="003277DE" w:rsidRPr="003277DE" w14:paraId="5E2B8A4A" w14:textId="77777777" w:rsidTr="003277DE">
        <w:trPr>
          <w:divId w:val="1492451635"/>
        </w:trPr>
        <w:tc>
          <w:tcPr>
            <w:tcW w:w="0" w:type="auto"/>
            <w:hideMark/>
          </w:tcPr>
          <w:p w14:paraId="6D70CEC3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schleiferi</w:t>
            </w:r>
            <w:proofErr w:type="spellEnd"/>
          </w:p>
        </w:tc>
        <w:tc>
          <w:tcPr>
            <w:tcW w:w="0" w:type="auto"/>
            <w:hideMark/>
          </w:tcPr>
          <w:p w14:paraId="1BB903C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2 (0.2)</w:t>
            </w:r>
          </w:p>
        </w:tc>
        <w:tc>
          <w:tcPr>
            <w:tcW w:w="0" w:type="auto"/>
            <w:hideMark/>
          </w:tcPr>
          <w:p w14:paraId="23D3BE25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703" w:type="dxa"/>
            <w:hideMark/>
          </w:tcPr>
          <w:p w14:paraId="0D324FC9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0.0%</w:t>
            </w:r>
          </w:p>
        </w:tc>
      </w:tr>
      <w:tr w:rsidR="003277DE" w:rsidRPr="003277DE" w14:paraId="169289AB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hideMark/>
          </w:tcPr>
          <w:p w14:paraId="47652288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gallinarum</w:t>
            </w:r>
            <w:proofErr w:type="spellEnd"/>
          </w:p>
        </w:tc>
        <w:tc>
          <w:tcPr>
            <w:tcW w:w="0" w:type="auto"/>
            <w:hideMark/>
          </w:tcPr>
          <w:p w14:paraId="0DEA9998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(0.1)</w:t>
            </w:r>
          </w:p>
        </w:tc>
        <w:tc>
          <w:tcPr>
            <w:tcW w:w="0" w:type="auto"/>
            <w:hideMark/>
          </w:tcPr>
          <w:p w14:paraId="7C131C0E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 (0)</w:t>
            </w:r>
          </w:p>
        </w:tc>
        <w:tc>
          <w:tcPr>
            <w:tcW w:w="2703" w:type="dxa"/>
            <w:hideMark/>
          </w:tcPr>
          <w:p w14:paraId="04283C00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0.0%</w:t>
            </w:r>
          </w:p>
        </w:tc>
      </w:tr>
      <w:tr w:rsidR="003277DE" w:rsidRPr="003277DE" w14:paraId="6DD91C39" w14:textId="77777777" w:rsidTr="003277DE">
        <w:trPr>
          <w:divId w:val="1492451635"/>
        </w:trPr>
        <w:tc>
          <w:tcPr>
            <w:tcW w:w="0" w:type="auto"/>
            <w:hideMark/>
          </w:tcPr>
          <w:p w14:paraId="0EB82B68" w14:textId="77777777" w:rsidR="003277DE" w:rsidRPr="003277DE" w:rsidRDefault="003277DE" w:rsidP="003277DE">
            <w:pPr>
              <w:pStyle w:val="NormalWeb"/>
              <w:jc w:val="left"/>
              <w:rPr>
                <w:i/>
                <w:iCs/>
                <w:sz w:val="18"/>
                <w:szCs w:val="18"/>
                <w:lang w:val="en-GB"/>
              </w:rPr>
            </w:pPr>
            <w:r w:rsidRPr="003277DE">
              <w:rPr>
                <w:i/>
                <w:iCs/>
                <w:sz w:val="18"/>
                <w:szCs w:val="18"/>
                <w:lang w:val="en-GB"/>
              </w:rPr>
              <w:t xml:space="preserve">S. </w:t>
            </w:r>
            <w:proofErr w:type="spellStart"/>
            <w:r w:rsidRPr="003277DE">
              <w:rPr>
                <w:i/>
                <w:iCs/>
                <w:sz w:val="18"/>
                <w:szCs w:val="18"/>
                <w:lang w:val="en-GB"/>
              </w:rPr>
              <w:t>kloosii</w:t>
            </w:r>
            <w:proofErr w:type="spellEnd"/>
          </w:p>
        </w:tc>
        <w:tc>
          <w:tcPr>
            <w:tcW w:w="0" w:type="auto"/>
            <w:hideMark/>
          </w:tcPr>
          <w:p w14:paraId="4A65F6CB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(0.1)</w:t>
            </w:r>
          </w:p>
        </w:tc>
        <w:tc>
          <w:tcPr>
            <w:tcW w:w="0" w:type="auto"/>
            <w:hideMark/>
          </w:tcPr>
          <w:p w14:paraId="44B9A48F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 (0.5)</w:t>
            </w:r>
          </w:p>
        </w:tc>
        <w:tc>
          <w:tcPr>
            <w:tcW w:w="2703" w:type="dxa"/>
            <w:hideMark/>
          </w:tcPr>
          <w:p w14:paraId="20EAE17C" w14:textId="77777777" w:rsidR="003277DE" w:rsidRPr="003277DE" w:rsidRDefault="003277DE">
            <w:pPr>
              <w:pStyle w:val="NormalWeb"/>
              <w:rPr>
                <w:sz w:val="18"/>
                <w:szCs w:val="18"/>
                <w:lang w:val="en-GB"/>
              </w:rPr>
            </w:pPr>
            <w:r w:rsidRPr="003277DE">
              <w:rPr>
                <w:sz w:val="18"/>
                <w:szCs w:val="18"/>
                <w:lang w:val="en-GB"/>
              </w:rPr>
              <w:t>100.0%</w:t>
            </w:r>
          </w:p>
        </w:tc>
      </w:tr>
      <w:tr w:rsidR="003277DE" w:rsidRPr="003277DE" w14:paraId="6ABDFAE9" w14:textId="77777777" w:rsidTr="00327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divId w:val="1492451635"/>
        </w:trPr>
        <w:tc>
          <w:tcPr>
            <w:tcW w:w="0" w:type="auto"/>
            <w:shd w:val="clear" w:color="auto" w:fill="F7ECDD"/>
            <w:hideMark/>
          </w:tcPr>
          <w:p w14:paraId="3D1CB02B" w14:textId="77777777" w:rsidR="003277DE" w:rsidRPr="003277DE" w:rsidRDefault="003277DE" w:rsidP="003277DE">
            <w:pPr>
              <w:pStyle w:val="NormalWeb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 w:rsidRPr="003277DE">
              <w:rPr>
                <w:b/>
                <w:bCs/>
                <w:sz w:val="18"/>
                <w:szCs w:val="18"/>
                <w:lang w:val="en-GB"/>
              </w:rPr>
              <w:t>Total</w:t>
            </w:r>
          </w:p>
        </w:tc>
        <w:tc>
          <w:tcPr>
            <w:tcW w:w="0" w:type="auto"/>
            <w:shd w:val="clear" w:color="auto" w:fill="F7ECDD"/>
            <w:hideMark/>
          </w:tcPr>
          <w:p w14:paraId="109F2609" w14:textId="6ECD00CE" w:rsidR="003277DE" w:rsidRPr="003277DE" w:rsidRDefault="003277DE">
            <w:pPr>
              <w:pStyle w:val="NormalWeb"/>
              <w:rPr>
                <w:b/>
                <w:bCs/>
                <w:sz w:val="18"/>
                <w:szCs w:val="18"/>
                <w:lang w:val="en-GB"/>
              </w:rPr>
            </w:pPr>
            <w:r w:rsidRPr="003277DE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4D6E01">
              <w:rPr>
                <w:b/>
                <w:bCs/>
                <w:sz w:val="18"/>
                <w:szCs w:val="18"/>
                <w:lang w:val="en-GB"/>
              </w:rPr>
              <w:t>,</w:t>
            </w:r>
            <w:r w:rsidRPr="003277DE">
              <w:rPr>
                <w:b/>
                <w:bCs/>
                <w:sz w:val="18"/>
                <w:szCs w:val="18"/>
                <w:lang w:val="en-GB"/>
              </w:rPr>
              <w:t>262 (100)</w:t>
            </w:r>
          </w:p>
        </w:tc>
        <w:tc>
          <w:tcPr>
            <w:tcW w:w="0" w:type="auto"/>
            <w:shd w:val="clear" w:color="auto" w:fill="F7ECDD"/>
            <w:hideMark/>
          </w:tcPr>
          <w:p w14:paraId="4482D487" w14:textId="77777777" w:rsidR="003277DE" w:rsidRPr="003277DE" w:rsidRDefault="003277DE">
            <w:pPr>
              <w:pStyle w:val="NormalWeb"/>
              <w:rPr>
                <w:b/>
                <w:bCs/>
                <w:sz w:val="18"/>
                <w:szCs w:val="18"/>
                <w:lang w:val="en-GB"/>
              </w:rPr>
            </w:pPr>
            <w:r w:rsidRPr="003277DE">
              <w:rPr>
                <w:b/>
                <w:bCs/>
                <w:sz w:val="18"/>
                <w:szCs w:val="18"/>
                <w:lang w:val="en-GB"/>
              </w:rPr>
              <w:t>203 (16.1)</w:t>
            </w:r>
          </w:p>
        </w:tc>
        <w:tc>
          <w:tcPr>
            <w:tcW w:w="2703" w:type="dxa"/>
            <w:shd w:val="clear" w:color="auto" w:fill="F7ECDD"/>
            <w:hideMark/>
          </w:tcPr>
          <w:p w14:paraId="6A200DCA" w14:textId="77777777" w:rsidR="003277DE" w:rsidRPr="003277DE" w:rsidRDefault="003277DE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1E7AA204" w14:textId="53F15CCD" w:rsidR="003277DE" w:rsidRPr="00077084" w:rsidRDefault="003277DE" w:rsidP="00077084">
      <w:pPr>
        <w:pStyle w:val="CDIfootnotes"/>
        <w:divId w:val="1492451635"/>
        <w:rPr>
          <w:sz w:val="24"/>
          <w:szCs w:val="24"/>
          <w:lang w:val="en-GB"/>
        </w:rPr>
      </w:pPr>
      <w:r>
        <w:rPr>
          <w:lang w:val="en-GB"/>
        </w:rPr>
        <w:t>a</w:t>
      </w:r>
      <w:r>
        <w:rPr>
          <w:lang w:val="en-GB"/>
        </w:rPr>
        <w:tab/>
        <w:t>predominantly urine isolates</w:t>
      </w:r>
    </w:p>
    <w:p w14:paraId="6A659C61" w14:textId="77777777" w:rsidR="003F5B53" w:rsidRDefault="003F5B53" w:rsidP="00F84E0A">
      <w:r w:rsidRPr="00F84E0A">
        <w:rPr>
          <w:rStyle w:val="Emphasis"/>
          <w:b w:val="0"/>
          <w:bCs w:val="0"/>
        </w:rPr>
        <w:t>S. epidermidis</w:t>
      </w:r>
      <w:r>
        <w:t xml:space="preserve"> was predominant, accounting for 30.8% of all </w:t>
      </w:r>
      <w:proofErr w:type="spellStart"/>
      <w:r>
        <w:t>CoNS</w:t>
      </w:r>
      <w:proofErr w:type="spellEnd"/>
      <w:r>
        <w:t xml:space="preserve"> isolates and over 50% of the bloodstream isolates; </w:t>
      </w:r>
      <w:r w:rsidRPr="00F84E0A">
        <w:rPr>
          <w:rStyle w:val="Emphasis"/>
          <w:b w:val="0"/>
          <w:bCs w:val="0"/>
        </w:rPr>
        <w:t>S. saprophyticus</w:t>
      </w:r>
      <w:r>
        <w:t xml:space="preserve"> was found </w:t>
      </w:r>
      <w:proofErr w:type="gramStart"/>
      <w:r>
        <w:t>predominantly in</w:t>
      </w:r>
      <w:proofErr w:type="gramEnd"/>
      <w:r>
        <w:t xml:space="preserve"> urine; and </w:t>
      </w:r>
      <w:r w:rsidRPr="00F84E0A">
        <w:rPr>
          <w:rStyle w:val="Emphasis"/>
          <w:b w:val="0"/>
          <w:bCs w:val="0"/>
        </w:rPr>
        <w:t>S. epidermidis</w:t>
      </w:r>
      <w:r>
        <w:t>-like organisms (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haemolyticus</w:t>
      </w:r>
      <w:proofErr w:type="spellEnd"/>
      <w:r w:rsidRPr="00F84E0A">
        <w:rPr>
          <w:rStyle w:val="Emphasis"/>
          <w:b w:val="0"/>
          <w:bCs w:val="0"/>
        </w:rPr>
        <w:t xml:space="preserve">, S. capitis </w:t>
      </w:r>
      <w:r>
        <w:t>and</w:t>
      </w:r>
      <w:r w:rsidRPr="00F84E0A">
        <w:rPr>
          <w:rStyle w:val="Emphasis"/>
          <w:b w:val="0"/>
          <w:bCs w:val="0"/>
        </w:rPr>
        <w:t xml:space="preserve"> S. hominis</w:t>
      </w:r>
      <w:r>
        <w:t xml:space="preserve">) were also frequent in swab and bloodstream isolates. </w:t>
      </w:r>
    </w:p>
    <w:p w14:paraId="572D22EF" w14:textId="77777777" w:rsidR="003F5B53" w:rsidRDefault="003F5B53" w:rsidP="00F84E0A">
      <w:r w:rsidRPr="00F84E0A">
        <w:rPr>
          <w:rStyle w:val="Emphasis"/>
          <w:b w:val="0"/>
          <w:bCs w:val="0"/>
        </w:rPr>
        <w:lastRenderedPageBreak/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was the second </w:t>
      </w:r>
      <w:proofErr w:type="gramStart"/>
      <w:r>
        <w:t>most commonly isolated</w:t>
      </w:r>
      <w:proofErr w:type="gramEnd"/>
      <w:r>
        <w:t xml:space="preserve"> </w:t>
      </w:r>
      <w:proofErr w:type="spellStart"/>
      <w:r>
        <w:t>CoNS</w:t>
      </w:r>
      <w:proofErr w:type="spellEnd"/>
      <w:r>
        <w:t xml:space="preserve"> species identified with 201 isolates, 15.9% of all isolates. This frequency is far higher than in other published series.</w:t>
      </w:r>
      <w:r>
        <w:rPr>
          <w:vertAlign w:val="superscript"/>
        </w:rPr>
        <w:t>4</w:t>
      </w:r>
      <w:r>
        <w:t xml:space="preserve"> Of the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 w:rsidRPr="00F84E0A">
        <w:rPr>
          <w:rStyle w:val="Emphasis"/>
          <w:b w:val="0"/>
          <w:bCs w:val="0"/>
        </w:rPr>
        <w:t xml:space="preserve"> </w:t>
      </w:r>
      <w:r>
        <w:t xml:space="preserve">isolates, 24.0% and 66.3% came from the pelvic and lower body sites respectively, consistent with </w:t>
      </w:r>
      <w:proofErr w:type="gramStart"/>
      <w:r>
        <w:t>previous</w:t>
      </w:r>
      <w:proofErr w:type="gramEnd"/>
      <w:r>
        <w:t xml:space="preserve"> studies.</w:t>
      </w:r>
      <w:r>
        <w:rPr>
          <w:vertAlign w:val="superscript"/>
        </w:rPr>
        <w:t>5</w:t>
      </w:r>
      <w:r>
        <w:t xml:space="preserve"> </w:t>
      </w:r>
    </w:p>
    <w:p w14:paraId="79A201AA" w14:textId="77777777" w:rsidR="003F5B53" w:rsidRDefault="003F5B53" w:rsidP="00F84E0A">
      <w:r>
        <w:t xml:space="preserve">However, despite the </w:t>
      </w:r>
      <w:proofErr w:type="gramStart"/>
      <w:r>
        <w:t>large number</w:t>
      </w:r>
      <w:proofErr w:type="gramEnd"/>
      <w:r>
        <w:t xml:space="preserve"> of skin swab isolates, there was only a single bloodstream isolate of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detected during this study, from a patient admitted with fever and found to have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in one blood culture bottle only. Repeat blood cultures were negative three days later. The patient had a presumed ileostomy source and received two weeks of intravenous antibiotics for bacteraemia, and the patient remained well on review. </w:t>
      </w:r>
    </w:p>
    <w:p w14:paraId="5726C49A" w14:textId="49A4D18D" w:rsidR="003F5B53" w:rsidRDefault="003F5B53" w:rsidP="00F84E0A">
      <w:r>
        <w:t xml:space="preserve">Though it accounted for 15.9% of all </w:t>
      </w:r>
      <w:proofErr w:type="spellStart"/>
      <w:r>
        <w:t>CoNS</w:t>
      </w:r>
      <w:proofErr w:type="spellEnd"/>
      <w:r>
        <w:t xml:space="preserve"> isolates</w:t>
      </w:r>
      <w:r w:rsidRPr="00F84E0A">
        <w:rPr>
          <w:rStyle w:val="Emphasis"/>
          <w:b w:val="0"/>
          <w:bCs w:val="0"/>
        </w:rPr>
        <w:t xml:space="preserve">, 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represented only 0.5% of </w:t>
      </w:r>
      <w:proofErr w:type="spellStart"/>
      <w:r>
        <w:t>CoNS</w:t>
      </w:r>
      <w:proofErr w:type="spellEnd"/>
      <w:r>
        <w:t xml:space="preserve"> bloodstream isolates, with a low 0.5% rate of blood to swab isolates. Our rate of bloodstream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isolation was much lower than recorded in comparably sized series.</w:t>
      </w:r>
      <w:r>
        <w:rPr>
          <w:vertAlign w:val="superscript"/>
        </w:rPr>
        <w:t>2</w:t>
      </w:r>
      <w:r>
        <w:t xml:space="preserve"> A further retrospective look back over ten years </w:t>
      </w:r>
      <w:proofErr w:type="gramStart"/>
      <w:r>
        <w:t>identified</w:t>
      </w:r>
      <w:proofErr w:type="gramEnd"/>
      <w:r>
        <w:t xml:space="preserve"> only two other bloodstream isolates, both one bottle only, with neither deemed clinically significant. This low incidence of serious bloodstream infection over ten years has not </w:t>
      </w:r>
      <w:proofErr w:type="gramStart"/>
      <w:r>
        <w:t>been reported</w:t>
      </w:r>
      <w:proofErr w:type="gramEnd"/>
      <w:r>
        <w:t xml:space="preserve"> previously from tropical settings.</w:t>
      </w:r>
      <w:r>
        <w:rPr>
          <w:vertAlign w:val="superscript"/>
        </w:rPr>
        <w:t xml:space="preserve">6 </w:t>
      </w:r>
    </w:p>
    <w:p w14:paraId="05512CE1" w14:textId="77777777" w:rsidR="003F5B53" w:rsidRDefault="003F5B53" w:rsidP="00F84E0A">
      <w:r>
        <w:t xml:space="preserve">Our study </w:t>
      </w:r>
      <w:proofErr w:type="gramStart"/>
      <w:r>
        <w:t>demonstrates</w:t>
      </w:r>
      <w:proofErr w:type="gramEnd"/>
      <w:r>
        <w:t xml:space="preserve"> that high rates of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 w:rsidRPr="00F84E0A">
        <w:rPr>
          <w:rStyle w:val="Emphasis"/>
          <w:b w:val="0"/>
          <w:bCs w:val="0"/>
        </w:rPr>
        <w:t xml:space="preserve"> </w:t>
      </w:r>
      <w:r>
        <w:t xml:space="preserve">carriage in the tropics does not necessarily translate into invasive disease; this raises the question of whether the tropical environment potentially affects the virulence of the organism. This is something for potential future studies to examine. As a tropical centre, the frequency of isolation of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raises concerns for potential for significant burden on the health service in line with high rates of </w:t>
      </w:r>
      <w:r w:rsidRPr="00F84E0A">
        <w:rPr>
          <w:rStyle w:val="Emphasis"/>
          <w:b w:val="0"/>
          <w:bCs w:val="0"/>
        </w:rPr>
        <w:t>S. aureus</w:t>
      </w:r>
      <w:r>
        <w:t xml:space="preserve">, particularly methicillin-resistant strains. We plan to sequence a number of local </w:t>
      </w:r>
      <w:r w:rsidRPr="00F84E0A">
        <w:rPr>
          <w:rStyle w:val="Emphasis"/>
          <w:b w:val="0"/>
          <w:bCs w:val="0"/>
        </w:rPr>
        <w:t xml:space="preserve">S. </w:t>
      </w:r>
      <w:proofErr w:type="spellStart"/>
      <w:r w:rsidRPr="00F84E0A">
        <w:rPr>
          <w:rStyle w:val="Emphasis"/>
          <w:b w:val="0"/>
          <w:bCs w:val="0"/>
        </w:rPr>
        <w:t>lugdunensis</w:t>
      </w:r>
      <w:proofErr w:type="spellEnd"/>
      <w:r>
        <w:t xml:space="preserve"> isolates to </w:t>
      </w:r>
      <w:proofErr w:type="gramStart"/>
      <w:r>
        <w:t>determine</w:t>
      </w:r>
      <w:proofErr w:type="gramEnd"/>
      <w:r>
        <w:t xml:space="preserve"> the presence of postulated virulence factors, and to compare phylogenetic relationships with known virulent strains, so as to characterise this epidemiological observation. </w:t>
      </w:r>
    </w:p>
    <w:p w14:paraId="16335A8E" w14:textId="77777777" w:rsidR="003F5B53" w:rsidRPr="00F84E0A" w:rsidRDefault="003F5B53" w:rsidP="00F84E0A">
      <w:pPr>
        <w:pStyle w:val="Heading1"/>
      </w:pPr>
      <w:r w:rsidRPr="00F84E0A">
        <w:t xml:space="preserve">Author details </w:t>
      </w:r>
    </w:p>
    <w:p w14:paraId="4B25B082" w14:textId="71E87946" w:rsidR="003F5B53" w:rsidRDefault="003F5B53" w:rsidP="00F84E0A">
      <w:r>
        <w:t>Matthew Howes</w:t>
      </w:r>
      <w:r>
        <w:rPr>
          <w:vertAlign w:val="superscript"/>
        </w:rPr>
        <w:t>1</w:t>
      </w:r>
      <w:r>
        <w:t xml:space="preserve"> </w:t>
      </w:r>
      <w:r w:rsidR="004D6E01">
        <w:br/>
      </w:r>
      <w:r>
        <w:t>Rob Baird</w:t>
      </w:r>
      <w:r>
        <w:rPr>
          <w:vertAlign w:val="superscript"/>
        </w:rPr>
        <w:t xml:space="preserve">1 </w:t>
      </w:r>
    </w:p>
    <w:p w14:paraId="7FF14A88" w14:textId="77777777" w:rsidR="003F5B53" w:rsidRPr="00F84E0A" w:rsidRDefault="003F5B53" w:rsidP="00F84E0A">
      <w:pPr>
        <w:pStyle w:val="ListParagraph"/>
        <w:numPr>
          <w:ilvl w:val="0"/>
          <w:numId w:val="9"/>
        </w:numPr>
        <w:rPr>
          <w:rFonts w:eastAsia="Times New Roman"/>
        </w:rPr>
      </w:pPr>
      <w:r w:rsidRPr="00F84E0A">
        <w:rPr>
          <w:rFonts w:eastAsia="Times New Roman"/>
        </w:rPr>
        <w:t xml:space="preserve">Territory Pathology, Royal Darwin Hospital, Rocklands Drive TIWI NT 0810 Australia </w:t>
      </w:r>
    </w:p>
    <w:p w14:paraId="66C54568" w14:textId="77777777" w:rsidR="003F5B53" w:rsidRPr="00F84E0A" w:rsidRDefault="003F5B53" w:rsidP="00310450">
      <w:pPr>
        <w:pStyle w:val="Heading2"/>
        <w:spacing w:after="200"/>
      </w:pPr>
      <w:r w:rsidRPr="00F84E0A">
        <w:t xml:space="preserve">Corresponding author </w:t>
      </w:r>
    </w:p>
    <w:p w14:paraId="39048651" w14:textId="77777777" w:rsidR="003F5B53" w:rsidRDefault="003F5B53" w:rsidP="00F84E0A">
      <w:r>
        <w:t xml:space="preserve">Matthew Howes </w:t>
      </w:r>
    </w:p>
    <w:p w14:paraId="7DA19B9A" w14:textId="77777777" w:rsidR="003F5B53" w:rsidRDefault="003F5B53" w:rsidP="00F84E0A">
      <w:r>
        <w:t xml:space="preserve">Territory Pathology, Royal Darwin Hospital, Rocklands Tiwi NT 0810 Australia </w:t>
      </w:r>
    </w:p>
    <w:p w14:paraId="3BDB5C68" w14:textId="77777777" w:rsidR="003F5B53" w:rsidRDefault="003F5B53" w:rsidP="00F84E0A">
      <w:r>
        <w:t xml:space="preserve">email: matthewhowes@doctors.org.uk; Matthew.Howes@nt.gov.au </w:t>
      </w:r>
    </w:p>
    <w:p w14:paraId="46FCB3A4" w14:textId="77777777" w:rsidR="0031110F" w:rsidRDefault="0031110F">
      <w:pPr>
        <w:rPr>
          <w:rFonts w:asciiTheme="majorHAnsi" w:eastAsiaTheme="majorEastAsia" w:hAnsiTheme="majorHAnsi" w:cstheme="majorBidi"/>
          <w:b/>
          <w:bCs/>
          <w:sz w:val="32"/>
          <w:szCs w:val="28"/>
        </w:rPr>
      </w:pPr>
      <w:r>
        <w:br w:type="page"/>
      </w:r>
    </w:p>
    <w:p w14:paraId="6974C630" w14:textId="29AF592C" w:rsidR="003F5B53" w:rsidRPr="00F84E0A" w:rsidRDefault="003F5B53" w:rsidP="00F84E0A">
      <w:pPr>
        <w:pStyle w:val="Heading1"/>
      </w:pPr>
      <w:r w:rsidRPr="00F84E0A">
        <w:lastRenderedPageBreak/>
        <w:t xml:space="preserve">References </w:t>
      </w:r>
    </w:p>
    <w:p w14:paraId="3FE4196C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>Fernández-Fernández R, Lozano C, Ruiz-</w:t>
      </w:r>
      <w:proofErr w:type="spellStart"/>
      <w:r w:rsidRPr="00F84E0A">
        <w:rPr>
          <w:rFonts w:eastAsia="Times New Roman"/>
        </w:rPr>
        <w:t>Ripa</w:t>
      </w:r>
      <w:proofErr w:type="spellEnd"/>
      <w:r w:rsidRPr="00F84E0A">
        <w:rPr>
          <w:rFonts w:eastAsia="Times New Roman"/>
        </w:rPr>
        <w:t xml:space="preserve"> L, Robredo B, </w:t>
      </w:r>
      <w:proofErr w:type="spellStart"/>
      <w:r w:rsidRPr="00F84E0A">
        <w:rPr>
          <w:rFonts w:eastAsia="Times New Roman"/>
        </w:rPr>
        <w:t>Azcona</w:t>
      </w:r>
      <w:proofErr w:type="spellEnd"/>
      <w:r w:rsidRPr="00F84E0A">
        <w:rPr>
          <w:rFonts w:eastAsia="Times New Roman"/>
        </w:rPr>
        <w:t xml:space="preserve">-Gutiérrez JM, Alonso CA et al. </w:t>
      </w:r>
      <w:proofErr w:type="gramStart"/>
      <w:r w:rsidRPr="00F84E0A">
        <w:rPr>
          <w:rFonts w:eastAsia="Times New Roman"/>
        </w:rPr>
        <w:t>Antimicrobial</w:t>
      </w:r>
      <w:proofErr w:type="gramEnd"/>
      <w:r w:rsidRPr="00F84E0A">
        <w:rPr>
          <w:rFonts w:eastAsia="Times New Roman"/>
        </w:rPr>
        <w:t xml:space="preserve"> resistance and antimicrobial activity of </w:t>
      </w:r>
      <w:r w:rsidRPr="00F84E0A">
        <w:rPr>
          <w:rStyle w:val="Emphasis"/>
          <w:rFonts w:eastAsia="Times New Roman"/>
          <w:b w:val="0"/>
          <w:bCs w:val="0"/>
        </w:rPr>
        <w:t xml:space="preserve">Staphylococcus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lugdunensis</w:t>
      </w:r>
      <w:proofErr w:type="spellEnd"/>
      <w:r w:rsidRPr="00F84E0A">
        <w:rPr>
          <w:rFonts w:eastAsia="Times New Roman"/>
        </w:rPr>
        <w:t xml:space="preserve"> obtained from two Spanish hospitals. </w:t>
      </w:r>
      <w:r w:rsidRPr="00F84E0A">
        <w:rPr>
          <w:rStyle w:val="Emphasis"/>
          <w:rFonts w:eastAsia="Times New Roman"/>
          <w:b w:val="0"/>
          <w:bCs w:val="0"/>
        </w:rPr>
        <w:t>Microorganisms</w:t>
      </w:r>
      <w:r w:rsidRPr="00F84E0A">
        <w:rPr>
          <w:rFonts w:eastAsia="Times New Roman"/>
        </w:rPr>
        <w:t xml:space="preserve">. 2022;10(8):1480.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 xml:space="preserve">: https://doi.org/10.3390/microorganisms10081480. </w:t>
      </w:r>
    </w:p>
    <w:p w14:paraId="2CB012FC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 xml:space="preserve">Becker K, </w:t>
      </w:r>
      <w:proofErr w:type="spellStart"/>
      <w:r w:rsidRPr="00F84E0A">
        <w:rPr>
          <w:rFonts w:eastAsia="Times New Roman"/>
        </w:rPr>
        <w:t>Heilmann</w:t>
      </w:r>
      <w:proofErr w:type="spellEnd"/>
      <w:r w:rsidRPr="00F84E0A">
        <w:rPr>
          <w:rFonts w:eastAsia="Times New Roman"/>
        </w:rPr>
        <w:t xml:space="preserve"> C, Peters G. Coagulase-negative staphylococci. </w:t>
      </w:r>
      <w:r w:rsidRPr="00F84E0A">
        <w:rPr>
          <w:rStyle w:val="Emphasis"/>
          <w:rFonts w:eastAsia="Times New Roman"/>
          <w:b w:val="0"/>
          <w:bCs w:val="0"/>
        </w:rPr>
        <w:t>Clin Microbiol Rev</w:t>
      </w:r>
      <w:r w:rsidRPr="00F84E0A">
        <w:rPr>
          <w:rFonts w:eastAsia="Times New Roman"/>
        </w:rPr>
        <w:t xml:space="preserve">. 2014;27(4):870–926.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 xml:space="preserve">: https://doi.org/10.1128/CMR.00109-13. </w:t>
      </w:r>
    </w:p>
    <w:p w14:paraId="79D523B6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 xml:space="preserve">Becker K, Both A, </w:t>
      </w:r>
      <w:proofErr w:type="spellStart"/>
      <w:r w:rsidRPr="00F84E0A">
        <w:rPr>
          <w:rFonts w:eastAsia="Times New Roman"/>
        </w:rPr>
        <w:t>Weißelberg</w:t>
      </w:r>
      <w:proofErr w:type="spellEnd"/>
      <w:r w:rsidRPr="00F84E0A">
        <w:rPr>
          <w:rFonts w:eastAsia="Times New Roman"/>
        </w:rPr>
        <w:t xml:space="preserve"> S, </w:t>
      </w:r>
      <w:proofErr w:type="spellStart"/>
      <w:r w:rsidRPr="00F84E0A">
        <w:rPr>
          <w:rFonts w:eastAsia="Times New Roman"/>
        </w:rPr>
        <w:t>Heilmann</w:t>
      </w:r>
      <w:proofErr w:type="spellEnd"/>
      <w:r w:rsidRPr="00F84E0A">
        <w:rPr>
          <w:rFonts w:eastAsia="Times New Roman"/>
        </w:rPr>
        <w:t xml:space="preserve"> C, Rohde H. Emergence of coagulase-negative staphylococci. </w:t>
      </w:r>
      <w:r w:rsidRPr="00F84E0A">
        <w:rPr>
          <w:rStyle w:val="Emphasis"/>
          <w:rFonts w:eastAsia="Times New Roman"/>
          <w:b w:val="0"/>
          <w:bCs w:val="0"/>
        </w:rPr>
        <w:t xml:space="preserve">Expert Rev Anti Infect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Ther</w:t>
      </w:r>
      <w:proofErr w:type="spellEnd"/>
      <w:r w:rsidRPr="00F84E0A">
        <w:rPr>
          <w:rFonts w:eastAsia="Times New Roman"/>
        </w:rPr>
        <w:t xml:space="preserve">. 2020;18(4):349–66.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 xml:space="preserve">: https://doi.org/10.1080/14787210.2020.1730813. </w:t>
      </w:r>
    </w:p>
    <w:p w14:paraId="00C7F8FA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 xml:space="preserve">Frank KL, Del </w:t>
      </w:r>
      <w:proofErr w:type="spellStart"/>
      <w:r w:rsidRPr="00F84E0A">
        <w:rPr>
          <w:rFonts w:eastAsia="Times New Roman"/>
        </w:rPr>
        <w:t>Pozo</w:t>
      </w:r>
      <w:proofErr w:type="spellEnd"/>
      <w:r w:rsidRPr="00F84E0A">
        <w:rPr>
          <w:rFonts w:eastAsia="Times New Roman"/>
        </w:rPr>
        <w:t xml:space="preserve"> JL, Patel R. From clinical microbiology to infection pathogenesis: how daring to be different works for </w:t>
      </w:r>
      <w:r w:rsidRPr="00F84E0A">
        <w:rPr>
          <w:rStyle w:val="Emphasis"/>
          <w:rFonts w:eastAsia="Times New Roman"/>
          <w:b w:val="0"/>
          <w:bCs w:val="0"/>
        </w:rPr>
        <w:t xml:space="preserve">Staphylococcus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lugdunensis</w:t>
      </w:r>
      <w:proofErr w:type="spellEnd"/>
      <w:r w:rsidRPr="00F84E0A">
        <w:rPr>
          <w:rFonts w:eastAsia="Times New Roman"/>
        </w:rPr>
        <w:t xml:space="preserve">. </w:t>
      </w:r>
      <w:r w:rsidRPr="00F84E0A">
        <w:rPr>
          <w:rStyle w:val="Emphasis"/>
          <w:rFonts w:eastAsia="Times New Roman"/>
          <w:b w:val="0"/>
          <w:bCs w:val="0"/>
        </w:rPr>
        <w:t>Clin Microbiol Rev</w:t>
      </w:r>
      <w:r w:rsidRPr="00F84E0A">
        <w:rPr>
          <w:rFonts w:eastAsia="Times New Roman"/>
        </w:rPr>
        <w:t xml:space="preserve">. 2008;21(1):111–33.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 xml:space="preserve">: https://doi.org/10.1128/CMR.00036-07. </w:t>
      </w:r>
    </w:p>
    <w:p w14:paraId="12A74C0A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 xml:space="preserve">Kleiner E, Monk AB, Archer GL, Forbes BA. Clinical significance of </w:t>
      </w:r>
      <w:r w:rsidRPr="00F84E0A">
        <w:rPr>
          <w:rStyle w:val="Emphasis"/>
          <w:rFonts w:eastAsia="Times New Roman"/>
          <w:b w:val="0"/>
          <w:bCs w:val="0"/>
        </w:rPr>
        <w:t xml:space="preserve">Staphylococcus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lugdunensis</w:t>
      </w:r>
      <w:proofErr w:type="spellEnd"/>
      <w:r w:rsidRPr="00F84E0A">
        <w:rPr>
          <w:rFonts w:eastAsia="Times New Roman"/>
        </w:rPr>
        <w:t xml:space="preserve"> isolated from routine cultures. </w:t>
      </w:r>
      <w:r w:rsidRPr="00F84E0A">
        <w:rPr>
          <w:rStyle w:val="Emphasis"/>
          <w:rFonts w:eastAsia="Times New Roman"/>
          <w:b w:val="0"/>
          <w:bCs w:val="0"/>
        </w:rPr>
        <w:t>Clin Infect Dis</w:t>
      </w:r>
      <w:r w:rsidRPr="00F84E0A">
        <w:rPr>
          <w:rFonts w:eastAsia="Times New Roman"/>
        </w:rPr>
        <w:t xml:space="preserve">. 2010;51(7):801–3.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 xml:space="preserve">: https://doi.org/10.1086/656280. </w:t>
      </w:r>
    </w:p>
    <w:p w14:paraId="371CDE79" w14:textId="77777777" w:rsidR="003F5B53" w:rsidRPr="00F84E0A" w:rsidRDefault="003F5B53" w:rsidP="00F84E0A">
      <w:pPr>
        <w:pStyle w:val="ListParagraph"/>
        <w:numPr>
          <w:ilvl w:val="0"/>
          <w:numId w:val="10"/>
        </w:numPr>
        <w:rPr>
          <w:rFonts w:eastAsia="Times New Roman"/>
        </w:rPr>
      </w:pPr>
      <w:r w:rsidRPr="00F84E0A">
        <w:rPr>
          <w:rFonts w:eastAsia="Times New Roman"/>
        </w:rPr>
        <w:t xml:space="preserve">Parthasarathy S, Shah S, Raja Sager A, </w:t>
      </w:r>
      <w:proofErr w:type="spellStart"/>
      <w:r w:rsidRPr="00F84E0A">
        <w:rPr>
          <w:rFonts w:eastAsia="Times New Roman"/>
        </w:rPr>
        <w:t>Rangan</w:t>
      </w:r>
      <w:proofErr w:type="spellEnd"/>
      <w:r w:rsidRPr="00F84E0A">
        <w:rPr>
          <w:rFonts w:eastAsia="Times New Roman"/>
        </w:rPr>
        <w:t xml:space="preserve"> A, </w:t>
      </w:r>
      <w:proofErr w:type="spellStart"/>
      <w:r w:rsidRPr="00F84E0A">
        <w:rPr>
          <w:rFonts w:eastAsia="Times New Roman"/>
        </w:rPr>
        <w:t>Durugu</w:t>
      </w:r>
      <w:proofErr w:type="spellEnd"/>
      <w:r w:rsidRPr="00F84E0A">
        <w:rPr>
          <w:rFonts w:eastAsia="Times New Roman"/>
        </w:rPr>
        <w:t xml:space="preserve"> S. </w:t>
      </w:r>
      <w:r w:rsidRPr="00F84E0A">
        <w:rPr>
          <w:rStyle w:val="Emphasis"/>
          <w:rFonts w:eastAsia="Times New Roman"/>
          <w:b w:val="0"/>
          <w:bCs w:val="0"/>
        </w:rPr>
        <w:t xml:space="preserve">Staphylococcus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lugdunensis</w:t>
      </w:r>
      <w:proofErr w:type="spellEnd"/>
      <w:r w:rsidRPr="00F84E0A">
        <w:rPr>
          <w:rFonts w:eastAsia="Times New Roman"/>
        </w:rPr>
        <w:t xml:space="preserve">: review of epidemiology, complications, and treatment. </w:t>
      </w:r>
      <w:proofErr w:type="spellStart"/>
      <w:r w:rsidRPr="00F84E0A">
        <w:rPr>
          <w:rStyle w:val="Emphasis"/>
          <w:rFonts w:eastAsia="Times New Roman"/>
          <w:b w:val="0"/>
          <w:bCs w:val="0"/>
        </w:rPr>
        <w:t>Cureus</w:t>
      </w:r>
      <w:proofErr w:type="spellEnd"/>
      <w:r w:rsidRPr="00F84E0A">
        <w:rPr>
          <w:rFonts w:eastAsia="Times New Roman"/>
        </w:rPr>
        <w:t>. 2020;12(6</w:t>
      </w:r>
      <w:proofErr w:type="gramStart"/>
      <w:r w:rsidRPr="00F84E0A">
        <w:rPr>
          <w:rFonts w:eastAsia="Times New Roman"/>
        </w:rPr>
        <w:t>):e</w:t>
      </w:r>
      <w:proofErr w:type="gramEnd"/>
      <w:r w:rsidRPr="00F84E0A">
        <w:rPr>
          <w:rFonts w:eastAsia="Times New Roman"/>
        </w:rPr>
        <w:t xml:space="preserve">8801. </w:t>
      </w:r>
      <w:proofErr w:type="spellStart"/>
      <w:r w:rsidRPr="00F84E0A">
        <w:rPr>
          <w:rFonts w:eastAsia="Times New Roman"/>
        </w:rPr>
        <w:t>doi</w:t>
      </w:r>
      <w:proofErr w:type="spellEnd"/>
      <w:r w:rsidRPr="00F84E0A">
        <w:rPr>
          <w:rFonts w:eastAsia="Times New Roman"/>
        </w:rPr>
        <w:t>: https://doi.org/10.7759/cureus.8801.</w:t>
      </w:r>
    </w:p>
    <w:p w14:paraId="32CFC3ED" w14:textId="77777777" w:rsidR="008B5348" w:rsidRDefault="008B5348">
      <w:pPr>
        <w:rPr>
          <w:rStyle w:val="A10"/>
        </w:rPr>
        <w:sectPr w:rsidR="008B5348" w:rsidSect="00A30C37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1134" w:left="720" w:header="709" w:footer="284" w:gutter="0"/>
          <w:cols w:space="708"/>
          <w:titlePg/>
          <w:docGrid w:linePitch="360"/>
        </w:sectPr>
      </w:pPr>
    </w:p>
    <w:p w14:paraId="679C3BC1" w14:textId="77777777" w:rsidR="000A5F42" w:rsidRPr="000606CC" w:rsidRDefault="000A5F42" w:rsidP="000A5F42">
      <w:pPr>
        <w:pStyle w:val="NoSpacing"/>
        <w:rPr>
          <w:rFonts w:cstheme="minorHAnsi"/>
          <w:sz w:val="18"/>
          <w:szCs w:val="18"/>
        </w:rPr>
      </w:pPr>
      <w:r w:rsidRPr="000606CC">
        <w:rPr>
          <w:rStyle w:val="Strong"/>
          <w:bCs w:val="0"/>
          <w:sz w:val="20"/>
        </w:rPr>
        <w:lastRenderedPageBreak/>
        <w:t>Communicable Diseases Intelligence</w:t>
      </w:r>
    </w:p>
    <w:p w14:paraId="6FAD4117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ISSN: 2209-6051 Online</w:t>
      </w:r>
    </w:p>
    <w:p w14:paraId="64A6F15C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738646BD" w14:textId="77777777" w:rsidR="000A5F42" w:rsidRPr="000606CC" w:rsidRDefault="000A5F42" w:rsidP="000A5F42">
      <w:pPr>
        <w:pStyle w:val="NoSpacing"/>
        <w:rPr>
          <w:rStyle w:val="Strong"/>
          <w:rFonts w:cs="Calibri"/>
          <w:sz w:val="20"/>
          <w:szCs w:val="18"/>
        </w:rPr>
      </w:pPr>
      <w:r w:rsidRPr="000606CC">
        <w:rPr>
          <w:rStyle w:val="Strong"/>
          <w:rFonts w:cs="Calibri"/>
          <w:b w:val="0"/>
          <w:bCs w:val="0"/>
          <w:sz w:val="20"/>
          <w:szCs w:val="18"/>
        </w:rPr>
        <w:t>Communicable Diseases Intelligence (CDI) is a peer-reviewed scientific journal published by the Office of Health Protection</w:t>
      </w:r>
      <w:r w:rsidR="000325A0">
        <w:rPr>
          <w:rStyle w:val="Strong"/>
          <w:rFonts w:cs="Calibri"/>
          <w:b w:val="0"/>
          <w:bCs w:val="0"/>
          <w:sz w:val="20"/>
          <w:szCs w:val="18"/>
        </w:rPr>
        <w:t xml:space="preserve"> and Response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, </w:t>
      </w:r>
      <w:r w:rsidR="001723AC">
        <w:rPr>
          <w:rStyle w:val="Strong"/>
          <w:rFonts w:cs="Calibri"/>
          <w:b w:val="0"/>
          <w:bCs w:val="0"/>
          <w:sz w:val="20"/>
          <w:szCs w:val="18"/>
        </w:rPr>
        <w:t>Department of Health and Aged Care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. The journal aims to </w:t>
      </w:r>
      <w:proofErr w:type="gramStart"/>
      <w:r w:rsidRPr="000606CC">
        <w:rPr>
          <w:rStyle w:val="Strong"/>
          <w:rFonts w:cs="Calibri"/>
          <w:b w:val="0"/>
          <w:bCs w:val="0"/>
          <w:sz w:val="20"/>
          <w:szCs w:val="18"/>
        </w:rPr>
        <w:t>disseminate</w:t>
      </w:r>
      <w:proofErr w:type="gramEnd"/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 information on the epidemiology, surveillance, prevention and control of communicable diseases of relevance to Australia.</w:t>
      </w:r>
    </w:p>
    <w:p w14:paraId="0154A538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2752FFD4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Editor: </w:t>
      </w:r>
      <w:r w:rsidR="007E5CA0" w:rsidRPr="007E5CA0">
        <w:rPr>
          <w:rFonts w:cstheme="minorHAnsi"/>
          <w:sz w:val="20"/>
          <w:szCs w:val="18"/>
        </w:rPr>
        <w:t>Noel Lally</w:t>
      </w:r>
    </w:p>
    <w:p w14:paraId="362D417B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Deputy Editor: </w:t>
      </w:r>
      <w:r w:rsidR="00C838F5" w:rsidRPr="00C838F5">
        <w:rPr>
          <w:rFonts w:cstheme="minorHAnsi"/>
          <w:sz w:val="20"/>
          <w:szCs w:val="18"/>
        </w:rPr>
        <w:t>Simon Petrie</w:t>
      </w:r>
    </w:p>
    <w:p w14:paraId="0135EC62" w14:textId="77777777" w:rsidR="000A5F42" w:rsidRPr="000606CC" w:rsidRDefault="00967410" w:rsidP="000A5F42">
      <w:pPr>
        <w:pStyle w:val="NoSpacing"/>
        <w:rPr>
          <w:rFonts w:cstheme="minorHAnsi"/>
          <w:sz w:val="20"/>
          <w:szCs w:val="18"/>
        </w:rPr>
      </w:pPr>
      <w:r>
        <w:rPr>
          <w:rStyle w:val="Strong"/>
          <w:rFonts w:cstheme="minorHAnsi"/>
          <w:sz w:val="20"/>
          <w:szCs w:val="18"/>
        </w:rPr>
        <w:t>Design</w:t>
      </w:r>
      <w:r w:rsidR="000A5F42" w:rsidRPr="000606CC">
        <w:rPr>
          <w:rStyle w:val="Strong"/>
          <w:rFonts w:cstheme="minorHAnsi"/>
          <w:sz w:val="20"/>
          <w:szCs w:val="18"/>
        </w:rPr>
        <w:t xml:space="preserve"> and Production: </w:t>
      </w:r>
      <w:r w:rsidR="000A5F42" w:rsidRPr="000606CC">
        <w:rPr>
          <w:rFonts w:cstheme="minorHAnsi"/>
          <w:sz w:val="20"/>
          <w:szCs w:val="18"/>
        </w:rPr>
        <w:t>Kasra Yousefi</w:t>
      </w:r>
    </w:p>
    <w:p w14:paraId="0CBA1B8F" w14:textId="77777777" w:rsidR="000A5F42" w:rsidRPr="000606CC" w:rsidRDefault="000A5F42" w:rsidP="000A5F42">
      <w:pPr>
        <w:pStyle w:val="NoSpacing"/>
        <w:rPr>
          <w:rFonts w:cstheme="minorHAnsi"/>
          <w:b/>
          <w:bCs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Editorial Advisory Board: </w:t>
      </w:r>
      <w:r w:rsidRPr="000606CC">
        <w:rPr>
          <w:rFonts w:cstheme="minorHAnsi"/>
          <w:sz w:val="20"/>
          <w:szCs w:val="18"/>
        </w:rPr>
        <w:t xml:space="preserve">David </w:t>
      </w:r>
      <w:proofErr w:type="spellStart"/>
      <w:r w:rsidRPr="000606CC">
        <w:rPr>
          <w:rFonts w:cstheme="minorHAnsi"/>
          <w:sz w:val="20"/>
          <w:szCs w:val="18"/>
        </w:rPr>
        <w:t>Durrheim</w:t>
      </w:r>
      <w:proofErr w:type="spellEnd"/>
      <w:r w:rsidRPr="000606CC">
        <w:rPr>
          <w:rFonts w:cstheme="minorHAnsi"/>
          <w:sz w:val="20"/>
          <w:szCs w:val="18"/>
        </w:rPr>
        <w:t xml:space="preserve">, </w:t>
      </w:r>
      <w:r w:rsidRPr="000606CC">
        <w:rPr>
          <w:rStyle w:val="nobreak"/>
          <w:rFonts w:cstheme="minorHAnsi"/>
          <w:sz w:val="20"/>
          <w:szCs w:val="18"/>
        </w:rPr>
        <w:t>Mark Ferson</w:t>
      </w:r>
      <w:r w:rsidR="00F55648">
        <w:rPr>
          <w:rFonts w:cstheme="minorHAnsi"/>
          <w:sz w:val="20"/>
          <w:szCs w:val="18"/>
        </w:rPr>
        <w:t xml:space="preserve">, John Kaldor, </w:t>
      </w:r>
      <w:r w:rsidRPr="000606CC">
        <w:rPr>
          <w:rStyle w:val="nobreak"/>
          <w:rFonts w:cstheme="minorHAnsi"/>
          <w:sz w:val="20"/>
          <w:szCs w:val="18"/>
        </w:rPr>
        <w:t xml:space="preserve">Martyn </w:t>
      </w:r>
      <w:proofErr w:type="gramStart"/>
      <w:r w:rsidRPr="000606CC">
        <w:rPr>
          <w:rStyle w:val="nobreak"/>
          <w:rFonts w:cstheme="minorHAnsi"/>
          <w:sz w:val="20"/>
          <w:szCs w:val="18"/>
        </w:rPr>
        <w:t>Kirk</w:t>
      </w:r>
      <w:proofErr w:type="gramEnd"/>
      <w:r w:rsidR="00F55648">
        <w:rPr>
          <w:rStyle w:val="nobreak"/>
          <w:rFonts w:cstheme="minorHAnsi"/>
          <w:sz w:val="20"/>
          <w:szCs w:val="18"/>
        </w:rPr>
        <w:t xml:space="preserve"> and Linda Selvey</w:t>
      </w:r>
    </w:p>
    <w:p w14:paraId="5ABFFA0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11E75238" w14:textId="095F2E1D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Website</w:t>
      </w:r>
      <w:r w:rsidRPr="000606CC">
        <w:rPr>
          <w:rFonts w:cstheme="minorHAnsi"/>
          <w:sz w:val="20"/>
          <w:szCs w:val="18"/>
        </w:rPr>
        <w:t xml:space="preserve">: </w:t>
      </w:r>
      <w:hyperlink r:id="rId12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http://www.health.gov.au/cdi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7249F99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1AF83DF8" w14:textId="77777777" w:rsidR="000A5F42" w:rsidRPr="000606CC" w:rsidRDefault="000A5F42" w:rsidP="00E54BBD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Contacts</w:t>
      </w:r>
      <w:r w:rsidRPr="000606CC">
        <w:rPr>
          <w:rStyle w:val="Strong"/>
          <w:rFonts w:cstheme="minorHAnsi"/>
          <w:sz w:val="20"/>
          <w:szCs w:val="18"/>
        </w:rPr>
        <w:br/>
      </w:r>
      <w:r w:rsidR="00E54BBD">
        <w:rPr>
          <w:rFonts w:cstheme="minorHAnsi"/>
          <w:sz w:val="20"/>
          <w:szCs w:val="18"/>
        </w:rPr>
        <w:t xml:space="preserve">CDI </w:t>
      </w:r>
      <w:proofErr w:type="gramStart"/>
      <w:r w:rsidR="00E54BBD">
        <w:rPr>
          <w:rFonts w:cstheme="minorHAnsi"/>
          <w:sz w:val="20"/>
          <w:szCs w:val="18"/>
        </w:rPr>
        <w:t>is produced</w:t>
      </w:r>
      <w:proofErr w:type="gramEnd"/>
      <w:r w:rsidR="00E54BBD">
        <w:rPr>
          <w:rFonts w:cstheme="minorHAnsi"/>
          <w:sz w:val="20"/>
          <w:szCs w:val="18"/>
        </w:rPr>
        <w:t xml:space="preserve"> by</w:t>
      </w:r>
      <w:r w:rsidR="00F74958">
        <w:rPr>
          <w:rFonts w:cstheme="minorHAnsi"/>
          <w:sz w:val="20"/>
          <w:szCs w:val="18"/>
        </w:rPr>
        <w:t xml:space="preserve"> the</w:t>
      </w:r>
      <w:r w:rsidR="00E54BBD">
        <w:rPr>
          <w:rFonts w:cstheme="minorHAnsi"/>
          <w:sz w:val="20"/>
          <w:szCs w:val="18"/>
        </w:rPr>
        <w:t xml:space="preserve"> </w:t>
      </w:r>
      <w:r w:rsidR="00E54BBD" w:rsidRPr="00E54BBD">
        <w:rPr>
          <w:rFonts w:cstheme="minorHAnsi"/>
          <w:sz w:val="20"/>
          <w:szCs w:val="18"/>
        </w:rPr>
        <w:t>Office of Health Protection and Response, Australian Government Department of Health</w:t>
      </w:r>
      <w:r w:rsidR="00AE0209">
        <w:rPr>
          <w:rFonts w:cstheme="minorHAnsi"/>
          <w:sz w:val="20"/>
          <w:szCs w:val="18"/>
        </w:rPr>
        <w:t xml:space="preserve"> and Aged Care</w:t>
      </w:r>
      <w:r w:rsidR="00E54BBD" w:rsidRPr="00E54BBD">
        <w:rPr>
          <w:rFonts w:cstheme="minorHAnsi"/>
          <w:sz w:val="20"/>
          <w:szCs w:val="18"/>
        </w:rPr>
        <w:t>, GPO Box 9848, (MDP 6) CANBERRA ACT 2601</w:t>
      </w:r>
    </w:p>
    <w:p w14:paraId="406E042C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7A2E4D9" w14:textId="56F78D96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Email: </w:t>
      </w:r>
      <w:hyperlink r:id="rId13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1F32430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664165F6" w14:textId="58D13556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Submit an </w:t>
      </w:r>
      <w:proofErr w:type="gramStart"/>
      <w:r w:rsidRPr="000606CC">
        <w:rPr>
          <w:rStyle w:val="Strong"/>
          <w:rFonts w:cstheme="minorHAnsi"/>
          <w:sz w:val="20"/>
          <w:szCs w:val="18"/>
        </w:rPr>
        <w:t>Article</w:t>
      </w:r>
      <w:proofErr w:type="gramEnd"/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You are invited to submit your next communicable disease related article to the Communicable Diseases Intelligence (CDI) for consideration. More information </w:t>
      </w:r>
      <w:proofErr w:type="gramStart"/>
      <w:r w:rsidRPr="000606CC">
        <w:rPr>
          <w:rFonts w:cstheme="minorHAnsi"/>
          <w:sz w:val="20"/>
          <w:szCs w:val="18"/>
        </w:rPr>
        <w:t>regarding</w:t>
      </w:r>
      <w:proofErr w:type="gramEnd"/>
      <w:r w:rsidRPr="000606CC">
        <w:rPr>
          <w:rFonts w:cstheme="minorHAnsi"/>
          <w:sz w:val="20"/>
          <w:szCs w:val="18"/>
        </w:rPr>
        <w:t xml:space="preserve"> CDI can be found at: </w:t>
      </w:r>
      <w:hyperlink r:id="rId14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http://health.gov.au/cdi</w:t>
        </w:r>
      </w:hyperlink>
      <w:r w:rsidRPr="000606CC">
        <w:rPr>
          <w:rFonts w:cstheme="minorHAnsi"/>
          <w:sz w:val="20"/>
          <w:szCs w:val="18"/>
        </w:rPr>
        <w:t xml:space="preserve">. </w:t>
      </w:r>
    </w:p>
    <w:p w14:paraId="75F17E15" w14:textId="3CF3CBDE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Further enquiries should </w:t>
      </w:r>
      <w:proofErr w:type="gramStart"/>
      <w:r w:rsidRPr="000606CC">
        <w:rPr>
          <w:rFonts w:cstheme="minorHAnsi"/>
          <w:sz w:val="20"/>
          <w:szCs w:val="18"/>
        </w:rPr>
        <w:t>be directed</w:t>
      </w:r>
      <w:proofErr w:type="gramEnd"/>
      <w:r w:rsidRPr="000606CC">
        <w:rPr>
          <w:rFonts w:cstheme="minorHAnsi"/>
          <w:sz w:val="20"/>
          <w:szCs w:val="18"/>
        </w:rPr>
        <w:t xml:space="preserve"> to: </w:t>
      </w:r>
      <w:hyperlink r:id="rId15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Fonts w:cstheme="minorHAnsi"/>
          <w:sz w:val="20"/>
          <w:szCs w:val="18"/>
        </w:rPr>
        <w:t>.</w:t>
      </w:r>
    </w:p>
    <w:p w14:paraId="4C7EE52A" w14:textId="77777777" w:rsidR="000A5F42" w:rsidRPr="000606CC" w:rsidRDefault="000A5F42" w:rsidP="000A5F42">
      <w:pPr>
        <w:pStyle w:val="NoSpacing"/>
        <w:pBdr>
          <w:bottom w:val="single" w:sz="6" w:space="1" w:color="auto"/>
        </w:pBdr>
        <w:rPr>
          <w:rStyle w:val="Strong"/>
          <w:rFonts w:cstheme="minorHAnsi"/>
          <w:sz w:val="12"/>
          <w:szCs w:val="18"/>
        </w:rPr>
      </w:pPr>
    </w:p>
    <w:p w14:paraId="3B2A47B6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600DE795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This journal </w:t>
      </w:r>
      <w:proofErr w:type="gramStart"/>
      <w:r w:rsidRPr="000606CC">
        <w:rPr>
          <w:rFonts w:cstheme="minorHAnsi"/>
          <w:sz w:val="20"/>
          <w:szCs w:val="18"/>
        </w:rPr>
        <w:t>is indexed</w:t>
      </w:r>
      <w:proofErr w:type="gramEnd"/>
      <w:r w:rsidRPr="000606CC">
        <w:rPr>
          <w:rFonts w:cstheme="minorHAnsi"/>
          <w:sz w:val="20"/>
          <w:szCs w:val="18"/>
        </w:rPr>
        <w:t xml:space="preserve"> by Index Medicus and Medline.</w:t>
      </w:r>
    </w:p>
    <w:p w14:paraId="107A308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3AA34B28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Creative Commons Licence -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CC BY-NC-ND</w:t>
      </w:r>
    </w:p>
    <w:p w14:paraId="25872143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© </w:t>
      </w:r>
      <w:r w:rsidR="00852E2B">
        <w:rPr>
          <w:rFonts w:cstheme="minorHAnsi"/>
          <w:sz w:val="20"/>
          <w:szCs w:val="18"/>
        </w:rPr>
        <w:fldChar w:fldCharType="begin"/>
      </w:r>
      <w:r w:rsidR="00852E2B">
        <w:rPr>
          <w:rFonts w:cstheme="minorHAnsi"/>
          <w:sz w:val="20"/>
          <w:szCs w:val="18"/>
        </w:rPr>
        <w:instrText xml:space="preserve"> DOCPROPERTY  Year  \* MERGEFORMAT </w:instrText>
      </w:r>
      <w:r w:rsidR="00852E2B">
        <w:rPr>
          <w:rFonts w:cstheme="minorHAnsi"/>
          <w:sz w:val="20"/>
          <w:szCs w:val="18"/>
        </w:rPr>
        <w:fldChar w:fldCharType="separate"/>
      </w:r>
      <w:r w:rsidR="00F24E1E">
        <w:rPr>
          <w:rFonts w:cstheme="minorHAnsi"/>
          <w:sz w:val="20"/>
          <w:szCs w:val="18"/>
        </w:rPr>
        <w:t>2022</w:t>
      </w:r>
      <w:r w:rsidR="00852E2B">
        <w:rPr>
          <w:rFonts w:cstheme="minorHAnsi"/>
          <w:sz w:val="20"/>
          <w:szCs w:val="18"/>
        </w:rPr>
        <w:fldChar w:fldCharType="end"/>
      </w:r>
      <w:r w:rsidR="00852E2B">
        <w:rPr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 xml:space="preserve">Commonwealth of Australia as represented by the </w:t>
      </w:r>
      <w:r w:rsidR="001723AC">
        <w:rPr>
          <w:rFonts w:cstheme="minorHAnsi"/>
          <w:sz w:val="20"/>
          <w:szCs w:val="18"/>
        </w:rPr>
        <w:t>Department of Health and Aged Care</w:t>
      </w:r>
    </w:p>
    <w:p w14:paraId="4C13D81D" w14:textId="4201C80B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This publication is licensed under a Creative Commons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4.0 International Licence from </w:t>
      </w:r>
      <w:hyperlink r:id="rId16" w:tooltip="Creative Commons licence" w:history="1">
        <w:r w:rsidRPr="000606CC">
          <w:rPr>
            <w:rStyle w:val="Hyperlink"/>
            <w:rFonts w:cstheme="minorHAnsi"/>
            <w:sz w:val="20"/>
            <w:szCs w:val="18"/>
          </w:rPr>
          <w:t>https://creativecommons.org/licenses/by-nc-nd/4.0/legalcode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>(Licence). You must read and understand the Licence before using any material from this publication.</w:t>
      </w:r>
    </w:p>
    <w:p w14:paraId="3056A308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06B94339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Restrictions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The Licence does not cover, and there is no permission given for, use of any of the following material found in this publication (if</w:t>
      </w:r>
      <w:r w:rsidR="001378A3">
        <w:rPr>
          <w:rFonts w:cstheme="minorHAnsi"/>
          <w:sz w:val="20"/>
          <w:szCs w:val="18"/>
        </w:rPr>
        <w:t> </w:t>
      </w:r>
      <w:r w:rsidRPr="000606CC">
        <w:rPr>
          <w:rFonts w:cstheme="minorHAnsi"/>
          <w:sz w:val="20"/>
          <w:szCs w:val="18"/>
        </w:rPr>
        <w:t xml:space="preserve">any): </w:t>
      </w:r>
    </w:p>
    <w:p w14:paraId="0C54A8F8" w14:textId="55CFF80A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the Commonwealth Coat of Arms (by way of information, the terms under which the Coat of Arms may be used can be found at </w:t>
      </w:r>
      <w:hyperlink r:id="rId17" w:tooltip="Australian Honours system website" w:history="1">
        <w:r w:rsidRPr="000606CC">
          <w:rPr>
            <w:rStyle w:val="Hyperlink"/>
            <w:rFonts w:cstheme="minorHAnsi"/>
            <w:sz w:val="20"/>
            <w:szCs w:val="18"/>
          </w:rPr>
          <w:t>www.itsanhonour.gov.au</w:t>
        </w:r>
      </w:hyperlink>
      <w:r w:rsidRPr="000606CC">
        <w:rPr>
          <w:rStyle w:val="URI"/>
          <w:rFonts w:cstheme="minorHAnsi"/>
          <w:sz w:val="20"/>
          <w:szCs w:val="18"/>
          <w:u w:val="none"/>
        </w:rPr>
        <w:t>)</w:t>
      </w:r>
      <w:r w:rsidRPr="000606CC">
        <w:rPr>
          <w:rFonts w:cstheme="minorHAnsi"/>
          <w:sz w:val="20"/>
          <w:szCs w:val="18"/>
        </w:rPr>
        <w:t xml:space="preserve">;  </w:t>
      </w:r>
    </w:p>
    <w:p w14:paraId="26E2DB9B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logos (including the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’s logo) and </w:t>
      </w:r>
      <w:proofErr w:type="gramStart"/>
      <w:r w:rsidRPr="000606CC">
        <w:rPr>
          <w:rFonts w:cstheme="minorHAnsi"/>
          <w:sz w:val="20"/>
          <w:szCs w:val="18"/>
        </w:rPr>
        <w:t>trademarks;</w:t>
      </w:r>
      <w:proofErr w:type="gramEnd"/>
    </w:p>
    <w:p w14:paraId="680F94E9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photographs and </w:t>
      </w:r>
      <w:proofErr w:type="gramStart"/>
      <w:r w:rsidRPr="000606CC">
        <w:rPr>
          <w:rFonts w:cstheme="minorHAnsi"/>
          <w:sz w:val="20"/>
          <w:szCs w:val="18"/>
        </w:rPr>
        <w:t>images;</w:t>
      </w:r>
      <w:proofErr w:type="gramEnd"/>
      <w:r w:rsidRPr="000606CC">
        <w:rPr>
          <w:rFonts w:cstheme="minorHAnsi"/>
          <w:sz w:val="20"/>
          <w:szCs w:val="18"/>
        </w:rPr>
        <w:t xml:space="preserve"> </w:t>
      </w:r>
    </w:p>
    <w:p w14:paraId="38D0930D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any signatures; and</w:t>
      </w:r>
    </w:p>
    <w:p w14:paraId="34A61C7C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material belonging to third parties. </w:t>
      </w:r>
    </w:p>
    <w:p w14:paraId="639F94D1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7C1CF29C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Disclaimer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Opinions expressed in Communicable Diseases Intelligence are those of the authors and not necessarily those of the Australian Government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 or the Communicable Diseases Network Australia. Data may be subject to revision.</w:t>
      </w:r>
    </w:p>
    <w:p w14:paraId="7D943EF5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B40399C" w14:textId="7B2E89F2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Enquiries</w:t>
      </w:r>
      <w:r w:rsidRPr="000606CC">
        <w:rPr>
          <w:rStyle w:val="Strong"/>
          <w:rFonts w:cstheme="minorHAnsi"/>
          <w:sz w:val="20"/>
          <w:szCs w:val="18"/>
        </w:rPr>
        <w:br/>
      </w:r>
      <w:proofErr w:type="spellStart"/>
      <w:r w:rsidRPr="000606CC">
        <w:rPr>
          <w:rFonts w:cstheme="minorHAnsi"/>
          <w:sz w:val="20"/>
          <w:szCs w:val="18"/>
        </w:rPr>
        <w:t>Enquiries</w:t>
      </w:r>
      <w:proofErr w:type="spellEnd"/>
      <w:r w:rsidRPr="000606CC">
        <w:rPr>
          <w:rFonts w:cstheme="minorHAnsi"/>
          <w:sz w:val="20"/>
          <w:szCs w:val="18"/>
        </w:rPr>
        <w:t xml:space="preserve"> regarding any other use of this publication should be addressed to the Communication Branch,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, GPO Box 9848, Canberra ACT 2601, or via e-mail to: </w:t>
      </w:r>
      <w:hyperlink r:id="rId18" w:history="1">
        <w:r w:rsidRPr="000606CC">
          <w:rPr>
            <w:rStyle w:val="Hyperlink"/>
            <w:rFonts w:cstheme="minorHAnsi"/>
            <w:sz w:val="20"/>
            <w:szCs w:val="18"/>
          </w:rPr>
          <w:t>copyright@health.gov.au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29EEF236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4ECEC19B" w14:textId="174EDC0B" w:rsidR="000A5F42" w:rsidRPr="000606CC" w:rsidRDefault="000A5F42" w:rsidP="000A5F42">
      <w:pPr>
        <w:pStyle w:val="NoSpacing"/>
        <w:rPr>
          <w:rStyle w:val="Strong"/>
          <w:rFonts w:cstheme="minorHAnsi"/>
          <w:b w:val="0"/>
          <w:bCs w:val="0"/>
          <w:color w:val="000000"/>
          <w:sz w:val="20"/>
          <w:szCs w:val="18"/>
          <w:u w:val="thick"/>
        </w:rPr>
      </w:pPr>
      <w:r w:rsidRPr="000606CC">
        <w:rPr>
          <w:rStyle w:val="Strong"/>
          <w:rFonts w:cstheme="minorHAnsi"/>
          <w:sz w:val="20"/>
          <w:szCs w:val="18"/>
        </w:rPr>
        <w:t>Communicable Diseases Network Australia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Communicable Diseases Intelligence contributes to the work of the Communicable Diseases Network Australia.</w:t>
      </w:r>
      <w:r w:rsidRPr="000606CC">
        <w:rPr>
          <w:rFonts w:cstheme="minorHAnsi"/>
          <w:sz w:val="20"/>
          <w:szCs w:val="18"/>
        </w:rPr>
        <w:br/>
      </w:r>
      <w:hyperlink r:id="rId19" w:tooltip="Communicable Diseases Network Australia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http://www.health.gov.au/cdna</w:t>
        </w:r>
      </w:hyperlink>
    </w:p>
    <w:p w14:paraId="6CE635CA" w14:textId="77777777" w:rsidR="001B37B8" w:rsidRPr="00E92237" w:rsidRDefault="001B37B8" w:rsidP="001B37B8">
      <w:pPr>
        <w:rPr>
          <w:rFonts w:cs="Myriad Pro"/>
          <w:color w:val="211D1E"/>
          <w:sz w:val="20"/>
          <w:szCs w:val="20"/>
        </w:rPr>
      </w:pPr>
    </w:p>
    <w:sectPr w:rsidR="001B37B8" w:rsidRPr="00E92237" w:rsidSect="002B75A9">
      <w:headerReference w:type="default" r:id="rId20"/>
      <w:pgSz w:w="11906" w:h="16838"/>
      <w:pgMar w:top="720" w:right="720" w:bottom="113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D0C2" w14:textId="77777777" w:rsidR="00F24E1E" w:rsidRDefault="00F24E1E" w:rsidP="00E54DBA">
      <w:r>
        <w:separator/>
      </w:r>
    </w:p>
    <w:p w14:paraId="3AFD64F0" w14:textId="77777777" w:rsidR="00F24E1E" w:rsidRDefault="00F24E1E"/>
    <w:p w14:paraId="26162973" w14:textId="77777777" w:rsidR="00F24E1E" w:rsidRDefault="00F24E1E" w:rsidP="008714B0"/>
  </w:endnote>
  <w:endnote w:type="continuationSeparator" w:id="0">
    <w:p w14:paraId="440131EB" w14:textId="77777777" w:rsidR="00F24E1E" w:rsidRDefault="00F24E1E" w:rsidP="00E54DBA">
      <w:r>
        <w:continuationSeparator/>
      </w:r>
    </w:p>
    <w:p w14:paraId="7CE4E8B2" w14:textId="77777777" w:rsidR="00F24E1E" w:rsidRDefault="00F24E1E"/>
    <w:p w14:paraId="74BFFD2E" w14:textId="77777777" w:rsidR="00F24E1E" w:rsidRDefault="00F24E1E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F631" w14:textId="64425DFA" w:rsidR="00401ED1" w:rsidRPr="0042435E" w:rsidRDefault="0042435E" w:rsidP="00252C9A">
    <w:pPr>
      <w:pStyle w:val="Footer"/>
      <w:pBdr>
        <w:top w:val="single" w:sz="2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3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7C6454">
      <w:rPr>
        <w:noProof/>
        <w:sz w:val="18"/>
      </w:rPr>
      <w:fldChar w:fldCharType="begin"/>
    </w:r>
    <w:r w:rsidR="007C6454">
      <w:rPr>
        <w:noProof/>
        <w:sz w:val="18"/>
      </w:rPr>
      <w:instrText xml:space="preserve"> NUMPAGES \* MERGEFORMAT </w:instrText>
    </w:r>
    <w:r w:rsidR="007C6454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7C6454">
      <w:rPr>
        <w:noProof/>
        <w:sz w:val="18"/>
      </w:rPr>
      <w:fldChar w:fldCharType="end"/>
    </w:r>
    <w:r>
      <w:rPr>
        <w:noProof/>
        <w:sz w:val="18"/>
      </w:rPr>
      <w:t xml:space="preserve"> </w:t>
    </w:r>
    <w:r w:rsidRPr="004315F5">
      <w:rPr>
        <w:sz w:val="18"/>
      </w:rPr>
      <w:t xml:space="preserve"> </w:t>
    </w:r>
    <w:r w:rsidR="00231046">
      <w:rPr>
        <w:noProof/>
        <w:sz w:val="18"/>
      </w:rPr>
      <w:ptab w:relativeTo="margin" w:alignment="center" w:leader="none"/>
    </w:r>
    <w:r w:rsidR="00231046" w:rsidRPr="004315F5">
      <w:rPr>
        <w:sz w:val="18"/>
      </w:rPr>
      <w:t xml:space="preserve"> </w:t>
    </w:r>
    <w:proofErr w:type="spellStart"/>
    <w:r w:rsidR="00CE342B" w:rsidRPr="00F84E0A">
      <w:rPr>
        <w:i/>
        <w:sz w:val="18"/>
      </w:rPr>
      <w:t>Commun</w:t>
    </w:r>
    <w:proofErr w:type="spellEnd"/>
    <w:r w:rsidR="00CE342B" w:rsidRPr="00F84E0A">
      <w:rPr>
        <w:i/>
        <w:sz w:val="18"/>
      </w:rPr>
      <w:t xml:space="preserve"> Dis </w:t>
    </w:r>
    <w:proofErr w:type="spellStart"/>
    <w:r w:rsidR="00CE342B" w:rsidRPr="00F84E0A">
      <w:rPr>
        <w:i/>
        <w:sz w:val="18"/>
      </w:rPr>
      <w:t>Intell</w:t>
    </w:r>
    <w:proofErr w:type="spellEnd"/>
    <w:r w:rsidR="00CE342B" w:rsidRPr="00F84E0A">
      <w:rPr>
        <w:i/>
        <w:sz w:val="18"/>
      </w:rPr>
      <w:t xml:space="preserve"> (2018)</w:t>
    </w:r>
    <w:r w:rsidR="00CE342B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Year  \* MERGEFORMAT </w:instrText>
    </w:r>
    <w:r w:rsidR="00231046">
      <w:rPr>
        <w:sz w:val="18"/>
      </w:rPr>
      <w:fldChar w:fldCharType="separate"/>
    </w:r>
    <w:r w:rsidR="007E1C97">
      <w:rPr>
        <w:sz w:val="18"/>
      </w:rPr>
      <w:t>2023</w:t>
    </w:r>
    <w:r w:rsidR="00231046">
      <w:rPr>
        <w:sz w:val="18"/>
      </w:rPr>
      <w:fldChar w:fldCharType="end"/>
    </w:r>
    <w:r w:rsidR="00231046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Vol  \* MERGEFORMAT </w:instrText>
    </w:r>
    <w:r w:rsidR="00231046">
      <w:rPr>
        <w:sz w:val="18"/>
      </w:rPr>
      <w:fldChar w:fldCharType="separate"/>
    </w:r>
    <w:r w:rsidR="007E1C97">
      <w:rPr>
        <w:sz w:val="18"/>
      </w:rPr>
      <w:t>47</w:t>
    </w:r>
    <w:r w:rsidR="00231046">
      <w:rPr>
        <w:sz w:val="18"/>
      </w:rPr>
      <w:fldChar w:fldCharType="end"/>
    </w:r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DOI  \* MERGEFORMAT </w:instrText>
    </w:r>
    <w:r w:rsidR="00CE342B">
      <w:rPr>
        <w:sz w:val="18"/>
      </w:rPr>
      <w:fldChar w:fldCharType="separate"/>
    </w:r>
    <w:r w:rsidR="00084A86">
      <w:rPr>
        <w:sz w:val="18"/>
      </w:rPr>
      <w:t>https://doi.org/10.33321/cdi.2023.47.3</w:t>
    </w:r>
    <w:r w:rsidR="00CE342B">
      <w:rPr>
        <w:sz w:val="18"/>
      </w:rPr>
      <w:fldChar w:fldCharType="end"/>
    </w:r>
    <w:r w:rsidR="00231046">
      <w:rPr>
        <w:sz w:val="18"/>
      </w:rPr>
      <w:t xml:space="preserve"> </w:t>
    </w:r>
    <w:proofErr w:type="spellStart"/>
    <w:r w:rsidR="00231046" w:rsidRPr="00155582">
      <w:rPr>
        <w:sz w:val="18"/>
      </w:rPr>
      <w:t>Epub</w:t>
    </w:r>
    <w:proofErr w:type="spellEnd"/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ePubDate  \* MERGEFORMAT </w:instrText>
    </w:r>
    <w:r w:rsidR="00CE342B">
      <w:rPr>
        <w:sz w:val="18"/>
      </w:rPr>
      <w:fldChar w:fldCharType="separate"/>
    </w:r>
    <w:r w:rsidR="00084A86">
      <w:rPr>
        <w:sz w:val="18"/>
      </w:rPr>
      <w:t>19/01/2023</w:t>
    </w:r>
    <w:r w:rsidR="00CE342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0041" w14:textId="76ED538E" w:rsidR="00BB5378" w:rsidRPr="00BB5378" w:rsidRDefault="00BB5378" w:rsidP="00E538CC">
    <w:pPr>
      <w:pStyle w:val="Footer"/>
      <w:pBdr>
        <w:top w:val="single" w:sz="4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1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B132DB">
      <w:rPr>
        <w:noProof/>
        <w:sz w:val="18"/>
      </w:rPr>
      <w:fldChar w:fldCharType="begin"/>
    </w:r>
    <w:r w:rsidR="00B132DB">
      <w:rPr>
        <w:noProof/>
        <w:sz w:val="18"/>
      </w:rPr>
      <w:instrText xml:space="preserve"> NUMPAGES \* MERGEFORMAT </w:instrText>
    </w:r>
    <w:r w:rsidR="00B132DB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B132DB">
      <w:rPr>
        <w:noProof/>
        <w:sz w:val="18"/>
      </w:rPr>
      <w:fldChar w:fldCharType="end"/>
    </w:r>
    <w:r>
      <w:rPr>
        <w:noProof/>
        <w:sz w:val="18"/>
      </w:rPr>
      <w:t xml:space="preserve"> </w:t>
    </w:r>
    <w:r>
      <w:rPr>
        <w:noProof/>
        <w:sz w:val="18"/>
      </w:rPr>
      <w:ptab w:relativeTo="margin" w:alignment="center" w:leader="none"/>
    </w:r>
    <w:r w:rsidRPr="004315F5">
      <w:rPr>
        <w:sz w:val="18"/>
      </w:rPr>
      <w:t xml:space="preserve"> </w:t>
    </w:r>
    <w:proofErr w:type="spellStart"/>
    <w:r w:rsidR="00A164D5" w:rsidRPr="00F84E0A">
      <w:rPr>
        <w:i/>
        <w:sz w:val="18"/>
      </w:rPr>
      <w:t>Commun</w:t>
    </w:r>
    <w:proofErr w:type="spellEnd"/>
    <w:r w:rsidR="00A164D5" w:rsidRPr="00F84E0A">
      <w:rPr>
        <w:i/>
        <w:sz w:val="18"/>
      </w:rPr>
      <w:t xml:space="preserve"> Dis </w:t>
    </w:r>
    <w:proofErr w:type="spellStart"/>
    <w:r w:rsidR="00A164D5" w:rsidRPr="00F84E0A">
      <w:rPr>
        <w:i/>
        <w:sz w:val="18"/>
      </w:rPr>
      <w:t>Intell</w:t>
    </w:r>
    <w:proofErr w:type="spellEnd"/>
    <w:r w:rsidR="00A164D5" w:rsidRPr="00F84E0A">
      <w:rPr>
        <w:i/>
        <w:sz w:val="18"/>
      </w:rPr>
      <w:t xml:space="preserve"> (2018)</w:t>
    </w:r>
    <w:r w:rsidR="00A164D5">
      <w:rPr>
        <w:sz w:val="18"/>
      </w:rPr>
      <w:t xml:space="preserve"> </w:t>
    </w:r>
    <w:r w:rsidR="005E4229">
      <w:rPr>
        <w:sz w:val="18"/>
      </w:rPr>
      <w:fldChar w:fldCharType="begin"/>
    </w:r>
    <w:r w:rsidR="005E4229">
      <w:rPr>
        <w:sz w:val="18"/>
      </w:rPr>
      <w:instrText xml:space="preserve"> DOCPROPERTY  Year  \* MERGEFORMAT </w:instrText>
    </w:r>
    <w:r w:rsidR="005E4229">
      <w:rPr>
        <w:sz w:val="18"/>
      </w:rPr>
      <w:fldChar w:fldCharType="separate"/>
    </w:r>
    <w:r w:rsidR="007E1C97">
      <w:rPr>
        <w:sz w:val="18"/>
      </w:rPr>
      <w:t>2023</w:t>
    </w:r>
    <w:r w:rsidR="005E4229">
      <w:rPr>
        <w:sz w:val="18"/>
      </w:rPr>
      <w:fldChar w:fldCharType="end"/>
    </w:r>
    <w:r w:rsidR="005E4229">
      <w:rPr>
        <w:sz w:val="18"/>
      </w:rPr>
      <w:t xml:space="preserve"> </w:t>
    </w:r>
    <w:r w:rsidR="00581588">
      <w:rPr>
        <w:sz w:val="18"/>
      </w:rPr>
      <w:fldChar w:fldCharType="begin"/>
    </w:r>
    <w:r w:rsidR="00581588">
      <w:rPr>
        <w:sz w:val="18"/>
      </w:rPr>
      <w:instrText xml:space="preserve"> DOCPROPERTY  Vol  \* MERGEFORMAT </w:instrText>
    </w:r>
    <w:r w:rsidR="00581588">
      <w:rPr>
        <w:sz w:val="18"/>
      </w:rPr>
      <w:fldChar w:fldCharType="separate"/>
    </w:r>
    <w:r w:rsidR="007E1C97">
      <w:rPr>
        <w:sz w:val="18"/>
      </w:rPr>
      <w:t>47</w:t>
    </w:r>
    <w:r w:rsidR="00581588">
      <w:rPr>
        <w:sz w:val="18"/>
      </w:rPr>
      <w:fldChar w:fldCharType="end"/>
    </w:r>
    <w:r w:rsidR="00047B68">
      <w:rPr>
        <w:sz w:val="18"/>
      </w:rPr>
      <w:t xml:space="preserve"> </w:t>
    </w:r>
    <w:r w:rsidR="00047B68">
      <w:rPr>
        <w:sz w:val="18"/>
      </w:rPr>
      <w:fldChar w:fldCharType="begin"/>
    </w:r>
    <w:r w:rsidR="00047B68">
      <w:rPr>
        <w:sz w:val="18"/>
      </w:rPr>
      <w:instrText xml:space="preserve"> DOCPROPERTY  DOI  \* MERGEFORMAT </w:instrText>
    </w:r>
    <w:r w:rsidR="00047B68">
      <w:rPr>
        <w:sz w:val="18"/>
      </w:rPr>
      <w:fldChar w:fldCharType="separate"/>
    </w:r>
    <w:r w:rsidR="00084A86">
      <w:rPr>
        <w:sz w:val="18"/>
      </w:rPr>
      <w:t>https://doi.org/10.33321/cdi.2023.47.3</w:t>
    </w:r>
    <w:r w:rsidR="00047B68">
      <w:rPr>
        <w:sz w:val="18"/>
      </w:rPr>
      <w:fldChar w:fldCharType="end"/>
    </w:r>
    <w:r w:rsidR="00C24725">
      <w:rPr>
        <w:sz w:val="18"/>
      </w:rPr>
      <w:t xml:space="preserve"> </w:t>
    </w:r>
    <w:proofErr w:type="spellStart"/>
    <w:r w:rsidRPr="00155582">
      <w:rPr>
        <w:sz w:val="18"/>
      </w:rPr>
      <w:t>Epub</w:t>
    </w:r>
    <w:proofErr w:type="spellEnd"/>
    <w:r w:rsidRPr="00155582">
      <w:rPr>
        <w:sz w:val="18"/>
      </w:rPr>
      <w:t xml:space="preserve"> </w:t>
    </w:r>
    <w:r w:rsidR="00422FEB">
      <w:rPr>
        <w:sz w:val="18"/>
      </w:rPr>
      <w:fldChar w:fldCharType="begin"/>
    </w:r>
    <w:r w:rsidR="00422FEB">
      <w:rPr>
        <w:sz w:val="18"/>
      </w:rPr>
      <w:instrText xml:space="preserve"> DOCPROPERTY  ePubDate  \* MERGEFORMAT </w:instrText>
    </w:r>
    <w:r w:rsidR="00422FEB">
      <w:rPr>
        <w:sz w:val="18"/>
      </w:rPr>
      <w:fldChar w:fldCharType="separate"/>
    </w:r>
    <w:r w:rsidR="00084A86">
      <w:rPr>
        <w:sz w:val="18"/>
      </w:rPr>
      <w:t>19/01/2023</w:t>
    </w:r>
    <w:r w:rsidR="00422FE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8875" w14:textId="77777777" w:rsidR="00F24E1E" w:rsidRPr="00B91FB5" w:rsidRDefault="00F24E1E" w:rsidP="00B91FB5">
      <w:pPr>
        <w:spacing w:after="0"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63DF4DE9" w14:textId="77777777" w:rsidR="00F24E1E" w:rsidRDefault="00F24E1E" w:rsidP="00E54DBA">
      <w:r>
        <w:continuationSeparator/>
      </w:r>
    </w:p>
  </w:footnote>
  <w:footnote w:type="continuationNotice" w:id="1">
    <w:p w14:paraId="51279162" w14:textId="77777777" w:rsidR="00F24E1E" w:rsidRPr="00224EFF" w:rsidRDefault="00F24E1E" w:rsidP="00224EF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5EDD" w14:textId="0F0483FE" w:rsidR="00257484" w:rsidRPr="00A153B6" w:rsidRDefault="007E1C97" w:rsidP="00A153B6">
    <w:pPr>
      <w:pStyle w:val="Header"/>
      <w:pBdr>
        <w:bottom w:val="single" w:sz="6" w:space="1" w:color="auto"/>
      </w:pBdr>
    </w:pPr>
    <w:sdt>
      <w:sdtPr>
        <w:alias w:val="Category"/>
        <w:tag w:val=""/>
        <w:id w:val="-86243805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117DC">
          <w:t>Letter to the editor</w:t>
        </w:r>
      </w:sdtContent>
    </w:sdt>
    <w:r w:rsidR="00A153B6">
      <w:ptab w:relativeTo="margin" w:alignment="right" w:leader="none"/>
    </w:r>
    <w:r w:rsidR="00A153B6" w:rsidRPr="00BB5378">
      <w:t>Communicable Diseases Intelligence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D199" w14:textId="77777777" w:rsidR="008B5348" w:rsidRPr="000A5F42" w:rsidRDefault="008B5348" w:rsidP="009D797A">
    <w:pPr>
      <w:pStyle w:val="Header"/>
      <w:spacing w:after="0" w:line="240" w:lineRule="auto"/>
      <w:jc w:val="center"/>
      <w:rPr>
        <w:b/>
      </w:rPr>
    </w:pPr>
    <w:r w:rsidRPr="00E810C5">
      <w:rPr>
        <w:rFonts w:cs="Myriad Pro"/>
        <w:noProof/>
        <w:color w:val="211D1E"/>
        <w:sz w:val="16"/>
      </w:rPr>
      <w:drawing>
        <wp:inline distT="0" distB="0" distL="0" distR="0" wp14:anchorId="7A119BE6" wp14:editId="1096C7A9">
          <wp:extent cx="1971924" cy="593062"/>
          <wp:effectExtent l="0" t="0" r="0" b="0"/>
          <wp:docPr id="1" name="Picture 1" descr="Australian Government -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- Department of Health and Aged Car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0" b="7160"/>
                  <a:stretch/>
                </pic:blipFill>
                <pic:spPr bwMode="auto">
                  <a:xfrm>
                    <a:off x="0" y="0"/>
                    <a:ext cx="2009585" cy="60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FD9"/>
    <w:multiLevelType w:val="hybridMultilevel"/>
    <w:tmpl w:val="B2088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0D9F"/>
    <w:multiLevelType w:val="hybridMultilevel"/>
    <w:tmpl w:val="B2088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F1238"/>
    <w:multiLevelType w:val="multilevel"/>
    <w:tmpl w:val="5FE2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117D"/>
    <w:multiLevelType w:val="multilevel"/>
    <w:tmpl w:val="277C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1E"/>
    <w:rsid w:val="00000B5B"/>
    <w:rsid w:val="00001611"/>
    <w:rsid w:val="000104A8"/>
    <w:rsid w:val="0001246E"/>
    <w:rsid w:val="000124B1"/>
    <w:rsid w:val="00016FE6"/>
    <w:rsid w:val="00031064"/>
    <w:rsid w:val="00031692"/>
    <w:rsid w:val="00032531"/>
    <w:rsid w:val="000325A0"/>
    <w:rsid w:val="000471BF"/>
    <w:rsid w:val="00047B68"/>
    <w:rsid w:val="00052600"/>
    <w:rsid w:val="0005643C"/>
    <w:rsid w:val="0006264A"/>
    <w:rsid w:val="00073D77"/>
    <w:rsid w:val="00077084"/>
    <w:rsid w:val="00081655"/>
    <w:rsid w:val="00084A86"/>
    <w:rsid w:val="000864E0"/>
    <w:rsid w:val="000969B3"/>
    <w:rsid w:val="000A33B9"/>
    <w:rsid w:val="000A5F42"/>
    <w:rsid w:val="000D4B4D"/>
    <w:rsid w:val="00113D58"/>
    <w:rsid w:val="001200CB"/>
    <w:rsid w:val="001378A3"/>
    <w:rsid w:val="00155582"/>
    <w:rsid w:val="00161590"/>
    <w:rsid w:val="00171CC0"/>
    <w:rsid w:val="001723AC"/>
    <w:rsid w:val="00175494"/>
    <w:rsid w:val="00175629"/>
    <w:rsid w:val="001830EC"/>
    <w:rsid w:val="00183534"/>
    <w:rsid w:val="001A4A96"/>
    <w:rsid w:val="001A5D05"/>
    <w:rsid w:val="001A796C"/>
    <w:rsid w:val="001B2614"/>
    <w:rsid w:val="001B37B8"/>
    <w:rsid w:val="001B552F"/>
    <w:rsid w:val="001C0893"/>
    <w:rsid w:val="001C1303"/>
    <w:rsid w:val="001C19F9"/>
    <w:rsid w:val="001C70B2"/>
    <w:rsid w:val="001D37C7"/>
    <w:rsid w:val="001D6888"/>
    <w:rsid w:val="001E4E1D"/>
    <w:rsid w:val="00224EFF"/>
    <w:rsid w:val="002276DC"/>
    <w:rsid w:val="00227E00"/>
    <w:rsid w:val="002307CB"/>
    <w:rsid w:val="00231046"/>
    <w:rsid w:val="00234F21"/>
    <w:rsid w:val="00242659"/>
    <w:rsid w:val="002428F7"/>
    <w:rsid w:val="0024315F"/>
    <w:rsid w:val="0024631C"/>
    <w:rsid w:val="00252C9A"/>
    <w:rsid w:val="00256309"/>
    <w:rsid w:val="00257484"/>
    <w:rsid w:val="00260636"/>
    <w:rsid w:val="00275C5C"/>
    <w:rsid w:val="00275C78"/>
    <w:rsid w:val="00280594"/>
    <w:rsid w:val="00281EE3"/>
    <w:rsid w:val="00284E4A"/>
    <w:rsid w:val="002A3799"/>
    <w:rsid w:val="002A3BCC"/>
    <w:rsid w:val="002A4516"/>
    <w:rsid w:val="002A569F"/>
    <w:rsid w:val="002A7066"/>
    <w:rsid w:val="002B001E"/>
    <w:rsid w:val="002B09B7"/>
    <w:rsid w:val="002B75A9"/>
    <w:rsid w:val="002C21B0"/>
    <w:rsid w:val="002E2FB3"/>
    <w:rsid w:val="002F327B"/>
    <w:rsid w:val="00301626"/>
    <w:rsid w:val="003059EC"/>
    <w:rsid w:val="00310450"/>
    <w:rsid w:val="0031110F"/>
    <w:rsid w:val="00316CCD"/>
    <w:rsid w:val="00324F7E"/>
    <w:rsid w:val="003277DE"/>
    <w:rsid w:val="003323BC"/>
    <w:rsid w:val="00346D42"/>
    <w:rsid w:val="00346E11"/>
    <w:rsid w:val="003601C0"/>
    <w:rsid w:val="003635F5"/>
    <w:rsid w:val="00372A88"/>
    <w:rsid w:val="00381A0F"/>
    <w:rsid w:val="003A1B3A"/>
    <w:rsid w:val="003A40F5"/>
    <w:rsid w:val="003B5B8C"/>
    <w:rsid w:val="003C7841"/>
    <w:rsid w:val="003D79B1"/>
    <w:rsid w:val="003E74EE"/>
    <w:rsid w:val="003F0552"/>
    <w:rsid w:val="003F3BC2"/>
    <w:rsid w:val="003F5B53"/>
    <w:rsid w:val="003F725B"/>
    <w:rsid w:val="00401ED1"/>
    <w:rsid w:val="0040224C"/>
    <w:rsid w:val="004117DC"/>
    <w:rsid w:val="00413EE1"/>
    <w:rsid w:val="004164BB"/>
    <w:rsid w:val="0042000E"/>
    <w:rsid w:val="00421ECE"/>
    <w:rsid w:val="00422FEB"/>
    <w:rsid w:val="0042435E"/>
    <w:rsid w:val="004315F5"/>
    <w:rsid w:val="00433456"/>
    <w:rsid w:val="00433DFA"/>
    <w:rsid w:val="00435D67"/>
    <w:rsid w:val="00464A58"/>
    <w:rsid w:val="00473D2D"/>
    <w:rsid w:val="004A2125"/>
    <w:rsid w:val="004A38F6"/>
    <w:rsid w:val="004B4EB6"/>
    <w:rsid w:val="004C083C"/>
    <w:rsid w:val="004C67C6"/>
    <w:rsid w:val="004D29DE"/>
    <w:rsid w:val="004D6E01"/>
    <w:rsid w:val="00510EAC"/>
    <w:rsid w:val="00542A57"/>
    <w:rsid w:val="00565974"/>
    <w:rsid w:val="005732C0"/>
    <w:rsid w:val="0057336D"/>
    <w:rsid w:val="0057489A"/>
    <w:rsid w:val="00574ACF"/>
    <w:rsid w:val="00581588"/>
    <w:rsid w:val="0058540B"/>
    <w:rsid w:val="00587C87"/>
    <w:rsid w:val="00590B80"/>
    <w:rsid w:val="005B3134"/>
    <w:rsid w:val="005B4E61"/>
    <w:rsid w:val="005B595A"/>
    <w:rsid w:val="005B66C2"/>
    <w:rsid w:val="005C66A6"/>
    <w:rsid w:val="005D2465"/>
    <w:rsid w:val="005E33DD"/>
    <w:rsid w:val="005E4229"/>
    <w:rsid w:val="005E5181"/>
    <w:rsid w:val="005E540E"/>
    <w:rsid w:val="005E55FB"/>
    <w:rsid w:val="005F16BB"/>
    <w:rsid w:val="00607115"/>
    <w:rsid w:val="00620768"/>
    <w:rsid w:val="0062594B"/>
    <w:rsid w:val="00631406"/>
    <w:rsid w:val="006324FF"/>
    <w:rsid w:val="006351D6"/>
    <w:rsid w:val="00636E0D"/>
    <w:rsid w:val="0064142F"/>
    <w:rsid w:val="00643CB4"/>
    <w:rsid w:val="00656427"/>
    <w:rsid w:val="00660255"/>
    <w:rsid w:val="00663EA5"/>
    <w:rsid w:val="006971F3"/>
    <w:rsid w:val="006A44CC"/>
    <w:rsid w:val="006C74A3"/>
    <w:rsid w:val="006D1381"/>
    <w:rsid w:val="006D31BC"/>
    <w:rsid w:val="006E7943"/>
    <w:rsid w:val="006F24EA"/>
    <w:rsid w:val="00704CA9"/>
    <w:rsid w:val="0071048D"/>
    <w:rsid w:val="00710F86"/>
    <w:rsid w:val="007111A8"/>
    <w:rsid w:val="00731BC3"/>
    <w:rsid w:val="00741192"/>
    <w:rsid w:val="00741DF7"/>
    <w:rsid w:val="00743A33"/>
    <w:rsid w:val="00746080"/>
    <w:rsid w:val="0075144A"/>
    <w:rsid w:val="00786329"/>
    <w:rsid w:val="00792C7D"/>
    <w:rsid w:val="00794A4D"/>
    <w:rsid w:val="007A5234"/>
    <w:rsid w:val="007B7854"/>
    <w:rsid w:val="007C56A1"/>
    <w:rsid w:val="007C5CD0"/>
    <w:rsid w:val="007C6454"/>
    <w:rsid w:val="007E01E0"/>
    <w:rsid w:val="007E1C97"/>
    <w:rsid w:val="007E5CA0"/>
    <w:rsid w:val="007F0B93"/>
    <w:rsid w:val="007F2ECA"/>
    <w:rsid w:val="00811708"/>
    <w:rsid w:val="00816B90"/>
    <w:rsid w:val="00817799"/>
    <w:rsid w:val="00822F5F"/>
    <w:rsid w:val="00824FD3"/>
    <w:rsid w:val="00826589"/>
    <w:rsid w:val="00834BCC"/>
    <w:rsid w:val="00850D54"/>
    <w:rsid w:val="00852E2B"/>
    <w:rsid w:val="008714B0"/>
    <w:rsid w:val="00876331"/>
    <w:rsid w:val="00880726"/>
    <w:rsid w:val="008A3544"/>
    <w:rsid w:val="008B48B8"/>
    <w:rsid w:val="008B5348"/>
    <w:rsid w:val="008B58F8"/>
    <w:rsid w:val="008C0712"/>
    <w:rsid w:val="008C4520"/>
    <w:rsid w:val="008C5F09"/>
    <w:rsid w:val="008D470F"/>
    <w:rsid w:val="008E1F8F"/>
    <w:rsid w:val="008E4768"/>
    <w:rsid w:val="008E761E"/>
    <w:rsid w:val="008F77B3"/>
    <w:rsid w:val="009008F5"/>
    <w:rsid w:val="00904CC1"/>
    <w:rsid w:val="009066AF"/>
    <w:rsid w:val="00912050"/>
    <w:rsid w:val="00912E48"/>
    <w:rsid w:val="00912E68"/>
    <w:rsid w:val="0092746F"/>
    <w:rsid w:val="00935DC9"/>
    <w:rsid w:val="009446C0"/>
    <w:rsid w:val="0096082E"/>
    <w:rsid w:val="00961347"/>
    <w:rsid w:val="00967410"/>
    <w:rsid w:val="00967D73"/>
    <w:rsid w:val="0098119A"/>
    <w:rsid w:val="00984AAF"/>
    <w:rsid w:val="00991B09"/>
    <w:rsid w:val="00993CB2"/>
    <w:rsid w:val="009A5166"/>
    <w:rsid w:val="009A76F8"/>
    <w:rsid w:val="009B2B83"/>
    <w:rsid w:val="009C49F8"/>
    <w:rsid w:val="009D77CC"/>
    <w:rsid w:val="009D797A"/>
    <w:rsid w:val="009E2423"/>
    <w:rsid w:val="009E55D7"/>
    <w:rsid w:val="009F4150"/>
    <w:rsid w:val="009F5665"/>
    <w:rsid w:val="009F5DAD"/>
    <w:rsid w:val="00A01BCA"/>
    <w:rsid w:val="00A10458"/>
    <w:rsid w:val="00A153B6"/>
    <w:rsid w:val="00A164D5"/>
    <w:rsid w:val="00A273C3"/>
    <w:rsid w:val="00A30C37"/>
    <w:rsid w:val="00A36C65"/>
    <w:rsid w:val="00A41BBE"/>
    <w:rsid w:val="00A443E3"/>
    <w:rsid w:val="00A45BDD"/>
    <w:rsid w:val="00A46A0A"/>
    <w:rsid w:val="00A553F8"/>
    <w:rsid w:val="00A6708F"/>
    <w:rsid w:val="00A71BF6"/>
    <w:rsid w:val="00A72AF9"/>
    <w:rsid w:val="00A86F9A"/>
    <w:rsid w:val="00A9179F"/>
    <w:rsid w:val="00AA35E6"/>
    <w:rsid w:val="00AA50B6"/>
    <w:rsid w:val="00AB3472"/>
    <w:rsid w:val="00AD0762"/>
    <w:rsid w:val="00AE0209"/>
    <w:rsid w:val="00AE3DCF"/>
    <w:rsid w:val="00AE4452"/>
    <w:rsid w:val="00AE7C38"/>
    <w:rsid w:val="00B01F99"/>
    <w:rsid w:val="00B02B37"/>
    <w:rsid w:val="00B05276"/>
    <w:rsid w:val="00B132DB"/>
    <w:rsid w:val="00B31427"/>
    <w:rsid w:val="00B33861"/>
    <w:rsid w:val="00B40DE2"/>
    <w:rsid w:val="00B50210"/>
    <w:rsid w:val="00B53955"/>
    <w:rsid w:val="00B6408A"/>
    <w:rsid w:val="00B6478A"/>
    <w:rsid w:val="00B714B8"/>
    <w:rsid w:val="00B82C2C"/>
    <w:rsid w:val="00B8720B"/>
    <w:rsid w:val="00B876EF"/>
    <w:rsid w:val="00B91FB5"/>
    <w:rsid w:val="00BA4697"/>
    <w:rsid w:val="00BB5378"/>
    <w:rsid w:val="00BC0BD3"/>
    <w:rsid w:val="00BD0107"/>
    <w:rsid w:val="00BE0C33"/>
    <w:rsid w:val="00BE262C"/>
    <w:rsid w:val="00BE4C25"/>
    <w:rsid w:val="00BE6C3D"/>
    <w:rsid w:val="00C07606"/>
    <w:rsid w:val="00C12542"/>
    <w:rsid w:val="00C130EE"/>
    <w:rsid w:val="00C24725"/>
    <w:rsid w:val="00C30BA9"/>
    <w:rsid w:val="00C3541E"/>
    <w:rsid w:val="00C36A8F"/>
    <w:rsid w:val="00C42834"/>
    <w:rsid w:val="00C42FFA"/>
    <w:rsid w:val="00C507D8"/>
    <w:rsid w:val="00C51F5A"/>
    <w:rsid w:val="00C62EAC"/>
    <w:rsid w:val="00C63F9F"/>
    <w:rsid w:val="00C7723C"/>
    <w:rsid w:val="00C838F5"/>
    <w:rsid w:val="00C841C0"/>
    <w:rsid w:val="00CA1AF4"/>
    <w:rsid w:val="00CA6068"/>
    <w:rsid w:val="00CB15E1"/>
    <w:rsid w:val="00CB3D46"/>
    <w:rsid w:val="00CD1A87"/>
    <w:rsid w:val="00CD35F3"/>
    <w:rsid w:val="00CD5C93"/>
    <w:rsid w:val="00CE342B"/>
    <w:rsid w:val="00CF320C"/>
    <w:rsid w:val="00CF3A4B"/>
    <w:rsid w:val="00CF4001"/>
    <w:rsid w:val="00D05837"/>
    <w:rsid w:val="00D12D8A"/>
    <w:rsid w:val="00D13E0C"/>
    <w:rsid w:val="00D25896"/>
    <w:rsid w:val="00D373A1"/>
    <w:rsid w:val="00D37C0F"/>
    <w:rsid w:val="00D45661"/>
    <w:rsid w:val="00D45943"/>
    <w:rsid w:val="00D47D22"/>
    <w:rsid w:val="00D51865"/>
    <w:rsid w:val="00D51D0C"/>
    <w:rsid w:val="00D74140"/>
    <w:rsid w:val="00DA6E56"/>
    <w:rsid w:val="00DA78DD"/>
    <w:rsid w:val="00DB1C65"/>
    <w:rsid w:val="00DC24E5"/>
    <w:rsid w:val="00DC6705"/>
    <w:rsid w:val="00DD2DE8"/>
    <w:rsid w:val="00DE38B4"/>
    <w:rsid w:val="00DE5D02"/>
    <w:rsid w:val="00DF2102"/>
    <w:rsid w:val="00E005A9"/>
    <w:rsid w:val="00E065BA"/>
    <w:rsid w:val="00E1166E"/>
    <w:rsid w:val="00E24DC0"/>
    <w:rsid w:val="00E2519C"/>
    <w:rsid w:val="00E25F2A"/>
    <w:rsid w:val="00E41455"/>
    <w:rsid w:val="00E42AD2"/>
    <w:rsid w:val="00E50856"/>
    <w:rsid w:val="00E538CC"/>
    <w:rsid w:val="00E54BBD"/>
    <w:rsid w:val="00E54DBA"/>
    <w:rsid w:val="00E63D7C"/>
    <w:rsid w:val="00E640D5"/>
    <w:rsid w:val="00E66E2E"/>
    <w:rsid w:val="00E67691"/>
    <w:rsid w:val="00E92237"/>
    <w:rsid w:val="00E951EF"/>
    <w:rsid w:val="00EA3D54"/>
    <w:rsid w:val="00EA56D9"/>
    <w:rsid w:val="00EA5CE3"/>
    <w:rsid w:val="00EB51C1"/>
    <w:rsid w:val="00EB5AE1"/>
    <w:rsid w:val="00EB5E0B"/>
    <w:rsid w:val="00EC2171"/>
    <w:rsid w:val="00ED442D"/>
    <w:rsid w:val="00ED70C2"/>
    <w:rsid w:val="00EE18FF"/>
    <w:rsid w:val="00EE489F"/>
    <w:rsid w:val="00F0647F"/>
    <w:rsid w:val="00F10CE3"/>
    <w:rsid w:val="00F12006"/>
    <w:rsid w:val="00F13443"/>
    <w:rsid w:val="00F14F3B"/>
    <w:rsid w:val="00F16362"/>
    <w:rsid w:val="00F207C7"/>
    <w:rsid w:val="00F24E1E"/>
    <w:rsid w:val="00F36B6D"/>
    <w:rsid w:val="00F43FA3"/>
    <w:rsid w:val="00F55648"/>
    <w:rsid w:val="00F70046"/>
    <w:rsid w:val="00F748C2"/>
    <w:rsid w:val="00F74958"/>
    <w:rsid w:val="00F76C5C"/>
    <w:rsid w:val="00F81EF3"/>
    <w:rsid w:val="00F84496"/>
    <w:rsid w:val="00F84E0A"/>
    <w:rsid w:val="00F85DCB"/>
    <w:rsid w:val="00F86F9C"/>
    <w:rsid w:val="00F90D76"/>
    <w:rsid w:val="00FC002E"/>
    <w:rsid w:val="00FC4C23"/>
    <w:rsid w:val="00FC642E"/>
    <w:rsid w:val="00FE2AE4"/>
    <w:rsid w:val="00FE689F"/>
    <w:rsid w:val="00FE7809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01ABC0"/>
  <w15:docId w15:val="{0754E755-82ED-443D-90EE-90B0999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2"/>
  </w:style>
  <w:style w:type="paragraph" w:styleId="Heading1">
    <w:name w:val="heading 1"/>
    <w:basedOn w:val="Normal"/>
    <w:next w:val="Normal"/>
    <w:link w:val="Heading1Char"/>
    <w:uiPriority w:val="9"/>
    <w:qFormat/>
    <w:rsid w:val="00DD2DE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1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1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E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7411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41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7411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table-text">
    <w:name w:val="table-text"/>
    <w:basedOn w:val="Normal"/>
    <w:rsid w:val="00822F5F"/>
    <w:rPr>
      <w:rFonts w:ascii="Myriad Pro" w:hAnsi="Myriad Pro"/>
      <w:color w:val="231F20"/>
      <w:sz w:val="14"/>
      <w:szCs w:val="14"/>
    </w:rPr>
  </w:style>
  <w:style w:type="paragraph" w:customStyle="1" w:styleId="table-h1">
    <w:name w:val="table-h1"/>
    <w:basedOn w:val="Normal"/>
    <w:rsid w:val="00822F5F"/>
    <w:rPr>
      <w:rFonts w:ascii="Myriad Pro" w:hAnsi="Myriad Pro"/>
      <w:b/>
      <w:bCs/>
      <w:color w:val="FFFFFF"/>
      <w:sz w:val="14"/>
      <w:szCs w:val="14"/>
    </w:rPr>
  </w:style>
  <w:style w:type="character" w:customStyle="1" w:styleId="Strong1">
    <w:name w:val="Strong1"/>
    <w:basedOn w:val="DefaultParagraphFont"/>
    <w:rsid w:val="00822F5F"/>
    <w:rPr>
      <w:b/>
      <w:bCs/>
      <w:i w:val="0"/>
      <w:iCs w:val="0"/>
    </w:rPr>
  </w:style>
  <w:style w:type="character" w:customStyle="1" w:styleId="superscript">
    <w:name w:val="superscript"/>
    <w:basedOn w:val="DefaultParagraphFont"/>
    <w:rsid w:val="00822F5F"/>
    <w:rPr>
      <w:vertAlign w:val="superscript"/>
    </w:rPr>
  </w:style>
  <w:style w:type="paragraph" w:customStyle="1" w:styleId="footnote">
    <w:name w:val="footnote"/>
    <w:basedOn w:val="Normal"/>
    <w:rsid w:val="008B48B8"/>
    <w:rPr>
      <w:rFonts w:ascii="Myriad Pro" w:hAnsi="Myriad Pro"/>
      <w:color w:val="231F20"/>
      <w:sz w:val="12"/>
      <w:szCs w:val="12"/>
    </w:rPr>
  </w:style>
  <w:style w:type="paragraph" w:customStyle="1" w:styleId="figure-table-title">
    <w:name w:val="figure-table-title"/>
    <w:basedOn w:val="Normal"/>
    <w:rsid w:val="008B48B8"/>
    <w:pPr>
      <w:spacing w:after="180"/>
    </w:pPr>
    <w:rPr>
      <w:rFonts w:ascii="Minion Pro SmBd" w:hAnsi="Minion Pro SmBd"/>
      <w:b/>
      <w:bCs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BA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84AAF"/>
    <w:pPr>
      <w:spacing w:line="240" w:lineRule="auto"/>
      <w:contextualSpacing/>
    </w:pPr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AAF"/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411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11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411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411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11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41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1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2"/>
    <w:rPr>
      <w:b/>
      <w:bCs/>
      <w:i/>
      <w:iCs/>
    </w:rPr>
  </w:style>
  <w:style w:type="character" w:styleId="SubtleEmphasis">
    <w:name w:val="Subtle Emphasis"/>
    <w:uiPriority w:val="19"/>
    <w:qFormat/>
    <w:rsid w:val="00741192"/>
    <w:rPr>
      <w:i/>
      <w:iCs/>
    </w:rPr>
  </w:style>
  <w:style w:type="character" w:styleId="IntenseEmphasis">
    <w:name w:val="Intense Emphasis"/>
    <w:uiPriority w:val="21"/>
    <w:qFormat/>
    <w:rsid w:val="00741192"/>
    <w:rPr>
      <w:b/>
      <w:bCs/>
    </w:rPr>
  </w:style>
  <w:style w:type="character" w:styleId="SubtleReference">
    <w:name w:val="Subtle Reference"/>
    <w:uiPriority w:val="31"/>
    <w:qFormat/>
    <w:rsid w:val="00741192"/>
    <w:rPr>
      <w:smallCaps/>
    </w:rPr>
  </w:style>
  <w:style w:type="character" w:styleId="IntenseReference">
    <w:name w:val="Intense Reference"/>
    <w:uiPriority w:val="32"/>
    <w:qFormat/>
    <w:rsid w:val="00741192"/>
    <w:rPr>
      <w:smallCaps/>
      <w:spacing w:val="5"/>
      <w:u w:val="single"/>
    </w:rPr>
  </w:style>
  <w:style w:type="character" w:styleId="BookTitle">
    <w:name w:val="Book Title"/>
    <w:uiPriority w:val="33"/>
    <w:qFormat/>
    <w:rsid w:val="00741192"/>
    <w:rPr>
      <w:i/>
      <w:i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9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B7854"/>
  </w:style>
  <w:style w:type="paragraph" w:customStyle="1" w:styleId="Pa1">
    <w:name w:val="Pa1"/>
    <w:basedOn w:val="Normal"/>
    <w:next w:val="Normal"/>
    <w:uiPriority w:val="99"/>
    <w:rsid w:val="00D47D22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0">
    <w:name w:val="A10"/>
    <w:uiPriority w:val="99"/>
    <w:rsid w:val="00D47D22"/>
    <w:rPr>
      <w:rFonts w:cs="Myriad Pro"/>
      <w:color w:val="211D1E"/>
      <w:sz w:val="22"/>
      <w:szCs w:val="22"/>
    </w:rPr>
  </w:style>
  <w:style w:type="character" w:customStyle="1" w:styleId="A11">
    <w:name w:val="A11"/>
    <w:uiPriority w:val="99"/>
    <w:rsid w:val="00D47D22"/>
    <w:rPr>
      <w:rFonts w:cs="Myriad Pro"/>
      <w:color w:val="211D1E"/>
      <w:sz w:val="22"/>
      <w:szCs w:val="22"/>
      <w:u w:val="single"/>
    </w:rPr>
  </w:style>
  <w:style w:type="character" w:customStyle="1" w:styleId="A12">
    <w:name w:val="A12"/>
    <w:uiPriority w:val="99"/>
    <w:rsid w:val="00D47D22"/>
    <w:rPr>
      <w:rFonts w:cs="Myriad Pro"/>
      <w:color w:val="211D1E"/>
      <w:u w:val="single"/>
    </w:rPr>
  </w:style>
  <w:style w:type="character" w:styleId="Hyperlink">
    <w:name w:val="Hyperlink"/>
    <w:basedOn w:val="DefaultParagraphFont"/>
    <w:uiPriority w:val="99"/>
    <w:unhideWhenUsed/>
    <w:rsid w:val="001B37B8"/>
    <w:rPr>
      <w:color w:val="0000FF" w:themeColor="hyperlink"/>
      <w:u w:val="single"/>
    </w:rPr>
  </w:style>
  <w:style w:type="table" w:customStyle="1" w:styleId="CDI-StandardTable">
    <w:name w:val="CDI - Standard Table"/>
    <w:basedOn w:val="TableNormal"/>
    <w:uiPriority w:val="99"/>
    <w:rsid w:val="005E5181"/>
    <w:pPr>
      <w:spacing w:after="0" w:line="240" w:lineRule="auto"/>
      <w:jc w:val="center"/>
    </w:pPr>
    <w:rPr>
      <w:rFonts w:ascii="Calibri" w:hAnsi="Calibri"/>
      <w:color w:val="000000" w:themeColor="text1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single" w:sz="4" w:space="0" w:color="F7ECDD"/>
          <w:insideV w:val="single" w:sz="4" w:space="0" w:color="F7ECDD"/>
        </w:tcBorders>
        <w:shd w:val="clear" w:color="auto" w:fill="404040" w:themeFill="text1" w:themeFillTint="BF"/>
      </w:tcPr>
    </w:tblStylePr>
    <w:tblStylePr w:type="lastRow">
      <w:rPr>
        <w:b/>
      </w:rPr>
      <w:tblPr/>
      <w:tcPr>
        <w:shd w:val="clear" w:color="auto" w:fill="F7ECDD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DIfootnotes">
    <w:name w:val="CDI_footnotes"/>
    <w:basedOn w:val="NormalWeb"/>
    <w:link w:val="CDIfootnotesChar"/>
    <w:qFormat/>
    <w:rsid w:val="00DC24E5"/>
    <w:pPr>
      <w:spacing w:line="240" w:lineRule="auto"/>
      <w:ind w:left="720" w:hanging="720"/>
      <w:contextualSpacing/>
    </w:pPr>
    <w:rPr>
      <w:sz w:val="18"/>
    </w:rPr>
  </w:style>
  <w:style w:type="table" w:styleId="LightList">
    <w:name w:val="Light List"/>
    <w:basedOn w:val="TableNormal"/>
    <w:uiPriority w:val="61"/>
    <w:rsid w:val="00433456"/>
    <w:pPr>
      <w:spacing w:after="0" w:line="240" w:lineRule="auto"/>
    </w:p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3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IFigures">
    <w:name w:val="CDI_Figures"/>
    <w:basedOn w:val="NormalWeb"/>
    <w:link w:val="CDIFiguresChar"/>
    <w:qFormat/>
    <w:rsid w:val="00C30BA9"/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DE5D02"/>
  </w:style>
  <w:style w:type="character" w:customStyle="1" w:styleId="CDIfootnotesChar">
    <w:name w:val="CDI_footnotes Char"/>
    <w:basedOn w:val="NormalWebChar"/>
    <w:link w:val="CDIfootnotes"/>
    <w:rsid w:val="00DC24E5"/>
    <w:rPr>
      <w:sz w:val="18"/>
    </w:rPr>
  </w:style>
  <w:style w:type="character" w:customStyle="1" w:styleId="CDIFiguresChar">
    <w:name w:val="CDI_Figures Char"/>
    <w:basedOn w:val="NormalWebChar"/>
    <w:link w:val="CDIFigures"/>
    <w:rsid w:val="00C30BA9"/>
    <w:rPr>
      <w:b/>
    </w:rPr>
  </w:style>
  <w:style w:type="character" w:customStyle="1" w:styleId="URI">
    <w:name w:val="URI"/>
    <w:uiPriority w:val="99"/>
    <w:rsid w:val="000A5F42"/>
    <w:rPr>
      <w:color w:val="000000"/>
      <w:u w:val="thick"/>
    </w:rPr>
  </w:style>
  <w:style w:type="character" w:customStyle="1" w:styleId="nobreak">
    <w:name w:val="no break"/>
    <w:uiPriority w:val="99"/>
    <w:rsid w:val="000A5F42"/>
    <w:rPr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di.editor@health.gov.au" TargetMode="External"/><Relationship Id="rId18" Type="http://schemas.openxmlformats.org/officeDocument/2006/relationships/hyperlink" Target="mailto:copyright@health.gov.au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health.gov.au/cdi" TargetMode="External"/><Relationship Id="rId17" Type="http://schemas.openxmlformats.org/officeDocument/2006/relationships/hyperlink" Target="http://www.itsanhonour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nd/4.0/legalcod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cdi.editor@health.gov.a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health.gov.au/cdna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health.gov.au/cdi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ging\CDI\OpenCDI\2022\template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template-2022.dotx</Template>
  <TotalTime>4</TotalTime>
  <Pages>4</Pages>
  <Words>1322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Staphylococcus lugdunensis and coagulase-negative staphylococci species characterisation in a tropical climate</vt:lpstr>
    </vt:vector>
  </TitlesOfParts>
  <Company>Australian Government, Department of Health</Company>
  <LinksUpToDate>false</LinksUpToDate>
  <CharactersWithSpaces>9924</CharactersWithSpaces>
  <SharedDoc>false</SharedDoc>
  <HyperlinkBase>http://www.health.gov.au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Staphylococcus lugdunensis and coagulase-negative staphylococci species characterisation in a tropical climate</dc:title>
  <dc:creator>Matthew Howes, Rob Baird</dc:creator>
  <dc:description>© Commonwealth of Australia CC BY-NC-ND ISSN: 2209-6051 (Online)</dc:description>
  <cp:lastModifiedBy>YOUSEFI, Kasra</cp:lastModifiedBy>
  <cp:revision>6</cp:revision>
  <cp:lastPrinted>2018-05-10T02:19:00Z</cp:lastPrinted>
  <dcterms:created xsi:type="dcterms:W3CDTF">2022-12-20T05:20:00Z</dcterms:created>
  <dcterms:modified xsi:type="dcterms:W3CDTF">2023-01-04T03:36:00Z</dcterms:modified>
  <cp:category>Letter to the editor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2023</vt:lpwstr>
  </property>
  <property fmtid="{D5CDD505-2E9C-101B-9397-08002B2CF9AE}" pid="3" name="Vol">
    <vt:i4>47</vt:i4>
  </property>
  <property fmtid="{D5CDD505-2E9C-101B-9397-08002B2CF9AE}" pid="4" name="ePubDate">
    <vt:lpwstr>19/01/2023</vt:lpwstr>
  </property>
  <property fmtid="{D5CDD505-2E9C-101B-9397-08002B2CF9AE}" pid="5" name="DOI">
    <vt:lpwstr>https://doi.org/10.33321/cdi.2023.47.3</vt:lpwstr>
  </property>
</Properties>
</file>