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B3F87" w14:textId="77777777" w:rsidR="002B4EF6" w:rsidRPr="00D8753A" w:rsidRDefault="002B4EF6" w:rsidP="00D8753A">
      <w:pPr>
        <w:pStyle w:val="Title"/>
      </w:pPr>
      <w:r w:rsidRPr="00D8753A">
        <w:t xml:space="preserve">Annual immunisation coverage report 2020 </w:t>
      </w:r>
    </w:p>
    <w:p w14:paraId="6E111241" w14:textId="77777777" w:rsidR="002B4EF6" w:rsidRDefault="002B4EF6" w:rsidP="00D8753A">
      <w:pPr>
        <w:pStyle w:val="Subtitle"/>
        <w:spacing w:after="300"/>
        <w:rPr>
          <w:rFonts w:eastAsia="Times New Roman"/>
        </w:rPr>
      </w:pPr>
      <w:r>
        <w:rPr>
          <w:rFonts w:eastAsia="Times New Roman"/>
        </w:rPr>
        <w:t xml:space="preserve">17 September 2021 </w:t>
      </w:r>
    </w:p>
    <w:p w14:paraId="1FF63D54" w14:textId="77777777" w:rsidR="002B4EF6" w:rsidRDefault="002B4EF6" w:rsidP="00D8753A">
      <w:pPr>
        <w:spacing w:after="100"/>
      </w:pPr>
      <w:r>
        <w:t xml:space="preserve">Brynley Hull, Alexandra Hendry, Aditi Dey, Julia Brotherton, Kristine Macartney, Frank Beard </w:t>
      </w:r>
    </w:p>
    <w:p w14:paraId="449B80C7" w14:textId="77777777" w:rsidR="002B4EF6" w:rsidRPr="00FD4A14" w:rsidRDefault="002B4EF6" w:rsidP="00D8753A">
      <w:pPr>
        <w:pStyle w:val="Heading1"/>
        <w:spacing w:before="240"/>
      </w:pPr>
      <w:r w:rsidRPr="00FD4A14">
        <w:t xml:space="preserve">Abstract </w:t>
      </w:r>
    </w:p>
    <w:p w14:paraId="1CA83427" w14:textId="77777777" w:rsidR="002B4EF6" w:rsidRDefault="002B4EF6" w:rsidP="00FD4A14">
      <w:r>
        <w:t xml:space="preserve">We analysed Australian Immunisation Register (AIR) data as </w:t>
      </w:r>
      <w:proofErr w:type="gramStart"/>
      <w:r>
        <w:t>at</w:t>
      </w:r>
      <w:proofErr w:type="gramEnd"/>
      <w:r>
        <w:t xml:space="preserve"> 31 March 2021 for children, adolescents and adults. This is the first time that adolescent and adult coverage data from the AIR have been included in our annual coverage report. </w:t>
      </w:r>
    </w:p>
    <w:p w14:paraId="7BE5782F" w14:textId="77777777" w:rsidR="002B4EF6" w:rsidRPr="00FD4A14" w:rsidRDefault="002B4EF6" w:rsidP="00FD4A14">
      <w:pPr>
        <w:pStyle w:val="Heading2"/>
      </w:pPr>
      <w:r w:rsidRPr="00FD4A14">
        <w:t xml:space="preserve">Children </w:t>
      </w:r>
    </w:p>
    <w:p w14:paraId="2D408FDF" w14:textId="46883FDD" w:rsidR="002B4EF6" w:rsidRDefault="002B4EF6" w:rsidP="00FD4A14">
      <w:r>
        <w:t>‘Fully vaccinated’ coverage was 0.5–1.0 percentage points higher in 2020 than 2019 across the three standard age milestones, reaching 94.8% at 12 months, 92.1% at 24 months and 94.8% at 60 months.</w:t>
      </w:r>
      <w:r w:rsidR="0025691F">
        <w:rPr>
          <w:rStyle w:val="FootnoteReference"/>
        </w:rPr>
        <w:footnoteReference w:id="2"/>
      </w:r>
      <w:r>
        <w:t xml:space="preserve"> Rotavirus vaccine coverage (2 doses) increased from 91.9% in 2019 to 92.5% in 2020. ‘Fully vaccinated’ coverage in Aboriginal and Torres Strait Islander (hereafter respectfully referred to as Indigenous) children increased by 0.1–1.2 percentage points in 2020, reaching 93.1% at 12 months, 91.2% at 24 months and 97.0% at 60 months (2.2 percentage points higher than in children overall). Influenza vaccination coverage in children aged 6 months to &lt; 5 years increased by 4.2 percentage points to 45.2% in </w:t>
      </w:r>
      <w:proofErr w:type="gramStart"/>
      <w:r>
        <w:t>2020, and</w:t>
      </w:r>
      <w:proofErr w:type="gramEnd"/>
      <w:r>
        <w:t xml:space="preserve"> remained stable for Indigenous children at 43.6%. Longstanding issues with timeliness of vaccination in Indigenous children persist. We also examined timeliness of ‘fully vaccinated’ coverage at earlier age milestones (3 months after the due date of the last scheduled vaccine) of 9, 15, 21 and 51 months, by Indigenous status, socioeconomic </w:t>
      </w:r>
      <w:proofErr w:type="gramStart"/>
      <w:r>
        <w:t>status</w:t>
      </w:r>
      <w:proofErr w:type="gramEnd"/>
      <w:r>
        <w:t xml:space="preserve"> and remoteness of area of residence. Coverage in children living in the least advantaged residential area quintile was 1.9–2.5 percentage points lower than for those living in the most advantaged quintile at these earlier milestones, a 0.4–1.0 percentage points greater disparity than in 2019. Coverage at the earlier milestones in Indigenous children in remote areas was 2.6–7.8 percentage points lower than for Indigenous children in major cities and regional areas, with disparity at 21 months of age 0.5–0.8 percentage points higher in 2020 than in 2019, and 1.1–3.2 percentage points higher at 51 months. Importantly, although Indigenous children had slightly lower coverage for the second dose of measles-mumps-rubella-containing vaccine at 24 months (93.9% versus 94.0% overall), coverage among Indigenous children increased to 98.8% when measured at 60 months; coverage was also high overall at 96.8%, above the 95% target critical to measles control. </w:t>
      </w:r>
    </w:p>
    <w:p w14:paraId="20DC2DF6" w14:textId="77777777" w:rsidR="002B4EF6" w:rsidRPr="00FD4A14" w:rsidRDefault="002B4EF6" w:rsidP="00FD4A14">
      <w:pPr>
        <w:pStyle w:val="Heading2"/>
      </w:pPr>
      <w:r w:rsidRPr="00FD4A14">
        <w:t xml:space="preserve">Adolescents </w:t>
      </w:r>
    </w:p>
    <w:p w14:paraId="39DC08F0" w14:textId="77777777" w:rsidR="002B4EF6" w:rsidRDefault="002B4EF6" w:rsidP="00FD4A14">
      <w:r>
        <w:t>In 2020, the human papillomavirus (HPV) vaccination schedule was completed by 80.5% of females and 77.6% of males (75.0% and 68.0% for Indigenous) by 15 years of age, an increase of 0.6–0.7 of a percentage point on 2019 (2.6–3.4 percentage points for Indigenous). Additionally, 86.8% of adolescents (84.2% for Indigenous) had received the recommended booster dose of diphtheria-tetanus-acellular pertussis (</w:t>
      </w:r>
      <w:proofErr w:type="spellStart"/>
      <w:r>
        <w:t>dTpa</w:t>
      </w:r>
      <w:proofErr w:type="spellEnd"/>
      <w:r>
        <w:t xml:space="preserve">) vaccine by 15 years, and 74.3% (68.1% for Indigenous) had received the recommended meningococcal ACWY vaccine dose by 17 years of age. However, the proportion of adolescents completing the 2-dose HPV vaccination schedule within a calendar year was 11.6 percentage points lower in 2020 than 2019; the number of </w:t>
      </w:r>
      <w:proofErr w:type="spellStart"/>
      <w:r>
        <w:t>dTpa</w:t>
      </w:r>
      <w:proofErr w:type="spellEnd"/>
      <w:r>
        <w:t xml:space="preserve"> doses in adolescents aged 11–15 years was 13.7 percentage points lower; and the number of meningococcal ACWY doses in adolescents aged 14–19 years was 4.1 percentage points lower, with these reductions likely due to COVID-19 pandemic-related disruption to school-based programs. </w:t>
      </w:r>
    </w:p>
    <w:p w14:paraId="494FBF78" w14:textId="77777777" w:rsidR="002B4EF6" w:rsidRPr="00FD4A14" w:rsidRDefault="002B4EF6" w:rsidP="00FD4A14">
      <w:pPr>
        <w:pStyle w:val="Heading2"/>
      </w:pPr>
      <w:r w:rsidRPr="00FD4A14">
        <w:t xml:space="preserve">Adults </w:t>
      </w:r>
    </w:p>
    <w:p w14:paraId="13714819" w14:textId="77777777" w:rsidR="002B4EF6" w:rsidRDefault="002B4EF6" w:rsidP="00FD4A14">
      <w:r>
        <w:lastRenderedPageBreak/>
        <w:t xml:space="preserve">Recorded zoster vaccine coverage was </w:t>
      </w:r>
      <w:proofErr w:type="gramStart"/>
      <w:r>
        <w:t>relatively low</w:t>
      </w:r>
      <w:proofErr w:type="gramEnd"/>
      <w:r>
        <w:t xml:space="preserve"> in 70-year-old adults in 2020 at 30.4%, similar to 2019. Recorded influenza vaccination coverage in adults in 2020 increased with increasing age group, reaching 64% in the 65–69 year and 70% in the ≥ </w:t>
      </w:r>
      <w:proofErr w:type="gramStart"/>
      <w:r>
        <w:t>75 year</w:t>
      </w:r>
      <w:proofErr w:type="gramEnd"/>
      <w:r>
        <w:t xml:space="preserve"> age group. Coverage also increased across all age groups between 2019 and 2020. These figures likely reflect some underreporting, with true coverage probably higher. </w:t>
      </w:r>
    </w:p>
    <w:p w14:paraId="7BE790F7" w14:textId="77777777" w:rsidR="002B4EF6" w:rsidRPr="00FD4A14" w:rsidRDefault="002B4EF6" w:rsidP="00FD4A14">
      <w:pPr>
        <w:pStyle w:val="Heading2"/>
      </w:pPr>
      <w:r w:rsidRPr="00FD4A14">
        <w:t xml:space="preserve">Conclusions </w:t>
      </w:r>
    </w:p>
    <w:p w14:paraId="7DB1422C" w14:textId="77777777" w:rsidR="002B4EF6" w:rsidRDefault="002B4EF6" w:rsidP="00FD4A14">
      <w:r>
        <w:t xml:space="preserve">We found continuing improvements across a range of childhood immunisation indicators in Australia in 2020. While this predominantly reflects vaccinations due in 2019, due to the use of standard assessment time points 6–12 months after vaccines are due, other reports have indicated a lack of impact of the coronavirus disease of 2019 (COVID-19) pandemic on routine childhood vaccination in Australia. However, issues with timeliness of vaccination persist, particularly in Indigenous and socioeconomically disadvantaged children. Adolescent coverage was also relatively high, although with some evidence of pandemic impacts, so it will be important to monitor levels of adolescent catch-up vaccination. Adult coverage figures are </w:t>
      </w:r>
      <w:proofErr w:type="gramStart"/>
      <w:r>
        <w:t>likely underestimates</w:t>
      </w:r>
      <w:proofErr w:type="gramEnd"/>
      <w:r>
        <w:t xml:space="preserve"> due to underreporting of adult vaccinations to the AIR. Mandatory reporting of National Immunisation Program (NIP) vaccinations to the AIR, introduced in 2021, should improve reporting and enhance the AIR’s value for monitoring the successful delivery of the NIP. </w:t>
      </w:r>
    </w:p>
    <w:p w14:paraId="1444884D" w14:textId="77777777" w:rsidR="002B4EF6" w:rsidRDefault="002B4EF6" w:rsidP="00FD4A14">
      <w:r>
        <w:t>Keywords: vaccination coverage, vaccination timeliness, Aboriginal and Torres Strait Islander vaccination coverage, influenza vaccination.</w:t>
      </w:r>
    </w:p>
    <w:p w14:paraId="242D9E42" w14:textId="77777777" w:rsidR="002B4EF6" w:rsidRPr="00FD4A14" w:rsidRDefault="002B4EF6" w:rsidP="00FD4A14">
      <w:pPr>
        <w:pStyle w:val="Heading1"/>
      </w:pPr>
      <w:r w:rsidRPr="00FD4A14">
        <w:t xml:space="preserve">Introduction </w:t>
      </w:r>
    </w:p>
    <w:p w14:paraId="051D0ADE" w14:textId="77777777" w:rsidR="002B4EF6" w:rsidRDefault="002B4EF6" w:rsidP="00FD4A14">
      <w:r>
        <w:t>This is the fourteenth annual Australian immunisation coverage report, with reports now covering the years 2007–2020.</w:t>
      </w:r>
      <w:r>
        <w:rPr>
          <w:vertAlign w:val="superscript"/>
        </w:rPr>
        <w:t>1–13</w:t>
      </w:r>
      <w:r>
        <w:t xml:space="preserve"> This 2020 report is the first in the series to report ‘whole-of-life’ coverage data for children, </w:t>
      </w:r>
      <w:proofErr w:type="gramStart"/>
      <w:r>
        <w:t>adolescents</w:t>
      </w:r>
      <w:proofErr w:type="gramEnd"/>
      <w:r>
        <w:t xml:space="preserve"> and adults from the Australian Immunisation Register (AIR), following the AIR’s expansion in 2016. This report complements other sources of data on vaccination coverage in Australia,</w:t>
      </w:r>
      <w:r>
        <w:rPr>
          <w:vertAlign w:val="superscript"/>
        </w:rPr>
        <w:t>14,15</w:t>
      </w:r>
      <w:r>
        <w:t xml:space="preserve"> by highlighting important trends and their relationship to relevant policy and program changes. The report includes detailed analyses of coverage data for the calendar year 2020, with a particular focus on changes from 2019. It also shows trend data from 2011 onwards. </w:t>
      </w:r>
    </w:p>
    <w:p w14:paraId="4636A5AA" w14:textId="77777777" w:rsidR="002B4EF6" w:rsidRDefault="002B4EF6" w:rsidP="00FD4A14">
      <w:r>
        <w:t xml:space="preserve">This report uses the longstanding international practice of reporting at key childhood and adolescent milestone ages to measure coverage against national targets and to track trends over time. National vaccination coverage and timeliness for 2020 was measured using AIR data as </w:t>
      </w:r>
      <w:proofErr w:type="gramStart"/>
      <w:r>
        <w:t>at</w:t>
      </w:r>
      <w:proofErr w:type="gramEnd"/>
      <w:r>
        <w:t xml:space="preserve"> 31 March 2021. Childhood cohort vaccination status was assessed for the ‘fully vaccinated’ category (as defined by the Australian Government Department of Health) and for individual vaccines at the standard milestones—12 months of age (for vaccines due at 6 months); 24 months of age (for vaccines due at 6, 12 and 18 months); and 60 months of age (for vaccines due at 48 months)—including by Aboriginal and Torres Strait Islander (hereafter respectfully referred to as Indigenous) status and at small area level (Primary Health Network [PHN] and Australian Bureau of Statistics Statistical Area 3 [SA3]). Coverage for vaccines included in the National Immunisation Program (NIP) for Indigenous children only was also assessed, using appropriate milestones/cohorts and for relevant jurisdictions. Timeliness of childhood vaccination was assessed by calculating ‘on-time’ vaccination (within 30 days of recommended age) for selected vaccine doses, by Indigenous status, and ‘fully vaccinated’ coverage at earlier age milestones of 9, 15, 21 and 51 months by socioeconomic status and remoteness of area of residence. Coverage for vaccines included in the NIP for adolescents and adults was also assessed, using appropriate milestones/cohorts. We focused on HPV, </w:t>
      </w:r>
      <w:proofErr w:type="spellStart"/>
      <w:r>
        <w:t>dTpa</w:t>
      </w:r>
      <w:proofErr w:type="spellEnd"/>
      <w:r>
        <w:t xml:space="preserve"> and meningococcal ACWY vaccine coverage for adolescents by jurisdiction, Indigenous status, age group and gender; and on zoster vaccine coverage for adults aged 70 years by jurisdiction and Indigenous status. Influenza vaccination coverage in 2019 and 2020 was assessed across all ages by Indigenous status. A more detailed description of the methods used in this report is provided in the Appendix. </w:t>
      </w:r>
    </w:p>
    <w:p w14:paraId="397E3B62" w14:textId="1F92551B" w:rsidR="002B4EF6" w:rsidRDefault="002B4EF6" w:rsidP="00FD4A14">
      <w:r>
        <w:lastRenderedPageBreak/>
        <w:t xml:space="preserve">The NIP schedule for children aged 0–4 years, </w:t>
      </w:r>
      <w:proofErr w:type="gramStart"/>
      <w:r>
        <w:t>adolescents</w:t>
      </w:r>
      <w:proofErr w:type="gramEnd"/>
      <w:r>
        <w:t xml:space="preserve"> and adults in 2020 is summarised in Appendix Table A.1. Important recent changes to vaccination policy, the incentive payment system and ‘fully vaccinated’ coverage algorithms are shown in Appendix Box A.1. An important change in relation to this report occurred in March 2020, when all children aged 6–59 months were funded for influenza vaccine under the NIP (previously funded under state and territory programs). While meningococcal B vaccine was funded from July 2020 for Indigenous infants and for people of all ages with specific high risk medical conditions, along with 13-valent pneumococcal conjugate vaccine (13vPCV) for Indigenous adults at 50 years of age and non-Indigenous adults at 70 years of age, coverage data for these vaccines are not included in this report given the early and limited data available. </w:t>
      </w:r>
    </w:p>
    <w:p w14:paraId="2F1DA94A" w14:textId="77777777" w:rsidR="00A75D3B" w:rsidRPr="00485577" w:rsidRDefault="00A75D3B" w:rsidP="00A75D3B">
      <w:pPr>
        <w:pStyle w:val="Heading1"/>
      </w:pPr>
      <w:r w:rsidRPr="00485577">
        <w:rPr>
          <w:rStyle w:val="Strong"/>
          <w:b/>
          <w:bCs/>
        </w:rPr>
        <w:t>Vaccine abbreviations</w:t>
      </w:r>
    </w:p>
    <w:tbl>
      <w:tblPr>
        <w:tblStyle w:val="CDI-StandardTable"/>
        <w:tblW w:w="0" w:type="auto"/>
        <w:tblCellMar>
          <w:top w:w="113" w:type="dxa"/>
          <w:left w:w="113" w:type="dxa"/>
          <w:bottom w:w="113" w:type="dxa"/>
          <w:right w:w="113" w:type="dxa"/>
        </w:tblCellMar>
        <w:tblLook w:val="04A0" w:firstRow="1" w:lastRow="0" w:firstColumn="1" w:lastColumn="0" w:noHBand="0" w:noVBand="1"/>
      </w:tblPr>
      <w:tblGrid>
        <w:gridCol w:w="1202"/>
        <w:gridCol w:w="9264"/>
      </w:tblGrid>
      <w:tr w:rsidR="00A75D3B" w:rsidRPr="00485577" w14:paraId="36EDB3A8" w14:textId="77777777" w:rsidTr="00A75D3B">
        <w:trPr>
          <w:cnfStyle w:val="100000000000" w:firstRow="1" w:lastRow="0" w:firstColumn="0" w:lastColumn="0" w:oddVBand="0" w:evenVBand="0" w:oddHBand="0" w:evenHBand="0" w:firstRowFirstColumn="0" w:firstRowLastColumn="0" w:lastRowFirstColumn="0" w:lastRowLastColumn="0"/>
        </w:trPr>
        <w:tc>
          <w:tcPr>
            <w:tcW w:w="0" w:type="auto"/>
            <w:hideMark/>
          </w:tcPr>
          <w:p w14:paraId="1FF44B16" w14:textId="77777777" w:rsidR="00A75D3B" w:rsidRPr="00485577" w:rsidRDefault="00A75D3B" w:rsidP="00DF0A34">
            <w:pPr>
              <w:pStyle w:val="NormalWeb"/>
              <w:jc w:val="left"/>
              <w:rPr>
                <w:sz w:val="18"/>
                <w:szCs w:val="18"/>
              </w:rPr>
            </w:pPr>
            <w:r w:rsidRPr="00485577">
              <w:rPr>
                <w:sz w:val="18"/>
                <w:szCs w:val="18"/>
              </w:rPr>
              <w:t>Abbreviation</w:t>
            </w:r>
          </w:p>
        </w:tc>
        <w:tc>
          <w:tcPr>
            <w:tcW w:w="9350" w:type="dxa"/>
            <w:hideMark/>
          </w:tcPr>
          <w:p w14:paraId="79F13E3D" w14:textId="77777777" w:rsidR="00A75D3B" w:rsidRPr="00485577" w:rsidRDefault="00A75D3B" w:rsidP="00DF0A34">
            <w:pPr>
              <w:pStyle w:val="NormalWeb"/>
              <w:jc w:val="left"/>
              <w:rPr>
                <w:sz w:val="18"/>
                <w:szCs w:val="18"/>
              </w:rPr>
            </w:pPr>
            <w:r w:rsidRPr="00485577">
              <w:rPr>
                <w:sz w:val="18"/>
                <w:szCs w:val="18"/>
              </w:rPr>
              <w:t>Description</w:t>
            </w:r>
          </w:p>
        </w:tc>
      </w:tr>
      <w:tr w:rsidR="00A75D3B" w:rsidRPr="00485577" w14:paraId="63CE7A73" w14:textId="77777777" w:rsidTr="00A75D3B">
        <w:tc>
          <w:tcPr>
            <w:tcW w:w="0" w:type="auto"/>
            <w:hideMark/>
          </w:tcPr>
          <w:p w14:paraId="5811F37F" w14:textId="77777777" w:rsidR="00A75D3B" w:rsidRPr="00485577" w:rsidRDefault="00A75D3B" w:rsidP="00DF0A34">
            <w:pPr>
              <w:pStyle w:val="NormalWeb"/>
              <w:jc w:val="left"/>
              <w:rPr>
                <w:sz w:val="18"/>
                <w:szCs w:val="18"/>
              </w:rPr>
            </w:pPr>
            <w:r w:rsidRPr="00485577">
              <w:rPr>
                <w:sz w:val="18"/>
                <w:szCs w:val="18"/>
              </w:rPr>
              <w:t>13vPCV</w:t>
            </w:r>
          </w:p>
        </w:tc>
        <w:tc>
          <w:tcPr>
            <w:tcW w:w="9350" w:type="dxa"/>
            <w:hideMark/>
          </w:tcPr>
          <w:p w14:paraId="43B72335" w14:textId="77777777" w:rsidR="00A75D3B" w:rsidRPr="00485577" w:rsidRDefault="00A75D3B" w:rsidP="00DF0A34">
            <w:pPr>
              <w:pStyle w:val="NormalWeb"/>
              <w:jc w:val="left"/>
              <w:rPr>
                <w:sz w:val="18"/>
                <w:szCs w:val="18"/>
              </w:rPr>
            </w:pPr>
            <w:r w:rsidRPr="00485577">
              <w:rPr>
                <w:sz w:val="18"/>
                <w:szCs w:val="18"/>
              </w:rPr>
              <w:t>13-valent pneumococcal conjugate vaccine</w:t>
            </w:r>
          </w:p>
        </w:tc>
      </w:tr>
      <w:tr w:rsidR="00A75D3B" w:rsidRPr="00485577" w14:paraId="28389164" w14:textId="77777777" w:rsidTr="00A75D3B">
        <w:trPr>
          <w:cnfStyle w:val="000000010000" w:firstRow="0" w:lastRow="0" w:firstColumn="0" w:lastColumn="0" w:oddVBand="0" w:evenVBand="0" w:oddHBand="0" w:evenHBand="1" w:firstRowFirstColumn="0" w:firstRowLastColumn="0" w:lastRowFirstColumn="0" w:lastRowLastColumn="0"/>
        </w:trPr>
        <w:tc>
          <w:tcPr>
            <w:tcW w:w="0" w:type="auto"/>
            <w:hideMark/>
          </w:tcPr>
          <w:p w14:paraId="033C7196" w14:textId="77777777" w:rsidR="00A75D3B" w:rsidRPr="00485577" w:rsidRDefault="00A75D3B" w:rsidP="00DF0A34">
            <w:pPr>
              <w:pStyle w:val="NormalWeb"/>
              <w:jc w:val="left"/>
              <w:rPr>
                <w:sz w:val="18"/>
                <w:szCs w:val="18"/>
              </w:rPr>
            </w:pPr>
            <w:proofErr w:type="spellStart"/>
            <w:r w:rsidRPr="00485577">
              <w:rPr>
                <w:sz w:val="18"/>
                <w:szCs w:val="18"/>
              </w:rPr>
              <w:t>DTPa</w:t>
            </w:r>
            <w:proofErr w:type="spellEnd"/>
          </w:p>
        </w:tc>
        <w:tc>
          <w:tcPr>
            <w:tcW w:w="9350" w:type="dxa"/>
            <w:hideMark/>
          </w:tcPr>
          <w:p w14:paraId="40DE38DF" w14:textId="77777777" w:rsidR="00A75D3B" w:rsidRPr="00485577" w:rsidRDefault="00A75D3B" w:rsidP="00DF0A34">
            <w:pPr>
              <w:pStyle w:val="NormalWeb"/>
              <w:jc w:val="left"/>
              <w:rPr>
                <w:sz w:val="18"/>
                <w:szCs w:val="18"/>
              </w:rPr>
            </w:pPr>
            <w:r w:rsidRPr="00485577">
              <w:rPr>
                <w:sz w:val="18"/>
                <w:szCs w:val="18"/>
              </w:rPr>
              <w:t>diphtheria-tetanus-acellular pertussis (children aged under 10 years formulation)</w:t>
            </w:r>
          </w:p>
        </w:tc>
      </w:tr>
      <w:tr w:rsidR="00A75D3B" w:rsidRPr="00485577" w14:paraId="1F55A945" w14:textId="77777777" w:rsidTr="00A75D3B">
        <w:tc>
          <w:tcPr>
            <w:tcW w:w="0" w:type="auto"/>
            <w:hideMark/>
          </w:tcPr>
          <w:p w14:paraId="1D2E73A9" w14:textId="77777777" w:rsidR="00A75D3B" w:rsidRPr="00485577" w:rsidRDefault="00A75D3B" w:rsidP="00DF0A34">
            <w:pPr>
              <w:pStyle w:val="NormalWeb"/>
              <w:jc w:val="left"/>
              <w:rPr>
                <w:sz w:val="18"/>
                <w:szCs w:val="18"/>
              </w:rPr>
            </w:pPr>
            <w:proofErr w:type="spellStart"/>
            <w:r w:rsidRPr="00485577">
              <w:rPr>
                <w:sz w:val="18"/>
                <w:szCs w:val="18"/>
              </w:rPr>
              <w:t>dTpa</w:t>
            </w:r>
            <w:proofErr w:type="spellEnd"/>
          </w:p>
        </w:tc>
        <w:tc>
          <w:tcPr>
            <w:tcW w:w="9350" w:type="dxa"/>
            <w:hideMark/>
          </w:tcPr>
          <w:p w14:paraId="1A17D511" w14:textId="77777777" w:rsidR="00A75D3B" w:rsidRPr="00485577" w:rsidRDefault="00A75D3B" w:rsidP="00DF0A34">
            <w:pPr>
              <w:pStyle w:val="NormalWeb"/>
              <w:jc w:val="left"/>
              <w:rPr>
                <w:sz w:val="18"/>
                <w:szCs w:val="18"/>
              </w:rPr>
            </w:pPr>
            <w:r w:rsidRPr="00485577">
              <w:rPr>
                <w:sz w:val="18"/>
                <w:szCs w:val="18"/>
              </w:rPr>
              <w:t>diphtheria-tetanus-acellular pertussis (children and adolescents aged over 10 years formulation)</w:t>
            </w:r>
          </w:p>
        </w:tc>
      </w:tr>
      <w:tr w:rsidR="00A75D3B" w:rsidRPr="00485577" w14:paraId="1148DE2F" w14:textId="77777777" w:rsidTr="00A75D3B">
        <w:trPr>
          <w:cnfStyle w:val="000000010000" w:firstRow="0" w:lastRow="0" w:firstColumn="0" w:lastColumn="0" w:oddVBand="0" w:evenVBand="0" w:oddHBand="0" w:evenHBand="1" w:firstRowFirstColumn="0" w:firstRowLastColumn="0" w:lastRowFirstColumn="0" w:lastRowLastColumn="0"/>
        </w:trPr>
        <w:tc>
          <w:tcPr>
            <w:tcW w:w="0" w:type="auto"/>
            <w:hideMark/>
          </w:tcPr>
          <w:p w14:paraId="344B8978" w14:textId="77777777" w:rsidR="00A75D3B" w:rsidRPr="00485577" w:rsidRDefault="00A75D3B" w:rsidP="00DF0A34">
            <w:pPr>
              <w:pStyle w:val="NormalWeb"/>
              <w:jc w:val="left"/>
              <w:rPr>
                <w:sz w:val="18"/>
                <w:szCs w:val="18"/>
              </w:rPr>
            </w:pPr>
            <w:r w:rsidRPr="00485577">
              <w:rPr>
                <w:sz w:val="18"/>
                <w:szCs w:val="18"/>
              </w:rPr>
              <w:t>23vPPV</w:t>
            </w:r>
          </w:p>
        </w:tc>
        <w:tc>
          <w:tcPr>
            <w:tcW w:w="9350" w:type="dxa"/>
            <w:hideMark/>
          </w:tcPr>
          <w:p w14:paraId="50E58C6C" w14:textId="77777777" w:rsidR="00A75D3B" w:rsidRPr="00485577" w:rsidRDefault="00A75D3B" w:rsidP="00DF0A34">
            <w:pPr>
              <w:pStyle w:val="NormalWeb"/>
              <w:jc w:val="left"/>
              <w:rPr>
                <w:sz w:val="18"/>
                <w:szCs w:val="18"/>
              </w:rPr>
            </w:pPr>
            <w:r w:rsidRPr="00485577">
              <w:rPr>
                <w:sz w:val="18"/>
                <w:szCs w:val="18"/>
              </w:rPr>
              <w:t>23-valent pneumococcal polysaccharide vaccine</w:t>
            </w:r>
          </w:p>
        </w:tc>
      </w:tr>
      <w:tr w:rsidR="00A75D3B" w:rsidRPr="00485577" w14:paraId="22CCBA52" w14:textId="77777777" w:rsidTr="00A75D3B">
        <w:tc>
          <w:tcPr>
            <w:tcW w:w="0" w:type="auto"/>
            <w:hideMark/>
          </w:tcPr>
          <w:p w14:paraId="33806779" w14:textId="77777777" w:rsidR="00A75D3B" w:rsidRPr="00485577" w:rsidRDefault="00A75D3B" w:rsidP="00DF0A34">
            <w:pPr>
              <w:pStyle w:val="NormalWeb"/>
              <w:jc w:val="left"/>
              <w:rPr>
                <w:sz w:val="18"/>
                <w:szCs w:val="18"/>
              </w:rPr>
            </w:pPr>
            <w:r w:rsidRPr="00485577">
              <w:rPr>
                <w:sz w:val="18"/>
                <w:szCs w:val="18"/>
              </w:rPr>
              <w:t>Flu</w:t>
            </w:r>
          </w:p>
        </w:tc>
        <w:tc>
          <w:tcPr>
            <w:tcW w:w="9350" w:type="dxa"/>
            <w:hideMark/>
          </w:tcPr>
          <w:p w14:paraId="600E61D9" w14:textId="77777777" w:rsidR="00A75D3B" w:rsidRPr="00485577" w:rsidRDefault="00A75D3B" w:rsidP="00DF0A34">
            <w:pPr>
              <w:pStyle w:val="NormalWeb"/>
              <w:jc w:val="left"/>
              <w:rPr>
                <w:sz w:val="18"/>
                <w:szCs w:val="18"/>
              </w:rPr>
            </w:pPr>
            <w:r w:rsidRPr="00485577">
              <w:rPr>
                <w:sz w:val="18"/>
                <w:szCs w:val="18"/>
              </w:rPr>
              <w:t>influenza</w:t>
            </w:r>
          </w:p>
        </w:tc>
      </w:tr>
      <w:tr w:rsidR="00A75D3B" w:rsidRPr="00485577" w14:paraId="017AC8E5" w14:textId="77777777" w:rsidTr="00A75D3B">
        <w:trPr>
          <w:cnfStyle w:val="000000010000" w:firstRow="0" w:lastRow="0" w:firstColumn="0" w:lastColumn="0" w:oddVBand="0" w:evenVBand="0" w:oddHBand="0" w:evenHBand="1" w:firstRowFirstColumn="0" w:firstRowLastColumn="0" w:lastRowFirstColumn="0" w:lastRowLastColumn="0"/>
        </w:trPr>
        <w:tc>
          <w:tcPr>
            <w:tcW w:w="0" w:type="auto"/>
            <w:hideMark/>
          </w:tcPr>
          <w:p w14:paraId="23149244" w14:textId="77777777" w:rsidR="00A75D3B" w:rsidRPr="00485577" w:rsidRDefault="00A75D3B" w:rsidP="00DF0A34">
            <w:pPr>
              <w:pStyle w:val="NormalWeb"/>
              <w:jc w:val="left"/>
              <w:rPr>
                <w:sz w:val="18"/>
                <w:szCs w:val="18"/>
              </w:rPr>
            </w:pPr>
            <w:r w:rsidRPr="00485577">
              <w:rPr>
                <w:sz w:val="18"/>
                <w:szCs w:val="18"/>
              </w:rPr>
              <w:t>Hep A</w:t>
            </w:r>
          </w:p>
        </w:tc>
        <w:tc>
          <w:tcPr>
            <w:tcW w:w="9350" w:type="dxa"/>
            <w:hideMark/>
          </w:tcPr>
          <w:p w14:paraId="673BF033" w14:textId="77777777" w:rsidR="00A75D3B" w:rsidRPr="00485577" w:rsidRDefault="00A75D3B" w:rsidP="00DF0A34">
            <w:pPr>
              <w:pStyle w:val="NormalWeb"/>
              <w:jc w:val="left"/>
              <w:rPr>
                <w:sz w:val="18"/>
                <w:szCs w:val="18"/>
              </w:rPr>
            </w:pPr>
            <w:r w:rsidRPr="00485577">
              <w:rPr>
                <w:sz w:val="18"/>
                <w:szCs w:val="18"/>
              </w:rPr>
              <w:t>hepatitis A</w:t>
            </w:r>
          </w:p>
        </w:tc>
      </w:tr>
      <w:tr w:rsidR="00A75D3B" w:rsidRPr="00485577" w14:paraId="64CD06AD" w14:textId="77777777" w:rsidTr="00A75D3B">
        <w:tc>
          <w:tcPr>
            <w:tcW w:w="0" w:type="auto"/>
            <w:hideMark/>
          </w:tcPr>
          <w:p w14:paraId="5E79B00A" w14:textId="77777777" w:rsidR="00A75D3B" w:rsidRPr="00485577" w:rsidRDefault="00A75D3B" w:rsidP="00DF0A34">
            <w:pPr>
              <w:pStyle w:val="NormalWeb"/>
              <w:jc w:val="left"/>
              <w:rPr>
                <w:sz w:val="18"/>
                <w:szCs w:val="18"/>
              </w:rPr>
            </w:pPr>
            <w:r w:rsidRPr="00485577">
              <w:rPr>
                <w:sz w:val="18"/>
                <w:szCs w:val="18"/>
              </w:rPr>
              <w:t>Hep B</w:t>
            </w:r>
          </w:p>
        </w:tc>
        <w:tc>
          <w:tcPr>
            <w:tcW w:w="9350" w:type="dxa"/>
            <w:hideMark/>
          </w:tcPr>
          <w:p w14:paraId="7D6347F9" w14:textId="77777777" w:rsidR="00A75D3B" w:rsidRPr="00485577" w:rsidRDefault="00A75D3B" w:rsidP="00DF0A34">
            <w:pPr>
              <w:pStyle w:val="NormalWeb"/>
              <w:jc w:val="left"/>
              <w:rPr>
                <w:sz w:val="18"/>
                <w:szCs w:val="18"/>
              </w:rPr>
            </w:pPr>
            <w:r w:rsidRPr="00485577">
              <w:rPr>
                <w:sz w:val="18"/>
                <w:szCs w:val="18"/>
              </w:rPr>
              <w:t>hepatitis B</w:t>
            </w:r>
          </w:p>
        </w:tc>
      </w:tr>
      <w:tr w:rsidR="00A75D3B" w:rsidRPr="00485577" w14:paraId="16E47F05" w14:textId="77777777" w:rsidTr="00A75D3B">
        <w:trPr>
          <w:cnfStyle w:val="000000010000" w:firstRow="0" w:lastRow="0" w:firstColumn="0" w:lastColumn="0" w:oddVBand="0" w:evenVBand="0" w:oddHBand="0" w:evenHBand="1" w:firstRowFirstColumn="0" w:firstRowLastColumn="0" w:lastRowFirstColumn="0" w:lastRowLastColumn="0"/>
        </w:trPr>
        <w:tc>
          <w:tcPr>
            <w:tcW w:w="0" w:type="auto"/>
            <w:hideMark/>
          </w:tcPr>
          <w:p w14:paraId="2886185B" w14:textId="77777777" w:rsidR="00A75D3B" w:rsidRPr="00485577" w:rsidRDefault="00A75D3B" w:rsidP="00DF0A34">
            <w:pPr>
              <w:pStyle w:val="NormalWeb"/>
              <w:jc w:val="left"/>
              <w:rPr>
                <w:sz w:val="18"/>
                <w:szCs w:val="18"/>
              </w:rPr>
            </w:pPr>
            <w:r w:rsidRPr="00485577">
              <w:rPr>
                <w:sz w:val="18"/>
                <w:szCs w:val="18"/>
              </w:rPr>
              <w:t>Hib</w:t>
            </w:r>
          </w:p>
        </w:tc>
        <w:tc>
          <w:tcPr>
            <w:tcW w:w="9350" w:type="dxa"/>
            <w:hideMark/>
          </w:tcPr>
          <w:p w14:paraId="3B61180D" w14:textId="77777777" w:rsidR="00A75D3B" w:rsidRPr="00485577" w:rsidRDefault="00A75D3B" w:rsidP="00DF0A34">
            <w:pPr>
              <w:pStyle w:val="NormalWeb"/>
              <w:jc w:val="left"/>
              <w:rPr>
                <w:sz w:val="18"/>
                <w:szCs w:val="18"/>
              </w:rPr>
            </w:pPr>
            <w:r w:rsidRPr="0025691F">
              <w:rPr>
                <w:i/>
                <w:iCs/>
                <w:sz w:val="18"/>
                <w:szCs w:val="18"/>
              </w:rPr>
              <w:t>Haemophilus influenzae</w:t>
            </w:r>
            <w:r w:rsidRPr="00485577">
              <w:rPr>
                <w:sz w:val="18"/>
                <w:szCs w:val="18"/>
              </w:rPr>
              <w:t xml:space="preserve"> type b</w:t>
            </w:r>
          </w:p>
        </w:tc>
      </w:tr>
      <w:tr w:rsidR="00A75D3B" w:rsidRPr="00485577" w14:paraId="5ED52368" w14:textId="77777777" w:rsidTr="00A75D3B">
        <w:tc>
          <w:tcPr>
            <w:tcW w:w="0" w:type="auto"/>
            <w:hideMark/>
          </w:tcPr>
          <w:p w14:paraId="56E9A38E" w14:textId="77777777" w:rsidR="00A75D3B" w:rsidRPr="00485577" w:rsidRDefault="00A75D3B" w:rsidP="00DF0A34">
            <w:pPr>
              <w:pStyle w:val="NormalWeb"/>
              <w:jc w:val="left"/>
              <w:rPr>
                <w:sz w:val="18"/>
                <w:szCs w:val="18"/>
              </w:rPr>
            </w:pPr>
            <w:r w:rsidRPr="00485577">
              <w:rPr>
                <w:sz w:val="18"/>
                <w:szCs w:val="18"/>
              </w:rPr>
              <w:t>HPV</w:t>
            </w:r>
          </w:p>
        </w:tc>
        <w:tc>
          <w:tcPr>
            <w:tcW w:w="9350" w:type="dxa"/>
            <w:hideMark/>
          </w:tcPr>
          <w:p w14:paraId="5C345607" w14:textId="77777777" w:rsidR="00A75D3B" w:rsidRPr="00485577" w:rsidRDefault="00A75D3B" w:rsidP="00DF0A34">
            <w:pPr>
              <w:pStyle w:val="NormalWeb"/>
              <w:jc w:val="left"/>
              <w:rPr>
                <w:sz w:val="18"/>
                <w:szCs w:val="18"/>
              </w:rPr>
            </w:pPr>
            <w:r w:rsidRPr="00485577">
              <w:rPr>
                <w:sz w:val="18"/>
                <w:szCs w:val="18"/>
              </w:rPr>
              <w:t>human papillomavirus</w:t>
            </w:r>
          </w:p>
        </w:tc>
      </w:tr>
      <w:tr w:rsidR="00A75D3B" w:rsidRPr="00485577" w14:paraId="1EA96EE1" w14:textId="77777777" w:rsidTr="00A75D3B">
        <w:trPr>
          <w:cnfStyle w:val="000000010000" w:firstRow="0" w:lastRow="0" w:firstColumn="0" w:lastColumn="0" w:oddVBand="0" w:evenVBand="0" w:oddHBand="0" w:evenHBand="1" w:firstRowFirstColumn="0" w:firstRowLastColumn="0" w:lastRowFirstColumn="0" w:lastRowLastColumn="0"/>
        </w:trPr>
        <w:tc>
          <w:tcPr>
            <w:tcW w:w="0" w:type="auto"/>
            <w:hideMark/>
          </w:tcPr>
          <w:p w14:paraId="31BC36F5" w14:textId="77777777" w:rsidR="00A75D3B" w:rsidRPr="00485577" w:rsidRDefault="00A75D3B" w:rsidP="00DF0A34">
            <w:pPr>
              <w:pStyle w:val="NormalWeb"/>
              <w:jc w:val="left"/>
              <w:rPr>
                <w:sz w:val="18"/>
                <w:szCs w:val="18"/>
              </w:rPr>
            </w:pPr>
            <w:proofErr w:type="spellStart"/>
            <w:r w:rsidRPr="00485577">
              <w:rPr>
                <w:sz w:val="18"/>
                <w:szCs w:val="18"/>
              </w:rPr>
              <w:t>MenACWY</w:t>
            </w:r>
            <w:proofErr w:type="spellEnd"/>
          </w:p>
        </w:tc>
        <w:tc>
          <w:tcPr>
            <w:tcW w:w="9350" w:type="dxa"/>
            <w:hideMark/>
          </w:tcPr>
          <w:p w14:paraId="1C95173E" w14:textId="77777777" w:rsidR="00A75D3B" w:rsidRPr="00485577" w:rsidRDefault="00A75D3B" w:rsidP="00DF0A34">
            <w:pPr>
              <w:pStyle w:val="NormalWeb"/>
              <w:jc w:val="left"/>
              <w:rPr>
                <w:sz w:val="18"/>
                <w:szCs w:val="18"/>
              </w:rPr>
            </w:pPr>
            <w:r w:rsidRPr="00485577">
              <w:rPr>
                <w:sz w:val="18"/>
                <w:szCs w:val="18"/>
              </w:rPr>
              <w:t>meningococcal ACWY</w:t>
            </w:r>
          </w:p>
        </w:tc>
      </w:tr>
      <w:tr w:rsidR="00A75D3B" w:rsidRPr="00485577" w14:paraId="5B0F73CE" w14:textId="77777777" w:rsidTr="00A75D3B">
        <w:tc>
          <w:tcPr>
            <w:tcW w:w="0" w:type="auto"/>
            <w:hideMark/>
          </w:tcPr>
          <w:p w14:paraId="650F80E8" w14:textId="77777777" w:rsidR="00A75D3B" w:rsidRPr="00485577" w:rsidRDefault="00A75D3B" w:rsidP="00DF0A34">
            <w:pPr>
              <w:pStyle w:val="NormalWeb"/>
              <w:jc w:val="left"/>
              <w:rPr>
                <w:sz w:val="18"/>
                <w:szCs w:val="18"/>
              </w:rPr>
            </w:pPr>
            <w:proofErr w:type="spellStart"/>
            <w:r w:rsidRPr="00485577">
              <w:rPr>
                <w:sz w:val="18"/>
                <w:szCs w:val="18"/>
              </w:rPr>
              <w:t>MenB</w:t>
            </w:r>
            <w:proofErr w:type="spellEnd"/>
          </w:p>
        </w:tc>
        <w:tc>
          <w:tcPr>
            <w:tcW w:w="9350" w:type="dxa"/>
            <w:hideMark/>
          </w:tcPr>
          <w:p w14:paraId="1ED135F3" w14:textId="77777777" w:rsidR="00A75D3B" w:rsidRPr="00485577" w:rsidRDefault="00A75D3B" w:rsidP="00DF0A34">
            <w:pPr>
              <w:pStyle w:val="NormalWeb"/>
              <w:jc w:val="left"/>
              <w:rPr>
                <w:sz w:val="18"/>
                <w:szCs w:val="18"/>
              </w:rPr>
            </w:pPr>
            <w:r w:rsidRPr="00485577">
              <w:rPr>
                <w:sz w:val="18"/>
                <w:szCs w:val="18"/>
              </w:rPr>
              <w:t>meningococcal B</w:t>
            </w:r>
          </w:p>
        </w:tc>
      </w:tr>
      <w:tr w:rsidR="00A75D3B" w:rsidRPr="00485577" w14:paraId="6357E67F" w14:textId="77777777" w:rsidTr="00A75D3B">
        <w:trPr>
          <w:cnfStyle w:val="000000010000" w:firstRow="0" w:lastRow="0" w:firstColumn="0" w:lastColumn="0" w:oddVBand="0" w:evenVBand="0" w:oddHBand="0" w:evenHBand="1" w:firstRowFirstColumn="0" w:firstRowLastColumn="0" w:lastRowFirstColumn="0" w:lastRowLastColumn="0"/>
        </w:trPr>
        <w:tc>
          <w:tcPr>
            <w:tcW w:w="0" w:type="auto"/>
            <w:hideMark/>
          </w:tcPr>
          <w:p w14:paraId="7ADA9F71" w14:textId="77777777" w:rsidR="00A75D3B" w:rsidRPr="00485577" w:rsidRDefault="00A75D3B" w:rsidP="00DF0A34">
            <w:pPr>
              <w:pStyle w:val="NormalWeb"/>
              <w:jc w:val="left"/>
              <w:rPr>
                <w:sz w:val="18"/>
                <w:szCs w:val="18"/>
              </w:rPr>
            </w:pPr>
            <w:proofErr w:type="spellStart"/>
            <w:r w:rsidRPr="00485577">
              <w:rPr>
                <w:sz w:val="18"/>
                <w:szCs w:val="18"/>
              </w:rPr>
              <w:t>MenC</w:t>
            </w:r>
            <w:proofErr w:type="spellEnd"/>
          </w:p>
        </w:tc>
        <w:tc>
          <w:tcPr>
            <w:tcW w:w="9350" w:type="dxa"/>
            <w:hideMark/>
          </w:tcPr>
          <w:p w14:paraId="3023AAB0" w14:textId="77777777" w:rsidR="00A75D3B" w:rsidRPr="00485577" w:rsidRDefault="00A75D3B" w:rsidP="00DF0A34">
            <w:pPr>
              <w:pStyle w:val="NormalWeb"/>
              <w:jc w:val="left"/>
              <w:rPr>
                <w:sz w:val="18"/>
                <w:szCs w:val="18"/>
              </w:rPr>
            </w:pPr>
            <w:r w:rsidRPr="00485577">
              <w:rPr>
                <w:sz w:val="18"/>
                <w:szCs w:val="18"/>
              </w:rPr>
              <w:t>meningococcal C</w:t>
            </w:r>
          </w:p>
        </w:tc>
      </w:tr>
      <w:tr w:rsidR="00A75D3B" w:rsidRPr="00485577" w14:paraId="33F4A4E7" w14:textId="77777777" w:rsidTr="00A75D3B">
        <w:tc>
          <w:tcPr>
            <w:tcW w:w="0" w:type="auto"/>
            <w:hideMark/>
          </w:tcPr>
          <w:p w14:paraId="3E3277B2" w14:textId="77777777" w:rsidR="00A75D3B" w:rsidRPr="00485577" w:rsidRDefault="00A75D3B" w:rsidP="00DF0A34">
            <w:pPr>
              <w:pStyle w:val="NormalWeb"/>
              <w:jc w:val="left"/>
              <w:rPr>
                <w:sz w:val="18"/>
                <w:szCs w:val="18"/>
              </w:rPr>
            </w:pPr>
            <w:r w:rsidRPr="00485577">
              <w:rPr>
                <w:sz w:val="18"/>
                <w:szCs w:val="18"/>
              </w:rPr>
              <w:t>MMR</w:t>
            </w:r>
          </w:p>
        </w:tc>
        <w:tc>
          <w:tcPr>
            <w:tcW w:w="9350" w:type="dxa"/>
            <w:hideMark/>
          </w:tcPr>
          <w:p w14:paraId="3126AE2C" w14:textId="77777777" w:rsidR="00A75D3B" w:rsidRPr="00485577" w:rsidRDefault="00A75D3B" w:rsidP="00DF0A34">
            <w:pPr>
              <w:pStyle w:val="NormalWeb"/>
              <w:jc w:val="left"/>
              <w:rPr>
                <w:sz w:val="18"/>
                <w:szCs w:val="18"/>
              </w:rPr>
            </w:pPr>
            <w:r w:rsidRPr="00485577">
              <w:rPr>
                <w:sz w:val="18"/>
                <w:szCs w:val="18"/>
              </w:rPr>
              <w:t>measles-mumps-rubella</w:t>
            </w:r>
          </w:p>
        </w:tc>
      </w:tr>
      <w:tr w:rsidR="00A75D3B" w:rsidRPr="00485577" w14:paraId="335A22D0" w14:textId="77777777" w:rsidTr="00A75D3B">
        <w:trPr>
          <w:cnfStyle w:val="000000010000" w:firstRow="0" w:lastRow="0" w:firstColumn="0" w:lastColumn="0" w:oddVBand="0" w:evenVBand="0" w:oddHBand="0" w:evenHBand="1" w:firstRowFirstColumn="0" w:firstRowLastColumn="0" w:lastRowFirstColumn="0" w:lastRowLastColumn="0"/>
        </w:trPr>
        <w:tc>
          <w:tcPr>
            <w:tcW w:w="0" w:type="auto"/>
            <w:hideMark/>
          </w:tcPr>
          <w:p w14:paraId="4B67005E" w14:textId="77777777" w:rsidR="00A75D3B" w:rsidRPr="00485577" w:rsidRDefault="00A75D3B" w:rsidP="00DF0A34">
            <w:pPr>
              <w:pStyle w:val="NormalWeb"/>
              <w:jc w:val="left"/>
              <w:rPr>
                <w:sz w:val="18"/>
                <w:szCs w:val="18"/>
              </w:rPr>
            </w:pPr>
            <w:r w:rsidRPr="00485577">
              <w:rPr>
                <w:sz w:val="18"/>
                <w:szCs w:val="18"/>
              </w:rPr>
              <w:t>MMRV</w:t>
            </w:r>
          </w:p>
        </w:tc>
        <w:tc>
          <w:tcPr>
            <w:tcW w:w="9350" w:type="dxa"/>
            <w:hideMark/>
          </w:tcPr>
          <w:p w14:paraId="4985F6CE" w14:textId="77777777" w:rsidR="00A75D3B" w:rsidRPr="00485577" w:rsidRDefault="00A75D3B" w:rsidP="00DF0A34">
            <w:pPr>
              <w:pStyle w:val="NormalWeb"/>
              <w:jc w:val="left"/>
              <w:rPr>
                <w:sz w:val="18"/>
                <w:szCs w:val="18"/>
              </w:rPr>
            </w:pPr>
            <w:r w:rsidRPr="00485577">
              <w:rPr>
                <w:sz w:val="18"/>
                <w:szCs w:val="18"/>
              </w:rPr>
              <w:t>measles-mumps-rubella-varicella</w:t>
            </w:r>
          </w:p>
        </w:tc>
      </w:tr>
      <w:tr w:rsidR="00A75D3B" w:rsidRPr="00485577" w14:paraId="1B8895D4" w14:textId="77777777" w:rsidTr="00A75D3B">
        <w:tc>
          <w:tcPr>
            <w:tcW w:w="0" w:type="auto"/>
            <w:tcBorders>
              <w:bottom w:val="single" w:sz="2" w:space="0" w:color="auto"/>
            </w:tcBorders>
            <w:hideMark/>
          </w:tcPr>
          <w:p w14:paraId="23F66792" w14:textId="77777777" w:rsidR="00A75D3B" w:rsidRPr="00485577" w:rsidRDefault="00A75D3B" w:rsidP="00DF0A34">
            <w:pPr>
              <w:pStyle w:val="NormalWeb"/>
              <w:jc w:val="left"/>
              <w:rPr>
                <w:sz w:val="18"/>
                <w:szCs w:val="18"/>
              </w:rPr>
            </w:pPr>
            <w:r w:rsidRPr="00485577">
              <w:rPr>
                <w:sz w:val="18"/>
                <w:szCs w:val="18"/>
              </w:rPr>
              <w:t>PRP-OMP</w:t>
            </w:r>
          </w:p>
        </w:tc>
        <w:tc>
          <w:tcPr>
            <w:tcW w:w="9350" w:type="dxa"/>
            <w:tcBorders>
              <w:bottom w:val="single" w:sz="2" w:space="0" w:color="auto"/>
            </w:tcBorders>
            <w:hideMark/>
          </w:tcPr>
          <w:p w14:paraId="3EF015FE" w14:textId="77777777" w:rsidR="00A75D3B" w:rsidRPr="00485577" w:rsidRDefault="00A75D3B" w:rsidP="00DF0A34">
            <w:pPr>
              <w:pStyle w:val="NormalWeb"/>
              <w:jc w:val="left"/>
              <w:rPr>
                <w:sz w:val="18"/>
                <w:szCs w:val="18"/>
              </w:rPr>
            </w:pPr>
            <w:r w:rsidRPr="0025691F">
              <w:rPr>
                <w:i/>
                <w:iCs/>
                <w:sz w:val="18"/>
                <w:szCs w:val="18"/>
              </w:rPr>
              <w:t>Haemophilus influenzae</w:t>
            </w:r>
            <w:r w:rsidRPr="00485577">
              <w:rPr>
                <w:sz w:val="18"/>
                <w:szCs w:val="18"/>
              </w:rPr>
              <w:t xml:space="preserve"> type b conjugate (meningococcal outer membrane conjugate)</w:t>
            </w:r>
          </w:p>
        </w:tc>
      </w:tr>
    </w:tbl>
    <w:p w14:paraId="3AB8E329" w14:textId="37DEC1D8" w:rsidR="002B4EF6" w:rsidRPr="00FD4A14" w:rsidRDefault="002B4EF6" w:rsidP="00FD4A14">
      <w:pPr>
        <w:pStyle w:val="Heading1"/>
      </w:pPr>
      <w:r w:rsidRPr="00FD4A14">
        <w:t xml:space="preserve">Results </w:t>
      </w:r>
    </w:p>
    <w:p w14:paraId="61EF7D73" w14:textId="77777777" w:rsidR="002B4EF6" w:rsidRPr="00FD4A14" w:rsidRDefault="002B4EF6" w:rsidP="00FD4A14">
      <w:pPr>
        <w:pStyle w:val="Heading2"/>
      </w:pPr>
      <w:r w:rsidRPr="00FD4A14">
        <w:t xml:space="preserve">Children </w:t>
      </w:r>
    </w:p>
    <w:p w14:paraId="3BAC91A6" w14:textId="77777777" w:rsidR="002B4EF6" w:rsidRPr="00FD4A14" w:rsidRDefault="002B4EF6" w:rsidP="00FD4A14">
      <w:pPr>
        <w:pStyle w:val="Heading3"/>
      </w:pPr>
      <w:r w:rsidRPr="00FD4A14">
        <w:t xml:space="preserve">Coverage at 12, 24 and 60 months of age </w:t>
      </w:r>
    </w:p>
    <w:p w14:paraId="665C6438" w14:textId="77777777" w:rsidR="002B4EF6" w:rsidRPr="002024C9" w:rsidRDefault="002B4EF6" w:rsidP="00FD4A14">
      <w:pPr>
        <w:pStyle w:val="Heading4"/>
        <w:rPr>
          <w:b w:val="0"/>
          <w:bCs w:val="0"/>
        </w:rPr>
      </w:pPr>
      <w:r w:rsidRPr="002024C9">
        <w:rPr>
          <w:b w:val="0"/>
          <w:bCs w:val="0"/>
        </w:rPr>
        <w:t xml:space="preserve">‘Fully vaccinated’ </w:t>
      </w:r>
    </w:p>
    <w:p w14:paraId="78052749" w14:textId="5ADC9B7A" w:rsidR="00C8503B" w:rsidRPr="00C8503B" w:rsidRDefault="002B4EF6">
      <w:r w:rsidRPr="002024C9">
        <w:rPr>
          <w:rStyle w:val="Emphasis"/>
          <w:b w:val="0"/>
          <w:bCs w:val="0"/>
        </w:rPr>
        <w:t>‘</w:t>
      </w:r>
      <w:r>
        <w:t xml:space="preserve">Fully vaccinated’ coverage for all children (incorporating all vaccines/antigens included in the relevant assessment algorithm; refer to detailed methods section in Appendix) increased between 2019 and 2020 at all three age milestones: 12 months (from 94.3% to 94.8%); 24 months (from 91.1% to 92.1%); and 60 months (from 94.2% to 94.8%) (Table 1). Longer-term trends in ‘fully vaccinated’ coverage are shown in Figure A.1 in the Appendix. ‘Fully vaccinated’ coverage estimates for 2020 at the three age milestones are also provided by PHN in Appendix Table A.4. </w:t>
      </w:r>
      <w:r>
        <w:lastRenderedPageBreak/>
        <w:t>For the 12-months age milestone, ‘fully vaccinated’ coverage ranged from a low of 90.1% in the North Coast PHN to a high of 96.9% in the Western NSW PHN. For the 24-months age milestone, ‘fully vaccinated’ coverage ranged from a low of 87.8% in the North Coast PHN to a high of 94.8% in the Western Victoria PHN. For the 60-months age milestone, ‘fully vaccinated’ coverage ranged from a low of 91.0% in the North Coast PHN to a high of 97.6% in the Western NSW PHN.</w:t>
      </w:r>
      <w:r w:rsidR="0025691F">
        <w:rPr>
          <w:rStyle w:val="FootnoteReference"/>
        </w:rPr>
        <w:footnoteReference w:id="3"/>
      </w:r>
    </w:p>
    <w:p w14:paraId="78C12310" w14:textId="77777777" w:rsidR="00C8503B" w:rsidRPr="00485577" w:rsidRDefault="00C8503B" w:rsidP="00C8503B">
      <w:pPr>
        <w:pStyle w:val="CDIFigures"/>
      </w:pPr>
      <w:r w:rsidRPr="00485577">
        <w:rPr>
          <w:rStyle w:val="Strong"/>
          <w:b/>
          <w:bCs w:val="0"/>
        </w:rPr>
        <w:t>Table 1: Vaccination coverage estimates (%) in children by age assessment milestone, vaccine/antigen and Indigenous status, Australia, 2019 versus 2020</w:t>
      </w:r>
      <w:r w:rsidRPr="00485577">
        <w:rPr>
          <w:rStyle w:val="Strong"/>
          <w:b/>
          <w:bCs w:val="0"/>
          <w:vertAlign w:val="superscript"/>
        </w:rPr>
        <w:t>a</w:t>
      </w:r>
    </w:p>
    <w:tbl>
      <w:tblPr>
        <w:tblStyle w:val="CDI-StandardTable"/>
        <w:tblW w:w="0" w:type="auto"/>
        <w:tblCellMar>
          <w:top w:w="0" w:type="dxa"/>
          <w:left w:w="113" w:type="dxa"/>
          <w:bottom w:w="0" w:type="dxa"/>
          <w:right w:w="113" w:type="dxa"/>
        </w:tblCellMar>
        <w:tblLook w:val="04A0" w:firstRow="1" w:lastRow="0" w:firstColumn="1" w:lastColumn="0" w:noHBand="0" w:noVBand="1"/>
        <w:tblDescription w:val="Table 1 shows vaccination coverage estimates (%) for Indigenous children versus all children by age assessment milestone and vaccine/antigen for Australia, 2019 versus 2020. ‘Fully vaccinated’ coverage for Indigenous children increased slightly between 2019 and 202 at 12 months of age (from 92.9% to 93.1%), at 24 months of age (from 90.0% to 91.2%) and at 60 months (from 96.9% to 97.0%). ‘Fully vaccinated’ coverage for all children also increased slightly between 2019 and 2020 at 12 months of age (from 94.3% to 94.8%), at 24 months of age (from 91.1% to 92.1%) and at 60 months (from 94.2% to 94.8%).&#10;"/>
      </w:tblPr>
      <w:tblGrid>
        <w:gridCol w:w="3279"/>
        <w:gridCol w:w="2270"/>
        <w:gridCol w:w="1252"/>
        <w:gridCol w:w="1134"/>
        <w:gridCol w:w="1276"/>
        <w:gridCol w:w="1249"/>
      </w:tblGrid>
      <w:tr w:rsidR="00C8503B" w:rsidRPr="007C2CFB" w14:paraId="0A4F3FAE" w14:textId="77777777" w:rsidTr="00571B1F">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top w:val="single" w:sz="2" w:space="0" w:color="000000" w:themeColor="text1"/>
              <w:left w:val="single" w:sz="2" w:space="0" w:color="000000" w:themeColor="text1"/>
              <w:bottom w:val="single" w:sz="2" w:space="0" w:color="F7ECDD"/>
              <w:right w:val="single" w:sz="2" w:space="0" w:color="F7ECDD"/>
            </w:tcBorders>
            <w:hideMark/>
          </w:tcPr>
          <w:p w14:paraId="246B0D48" w14:textId="77777777" w:rsidR="00C8503B" w:rsidRPr="007C2CFB" w:rsidRDefault="00C8503B" w:rsidP="00DF0A34">
            <w:pPr>
              <w:pStyle w:val="NormalWeb"/>
              <w:jc w:val="left"/>
              <w:rPr>
                <w:sz w:val="18"/>
                <w:szCs w:val="18"/>
              </w:rPr>
            </w:pPr>
            <w:r w:rsidRPr="007C2CFB">
              <w:rPr>
                <w:sz w:val="18"/>
                <w:szCs w:val="18"/>
              </w:rPr>
              <w:t>Vaccine/antigen</w:t>
            </w:r>
          </w:p>
        </w:tc>
        <w:tc>
          <w:tcPr>
            <w:tcW w:w="2270" w:type="dxa"/>
            <w:vMerge w:val="restart"/>
            <w:tcBorders>
              <w:top w:val="single" w:sz="2" w:space="0" w:color="000000" w:themeColor="text1"/>
              <w:left w:val="single" w:sz="2" w:space="0" w:color="F7ECDD"/>
              <w:bottom w:val="single" w:sz="2" w:space="0" w:color="F7ECDD"/>
              <w:right w:val="single" w:sz="2" w:space="0" w:color="F7ECDD"/>
            </w:tcBorders>
            <w:hideMark/>
          </w:tcPr>
          <w:p w14:paraId="39E94F5C" w14:textId="77777777" w:rsidR="00C8503B" w:rsidRPr="007C2CFB" w:rsidRDefault="00C8503B" w:rsidP="00DF0A34">
            <w:pPr>
              <w:pStyle w:val="NormalWeb"/>
              <w:jc w:val="left"/>
              <w:rPr>
                <w:sz w:val="18"/>
                <w:szCs w:val="18"/>
              </w:rPr>
            </w:pPr>
            <w:r w:rsidRPr="007C2CFB">
              <w:rPr>
                <w:sz w:val="18"/>
                <w:szCs w:val="18"/>
              </w:rPr>
              <w:t>Milestone age</w:t>
            </w:r>
          </w:p>
        </w:tc>
        <w:tc>
          <w:tcPr>
            <w:tcW w:w="2386" w:type="dxa"/>
            <w:gridSpan w:val="2"/>
            <w:tcBorders>
              <w:top w:val="single" w:sz="2" w:space="0" w:color="000000" w:themeColor="text1"/>
              <w:left w:val="single" w:sz="2" w:space="0" w:color="F7ECDD"/>
              <w:bottom w:val="single" w:sz="2" w:space="0" w:color="F7ECDD"/>
              <w:right w:val="single" w:sz="2" w:space="0" w:color="F7ECDD"/>
            </w:tcBorders>
            <w:hideMark/>
          </w:tcPr>
          <w:p w14:paraId="46964BD9" w14:textId="77777777" w:rsidR="00C8503B" w:rsidRPr="007C2CFB" w:rsidRDefault="00C8503B" w:rsidP="00DF0A34">
            <w:pPr>
              <w:pStyle w:val="NormalWeb"/>
              <w:rPr>
                <w:sz w:val="18"/>
                <w:szCs w:val="18"/>
              </w:rPr>
            </w:pPr>
            <w:r w:rsidRPr="007C2CFB">
              <w:rPr>
                <w:sz w:val="18"/>
                <w:szCs w:val="18"/>
              </w:rPr>
              <w:t>Indigenous (%)</w:t>
            </w:r>
          </w:p>
        </w:tc>
        <w:tc>
          <w:tcPr>
            <w:tcW w:w="2525" w:type="dxa"/>
            <w:gridSpan w:val="2"/>
            <w:tcBorders>
              <w:top w:val="single" w:sz="2" w:space="0" w:color="000000" w:themeColor="text1"/>
              <w:left w:val="single" w:sz="2" w:space="0" w:color="F7ECDD"/>
              <w:bottom w:val="single" w:sz="2" w:space="0" w:color="F7ECDD"/>
              <w:right w:val="single" w:sz="2" w:space="0" w:color="000000" w:themeColor="text1"/>
            </w:tcBorders>
            <w:hideMark/>
          </w:tcPr>
          <w:p w14:paraId="0EE88BFE" w14:textId="77777777" w:rsidR="00C8503B" w:rsidRPr="007C2CFB" w:rsidRDefault="00C8503B" w:rsidP="00DF0A34">
            <w:pPr>
              <w:pStyle w:val="NormalWeb"/>
              <w:rPr>
                <w:sz w:val="18"/>
                <w:szCs w:val="18"/>
              </w:rPr>
            </w:pPr>
            <w:r w:rsidRPr="007C2CFB">
              <w:rPr>
                <w:sz w:val="18"/>
                <w:szCs w:val="18"/>
              </w:rPr>
              <w:t>All children (%)</w:t>
            </w:r>
          </w:p>
        </w:tc>
      </w:tr>
      <w:tr w:rsidR="00C8503B" w:rsidRPr="007C2CFB" w14:paraId="1F140918" w14:textId="77777777" w:rsidTr="00571B1F">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7ECDD"/>
              <w:left w:val="single" w:sz="2" w:space="0" w:color="000000" w:themeColor="text1"/>
              <w:right w:val="single" w:sz="2" w:space="0" w:color="F7ECDD"/>
            </w:tcBorders>
            <w:hideMark/>
          </w:tcPr>
          <w:p w14:paraId="1D4AB6BA" w14:textId="77777777" w:rsidR="00C8503B" w:rsidRPr="007C2CFB" w:rsidRDefault="00C8503B" w:rsidP="00DF0A34">
            <w:pPr>
              <w:jc w:val="left"/>
              <w:rPr>
                <w:sz w:val="18"/>
                <w:szCs w:val="18"/>
              </w:rPr>
            </w:pPr>
          </w:p>
        </w:tc>
        <w:tc>
          <w:tcPr>
            <w:tcW w:w="2270" w:type="dxa"/>
            <w:vMerge/>
            <w:tcBorders>
              <w:top w:val="single" w:sz="2" w:space="0" w:color="F7ECDD"/>
              <w:left w:val="single" w:sz="2" w:space="0" w:color="F7ECDD"/>
              <w:right w:val="single" w:sz="2" w:space="0" w:color="F7ECDD"/>
            </w:tcBorders>
            <w:hideMark/>
          </w:tcPr>
          <w:p w14:paraId="5650C01B" w14:textId="77777777" w:rsidR="00C8503B" w:rsidRPr="007C2CFB" w:rsidRDefault="00C8503B" w:rsidP="00DF0A34">
            <w:pPr>
              <w:jc w:val="left"/>
              <w:rPr>
                <w:sz w:val="18"/>
                <w:szCs w:val="18"/>
              </w:rPr>
            </w:pPr>
          </w:p>
        </w:tc>
        <w:tc>
          <w:tcPr>
            <w:tcW w:w="1252" w:type="dxa"/>
            <w:tcBorders>
              <w:top w:val="single" w:sz="2" w:space="0" w:color="F7ECDD"/>
              <w:left w:val="single" w:sz="2" w:space="0" w:color="F7ECDD"/>
              <w:right w:val="single" w:sz="2" w:space="0" w:color="F7ECDD"/>
            </w:tcBorders>
            <w:hideMark/>
          </w:tcPr>
          <w:p w14:paraId="72E6B109" w14:textId="77777777" w:rsidR="00C8503B" w:rsidRPr="007C2CFB" w:rsidRDefault="00C8503B" w:rsidP="00DF0A34">
            <w:pPr>
              <w:pStyle w:val="NormalWeb"/>
              <w:rPr>
                <w:sz w:val="18"/>
                <w:szCs w:val="18"/>
              </w:rPr>
            </w:pPr>
            <w:r w:rsidRPr="007C2CFB">
              <w:rPr>
                <w:sz w:val="18"/>
                <w:szCs w:val="18"/>
              </w:rPr>
              <w:t>2019</w:t>
            </w:r>
            <w:r w:rsidRPr="007C2CFB">
              <w:rPr>
                <w:sz w:val="18"/>
                <w:szCs w:val="18"/>
                <w:vertAlign w:val="superscript"/>
              </w:rPr>
              <w:t>b</w:t>
            </w:r>
          </w:p>
        </w:tc>
        <w:tc>
          <w:tcPr>
            <w:tcW w:w="1134" w:type="dxa"/>
            <w:tcBorders>
              <w:top w:val="single" w:sz="2" w:space="0" w:color="F7ECDD"/>
              <w:left w:val="single" w:sz="2" w:space="0" w:color="F7ECDD"/>
              <w:right w:val="single" w:sz="2" w:space="0" w:color="F7ECDD"/>
            </w:tcBorders>
            <w:hideMark/>
          </w:tcPr>
          <w:p w14:paraId="17228F52" w14:textId="77777777" w:rsidR="00C8503B" w:rsidRPr="007C2CFB" w:rsidRDefault="00C8503B" w:rsidP="00DF0A34">
            <w:pPr>
              <w:pStyle w:val="NormalWeb"/>
              <w:rPr>
                <w:sz w:val="18"/>
                <w:szCs w:val="18"/>
              </w:rPr>
            </w:pPr>
            <w:r w:rsidRPr="007C2CFB">
              <w:rPr>
                <w:sz w:val="18"/>
                <w:szCs w:val="18"/>
              </w:rPr>
              <w:t>2020</w:t>
            </w:r>
          </w:p>
        </w:tc>
        <w:tc>
          <w:tcPr>
            <w:tcW w:w="1276" w:type="dxa"/>
            <w:tcBorders>
              <w:top w:val="single" w:sz="2" w:space="0" w:color="F7ECDD"/>
              <w:left w:val="single" w:sz="2" w:space="0" w:color="F7ECDD"/>
              <w:right w:val="single" w:sz="2" w:space="0" w:color="F7ECDD"/>
            </w:tcBorders>
            <w:hideMark/>
          </w:tcPr>
          <w:p w14:paraId="23E109BE" w14:textId="77777777" w:rsidR="00C8503B" w:rsidRPr="007C2CFB" w:rsidRDefault="00C8503B" w:rsidP="00DF0A34">
            <w:pPr>
              <w:pStyle w:val="NormalWeb"/>
              <w:rPr>
                <w:sz w:val="18"/>
                <w:szCs w:val="18"/>
              </w:rPr>
            </w:pPr>
            <w:r w:rsidRPr="007C2CFB">
              <w:rPr>
                <w:sz w:val="18"/>
                <w:szCs w:val="18"/>
              </w:rPr>
              <w:t>2019</w:t>
            </w:r>
            <w:r w:rsidRPr="007C2CFB">
              <w:rPr>
                <w:sz w:val="18"/>
                <w:szCs w:val="18"/>
                <w:vertAlign w:val="superscript"/>
              </w:rPr>
              <w:t>b</w:t>
            </w:r>
          </w:p>
        </w:tc>
        <w:tc>
          <w:tcPr>
            <w:tcW w:w="1249" w:type="dxa"/>
            <w:tcBorders>
              <w:top w:val="single" w:sz="2" w:space="0" w:color="F7ECDD"/>
              <w:left w:val="single" w:sz="2" w:space="0" w:color="F7ECDD"/>
              <w:right w:val="single" w:sz="2" w:space="0" w:color="000000" w:themeColor="text1"/>
            </w:tcBorders>
            <w:hideMark/>
          </w:tcPr>
          <w:p w14:paraId="0B3F8668" w14:textId="77777777" w:rsidR="00C8503B" w:rsidRPr="007C2CFB" w:rsidRDefault="00C8503B" w:rsidP="00DF0A34">
            <w:pPr>
              <w:pStyle w:val="NormalWeb"/>
              <w:rPr>
                <w:sz w:val="18"/>
                <w:szCs w:val="18"/>
              </w:rPr>
            </w:pPr>
            <w:r w:rsidRPr="007C2CFB">
              <w:rPr>
                <w:sz w:val="18"/>
                <w:szCs w:val="18"/>
              </w:rPr>
              <w:t>2020</w:t>
            </w:r>
          </w:p>
        </w:tc>
      </w:tr>
      <w:tr w:rsidR="00C8503B" w:rsidRPr="007C2CFB" w14:paraId="79BCE15A" w14:textId="77777777" w:rsidTr="00571B1F">
        <w:tc>
          <w:tcPr>
            <w:tcW w:w="0" w:type="auto"/>
            <w:vMerge w:val="restart"/>
            <w:tcBorders>
              <w:left w:val="single" w:sz="4" w:space="0" w:color="auto"/>
              <w:bottom w:val="single" w:sz="4" w:space="0" w:color="auto"/>
              <w:right w:val="single" w:sz="4" w:space="0" w:color="auto"/>
            </w:tcBorders>
            <w:shd w:val="clear" w:color="auto" w:fill="auto"/>
            <w:hideMark/>
          </w:tcPr>
          <w:p w14:paraId="5EAD91DE" w14:textId="77777777" w:rsidR="00C8503B" w:rsidRPr="007C2CFB" w:rsidRDefault="00C8503B" w:rsidP="00DF0A34">
            <w:pPr>
              <w:pStyle w:val="NormalWeb"/>
              <w:jc w:val="left"/>
              <w:rPr>
                <w:sz w:val="18"/>
                <w:szCs w:val="18"/>
              </w:rPr>
            </w:pPr>
            <w:r w:rsidRPr="007C2CFB">
              <w:rPr>
                <w:sz w:val="18"/>
                <w:szCs w:val="18"/>
              </w:rPr>
              <w:t xml:space="preserve">‘Fully </w:t>
            </w:r>
            <w:proofErr w:type="spellStart"/>
            <w:r w:rsidRPr="007C2CFB">
              <w:rPr>
                <w:sz w:val="18"/>
                <w:szCs w:val="18"/>
              </w:rPr>
              <w:t>vaccinated’</w:t>
            </w:r>
            <w:r w:rsidRPr="007C2CFB">
              <w:rPr>
                <w:sz w:val="18"/>
                <w:szCs w:val="18"/>
                <w:vertAlign w:val="superscript"/>
              </w:rPr>
              <w:t>c</w:t>
            </w:r>
            <w:proofErr w:type="spellEnd"/>
          </w:p>
        </w:tc>
        <w:tc>
          <w:tcPr>
            <w:tcW w:w="2270" w:type="dxa"/>
            <w:tcBorders>
              <w:left w:val="single" w:sz="4" w:space="0" w:color="auto"/>
              <w:bottom w:val="single" w:sz="4" w:space="0" w:color="auto"/>
              <w:right w:val="single" w:sz="4" w:space="0" w:color="auto"/>
            </w:tcBorders>
            <w:shd w:val="clear" w:color="auto" w:fill="auto"/>
            <w:hideMark/>
          </w:tcPr>
          <w:p w14:paraId="43C1DBAC" w14:textId="77777777" w:rsidR="00C8503B" w:rsidRPr="007C2CFB" w:rsidRDefault="00C8503B" w:rsidP="00DF0A34">
            <w:pPr>
              <w:pStyle w:val="NormalWeb"/>
              <w:jc w:val="left"/>
              <w:rPr>
                <w:sz w:val="18"/>
                <w:szCs w:val="18"/>
              </w:rPr>
            </w:pPr>
            <w:r w:rsidRPr="007C2CFB">
              <w:rPr>
                <w:sz w:val="18"/>
                <w:szCs w:val="18"/>
              </w:rPr>
              <w:t xml:space="preserve">12 </w:t>
            </w:r>
            <w:proofErr w:type="spellStart"/>
            <w:r w:rsidRPr="007C2CFB">
              <w:rPr>
                <w:sz w:val="18"/>
                <w:szCs w:val="18"/>
              </w:rPr>
              <w:t>months</w:t>
            </w:r>
            <w:r w:rsidRPr="007C2CFB">
              <w:rPr>
                <w:sz w:val="18"/>
                <w:szCs w:val="18"/>
                <w:vertAlign w:val="superscript"/>
              </w:rPr>
              <w:t>d</w:t>
            </w:r>
            <w:proofErr w:type="spellEnd"/>
          </w:p>
        </w:tc>
        <w:tc>
          <w:tcPr>
            <w:tcW w:w="1252" w:type="dxa"/>
            <w:tcBorders>
              <w:left w:val="single" w:sz="4" w:space="0" w:color="auto"/>
              <w:bottom w:val="single" w:sz="4" w:space="0" w:color="auto"/>
              <w:right w:val="single" w:sz="4" w:space="0" w:color="auto"/>
            </w:tcBorders>
            <w:shd w:val="clear" w:color="auto" w:fill="auto"/>
            <w:hideMark/>
          </w:tcPr>
          <w:p w14:paraId="7F153025" w14:textId="77777777" w:rsidR="00C8503B" w:rsidRPr="007C2CFB" w:rsidRDefault="00C8503B" w:rsidP="00DF0A34">
            <w:pPr>
              <w:pStyle w:val="NormalWeb"/>
              <w:rPr>
                <w:sz w:val="18"/>
                <w:szCs w:val="18"/>
              </w:rPr>
            </w:pPr>
            <w:r w:rsidRPr="007C2CFB">
              <w:rPr>
                <w:sz w:val="18"/>
                <w:szCs w:val="18"/>
              </w:rPr>
              <w:t>92.9</w:t>
            </w:r>
          </w:p>
        </w:tc>
        <w:tc>
          <w:tcPr>
            <w:tcW w:w="1134" w:type="dxa"/>
            <w:tcBorders>
              <w:left w:val="single" w:sz="4" w:space="0" w:color="auto"/>
              <w:bottom w:val="single" w:sz="4" w:space="0" w:color="auto"/>
              <w:right w:val="single" w:sz="4" w:space="0" w:color="auto"/>
            </w:tcBorders>
            <w:shd w:val="clear" w:color="auto" w:fill="auto"/>
            <w:hideMark/>
          </w:tcPr>
          <w:p w14:paraId="6AE4F366" w14:textId="77777777" w:rsidR="00C8503B" w:rsidRPr="007C2CFB" w:rsidRDefault="00C8503B" w:rsidP="00DF0A34">
            <w:pPr>
              <w:pStyle w:val="NormalWeb"/>
              <w:rPr>
                <w:sz w:val="18"/>
                <w:szCs w:val="18"/>
              </w:rPr>
            </w:pPr>
            <w:r w:rsidRPr="007C2CFB">
              <w:rPr>
                <w:sz w:val="18"/>
                <w:szCs w:val="18"/>
              </w:rPr>
              <w:t>93.1</w:t>
            </w:r>
          </w:p>
        </w:tc>
        <w:tc>
          <w:tcPr>
            <w:tcW w:w="1276" w:type="dxa"/>
            <w:tcBorders>
              <w:left w:val="single" w:sz="4" w:space="0" w:color="auto"/>
              <w:bottom w:val="single" w:sz="4" w:space="0" w:color="auto"/>
              <w:right w:val="single" w:sz="4" w:space="0" w:color="auto"/>
            </w:tcBorders>
            <w:shd w:val="clear" w:color="auto" w:fill="auto"/>
            <w:hideMark/>
          </w:tcPr>
          <w:p w14:paraId="6C5A88E9" w14:textId="77777777" w:rsidR="00C8503B" w:rsidRPr="007C2CFB" w:rsidRDefault="00C8503B" w:rsidP="00DF0A34">
            <w:pPr>
              <w:pStyle w:val="NormalWeb"/>
              <w:rPr>
                <w:sz w:val="18"/>
                <w:szCs w:val="18"/>
              </w:rPr>
            </w:pPr>
            <w:r w:rsidRPr="007C2CFB">
              <w:rPr>
                <w:sz w:val="18"/>
                <w:szCs w:val="18"/>
              </w:rPr>
              <w:t>94.3</w:t>
            </w:r>
          </w:p>
        </w:tc>
        <w:tc>
          <w:tcPr>
            <w:tcW w:w="1249" w:type="dxa"/>
            <w:tcBorders>
              <w:left w:val="single" w:sz="4" w:space="0" w:color="auto"/>
              <w:bottom w:val="single" w:sz="4" w:space="0" w:color="auto"/>
              <w:right w:val="single" w:sz="4" w:space="0" w:color="auto"/>
            </w:tcBorders>
            <w:shd w:val="clear" w:color="auto" w:fill="auto"/>
            <w:hideMark/>
          </w:tcPr>
          <w:p w14:paraId="68435265" w14:textId="77777777" w:rsidR="00C8503B" w:rsidRPr="007C2CFB" w:rsidRDefault="00C8503B" w:rsidP="00DF0A34">
            <w:pPr>
              <w:pStyle w:val="NormalWeb"/>
              <w:rPr>
                <w:sz w:val="18"/>
                <w:szCs w:val="18"/>
              </w:rPr>
            </w:pPr>
            <w:r w:rsidRPr="007C2CFB">
              <w:rPr>
                <w:sz w:val="18"/>
                <w:szCs w:val="18"/>
              </w:rPr>
              <w:t>94.8</w:t>
            </w:r>
          </w:p>
        </w:tc>
      </w:tr>
      <w:tr w:rsidR="00C8503B" w:rsidRPr="007C2CFB" w14:paraId="1B9C4109" w14:textId="77777777" w:rsidTr="00571B1F">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5E1E32C7" w14:textId="77777777" w:rsidR="00C8503B" w:rsidRPr="007C2CFB" w:rsidRDefault="00C8503B" w:rsidP="00DF0A34">
            <w:pPr>
              <w:jc w:val="left"/>
              <w:rPr>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14:paraId="478EEA83" w14:textId="77777777" w:rsidR="00C8503B" w:rsidRPr="007C2CFB" w:rsidRDefault="00C8503B" w:rsidP="00DF0A34">
            <w:pPr>
              <w:pStyle w:val="NormalWeb"/>
              <w:jc w:val="left"/>
              <w:rPr>
                <w:sz w:val="18"/>
                <w:szCs w:val="18"/>
              </w:rPr>
            </w:pPr>
            <w:r w:rsidRPr="007C2CFB">
              <w:rPr>
                <w:sz w:val="18"/>
                <w:szCs w:val="18"/>
              </w:rPr>
              <w:t xml:space="preserve">24 </w:t>
            </w:r>
            <w:proofErr w:type="spellStart"/>
            <w:r w:rsidRPr="007C2CFB">
              <w:rPr>
                <w:sz w:val="18"/>
                <w:szCs w:val="18"/>
              </w:rPr>
              <w:t>months</w:t>
            </w:r>
            <w:r w:rsidRPr="007C2CFB">
              <w:rPr>
                <w:sz w:val="18"/>
                <w:szCs w:val="18"/>
                <w:vertAlign w:val="superscript"/>
              </w:rPr>
              <w:t>e</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auto"/>
            <w:hideMark/>
          </w:tcPr>
          <w:p w14:paraId="50C784D9" w14:textId="77777777" w:rsidR="00C8503B" w:rsidRPr="007C2CFB" w:rsidRDefault="00C8503B" w:rsidP="00DF0A34">
            <w:pPr>
              <w:pStyle w:val="NormalWeb"/>
              <w:rPr>
                <w:sz w:val="18"/>
                <w:szCs w:val="18"/>
              </w:rPr>
            </w:pPr>
            <w:r w:rsidRPr="007C2CFB">
              <w:rPr>
                <w:sz w:val="18"/>
                <w:szCs w:val="18"/>
              </w:rPr>
              <w:t>90.0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14049D5" w14:textId="77777777" w:rsidR="00C8503B" w:rsidRPr="007C2CFB" w:rsidRDefault="00C8503B" w:rsidP="00DF0A34">
            <w:pPr>
              <w:pStyle w:val="NormalWeb"/>
              <w:rPr>
                <w:sz w:val="18"/>
                <w:szCs w:val="18"/>
              </w:rPr>
            </w:pPr>
            <w:r w:rsidRPr="007C2CFB">
              <w:rPr>
                <w:sz w:val="18"/>
                <w:szCs w:val="18"/>
              </w:rPr>
              <w:t>91.2</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6A5D316A" w14:textId="77777777" w:rsidR="00C8503B" w:rsidRPr="007C2CFB" w:rsidRDefault="00C8503B" w:rsidP="00DF0A34">
            <w:pPr>
              <w:pStyle w:val="NormalWeb"/>
              <w:rPr>
                <w:sz w:val="18"/>
                <w:szCs w:val="18"/>
              </w:rPr>
            </w:pPr>
            <w:r w:rsidRPr="007C2CFB">
              <w:rPr>
                <w:sz w:val="18"/>
                <w:szCs w:val="18"/>
              </w:rPr>
              <w:t>91.1</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14:paraId="143DA2D3" w14:textId="77777777" w:rsidR="00C8503B" w:rsidRPr="007C2CFB" w:rsidRDefault="00C8503B" w:rsidP="00DF0A34">
            <w:pPr>
              <w:pStyle w:val="NormalWeb"/>
              <w:rPr>
                <w:sz w:val="18"/>
                <w:szCs w:val="18"/>
              </w:rPr>
            </w:pPr>
            <w:r w:rsidRPr="007C2CFB">
              <w:rPr>
                <w:sz w:val="18"/>
                <w:szCs w:val="18"/>
              </w:rPr>
              <w:t>92.1</w:t>
            </w:r>
          </w:p>
        </w:tc>
      </w:tr>
      <w:tr w:rsidR="00C8503B" w:rsidRPr="007C2CFB" w14:paraId="76F370A8" w14:textId="77777777" w:rsidTr="00571B1F">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5477BB94" w14:textId="77777777" w:rsidR="00C8503B" w:rsidRPr="007C2CFB" w:rsidRDefault="00C8503B" w:rsidP="00DF0A34">
            <w:pPr>
              <w:jc w:val="left"/>
              <w:rPr>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14:paraId="1063F748" w14:textId="77777777" w:rsidR="00C8503B" w:rsidRPr="007C2CFB" w:rsidRDefault="00C8503B" w:rsidP="00DF0A34">
            <w:pPr>
              <w:pStyle w:val="NormalWeb"/>
              <w:jc w:val="left"/>
              <w:rPr>
                <w:sz w:val="18"/>
                <w:szCs w:val="18"/>
              </w:rPr>
            </w:pPr>
            <w:r w:rsidRPr="007C2CFB">
              <w:rPr>
                <w:sz w:val="18"/>
                <w:szCs w:val="18"/>
              </w:rPr>
              <w:t xml:space="preserve">60 </w:t>
            </w:r>
            <w:proofErr w:type="spellStart"/>
            <w:r w:rsidRPr="007C2CFB">
              <w:rPr>
                <w:sz w:val="18"/>
                <w:szCs w:val="18"/>
              </w:rPr>
              <w:t>months</w:t>
            </w:r>
            <w:r w:rsidRPr="007C2CFB">
              <w:rPr>
                <w:sz w:val="18"/>
                <w:szCs w:val="18"/>
                <w:vertAlign w:val="superscript"/>
              </w:rPr>
              <w:t>f</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auto"/>
            <w:hideMark/>
          </w:tcPr>
          <w:p w14:paraId="661248D1" w14:textId="77777777" w:rsidR="00C8503B" w:rsidRPr="007C2CFB" w:rsidRDefault="00C8503B" w:rsidP="00DF0A34">
            <w:pPr>
              <w:pStyle w:val="NormalWeb"/>
              <w:rPr>
                <w:sz w:val="18"/>
                <w:szCs w:val="18"/>
              </w:rPr>
            </w:pPr>
            <w:r w:rsidRPr="007C2CFB">
              <w:rPr>
                <w:sz w:val="18"/>
                <w:szCs w:val="18"/>
              </w:rPr>
              <w:t>96.9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6805496" w14:textId="77777777" w:rsidR="00C8503B" w:rsidRPr="007C2CFB" w:rsidRDefault="00C8503B" w:rsidP="00DF0A34">
            <w:pPr>
              <w:pStyle w:val="NormalWeb"/>
              <w:rPr>
                <w:sz w:val="18"/>
                <w:szCs w:val="18"/>
              </w:rPr>
            </w:pPr>
            <w:r w:rsidRPr="007C2CFB">
              <w:rPr>
                <w:sz w:val="18"/>
                <w:szCs w:val="18"/>
              </w:rPr>
              <w:t>97.0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6439F673" w14:textId="77777777" w:rsidR="00C8503B" w:rsidRPr="007C2CFB" w:rsidRDefault="00C8503B" w:rsidP="00DF0A34">
            <w:pPr>
              <w:pStyle w:val="NormalWeb"/>
              <w:rPr>
                <w:sz w:val="18"/>
                <w:szCs w:val="18"/>
              </w:rPr>
            </w:pPr>
            <w:r w:rsidRPr="007C2CFB">
              <w:rPr>
                <w:sz w:val="18"/>
                <w:szCs w:val="18"/>
              </w:rPr>
              <w:t>94.2</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14:paraId="1EB09290" w14:textId="77777777" w:rsidR="00C8503B" w:rsidRPr="007C2CFB" w:rsidRDefault="00C8503B" w:rsidP="00DF0A34">
            <w:pPr>
              <w:pStyle w:val="NormalWeb"/>
              <w:rPr>
                <w:sz w:val="18"/>
                <w:szCs w:val="18"/>
              </w:rPr>
            </w:pPr>
            <w:r w:rsidRPr="007C2CFB">
              <w:rPr>
                <w:sz w:val="18"/>
                <w:szCs w:val="18"/>
              </w:rPr>
              <w:t>94.8</w:t>
            </w:r>
          </w:p>
        </w:tc>
      </w:tr>
      <w:tr w:rsidR="00C8503B" w:rsidRPr="007C2CFB" w14:paraId="3257B642" w14:textId="77777777" w:rsidTr="00571B1F">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14:paraId="7435CEC5" w14:textId="77777777" w:rsidR="00C8503B" w:rsidRPr="007C2CFB" w:rsidRDefault="00C8503B" w:rsidP="00DF0A34">
            <w:pPr>
              <w:pStyle w:val="NormalWeb"/>
              <w:jc w:val="left"/>
              <w:rPr>
                <w:sz w:val="18"/>
                <w:szCs w:val="18"/>
              </w:rPr>
            </w:pPr>
            <w:r w:rsidRPr="007C2CFB">
              <w:rPr>
                <w:sz w:val="18"/>
                <w:szCs w:val="18"/>
              </w:rPr>
              <w:t>Diphtheria-tetanus- acellular pertussis</w:t>
            </w: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14:paraId="4F4A5194" w14:textId="77777777" w:rsidR="00C8503B" w:rsidRPr="007C2CFB" w:rsidRDefault="00C8503B" w:rsidP="00DF0A34">
            <w:pPr>
              <w:pStyle w:val="NormalWeb"/>
              <w:jc w:val="left"/>
              <w:rPr>
                <w:sz w:val="18"/>
                <w:szCs w:val="18"/>
              </w:rPr>
            </w:pPr>
            <w:r w:rsidRPr="007C2CFB">
              <w:rPr>
                <w:sz w:val="18"/>
                <w:szCs w:val="18"/>
              </w:rPr>
              <w:t xml:space="preserve">12 </w:t>
            </w:r>
            <w:proofErr w:type="spellStart"/>
            <w:r w:rsidRPr="007C2CFB">
              <w:rPr>
                <w:sz w:val="18"/>
                <w:szCs w:val="18"/>
              </w:rPr>
              <w:t>months</w:t>
            </w:r>
            <w:r w:rsidRPr="007C2CFB">
              <w:rPr>
                <w:sz w:val="18"/>
                <w:szCs w:val="18"/>
                <w:vertAlign w:val="superscript"/>
              </w:rPr>
              <w:t>d</w:t>
            </w:r>
            <w:proofErr w:type="spellEnd"/>
            <w:r w:rsidRPr="007C2CFB">
              <w:rPr>
                <w:sz w:val="18"/>
                <w:szCs w:val="18"/>
              </w:rPr>
              <w:t xml:space="preserve"> (Dose 3)</w:t>
            </w:r>
          </w:p>
        </w:tc>
        <w:tc>
          <w:tcPr>
            <w:tcW w:w="1252" w:type="dxa"/>
            <w:tcBorders>
              <w:top w:val="single" w:sz="4" w:space="0" w:color="auto"/>
              <w:left w:val="single" w:sz="4" w:space="0" w:color="auto"/>
              <w:bottom w:val="single" w:sz="4" w:space="0" w:color="auto"/>
              <w:right w:val="single" w:sz="4" w:space="0" w:color="auto"/>
            </w:tcBorders>
            <w:shd w:val="clear" w:color="auto" w:fill="auto"/>
            <w:hideMark/>
          </w:tcPr>
          <w:p w14:paraId="712877E6" w14:textId="77777777" w:rsidR="00C8503B" w:rsidRPr="007C2CFB" w:rsidRDefault="00C8503B" w:rsidP="00DF0A34">
            <w:pPr>
              <w:pStyle w:val="NormalWeb"/>
              <w:rPr>
                <w:sz w:val="18"/>
                <w:szCs w:val="18"/>
              </w:rPr>
            </w:pPr>
            <w:r w:rsidRPr="007C2CFB">
              <w:rPr>
                <w:sz w:val="18"/>
                <w:szCs w:val="18"/>
              </w:rPr>
              <w:t>93.2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88CAA4A" w14:textId="77777777" w:rsidR="00C8503B" w:rsidRPr="007C2CFB" w:rsidRDefault="00C8503B" w:rsidP="00DF0A34">
            <w:pPr>
              <w:pStyle w:val="NormalWeb"/>
              <w:rPr>
                <w:sz w:val="18"/>
                <w:szCs w:val="18"/>
              </w:rPr>
            </w:pPr>
            <w:r w:rsidRPr="007C2CFB">
              <w:rPr>
                <w:sz w:val="18"/>
                <w:szCs w:val="18"/>
              </w:rPr>
              <w:t>93.3</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076DBCEA" w14:textId="77777777" w:rsidR="00C8503B" w:rsidRPr="007C2CFB" w:rsidRDefault="00C8503B" w:rsidP="00DF0A34">
            <w:pPr>
              <w:pStyle w:val="NormalWeb"/>
              <w:rPr>
                <w:sz w:val="18"/>
                <w:szCs w:val="18"/>
              </w:rPr>
            </w:pPr>
            <w:r w:rsidRPr="007C2CFB">
              <w:rPr>
                <w:sz w:val="18"/>
                <w:szCs w:val="18"/>
              </w:rPr>
              <w:t>95.0</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14:paraId="17F5234B" w14:textId="77777777" w:rsidR="00C8503B" w:rsidRPr="007C2CFB" w:rsidRDefault="00C8503B" w:rsidP="00DF0A34">
            <w:pPr>
              <w:pStyle w:val="NormalWeb"/>
              <w:rPr>
                <w:sz w:val="18"/>
                <w:szCs w:val="18"/>
              </w:rPr>
            </w:pPr>
            <w:r w:rsidRPr="007C2CFB">
              <w:rPr>
                <w:sz w:val="18"/>
                <w:szCs w:val="18"/>
              </w:rPr>
              <w:t>95.3</w:t>
            </w:r>
          </w:p>
        </w:tc>
      </w:tr>
      <w:tr w:rsidR="00C8503B" w:rsidRPr="007C2CFB" w14:paraId="674411A9" w14:textId="77777777" w:rsidTr="00571B1F">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69F7DCCA" w14:textId="77777777" w:rsidR="00C8503B" w:rsidRPr="007C2CFB" w:rsidRDefault="00C8503B" w:rsidP="00DF0A34">
            <w:pPr>
              <w:jc w:val="left"/>
              <w:rPr>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14:paraId="64DE10EA" w14:textId="77777777" w:rsidR="00C8503B" w:rsidRPr="007C2CFB" w:rsidRDefault="00C8503B" w:rsidP="00DF0A34">
            <w:pPr>
              <w:pStyle w:val="NormalWeb"/>
              <w:jc w:val="left"/>
              <w:rPr>
                <w:sz w:val="18"/>
                <w:szCs w:val="18"/>
              </w:rPr>
            </w:pPr>
            <w:r w:rsidRPr="007C2CFB">
              <w:rPr>
                <w:sz w:val="18"/>
                <w:szCs w:val="18"/>
              </w:rPr>
              <w:t xml:space="preserve">24 </w:t>
            </w:r>
            <w:proofErr w:type="spellStart"/>
            <w:r w:rsidRPr="007C2CFB">
              <w:rPr>
                <w:sz w:val="18"/>
                <w:szCs w:val="18"/>
              </w:rPr>
              <w:t>months</w:t>
            </w:r>
            <w:r w:rsidRPr="007C2CFB">
              <w:rPr>
                <w:sz w:val="18"/>
                <w:szCs w:val="18"/>
                <w:vertAlign w:val="superscript"/>
              </w:rPr>
              <w:t>e</w:t>
            </w:r>
            <w:proofErr w:type="spellEnd"/>
            <w:r w:rsidRPr="007C2CFB">
              <w:rPr>
                <w:sz w:val="18"/>
                <w:szCs w:val="18"/>
              </w:rPr>
              <w:t xml:space="preserve"> (Dose 4)</w:t>
            </w:r>
          </w:p>
        </w:tc>
        <w:tc>
          <w:tcPr>
            <w:tcW w:w="1252" w:type="dxa"/>
            <w:tcBorders>
              <w:top w:val="single" w:sz="4" w:space="0" w:color="auto"/>
              <w:left w:val="single" w:sz="4" w:space="0" w:color="auto"/>
              <w:bottom w:val="single" w:sz="4" w:space="0" w:color="auto"/>
              <w:right w:val="single" w:sz="4" w:space="0" w:color="auto"/>
            </w:tcBorders>
            <w:shd w:val="clear" w:color="auto" w:fill="auto"/>
            <w:hideMark/>
          </w:tcPr>
          <w:p w14:paraId="363BD18D" w14:textId="77777777" w:rsidR="00C8503B" w:rsidRPr="007C2CFB" w:rsidRDefault="00C8503B" w:rsidP="00DF0A34">
            <w:pPr>
              <w:pStyle w:val="NormalWeb"/>
              <w:rPr>
                <w:sz w:val="18"/>
                <w:szCs w:val="18"/>
              </w:rPr>
            </w:pPr>
            <w:r w:rsidRPr="007C2CFB">
              <w:rPr>
                <w:sz w:val="18"/>
                <w:szCs w:val="18"/>
              </w:rPr>
              <w:t>91.5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FE2E152" w14:textId="77777777" w:rsidR="00C8503B" w:rsidRPr="007C2CFB" w:rsidRDefault="00C8503B" w:rsidP="00DF0A34">
            <w:pPr>
              <w:pStyle w:val="NormalWeb"/>
              <w:rPr>
                <w:sz w:val="18"/>
                <w:szCs w:val="18"/>
              </w:rPr>
            </w:pPr>
            <w:r w:rsidRPr="007C2CFB">
              <w:rPr>
                <w:sz w:val="18"/>
                <w:szCs w:val="18"/>
              </w:rPr>
              <w:t>92.5</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2DEACB20" w14:textId="77777777" w:rsidR="00C8503B" w:rsidRPr="007C2CFB" w:rsidRDefault="00C8503B" w:rsidP="00DF0A34">
            <w:pPr>
              <w:pStyle w:val="NormalWeb"/>
              <w:rPr>
                <w:sz w:val="18"/>
                <w:szCs w:val="18"/>
              </w:rPr>
            </w:pPr>
            <w:r w:rsidRPr="007C2CFB">
              <w:rPr>
                <w:sz w:val="18"/>
                <w:szCs w:val="18"/>
              </w:rPr>
              <w:t>93.1</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14:paraId="237F5747" w14:textId="77777777" w:rsidR="00C8503B" w:rsidRPr="007C2CFB" w:rsidRDefault="00C8503B" w:rsidP="00DF0A34">
            <w:pPr>
              <w:pStyle w:val="NormalWeb"/>
              <w:rPr>
                <w:sz w:val="18"/>
                <w:szCs w:val="18"/>
              </w:rPr>
            </w:pPr>
            <w:r w:rsidRPr="007C2CFB">
              <w:rPr>
                <w:sz w:val="18"/>
                <w:szCs w:val="18"/>
              </w:rPr>
              <w:t>93.5</w:t>
            </w:r>
          </w:p>
        </w:tc>
      </w:tr>
      <w:tr w:rsidR="00C8503B" w:rsidRPr="007C2CFB" w14:paraId="546E6A59" w14:textId="77777777" w:rsidTr="00571B1F">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39667C8D" w14:textId="77777777" w:rsidR="00C8503B" w:rsidRPr="007C2CFB" w:rsidRDefault="00C8503B" w:rsidP="00DF0A34">
            <w:pPr>
              <w:jc w:val="left"/>
              <w:rPr>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14:paraId="2BC5063D" w14:textId="77777777" w:rsidR="00C8503B" w:rsidRPr="007C2CFB" w:rsidRDefault="00C8503B" w:rsidP="00DF0A34">
            <w:pPr>
              <w:pStyle w:val="NormalWeb"/>
              <w:jc w:val="left"/>
              <w:rPr>
                <w:sz w:val="18"/>
                <w:szCs w:val="18"/>
              </w:rPr>
            </w:pPr>
            <w:r w:rsidRPr="007C2CFB">
              <w:rPr>
                <w:sz w:val="18"/>
                <w:szCs w:val="18"/>
              </w:rPr>
              <w:t xml:space="preserve">60 </w:t>
            </w:r>
            <w:proofErr w:type="spellStart"/>
            <w:r w:rsidRPr="007C2CFB">
              <w:rPr>
                <w:sz w:val="18"/>
                <w:szCs w:val="18"/>
              </w:rPr>
              <w:t>months</w:t>
            </w:r>
            <w:r w:rsidRPr="007C2CFB">
              <w:rPr>
                <w:sz w:val="18"/>
                <w:szCs w:val="18"/>
                <w:vertAlign w:val="superscript"/>
              </w:rPr>
              <w:t>f</w:t>
            </w:r>
            <w:proofErr w:type="spellEnd"/>
            <w:r w:rsidRPr="007C2CFB">
              <w:rPr>
                <w:sz w:val="18"/>
                <w:szCs w:val="18"/>
              </w:rPr>
              <w:t xml:space="preserve"> (Dose 4 or 5)</w:t>
            </w:r>
          </w:p>
        </w:tc>
        <w:tc>
          <w:tcPr>
            <w:tcW w:w="1252" w:type="dxa"/>
            <w:tcBorders>
              <w:top w:val="single" w:sz="4" w:space="0" w:color="auto"/>
              <w:left w:val="single" w:sz="4" w:space="0" w:color="auto"/>
              <w:bottom w:val="single" w:sz="4" w:space="0" w:color="auto"/>
              <w:right w:val="single" w:sz="4" w:space="0" w:color="auto"/>
            </w:tcBorders>
            <w:shd w:val="clear" w:color="auto" w:fill="auto"/>
            <w:hideMark/>
          </w:tcPr>
          <w:p w14:paraId="408D23E8" w14:textId="77777777" w:rsidR="00C8503B" w:rsidRPr="007C2CFB" w:rsidRDefault="00C8503B" w:rsidP="00DF0A34">
            <w:pPr>
              <w:pStyle w:val="NormalWeb"/>
              <w:rPr>
                <w:sz w:val="18"/>
                <w:szCs w:val="18"/>
              </w:rPr>
            </w:pPr>
            <w:r w:rsidRPr="007C2CFB">
              <w:rPr>
                <w:sz w:val="18"/>
                <w:szCs w:val="18"/>
              </w:rPr>
              <w:t>97.4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1A75BA5" w14:textId="77777777" w:rsidR="00C8503B" w:rsidRPr="007C2CFB" w:rsidRDefault="00C8503B" w:rsidP="00DF0A34">
            <w:pPr>
              <w:pStyle w:val="NormalWeb"/>
              <w:rPr>
                <w:sz w:val="18"/>
                <w:szCs w:val="18"/>
              </w:rPr>
            </w:pPr>
            <w:r w:rsidRPr="007C2CFB">
              <w:rPr>
                <w:sz w:val="18"/>
                <w:szCs w:val="18"/>
              </w:rPr>
              <w:t>98.5</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0C736CB0" w14:textId="77777777" w:rsidR="00C8503B" w:rsidRPr="007C2CFB" w:rsidRDefault="00C8503B" w:rsidP="00DF0A34">
            <w:pPr>
              <w:pStyle w:val="NormalWeb"/>
              <w:rPr>
                <w:sz w:val="18"/>
                <w:szCs w:val="18"/>
              </w:rPr>
            </w:pPr>
            <w:r w:rsidRPr="007C2CFB">
              <w:rPr>
                <w:sz w:val="18"/>
                <w:szCs w:val="18"/>
              </w:rPr>
              <w:t>94.8</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14:paraId="431D41B4" w14:textId="77777777" w:rsidR="00C8503B" w:rsidRPr="007C2CFB" w:rsidRDefault="00C8503B" w:rsidP="00DF0A34">
            <w:pPr>
              <w:pStyle w:val="NormalWeb"/>
              <w:rPr>
                <w:sz w:val="18"/>
                <w:szCs w:val="18"/>
              </w:rPr>
            </w:pPr>
            <w:r w:rsidRPr="007C2CFB">
              <w:rPr>
                <w:sz w:val="18"/>
                <w:szCs w:val="18"/>
              </w:rPr>
              <w:t>96.7</w:t>
            </w:r>
          </w:p>
        </w:tc>
      </w:tr>
      <w:tr w:rsidR="00C8503B" w:rsidRPr="007C2CFB" w14:paraId="53A3DAC0" w14:textId="77777777" w:rsidTr="00571B1F">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14:paraId="2AF2B34C" w14:textId="77777777" w:rsidR="00C8503B" w:rsidRPr="007C2CFB" w:rsidRDefault="00C8503B" w:rsidP="00DF0A34">
            <w:pPr>
              <w:pStyle w:val="NormalWeb"/>
              <w:jc w:val="left"/>
              <w:rPr>
                <w:sz w:val="18"/>
                <w:szCs w:val="18"/>
              </w:rPr>
            </w:pPr>
            <w:r w:rsidRPr="007C2CFB">
              <w:rPr>
                <w:sz w:val="18"/>
                <w:szCs w:val="18"/>
              </w:rPr>
              <w:t>Polio</w:t>
            </w: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14:paraId="3BD531B8" w14:textId="77777777" w:rsidR="00C8503B" w:rsidRPr="007C2CFB" w:rsidRDefault="00C8503B" w:rsidP="00DF0A34">
            <w:pPr>
              <w:pStyle w:val="NormalWeb"/>
              <w:jc w:val="left"/>
              <w:rPr>
                <w:sz w:val="18"/>
                <w:szCs w:val="18"/>
              </w:rPr>
            </w:pPr>
            <w:r w:rsidRPr="007C2CFB">
              <w:rPr>
                <w:sz w:val="18"/>
                <w:szCs w:val="18"/>
              </w:rPr>
              <w:t xml:space="preserve">12 </w:t>
            </w:r>
            <w:proofErr w:type="spellStart"/>
            <w:r w:rsidRPr="007C2CFB">
              <w:rPr>
                <w:sz w:val="18"/>
                <w:szCs w:val="18"/>
              </w:rPr>
              <w:t>months</w:t>
            </w:r>
            <w:r w:rsidRPr="007C2CFB">
              <w:rPr>
                <w:sz w:val="18"/>
                <w:szCs w:val="18"/>
                <w:vertAlign w:val="superscript"/>
              </w:rPr>
              <w:t>d</w:t>
            </w:r>
            <w:proofErr w:type="spellEnd"/>
            <w:r w:rsidRPr="007C2CFB">
              <w:rPr>
                <w:sz w:val="18"/>
                <w:szCs w:val="18"/>
              </w:rPr>
              <w:t xml:space="preserve"> (Dose 3)</w:t>
            </w:r>
          </w:p>
        </w:tc>
        <w:tc>
          <w:tcPr>
            <w:tcW w:w="1252" w:type="dxa"/>
            <w:tcBorders>
              <w:top w:val="single" w:sz="4" w:space="0" w:color="auto"/>
              <w:left w:val="single" w:sz="4" w:space="0" w:color="auto"/>
              <w:bottom w:val="single" w:sz="4" w:space="0" w:color="auto"/>
              <w:right w:val="single" w:sz="4" w:space="0" w:color="auto"/>
            </w:tcBorders>
            <w:shd w:val="clear" w:color="auto" w:fill="auto"/>
            <w:hideMark/>
          </w:tcPr>
          <w:p w14:paraId="7CE121C7" w14:textId="77777777" w:rsidR="00C8503B" w:rsidRPr="007C2CFB" w:rsidRDefault="00C8503B" w:rsidP="00DF0A34">
            <w:pPr>
              <w:pStyle w:val="NormalWeb"/>
              <w:rPr>
                <w:sz w:val="18"/>
                <w:szCs w:val="18"/>
              </w:rPr>
            </w:pPr>
            <w:r w:rsidRPr="007C2CFB">
              <w:rPr>
                <w:sz w:val="18"/>
                <w:szCs w:val="18"/>
              </w:rPr>
              <w:t>93.1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3D9C980" w14:textId="77777777" w:rsidR="00C8503B" w:rsidRPr="007C2CFB" w:rsidRDefault="00C8503B" w:rsidP="00DF0A34">
            <w:pPr>
              <w:pStyle w:val="NormalWeb"/>
              <w:rPr>
                <w:sz w:val="18"/>
                <w:szCs w:val="18"/>
              </w:rPr>
            </w:pPr>
            <w:r w:rsidRPr="007C2CFB">
              <w:rPr>
                <w:sz w:val="18"/>
                <w:szCs w:val="18"/>
              </w:rPr>
              <w:t>93.3</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3514173B" w14:textId="77777777" w:rsidR="00C8503B" w:rsidRPr="007C2CFB" w:rsidRDefault="00C8503B" w:rsidP="00DF0A34">
            <w:pPr>
              <w:pStyle w:val="NormalWeb"/>
              <w:rPr>
                <w:sz w:val="18"/>
                <w:szCs w:val="18"/>
              </w:rPr>
            </w:pPr>
            <w:r w:rsidRPr="007C2CFB">
              <w:rPr>
                <w:sz w:val="18"/>
                <w:szCs w:val="18"/>
              </w:rPr>
              <w:t>95.0</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14:paraId="5ECC0334" w14:textId="77777777" w:rsidR="00C8503B" w:rsidRPr="007C2CFB" w:rsidRDefault="00C8503B" w:rsidP="00DF0A34">
            <w:pPr>
              <w:pStyle w:val="NormalWeb"/>
              <w:rPr>
                <w:sz w:val="18"/>
                <w:szCs w:val="18"/>
              </w:rPr>
            </w:pPr>
            <w:r w:rsidRPr="007C2CFB">
              <w:rPr>
                <w:sz w:val="18"/>
                <w:szCs w:val="18"/>
              </w:rPr>
              <w:t>95.3</w:t>
            </w:r>
          </w:p>
        </w:tc>
      </w:tr>
      <w:tr w:rsidR="00C8503B" w:rsidRPr="007C2CFB" w14:paraId="77BF8F50" w14:textId="77777777" w:rsidTr="00571B1F">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500BD110" w14:textId="77777777" w:rsidR="00C8503B" w:rsidRPr="007C2CFB" w:rsidRDefault="00C8503B" w:rsidP="00DF0A34">
            <w:pPr>
              <w:jc w:val="left"/>
              <w:rPr>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14:paraId="7060406E" w14:textId="77777777" w:rsidR="00C8503B" w:rsidRPr="007C2CFB" w:rsidRDefault="00C8503B" w:rsidP="00DF0A34">
            <w:pPr>
              <w:pStyle w:val="NormalWeb"/>
              <w:jc w:val="left"/>
              <w:rPr>
                <w:sz w:val="18"/>
                <w:szCs w:val="18"/>
              </w:rPr>
            </w:pPr>
            <w:r w:rsidRPr="007C2CFB">
              <w:rPr>
                <w:sz w:val="18"/>
                <w:szCs w:val="18"/>
              </w:rPr>
              <w:t xml:space="preserve">24 </w:t>
            </w:r>
            <w:proofErr w:type="spellStart"/>
            <w:r w:rsidRPr="007C2CFB">
              <w:rPr>
                <w:sz w:val="18"/>
                <w:szCs w:val="18"/>
              </w:rPr>
              <w:t>months</w:t>
            </w:r>
            <w:r w:rsidRPr="007C2CFB">
              <w:rPr>
                <w:sz w:val="18"/>
                <w:szCs w:val="18"/>
                <w:vertAlign w:val="superscript"/>
              </w:rPr>
              <w:t>e</w:t>
            </w:r>
            <w:proofErr w:type="spellEnd"/>
            <w:r w:rsidRPr="007C2CFB">
              <w:rPr>
                <w:sz w:val="18"/>
                <w:szCs w:val="18"/>
              </w:rPr>
              <w:t xml:space="preserve"> (Dose 3)</w:t>
            </w:r>
          </w:p>
        </w:tc>
        <w:tc>
          <w:tcPr>
            <w:tcW w:w="1252" w:type="dxa"/>
            <w:tcBorders>
              <w:top w:val="single" w:sz="4" w:space="0" w:color="auto"/>
              <w:left w:val="single" w:sz="4" w:space="0" w:color="auto"/>
              <w:bottom w:val="single" w:sz="4" w:space="0" w:color="auto"/>
              <w:right w:val="single" w:sz="4" w:space="0" w:color="auto"/>
            </w:tcBorders>
            <w:shd w:val="clear" w:color="auto" w:fill="auto"/>
            <w:hideMark/>
          </w:tcPr>
          <w:p w14:paraId="3794B233" w14:textId="77777777" w:rsidR="00C8503B" w:rsidRPr="007C2CFB" w:rsidRDefault="00C8503B" w:rsidP="00DF0A34">
            <w:pPr>
              <w:pStyle w:val="NormalWeb"/>
              <w:rPr>
                <w:sz w:val="18"/>
                <w:szCs w:val="18"/>
              </w:rPr>
            </w:pPr>
            <w:r w:rsidRPr="007C2CFB">
              <w:rPr>
                <w:sz w:val="18"/>
                <w:szCs w:val="18"/>
              </w:rPr>
              <w:t>97.1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E851A47" w14:textId="77777777" w:rsidR="00C8503B" w:rsidRPr="007C2CFB" w:rsidRDefault="00C8503B" w:rsidP="00DF0A34">
            <w:pPr>
              <w:pStyle w:val="NormalWeb"/>
              <w:rPr>
                <w:sz w:val="18"/>
                <w:szCs w:val="18"/>
              </w:rPr>
            </w:pPr>
            <w:r w:rsidRPr="007C2CFB">
              <w:rPr>
                <w:sz w:val="18"/>
                <w:szCs w:val="18"/>
              </w:rPr>
              <w:t>97.3</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334E0822" w14:textId="77777777" w:rsidR="00C8503B" w:rsidRPr="007C2CFB" w:rsidRDefault="00C8503B" w:rsidP="00DF0A34">
            <w:pPr>
              <w:pStyle w:val="NormalWeb"/>
              <w:rPr>
                <w:sz w:val="18"/>
                <w:szCs w:val="18"/>
              </w:rPr>
            </w:pPr>
            <w:r w:rsidRPr="007C2CFB">
              <w:rPr>
                <w:sz w:val="18"/>
                <w:szCs w:val="18"/>
              </w:rPr>
              <w:t>96.4</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14:paraId="539AE13C" w14:textId="77777777" w:rsidR="00C8503B" w:rsidRPr="007C2CFB" w:rsidRDefault="00C8503B" w:rsidP="00DF0A34">
            <w:pPr>
              <w:pStyle w:val="NormalWeb"/>
              <w:rPr>
                <w:sz w:val="18"/>
                <w:szCs w:val="18"/>
              </w:rPr>
            </w:pPr>
            <w:r w:rsidRPr="007C2CFB">
              <w:rPr>
                <w:sz w:val="18"/>
                <w:szCs w:val="18"/>
              </w:rPr>
              <w:t>96.6</w:t>
            </w:r>
          </w:p>
        </w:tc>
      </w:tr>
      <w:tr w:rsidR="00C8503B" w:rsidRPr="007C2CFB" w14:paraId="2F12F925" w14:textId="77777777" w:rsidTr="00571B1F">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0AE9EC13" w14:textId="77777777" w:rsidR="00C8503B" w:rsidRPr="007C2CFB" w:rsidRDefault="00C8503B" w:rsidP="00DF0A34">
            <w:pPr>
              <w:jc w:val="left"/>
              <w:rPr>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14:paraId="4B1239B1" w14:textId="77777777" w:rsidR="00C8503B" w:rsidRPr="007C2CFB" w:rsidRDefault="00C8503B" w:rsidP="00DF0A34">
            <w:pPr>
              <w:pStyle w:val="NormalWeb"/>
              <w:jc w:val="left"/>
              <w:rPr>
                <w:sz w:val="18"/>
                <w:szCs w:val="18"/>
              </w:rPr>
            </w:pPr>
            <w:r w:rsidRPr="007C2CFB">
              <w:rPr>
                <w:sz w:val="18"/>
                <w:szCs w:val="18"/>
              </w:rPr>
              <w:t xml:space="preserve">60 </w:t>
            </w:r>
            <w:proofErr w:type="spellStart"/>
            <w:r w:rsidRPr="007C2CFB">
              <w:rPr>
                <w:sz w:val="18"/>
                <w:szCs w:val="18"/>
              </w:rPr>
              <w:t>months</w:t>
            </w:r>
            <w:r w:rsidRPr="007C2CFB">
              <w:rPr>
                <w:sz w:val="18"/>
                <w:szCs w:val="18"/>
                <w:vertAlign w:val="superscript"/>
              </w:rPr>
              <w:t>f</w:t>
            </w:r>
            <w:proofErr w:type="spellEnd"/>
            <w:r w:rsidRPr="007C2CFB">
              <w:rPr>
                <w:sz w:val="18"/>
                <w:szCs w:val="18"/>
              </w:rPr>
              <w:t xml:space="preserve"> (Dose 4)</w:t>
            </w:r>
          </w:p>
        </w:tc>
        <w:tc>
          <w:tcPr>
            <w:tcW w:w="1252" w:type="dxa"/>
            <w:tcBorders>
              <w:top w:val="single" w:sz="4" w:space="0" w:color="auto"/>
              <w:left w:val="single" w:sz="4" w:space="0" w:color="auto"/>
              <w:bottom w:val="single" w:sz="4" w:space="0" w:color="auto"/>
              <w:right w:val="single" w:sz="4" w:space="0" w:color="auto"/>
            </w:tcBorders>
            <w:shd w:val="clear" w:color="auto" w:fill="auto"/>
            <w:hideMark/>
          </w:tcPr>
          <w:p w14:paraId="153C1C43" w14:textId="77777777" w:rsidR="00C8503B" w:rsidRPr="007C2CFB" w:rsidRDefault="00C8503B" w:rsidP="00DF0A34">
            <w:pPr>
              <w:pStyle w:val="NormalWeb"/>
              <w:rPr>
                <w:sz w:val="18"/>
                <w:szCs w:val="18"/>
              </w:rPr>
            </w:pPr>
            <w:r w:rsidRPr="007C2CFB">
              <w:rPr>
                <w:sz w:val="18"/>
                <w:szCs w:val="18"/>
              </w:rPr>
              <w:t>97.0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E14EB77" w14:textId="77777777" w:rsidR="00C8503B" w:rsidRPr="007C2CFB" w:rsidRDefault="00C8503B" w:rsidP="00DF0A34">
            <w:pPr>
              <w:pStyle w:val="NormalWeb"/>
              <w:rPr>
                <w:sz w:val="18"/>
                <w:szCs w:val="18"/>
              </w:rPr>
            </w:pPr>
            <w:r w:rsidRPr="007C2CFB">
              <w:rPr>
                <w:sz w:val="18"/>
                <w:szCs w:val="18"/>
              </w:rPr>
              <w:t>97.0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439A05C1" w14:textId="77777777" w:rsidR="00C8503B" w:rsidRPr="007C2CFB" w:rsidRDefault="00C8503B" w:rsidP="00DF0A34">
            <w:pPr>
              <w:pStyle w:val="NormalWeb"/>
              <w:rPr>
                <w:sz w:val="18"/>
                <w:szCs w:val="18"/>
              </w:rPr>
            </w:pPr>
            <w:r w:rsidRPr="007C2CFB">
              <w:rPr>
                <w:sz w:val="18"/>
                <w:szCs w:val="18"/>
              </w:rPr>
              <w:t>94.3</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14:paraId="06DB8892" w14:textId="77777777" w:rsidR="00C8503B" w:rsidRPr="007C2CFB" w:rsidRDefault="00C8503B" w:rsidP="00DF0A34">
            <w:pPr>
              <w:pStyle w:val="NormalWeb"/>
              <w:rPr>
                <w:sz w:val="18"/>
                <w:szCs w:val="18"/>
              </w:rPr>
            </w:pPr>
            <w:r w:rsidRPr="007C2CFB">
              <w:rPr>
                <w:sz w:val="18"/>
                <w:szCs w:val="18"/>
              </w:rPr>
              <w:t>94.9</w:t>
            </w:r>
          </w:p>
        </w:tc>
      </w:tr>
      <w:tr w:rsidR="00C8503B" w:rsidRPr="007C2CFB" w14:paraId="46AA3AB2" w14:textId="77777777" w:rsidTr="00571B1F">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14:paraId="05ECCB73" w14:textId="77777777" w:rsidR="00C8503B" w:rsidRPr="007C2CFB" w:rsidRDefault="00C8503B" w:rsidP="00DF0A34">
            <w:pPr>
              <w:pStyle w:val="NormalWeb"/>
              <w:jc w:val="left"/>
              <w:rPr>
                <w:sz w:val="18"/>
                <w:szCs w:val="18"/>
              </w:rPr>
            </w:pPr>
            <w:r w:rsidRPr="0025691F">
              <w:rPr>
                <w:i/>
                <w:iCs/>
                <w:sz w:val="18"/>
                <w:szCs w:val="18"/>
              </w:rPr>
              <w:t>Haemophilus influenzae</w:t>
            </w:r>
            <w:r w:rsidRPr="007C2CFB">
              <w:rPr>
                <w:sz w:val="18"/>
                <w:szCs w:val="18"/>
              </w:rPr>
              <w:t xml:space="preserve"> type b</w:t>
            </w: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14:paraId="6845A76F" w14:textId="77777777" w:rsidR="00C8503B" w:rsidRPr="007C2CFB" w:rsidRDefault="00C8503B" w:rsidP="00DF0A34">
            <w:pPr>
              <w:pStyle w:val="NormalWeb"/>
              <w:jc w:val="left"/>
              <w:rPr>
                <w:sz w:val="18"/>
                <w:szCs w:val="18"/>
              </w:rPr>
            </w:pPr>
            <w:r w:rsidRPr="007C2CFB">
              <w:rPr>
                <w:sz w:val="18"/>
                <w:szCs w:val="18"/>
              </w:rPr>
              <w:t xml:space="preserve">12 </w:t>
            </w:r>
            <w:proofErr w:type="spellStart"/>
            <w:r w:rsidRPr="007C2CFB">
              <w:rPr>
                <w:sz w:val="18"/>
                <w:szCs w:val="18"/>
              </w:rPr>
              <w:t>months</w:t>
            </w:r>
            <w:r w:rsidRPr="007C2CFB">
              <w:rPr>
                <w:sz w:val="18"/>
                <w:szCs w:val="18"/>
                <w:vertAlign w:val="superscript"/>
              </w:rPr>
              <w:t>d</w:t>
            </w:r>
            <w:proofErr w:type="spellEnd"/>
            <w:r w:rsidRPr="007C2CFB">
              <w:rPr>
                <w:sz w:val="18"/>
                <w:szCs w:val="18"/>
              </w:rPr>
              <w:t xml:space="preserve"> (Dose 3)</w:t>
            </w:r>
          </w:p>
        </w:tc>
        <w:tc>
          <w:tcPr>
            <w:tcW w:w="1252" w:type="dxa"/>
            <w:tcBorders>
              <w:top w:val="single" w:sz="4" w:space="0" w:color="auto"/>
              <w:left w:val="single" w:sz="4" w:space="0" w:color="auto"/>
              <w:bottom w:val="single" w:sz="4" w:space="0" w:color="auto"/>
              <w:right w:val="single" w:sz="4" w:space="0" w:color="auto"/>
            </w:tcBorders>
            <w:shd w:val="clear" w:color="auto" w:fill="auto"/>
            <w:hideMark/>
          </w:tcPr>
          <w:p w14:paraId="5335310E" w14:textId="77777777" w:rsidR="00C8503B" w:rsidRPr="007C2CFB" w:rsidRDefault="00C8503B" w:rsidP="00DF0A34">
            <w:pPr>
              <w:pStyle w:val="NormalWeb"/>
              <w:rPr>
                <w:sz w:val="18"/>
                <w:szCs w:val="18"/>
              </w:rPr>
            </w:pPr>
            <w:r w:rsidRPr="007C2CFB">
              <w:rPr>
                <w:sz w:val="18"/>
                <w:szCs w:val="18"/>
              </w:rPr>
              <w:t>93.1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AA7B6DC" w14:textId="77777777" w:rsidR="00C8503B" w:rsidRPr="007C2CFB" w:rsidRDefault="00C8503B" w:rsidP="00DF0A34">
            <w:pPr>
              <w:pStyle w:val="NormalWeb"/>
              <w:rPr>
                <w:sz w:val="18"/>
                <w:szCs w:val="18"/>
              </w:rPr>
            </w:pPr>
            <w:r w:rsidRPr="007C2CFB">
              <w:rPr>
                <w:sz w:val="18"/>
                <w:szCs w:val="18"/>
              </w:rPr>
              <w:t>93.2</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4F1EE86B" w14:textId="77777777" w:rsidR="00C8503B" w:rsidRPr="007C2CFB" w:rsidRDefault="00C8503B" w:rsidP="00DF0A34">
            <w:pPr>
              <w:pStyle w:val="NormalWeb"/>
              <w:rPr>
                <w:sz w:val="18"/>
                <w:szCs w:val="18"/>
              </w:rPr>
            </w:pPr>
            <w:r w:rsidRPr="007C2CFB">
              <w:rPr>
                <w:sz w:val="18"/>
                <w:szCs w:val="18"/>
              </w:rPr>
              <w:t>94.9</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14:paraId="6FC72A2F" w14:textId="77777777" w:rsidR="00C8503B" w:rsidRPr="007C2CFB" w:rsidRDefault="00C8503B" w:rsidP="00DF0A34">
            <w:pPr>
              <w:pStyle w:val="NormalWeb"/>
              <w:rPr>
                <w:sz w:val="18"/>
                <w:szCs w:val="18"/>
              </w:rPr>
            </w:pPr>
            <w:r w:rsidRPr="007C2CFB">
              <w:rPr>
                <w:sz w:val="18"/>
                <w:szCs w:val="18"/>
              </w:rPr>
              <w:t>95.2</w:t>
            </w:r>
          </w:p>
        </w:tc>
      </w:tr>
      <w:tr w:rsidR="00C8503B" w:rsidRPr="007C2CFB" w14:paraId="7A26A874" w14:textId="77777777" w:rsidTr="00571B1F">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0B9A8E9E" w14:textId="77777777" w:rsidR="00C8503B" w:rsidRPr="007C2CFB" w:rsidRDefault="00C8503B" w:rsidP="00DF0A34">
            <w:pPr>
              <w:jc w:val="left"/>
              <w:rPr>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14:paraId="435DEF9B" w14:textId="77777777" w:rsidR="00C8503B" w:rsidRPr="007C2CFB" w:rsidRDefault="00C8503B" w:rsidP="00DF0A34">
            <w:pPr>
              <w:pStyle w:val="NormalWeb"/>
              <w:jc w:val="left"/>
              <w:rPr>
                <w:sz w:val="18"/>
                <w:szCs w:val="18"/>
              </w:rPr>
            </w:pPr>
            <w:r w:rsidRPr="007C2CFB">
              <w:rPr>
                <w:sz w:val="18"/>
                <w:szCs w:val="18"/>
              </w:rPr>
              <w:t xml:space="preserve">24 </w:t>
            </w:r>
            <w:proofErr w:type="spellStart"/>
            <w:r w:rsidRPr="007C2CFB">
              <w:rPr>
                <w:sz w:val="18"/>
                <w:szCs w:val="18"/>
              </w:rPr>
              <w:t>months</w:t>
            </w:r>
            <w:r w:rsidRPr="007C2CFB">
              <w:rPr>
                <w:sz w:val="18"/>
                <w:szCs w:val="18"/>
                <w:vertAlign w:val="superscript"/>
              </w:rPr>
              <w:t>e</w:t>
            </w:r>
            <w:proofErr w:type="spellEnd"/>
            <w:r w:rsidRPr="007C2CFB">
              <w:rPr>
                <w:sz w:val="18"/>
                <w:szCs w:val="18"/>
              </w:rPr>
              <w:t xml:space="preserve"> (Dose 4)</w:t>
            </w:r>
          </w:p>
        </w:tc>
        <w:tc>
          <w:tcPr>
            <w:tcW w:w="1252" w:type="dxa"/>
            <w:tcBorders>
              <w:top w:val="single" w:sz="4" w:space="0" w:color="auto"/>
              <w:left w:val="single" w:sz="4" w:space="0" w:color="auto"/>
              <w:bottom w:val="single" w:sz="4" w:space="0" w:color="auto"/>
              <w:right w:val="single" w:sz="4" w:space="0" w:color="auto"/>
            </w:tcBorders>
            <w:shd w:val="clear" w:color="auto" w:fill="auto"/>
            <w:hideMark/>
          </w:tcPr>
          <w:p w14:paraId="05BDED98" w14:textId="77777777" w:rsidR="00C8503B" w:rsidRPr="007C2CFB" w:rsidRDefault="00C8503B" w:rsidP="00DF0A34">
            <w:pPr>
              <w:pStyle w:val="NormalWeb"/>
              <w:rPr>
                <w:sz w:val="18"/>
                <w:szCs w:val="18"/>
              </w:rPr>
            </w:pPr>
            <w:r w:rsidRPr="007C2CFB">
              <w:rPr>
                <w:sz w:val="18"/>
                <w:szCs w:val="18"/>
              </w:rPr>
              <w:t>94.6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250A35A" w14:textId="77777777" w:rsidR="00C8503B" w:rsidRPr="007C2CFB" w:rsidRDefault="00C8503B" w:rsidP="00DF0A34">
            <w:pPr>
              <w:pStyle w:val="NormalWeb"/>
              <w:rPr>
                <w:sz w:val="18"/>
                <w:szCs w:val="18"/>
              </w:rPr>
            </w:pPr>
            <w:r w:rsidRPr="007C2CFB">
              <w:rPr>
                <w:sz w:val="18"/>
                <w:szCs w:val="18"/>
              </w:rPr>
              <w:t>94.6</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4A97AA4E" w14:textId="77777777" w:rsidR="00C8503B" w:rsidRPr="007C2CFB" w:rsidRDefault="00C8503B" w:rsidP="00DF0A34">
            <w:pPr>
              <w:pStyle w:val="NormalWeb"/>
              <w:rPr>
                <w:sz w:val="18"/>
                <w:szCs w:val="18"/>
              </w:rPr>
            </w:pPr>
            <w:r w:rsidRPr="007C2CFB">
              <w:rPr>
                <w:sz w:val="18"/>
                <w:szCs w:val="18"/>
              </w:rPr>
              <w:t>94.1</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14:paraId="376D60C8" w14:textId="77777777" w:rsidR="00C8503B" w:rsidRPr="007C2CFB" w:rsidRDefault="00C8503B" w:rsidP="00DF0A34">
            <w:pPr>
              <w:pStyle w:val="NormalWeb"/>
              <w:rPr>
                <w:sz w:val="18"/>
                <w:szCs w:val="18"/>
              </w:rPr>
            </w:pPr>
            <w:r w:rsidRPr="007C2CFB">
              <w:rPr>
                <w:sz w:val="18"/>
                <w:szCs w:val="18"/>
              </w:rPr>
              <w:t>94.3</w:t>
            </w:r>
          </w:p>
        </w:tc>
      </w:tr>
      <w:tr w:rsidR="00C8503B" w:rsidRPr="007C2CFB" w14:paraId="1C7D7F21" w14:textId="77777777" w:rsidTr="00571B1F">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38195524" w14:textId="77777777" w:rsidR="00C8503B" w:rsidRPr="007C2CFB" w:rsidRDefault="00C8503B" w:rsidP="00DF0A34">
            <w:pPr>
              <w:jc w:val="left"/>
              <w:rPr>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14:paraId="3EE4083D" w14:textId="77777777" w:rsidR="00C8503B" w:rsidRPr="007C2CFB" w:rsidRDefault="00C8503B" w:rsidP="00DF0A34">
            <w:pPr>
              <w:pStyle w:val="NormalWeb"/>
              <w:jc w:val="left"/>
              <w:rPr>
                <w:sz w:val="18"/>
                <w:szCs w:val="18"/>
              </w:rPr>
            </w:pPr>
            <w:r w:rsidRPr="007C2CFB">
              <w:rPr>
                <w:sz w:val="18"/>
                <w:szCs w:val="18"/>
              </w:rPr>
              <w:t xml:space="preserve">60 </w:t>
            </w:r>
            <w:proofErr w:type="spellStart"/>
            <w:r w:rsidRPr="007C2CFB">
              <w:rPr>
                <w:sz w:val="18"/>
                <w:szCs w:val="18"/>
              </w:rPr>
              <w:t>months</w:t>
            </w:r>
            <w:r w:rsidRPr="007C2CFB">
              <w:rPr>
                <w:sz w:val="18"/>
                <w:szCs w:val="18"/>
                <w:vertAlign w:val="superscript"/>
              </w:rPr>
              <w:t>f</w:t>
            </w:r>
            <w:proofErr w:type="spellEnd"/>
            <w:r w:rsidRPr="007C2CFB">
              <w:rPr>
                <w:sz w:val="18"/>
                <w:szCs w:val="18"/>
              </w:rPr>
              <w:t xml:space="preserve"> (Dose 4)</w:t>
            </w:r>
          </w:p>
        </w:tc>
        <w:tc>
          <w:tcPr>
            <w:tcW w:w="1252" w:type="dxa"/>
            <w:tcBorders>
              <w:top w:val="single" w:sz="4" w:space="0" w:color="auto"/>
              <w:left w:val="single" w:sz="4" w:space="0" w:color="auto"/>
              <w:bottom w:val="single" w:sz="4" w:space="0" w:color="auto"/>
              <w:right w:val="single" w:sz="4" w:space="0" w:color="auto"/>
            </w:tcBorders>
            <w:shd w:val="clear" w:color="auto" w:fill="auto"/>
            <w:hideMark/>
          </w:tcPr>
          <w:p w14:paraId="4D1CF4E9" w14:textId="77777777" w:rsidR="00C8503B" w:rsidRPr="007C2CFB" w:rsidRDefault="00C8503B" w:rsidP="00DF0A34">
            <w:pPr>
              <w:pStyle w:val="NormalWeb"/>
              <w:rPr>
                <w:sz w:val="18"/>
                <w:szCs w:val="18"/>
              </w:rPr>
            </w:pPr>
            <w:r w:rsidRPr="007C2CFB">
              <w:rPr>
                <w:sz w:val="18"/>
                <w:szCs w:val="18"/>
              </w:rPr>
              <w:t>98.9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AEC65EF" w14:textId="77777777" w:rsidR="00C8503B" w:rsidRPr="007C2CFB" w:rsidRDefault="00C8503B" w:rsidP="00DF0A34">
            <w:pPr>
              <w:pStyle w:val="NormalWeb"/>
              <w:rPr>
                <w:sz w:val="18"/>
                <w:szCs w:val="18"/>
              </w:rPr>
            </w:pPr>
            <w:r w:rsidRPr="007C2CFB">
              <w:rPr>
                <w:sz w:val="18"/>
                <w:szCs w:val="18"/>
              </w:rPr>
              <w:t>98.8</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0A0F731F" w14:textId="77777777" w:rsidR="00C8503B" w:rsidRPr="007C2CFB" w:rsidRDefault="00C8503B" w:rsidP="00DF0A34">
            <w:pPr>
              <w:pStyle w:val="NormalWeb"/>
              <w:rPr>
                <w:sz w:val="18"/>
                <w:szCs w:val="18"/>
              </w:rPr>
            </w:pPr>
            <w:r w:rsidRPr="007C2CFB">
              <w:rPr>
                <w:sz w:val="18"/>
                <w:szCs w:val="18"/>
              </w:rPr>
              <w:t>96.6</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14:paraId="0DC011F4" w14:textId="77777777" w:rsidR="00C8503B" w:rsidRPr="007C2CFB" w:rsidRDefault="00C8503B" w:rsidP="00DF0A34">
            <w:pPr>
              <w:pStyle w:val="NormalWeb"/>
              <w:rPr>
                <w:sz w:val="18"/>
                <w:szCs w:val="18"/>
              </w:rPr>
            </w:pPr>
            <w:r w:rsidRPr="007C2CFB">
              <w:rPr>
                <w:sz w:val="18"/>
                <w:szCs w:val="18"/>
              </w:rPr>
              <w:t>96.7</w:t>
            </w:r>
          </w:p>
        </w:tc>
      </w:tr>
      <w:tr w:rsidR="00C8503B" w:rsidRPr="007C2CFB" w14:paraId="7422DB44" w14:textId="77777777" w:rsidTr="00571B1F">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14:paraId="1582E564" w14:textId="77777777" w:rsidR="00C8503B" w:rsidRPr="007C2CFB" w:rsidRDefault="00C8503B" w:rsidP="00DF0A34">
            <w:pPr>
              <w:pStyle w:val="NormalWeb"/>
              <w:jc w:val="left"/>
              <w:rPr>
                <w:sz w:val="18"/>
                <w:szCs w:val="18"/>
              </w:rPr>
            </w:pPr>
            <w:r w:rsidRPr="007C2CFB">
              <w:rPr>
                <w:sz w:val="18"/>
                <w:szCs w:val="18"/>
              </w:rPr>
              <w:t>Hepatitis B</w:t>
            </w: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14:paraId="59A6DCFB" w14:textId="77777777" w:rsidR="00C8503B" w:rsidRPr="007C2CFB" w:rsidRDefault="00C8503B" w:rsidP="00DF0A34">
            <w:pPr>
              <w:pStyle w:val="NormalWeb"/>
              <w:jc w:val="left"/>
              <w:rPr>
                <w:sz w:val="18"/>
                <w:szCs w:val="18"/>
              </w:rPr>
            </w:pPr>
            <w:r w:rsidRPr="007C2CFB">
              <w:rPr>
                <w:sz w:val="18"/>
                <w:szCs w:val="18"/>
              </w:rPr>
              <w:t xml:space="preserve">12 </w:t>
            </w:r>
            <w:proofErr w:type="spellStart"/>
            <w:r w:rsidRPr="007C2CFB">
              <w:rPr>
                <w:sz w:val="18"/>
                <w:szCs w:val="18"/>
              </w:rPr>
              <w:t>months</w:t>
            </w:r>
            <w:r w:rsidRPr="007C2CFB">
              <w:rPr>
                <w:sz w:val="18"/>
                <w:szCs w:val="18"/>
                <w:vertAlign w:val="superscript"/>
              </w:rPr>
              <w:t>d</w:t>
            </w:r>
            <w:proofErr w:type="spellEnd"/>
            <w:r w:rsidRPr="007C2CFB">
              <w:rPr>
                <w:sz w:val="18"/>
                <w:szCs w:val="18"/>
              </w:rPr>
              <w:t xml:space="preserve"> (Dose 3)</w:t>
            </w:r>
          </w:p>
        </w:tc>
        <w:tc>
          <w:tcPr>
            <w:tcW w:w="1252" w:type="dxa"/>
            <w:tcBorders>
              <w:top w:val="single" w:sz="4" w:space="0" w:color="auto"/>
              <w:left w:val="single" w:sz="4" w:space="0" w:color="auto"/>
              <w:bottom w:val="single" w:sz="4" w:space="0" w:color="auto"/>
              <w:right w:val="single" w:sz="4" w:space="0" w:color="auto"/>
            </w:tcBorders>
            <w:shd w:val="clear" w:color="auto" w:fill="auto"/>
            <w:hideMark/>
          </w:tcPr>
          <w:p w14:paraId="7178771A" w14:textId="77777777" w:rsidR="00C8503B" w:rsidRPr="007C2CFB" w:rsidRDefault="00C8503B" w:rsidP="00DF0A34">
            <w:pPr>
              <w:pStyle w:val="NormalWeb"/>
              <w:rPr>
                <w:sz w:val="18"/>
                <w:szCs w:val="18"/>
              </w:rPr>
            </w:pPr>
            <w:r w:rsidRPr="007C2CFB">
              <w:rPr>
                <w:sz w:val="18"/>
                <w:szCs w:val="18"/>
              </w:rPr>
              <w:t>93.1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57E0C31" w14:textId="77777777" w:rsidR="00C8503B" w:rsidRPr="007C2CFB" w:rsidRDefault="00C8503B" w:rsidP="00DF0A34">
            <w:pPr>
              <w:pStyle w:val="NormalWeb"/>
              <w:rPr>
                <w:sz w:val="18"/>
                <w:szCs w:val="18"/>
              </w:rPr>
            </w:pPr>
            <w:r w:rsidRPr="007C2CFB">
              <w:rPr>
                <w:sz w:val="18"/>
                <w:szCs w:val="18"/>
              </w:rPr>
              <w:t>93.2</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3FA6956F" w14:textId="77777777" w:rsidR="00C8503B" w:rsidRPr="007C2CFB" w:rsidRDefault="00C8503B" w:rsidP="00DF0A34">
            <w:pPr>
              <w:pStyle w:val="NormalWeb"/>
              <w:rPr>
                <w:sz w:val="18"/>
                <w:szCs w:val="18"/>
              </w:rPr>
            </w:pPr>
            <w:r w:rsidRPr="007C2CFB">
              <w:rPr>
                <w:sz w:val="18"/>
                <w:szCs w:val="18"/>
              </w:rPr>
              <w:t>94.8</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14:paraId="74BF90CC" w14:textId="77777777" w:rsidR="00C8503B" w:rsidRPr="007C2CFB" w:rsidRDefault="00C8503B" w:rsidP="00DF0A34">
            <w:pPr>
              <w:pStyle w:val="NormalWeb"/>
              <w:rPr>
                <w:sz w:val="18"/>
                <w:szCs w:val="18"/>
              </w:rPr>
            </w:pPr>
            <w:r w:rsidRPr="007C2CFB">
              <w:rPr>
                <w:sz w:val="18"/>
                <w:szCs w:val="18"/>
              </w:rPr>
              <w:t>95.1</w:t>
            </w:r>
          </w:p>
        </w:tc>
      </w:tr>
      <w:tr w:rsidR="00C8503B" w:rsidRPr="007C2CFB" w14:paraId="5700A97F" w14:textId="77777777" w:rsidTr="00571B1F">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7842B4F6" w14:textId="77777777" w:rsidR="00C8503B" w:rsidRPr="007C2CFB" w:rsidRDefault="00C8503B" w:rsidP="00DF0A34">
            <w:pPr>
              <w:jc w:val="left"/>
              <w:rPr>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14:paraId="32254BE9" w14:textId="77777777" w:rsidR="00C8503B" w:rsidRPr="007C2CFB" w:rsidRDefault="00C8503B" w:rsidP="00DF0A34">
            <w:pPr>
              <w:pStyle w:val="NormalWeb"/>
              <w:jc w:val="left"/>
              <w:rPr>
                <w:sz w:val="18"/>
                <w:szCs w:val="18"/>
              </w:rPr>
            </w:pPr>
            <w:r w:rsidRPr="007C2CFB">
              <w:rPr>
                <w:sz w:val="18"/>
                <w:szCs w:val="18"/>
              </w:rPr>
              <w:t xml:space="preserve">24 </w:t>
            </w:r>
            <w:proofErr w:type="spellStart"/>
            <w:r w:rsidRPr="007C2CFB">
              <w:rPr>
                <w:sz w:val="18"/>
                <w:szCs w:val="18"/>
              </w:rPr>
              <w:t>months</w:t>
            </w:r>
            <w:r w:rsidRPr="007C2CFB">
              <w:rPr>
                <w:sz w:val="18"/>
                <w:szCs w:val="18"/>
                <w:vertAlign w:val="superscript"/>
              </w:rPr>
              <w:t>e</w:t>
            </w:r>
            <w:proofErr w:type="spellEnd"/>
            <w:r w:rsidRPr="007C2CFB">
              <w:rPr>
                <w:sz w:val="18"/>
                <w:szCs w:val="18"/>
              </w:rPr>
              <w:t xml:space="preserve"> (Dose 3)</w:t>
            </w:r>
          </w:p>
        </w:tc>
        <w:tc>
          <w:tcPr>
            <w:tcW w:w="1252" w:type="dxa"/>
            <w:tcBorders>
              <w:top w:val="single" w:sz="4" w:space="0" w:color="auto"/>
              <w:left w:val="single" w:sz="4" w:space="0" w:color="auto"/>
              <w:bottom w:val="single" w:sz="4" w:space="0" w:color="auto"/>
              <w:right w:val="single" w:sz="4" w:space="0" w:color="auto"/>
            </w:tcBorders>
            <w:shd w:val="clear" w:color="auto" w:fill="auto"/>
            <w:hideMark/>
          </w:tcPr>
          <w:p w14:paraId="5BDDFDF0" w14:textId="77777777" w:rsidR="00C8503B" w:rsidRPr="007C2CFB" w:rsidRDefault="00C8503B" w:rsidP="00DF0A34">
            <w:pPr>
              <w:pStyle w:val="NormalWeb"/>
              <w:rPr>
                <w:sz w:val="18"/>
                <w:szCs w:val="18"/>
              </w:rPr>
            </w:pPr>
            <w:r w:rsidRPr="007C2CFB">
              <w:rPr>
                <w:sz w:val="18"/>
                <w:szCs w:val="18"/>
              </w:rPr>
              <w:t>97.1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E63C749" w14:textId="77777777" w:rsidR="00C8503B" w:rsidRPr="007C2CFB" w:rsidRDefault="00C8503B" w:rsidP="00DF0A34">
            <w:pPr>
              <w:pStyle w:val="NormalWeb"/>
              <w:rPr>
                <w:sz w:val="18"/>
                <w:szCs w:val="18"/>
              </w:rPr>
            </w:pPr>
            <w:r w:rsidRPr="007C2CFB">
              <w:rPr>
                <w:sz w:val="18"/>
                <w:szCs w:val="18"/>
              </w:rPr>
              <w:t>97.3</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04E13954" w14:textId="77777777" w:rsidR="00C8503B" w:rsidRPr="007C2CFB" w:rsidRDefault="00C8503B" w:rsidP="00DF0A34">
            <w:pPr>
              <w:pStyle w:val="NormalWeb"/>
              <w:rPr>
                <w:sz w:val="18"/>
                <w:szCs w:val="18"/>
              </w:rPr>
            </w:pPr>
            <w:r w:rsidRPr="007C2CFB">
              <w:rPr>
                <w:sz w:val="18"/>
                <w:szCs w:val="18"/>
              </w:rPr>
              <w:t>95.9</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14:paraId="4F60FE17" w14:textId="77777777" w:rsidR="00C8503B" w:rsidRPr="007C2CFB" w:rsidRDefault="00C8503B" w:rsidP="00DF0A34">
            <w:pPr>
              <w:pStyle w:val="NormalWeb"/>
              <w:rPr>
                <w:sz w:val="18"/>
                <w:szCs w:val="18"/>
              </w:rPr>
            </w:pPr>
            <w:r w:rsidRPr="007C2CFB">
              <w:rPr>
                <w:sz w:val="18"/>
                <w:szCs w:val="18"/>
              </w:rPr>
              <w:t>96.4</w:t>
            </w:r>
          </w:p>
        </w:tc>
      </w:tr>
      <w:tr w:rsidR="00C8503B" w:rsidRPr="007C2CFB" w14:paraId="75278C76" w14:textId="77777777" w:rsidTr="00571B1F">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4F73519D" w14:textId="77777777" w:rsidR="00C8503B" w:rsidRPr="007C2CFB" w:rsidRDefault="00C8503B" w:rsidP="00DF0A34">
            <w:pPr>
              <w:jc w:val="left"/>
              <w:rPr>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14:paraId="160EE421" w14:textId="77777777" w:rsidR="00C8503B" w:rsidRPr="007C2CFB" w:rsidRDefault="00C8503B" w:rsidP="00DF0A34">
            <w:pPr>
              <w:pStyle w:val="NormalWeb"/>
              <w:jc w:val="left"/>
              <w:rPr>
                <w:sz w:val="18"/>
                <w:szCs w:val="18"/>
              </w:rPr>
            </w:pPr>
            <w:r w:rsidRPr="007C2CFB">
              <w:rPr>
                <w:sz w:val="18"/>
                <w:szCs w:val="18"/>
              </w:rPr>
              <w:t xml:space="preserve">60 </w:t>
            </w:r>
            <w:proofErr w:type="spellStart"/>
            <w:r w:rsidRPr="007C2CFB">
              <w:rPr>
                <w:sz w:val="18"/>
                <w:szCs w:val="18"/>
              </w:rPr>
              <w:t>months</w:t>
            </w:r>
            <w:r w:rsidRPr="007C2CFB">
              <w:rPr>
                <w:sz w:val="18"/>
                <w:szCs w:val="18"/>
                <w:vertAlign w:val="superscript"/>
              </w:rPr>
              <w:t>f</w:t>
            </w:r>
            <w:proofErr w:type="spellEnd"/>
            <w:r w:rsidRPr="007C2CFB">
              <w:rPr>
                <w:sz w:val="18"/>
                <w:szCs w:val="18"/>
              </w:rPr>
              <w:t xml:space="preserve"> (Dose 3)</w:t>
            </w:r>
          </w:p>
        </w:tc>
        <w:tc>
          <w:tcPr>
            <w:tcW w:w="1252" w:type="dxa"/>
            <w:tcBorders>
              <w:top w:val="single" w:sz="4" w:space="0" w:color="auto"/>
              <w:left w:val="single" w:sz="4" w:space="0" w:color="auto"/>
              <w:bottom w:val="single" w:sz="4" w:space="0" w:color="auto"/>
              <w:right w:val="single" w:sz="4" w:space="0" w:color="auto"/>
            </w:tcBorders>
            <w:shd w:val="clear" w:color="auto" w:fill="auto"/>
            <w:hideMark/>
          </w:tcPr>
          <w:p w14:paraId="545295A3" w14:textId="77777777" w:rsidR="00C8503B" w:rsidRPr="007C2CFB" w:rsidRDefault="00C8503B" w:rsidP="00DF0A34">
            <w:pPr>
              <w:pStyle w:val="NormalWeb"/>
              <w:rPr>
                <w:sz w:val="18"/>
                <w:szCs w:val="18"/>
              </w:rPr>
            </w:pPr>
            <w:r w:rsidRPr="007C2CFB">
              <w:rPr>
                <w:sz w:val="18"/>
                <w:szCs w:val="18"/>
              </w:rPr>
              <w:t>98.7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7F436B46" w14:textId="77777777" w:rsidR="00C8503B" w:rsidRPr="007C2CFB" w:rsidRDefault="00C8503B" w:rsidP="00DF0A34">
            <w:pPr>
              <w:pStyle w:val="NormalWeb"/>
              <w:rPr>
                <w:sz w:val="18"/>
                <w:szCs w:val="18"/>
              </w:rPr>
            </w:pPr>
            <w:r w:rsidRPr="007C2CFB">
              <w:rPr>
                <w:sz w:val="18"/>
                <w:szCs w:val="18"/>
              </w:rPr>
              <w:t>98.8</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58774D32" w14:textId="77777777" w:rsidR="00C8503B" w:rsidRPr="007C2CFB" w:rsidRDefault="00C8503B" w:rsidP="00DF0A34">
            <w:pPr>
              <w:pStyle w:val="NormalWeb"/>
              <w:rPr>
                <w:sz w:val="18"/>
                <w:szCs w:val="18"/>
              </w:rPr>
            </w:pPr>
            <w:r w:rsidRPr="007C2CFB">
              <w:rPr>
                <w:sz w:val="18"/>
                <w:szCs w:val="18"/>
              </w:rPr>
              <w:t>96.4</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14:paraId="73D95F3D" w14:textId="77777777" w:rsidR="00C8503B" w:rsidRPr="007C2CFB" w:rsidRDefault="00C8503B" w:rsidP="00DF0A34">
            <w:pPr>
              <w:pStyle w:val="NormalWeb"/>
              <w:rPr>
                <w:sz w:val="18"/>
                <w:szCs w:val="18"/>
              </w:rPr>
            </w:pPr>
            <w:r w:rsidRPr="007C2CFB">
              <w:rPr>
                <w:sz w:val="18"/>
                <w:szCs w:val="18"/>
              </w:rPr>
              <w:t>96.6</w:t>
            </w:r>
          </w:p>
        </w:tc>
      </w:tr>
      <w:tr w:rsidR="00C8503B" w:rsidRPr="007C2CFB" w14:paraId="4BC15E8C" w14:textId="77777777" w:rsidTr="00571B1F">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14:paraId="09447AE3" w14:textId="77777777" w:rsidR="00C8503B" w:rsidRPr="007C2CFB" w:rsidRDefault="00C8503B" w:rsidP="00DF0A34">
            <w:pPr>
              <w:pStyle w:val="NormalWeb"/>
              <w:jc w:val="left"/>
              <w:rPr>
                <w:sz w:val="18"/>
                <w:szCs w:val="18"/>
              </w:rPr>
            </w:pPr>
            <w:r w:rsidRPr="007C2CFB">
              <w:rPr>
                <w:sz w:val="18"/>
                <w:szCs w:val="18"/>
              </w:rPr>
              <w:t>Measles-mumps-rubella</w:t>
            </w: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14:paraId="232B1F39" w14:textId="77777777" w:rsidR="00C8503B" w:rsidRPr="007C2CFB" w:rsidRDefault="00C8503B" w:rsidP="00DF0A34">
            <w:pPr>
              <w:pStyle w:val="NormalWeb"/>
              <w:jc w:val="left"/>
              <w:rPr>
                <w:sz w:val="18"/>
                <w:szCs w:val="18"/>
              </w:rPr>
            </w:pPr>
            <w:r w:rsidRPr="007C2CFB">
              <w:rPr>
                <w:sz w:val="18"/>
                <w:szCs w:val="18"/>
              </w:rPr>
              <w:t xml:space="preserve">12 </w:t>
            </w:r>
            <w:proofErr w:type="spellStart"/>
            <w:r w:rsidRPr="007C2CFB">
              <w:rPr>
                <w:sz w:val="18"/>
                <w:szCs w:val="18"/>
              </w:rPr>
              <w:t>months</w:t>
            </w:r>
            <w:r w:rsidRPr="00D1481F">
              <w:rPr>
                <w:sz w:val="18"/>
                <w:szCs w:val="18"/>
                <w:vertAlign w:val="superscript"/>
              </w:rPr>
              <w:t>g</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auto"/>
            <w:hideMark/>
          </w:tcPr>
          <w:p w14:paraId="48598F7E" w14:textId="77777777" w:rsidR="00C8503B" w:rsidRPr="007C2CFB" w:rsidRDefault="00C8503B" w:rsidP="00DF0A34">
            <w:pPr>
              <w:pStyle w:val="NormalWeb"/>
              <w:rPr>
                <w:sz w:val="18"/>
                <w:szCs w:val="18"/>
              </w:rPr>
            </w:pPr>
            <w:r w:rsidRPr="007C2CFB">
              <w:rPr>
                <w:sz w:val="18"/>
                <w:szCs w:val="18"/>
              </w:rPr>
              <w:t>N/A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EE2C10C" w14:textId="77777777" w:rsidR="00C8503B" w:rsidRPr="007C2CFB" w:rsidRDefault="00C8503B" w:rsidP="00DF0A34">
            <w:pPr>
              <w:pStyle w:val="NormalWeb"/>
              <w:rPr>
                <w:sz w:val="18"/>
                <w:szCs w:val="18"/>
              </w:rPr>
            </w:pPr>
            <w:r w:rsidRPr="007C2CFB">
              <w:rPr>
                <w:sz w:val="18"/>
                <w:szCs w:val="18"/>
              </w:rPr>
              <w:t>N/A</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4C14AEE4" w14:textId="77777777" w:rsidR="00C8503B" w:rsidRPr="007C2CFB" w:rsidRDefault="00C8503B" w:rsidP="00DF0A34">
            <w:pPr>
              <w:pStyle w:val="NormalWeb"/>
              <w:rPr>
                <w:sz w:val="18"/>
                <w:szCs w:val="18"/>
              </w:rPr>
            </w:pPr>
            <w:r w:rsidRPr="007C2CFB">
              <w:rPr>
                <w:sz w:val="18"/>
                <w:szCs w:val="18"/>
              </w:rPr>
              <w:t>N/A</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14:paraId="5086503F" w14:textId="77777777" w:rsidR="00C8503B" w:rsidRPr="007C2CFB" w:rsidRDefault="00C8503B" w:rsidP="00DF0A34">
            <w:pPr>
              <w:pStyle w:val="NormalWeb"/>
              <w:rPr>
                <w:sz w:val="18"/>
                <w:szCs w:val="18"/>
              </w:rPr>
            </w:pPr>
            <w:r w:rsidRPr="007C2CFB">
              <w:rPr>
                <w:sz w:val="18"/>
                <w:szCs w:val="18"/>
              </w:rPr>
              <w:t>N/A</w:t>
            </w:r>
          </w:p>
        </w:tc>
      </w:tr>
      <w:tr w:rsidR="00C8503B" w:rsidRPr="007C2CFB" w14:paraId="56EB77BE" w14:textId="77777777" w:rsidTr="00571B1F">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5454FCA5" w14:textId="77777777" w:rsidR="00C8503B" w:rsidRPr="007C2CFB" w:rsidRDefault="00C8503B" w:rsidP="00DF0A34">
            <w:pPr>
              <w:jc w:val="left"/>
              <w:rPr>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14:paraId="5B6D3356" w14:textId="77777777" w:rsidR="00C8503B" w:rsidRPr="007C2CFB" w:rsidRDefault="00C8503B" w:rsidP="00DF0A34">
            <w:pPr>
              <w:pStyle w:val="NormalWeb"/>
              <w:jc w:val="left"/>
              <w:rPr>
                <w:sz w:val="18"/>
                <w:szCs w:val="18"/>
              </w:rPr>
            </w:pPr>
            <w:r w:rsidRPr="007C2CFB">
              <w:rPr>
                <w:sz w:val="18"/>
                <w:szCs w:val="18"/>
              </w:rPr>
              <w:t xml:space="preserve">24 </w:t>
            </w:r>
            <w:proofErr w:type="spellStart"/>
            <w:r w:rsidRPr="007C2CFB">
              <w:rPr>
                <w:sz w:val="18"/>
                <w:szCs w:val="18"/>
              </w:rPr>
              <w:t>months</w:t>
            </w:r>
            <w:r w:rsidRPr="00D1481F">
              <w:rPr>
                <w:sz w:val="18"/>
                <w:szCs w:val="18"/>
                <w:vertAlign w:val="superscript"/>
              </w:rPr>
              <w:t>e</w:t>
            </w:r>
            <w:proofErr w:type="spellEnd"/>
            <w:r w:rsidRPr="007C2CFB">
              <w:rPr>
                <w:sz w:val="18"/>
                <w:szCs w:val="18"/>
              </w:rPr>
              <w:t xml:space="preserve"> (Dose 1)</w:t>
            </w:r>
          </w:p>
        </w:tc>
        <w:tc>
          <w:tcPr>
            <w:tcW w:w="1252" w:type="dxa"/>
            <w:tcBorders>
              <w:top w:val="single" w:sz="4" w:space="0" w:color="auto"/>
              <w:left w:val="single" w:sz="4" w:space="0" w:color="auto"/>
              <w:bottom w:val="single" w:sz="4" w:space="0" w:color="auto"/>
              <w:right w:val="single" w:sz="4" w:space="0" w:color="auto"/>
            </w:tcBorders>
            <w:shd w:val="clear" w:color="auto" w:fill="auto"/>
            <w:hideMark/>
          </w:tcPr>
          <w:p w14:paraId="07574B94" w14:textId="77777777" w:rsidR="00C8503B" w:rsidRPr="007C2CFB" w:rsidRDefault="00C8503B" w:rsidP="00DF0A34">
            <w:pPr>
              <w:pStyle w:val="NormalWeb"/>
              <w:rPr>
                <w:sz w:val="18"/>
                <w:szCs w:val="18"/>
              </w:rPr>
            </w:pPr>
            <w:r w:rsidRPr="007C2CFB">
              <w:rPr>
                <w:sz w:val="18"/>
                <w:szCs w:val="18"/>
              </w:rPr>
              <w:t>96.6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AFB1E5E" w14:textId="77777777" w:rsidR="00C8503B" w:rsidRPr="007C2CFB" w:rsidRDefault="00C8503B" w:rsidP="00DF0A34">
            <w:pPr>
              <w:pStyle w:val="NormalWeb"/>
              <w:rPr>
                <w:sz w:val="18"/>
                <w:szCs w:val="18"/>
              </w:rPr>
            </w:pPr>
            <w:r w:rsidRPr="007C2CFB">
              <w:rPr>
                <w:sz w:val="18"/>
                <w:szCs w:val="18"/>
              </w:rPr>
              <w:t>96.9</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4EC8DF6E" w14:textId="77777777" w:rsidR="00C8503B" w:rsidRPr="007C2CFB" w:rsidRDefault="00C8503B" w:rsidP="00DF0A34">
            <w:pPr>
              <w:pStyle w:val="NormalWeb"/>
              <w:rPr>
                <w:sz w:val="18"/>
                <w:szCs w:val="18"/>
              </w:rPr>
            </w:pPr>
            <w:r w:rsidRPr="007C2CFB">
              <w:rPr>
                <w:sz w:val="18"/>
                <w:szCs w:val="18"/>
              </w:rPr>
              <w:t>95.3</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14:paraId="0B304C4A" w14:textId="77777777" w:rsidR="00C8503B" w:rsidRPr="007C2CFB" w:rsidRDefault="00C8503B" w:rsidP="00DF0A34">
            <w:pPr>
              <w:pStyle w:val="NormalWeb"/>
              <w:rPr>
                <w:sz w:val="18"/>
                <w:szCs w:val="18"/>
              </w:rPr>
            </w:pPr>
            <w:r w:rsidRPr="007C2CFB">
              <w:rPr>
                <w:sz w:val="18"/>
                <w:szCs w:val="18"/>
              </w:rPr>
              <w:t>95.8</w:t>
            </w:r>
          </w:p>
        </w:tc>
      </w:tr>
      <w:tr w:rsidR="00C8503B" w:rsidRPr="007C2CFB" w14:paraId="100AAD1E" w14:textId="77777777" w:rsidTr="00571B1F">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225D8B18" w14:textId="77777777" w:rsidR="00C8503B" w:rsidRPr="007C2CFB" w:rsidRDefault="00C8503B" w:rsidP="00DF0A34">
            <w:pPr>
              <w:jc w:val="left"/>
              <w:rPr>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14:paraId="79ADCDBD" w14:textId="77777777" w:rsidR="00C8503B" w:rsidRPr="007C2CFB" w:rsidRDefault="00C8503B" w:rsidP="00DF0A34">
            <w:pPr>
              <w:pStyle w:val="NormalWeb"/>
              <w:jc w:val="left"/>
              <w:rPr>
                <w:sz w:val="18"/>
                <w:szCs w:val="18"/>
              </w:rPr>
            </w:pPr>
            <w:r w:rsidRPr="007C2CFB">
              <w:rPr>
                <w:sz w:val="18"/>
                <w:szCs w:val="18"/>
              </w:rPr>
              <w:t xml:space="preserve">24 </w:t>
            </w:r>
            <w:proofErr w:type="spellStart"/>
            <w:r w:rsidRPr="007C2CFB">
              <w:rPr>
                <w:sz w:val="18"/>
                <w:szCs w:val="18"/>
              </w:rPr>
              <w:t>months</w:t>
            </w:r>
            <w:r w:rsidRPr="00D1481F">
              <w:rPr>
                <w:sz w:val="18"/>
                <w:szCs w:val="18"/>
                <w:vertAlign w:val="superscript"/>
              </w:rPr>
              <w:t>e</w:t>
            </w:r>
            <w:proofErr w:type="spellEnd"/>
            <w:r w:rsidRPr="007C2CFB">
              <w:rPr>
                <w:sz w:val="18"/>
                <w:szCs w:val="18"/>
              </w:rPr>
              <w:t xml:space="preserve"> (Dose 2)</w:t>
            </w:r>
          </w:p>
        </w:tc>
        <w:tc>
          <w:tcPr>
            <w:tcW w:w="1252" w:type="dxa"/>
            <w:tcBorders>
              <w:top w:val="single" w:sz="4" w:space="0" w:color="auto"/>
              <w:left w:val="single" w:sz="4" w:space="0" w:color="auto"/>
              <w:bottom w:val="single" w:sz="4" w:space="0" w:color="auto"/>
              <w:right w:val="single" w:sz="4" w:space="0" w:color="auto"/>
            </w:tcBorders>
            <w:shd w:val="clear" w:color="auto" w:fill="auto"/>
            <w:hideMark/>
          </w:tcPr>
          <w:p w14:paraId="1BBACA71" w14:textId="77777777" w:rsidR="00C8503B" w:rsidRPr="007C2CFB" w:rsidRDefault="00C8503B" w:rsidP="00DF0A34">
            <w:pPr>
              <w:pStyle w:val="NormalWeb"/>
              <w:rPr>
                <w:sz w:val="18"/>
                <w:szCs w:val="18"/>
              </w:rPr>
            </w:pPr>
            <w:r w:rsidRPr="007C2CFB">
              <w:rPr>
                <w:sz w:val="18"/>
                <w:szCs w:val="18"/>
              </w:rPr>
              <w:t>92.9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7F51169" w14:textId="77777777" w:rsidR="00C8503B" w:rsidRPr="007C2CFB" w:rsidRDefault="00C8503B" w:rsidP="00DF0A34">
            <w:pPr>
              <w:pStyle w:val="NormalWeb"/>
              <w:rPr>
                <w:sz w:val="18"/>
                <w:szCs w:val="18"/>
              </w:rPr>
            </w:pPr>
            <w:r w:rsidRPr="007C2CFB">
              <w:rPr>
                <w:sz w:val="18"/>
                <w:szCs w:val="18"/>
              </w:rPr>
              <w:t>93.9</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3FA9EA79" w14:textId="77777777" w:rsidR="00C8503B" w:rsidRPr="007C2CFB" w:rsidRDefault="00C8503B" w:rsidP="00DF0A34">
            <w:pPr>
              <w:pStyle w:val="NormalWeb"/>
              <w:rPr>
                <w:sz w:val="18"/>
                <w:szCs w:val="18"/>
              </w:rPr>
            </w:pPr>
            <w:r w:rsidRPr="007C2CFB">
              <w:rPr>
                <w:sz w:val="18"/>
                <w:szCs w:val="18"/>
              </w:rPr>
              <w:t>93.5</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14:paraId="7494EB10" w14:textId="77777777" w:rsidR="00C8503B" w:rsidRPr="007C2CFB" w:rsidRDefault="00C8503B" w:rsidP="00DF0A34">
            <w:pPr>
              <w:pStyle w:val="NormalWeb"/>
              <w:rPr>
                <w:sz w:val="18"/>
                <w:szCs w:val="18"/>
              </w:rPr>
            </w:pPr>
            <w:r w:rsidRPr="007C2CFB">
              <w:rPr>
                <w:sz w:val="18"/>
                <w:szCs w:val="18"/>
              </w:rPr>
              <w:t>94.0</w:t>
            </w:r>
          </w:p>
        </w:tc>
      </w:tr>
      <w:tr w:rsidR="00C8503B" w:rsidRPr="007C2CFB" w14:paraId="1B161844" w14:textId="77777777" w:rsidTr="00571B1F">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04A00562" w14:textId="77777777" w:rsidR="00C8503B" w:rsidRPr="007C2CFB" w:rsidRDefault="00C8503B" w:rsidP="00DF0A34">
            <w:pPr>
              <w:jc w:val="left"/>
              <w:rPr>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14:paraId="09FB3DE6" w14:textId="77777777" w:rsidR="00C8503B" w:rsidRPr="007C2CFB" w:rsidRDefault="00C8503B" w:rsidP="00DF0A34">
            <w:pPr>
              <w:pStyle w:val="NormalWeb"/>
              <w:jc w:val="left"/>
              <w:rPr>
                <w:sz w:val="18"/>
                <w:szCs w:val="18"/>
              </w:rPr>
            </w:pPr>
            <w:r w:rsidRPr="007C2CFB">
              <w:rPr>
                <w:sz w:val="18"/>
                <w:szCs w:val="18"/>
              </w:rPr>
              <w:t xml:space="preserve">60 </w:t>
            </w:r>
            <w:proofErr w:type="spellStart"/>
            <w:r w:rsidRPr="007C2CFB">
              <w:rPr>
                <w:sz w:val="18"/>
                <w:szCs w:val="18"/>
              </w:rPr>
              <w:t>months</w:t>
            </w:r>
            <w:r w:rsidRPr="00D1481F">
              <w:rPr>
                <w:sz w:val="18"/>
                <w:szCs w:val="18"/>
                <w:vertAlign w:val="superscript"/>
              </w:rPr>
              <w:t>f</w:t>
            </w:r>
            <w:proofErr w:type="spellEnd"/>
            <w:r w:rsidRPr="007C2CFB">
              <w:rPr>
                <w:sz w:val="18"/>
                <w:szCs w:val="18"/>
              </w:rPr>
              <w:t xml:space="preserve"> (Dose 2)</w:t>
            </w:r>
          </w:p>
        </w:tc>
        <w:tc>
          <w:tcPr>
            <w:tcW w:w="1252" w:type="dxa"/>
            <w:tcBorders>
              <w:top w:val="single" w:sz="4" w:space="0" w:color="auto"/>
              <w:left w:val="single" w:sz="4" w:space="0" w:color="auto"/>
              <w:bottom w:val="single" w:sz="4" w:space="0" w:color="auto"/>
              <w:right w:val="single" w:sz="4" w:space="0" w:color="auto"/>
            </w:tcBorders>
            <w:shd w:val="clear" w:color="auto" w:fill="auto"/>
            <w:hideMark/>
          </w:tcPr>
          <w:p w14:paraId="06824400" w14:textId="77777777" w:rsidR="00C8503B" w:rsidRPr="007C2CFB" w:rsidRDefault="00C8503B" w:rsidP="00DF0A34">
            <w:pPr>
              <w:pStyle w:val="NormalWeb"/>
              <w:rPr>
                <w:sz w:val="18"/>
                <w:szCs w:val="18"/>
              </w:rPr>
            </w:pPr>
            <w:r w:rsidRPr="007C2CFB">
              <w:rPr>
                <w:sz w:val="18"/>
                <w:szCs w:val="18"/>
              </w:rPr>
              <w:t>98.9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E776441" w14:textId="77777777" w:rsidR="00C8503B" w:rsidRPr="007C2CFB" w:rsidRDefault="00C8503B" w:rsidP="00DF0A34">
            <w:pPr>
              <w:pStyle w:val="NormalWeb"/>
              <w:rPr>
                <w:sz w:val="18"/>
                <w:szCs w:val="18"/>
              </w:rPr>
            </w:pPr>
            <w:r w:rsidRPr="007C2CFB">
              <w:rPr>
                <w:sz w:val="18"/>
                <w:szCs w:val="18"/>
              </w:rPr>
              <w:t>98.8</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554DEA8D" w14:textId="77777777" w:rsidR="00C8503B" w:rsidRPr="007C2CFB" w:rsidRDefault="00C8503B" w:rsidP="00DF0A34">
            <w:pPr>
              <w:pStyle w:val="NormalWeb"/>
              <w:rPr>
                <w:sz w:val="18"/>
                <w:szCs w:val="18"/>
              </w:rPr>
            </w:pPr>
            <w:r w:rsidRPr="007C2CFB">
              <w:rPr>
                <w:sz w:val="18"/>
                <w:szCs w:val="18"/>
              </w:rPr>
              <w:t>96.5</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14:paraId="292C145E" w14:textId="77777777" w:rsidR="00C8503B" w:rsidRPr="007C2CFB" w:rsidRDefault="00C8503B" w:rsidP="00DF0A34">
            <w:pPr>
              <w:pStyle w:val="NormalWeb"/>
              <w:rPr>
                <w:sz w:val="18"/>
                <w:szCs w:val="18"/>
              </w:rPr>
            </w:pPr>
            <w:r w:rsidRPr="007C2CFB">
              <w:rPr>
                <w:sz w:val="18"/>
                <w:szCs w:val="18"/>
              </w:rPr>
              <w:t>96.8</w:t>
            </w:r>
          </w:p>
        </w:tc>
      </w:tr>
      <w:tr w:rsidR="00C8503B" w:rsidRPr="007C2CFB" w14:paraId="73A5969C" w14:textId="77777777" w:rsidTr="00571B1F">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14:paraId="39ADB26F" w14:textId="77777777" w:rsidR="00C8503B" w:rsidRPr="007C2CFB" w:rsidRDefault="00C8503B" w:rsidP="00DF0A34">
            <w:pPr>
              <w:pStyle w:val="NormalWeb"/>
              <w:jc w:val="left"/>
              <w:rPr>
                <w:sz w:val="18"/>
                <w:szCs w:val="18"/>
              </w:rPr>
            </w:pPr>
            <w:r w:rsidRPr="007C2CFB">
              <w:rPr>
                <w:sz w:val="18"/>
                <w:szCs w:val="18"/>
              </w:rPr>
              <w:t>Varicella</w:t>
            </w: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14:paraId="57A31BF9" w14:textId="77777777" w:rsidR="00C8503B" w:rsidRPr="007C2CFB" w:rsidRDefault="00C8503B" w:rsidP="00DF0A34">
            <w:pPr>
              <w:pStyle w:val="NormalWeb"/>
              <w:jc w:val="left"/>
              <w:rPr>
                <w:sz w:val="18"/>
                <w:szCs w:val="18"/>
              </w:rPr>
            </w:pPr>
            <w:r w:rsidRPr="007C2CFB">
              <w:rPr>
                <w:sz w:val="18"/>
                <w:szCs w:val="18"/>
              </w:rPr>
              <w:t xml:space="preserve">12 </w:t>
            </w:r>
            <w:proofErr w:type="spellStart"/>
            <w:r w:rsidRPr="007C2CFB">
              <w:rPr>
                <w:sz w:val="18"/>
                <w:szCs w:val="18"/>
              </w:rPr>
              <w:t>months</w:t>
            </w:r>
            <w:r w:rsidRPr="00D1481F">
              <w:rPr>
                <w:sz w:val="18"/>
                <w:szCs w:val="18"/>
                <w:vertAlign w:val="superscript"/>
              </w:rPr>
              <w:t>g</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auto"/>
            <w:hideMark/>
          </w:tcPr>
          <w:p w14:paraId="2774FC85" w14:textId="77777777" w:rsidR="00C8503B" w:rsidRPr="007C2CFB" w:rsidRDefault="00C8503B" w:rsidP="00DF0A34">
            <w:pPr>
              <w:pStyle w:val="NormalWeb"/>
              <w:rPr>
                <w:sz w:val="18"/>
                <w:szCs w:val="18"/>
              </w:rPr>
            </w:pPr>
            <w:r w:rsidRPr="007C2CFB">
              <w:rPr>
                <w:sz w:val="18"/>
                <w:szCs w:val="18"/>
              </w:rPr>
              <w:t>N/A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E0844B8" w14:textId="77777777" w:rsidR="00C8503B" w:rsidRPr="007C2CFB" w:rsidRDefault="00C8503B" w:rsidP="00DF0A34">
            <w:pPr>
              <w:pStyle w:val="NormalWeb"/>
              <w:rPr>
                <w:sz w:val="18"/>
                <w:szCs w:val="18"/>
              </w:rPr>
            </w:pPr>
            <w:r w:rsidRPr="007C2CFB">
              <w:rPr>
                <w:sz w:val="18"/>
                <w:szCs w:val="18"/>
              </w:rPr>
              <w:t>N/A</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2E412ED8" w14:textId="77777777" w:rsidR="00C8503B" w:rsidRPr="007C2CFB" w:rsidRDefault="00C8503B" w:rsidP="00DF0A34">
            <w:pPr>
              <w:pStyle w:val="NormalWeb"/>
              <w:rPr>
                <w:sz w:val="18"/>
                <w:szCs w:val="18"/>
              </w:rPr>
            </w:pPr>
            <w:r w:rsidRPr="007C2CFB">
              <w:rPr>
                <w:sz w:val="18"/>
                <w:szCs w:val="18"/>
              </w:rPr>
              <w:t>N/A</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14:paraId="15AEF2CE" w14:textId="77777777" w:rsidR="00C8503B" w:rsidRPr="007C2CFB" w:rsidRDefault="00C8503B" w:rsidP="00DF0A34">
            <w:pPr>
              <w:pStyle w:val="NormalWeb"/>
              <w:rPr>
                <w:sz w:val="18"/>
                <w:szCs w:val="18"/>
              </w:rPr>
            </w:pPr>
            <w:r w:rsidRPr="007C2CFB">
              <w:rPr>
                <w:sz w:val="18"/>
                <w:szCs w:val="18"/>
              </w:rPr>
              <w:t>N/A</w:t>
            </w:r>
          </w:p>
        </w:tc>
      </w:tr>
      <w:tr w:rsidR="00C8503B" w:rsidRPr="007C2CFB" w14:paraId="12C46AE3" w14:textId="77777777" w:rsidTr="00571B1F">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328FCD58" w14:textId="77777777" w:rsidR="00C8503B" w:rsidRPr="007C2CFB" w:rsidRDefault="00C8503B" w:rsidP="00DF0A34">
            <w:pPr>
              <w:jc w:val="left"/>
              <w:rPr>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14:paraId="51C56762" w14:textId="77777777" w:rsidR="00C8503B" w:rsidRPr="007C2CFB" w:rsidRDefault="00C8503B" w:rsidP="00DF0A34">
            <w:pPr>
              <w:pStyle w:val="NormalWeb"/>
              <w:jc w:val="left"/>
              <w:rPr>
                <w:sz w:val="18"/>
                <w:szCs w:val="18"/>
              </w:rPr>
            </w:pPr>
            <w:r w:rsidRPr="007C2CFB">
              <w:rPr>
                <w:sz w:val="18"/>
                <w:szCs w:val="18"/>
              </w:rPr>
              <w:t xml:space="preserve">24 </w:t>
            </w:r>
            <w:proofErr w:type="spellStart"/>
            <w:r w:rsidRPr="007C2CFB">
              <w:rPr>
                <w:sz w:val="18"/>
                <w:szCs w:val="18"/>
              </w:rPr>
              <w:t>months</w:t>
            </w:r>
            <w:r w:rsidRPr="00D1481F">
              <w:rPr>
                <w:sz w:val="18"/>
                <w:szCs w:val="18"/>
                <w:vertAlign w:val="superscript"/>
              </w:rPr>
              <w:t>e</w:t>
            </w:r>
            <w:proofErr w:type="spellEnd"/>
            <w:r w:rsidRPr="007C2CFB">
              <w:rPr>
                <w:sz w:val="18"/>
                <w:szCs w:val="18"/>
              </w:rPr>
              <w:t xml:space="preserve"> (Dose 1)</w:t>
            </w:r>
          </w:p>
        </w:tc>
        <w:tc>
          <w:tcPr>
            <w:tcW w:w="1252" w:type="dxa"/>
            <w:tcBorders>
              <w:top w:val="single" w:sz="4" w:space="0" w:color="auto"/>
              <w:left w:val="single" w:sz="4" w:space="0" w:color="auto"/>
              <w:bottom w:val="single" w:sz="4" w:space="0" w:color="auto"/>
              <w:right w:val="single" w:sz="4" w:space="0" w:color="auto"/>
            </w:tcBorders>
            <w:shd w:val="clear" w:color="auto" w:fill="auto"/>
            <w:hideMark/>
          </w:tcPr>
          <w:p w14:paraId="1D1C0035" w14:textId="77777777" w:rsidR="00C8503B" w:rsidRPr="007C2CFB" w:rsidRDefault="00C8503B" w:rsidP="00DF0A34">
            <w:pPr>
              <w:pStyle w:val="NormalWeb"/>
              <w:rPr>
                <w:sz w:val="18"/>
                <w:szCs w:val="18"/>
              </w:rPr>
            </w:pPr>
            <w:r w:rsidRPr="007C2CFB">
              <w:rPr>
                <w:sz w:val="18"/>
                <w:szCs w:val="18"/>
              </w:rPr>
              <w:t>92.7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640B06B" w14:textId="77777777" w:rsidR="00C8503B" w:rsidRPr="007C2CFB" w:rsidRDefault="00C8503B" w:rsidP="00DF0A34">
            <w:pPr>
              <w:pStyle w:val="NormalWeb"/>
              <w:rPr>
                <w:sz w:val="18"/>
                <w:szCs w:val="18"/>
              </w:rPr>
            </w:pPr>
            <w:r w:rsidRPr="007C2CFB">
              <w:rPr>
                <w:sz w:val="18"/>
                <w:szCs w:val="18"/>
              </w:rPr>
              <w:t>93.6</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0ABCD76F" w14:textId="77777777" w:rsidR="00C8503B" w:rsidRPr="007C2CFB" w:rsidRDefault="00C8503B" w:rsidP="00DF0A34">
            <w:pPr>
              <w:pStyle w:val="NormalWeb"/>
              <w:rPr>
                <w:sz w:val="18"/>
                <w:szCs w:val="18"/>
              </w:rPr>
            </w:pPr>
            <w:r w:rsidRPr="007C2CFB">
              <w:rPr>
                <w:sz w:val="18"/>
                <w:szCs w:val="18"/>
              </w:rPr>
              <w:t>93.6</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14:paraId="09A179A5" w14:textId="77777777" w:rsidR="00C8503B" w:rsidRPr="007C2CFB" w:rsidRDefault="00C8503B" w:rsidP="00DF0A34">
            <w:pPr>
              <w:pStyle w:val="NormalWeb"/>
              <w:rPr>
                <w:sz w:val="18"/>
                <w:szCs w:val="18"/>
              </w:rPr>
            </w:pPr>
            <w:r w:rsidRPr="007C2CFB">
              <w:rPr>
                <w:sz w:val="18"/>
                <w:szCs w:val="18"/>
              </w:rPr>
              <w:t>94.0</w:t>
            </w:r>
          </w:p>
        </w:tc>
      </w:tr>
      <w:tr w:rsidR="00C8503B" w:rsidRPr="007C2CFB" w14:paraId="78D97970" w14:textId="77777777" w:rsidTr="00571B1F">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144545EF" w14:textId="77777777" w:rsidR="00C8503B" w:rsidRPr="007C2CFB" w:rsidRDefault="00C8503B" w:rsidP="00DF0A34">
            <w:pPr>
              <w:jc w:val="left"/>
              <w:rPr>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14:paraId="40988F88" w14:textId="77777777" w:rsidR="00C8503B" w:rsidRPr="007C2CFB" w:rsidRDefault="00C8503B" w:rsidP="00DF0A34">
            <w:pPr>
              <w:pStyle w:val="NormalWeb"/>
              <w:jc w:val="left"/>
              <w:rPr>
                <w:sz w:val="18"/>
                <w:szCs w:val="18"/>
              </w:rPr>
            </w:pPr>
            <w:r w:rsidRPr="007C2CFB">
              <w:rPr>
                <w:sz w:val="18"/>
                <w:szCs w:val="18"/>
              </w:rPr>
              <w:t xml:space="preserve">60 </w:t>
            </w:r>
            <w:proofErr w:type="spellStart"/>
            <w:r w:rsidRPr="007C2CFB">
              <w:rPr>
                <w:sz w:val="18"/>
                <w:szCs w:val="18"/>
              </w:rPr>
              <w:t>months</w:t>
            </w:r>
            <w:r w:rsidRPr="00D1481F">
              <w:rPr>
                <w:sz w:val="18"/>
                <w:szCs w:val="18"/>
                <w:vertAlign w:val="superscript"/>
              </w:rPr>
              <w:t>f</w:t>
            </w:r>
            <w:proofErr w:type="spellEnd"/>
            <w:r w:rsidRPr="007C2CFB">
              <w:rPr>
                <w:sz w:val="18"/>
                <w:szCs w:val="18"/>
              </w:rPr>
              <w:t xml:space="preserve"> (Dose 1)</w:t>
            </w:r>
          </w:p>
        </w:tc>
        <w:tc>
          <w:tcPr>
            <w:tcW w:w="1252" w:type="dxa"/>
            <w:tcBorders>
              <w:top w:val="single" w:sz="4" w:space="0" w:color="auto"/>
              <w:left w:val="single" w:sz="4" w:space="0" w:color="auto"/>
              <w:bottom w:val="single" w:sz="4" w:space="0" w:color="auto"/>
              <w:right w:val="single" w:sz="4" w:space="0" w:color="auto"/>
            </w:tcBorders>
            <w:shd w:val="clear" w:color="auto" w:fill="auto"/>
            <w:hideMark/>
          </w:tcPr>
          <w:p w14:paraId="37C7269A" w14:textId="77777777" w:rsidR="00C8503B" w:rsidRPr="007C2CFB" w:rsidRDefault="00C8503B" w:rsidP="00DF0A34">
            <w:pPr>
              <w:pStyle w:val="NormalWeb"/>
              <w:rPr>
                <w:sz w:val="18"/>
                <w:szCs w:val="18"/>
              </w:rPr>
            </w:pPr>
            <w:r w:rsidRPr="007C2CFB">
              <w:rPr>
                <w:sz w:val="18"/>
                <w:szCs w:val="18"/>
              </w:rPr>
              <w:t>98.8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E20C5BF" w14:textId="77777777" w:rsidR="00C8503B" w:rsidRPr="007C2CFB" w:rsidRDefault="00C8503B" w:rsidP="00DF0A34">
            <w:pPr>
              <w:pStyle w:val="NormalWeb"/>
              <w:rPr>
                <w:sz w:val="18"/>
                <w:szCs w:val="18"/>
              </w:rPr>
            </w:pPr>
            <w:r w:rsidRPr="007C2CFB">
              <w:rPr>
                <w:sz w:val="18"/>
                <w:szCs w:val="18"/>
              </w:rPr>
              <w:t>98.8</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7A4F2E7D" w14:textId="77777777" w:rsidR="00C8503B" w:rsidRPr="007C2CFB" w:rsidRDefault="00C8503B" w:rsidP="00DF0A34">
            <w:pPr>
              <w:pStyle w:val="NormalWeb"/>
              <w:rPr>
                <w:sz w:val="18"/>
                <w:szCs w:val="18"/>
              </w:rPr>
            </w:pPr>
            <w:r w:rsidRPr="007C2CFB">
              <w:rPr>
                <w:sz w:val="18"/>
                <w:szCs w:val="18"/>
              </w:rPr>
              <w:t>96.4</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14:paraId="4AB76639" w14:textId="77777777" w:rsidR="00C8503B" w:rsidRPr="007C2CFB" w:rsidRDefault="00C8503B" w:rsidP="00DF0A34">
            <w:pPr>
              <w:pStyle w:val="NormalWeb"/>
              <w:rPr>
                <w:sz w:val="18"/>
                <w:szCs w:val="18"/>
              </w:rPr>
            </w:pPr>
            <w:r w:rsidRPr="007C2CFB">
              <w:rPr>
                <w:sz w:val="18"/>
                <w:szCs w:val="18"/>
              </w:rPr>
              <w:t>96.8</w:t>
            </w:r>
          </w:p>
        </w:tc>
      </w:tr>
      <w:tr w:rsidR="00C8503B" w:rsidRPr="007C2CFB" w14:paraId="1A8E71A2" w14:textId="77777777" w:rsidTr="00571B1F">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14:paraId="4A14AAA2" w14:textId="77777777" w:rsidR="00C8503B" w:rsidRPr="007C2CFB" w:rsidRDefault="00C8503B" w:rsidP="00DF0A34">
            <w:pPr>
              <w:pStyle w:val="NormalWeb"/>
              <w:jc w:val="left"/>
              <w:rPr>
                <w:sz w:val="18"/>
                <w:szCs w:val="18"/>
              </w:rPr>
            </w:pPr>
            <w:r w:rsidRPr="007C2CFB">
              <w:rPr>
                <w:sz w:val="18"/>
                <w:szCs w:val="18"/>
              </w:rPr>
              <w:t>Meningococcal C-containing vaccine</w:t>
            </w: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14:paraId="15E2E6E4" w14:textId="77777777" w:rsidR="00C8503B" w:rsidRPr="007C2CFB" w:rsidRDefault="00C8503B" w:rsidP="00DF0A34">
            <w:pPr>
              <w:pStyle w:val="NormalWeb"/>
              <w:jc w:val="left"/>
              <w:rPr>
                <w:sz w:val="18"/>
                <w:szCs w:val="18"/>
              </w:rPr>
            </w:pPr>
            <w:r w:rsidRPr="007C2CFB">
              <w:rPr>
                <w:sz w:val="18"/>
                <w:szCs w:val="18"/>
              </w:rPr>
              <w:t xml:space="preserve">12 </w:t>
            </w:r>
            <w:proofErr w:type="spellStart"/>
            <w:r w:rsidRPr="007C2CFB">
              <w:rPr>
                <w:sz w:val="18"/>
                <w:szCs w:val="18"/>
              </w:rPr>
              <w:t>months</w:t>
            </w:r>
            <w:r w:rsidRPr="00D1481F">
              <w:rPr>
                <w:sz w:val="18"/>
                <w:szCs w:val="18"/>
                <w:vertAlign w:val="superscript"/>
              </w:rPr>
              <w:t>g</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auto"/>
            <w:hideMark/>
          </w:tcPr>
          <w:p w14:paraId="3CC06ABB" w14:textId="77777777" w:rsidR="00C8503B" w:rsidRPr="007C2CFB" w:rsidRDefault="00C8503B" w:rsidP="00DF0A34">
            <w:pPr>
              <w:pStyle w:val="NormalWeb"/>
              <w:rPr>
                <w:sz w:val="18"/>
                <w:szCs w:val="18"/>
              </w:rPr>
            </w:pPr>
            <w:r w:rsidRPr="007C2CFB">
              <w:rPr>
                <w:sz w:val="18"/>
                <w:szCs w:val="18"/>
              </w:rPr>
              <w:t>N/A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CCB60B9" w14:textId="77777777" w:rsidR="00C8503B" w:rsidRPr="007C2CFB" w:rsidRDefault="00C8503B" w:rsidP="00DF0A34">
            <w:pPr>
              <w:pStyle w:val="NormalWeb"/>
              <w:rPr>
                <w:sz w:val="18"/>
                <w:szCs w:val="18"/>
              </w:rPr>
            </w:pPr>
            <w:r w:rsidRPr="007C2CFB">
              <w:rPr>
                <w:sz w:val="18"/>
                <w:szCs w:val="18"/>
              </w:rPr>
              <w:t>N/A</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614A7C69" w14:textId="77777777" w:rsidR="00C8503B" w:rsidRPr="007C2CFB" w:rsidRDefault="00C8503B" w:rsidP="00DF0A34">
            <w:pPr>
              <w:pStyle w:val="NormalWeb"/>
              <w:rPr>
                <w:sz w:val="18"/>
                <w:szCs w:val="18"/>
              </w:rPr>
            </w:pPr>
            <w:r w:rsidRPr="007C2CFB">
              <w:rPr>
                <w:sz w:val="18"/>
                <w:szCs w:val="18"/>
              </w:rPr>
              <w:t>N/A</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14:paraId="0193B4DF" w14:textId="77777777" w:rsidR="00C8503B" w:rsidRPr="007C2CFB" w:rsidRDefault="00C8503B" w:rsidP="00DF0A34">
            <w:pPr>
              <w:pStyle w:val="NormalWeb"/>
              <w:rPr>
                <w:sz w:val="18"/>
                <w:szCs w:val="18"/>
              </w:rPr>
            </w:pPr>
            <w:r w:rsidRPr="007C2CFB">
              <w:rPr>
                <w:sz w:val="18"/>
                <w:szCs w:val="18"/>
              </w:rPr>
              <w:t>N/A</w:t>
            </w:r>
          </w:p>
        </w:tc>
      </w:tr>
      <w:tr w:rsidR="00C8503B" w:rsidRPr="007C2CFB" w14:paraId="329F2B6B" w14:textId="77777777" w:rsidTr="00571B1F">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65AA042E" w14:textId="77777777" w:rsidR="00C8503B" w:rsidRPr="007C2CFB" w:rsidRDefault="00C8503B" w:rsidP="00DF0A34">
            <w:pPr>
              <w:jc w:val="left"/>
              <w:rPr>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14:paraId="466F441F" w14:textId="77777777" w:rsidR="00C8503B" w:rsidRPr="007C2CFB" w:rsidRDefault="00C8503B" w:rsidP="00DF0A34">
            <w:pPr>
              <w:pStyle w:val="NormalWeb"/>
              <w:jc w:val="left"/>
              <w:rPr>
                <w:sz w:val="18"/>
                <w:szCs w:val="18"/>
              </w:rPr>
            </w:pPr>
            <w:r w:rsidRPr="007C2CFB">
              <w:rPr>
                <w:sz w:val="18"/>
                <w:szCs w:val="18"/>
              </w:rPr>
              <w:t xml:space="preserve">24 </w:t>
            </w:r>
            <w:proofErr w:type="spellStart"/>
            <w:r w:rsidRPr="007C2CFB">
              <w:rPr>
                <w:sz w:val="18"/>
                <w:szCs w:val="18"/>
              </w:rPr>
              <w:t>months</w:t>
            </w:r>
            <w:r w:rsidRPr="00D1481F">
              <w:rPr>
                <w:sz w:val="18"/>
                <w:szCs w:val="18"/>
                <w:vertAlign w:val="superscript"/>
              </w:rPr>
              <w:t>e</w:t>
            </w:r>
            <w:proofErr w:type="spellEnd"/>
            <w:r w:rsidRPr="007C2CFB">
              <w:rPr>
                <w:sz w:val="18"/>
                <w:szCs w:val="18"/>
              </w:rPr>
              <w:t xml:space="preserve"> (Dose 1)</w:t>
            </w:r>
          </w:p>
        </w:tc>
        <w:tc>
          <w:tcPr>
            <w:tcW w:w="1252" w:type="dxa"/>
            <w:tcBorders>
              <w:top w:val="single" w:sz="4" w:space="0" w:color="auto"/>
              <w:left w:val="single" w:sz="4" w:space="0" w:color="auto"/>
              <w:bottom w:val="single" w:sz="4" w:space="0" w:color="auto"/>
              <w:right w:val="single" w:sz="4" w:space="0" w:color="auto"/>
            </w:tcBorders>
            <w:shd w:val="clear" w:color="auto" w:fill="auto"/>
            <w:hideMark/>
          </w:tcPr>
          <w:p w14:paraId="35952E88" w14:textId="77777777" w:rsidR="00C8503B" w:rsidRPr="007C2CFB" w:rsidRDefault="00C8503B" w:rsidP="00DF0A34">
            <w:pPr>
              <w:pStyle w:val="NormalWeb"/>
              <w:rPr>
                <w:sz w:val="18"/>
                <w:szCs w:val="18"/>
              </w:rPr>
            </w:pPr>
            <w:r w:rsidRPr="007C2CFB">
              <w:rPr>
                <w:sz w:val="18"/>
                <w:szCs w:val="18"/>
              </w:rPr>
              <w:t>96.6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726E602" w14:textId="77777777" w:rsidR="00C8503B" w:rsidRPr="007C2CFB" w:rsidRDefault="00C8503B" w:rsidP="00DF0A34">
            <w:pPr>
              <w:pStyle w:val="NormalWeb"/>
              <w:rPr>
                <w:sz w:val="18"/>
                <w:szCs w:val="18"/>
              </w:rPr>
            </w:pPr>
            <w:r w:rsidRPr="007C2CFB">
              <w:rPr>
                <w:sz w:val="18"/>
                <w:szCs w:val="18"/>
              </w:rPr>
              <w:t>96.9</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6A52A2F5" w14:textId="77777777" w:rsidR="00C8503B" w:rsidRPr="007C2CFB" w:rsidRDefault="00C8503B" w:rsidP="00DF0A34">
            <w:pPr>
              <w:pStyle w:val="NormalWeb"/>
              <w:rPr>
                <w:sz w:val="18"/>
                <w:szCs w:val="18"/>
              </w:rPr>
            </w:pPr>
            <w:r w:rsidRPr="007C2CFB">
              <w:rPr>
                <w:sz w:val="18"/>
                <w:szCs w:val="18"/>
              </w:rPr>
              <w:t>95.2</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14:paraId="7F426EBC" w14:textId="77777777" w:rsidR="00C8503B" w:rsidRPr="007C2CFB" w:rsidRDefault="00C8503B" w:rsidP="00DF0A34">
            <w:pPr>
              <w:pStyle w:val="NormalWeb"/>
              <w:rPr>
                <w:sz w:val="18"/>
                <w:szCs w:val="18"/>
              </w:rPr>
            </w:pPr>
            <w:r w:rsidRPr="007C2CFB">
              <w:rPr>
                <w:sz w:val="18"/>
                <w:szCs w:val="18"/>
              </w:rPr>
              <w:t>95.7</w:t>
            </w:r>
          </w:p>
        </w:tc>
      </w:tr>
      <w:tr w:rsidR="00C8503B" w:rsidRPr="007C2CFB" w14:paraId="37166411" w14:textId="77777777" w:rsidTr="00571B1F">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1F516AEF" w14:textId="77777777" w:rsidR="00C8503B" w:rsidRPr="007C2CFB" w:rsidRDefault="00C8503B" w:rsidP="00DF0A34">
            <w:pPr>
              <w:jc w:val="left"/>
              <w:rPr>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14:paraId="11801C1B" w14:textId="77777777" w:rsidR="00C8503B" w:rsidRPr="007C2CFB" w:rsidRDefault="00C8503B" w:rsidP="00DF0A34">
            <w:pPr>
              <w:pStyle w:val="NormalWeb"/>
              <w:jc w:val="left"/>
              <w:rPr>
                <w:sz w:val="18"/>
                <w:szCs w:val="18"/>
              </w:rPr>
            </w:pPr>
            <w:r w:rsidRPr="007C2CFB">
              <w:rPr>
                <w:sz w:val="18"/>
                <w:szCs w:val="18"/>
              </w:rPr>
              <w:t xml:space="preserve">60 </w:t>
            </w:r>
            <w:proofErr w:type="spellStart"/>
            <w:proofErr w:type="gramStart"/>
            <w:r w:rsidRPr="007C2CFB">
              <w:rPr>
                <w:sz w:val="18"/>
                <w:szCs w:val="18"/>
              </w:rPr>
              <w:t>months</w:t>
            </w:r>
            <w:r w:rsidRPr="00D1481F">
              <w:rPr>
                <w:sz w:val="18"/>
                <w:szCs w:val="18"/>
                <w:vertAlign w:val="superscript"/>
              </w:rPr>
              <w:t>f,g</w:t>
            </w:r>
            <w:proofErr w:type="spellEnd"/>
            <w:proofErr w:type="gramEnd"/>
            <w:r w:rsidRPr="007C2CFB">
              <w:rPr>
                <w:sz w:val="18"/>
                <w:szCs w:val="18"/>
              </w:rPr>
              <w:t xml:space="preserve"> (Dose 1)</w:t>
            </w:r>
          </w:p>
        </w:tc>
        <w:tc>
          <w:tcPr>
            <w:tcW w:w="1252" w:type="dxa"/>
            <w:tcBorders>
              <w:top w:val="single" w:sz="4" w:space="0" w:color="auto"/>
              <w:left w:val="single" w:sz="4" w:space="0" w:color="auto"/>
              <w:bottom w:val="single" w:sz="4" w:space="0" w:color="auto"/>
              <w:right w:val="single" w:sz="4" w:space="0" w:color="auto"/>
            </w:tcBorders>
            <w:shd w:val="clear" w:color="auto" w:fill="auto"/>
            <w:hideMark/>
          </w:tcPr>
          <w:p w14:paraId="7AC30402" w14:textId="77777777" w:rsidR="00C8503B" w:rsidRPr="007C2CFB" w:rsidRDefault="00C8503B" w:rsidP="00DF0A34">
            <w:pPr>
              <w:pStyle w:val="NormalWeb"/>
              <w:rPr>
                <w:sz w:val="18"/>
                <w:szCs w:val="18"/>
              </w:rPr>
            </w:pPr>
            <w:r w:rsidRPr="007C2CFB">
              <w:rPr>
                <w:sz w:val="18"/>
                <w:szCs w:val="18"/>
              </w:rPr>
              <w:t>98.9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67DB684" w14:textId="77777777" w:rsidR="00C8503B" w:rsidRPr="007C2CFB" w:rsidRDefault="00C8503B" w:rsidP="00DF0A34">
            <w:pPr>
              <w:pStyle w:val="NormalWeb"/>
              <w:rPr>
                <w:sz w:val="18"/>
                <w:szCs w:val="18"/>
              </w:rPr>
            </w:pPr>
            <w:r w:rsidRPr="007C2CFB">
              <w:rPr>
                <w:sz w:val="18"/>
                <w:szCs w:val="18"/>
              </w:rPr>
              <w:t>98.9</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3FCFAE1C" w14:textId="77777777" w:rsidR="00C8503B" w:rsidRPr="007C2CFB" w:rsidRDefault="00C8503B" w:rsidP="00DF0A34">
            <w:pPr>
              <w:pStyle w:val="NormalWeb"/>
              <w:rPr>
                <w:sz w:val="18"/>
                <w:szCs w:val="18"/>
              </w:rPr>
            </w:pPr>
            <w:r w:rsidRPr="007C2CFB">
              <w:rPr>
                <w:sz w:val="18"/>
                <w:szCs w:val="18"/>
              </w:rPr>
              <w:t>96.7</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14:paraId="1D573EF1" w14:textId="77777777" w:rsidR="00C8503B" w:rsidRPr="007C2CFB" w:rsidRDefault="00C8503B" w:rsidP="00DF0A34">
            <w:pPr>
              <w:pStyle w:val="NormalWeb"/>
              <w:rPr>
                <w:sz w:val="18"/>
                <w:szCs w:val="18"/>
              </w:rPr>
            </w:pPr>
            <w:r w:rsidRPr="007C2CFB">
              <w:rPr>
                <w:sz w:val="18"/>
                <w:szCs w:val="18"/>
              </w:rPr>
              <w:t>97.1</w:t>
            </w:r>
          </w:p>
        </w:tc>
      </w:tr>
      <w:tr w:rsidR="00C8503B" w:rsidRPr="007C2CFB" w14:paraId="7168D9F7" w14:textId="77777777" w:rsidTr="00571B1F">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14:paraId="7109A2B6" w14:textId="77777777" w:rsidR="00C8503B" w:rsidRPr="007C2CFB" w:rsidRDefault="00C8503B" w:rsidP="00DF0A34">
            <w:pPr>
              <w:pStyle w:val="NormalWeb"/>
              <w:jc w:val="left"/>
              <w:rPr>
                <w:sz w:val="18"/>
                <w:szCs w:val="18"/>
              </w:rPr>
            </w:pPr>
            <w:r w:rsidRPr="007C2CFB">
              <w:rPr>
                <w:sz w:val="18"/>
                <w:szCs w:val="18"/>
              </w:rPr>
              <w:t>13-valent pneumococcal conjugate vaccine</w:t>
            </w: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14:paraId="19B40559" w14:textId="77777777" w:rsidR="00C8503B" w:rsidRPr="007C2CFB" w:rsidRDefault="00C8503B" w:rsidP="00DF0A34">
            <w:pPr>
              <w:pStyle w:val="NormalWeb"/>
              <w:jc w:val="left"/>
              <w:rPr>
                <w:sz w:val="18"/>
                <w:szCs w:val="18"/>
              </w:rPr>
            </w:pPr>
            <w:r w:rsidRPr="007C2CFB">
              <w:rPr>
                <w:sz w:val="18"/>
                <w:szCs w:val="18"/>
              </w:rPr>
              <w:t xml:space="preserve">12 </w:t>
            </w:r>
            <w:proofErr w:type="spellStart"/>
            <w:r w:rsidRPr="007C2CFB">
              <w:rPr>
                <w:sz w:val="18"/>
                <w:szCs w:val="18"/>
              </w:rPr>
              <w:t>months</w:t>
            </w:r>
            <w:r w:rsidRPr="00D1481F">
              <w:rPr>
                <w:sz w:val="18"/>
                <w:szCs w:val="18"/>
                <w:vertAlign w:val="superscript"/>
              </w:rPr>
              <w:t>d</w:t>
            </w:r>
            <w:proofErr w:type="spellEnd"/>
            <w:r w:rsidRPr="007C2CFB">
              <w:rPr>
                <w:sz w:val="18"/>
                <w:szCs w:val="18"/>
              </w:rPr>
              <w:t xml:space="preserve"> (Dose 2 or 3)</w:t>
            </w:r>
          </w:p>
        </w:tc>
        <w:tc>
          <w:tcPr>
            <w:tcW w:w="1252" w:type="dxa"/>
            <w:tcBorders>
              <w:top w:val="single" w:sz="4" w:space="0" w:color="auto"/>
              <w:left w:val="single" w:sz="4" w:space="0" w:color="auto"/>
              <w:bottom w:val="single" w:sz="4" w:space="0" w:color="auto"/>
              <w:right w:val="single" w:sz="4" w:space="0" w:color="auto"/>
            </w:tcBorders>
            <w:shd w:val="clear" w:color="auto" w:fill="auto"/>
            <w:hideMark/>
          </w:tcPr>
          <w:p w14:paraId="2A3DEA18" w14:textId="77777777" w:rsidR="00C8503B" w:rsidRPr="007C2CFB" w:rsidRDefault="00C8503B" w:rsidP="00DF0A34">
            <w:pPr>
              <w:pStyle w:val="NormalWeb"/>
              <w:rPr>
                <w:sz w:val="18"/>
                <w:szCs w:val="18"/>
              </w:rPr>
            </w:pPr>
            <w:r w:rsidRPr="007C2CFB">
              <w:rPr>
                <w:sz w:val="18"/>
                <w:szCs w:val="18"/>
              </w:rPr>
              <w:t>97.0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44A6E7E" w14:textId="77777777" w:rsidR="00C8503B" w:rsidRPr="007C2CFB" w:rsidRDefault="00C8503B" w:rsidP="00DF0A34">
            <w:pPr>
              <w:pStyle w:val="NormalWeb"/>
              <w:rPr>
                <w:sz w:val="18"/>
                <w:szCs w:val="18"/>
              </w:rPr>
            </w:pPr>
            <w:r w:rsidRPr="007C2CFB">
              <w:rPr>
                <w:sz w:val="18"/>
                <w:szCs w:val="18"/>
              </w:rPr>
              <w:t>96.7</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567D8E18" w14:textId="77777777" w:rsidR="00C8503B" w:rsidRPr="007C2CFB" w:rsidRDefault="00C8503B" w:rsidP="00DF0A34">
            <w:pPr>
              <w:pStyle w:val="NormalWeb"/>
              <w:rPr>
                <w:sz w:val="18"/>
                <w:szCs w:val="18"/>
              </w:rPr>
            </w:pPr>
            <w:r w:rsidRPr="007C2CFB">
              <w:rPr>
                <w:sz w:val="18"/>
                <w:szCs w:val="18"/>
              </w:rPr>
              <w:t>96.1</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14:paraId="29C12302" w14:textId="77777777" w:rsidR="00C8503B" w:rsidRPr="007C2CFB" w:rsidRDefault="00C8503B" w:rsidP="00DF0A34">
            <w:pPr>
              <w:pStyle w:val="NormalWeb"/>
              <w:rPr>
                <w:sz w:val="18"/>
                <w:szCs w:val="18"/>
              </w:rPr>
            </w:pPr>
            <w:r w:rsidRPr="007C2CFB">
              <w:rPr>
                <w:sz w:val="18"/>
                <w:szCs w:val="18"/>
              </w:rPr>
              <w:t>96.5</w:t>
            </w:r>
          </w:p>
        </w:tc>
      </w:tr>
      <w:tr w:rsidR="00C8503B" w:rsidRPr="007C2CFB" w14:paraId="034632CF" w14:textId="77777777" w:rsidTr="00571B1F">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5E7EDB8E" w14:textId="77777777" w:rsidR="00C8503B" w:rsidRPr="007C2CFB" w:rsidRDefault="00C8503B" w:rsidP="00DF0A34">
            <w:pPr>
              <w:jc w:val="left"/>
              <w:rPr>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14:paraId="43B9B61F" w14:textId="77777777" w:rsidR="00C8503B" w:rsidRPr="007C2CFB" w:rsidRDefault="00C8503B" w:rsidP="00DF0A34">
            <w:pPr>
              <w:pStyle w:val="NormalWeb"/>
              <w:jc w:val="left"/>
              <w:rPr>
                <w:sz w:val="18"/>
                <w:szCs w:val="18"/>
              </w:rPr>
            </w:pPr>
            <w:r w:rsidRPr="007C2CFB">
              <w:rPr>
                <w:sz w:val="18"/>
                <w:szCs w:val="18"/>
              </w:rPr>
              <w:t xml:space="preserve">24 </w:t>
            </w:r>
            <w:proofErr w:type="spellStart"/>
            <w:r w:rsidRPr="007C2CFB">
              <w:rPr>
                <w:sz w:val="18"/>
                <w:szCs w:val="18"/>
              </w:rPr>
              <w:t>months</w:t>
            </w:r>
            <w:r w:rsidRPr="00D1481F">
              <w:rPr>
                <w:sz w:val="18"/>
                <w:szCs w:val="18"/>
                <w:vertAlign w:val="superscript"/>
              </w:rPr>
              <w:t>e</w:t>
            </w:r>
            <w:proofErr w:type="spellEnd"/>
            <w:r w:rsidRPr="007C2CFB">
              <w:rPr>
                <w:sz w:val="18"/>
                <w:szCs w:val="18"/>
              </w:rPr>
              <w:t xml:space="preserve"> (Dose 3)</w:t>
            </w:r>
          </w:p>
        </w:tc>
        <w:tc>
          <w:tcPr>
            <w:tcW w:w="1252" w:type="dxa"/>
            <w:tcBorders>
              <w:top w:val="single" w:sz="4" w:space="0" w:color="auto"/>
              <w:left w:val="single" w:sz="4" w:space="0" w:color="auto"/>
              <w:bottom w:val="single" w:sz="4" w:space="0" w:color="auto"/>
              <w:right w:val="single" w:sz="4" w:space="0" w:color="auto"/>
            </w:tcBorders>
            <w:shd w:val="clear" w:color="auto" w:fill="auto"/>
            <w:hideMark/>
          </w:tcPr>
          <w:p w14:paraId="468C8D71" w14:textId="77777777" w:rsidR="00C8503B" w:rsidRPr="007C2CFB" w:rsidRDefault="00C8503B" w:rsidP="00DF0A34">
            <w:pPr>
              <w:pStyle w:val="NormalWeb"/>
              <w:rPr>
                <w:sz w:val="18"/>
                <w:szCs w:val="18"/>
              </w:rPr>
            </w:pPr>
            <w:r w:rsidRPr="007C2CFB">
              <w:rPr>
                <w:sz w:val="18"/>
                <w:szCs w:val="18"/>
              </w:rPr>
              <w:t>96.7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91AFB26" w14:textId="77777777" w:rsidR="00C8503B" w:rsidRPr="007C2CFB" w:rsidRDefault="00C8503B" w:rsidP="00DF0A34">
            <w:pPr>
              <w:pStyle w:val="NormalWeb"/>
              <w:rPr>
                <w:sz w:val="18"/>
                <w:szCs w:val="18"/>
              </w:rPr>
            </w:pPr>
            <w:r w:rsidRPr="007C2CFB">
              <w:rPr>
                <w:sz w:val="18"/>
                <w:szCs w:val="18"/>
              </w:rPr>
              <w:t>96.8</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3B21A524" w14:textId="77777777" w:rsidR="00C8503B" w:rsidRPr="007C2CFB" w:rsidRDefault="00C8503B" w:rsidP="00DF0A34">
            <w:pPr>
              <w:pStyle w:val="NormalWeb"/>
              <w:rPr>
                <w:sz w:val="18"/>
                <w:szCs w:val="18"/>
              </w:rPr>
            </w:pPr>
            <w:r w:rsidRPr="007C2CFB">
              <w:rPr>
                <w:sz w:val="18"/>
                <w:szCs w:val="18"/>
              </w:rPr>
              <w:t>95.7</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14:paraId="14C922BC" w14:textId="77777777" w:rsidR="00C8503B" w:rsidRPr="007C2CFB" w:rsidRDefault="00C8503B" w:rsidP="00DF0A34">
            <w:pPr>
              <w:pStyle w:val="NormalWeb"/>
              <w:rPr>
                <w:sz w:val="18"/>
                <w:szCs w:val="18"/>
              </w:rPr>
            </w:pPr>
            <w:r w:rsidRPr="007C2CFB">
              <w:rPr>
                <w:sz w:val="18"/>
                <w:szCs w:val="18"/>
              </w:rPr>
              <w:t>95.6</w:t>
            </w:r>
          </w:p>
        </w:tc>
      </w:tr>
      <w:tr w:rsidR="00C8503B" w:rsidRPr="007C2CFB" w14:paraId="7FFDE2F8" w14:textId="77777777" w:rsidTr="00571B1F">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3717DEA1" w14:textId="77777777" w:rsidR="00C8503B" w:rsidRPr="007C2CFB" w:rsidRDefault="00C8503B" w:rsidP="00DF0A34">
            <w:pPr>
              <w:jc w:val="left"/>
              <w:rPr>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14:paraId="29C49F82" w14:textId="77777777" w:rsidR="00C8503B" w:rsidRPr="007C2CFB" w:rsidRDefault="00C8503B" w:rsidP="00DF0A34">
            <w:pPr>
              <w:pStyle w:val="NormalWeb"/>
              <w:jc w:val="left"/>
              <w:rPr>
                <w:sz w:val="18"/>
                <w:szCs w:val="18"/>
              </w:rPr>
            </w:pPr>
            <w:r w:rsidRPr="007C2CFB">
              <w:rPr>
                <w:sz w:val="18"/>
                <w:szCs w:val="18"/>
              </w:rPr>
              <w:t xml:space="preserve">60 </w:t>
            </w:r>
            <w:proofErr w:type="spellStart"/>
            <w:r w:rsidRPr="007C2CFB">
              <w:rPr>
                <w:sz w:val="18"/>
                <w:szCs w:val="18"/>
              </w:rPr>
              <w:t>months</w:t>
            </w:r>
            <w:r w:rsidRPr="00D1481F">
              <w:rPr>
                <w:sz w:val="18"/>
                <w:szCs w:val="18"/>
                <w:vertAlign w:val="superscript"/>
              </w:rPr>
              <w:t>f</w:t>
            </w:r>
            <w:proofErr w:type="spellEnd"/>
            <w:r w:rsidRPr="007C2CFB">
              <w:rPr>
                <w:sz w:val="18"/>
                <w:szCs w:val="18"/>
              </w:rPr>
              <w:t xml:space="preserve"> (Dose 3)</w:t>
            </w:r>
          </w:p>
        </w:tc>
        <w:tc>
          <w:tcPr>
            <w:tcW w:w="1252" w:type="dxa"/>
            <w:tcBorders>
              <w:top w:val="single" w:sz="4" w:space="0" w:color="auto"/>
              <w:left w:val="single" w:sz="4" w:space="0" w:color="auto"/>
              <w:bottom w:val="single" w:sz="4" w:space="0" w:color="auto"/>
              <w:right w:val="single" w:sz="4" w:space="0" w:color="auto"/>
            </w:tcBorders>
            <w:shd w:val="clear" w:color="auto" w:fill="auto"/>
            <w:hideMark/>
          </w:tcPr>
          <w:p w14:paraId="7728009C" w14:textId="77777777" w:rsidR="00C8503B" w:rsidRPr="007C2CFB" w:rsidRDefault="00C8503B" w:rsidP="00DF0A34">
            <w:pPr>
              <w:pStyle w:val="NormalWeb"/>
              <w:rPr>
                <w:sz w:val="18"/>
                <w:szCs w:val="18"/>
              </w:rPr>
            </w:pPr>
            <w:r w:rsidRPr="007C2CFB">
              <w:rPr>
                <w:sz w:val="18"/>
                <w:szCs w:val="18"/>
              </w:rPr>
              <w:t>96.9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4AC5E53" w14:textId="77777777" w:rsidR="00C8503B" w:rsidRPr="007C2CFB" w:rsidRDefault="00C8503B" w:rsidP="00DF0A34">
            <w:pPr>
              <w:pStyle w:val="NormalWeb"/>
              <w:rPr>
                <w:sz w:val="18"/>
                <w:szCs w:val="18"/>
              </w:rPr>
            </w:pPr>
            <w:r w:rsidRPr="007C2CFB">
              <w:rPr>
                <w:sz w:val="18"/>
                <w:szCs w:val="18"/>
              </w:rPr>
              <w:t>97.4</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73AB8784" w14:textId="77777777" w:rsidR="00C8503B" w:rsidRPr="007C2CFB" w:rsidRDefault="00C8503B" w:rsidP="00DF0A34">
            <w:pPr>
              <w:pStyle w:val="NormalWeb"/>
              <w:rPr>
                <w:sz w:val="18"/>
                <w:szCs w:val="18"/>
              </w:rPr>
            </w:pPr>
            <w:r w:rsidRPr="007C2CFB">
              <w:rPr>
                <w:sz w:val="18"/>
                <w:szCs w:val="18"/>
              </w:rPr>
              <w:t>94.5</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14:paraId="167ACC57" w14:textId="77777777" w:rsidR="00C8503B" w:rsidRPr="007C2CFB" w:rsidRDefault="00C8503B" w:rsidP="00DF0A34">
            <w:pPr>
              <w:pStyle w:val="NormalWeb"/>
              <w:rPr>
                <w:sz w:val="18"/>
                <w:szCs w:val="18"/>
              </w:rPr>
            </w:pPr>
            <w:r w:rsidRPr="007C2CFB">
              <w:rPr>
                <w:sz w:val="18"/>
                <w:szCs w:val="18"/>
              </w:rPr>
              <w:t>95.2</w:t>
            </w:r>
          </w:p>
        </w:tc>
      </w:tr>
      <w:tr w:rsidR="00C8503B" w:rsidRPr="007C2CFB" w14:paraId="62BAC732" w14:textId="77777777" w:rsidTr="00571B1F">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14:paraId="49F93B3B" w14:textId="77777777" w:rsidR="00C8503B" w:rsidRPr="007C2CFB" w:rsidRDefault="00C8503B" w:rsidP="00DF0A34">
            <w:pPr>
              <w:pStyle w:val="NormalWeb"/>
              <w:jc w:val="left"/>
              <w:rPr>
                <w:sz w:val="18"/>
                <w:szCs w:val="18"/>
              </w:rPr>
            </w:pPr>
            <w:r w:rsidRPr="007C2CFB">
              <w:rPr>
                <w:sz w:val="18"/>
                <w:szCs w:val="18"/>
              </w:rPr>
              <w:t>Rotavirus vaccine</w:t>
            </w: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14:paraId="79621914" w14:textId="77777777" w:rsidR="00C8503B" w:rsidRPr="007C2CFB" w:rsidRDefault="00C8503B" w:rsidP="00DF0A34">
            <w:pPr>
              <w:pStyle w:val="NormalWeb"/>
              <w:jc w:val="left"/>
              <w:rPr>
                <w:sz w:val="18"/>
                <w:szCs w:val="18"/>
              </w:rPr>
            </w:pPr>
            <w:r w:rsidRPr="007C2CFB">
              <w:rPr>
                <w:sz w:val="18"/>
                <w:szCs w:val="18"/>
              </w:rPr>
              <w:t xml:space="preserve">12 </w:t>
            </w:r>
            <w:proofErr w:type="spellStart"/>
            <w:r w:rsidRPr="007C2CFB">
              <w:rPr>
                <w:sz w:val="18"/>
                <w:szCs w:val="18"/>
              </w:rPr>
              <w:t>months</w:t>
            </w:r>
            <w:r w:rsidRPr="00D1481F">
              <w:rPr>
                <w:sz w:val="18"/>
                <w:szCs w:val="18"/>
                <w:vertAlign w:val="superscript"/>
              </w:rPr>
              <w:t>d</w:t>
            </w:r>
            <w:proofErr w:type="spellEnd"/>
            <w:r w:rsidRPr="007C2CFB">
              <w:rPr>
                <w:sz w:val="18"/>
                <w:szCs w:val="18"/>
              </w:rPr>
              <w:t xml:space="preserve"> (Dose 2)</w:t>
            </w:r>
          </w:p>
        </w:tc>
        <w:tc>
          <w:tcPr>
            <w:tcW w:w="1252" w:type="dxa"/>
            <w:tcBorders>
              <w:top w:val="single" w:sz="4" w:space="0" w:color="auto"/>
              <w:left w:val="single" w:sz="4" w:space="0" w:color="auto"/>
              <w:bottom w:val="single" w:sz="4" w:space="0" w:color="auto"/>
              <w:right w:val="single" w:sz="4" w:space="0" w:color="auto"/>
            </w:tcBorders>
            <w:shd w:val="clear" w:color="auto" w:fill="auto"/>
            <w:hideMark/>
          </w:tcPr>
          <w:p w14:paraId="4368FB84" w14:textId="77777777" w:rsidR="00C8503B" w:rsidRPr="007C2CFB" w:rsidRDefault="00C8503B" w:rsidP="00DF0A34">
            <w:pPr>
              <w:pStyle w:val="NormalWeb"/>
              <w:rPr>
                <w:sz w:val="18"/>
                <w:szCs w:val="18"/>
              </w:rPr>
            </w:pPr>
            <w:r w:rsidRPr="007C2CFB">
              <w:rPr>
                <w:sz w:val="18"/>
                <w:szCs w:val="18"/>
              </w:rPr>
              <w:t>87.3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D85DC7B" w14:textId="77777777" w:rsidR="00C8503B" w:rsidRPr="007C2CFB" w:rsidRDefault="00C8503B" w:rsidP="00DF0A34">
            <w:pPr>
              <w:pStyle w:val="NormalWeb"/>
              <w:rPr>
                <w:sz w:val="18"/>
                <w:szCs w:val="18"/>
              </w:rPr>
            </w:pPr>
            <w:r w:rsidRPr="007C2CFB">
              <w:rPr>
                <w:sz w:val="18"/>
                <w:szCs w:val="18"/>
              </w:rPr>
              <w:t>87.6</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0368393F" w14:textId="77777777" w:rsidR="00C8503B" w:rsidRPr="007C2CFB" w:rsidRDefault="00C8503B" w:rsidP="00DF0A34">
            <w:pPr>
              <w:pStyle w:val="NormalWeb"/>
              <w:rPr>
                <w:sz w:val="18"/>
                <w:szCs w:val="18"/>
              </w:rPr>
            </w:pPr>
            <w:r w:rsidRPr="007C2CFB">
              <w:rPr>
                <w:sz w:val="18"/>
                <w:szCs w:val="18"/>
              </w:rPr>
              <w:t>91.9</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14:paraId="5068E234" w14:textId="77777777" w:rsidR="00C8503B" w:rsidRPr="007C2CFB" w:rsidRDefault="00C8503B" w:rsidP="00DF0A34">
            <w:pPr>
              <w:pStyle w:val="NormalWeb"/>
              <w:rPr>
                <w:sz w:val="18"/>
                <w:szCs w:val="18"/>
              </w:rPr>
            </w:pPr>
            <w:r w:rsidRPr="007C2CFB">
              <w:rPr>
                <w:sz w:val="18"/>
                <w:szCs w:val="18"/>
              </w:rPr>
              <w:t>92.5</w:t>
            </w:r>
          </w:p>
        </w:tc>
      </w:tr>
      <w:tr w:rsidR="00C8503B" w:rsidRPr="007C2CFB" w14:paraId="0688DC36" w14:textId="77777777" w:rsidTr="00571B1F">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3278AEFE" w14:textId="77777777" w:rsidR="00C8503B" w:rsidRPr="007C2CFB" w:rsidRDefault="00C8503B" w:rsidP="00DF0A34">
            <w:pPr>
              <w:jc w:val="left"/>
              <w:rPr>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14:paraId="5ADE1A57" w14:textId="77777777" w:rsidR="00C8503B" w:rsidRPr="007C2CFB" w:rsidRDefault="00C8503B" w:rsidP="00DF0A34">
            <w:pPr>
              <w:pStyle w:val="NormalWeb"/>
              <w:jc w:val="left"/>
              <w:rPr>
                <w:sz w:val="18"/>
                <w:szCs w:val="18"/>
              </w:rPr>
            </w:pPr>
            <w:r w:rsidRPr="007C2CFB">
              <w:rPr>
                <w:sz w:val="18"/>
                <w:szCs w:val="18"/>
              </w:rPr>
              <w:t xml:space="preserve">24 </w:t>
            </w:r>
            <w:proofErr w:type="spellStart"/>
            <w:r w:rsidRPr="007C2CFB">
              <w:rPr>
                <w:sz w:val="18"/>
                <w:szCs w:val="18"/>
              </w:rPr>
              <w:t>months</w:t>
            </w:r>
            <w:r w:rsidRPr="00D1481F">
              <w:rPr>
                <w:sz w:val="18"/>
                <w:szCs w:val="18"/>
                <w:vertAlign w:val="superscript"/>
              </w:rPr>
              <w:t>g</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auto"/>
            <w:hideMark/>
          </w:tcPr>
          <w:p w14:paraId="15A5742B" w14:textId="77777777" w:rsidR="00C8503B" w:rsidRPr="007C2CFB" w:rsidRDefault="00C8503B" w:rsidP="00DF0A34">
            <w:pPr>
              <w:pStyle w:val="NormalWeb"/>
              <w:rPr>
                <w:sz w:val="18"/>
                <w:szCs w:val="18"/>
              </w:rPr>
            </w:pPr>
            <w:r w:rsidRPr="007C2CFB">
              <w:rPr>
                <w:sz w:val="18"/>
                <w:szCs w:val="18"/>
              </w:rPr>
              <w:t>N/A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7665311" w14:textId="77777777" w:rsidR="00C8503B" w:rsidRPr="007C2CFB" w:rsidRDefault="00C8503B" w:rsidP="00DF0A34">
            <w:pPr>
              <w:pStyle w:val="NormalWeb"/>
              <w:rPr>
                <w:sz w:val="18"/>
                <w:szCs w:val="18"/>
              </w:rPr>
            </w:pPr>
            <w:r w:rsidRPr="007C2CFB">
              <w:rPr>
                <w:sz w:val="18"/>
                <w:szCs w:val="18"/>
              </w:rPr>
              <w:t>N/A</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7B8D648D" w14:textId="77777777" w:rsidR="00C8503B" w:rsidRPr="007C2CFB" w:rsidRDefault="00C8503B" w:rsidP="00DF0A34">
            <w:pPr>
              <w:pStyle w:val="NormalWeb"/>
              <w:rPr>
                <w:sz w:val="18"/>
                <w:szCs w:val="18"/>
              </w:rPr>
            </w:pPr>
            <w:r w:rsidRPr="007C2CFB">
              <w:rPr>
                <w:sz w:val="18"/>
                <w:szCs w:val="18"/>
              </w:rPr>
              <w:t>N/A</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14:paraId="7A5769F5" w14:textId="77777777" w:rsidR="00C8503B" w:rsidRPr="007C2CFB" w:rsidRDefault="00C8503B" w:rsidP="00DF0A34">
            <w:pPr>
              <w:pStyle w:val="NormalWeb"/>
              <w:rPr>
                <w:sz w:val="18"/>
                <w:szCs w:val="18"/>
              </w:rPr>
            </w:pPr>
            <w:r w:rsidRPr="007C2CFB">
              <w:rPr>
                <w:sz w:val="18"/>
                <w:szCs w:val="18"/>
              </w:rPr>
              <w:t>N/A</w:t>
            </w:r>
          </w:p>
        </w:tc>
      </w:tr>
      <w:tr w:rsidR="00C8503B" w:rsidRPr="007C2CFB" w14:paraId="31B358E9" w14:textId="77777777" w:rsidTr="00571B1F">
        <w:tc>
          <w:tcPr>
            <w:tcW w:w="0" w:type="auto"/>
            <w:vMerge/>
            <w:tcBorders>
              <w:top w:val="single" w:sz="4" w:space="0" w:color="auto"/>
              <w:left w:val="single" w:sz="4" w:space="0" w:color="auto"/>
              <w:bottom w:val="single" w:sz="4" w:space="0" w:color="auto"/>
              <w:right w:val="single" w:sz="4" w:space="0" w:color="auto"/>
            </w:tcBorders>
            <w:shd w:val="clear" w:color="auto" w:fill="auto"/>
            <w:hideMark/>
          </w:tcPr>
          <w:p w14:paraId="4B74AF00" w14:textId="77777777" w:rsidR="00C8503B" w:rsidRPr="007C2CFB" w:rsidRDefault="00C8503B" w:rsidP="00DF0A34">
            <w:pPr>
              <w:jc w:val="left"/>
              <w:rPr>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14:paraId="566A735B" w14:textId="77777777" w:rsidR="00C8503B" w:rsidRPr="007C2CFB" w:rsidRDefault="00C8503B" w:rsidP="00DF0A34">
            <w:pPr>
              <w:pStyle w:val="NormalWeb"/>
              <w:jc w:val="left"/>
              <w:rPr>
                <w:sz w:val="18"/>
                <w:szCs w:val="18"/>
              </w:rPr>
            </w:pPr>
            <w:r w:rsidRPr="007C2CFB">
              <w:rPr>
                <w:sz w:val="18"/>
                <w:szCs w:val="18"/>
              </w:rPr>
              <w:t xml:space="preserve">60 </w:t>
            </w:r>
            <w:proofErr w:type="spellStart"/>
            <w:r w:rsidRPr="007C2CFB">
              <w:rPr>
                <w:sz w:val="18"/>
                <w:szCs w:val="18"/>
              </w:rPr>
              <w:t>months</w:t>
            </w:r>
            <w:r w:rsidRPr="00D1481F">
              <w:rPr>
                <w:sz w:val="18"/>
                <w:szCs w:val="18"/>
                <w:vertAlign w:val="superscript"/>
              </w:rPr>
              <w:t>g</w:t>
            </w:r>
            <w:proofErr w:type="spellEnd"/>
          </w:p>
        </w:tc>
        <w:tc>
          <w:tcPr>
            <w:tcW w:w="1252" w:type="dxa"/>
            <w:tcBorders>
              <w:top w:val="single" w:sz="4" w:space="0" w:color="auto"/>
              <w:left w:val="single" w:sz="4" w:space="0" w:color="auto"/>
              <w:bottom w:val="single" w:sz="4" w:space="0" w:color="auto"/>
              <w:right w:val="single" w:sz="4" w:space="0" w:color="auto"/>
            </w:tcBorders>
            <w:shd w:val="clear" w:color="auto" w:fill="auto"/>
            <w:hideMark/>
          </w:tcPr>
          <w:p w14:paraId="4CD85A87" w14:textId="77777777" w:rsidR="00C8503B" w:rsidRPr="007C2CFB" w:rsidRDefault="00C8503B" w:rsidP="00DF0A34">
            <w:pPr>
              <w:pStyle w:val="NormalWeb"/>
              <w:rPr>
                <w:sz w:val="18"/>
                <w:szCs w:val="18"/>
              </w:rPr>
            </w:pPr>
            <w:r w:rsidRPr="007C2CFB">
              <w:rPr>
                <w:sz w:val="18"/>
                <w:szCs w:val="18"/>
              </w:rPr>
              <w:t>N/A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315B92C" w14:textId="77777777" w:rsidR="00C8503B" w:rsidRPr="007C2CFB" w:rsidRDefault="00C8503B" w:rsidP="00DF0A34">
            <w:pPr>
              <w:pStyle w:val="NormalWeb"/>
              <w:rPr>
                <w:sz w:val="18"/>
                <w:szCs w:val="18"/>
              </w:rPr>
            </w:pPr>
            <w:r w:rsidRPr="007C2CFB">
              <w:rPr>
                <w:sz w:val="18"/>
                <w:szCs w:val="18"/>
              </w:rPr>
              <w:t>N/A</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136D9571" w14:textId="77777777" w:rsidR="00C8503B" w:rsidRPr="007C2CFB" w:rsidRDefault="00C8503B" w:rsidP="00DF0A34">
            <w:pPr>
              <w:pStyle w:val="NormalWeb"/>
              <w:rPr>
                <w:sz w:val="18"/>
                <w:szCs w:val="18"/>
              </w:rPr>
            </w:pPr>
            <w:r w:rsidRPr="007C2CFB">
              <w:rPr>
                <w:sz w:val="18"/>
                <w:szCs w:val="18"/>
              </w:rPr>
              <w:t>N/A</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14:paraId="6E0ADC53" w14:textId="77777777" w:rsidR="00C8503B" w:rsidRPr="007C2CFB" w:rsidRDefault="00C8503B" w:rsidP="00DF0A34">
            <w:pPr>
              <w:pStyle w:val="NormalWeb"/>
              <w:rPr>
                <w:sz w:val="18"/>
                <w:szCs w:val="18"/>
              </w:rPr>
            </w:pPr>
            <w:r w:rsidRPr="007C2CFB">
              <w:rPr>
                <w:sz w:val="18"/>
                <w:szCs w:val="18"/>
              </w:rPr>
              <w:t>N/A</w:t>
            </w:r>
          </w:p>
        </w:tc>
      </w:tr>
    </w:tbl>
    <w:p w14:paraId="4866A6C1" w14:textId="77777777" w:rsidR="00C8503B" w:rsidRDefault="00C8503B" w:rsidP="00C8503B">
      <w:pPr>
        <w:pStyle w:val="CDIfootnotes"/>
        <w:rPr>
          <w:lang w:val="en-GB"/>
        </w:rPr>
      </w:pPr>
      <w:r>
        <w:rPr>
          <w:lang w:val="en-GB"/>
        </w:rPr>
        <w:t>a</w:t>
      </w:r>
      <w:r>
        <w:rPr>
          <w:lang w:val="en-GB"/>
        </w:rPr>
        <w:tab/>
        <w:t xml:space="preserve">Source: Australian Immunisation Register, data as </w:t>
      </w:r>
      <w:proofErr w:type="gramStart"/>
      <w:r>
        <w:rPr>
          <w:lang w:val="en-GB"/>
        </w:rPr>
        <w:t>at</w:t>
      </w:r>
      <w:proofErr w:type="gramEnd"/>
      <w:r>
        <w:rPr>
          <w:lang w:val="en-GB"/>
        </w:rPr>
        <w:t xml:space="preserve"> 31 March 2020 for 2019 estimates and 31 March 2021 for 2020 estimates.</w:t>
      </w:r>
    </w:p>
    <w:p w14:paraId="2518183A" w14:textId="77777777" w:rsidR="00C8503B" w:rsidRDefault="00C8503B" w:rsidP="00C8503B">
      <w:pPr>
        <w:pStyle w:val="CDIfootnotes"/>
        <w:rPr>
          <w:lang w:val="en-GB"/>
        </w:rPr>
      </w:pPr>
      <w:r>
        <w:rPr>
          <w:lang w:val="en-GB"/>
        </w:rPr>
        <w:t>b</w:t>
      </w:r>
      <w:r>
        <w:rPr>
          <w:lang w:val="en-GB"/>
        </w:rPr>
        <w:tab/>
        <w:t>2019 estimates for ‘fully vaccinated’ at 24 months, MMR (dose 2) varicella (dose 1) and 13vPCV (at 24mths &amp; 60mths for each) have been revised due to an issue with the recording of dose numbers for 13vPCV and MMRV on AIR and are therefore slightly different to what is presented in the 2019 report.</w:t>
      </w:r>
    </w:p>
    <w:p w14:paraId="286621F1" w14:textId="77777777" w:rsidR="00C8503B" w:rsidRDefault="00C8503B" w:rsidP="00C8503B">
      <w:pPr>
        <w:pStyle w:val="CDIfootnotes"/>
        <w:rPr>
          <w:lang w:val="en-GB"/>
        </w:rPr>
      </w:pPr>
      <w:r>
        <w:rPr>
          <w:lang w:val="en-GB"/>
        </w:rPr>
        <w:t>c</w:t>
      </w:r>
      <w:r>
        <w:rPr>
          <w:lang w:val="en-GB"/>
        </w:rPr>
        <w:tab/>
        <w:t>Refer to Appendix for details of ‘fully vaccinated’ assessment algorithms. Coverage estimates in this table are calculated using 12-month-wide cohorts and may differ slightly from estimates published elsewhere using rolling annualised cohorts.</w:t>
      </w:r>
    </w:p>
    <w:p w14:paraId="7130EF38" w14:textId="77777777" w:rsidR="00C8503B" w:rsidRDefault="00C8503B" w:rsidP="00C8503B">
      <w:pPr>
        <w:pStyle w:val="CDIfootnotes"/>
        <w:rPr>
          <w:lang w:val="en-GB"/>
        </w:rPr>
      </w:pPr>
      <w:r>
        <w:rPr>
          <w:lang w:val="en-GB"/>
        </w:rPr>
        <w:t>d</w:t>
      </w:r>
      <w:r>
        <w:rPr>
          <w:lang w:val="en-GB"/>
        </w:rPr>
        <w:tab/>
        <w:t>Cohort born 1 January 2018 – 31 December 2018 (2019 estimate) and 1 January 2019 – 31 December 2019 (2020 estimate).</w:t>
      </w:r>
    </w:p>
    <w:p w14:paraId="7D561AEC" w14:textId="77777777" w:rsidR="00C8503B" w:rsidRDefault="00C8503B" w:rsidP="00C8503B">
      <w:pPr>
        <w:pStyle w:val="CDIfootnotes"/>
        <w:rPr>
          <w:lang w:val="en-GB"/>
        </w:rPr>
      </w:pPr>
      <w:r>
        <w:rPr>
          <w:lang w:val="en-GB"/>
        </w:rPr>
        <w:t>e</w:t>
      </w:r>
      <w:r>
        <w:rPr>
          <w:lang w:val="en-GB"/>
        </w:rPr>
        <w:tab/>
        <w:t>Cohort born 1 January 2017 – 31 December 2017 (2019 estimate) and 1 January 2018 – 31 December 2018 (2020 estimate).</w:t>
      </w:r>
    </w:p>
    <w:p w14:paraId="6B53B902" w14:textId="77777777" w:rsidR="00C8503B" w:rsidRDefault="00C8503B" w:rsidP="00C8503B">
      <w:pPr>
        <w:pStyle w:val="CDIfootnotes"/>
        <w:rPr>
          <w:lang w:val="en-GB"/>
        </w:rPr>
      </w:pPr>
      <w:r>
        <w:rPr>
          <w:lang w:val="en-GB"/>
        </w:rPr>
        <w:t>f</w:t>
      </w:r>
      <w:r>
        <w:rPr>
          <w:lang w:val="en-GB"/>
        </w:rPr>
        <w:tab/>
        <w:t>Cohort born 1 January 2014 – 31 December 2014 (2019 estimate) and 1 January 2015 – 31 December 2015 (2020 estimate).</w:t>
      </w:r>
    </w:p>
    <w:p w14:paraId="05ED6383" w14:textId="77777777" w:rsidR="00C8503B" w:rsidRDefault="00C8503B" w:rsidP="00C8503B">
      <w:pPr>
        <w:pStyle w:val="CDIfootnotes"/>
        <w:rPr>
          <w:lang w:val="en-GB"/>
        </w:rPr>
      </w:pPr>
      <w:r>
        <w:rPr>
          <w:lang w:val="en-GB"/>
        </w:rPr>
        <w:t>g</w:t>
      </w:r>
      <w:r>
        <w:rPr>
          <w:lang w:val="en-GB"/>
        </w:rPr>
        <w:tab/>
        <w:t xml:space="preserve">N/A Not applicable (vaccine either not given prior to this </w:t>
      </w:r>
      <w:proofErr w:type="gramStart"/>
      <w:r>
        <w:rPr>
          <w:lang w:val="en-GB"/>
        </w:rPr>
        <w:t>milestone, or</w:t>
      </w:r>
      <w:proofErr w:type="gramEnd"/>
      <w:r>
        <w:rPr>
          <w:lang w:val="en-GB"/>
        </w:rPr>
        <w:t xml:space="preserve"> contraindicated after previous milestone).</w:t>
      </w:r>
    </w:p>
    <w:p w14:paraId="4D68B830" w14:textId="1E7B374C" w:rsidR="002B4EF6" w:rsidRPr="00FD4A14" w:rsidRDefault="002B4EF6" w:rsidP="00FD4A14">
      <w:pPr>
        <w:pStyle w:val="Heading3"/>
      </w:pPr>
      <w:r w:rsidRPr="00FD4A14">
        <w:t xml:space="preserve">Coverage by individual vaccines/antigens </w:t>
      </w:r>
    </w:p>
    <w:p w14:paraId="456EEF6B" w14:textId="77777777" w:rsidR="002B4EF6" w:rsidRDefault="002B4EF6" w:rsidP="00FD4A14">
      <w:r>
        <w:t>Coverage for all individual vaccines/antigens at 12 months of age increased between 2019 and 2020, by 0.3–0.6 of a percentage point (Table 1). For vaccines/antigens included in the ‘fully vaccinated’ algorithm, coverage was 95.1–95.3% in 2020 for the third dose of diphtheria-tetanus-acellular pertussis (</w:t>
      </w:r>
      <w:proofErr w:type="spellStart"/>
      <w:r>
        <w:t>DTPa</w:t>
      </w:r>
      <w:proofErr w:type="spellEnd"/>
      <w:r>
        <w:t xml:space="preserve">), hepatitis B, polio, and Hib antigens </w:t>
      </w:r>
      <w:r>
        <w:lastRenderedPageBreak/>
        <w:t xml:space="preserve">(usually given together in a hexavalent combination vaccine at 6 months of age), and 96.5% for 13vPCV. Coverage for the second dose of rotavirus vaccine, which is not included in the ‘fully vaccinated’ algorithm due to upper age limits, increased by 0.6 of a percentage </w:t>
      </w:r>
      <w:proofErr w:type="gramStart"/>
      <w:r>
        <w:t>point</w:t>
      </w:r>
      <w:proofErr w:type="gramEnd"/>
      <w:r>
        <w:t xml:space="preserve">, from 91.9% to 92.5%. Longer-term trends in individual vaccine/antigen coverage at 12 months of age are shown in Appendix Figure A.2. </w:t>
      </w:r>
    </w:p>
    <w:p w14:paraId="4BE3A2FA" w14:textId="77777777" w:rsidR="002B4EF6" w:rsidRDefault="002B4EF6" w:rsidP="00FD4A14">
      <w:r>
        <w:t>Coverage for all individual vaccines/antigens included in the ‘fully vaccinated’ algorithm at 24 months of age increased between 2019 and 2020: by 0.5 of a percentage point for those due at 12 months (meningococcal C [</w:t>
      </w:r>
      <w:proofErr w:type="spellStart"/>
      <w:r>
        <w:t>MenC</w:t>
      </w:r>
      <w:proofErr w:type="spellEnd"/>
      <w:r>
        <w:t xml:space="preserve">]-containing vaccine and the first dose of measles-mumps-rubella [MMR]), reaching 95.7% and 95.8%, respectively; and by 0.2–0.5 percentage points for those due at 18 months (fourth dose of </w:t>
      </w:r>
      <w:proofErr w:type="spellStart"/>
      <w:r>
        <w:t>DTPa</w:t>
      </w:r>
      <w:proofErr w:type="spellEnd"/>
      <w:r>
        <w:t xml:space="preserve">, reaching 93.5%, and the second dose of MMR and varicella, usually given together as measles-mumps-rubella-varicella [MMRV] vaccine, reaching 94.0%), while the third dose of 13vPCV decreased by 0.1 of a percentage point to 95.6%. (Table 1). Longer-term trends in individual vaccine/antigen coverage at 24 months of age are shown in Appendix Figure A.3. </w:t>
      </w:r>
    </w:p>
    <w:p w14:paraId="76F0391E" w14:textId="77777777" w:rsidR="002B4EF6" w:rsidRDefault="002B4EF6" w:rsidP="00FD4A14">
      <w:r>
        <w:t xml:space="preserve">Coverage for all individual vaccines/antigens at 60 months of age increased between 2019 and 2020. For antigens included in the ‘fully vaccinated’ algorithm, coverage increased from 94.8% to 96.7% for the fourth (or fifth) dose of </w:t>
      </w:r>
      <w:proofErr w:type="spellStart"/>
      <w:r>
        <w:t>DTPa</w:t>
      </w:r>
      <w:proofErr w:type="spellEnd"/>
      <w:r>
        <w:t xml:space="preserve"> and from 94.3% to 94.9% for the fourth dose of polio (Table 1). For vaccines/antigens not included in the ‘fully vaccinated’ algorithm, coverage increased by 0.1 to 0.7 of a percentage </w:t>
      </w:r>
      <w:proofErr w:type="gramStart"/>
      <w:r>
        <w:t>point</w:t>
      </w:r>
      <w:proofErr w:type="gramEnd"/>
      <w:r>
        <w:t xml:space="preserve">, reaching 96.6% for hepatitis B, 95.2% for 13vPCV, 96.7% for Hib, and 96.8% for MMR and varicella. Longer-term trends in individual vaccine/antigen coverage at 60 months of age are shown in Appendix Figure A.4. </w:t>
      </w:r>
    </w:p>
    <w:p w14:paraId="78CC2E1A" w14:textId="77777777" w:rsidR="002B4EF6" w:rsidRPr="00FD4A14" w:rsidRDefault="002B4EF6" w:rsidP="00FD4A14">
      <w:pPr>
        <w:pStyle w:val="Heading3"/>
      </w:pPr>
      <w:r w:rsidRPr="00FD4A14">
        <w:t xml:space="preserve">Influenza vaccine coverage </w:t>
      </w:r>
    </w:p>
    <w:p w14:paraId="4CE2C828" w14:textId="23C9A573" w:rsidR="009A491D" w:rsidRPr="00571B1F" w:rsidRDefault="002B4EF6">
      <w:pPr>
        <w:rPr>
          <w:rStyle w:val="Strong"/>
          <w:b w:val="0"/>
          <w:bCs w:val="0"/>
        </w:rPr>
      </w:pPr>
      <w:r>
        <w:t xml:space="preserve">Influenza vaccine coverage in children aged 6–59 months increased from 41.0% in 2019 to 45.2% in 2020 (Figure 1), and in children aged 5–9 years from 24.1% to 29.7% (Figure 2). There was substantial variation in recorded coverage for children aged 6–59 months by </w:t>
      </w:r>
      <w:proofErr w:type="gramStart"/>
      <w:r>
        <w:t>jurisdiction</w:t>
      </w:r>
      <w:proofErr w:type="gramEnd"/>
      <w:r>
        <w:t xml:space="preserve"> in 2020, with coverage highest in the Australian Capital Territory and Northern Territory at 63.0% and 58.8% respectively, and three other jurisdictions above 45% (Western Australia, South Australia and Victoria at 49.9%, 49.5% and 49.0%, respectively; Figure 1).</w:t>
      </w:r>
    </w:p>
    <w:p w14:paraId="16D9BAD7" w14:textId="77777777" w:rsidR="0025691F" w:rsidRDefault="0025691F">
      <w:pPr>
        <w:rPr>
          <w:rStyle w:val="Strong"/>
          <w:lang w:val="en-GB"/>
        </w:rPr>
      </w:pPr>
      <w:r>
        <w:rPr>
          <w:rStyle w:val="Strong"/>
          <w:lang w:val="en-GB"/>
        </w:rPr>
        <w:br w:type="page"/>
      </w:r>
    </w:p>
    <w:p w14:paraId="23C7E205" w14:textId="6101A311" w:rsidR="00870AA2" w:rsidRDefault="00870AA2" w:rsidP="00870AA2">
      <w:pPr>
        <w:pStyle w:val="NormalWeb"/>
        <w:rPr>
          <w:lang w:val="en-GB"/>
        </w:rPr>
      </w:pPr>
      <w:r>
        <w:rPr>
          <w:rStyle w:val="Strong"/>
          <w:lang w:val="en-GB"/>
        </w:rPr>
        <w:lastRenderedPageBreak/>
        <w:t xml:space="preserve">Figure 1: Recorded coverage of seasonal influenza </w:t>
      </w:r>
      <w:proofErr w:type="spellStart"/>
      <w:r>
        <w:rPr>
          <w:rStyle w:val="Strong"/>
          <w:lang w:val="en-GB"/>
        </w:rPr>
        <w:t>vaccine</w:t>
      </w:r>
      <w:r w:rsidRPr="00E77382">
        <w:rPr>
          <w:rStyle w:val="Strong"/>
          <w:vertAlign w:val="superscript"/>
          <w:lang w:val="en-GB"/>
        </w:rPr>
        <w:t>a</w:t>
      </w:r>
      <w:proofErr w:type="spellEnd"/>
      <w:r>
        <w:rPr>
          <w:rStyle w:val="Strong"/>
          <w:lang w:val="en-GB"/>
        </w:rPr>
        <w:t xml:space="preserve"> in all children aged 6–59 months, by jurisdiction, 2019</w:t>
      </w:r>
      <w:r w:rsidR="00D00198">
        <w:rPr>
          <w:rStyle w:val="Strong"/>
          <w:lang w:val="en-GB"/>
        </w:rPr>
        <w:t> </w:t>
      </w:r>
      <w:r>
        <w:rPr>
          <w:rStyle w:val="Strong"/>
          <w:lang w:val="en-GB"/>
        </w:rPr>
        <w:t xml:space="preserve">versus 2020, </w:t>
      </w:r>
      <w:proofErr w:type="spellStart"/>
      <w:proofErr w:type="gramStart"/>
      <w:r>
        <w:rPr>
          <w:rStyle w:val="Strong"/>
          <w:lang w:val="en-GB"/>
        </w:rPr>
        <w:t>Australia</w:t>
      </w:r>
      <w:r w:rsidRPr="00E77382">
        <w:rPr>
          <w:rStyle w:val="Strong"/>
          <w:vertAlign w:val="superscript"/>
          <w:lang w:val="en-GB"/>
        </w:rPr>
        <w:t>b,c</w:t>
      </w:r>
      <w:proofErr w:type="spellEnd"/>
      <w:proofErr w:type="gramEnd"/>
    </w:p>
    <w:p w14:paraId="46369143" w14:textId="77777777" w:rsidR="00870AA2" w:rsidRDefault="00870AA2" w:rsidP="008C0A6D">
      <w:pPr>
        <w:pStyle w:val="NormalWeb"/>
        <w:jc w:val="center"/>
        <w:rPr>
          <w:lang w:val="en-GB"/>
        </w:rPr>
      </w:pPr>
      <w:r>
        <w:rPr>
          <w:noProof/>
          <w:lang w:val="en-GB"/>
        </w:rPr>
        <w:drawing>
          <wp:inline distT="0" distB="0" distL="0" distR="0" wp14:anchorId="1BE36C90" wp14:editId="0A29E79D">
            <wp:extent cx="6108192" cy="3903891"/>
            <wp:effectExtent l="0" t="0" r="6985" b="1905"/>
            <wp:docPr id="35" name="Picture 35" descr="Figure 1 shows that recorded influenza vaccine coverage in all children aged 6 months to &lt;5 years increased from 2019 to 2020 in all jurisdictions, with overall national coverage increasing by 4.2 percentage points from 41.0% in 2019 to 45.2% in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shows that recorded influenza vaccine coverage in all children aged 6 months to &lt;5 years increased from 2019 to 2020 in all jurisdictions, with overall national coverage increasing by 4.2 percentage points from 41.0% in 2019 to 45.2% in 202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124337" cy="3914209"/>
                    </a:xfrm>
                    <a:prstGeom prst="rect">
                      <a:avLst/>
                    </a:prstGeom>
                  </pic:spPr>
                </pic:pic>
              </a:graphicData>
            </a:graphic>
          </wp:inline>
        </w:drawing>
      </w:r>
    </w:p>
    <w:p w14:paraId="366FA111" w14:textId="77777777" w:rsidR="00870AA2" w:rsidRDefault="00870AA2" w:rsidP="00870AA2">
      <w:pPr>
        <w:pStyle w:val="CDIfootnotes"/>
        <w:rPr>
          <w:lang w:val="en-GB"/>
        </w:rPr>
      </w:pPr>
      <w:proofErr w:type="spellStart"/>
      <w:r>
        <w:rPr>
          <w:lang w:val="en-GB"/>
        </w:rPr>
        <w:t>a</w:t>
      </w:r>
      <w:proofErr w:type="spellEnd"/>
      <w:r>
        <w:rPr>
          <w:lang w:val="en-GB"/>
        </w:rPr>
        <w:tab/>
        <w:t>At least one dose of any influenza vaccine.</w:t>
      </w:r>
    </w:p>
    <w:p w14:paraId="7382C7F6" w14:textId="77777777" w:rsidR="00870AA2" w:rsidRDefault="00870AA2" w:rsidP="00870AA2">
      <w:pPr>
        <w:pStyle w:val="CDIfootnotes"/>
        <w:rPr>
          <w:lang w:val="en-GB"/>
        </w:rPr>
      </w:pPr>
      <w:r>
        <w:rPr>
          <w:lang w:val="en-GB"/>
        </w:rPr>
        <w:t>b</w:t>
      </w:r>
      <w:r>
        <w:rPr>
          <w:lang w:val="en-GB"/>
        </w:rPr>
        <w:tab/>
        <w:t xml:space="preserve">Source: Australian Immunisation Register, data as </w:t>
      </w:r>
      <w:proofErr w:type="gramStart"/>
      <w:r>
        <w:rPr>
          <w:lang w:val="en-GB"/>
        </w:rPr>
        <w:t>at</w:t>
      </w:r>
      <w:proofErr w:type="gramEnd"/>
      <w:r>
        <w:rPr>
          <w:lang w:val="en-GB"/>
        </w:rPr>
        <w:t xml:space="preserve"> 31 March 2021.</w:t>
      </w:r>
    </w:p>
    <w:p w14:paraId="5825234B" w14:textId="477626B0" w:rsidR="00870AA2" w:rsidRPr="00870AA2" w:rsidRDefault="00870AA2" w:rsidP="00870AA2">
      <w:pPr>
        <w:pStyle w:val="CDIfootnotes"/>
        <w:rPr>
          <w:lang w:val="en-GB"/>
        </w:rPr>
      </w:pPr>
      <w:r>
        <w:rPr>
          <w:lang w:val="en-GB"/>
        </w:rPr>
        <w:t>c</w:t>
      </w:r>
      <w:r>
        <w:rPr>
          <w:lang w:val="en-GB"/>
        </w:rPr>
        <w:tab/>
        <w:t>ACT = Australian Capital Territory; NSW = New South Wales; NT = Northern Territory; Qld = Queensland; SA = South Australia; Tas. = Tasmania; Vic. = Victoria; WA = Western Australia; AUST = Australia.</w:t>
      </w:r>
    </w:p>
    <w:p w14:paraId="1B116980" w14:textId="77777777" w:rsidR="0025691F" w:rsidRDefault="0025691F">
      <w:pPr>
        <w:rPr>
          <w:rStyle w:val="Strong"/>
          <w:lang w:val="en-GB"/>
        </w:rPr>
      </w:pPr>
      <w:r>
        <w:rPr>
          <w:rStyle w:val="Strong"/>
          <w:lang w:val="en-GB"/>
        </w:rPr>
        <w:br w:type="page"/>
      </w:r>
    </w:p>
    <w:p w14:paraId="49141280" w14:textId="39E180A7" w:rsidR="00A345A9" w:rsidRDefault="00A345A9" w:rsidP="00A345A9">
      <w:pPr>
        <w:pStyle w:val="NormalWeb"/>
        <w:rPr>
          <w:lang w:val="en-GB"/>
        </w:rPr>
      </w:pPr>
      <w:r>
        <w:rPr>
          <w:rStyle w:val="Strong"/>
          <w:lang w:val="en-GB"/>
        </w:rPr>
        <w:lastRenderedPageBreak/>
        <w:t xml:space="preserve">Figure 2: Recorded coverage of seasonal influenza </w:t>
      </w:r>
      <w:proofErr w:type="spellStart"/>
      <w:r>
        <w:rPr>
          <w:rStyle w:val="Strong"/>
          <w:lang w:val="en-GB"/>
        </w:rPr>
        <w:t>vaccine</w:t>
      </w:r>
      <w:r>
        <w:rPr>
          <w:rStyle w:val="Strong"/>
          <w:vertAlign w:val="superscript"/>
          <w:lang w:val="en-GB"/>
        </w:rPr>
        <w:t>a</w:t>
      </w:r>
      <w:proofErr w:type="spellEnd"/>
      <w:r>
        <w:rPr>
          <w:rStyle w:val="Strong"/>
          <w:lang w:val="en-GB"/>
        </w:rPr>
        <w:t xml:space="preserve"> by age group, 2019 versus 2020, </w:t>
      </w:r>
      <w:proofErr w:type="spellStart"/>
      <w:r>
        <w:rPr>
          <w:rStyle w:val="Strong"/>
          <w:lang w:val="en-GB"/>
        </w:rPr>
        <w:t>Australia</w:t>
      </w:r>
      <w:r>
        <w:rPr>
          <w:rStyle w:val="Strong"/>
          <w:vertAlign w:val="superscript"/>
          <w:lang w:val="en-GB"/>
        </w:rPr>
        <w:t>b</w:t>
      </w:r>
      <w:proofErr w:type="spellEnd"/>
    </w:p>
    <w:p w14:paraId="221682FB" w14:textId="6D01B3B2" w:rsidR="00A345A9" w:rsidRDefault="00A345A9" w:rsidP="008C0A6D">
      <w:pPr>
        <w:pStyle w:val="NormalWeb"/>
        <w:jc w:val="center"/>
        <w:rPr>
          <w:lang w:val="en-GB"/>
        </w:rPr>
      </w:pPr>
      <w:r>
        <w:rPr>
          <w:noProof/>
          <w:lang w:val="en-GB"/>
        </w:rPr>
        <w:drawing>
          <wp:inline distT="0" distB="0" distL="0" distR="0" wp14:anchorId="30A1C51F" wp14:editId="04A71B06">
            <wp:extent cx="6625742" cy="4313315"/>
            <wp:effectExtent l="0" t="0" r="3810" b="0"/>
            <wp:docPr id="2" name="Picture 2" descr="Figure 2 shows that recorded influenza vaccine coverage for all persons increased in all age groups from 2019 to 2020, with the largest increase in the 50-&lt;65yrs age group increasing by 10.8 percentage points from 25.0% in 2019 to 35.8% in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2 shows that recorded influenza vaccine coverage for all persons increased in all age groups from 2019 to 2020, with the largest increase in the 50-&lt;65yrs age group increasing by 10.8 percentage points from 25.0% in 2019 to 35.8% in 202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32127" cy="4317471"/>
                    </a:xfrm>
                    <a:prstGeom prst="rect">
                      <a:avLst/>
                    </a:prstGeom>
                  </pic:spPr>
                </pic:pic>
              </a:graphicData>
            </a:graphic>
          </wp:inline>
        </w:drawing>
      </w:r>
    </w:p>
    <w:p w14:paraId="54AB9FCA" w14:textId="77777777" w:rsidR="00A345A9" w:rsidRDefault="00A345A9" w:rsidP="00A345A9">
      <w:pPr>
        <w:pStyle w:val="CDIfootnotes"/>
        <w:rPr>
          <w:lang w:val="en-GB"/>
        </w:rPr>
      </w:pPr>
      <w:proofErr w:type="spellStart"/>
      <w:r>
        <w:rPr>
          <w:lang w:val="en-GB"/>
        </w:rPr>
        <w:t>a</w:t>
      </w:r>
      <w:proofErr w:type="spellEnd"/>
      <w:r>
        <w:rPr>
          <w:lang w:val="en-GB"/>
        </w:rPr>
        <w:tab/>
        <w:t>At least one dose of any influenza vaccine.</w:t>
      </w:r>
    </w:p>
    <w:p w14:paraId="571DE298" w14:textId="77777777" w:rsidR="00A345A9" w:rsidRDefault="00A345A9" w:rsidP="00A345A9">
      <w:pPr>
        <w:pStyle w:val="CDIfootnotes"/>
        <w:rPr>
          <w:lang w:val="en-GB"/>
        </w:rPr>
      </w:pPr>
      <w:r>
        <w:rPr>
          <w:lang w:val="en-GB"/>
        </w:rPr>
        <w:t>b</w:t>
      </w:r>
      <w:r>
        <w:rPr>
          <w:lang w:val="en-GB"/>
        </w:rPr>
        <w:tab/>
        <w:t xml:space="preserve">Source: Australian Immunisation Register, data as </w:t>
      </w:r>
      <w:proofErr w:type="gramStart"/>
      <w:r>
        <w:rPr>
          <w:lang w:val="en-GB"/>
        </w:rPr>
        <w:t>at</w:t>
      </w:r>
      <w:proofErr w:type="gramEnd"/>
      <w:r>
        <w:rPr>
          <w:lang w:val="en-GB"/>
        </w:rPr>
        <w:t xml:space="preserve"> 31 March 2021.</w:t>
      </w:r>
    </w:p>
    <w:p w14:paraId="5C086FFB" w14:textId="391CCEF6" w:rsidR="002B4EF6" w:rsidRPr="00FD4A14" w:rsidRDefault="002B4EF6" w:rsidP="00FD4A14">
      <w:pPr>
        <w:pStyle w:val="Heading3"/>
      </w:pPr>
      <w:r w:rsidRPr="00FD4A14">
        <w:t xml:space="preserve">Coverage estimates by Indigenous status </w:t>
      </w:r>
    </w:p>
    <w:p w14:paraId="4ABCC9A6" w14:textId="77777777" w:rsidR="002B4EF6" w:rsidRPr="002024C9" w:rsidRDefault="002B4EF6" w:rsidP="00FD4A14">
      <w:pPr>
        <w:pStyle w:val="Heading4"/>
        <w:rPr>
          <w:b w:val="0"/>
          <w:bCs w:val="0"/>
        </w:rPr>
      </w:pPr>
      <w:r w:rsidRPr="002024C9">
        <w:rPr>
          <w:b w:val="0"/>
          <w:bCs w:val="0"/>
        </w:rPr>
        <w:t xml:space="preserve">‘Fully vaccinated’ at 12, 24 and 60 months of age </w:t>
      </w:r>
    </w:p>
    <w:p w14:paraId="4790BA7F" w14:textId="77777777" w:rsidR="002B4EF6" w:rsidRDefault="002B4EF6" w:rsidP="00FD4A14">
      <w:r>
        <w:t xml:space="preserve">Between 2019 and 2020, </w:t>
      </w:r>
      <w:r w:rsidRPr="002024C9">
        <w:rPr>
          <w:rStyle w:val="Emphasis"/>
          <w:b w:val="0"/>
          <w:bCs w:val="0"/>
        </w:rPr>
        <w:t>‘</w:t>
      </w:r>
      <w:r>
        <w:t xml:space="preserve">fully vaccinated’ coverage for Indigenous children increased at all three age milestones: 12 months (from 92.9% to 93.1%), 24 months (from 90.0% to 91.2%) and 60 months (from 96.9% to 97.0%) (Table 1). </w:t>
      </w:r>
    </w:p>
    <w:p w14:paraId="164F8822" w14:textId="77777777" w:rsidR="002B4EF6" w:rsidRDefault="002B4EF6" w:rsidP="00FD4A14">
      <w:r>
        <w:t xml:space="preserve">The disparity in ‘fully vaccinated’ coverage between Indigenous and all children at 12 months of age in 2020 was 1.7 percentage points (up from 1.4 percentage points in 2019), and 0.9 of a percentage </w:t>
      </w:r>
      <w:proofErr w:type="gramStart"/>
      <w:r>
        <w:t>point</w:t>
      </w:r>
      <w:proofErr w:type="gramEnd"/>
      <w:r>
        <w:t xml:space="preserve"> at 24 months (down from 1.1 percentage points in 2019) (Table 1). ‘Fully vaccinated’ coverage at 60 months of age remained higher in Indigenous children than in all children, by 2.2 percentage points in 2020. </w:t>
      </w:r>
    </w:p>
    <w:p w14:paraId="04264CB5" w14:textId="77777777" w:rsidR="002B4EF6" w:rsidRDefault="002B4EF6" w:rsidP="00FD4A14">
      <w:r>
        <w:t xml:space="preserve">Trends in ‘fully vaccinated’ coverage estimates by Indigenous status are shown in Appendix Figures A.5, A.6 and A.7. </w:t>
      </w:r>
    </w:p>
    <w:p w14:paraId="4C5972C0" w14:textId="77777777" w:rsidR="002B4EF6" w:rsidRPr="002024C9" w:rsidRDefault="002B4EF6" w:rsidP="00FD4A14">
      <w:pPr>
        <w:pStyle w:val="Heading4"/>
        <w:rPr>
          <w:b w:val="0"/>
          <w:bCs w:val="0"/>
        </w:rPr>
      </w:pPr>
      <w:r w:rsidRPr="002024C9">
        <w:rPr>
          <w:b w:val="0"/>
          <w:bCs w:val="0"/>
        </w:rPr>
        <w:t xml:space="preserve">Coverage by individual vaccines/antigens at 12, 24 and 60 months of age </w:t>
      </w:r>
    </w:p>
    <w:p w14:paraId="1E941608" w14:textId="77777777" w:rsidR="002B4EF6" w:rsidRDefault="002B4EF6" w:rsidP="00FD4A14">
      <w:r>
        <w:t xml:space="preserve">Coverage at 12 months of age in Indigenous children increased for all individual vaccines/antigens between 2019 and 2020, by 0.1–0.3 of a percentage point, except for 13vPCV coverage which decreased from 97.0% to 96.7% (Table 1). </w:t>
      </w:r>
    </w:p>
    <w:p w14:paraId="321DE20F" w14:textId="77777777" w:rsidR="002B4EF6" w:rsidRDefault="002B4EF6" w:rsidP="00FD4A14">
      <w:r>
        <w:t xml:space="preserve">Coverage at 24 months of age in Indigenous children increased for all individual vaccines/antigens between 2019 and 2020, by 0.1–0.5 percentage points, except for Hib vaccine which stayed the same at 94.6%. Coverage in Indigenous children in 2020 was higher than in all children for polio, Hib, hepatitis B, MMR dose 1 and </w:t>
      </w:r>
      <w:proofErr w:type="spellStart"/>
      <w:r>
        <w:t>MenC</w:t>
      </w:r>
      <w:proofErr w:type="spellEnd"/>
      <w:r>
        <w:t xml:space="preserve">-containing and 13vPCV vaccine, but lower for </w:t>
      </w:r>
      <w:proofErr w:type="spellStart"/>
      <w:r>
        <w:t>DTPa</w:t>
      </w:r>
      <w:proofErr w:type="spellEnd"/>
      <w:r>
        <w:t xml:space="preserve">, MMR dose 2 and varicella (Table 1). </w:t>
      </w:r>
    </w:p>
    <w:p w14:paraId="3F763948" w14:textId="77777777" w:rsidR="002B4EF6" w:rsidRDefault="002B4EF6" w:rsidP="00FD4A14">
      <w:r>
        <w:lastRenderedPageBreak/>
        <w:t xml:space="preserve">Coverage at 60 months of age in Indigenous children in 2020 remained very high (over 97%) for all vaccines/antigens, and higher than in all children (Table 1). Coverage was particularly high for </w:t>
      </w:r>
      <w:proofErr w:type="spellStart"/>
      <w:r>
        <w:t>MenC</w:t>
      </w:r>
      <w:proofErr w:type="spellEnd"/>
      <w:r>
        <w:t xml:space="preserve">-containing, hepatitis B, MMR dose 2, varicella and Hib (all 98.8–98.9%). </w:t>
      </w:r>
    </w:p>
    <w:p w14:paraId="35806536" w14:textId="77777777" w:rsidR="002B4EF6" w:rsidRPr="002024C9" w:rsidRDefault="002B4EF6" w:rsidP="00FD4A14">
      <w:pPr>
        <w:pStyle w:val="Heading4"/>
        <w:rPr>
          <w:b w:val="0"/>
          <w:bCs w:val="0"/>
        </w:rPr>
      </w:pPr>
      <w:r w:rsidRPr="002024C9">
        <w:rPr>
          <w:b w:val="0"/>
          <w:bCs w:val="0"/>
        </w:rPr>
        <w:t xml:space="preserve">Influenza vaccine coverage </w:t>
      </w:r>
    </w:p>
    <w:p w14:paraId="19B78B3B" w14:textId="02894821" w:rsidR="002B4EF6" w:rsidRDefault="002B4EF6" w:rsidP="00FD4A14">
      <w:r>
        <w:t xml:space="preserve">In Indigenous children aged 6–59 months, coverage in 2020 remained the same as in 2019 at 43.6% (Figure 3), while in those aged 5–9 years it increased from 32.3% to 34.8% (Figure 4). Coverage in Indigenous children aged 6–59 months varied </w:t>
      </w:r>
      <w:proofErr w:type="gramStart"/>
      <w:r>
        <w:t>substantially by</w:t>
      </w:r>
      <w:proofErr w:type="gramEnd"/>
      <w:r>
        <w:t xml:space="preserve"> jurisdiction in 2020, and was highest in the Northern Territory at 71.0%, with three other jurisdictions above 45% (the Australian Capital Territory, Victoria and Western Australia, at 53.6%, 49.1% and 45.1%, respectively; Figure 3). </w:t>
      </w:r>
    </w:p>
    <w:p w14:paraId="287CD393" w14:textId="77777777" w:rsidR="00513CBB" w:rsidRDefault="00513CBB" w:rsidP="00513CBB">
      <w:pPr>
        <w:pStyle w:val="NormalWeb"/>
        <w:rPr>
          <w:lang w:val="en-GB"/>
        </w:rPr>
      </w:pPr>
      <w:r>
        <w:rPr>
          <w:rStyle w:val="Strong"/>
          <w:lang w:val="en-GB"/>
        </w:rPr>
        <w:t xml:space="preserve">Figure 3: Recorded coverage of seasonal influenza </w:t>
      </w:r>
      <w:proofErr w:type="spellStart"/>
      <w:r>
        <w:rPr>
          <w:rStyle w:val="Strong"/>
          <w:lang w:val="en-GB"/>
        </w:rPr>
        <w:t>vaccine</w:t>
      </w:r>
      <w:r>
        <w:rPr>
          <w:rStyle w:val="Strong"/>
          <w:vertAlign w:val="superscript"/>
          <w:lang w:val="en-GB"/>
        </w:rPr>
        <w:t>a</w:t>
      </w:r>
      <w:proofErr w:type="spellEnd"/>
      <w:r>
        <w:rPr>
          <w:rStyle w:val="Strong"/>
          <w:lang w:val="en-GB"/>
        </w:rPr>
        <w:t xml:space="preserve"> in Indigenous children aged 6–59 months, by jurisdiction, 2019 versus 2020, </w:t>
      </w:r>
      <w:proofErr w:type="spellStart"/>
      <w:proofErr w:type="gramStart"/>
      <w:r>
        <w:rPr>
          <w:rStyle w:val="Strong"/>
          <w:lang w:val="en-GB"/>
        </w:rPr>
        <w:t>Australia</w:t>
      </w:r>
      <w:r>
        <w:rPr>
          <w:rStyle w:val="Strong"/>
          <w:vertAlign w:val="superscript"/>
          <w:lang w:val="en-GB"/>
        </w:rPr>
        <w:t>b,c</w:t>
      </w:r>
      <w:proofErr w:type="spellEnd"/>
      <w:proofErr w:type="gramEnd"/>
    </w:p>
    <w:p w14:paraId="57CD68C5" w14:textId="0189206C" w:rsidR="00513CBB" w:rsidRDefault="00513CBB" w:rsidP="008C0A6D">
      <w:pPr>
        <w:pStyle w:val="NormalWeb"/>
        <w:jc w:val="center"/>
        <w:rPr>
          <w:lang w:val="en-GB"/>
        </w:rPr>
      </w:pPr>
      <w:r>
        <w:rPr>
          <w:noProof/>
          <w:lang w:val="en-GB"/>
        </w:rPr>
        <w:drawing>
          <wp:inline distT="0" distB="0" distL="0" distR="0" wp14:anchorId="41099A9A" wp14:editId="19C4765F">
            <wp:extent cx="6511442" cy="4240386"/>
            <wp:effectExtent l="0" t="0" r="3810" b="8255"/>
            <wp:docPr id="3" name="Picture 3" descr="Figure 3 shows that recorded influenza vaccine coverage in Indigenous children aged 6 months to &lt;5 years increased from 2019 to 2020 in 5 jurisdictions, with overall national coverage remaining at 43.6%. The increases in coverage seen in the 5 jurisdictions ranged from 0.9-3.8 percentage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 shows that recorded influenza vaccine coverage in Indigenous children aged 6 months to &lt;5 years increased from 2019 to 2020 in 5 jurisdictions, with overall national coverage remaining at 43.6%. The increases in coverage seen in the 5 jurisdictions ranged from 0.9-3.8 percentage points."/>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519881" cy="4245882"/>
                    </a:xfrm>
                    <a:prstGeom prst="rect">
                      <a:avLst/>
                    </a:prstGeom>
                  </pic:spPr>
                </pic:pic>
              </a:graphicData>
            </a:graphic>
          </wp:inline>
        </w:drawing>
      </w:r>
    </w:p>
    <w:p w14:paraId="7E393A82" w14:textId="77777777" w:rsidR="00513CBB" w:rsidRDefault="00513CBB" w:rsidP="00513CBB">
      <w:pPr>
        <w:pStyle w:val="CDIfootnotes"/>
        <w:rPr>
          <w:lang w:val="en-GB"/>
        </w:rPr>
      </w:pPr>
      <w:proofErr w:type="spellStart"/>
      <w:r>
        <w:rPr>
          <w:lang w:val="en-GB"/>
        </w:rPr>
        <w:t>a</w:t>
      </w:r>
      <w:proofErr w:type="spellEnd"/>
      <w:r>
        <w:rPr>
          <w:lang w:val="en-GB"/>
        </w:rPr>
        <w:tab/>
        <w:t>At least one dose of any influenza vaccine.</w:t>
      </w:r>
    </w:p>
    <w:p w14:paraId="74869179" w14:textId="77777777" w:rsidR="00513CBB" w:rsidRDefault="00513CBB" w:rsidP="00513CBB">
      <w:pPr>
        <w:pStyle w:val="CDIfootnotes"/>
        <w:rPr>
          <w:lang w:val="en-GB"/>
        </w:rPr>
      </w:pPr>
      <w:r>
        <w:rPr>
          <w:lang w:val="en-GB"/>
        </w:rPr>
        <w:t>b</w:t>
      </w:r>
      <w:r>
        <w:rPr>
          <w:lang w:val="en-GB"/>
        </w:rPr>
        <w:tab/>
        <w:t xml:space="preserve">Source: Australian Immunisation Register, data as </w:t>
      </w:r>
      <w:proofErr w:type="gramStart"/>
      <w:r>
        <w:rPr>
          <w:lang w:val="en-GB"/>
        </w:rPr>
        <w:t>at</w:t>
      </w:r>
      <w:proofErr w:type="gramEnd"/>
      <w:r>
        <w:rPr>
          <w:lang w:val="en-GB"/>
        </w:rPr>
        <w:t xml:space="preserve"> 31 March 2021.</w:t>
      </w:r>
    </w:p>
    <w:p w14:paraId="67A0CF7C" w14:textId="04AD7214" w:rsidR="00513CBB" w:rsidRPr="00513CBB" w:rsidRDefault="00513CBB" w:rsidP="00513CBB">
      <w:pPr>
        <w:pStyle w:val="CDIfootnotes"/>
        <w:rPr>
          <w:lang w:val="en-GB"/>
        </w:rPr>
      </w:pPr>
      <w:r>
        <w:rPr>
          <w:lang w:val="en-GB"/>
        </w:rPr>
        <w:t>c</w:t>
      </w:r>
      <w:r>
        <w:rPr>
          <w:lang w:val="en-GB"/>
        </w:rPr>
        <w:tab/>
        <w:t>ACT = Australian Capital Territory; NSW = New South Wales; NT = Northern Territory; Qld = Queensland; SA = South Australia; Tas. = Tasmania; Vic. = Victoria; WA = Western Australia; AUST = Australia.</w:t>
      </w:r>
    </w:p>
    <w:p w14:paraId="1D5D51CF" w14:textId="77777777" w:rsidR="00BF7B67" w:rsidRDefault="00BF7B67">
      <w:pPr>
        <w:rPr>
          <w:rFonts w:asciiTheme="majorHAnsi" w:eastAsiaTheme="majorEastAsia" w:hAnsiTheme="majorHAnsi" w:cstheme="majorBidi"/>
          <w:i/>
          <w:iCs/>
        </w:rPr>
      </w:pPr>
      <w:r>
        <w:rPr>
          <w:b/>
          <w:bCs/>
        </w:rPr>
        <w:br w:type="page"/>
      </w:r>
    </w:p>
    <w:p w14:paraId="201846A5" w14:textId="4779FF92" w:rsidR="00BF7B67" w:rsidRDefault="00BF7B67" w:rsidP="00BF7B67">
      <w:pPr>
        <w:pStyle w:val="NormalWeb"/>
        <w:rPr>
          <w:lang w:val="en-GB"/>
        </w:rPr>
      </w:pPr>
      <w:r>
        <w:rPr>
          <w:rStyle w:val="Strong"/>
          <w:lang w:val="en-GB"/>
        </w:rPr>
        <w:lastRenderedPageBreak/>
        <w:t xml:space="preserve">Figure 4: Recorded coverage of seasonal influenza </w:t>
      </w:r>
      <w:proofErr w:type="spellStart"/>
      <w:r>
        <w:rPr>
          <w:rStyle w:val="Strong"/>
          <w:lang w:val="en-GB"/>
        </w:rPr>
        <w:t>vaccine</w:t>
      </w:r>
      <w:r>
        <w:rPr>
          <w:rStyle w:val="Strong"/>
          <w:vertAlign w:val="superscript"/>
          <w:lang w:val="en-GB"/>
        </w:rPr>
        <w:t>a</w:t>
      </w:r>
      <w:proofErr w:type="spellEnd"/>
      <w:r>
        <w:rPr>
          <w:rStyle w:val="Strong"/>
          <w:lang w:val="en-GB"/>
        </w:rPr>
        <w:t xml:space="preserve"> by age group for Indigenous persons, 2019 versus</w:t>
      </w:r>
      <w:r w:rsidR="00767AAB">
        <w:rPr>
          <w:rStyle w:val="Strong"/>
          <w:lang w:val="en-GB"/>
        </w:rPr>
        <w:t> </w:t>
      </w:r>
      <w:r>
        <w:rPr>
          <w:rStyle w:val="Strong"/>
          <w:lang w:val="en-GB"/>
        </w:rPr>
        <w:t xml:space="preserve">2020, </w:t>
      </w:r>
      <w:proofErr w:type="spellStart"/>
      <w:r>
        <w:rPr>
          <w:rStyle w:val="Strong"/>
          <w:lang w:val="en-GB"/>
        </w:rPr>
        <w:t>Australia</w:t>
      </w:r>
      <w:r>
        <w:rPr>
          <w:rStyle w:val="Strong"/>
          <w:vertAlign w:val="superscript"/>
          <w:lang w:val="en-GB"/>
        </w:rPr>
        <w:t>b</w:t>
      </w:r>
      <w:proofErr w:type="spellEnd"/>
    </w:p>
    <w:p w14:paraId="5E5AF69D" w14:textId="77777777" w:rsidR="00BF7B67" w:rsidRDefault="00BF7B67" w:rsidP="008C0A6D">
      <w:pPr>
        <w:pStyle w:val="NormalWeb"/>
        <w:jc w:val="center"/>
        <w:rPr>
          <w:lang w:val="en-GB"/>
        </w:rPr>
      </w:pPr>
      <w:r>
        <w:rPr>
          <w:noProof/>
          <w:lang w:val="en-GB"/>
        </w:rPr>
        <w:drawing>
          <wp:inline distT="0" distB="0" distL="0" distR="0" wp14:anchorId="33C5D64C" wp14:editId="20FDCF0A">
            <wp:extent cx="6625742" cy="4219692"/>
            <wp:effectExtent l="0" t="0" r="3810" b="9525"/>
            <wp:docPr id="4" name="Picture 4" descr="Figure 4 shows that recorded influenza vaccine coverage for Indigenous persons increased in 6 age groups from 2019 to 2020, with the largest increase in the 50-&lt;65yrs age group increasing by 5.4 percentage points from 52.7% in 2019 to 58.1% in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4 shows that recorded influenza vaccine coverage for Indigenous persons increased in 6 age groups from 2019 to 2020, with the largest increase in the 50-&lt;65yrs age group increasing by 5.4 percentage points from 52.7% in 2019 to 58.1% in 2020."/>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31495" cy="4223356"/>
                    </a:xfrm>
                    <a:prstGeom prst="rect">
                      <a:avLst/>
                    </a:prstGeom>
                  </pic:spPr>
                </pic:pic>
              </a:graphicData>
            </a:graphic>
          </wp:inline>
        </w:drawing>
      </w:r>
    </w:p>
    <w:p w14:paraId="62B3DA99" w14:textId="77777777" w:rsidR="00BF7B67" w:rsidRDefault="00BF7B67" w:rsidP="00BF7B67">
      <w:pPr>
        <w:pStyle w:val="CDIfootnotes"/>
        <w:rPr>
          <w:lang w:val="en-GB"/>
        </w:rPr>
      </w:pPr>
      <w:proofErr w:type="spellStart"/>
      <w:r>
        <w:rPr>
          <w:lang w:val="en-GB"/>
        </w:rPr>
        <w:t>a</w:t>
      </w:r>
      <w:proofErr w:type="spellEnd"/>
      <w:r>
        <w:rPr>
          <w:lang w:val="en-GB"/>
        </w:rPr>
        <w:tab/>
        <w:t>At least one dose of any influenza vaccine.</w:t>
      </w:r>
    </w:p>
    <w:p w14:paraId="28D5F933" w14:textId="77777777" w:rsidR="00BF7B67" w:rsidRPr="009045FE" w:rsidRDefault="00BF7B67" w:rsidP="00BF7B67">
      <w:pPr>
        <w:pStyle w:val="CDIfootnotes"/>
        <w:rPr>
          <w:lang w:val="en-GB"/>
        </w:rPr>
      </w:pPr>
      <w:r>
        <w:rPr>
          <w:lang w:val="en-GB"/>
        </w:rPr>
        <w:t>b</w:t>
      </w:r>
      <w:r>
        <w:rPr>
          <w:lang w:val="en-GB"/>
        </w:rPr>
        <w:tab/>
        <w:t xml:space="preserve">Source: Australian Immunisation Register, data as </w:t>
      </w:r>
      <w:proofErr w:type="gramStart"/>
      <w:r>
        <w:rPr>
          <w:lang w:val="en-GB"/>
        </w:rPr>
        <w:t>at</w:t>
      </w:r>
      <w:proofErr w:type="gramEnd"/>
      <w:r>
        <w:rPr>
          <w:lang w:val="en-GB"/>
        </w:rPr>
        <w:t xml:space="preserve"> 31 March 2021.</w:t>
      </w:r>
    </w:p>
    <w:p w14:paraId="31651C45" w14:textId="1C9BBAE3" w:rsidR="002B4EF6" w:rsidRPr="002024C9" w:rsidRDefault="002B4EF6" w:rsidP="00FD4A14">
      <w:pPr>
        <w:pStyle w:val="Heading4"/>
        <w:rPr>
          <w:b w:val="0"/>
          <w:bCs w:val="0"/>
        </w:rPr>
      </w:pPr>
      <w:r w:rsidRPr="002024C9">
        <w:rPr>
          <w:b w:val="0"/>
          <w:bCs w:val="0"/>
        </w:rPr>
        <w:t xml:space="preserve">Hepatitis A vaccine for Indigenous children </w:t>
      </w:r>
    </w:p>
    <w:p w14:paraId="0EFA41A3" w14:textId="77777777" w:rsidR="002B4EF6" w:rsidRDefault="002B4EF6" w:rsidP="00FD4A14">
      <w:r>
        <w:t xml:space="preserve">Coverage for the second dose of hepatitis A vaccine by 30 months of age, for the combined four jurisdictions where it is funded under the NIP for Indigenous children (Northern Territory, Queensland, South </w:t>
      </w:r>
      <w:proofErr w:type="gramStart"/>
      <w:r>
        <w:t>Australia</w:t>
      </w:r>
      <w:proofErr w:type="gramEnd"/>
      <w:r>
        <w:t xml:space="preserve"> and Western Australia), increased from 72.2% in 2019 to 72.7% in 2020. Longer-term trends in hepatitis A vaccine coverage (Appendix Figure A.8) show that the highest coverage levels are consistently achieved in the Northern Territory (85.0% in the September 2020 quarter). </w:t>
      </w:r>
    </w:p>
    <w:p w14:paraId="31B4B107" w14:textId="77777777" w:rsidR="002B4EF6" w:rsidRPr="002024C9" w:rsidRDefault="002B4EF6" w:rsidP="00FD4A14">
      <w:pPr>
        <w:pStyle w:val="Heading4"/>
        <w:rPr>
          <w:b w:val="0"/>
          <w:bCs w:val="0"/>
        </w:rPr>
      </w:pPr>
      <w:r w:rsidRPr="002024C9">
        <w:rPr>
          <w:b w:val="0"/>
          <w:bCs w:val="0"/>
        </w:rPr>
        <w:t xml:space="preserve">Pneumococcal vaccine for Indigenous children </w:t>
      </w:r>
    </w:p>
    <w:p w14:paraId="7BF836D3" w14:textId="77777777" w:rsidR="002B4EF6" w:rsidRDefault="002B4EF6" w:rsidP="00FD4A14">
      <w:r>
        <w:t xml:space="preserve">Coverage for the </w:t>
      </w:r>
      <w:proofErr w:type="gramStart"/>
      <w:r>
        <w:t>additional</w:t>
      </w:r>
      <w:proofErr w:type="gramEnd"/>
      <w:r>
        <w:t xml:space="preserve"> fourth dose of 13vPCV by 30 months of age, for the combined four jurisdictions where it is funded for Indigenous children (Northern Territory, Queensland, South Australia and Western Australia), increased from 62.0% in 2019 to 73.5% in 2020. Longer-term trends in 13vPCV fourth dose coverage (Appendix Figure A.9) show that the highest coverage levels are consistently achieved in the Northern Territory (93.9% in the June 2020 quarter). </w:t>
      </w:r>
    </w:p>
    <w:p w14:paraId="7C5C4252" w14:textId="77777777" w:rsidR="002B4EF6" w:rsidRPr="00FD4A14" w:rsidRDefault="002B4EF6" w:rsidP="00FD4A14">
      <w:pPr>
        <w:pStyle w:val="Heading2"/>
      </w:pPr>
      <w:r w:rsidRPr="00FD4A14">
        <w:t xml:space="preserve">Timeliness of vaccination </w:t>
      </w:r>
    </w:p>
    <w:p w14:paraId="7A6945C9" w14:textId="617A3B17" w:rsidR="002B4EF6" w:rsidRDefault="002B4EF6" w:rsidP="00FD4A14">
      <w:r>
        <w:t xml:space="preserve">The difference in percentage of infants with on-time receipt (within 30 days of the recommended age) of the second dose of </w:t>
      </w:r>
      <w:proofErr w:type="spellStart"/>
      <w:r>
        <w:t>DTPa</w:t>
      </w:r>
      <w:proofErr w:type="spellEnd"/>
      <w:r>
        <w:t xml:space="preserve"> vaccine, between Indigenous and non-Indigenous infants, was 10.0 percentage points in 2020 (Figure</w:t>
      </w:r>
      <w:r w:rsidR="006A3FFE">
        <w:t> </w:t>
      </w:r>
      <w:r>
        <w:t>5). The differential narrowed with increasing age, with only a 1.6 percentage point differential at 9 months of</w:t>
      </w:r>
      <w:r w:rsidR="00E94CB6">
        <w:t> </w:t>
      </w:r>
      <w:r>
        <w:t>age.</w:t>
      </w:r>
    </w:p>
    <w:p w14:paraId="6FBAABFA" w14:textId="77777777" w:rsidR="006A3FFE" w:rsidRDefault="006A3FFE" w:rsidP="006A3FFE">
      <w:pPr>
        <w:pStyle w:val="NormalWeb"/>
        <w:rPr>
          <w:lang w:val="en-GB"/>
        </w:rPr>
      </w:pPr>
      <w:r>
        <w:rPr>
          <w:rStyle w:val="Strong"/>
          <w:lang w:val="en-GB"/>
        </w:rPr>
        <w:lastRenderedPageBreak/>
        <w:t xml:space="preserve">Figure 5: Cumulative percentage of infants vaccinated with the second dose of </w:t>
      </w:r>
      <w:proofErr w:type="spellStart"/>
      <w:r>
        <w:rPr>
          <w:rStyle w:val="Strong"/>
          <w:lang w:val="en-GB"/>
        </w:rPr>
        <w:t>DTPa</w:t>
      </w:r>
      <w:proofErr w:type="spellEnd"/>
      <w:r>
        <w:rPr>
          <w:rStyle w:val="Strong"/>
          <w:lang w:val="en-GB"/>
        </w:rPr>
        <w:t xml:space="preserve">-containing </w:t>
      </w:r>
      <w:proofErr w:type="spellStart"/>
      <w:proofErr w:type="gramStart"/>
      <w:r>
        <w:rPr>
          <w:rStyle w:val="Strong"/>
          <w:lang w:val="en-GB"/>
        </w:rPr>
        <w:t>vaccine</w:t>
      </w:r>
      <w:r>
        <w:rPr>
          <w:rStyle w:val="Strong"/>
          <w:vertAlign w:val="superscript"/>
          <w:lang w:val="en-GB"/>
        </w:rPr>
        <w:t>a,b</w:t>
      </w:r>
      <w:proofErr w:type="spellEnd"/>
      <w:proofErr w:type="gramEnd"/>
      <w:r>
        <w:rPr>
          <w:rStyle w:val="Strong"/>
          <w:lang w:val="en-GB"/>
        </w:rPr>
        <w:t xml:space="preserve"> by age in months and Indigenous status, Australia, 2020</w:t>
      </w:r>
      <w:r>
        <w:rPr>
          <w:rStyle w:val="Strong"/>
          <w:vertAlign w:val="superscript"/>
          <w:lang w:val="en-GB"/>
        </w:rPr>
        <w:t>c,d</w:t>
      </w:r>
    </w:p>
    <w:p w14:paraId="67647D72" w14:textId="7E43BD28" w:rsidR="006A3FFE" w:rsidRDefault="006A3FFE" w:rsidP="008C0A6D">
      <w:pPr>
        <w:pStyle w:val="NormalWeb"/>
        <w:jc w:val="center"/>
        <w:rPr>
          <w:lang w:val="en-GB"/>
        </w:rPr>
      </w:pPr>
      <w:r>
        <w:rPr>
          <w:noProof/>
          <w:lang w:val="en-GB"/>
        </w:rPr>
        <w:drawing>
          <wp:inline distT="0" distB="0" distL="0" distR="0" wp14:anchorId="61861403" wp14:editId="43FC72C6">
            <wp:extent cx="6511442" cy="4680708"/>
            <wp:effectExtent l="0" t="0" r="0" b="0"/>
            <wp:docPr id="5" name="Picture 5" descr="Figure 5 shows timeliness of the 2nd dose of DTP vaccine by Indigenous status for the cohort born in 2018, assessed in 2020. For the 2nd dose of DTPa, there was greater delay for Indigenous children than non-Indigenous children, with a 10.0 percentage point differential in on-time vaccination at &lt; 5 months of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5 shows timeliness of the 2nd dose of DTP vaccine by Indigenous status for the cohort born in 2018, assessed in 2020. For the 2nd dose of DTPa, there was greater delay for Indigenous children than non-Indigenous children, with a 10.0 percentage point differential in on-time vaccination at &lt; 5 months of age."/>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516513" cy="4684353"/>
                    </a:xfrm>
                    <a:prstGeom prst="rect">
                      <a:avLst/>
                    </a:prstGeom>
                  </pic:spPr>
                </pic:pic>
              </a:graphicData>
            </a:graphic>
          </wp:inline>
        </w:drawing>
      </w:r>
    </w:p>
    <w:p w14:paraId="152D6059" w14:textId="77777777" w:rsidR="006A3FFE" w:rsidRDefault="006A3FFE" w:rsidP="006A3FFE">
      <w:pPr>
        <w:pStyle w:val="CDIfootnotes"/>
        <w:rPr>
          <w:lang w:val="en-GB"/>
        </w:rPr>
      </w:pPr>
      <w:r>
        <w:rPr>
          <w:lang w:val="en-GB"/>
        </w:rPr>
        <w:t>a</w:t>
      </w:r>
      <w:r>
        <w:rPr>
          <w:lang w:val="en-GB"/>
        </w:rPr>
        <w:tab/>
      </w:r>
      <w:proofErr w:type="spellStart"/>
      <w:r>
        <w:rPr>
          <w:lang w:val="en-GB"/>
        </w:rPr>
        <w:t>DTPa</w:t>
      </w:r>
      <w:proofErr w:type="spellEnd"/>
      <w:r>
        <w:rPr>
          <w:lang w:val="en-GB"/>
        </w:rPr>
        <w:t xml:space="preserve"> = diphtheria-tetanus-acellular pertussis-containing vaccine (child formulation).</w:t>
      </w:r>
    </w:p>
    <w:p w14:paraId="08D5F952" w14:textId="77777777" w:rsidR="006A3FFE" w:rsidRDefault="006A3FFE" w:rsidP="006A3FFE">
      <w:pPr>
        <w:pStyle w:val="CDIfootnotes"/>
        <w:rPr>
          <w:lang w:val="en-GB"/>
        </w:rPr>
      </w:pPr>
      <w:r>
        <w:rPr>
          <w:lang w:val="en-GB"/>
        </w:rPr>
        <w:t>b</w:t>
      </w:r>
      <w:r>
        <w:rPr>
          <w:lang w:val="en-GB"/>
        </w:rPr>
        <w:tab/>
        <w:t xml:space="preserve">Shown as cumulative percentage vaccinated (number of infants who received vaccine dose at </w:t>
      </w:r>
      <w:proofErr w:type="gramStart"/>
      <w:r>
        <w:rPr>
          <w:lang w:val="en-GB"/>
        </w:rPr>
        <w:t>particular age / total</w:t>
      </w:r>
      <w:proofErr w:type="gramEnd"/>
      <w:r>
        <w:rPr>
          <w:lang w:val="en-GB"/>
        </w:rPr>
        <w:t xml:space="preserve"> number of infants who received the vaccine dose, expressed as a percentage).</w:t>
      </w:r>
    </w:p>
    <w:p w14:paraId="13CA811B" w14:textId="77777777" w:rsidR="006A3FFE" w:rsidRDefault="006A3FFE" w:rsidP="006A3FFE">
      <w:pPr>
        <w:pStyle w:val="CDIfootnotes"/>
        <w:rPr>
          <w:lang w:val="en-GB"/>
        </w:rPr>
      </w:pPr>
      <w:r>
        <w:rPr>
          <w:lang w:val="en-GB"/>
        </w:rPr>
        <w:t>c</w:t>
      </w:r>
      <w:r>
        <w:rPr>
          <w:lang w:val="en-GB"/>
        </w:rPr>
        <w:tab/>
        <w:t xml:space="preserve">Source: Australian Immunisation Register, data as </w:t>
      </w:r>
      <w:proofErr w:type="gramStart"/>
      <w:r>
        <w:rPr>
          <w:lang w:val="en-GB"/>
        </w:rPr>
        <w:t>at</w:t>
      </w:r>
      <w:proofErr w:type="gramEnd"/>
      <w:r>
        <w:rPr>
          <w:lang w:val="en-GB"/>
        </w:rPr>
        <w:t xml:space="preserve"> 31 March 2021.</w:t>
      </w:r>
    </w:p>
    <w:p w14:paraId="7BD1ABF4" w14:textId="24002DC3" w:rsidR="006A3FFE" w:rsidRPr="006A3FFE" w:rsidRDefault="006A3FFE" w:rsidP="006A3FFE">
      <w:pPr>
        <w:pStyle w:val="CDIfootnotes"/>
        <w:rPr>
          <w:lang w:val="en-GB"/>
        </w:rPr>
      </w:pPr>
      <w:r>
        <w:rPr>
          <w:lang w:val="en-GB"/>
        </w:rPr>
        <w:t>d</w:t>
      </w:r>
      <w:r>
        <w:rPr>
          <w:lang w:val="en-GB"/>
        </w:rPr>
        <w:tab/>
        <w:t>Cohort born in 2019.</w:t>
      </w:r>
    </w:p>
    <w:p w14:paraId="33A735EB" w14:textId="66AEF683" w:rsidR="002B4EF6" w:rsidRDefault="002B4EF6" w:rsidP="00FD4A14">
      <w:r>
        <w:t>The on-time vaccination differential for the second dose of 13vPCV, between Indigenous and non-Indigenous infants in 2020, was 9.7 percentage points, narrowing to a 1.4 percentage point differential at 9 months of age (Figure 6).</w:t>
      </w:r>
    </w:p>
    <w:p w14:paraId="312AEE74" w14:textId="77777777" w:rsidR="009A491D" w:rsidRDefault="009A491D">
      <w:pPr>
        <w:rPr>
          <w:rStyle w:val="Strong"/>
          <w:lang w:val="en-GB"/>
        </w:rPr>
      </w:pPr>
      <w:r>
        <w:rPr>
          <w:rStyle w:val="Strong"/>
          <w:lang w:val="en-GB"/>
        </w:rPr>
        <w:br w:type="page"/>
      </w:r>
    </w:p>
    <w:p w14:paraId="78518925" w14:textId="71F723F2" w:rsidR="00281DD5" w:rsidRDefault="00281DD5" w:rsidP="00281DD5">
      <w:pPr>
        <w:pStyle w:val="NormalWeb"/>
        <w:rPr>
          <w:lang w:val="en-GB"/>
        </w:rPr>
      </w:pPr>
      <w:r>
        <w:rPr>
          <w:rStyle w:val="Strong"/>
          <w:lang w:val="en-GB"/>
        </w:rPr>
        <w:lastRenderedPageBreak/>
        <w:t>Figure 6: Cumulative percentage of infants vaccinated with the second dose of 13</w:t>
      </w:r>
      <w:proofErr w:type="gramStart"/>
      <w:r>
        <w:rPr>
          <w:rStyle w:val="Strong"/>
          <w:lang w:val="en-GB"/>
        </w:rPr>
        <w:t>vPCV</w:t>
      </w:r>
      <w:r>
        <w:rPr>
          <w:rStyle w:val="Strong"/>
          <w:vertAlign w:val="superscript"/>
          <w:lang w:val="en-GB"/>
        </w:rPr>
        <w:t>a,b</w:t>
      </w:r>
      <w:proofErr w:type="gramEnd"/>
      <w:r>
        <w:rPr>
          <w:rStyle w:val="Strong"/>
          <w:lang w:val="en-GB"/>
        </w:rPr>
        <w:t xml:space="preserve"> by age in months and Indigenous status, Australia, 2020</w:t>
      </w:r>
      <w:r>
        <w:rPr>
          <w:rStyle w:val="Strong"/>
          <w:vertAlign w:val="superscript"/>
          <w:lang w:val="en-GB"/>
        </w:rPr>
        <w:t>c,d</w:t>
      </w:r>
    </w:p>
    <w:p w14:paraId="6B075609" w14:textId="51A8BE30" w:rsidR="00281DD5" w:rsidRDefault="00281DD5" w:rsidP="008C0A6D">
      <w:pPr>
        <w:pStyle w:val="NormalWeb"/>
        <w:jc w:val="center"/>
        <w:rPr>
          <w:lang w:val="en-GB"/>
        </w:rPr>
      </w:pPr>
      <w:r>
        <w:rPr>
          <w:noProof/>
          <w:lang w:val="en-GB"/>
        </w:rPr>
        <w:drawing>
          <wp:inline distT="0" distB="0" distL="0" distR="0" wp14:anchorId="78FF61A2" wp14:editId="46CBDBFD">
            <wp:extent cx="6625742" cy="4857776"/>
            <wp:effectExtent l="0" t="0" r="3810" b="0"/>
            <wp:docPr id="6" name="Picture 6" descr="Figure 6 shows timeliness of the 2nd dose of pneumococcal conjugate vaccine (PCV) vaccine by Indigenous status for the cohort born in 2018, assessed in 2020. For the 2nd dose of PCV, there was greater delay for Indigenous children than non-Indigenous children, with a 9.7 percentage point differential in on-time vaccination at &lt; 5 months of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6 shows timeliness of the 2nd dose of pneumococcal conjugate vaccine (PCV) vaccine by Indigenous status for the cohort born in 2018, assessed in 2020. For the 2nd dose of PCV, there was greater delay for Indigenous children than non-Indigenous children, with a 9.7 percentage point differential in on-time vaccination at &lt; 5 months of ag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632879" cy="4863009"/>
                    </a:xfrm>
                    <a:prstGeom prst="rect">
                      <a:avLst/>
                    </a:prstGeom>
                  </pic:spPr>
                </pic:pic>
              </a:graphicData>
            </a:graphic>
          </wp:inline>
        </w:drawing>
      </w:r>
    </w:p>
    <w:p w14:paraId="137C9261" w14:textId="77777777" w:rsidR="00281DD5" w:rsidRDefault="00281DD5" w:rsidP="00281DD5">
      <w:pPr>
        <w:pStyle w:val="CDIfootnotes"/>
        <w:rPr>
          <w:lang w:val="en-GB"/>
        </w:rPr>
      </w:pPr>
      <w:r>
        <w:rPr>
          <w:lang w:val="en-GB"/>
        </w:rPr>
        <w:t>a</w:t>
      </w:r>
      <w:r>
        <w:rPr>
          <w:lang w:val="en-GB"/>
        </w:rPr>
        <w:tab/>
        <w:t>13vPCV = 13-valent pneumococcal conjugate vaccine.</w:t>
      </w:r>
    </w:p>
    <w:p w14:paraId="2D085780" w14:textId="77777777" w:rsidR="00281DD5" w:rsidRDefault="00281DD5" w:rsidP="00281DD5">
      <w:pPr>
        <w:pStyle w:val="CDIfootnotes"/>
        <w:rPr>
          <w:lang w:val="en-GB"/>
        </w:rPr>
      </w:pPr>
      <w:r>
        <w:rPr>
          <w:lang w:val="en-GB"/>
        </w:rPr>
        <w:t>b</w:t>
      </w:r>
      <w:r>
        <w:rPr>
          <w:lang w:val="en-GB"/>
        </w:rPr>
        <w:tab/>
        <w:t xml:space="preserve">Shown as cumulative percentage vaccinated (number of infants who received vaccine dose at </w:t>
      </w:r>
      <w:proofErr w:type="gramStart"/>
      <w:r>
        <w:rPr>
          <w:lang w:val="en-GB"/>
        </w:rPr>
        <w:t>particular age / total</w:t>
      </w:r>
      <w:proofErr w:type="gramEnd"/>
      <w:r>
        <w:rPr>
          <w:lang w:val="en-GB"/>
        </w:rPr>
        <w:t xml:space="preserve"> number of infants who received the vaccine dose, expressed as a percentage).</w:t>
      </w:r>
    </w:p>
    <w:p w14:paraId="34118F2F" w14:textId="77777777" w:rsidR="00281DD5" w:rsidRDefault="00281DD5" w:rsidP="00281DD5">
      <w:pPr>
        <w:pStyle w:val="CDIfootnotes"/>
        <w:rPr>
          <w:lang w:val="en-GB"/>
        </w:rPr>
      </w:pPr>
      <w:r>
        <w:rPr>
          <w:lang w:val="en-GB"/>
        </w:rPr>
        <w:t>c</w:t>
      </w:r>
      <w:r>
        <w:rPr>
          <w:lang w:val="en-GB"/>
        </w:rPr>
        <w:tab/>
        <w:t xml:space="preserve">Source: Australian Immunisation Register, data as </w:t>
      </w:r>
      <w:proofErr w:type="gramStart"/>
      <w:r>
        <w:rPr>
          <w:lang w:val="en-GB"/>
        </w:rPr>
        <w:t>at</w:t>
      </w:r>
      <w:proofErr w:type="gramEnd"/>
      <w:r>
        <w:rPr>
          <w:lang w:val="en-GB"/>
        </w:rPr>
        <w:t xml:space="preserve"> 31 March 2021.</w:t>
      </w:r>
    </w:p>
    <w:p w14:paraId="6133E2F1" w14:textId="44175631" w:rsidR="00281DD5" w:rsidRPr="00281DD5" w:rsidRDefault="00281DD5" w:rsidP="00281DD5">
      <w:pPr>
        <w:pStyle w:val="CDIfootnotes"/>
        <w:rPr>
          <w:lang w:val="en-GB"/>
        </w:rPr>
      </w:pPr>
      <w:r>
        <w:rPr>
          <w:lang w:val="en-GB"/>
        </w:rPr>
        <w:t>d</w:t>
      </w:r>
      <w:r>
        <w:rPr>
          <w:lang w:val="en-GB"/>
        </w:rPr>
        <w:tab/>
        <w:t>Cohort born in 2019.</w:t>
      </w:r>
    </w:p>
    <w:p w14:paraId="30CC42A0" w14:textId="54EB27C8" w:rsidR="00DF0A34" w:rsidRDefault="002B4EF6" w:rsidP="00FD4A14">
      <w:r>
        <w:t xml:space="preserve">The on-time vaccination differential for the second dose of rotavirus vaccine, between Indigenous and non-Indigenous infants in 2020, was lower than that for </w:t>
      </w:r>
      <w:proofErr w:type="spellStart"/>
      <w:r>
        <w:t>DTPa</w:t>
      </w:r>
      <w:proofErr w:type="spellEnd"/>
      <w:r>
        <w:t xml:space="preserve">-containing vaccine and 13vPCV at 4.3 percentage points, narrowing with increasing age to only 0.2 of a percentage </w:t>
      </w:r>
      <w:proofErr w:type="gramStart"/>
      <w:r>
        <w:t>point</w:t>
      </w:r>
      <w:proofErr w:type="gramEnd"/>
      <w:r>
        <w:t xml:space="preserve"> at 6 months of age (Figure 7). </w:t>
      </w:r>
    </w:p>
    <w:p w14:paraId="5C620549" w14:textId="77777777" w:rsidR="00DF0A34" w:rsidRDefault="00DF0A34">
      <w:r>
        <w:br w:type="page"/>
      </w:r>
    </w:p>
    <w:p w14:paraId="7694D5F0" w14:textId="77777777" w:rsidR="00DF0A34" w:rsidRDefault="00DF0A34" w:rsidP="00DF0A34">
      <w:pPr>
        <w:pStyle w:val="NormalWeb"/>
        <w:rPr>
          <w:lang w:val="en-GB"/>
        </w:rPr>
      </w:pPr>
      <w:r>
        <w:rPr>
          <w:rStyle w:val="Strong"/>
          <w:lang w:val="en-GB"/>
        </w:rPr>
        <w:lastRenderedPageBreak/>
        <w:t xml:space="preserve">Figure 7: Cumulative percentage of infants vaccinated with the second dose of rotavirus </w:t>
      </w:r>
      <w:proofErr w:type="spellStart"/>
      <w:r>
        <w:rPr>
          <w:rStyle w:val="Strong"/>
          <w:lang w:val="en-GB"/>
        </w:rPr>
        <w:t>vaccine</w:t>
      </w:r>
      <w:r>
        <w:rPr>
          <w:rStyle w:val="Strong"/>
          <w:vertAlign w:val="superscript"/>
          <w:lang w:val="en-GB"/>
        </w:rPr>
        <w:t>a</w:t>
      </w:r>
      <w:proofErr w:type="spellEnd"/>
      <w:r>
        <w:rPr>
          <w:rStyle w:val="Strong"/>
          <w:lang w:val="en-GB"/>
        </w:rPr>
        <w:t xml:space="preserve"> by age in months and Indigenous status, Australia, 2020</w:t>
      </w:r>
      <w:proofErr w:type="gramStart"/>
      <w:r>
        <w:rPr>
          <w:rStyle w:val="Strong"/>
          <w:vertAlign w:val="superscript"/>
          <w:lang w:val="en-GB"/>
        </w:rPr>
        <w:t>b,c</w:t>
      </w:r>
      <w:proofErr w:type="gramEnd"/>
    </w:p>
    <w:p w14:paraId="46E03DB7" w14:textId="7A627E23" w:rsidR="00DF0A34" w:rsidRDefault="00DF0A34" w:rsidP="008C0A6D">
      <w:pPr>
        <w:pStyle w:val="NormalWeb"/>
        <w:jc w:val="center"/>
        <w:rPr>
          <w:lang w:val="en-GB"/>
        </w:rPr>
      </w:pPr>
      <w:r>
        <w:rPr>
          <w:noProof/>
          <w:lang w:val="en-GB"/>
        </w:rPr>
        <w:drawing>
          <wp:inline distT="0" distB="0" distL="0" distR="0" wp14:anchorId="1129404F" wp14:editId="15C34C62">
            <wp:extent cx="6625742" cy="4858657"/>
            <wp:effectExtent l="0" t="0" r="3810" b="0"/>
            <wp:docPr id="7" name="Picture 7" descr="Figure 7 shows timeliness of the 2nd dose of rotavirus vaccine by Indigenous status for the cohort born in 2018, assessed in 2020. For the 2nd dose of rotavirus vaccine, there was greater delay for Indigenous children than non-Indigenous children, with a 4.3 percentage point differential in on-time vaccination at &lt; 5 months of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 7 shows timeliness of the 2nd dose of rotavirus vaccine by Indigenous status for the cohort born in 2018, assessed in 2020. For the 2nd dose of rotavirus vaccine, there was greater delay for Indigenous children than non-Indigenous children, with a 4.3 percentage point differential in on-time vaccination at &lt; 5 months of ag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630733" cy="4862317"/>
                    </a:xfrm>
                    <a:prstGeom prst="rect">
                      <a:avLst/>
                    </a:prstGeom>
                  </pic:spPr>
                </pic:pic>
              </a:graphicData>
            </a:graphic>
          </wp:inline>
        </w:drawing>
      </w:r>
    </w:p>
    <w:p w14:paraId="23AC741E" w14:textId="77777777" w:rsidR="00DF0A34" w:rsidRDefault="00DF0A34" w:rsidP="00DF0A34">
      <w:pPr>
        <w:pStyle w:val="CDIfootnotes"/>
        <w:rPr>
          <w:lang w:val="en-GB"/>
        </w:rPr>
      </w:pPr>
      <w:proofErr w:type="spellStart"/>
      <w:r>
        <w:rPr>
          <w:lang w:val="en-GB"/>
        </w:rPr>
        <w:t>a</w:t>
      </w:r>
      <w:proofErr w:type="spellEnd"/>
      <w:r>
        <w:rPr>
          <w:lang w:val="en-GB"/>
        </w:rPr>
        <w:tab/>
        <w:t xml:space="preserve">Shown as cumulative percentage vaccinated (number of children who received vaccine dose at </w:t>
      </w:r>
      <w:proofErr w:type="gramStart"/>
      <w:r>
        <w:rPr>
          <w:lang w:val="en-GB"/>
        </w:rPr>
        <w:t>particular age / total</w:t>
      </w:r>
      <w:proofErr w:type="gramEnd"/>
      <w:r>
        <w:rPr>
          <w:lang w:val="en-GB"/>
        </w:rPr>
        <w:t xml:space="preserve"> number of children who received the vaccine dose, expressed as a percentage).</w:t>
      </w:r>
    </w:p>
    <w:p w14:paraId="29EF6630" w14:textId="77777777" w:rsidR="00DF0A34" w:rsidRDefault="00DF0A34" w:rsidP="00DF0A34">
      <w:pPr>
        <w:pStyle w:val="CDIfootnotes"/>
        <w:rPr>
          <w:lang w:val="en-GB"/>
        </w:rPr>
      </w:pPr>
      <w:r>
        <w:rPr>
          <w:lang w:val="en-GB"/>
        </w:rPr>
        <w:t>b</w:t>
      </w:r>
      <w:r>
        <w:rPr>
          <w:lang w:val="en-GB"/>
        </w:rPr>
        <w:tab/>
        <w:t xml:space="preserve">Source: Australian Immunisation Register, data as </w:t>
      </w:r>
      <w:proofErr w:type="gramStart"/>
      <w:r>
        <w:rPr>
          <w:lang w:val="en-GB"/>
        </w:rPr>
        <w:t>at</w:t>
      </w:r>
      <w:proofErr w:type="gramEnd"/>
      <w:r>
        <w:rPr>
          <w:lang w:val="en-GB"/>
        </w:rPr>
        <w:t xml:space="preserve"> 31 March 2021.</w:t>
      </w:r>
    </w:p>
    <w:p w14:paraId="30C01B7C" w14:textId="2F8E09DD" w:rsidR="002B4EF6" w:rsidRPr="00DF0A34" w:rsidRDefault="00DF0A34" w:rsidP="00DF0A34">
      <w:pPr>
        <w:pStyle w:val="CDIfootnotes"/>
        <w:rPr>
          <w:lang w:val="en-GB"/>
        </w:rPr>
      </w:pPr>
      <w:r>
        <w:rPr>
          <w:lang w:val="en-GB"/>
        </w:rPr>
        <w:t>c</w:t>
      </w:r>
      <w:r>
        <w:rPr>
          <w:lang w:val="en-GB"/>
        </w:rPr>
        <w:tab/>
        <w:t>Cohort born in 2019.</w:t>
      </w:r>
    </w:p>
    <w:p w14:paraId="2724CE31" w14:textId="5F1FFC4E" w:rsidR="00DF0A34" w:rsidRDefault="002B4EF6" w:rsidP="00FD4A14">
      <w:r>
        <w:t xml:space="preserve">The on-time vaccination differential for the first dose of MMR vaccine, between Indigenous and non-Indigenous children in 2020, was 11.8 percentage points. The differential narrowed with increasing age, with a 1.7 percentage point differential at 17 months of age (Figure 8). </w:t>
      </w:r>
    </w:p>
    <w:p w14:paraId="691F169F" w14:textId="77777777" w:rsidR="00DF0A34" w:rsidRDefault="00DF0A34">
      <w:r>
        <w:br w:type="page"/>
      </w:r>
    </w:p>
    <w:p w14:paraId="5F451E3B" w14:textId="77777777" w:rsidR="00374631" w:rsidRDefault="00374631" w:rsidP="00374631">
      <w:pPr>
        <w:pStyle w:val="NormalWeb"/>
        <w:rPr>
          <w:lang w:val="en-GB"/>
        </w:rPr>
      </w:pPr>
      <w:r>
        <w:rPr>
          <w:rStyle w:val="Strong"/>
          <w:lang w:val="en-GB"/>
        </w:rPr>
        <w:lastRenderedPageBreak/>
        <w:t xml:space="preserve">Figure 8: Cumulative percentage of infants vaccinated with the first dose of measles-mumps-rubella (MMR) </w:t>
      </w:r>
      <w:proofErr w:type="spellStart"/>
      <w:r>
        <w:rPr>
          <w:rStyle w:val="Strong"/>
          <w:lang w:val="en-GB"/>
        </w:rPr>
        <w:t>vaccine</w:t>
      </w:r>
      <w:r>
        <w:rPr>
          <w:rStyle w:val="Strong"/>
          <w:vertAlign w:val="superscript"/>
          <w:lang w:val="en-GB"/>
        </w:rPr>
        <w:t>a</w:t>
      </w:r>
      <w:proofErr w:type="spellEnd"/>
      <w:r>
        <w:rPr>
          <w:rStyle w:val="Strong"/>
          <w:lang w:val="en-GB"/>
        </w:rPr>
        <w:t xml:space="preserve"> by age in months and Indigenous status, Australia, 2020</w:t>
      </w:r>
      <w:proofErr w:type="gramStart"/>
      <w:r>
        <w:rPr>
          <w:rStyle w:val="Strong"/>
          <w:vertAlign w:val="superscript"/>
          <w:lang w:val="en-GB"/>
        </w:rPr>
        <w:t>b,c</w:t>
      </w:r>
      <w:proofErr w:type="gramEnd"/>
    </w:p>
    <w:p w14:paraId="79A5AD60" w14:textId="38DE97F0" w:rsidR="00374631" w:rsidRDefault="00702B5E" w:rsidP="008C0A6D">
      <w:pPr>
        <w:pStyle w:val="NormalWeb"/>
        <w:jc w:val="center"/>
        <w:rPr>
          <w:lang w:val="en-GB"/>
        </w:rPr>
      </w:pPr>
      <w:r>
        <w:rPr>
          <w:noProof/>
          <w:lang w:val="en-GB"/>
        </w:rPr>
        <w:drawing>
          <wp:inline distT="0" distB="0" distL="0" distR="0" wp14:anchorId="326BA6D4" wp14:editId="5C802336">
            <wp:extent cx="6639560" cy="4826635"/>
            <wp:effectExtent l="0" t="0" r="8890" b="0"/>
            <wp:docPr id="8" name="Picture 8" descr="Figure 8 shows timeliness of the first dose of measles-mumps-rubella vaccine by Indigenous status for the cohort born in 2018, assessed in 2020. For the 2nd dose of measles-mumps-rubella vaccine, there was greater delay for Indigenous children than non-Indigenous children, with an 11.8 percentage point differential in on-time vaccination at &lt; 13 months of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8 shows timeliness of the first dose of measles-mumps-rubella vaccine by Indigenous status for the cohort born in 2018, assessed in 2020. For the 2nd dose of measles-mumps-rubella vaccine, there was greater delay for Indigenous children than non-Indigenous children, with an 11.8 percentage point differential in on-time vaccination at &lt; 13 months of 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39560" cy="4826635"/>
                    </a:xfrm>
                    <a:prstGeom prst="rect">
                      <a:avLst/>
                    </a:prstGeom>
                    <a:noFill/>
                    <a:ln>
                      <a:noFill/>
                    </a:ln>
                  </pic:spPr>
                </pic:pic>
              </a:graphicData>
            </a:graphic>
          </wp:inline>
        </w:drawing>
      </w:r>
    </w:p>
    <w:p w14:paraId="63F923F3" w14:textId="77777777" w:rsidR="00374631" w:rsidRDefault="00374631" w:rsidP="00374631">
      <w:pPr>
        <w:pStyle w:val="CDIfootnotes"/>
        <w:rPr>
          <w:lang w:val="en-GB"/>
        </w:rPr>
      </w:pPr>
      <w:proofErr w:type="spellStart"/>
      <w:r>
        <w:rPr>
          <w:lang w:val="en-GB"/>
        </w:rPr>
        <w:t>a</w:t>
      </w:r>
      <w:proofErr w:type="spellEnd"/>
      <w:r>
        <w:rPr>
          <w:lang w:val="en-GB"/>
        </w:rPr>
        <w:tab/>
        <w:t xml:space="preserve">Shown as cumulative percentage vaccinated (number of infants who received vaccine dose at </w:t>
      </w:r>
      <w:proofErr w:type="gramStart"/>
      <w:r>
        <w:rPr>
          <w:lang w:val="en-GB"/>
        </w:rPr>
        <w:t>particular age / total</w:t>
      </w:r>
      <w:proofErr w:type="gramEnd"/>
      <w:r>
        <w:rPr>
          <w:lang w:val="en-GB"/>
        </w:rPr>
        <w:t xml:space="preserve"> number of infants who received the vaccine dose, expressed as a percentage).</w:t>
      </w:r>
    </w:p>
    <w:p w14:paraId="67E506A7" w14:textId="77777777" w:rsidR="00374631" w:rsidRDefault="00374631" w:rsidP="00374631">
      <w:pPr>
        <w:pStyle w:val="CDIfootnotes"/>
        <w:rPr>
          <w:lang w:val="en-GB"/>
        </w:rPr>
      </w:pPr>
      <w:r>
        <w:rPr>
          <w:lang w:val="en-GB"/>
        </w:rPr>
        <w:t>b</w:t>
      </w:r>
      <w:r>
        <w:rPr>
          <w:lang w:val="en-GB"/>
        </w:rPr>
        <w:tab/>
        <w:t xml:space="preserve">Source: Australian Immunisation Register, data as </w:t>
      </w:r>
      <w:proofErr w:type="gramStart"/>
      <w:r>
        <w:rPr>
          <w:lang w:val="en-GB"/>
        </w:rPr>
        <w:t>at</w:t>
      </w:r>
      <w:proofErr w:type="gramEnd"/>
      <w:r>
        <w:rPr>
          <w:lang w:val="en-GB"/>
        </w:rPr>
        <w:t xml:space="preserve"> 31 March 2021.</w:t>
      </w:r>
    </w:p>
    <w:p w14:paraId="583D2BA7" w14:textId="77777777" w:rsidR="00374631" w:rsidRDefault="00374631" w:rsidP="00374631">
      <w:pPr>
        <w:pStyle w:val="CDIfootnotes"/>
        <w:rPr>
          <w:lang w:val="en-GB"/>
        </w:rPr>
      </w:pPr>
      <w:r>
        <w:rPr>
          <w:lang w:val="en-GB"/>
        </w:rPr>
        <w:t>c</w:t>
      </w:r>
      <w:r>
        <w:rPr>
          <w:lang w:val="en-GB"/>
        </w:rPr>
        <w:tab/>
        <w:t>Cohort born in 2018.</w:t>
      </w:r>
    </w:p>
    <w:p w14:paraId="4A06EE04" w14:textId="58761199" w:rsidR="003D590A" w:rsidRDefault="002B4EF6" w:rsidP="00FD4A14">
      <w:r>
        <w:t xml:space="preserve">The on-time vaccination differential for the first dose of </w:t>
      </w:r>
      <w:proofErr w:type="spellStart"/>
      <w:r>
        <w:t>MenACWY</w:t>
      </w:r>
      <w:proofErr w:type="spellEnd"/>
      <w:r>
        <w:t xml:space="preserve"> vaccine, between Indigenous and non-Indigenous children in 2020, was 8.2 percentage points, narrowing to a 1.1 percentage point differential at 17 months of age (Figure 9). </w:t>
      </w:r>
    </w:p>
    <w:p w14:paraId="448DF64B" w14:textId="77777777" w:rsidR="003D590A" w:rsidRDefault="003D590A">
      <w:r>
        <w:br w:type="page"/>
      </w:r>
    </w:p>
    <w:p w14:paraId="7BCDEF5F" w14:textId="77777777" w:rsidR="003D590A" w:rsidRDefault="003D590A" w:rsidP="003D590A">
      <w:pPr>
        <w:pStyle w:val="NormalWeb"/>
        <w:rPr>
          <w:lang w:val="en-GB"/>
        </w:rPr>
      </w:pPr>
      <w:r>
        <w:rPr>
          <w:rStyle w:val="Strong"/>
          <w:lang w:val="en-GB"/>
        </w:rPr>
        <w:lastRenderedPageBreak/>
        <w:t xml:space="preserve">Figure 9: Cumulative percentage of infants vaccinated with the first dose of </w:t>
      </w:r>
      <w:proofErr w:type="spellStart"/>
      <w:r>
        <w:rPr>
          <w:rStyle w:val="Strong"/>
          <w:lang w:val="en-GB"/>
        </w:rPr>
        <w:t>MenACWY</w:t>
      </w:r>
      <w:proofErr w:type="spellEnd"/>
      <w:r>
        <w:rPr>
          <w:rStyle w:val="Strong"/>
          <w:lang w:val="en-GB"/>
        </w:rPr>
        <w:t xml:space="preserve"> </w:t>
      </w:r>
      <w:proofErr w:type="spellStart"/>
      <w:proofErr w:type="gramStart"/>
      <w:r>
        <w:rPr>
          <w:rStyle w:val="Strong"/>
          <w:lang w:val="en-GB"/>
        </w:rPr>
        <w:t>vaccine</w:t>
      </w:r>
      <w:r>
        <w:rPr>
          <w:rStyle w:val="Strong"/>
          <w:vertAlign w:val="superscript"/>
          <w:lang w:val="en-GB"/>
        </w:rPr>
        <w:t>a,b</w:t>
      </w:r>
      <w:proofErr w:type="spellEnd"/>
      <w:proofErr w:type="gramEnd"/>
      <w:r>
        <w:rPr>
          <w:rStyle w:val="Strong"/>
          <w:lang w:val="en-GB"/>
        </w:rPr>
        <w:t xml:space="preserve"> by age in months and Indigenous status, Australia, 2020</w:t>
      </w:r>
      <w:r>
        <w:rPr>
          <w:rStyle w:val="Strong"/>
          <w:vertAlign w:val="superscript"/>
          <w:lang w:val="en-GB"/>
        </w:rPr>
        <w:t>c,d</w:t>
      </w:r>
    </w:p>
    <w:p w14:paraId="2664FAF6" w14:textId="589276EC" w:rsidR="003D590A" w:rsidRDefault="00702B5E" w:rsidP="008C0A6D">
      <w:pPr>
        <w:pStyle w:val="NormalWeb"/>
        <w:jc w:val="center"/>
        <w:rPr>
          <w:lang w:val="en-GB"/>
        </w:rPr>
      </w:pPr>
      <w:r>
        <w:rPr>
          <w:noProof/>
          <w:lang w:val="en-GB"/>
        </w:rPr>
        <w:drawing>
          <wp:inline distT="0" distB="0" distL="0" distR="0" wp14:anchorId="1C3993F8" wp14:editId="5C463F0B">
            <wp:extent cx="6639560" cy="4850130"/>
            <wp:effectExtent l="0" t="0" r="8890" b="7620"/>
            <wp:docPr id="19" name="Picture 19" descr="Figure 9 shows timeliness of the first dose of MenC-containing vaccine by Indigenous status for the cohort born in 2018, assessed in 2020. For the first dose of MenC-containing vaccine, there was greater delay for Indigenous children than non-Indigenous children, with an 8.2 percentage point differential in on-time vaccination at &lt; 13 months of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Figure 9 shows timeliness of the first dose of MenC-containing vaccine by Indigenous status for the cohort born in 2018, assessed in 2020. For the first dose of MenC-containing vaccine, there was greater delay for Indigenous children than non-Indigenous children, with an 8.2 percentage point differential in on-time vaccination at &lt; 13 months of ag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39560" cy="4850130"/>
                    </a:xfrm>
                    <a:prstGeom prst="rect">
                      <a:avLst/>
                    </a:prstGeom>
                    <a:noFill/>
                    <a:ln>
                      <a:noFill/>
                    </a:ln>
                  </pic:spPr>
                </pic:pic>
              </a:graphicData>
            </a:graphic>
          </wp:inline>
        </w:drawing>
      </w:r>
    </w:p>
    <w:p w14:paraId="0AFC7521" w14:textId="77777777" w:rsidR="003D590A" w:rsidRDefault="003D590A" w:rsidP="003D590A">
      <w:pPr>
        <w:pStyle w:val="CDIfootnotes"/>
        <w:rPr>
          <w:lang w:val="en-GB"/>
        </w:rPr>
      </w:pPr>
      <w:r>
        <w:rPr>
          <w:lang w:val="en-GB"/>
        </w:rPr>
        <w:t>a</w:t>
      </w:r>
      <w:r>
        <w:rPr>
          <w:lang w:val="en-GB"/>
        </w:rPr>
        <w:tab/>
      </w:r>
      <w:proofErr w:type="spellStart"/>
      <w:r>
        <w:rPr>
          <w:lang w:val="en-GB"/>
        </w:rPr>
        <w:t>MenACWY</w:t>
      </w:r>
      <w:proofErr w:type="spellEnd"/>
      <w:r>
        <w:rPr>
          <w:lang w:val="en-GB"/>
        </w:rPr>
        <w:t xml:space="preserve"> = meningococcal ACWY.</w:t>
      </w:r>
    </w:p>
    <w:p w14:paraId="12262A97" w14:textId="77777777" w:rsidR="003D590A" w:rsidRDefault="003D590A" w:rsidP="003D590A">
      <w:pPr>
        <w:pStyle w:val="CDIfootnotes"/>
        <w:rPr>
          <w:lang w:val="en-GB"/>
        </w:rPr>
      </w:pPr>
      <w:r>
        <w:rPr>
          <w:lang w:val="en-GB"/>
        </w:rPr>
        <w:t>b</w:t>
      </w:r>
      <w:r>
        <w:rPr>
          <w:lang w:val="en-GB"/>
        </w:rPr>
        <w:tab/>
        <w:t xml:space="preserve">Shown as cumulative percentage vaccinated (number of infants who received vaccine dose at </w:t>
      </w:r>
      <w:proofErr w:type="gramStart"/>
      <w:r>
        <w:rPr>
          <w:lang w:val="en-GB"/>
        </w:rPr>
        <w:t>particular age / total</w:t>
      </w:r>
      <w:proofErr w:type="gramEnd"/>
      <w:r>
        <w:rPr>
          <w:lang w:val="en-GB"/>
        </w:rPr>
        <w:t xml:space="preserve"> number of children who received the vaccine dose, expressed as a percentage).</w:t>
      </w:r>
    </w:p>
    <w:p w14:paraId="5D3C8DCA" w14:textId="77777777" w:rsidR="003D590A" w:rsidRDefault="003D590A" w:rsidP="003D590A">
      <w:pPr>
        <w:pStyle w:val="CDIfootnotes"/>
        <w:rPr>
          <w:lang w:val="en-GB"/>
        </w:rPr>
      </w:pPr>
      <w:r>
        <w:rPr>
          <w:lang w:val="en-GB"/>
        </w:rPr>
        <w:t>c</w:t>
      </w:r>
      <w:r>
        <w:rPr>
          <w:lang w:val="en-GB"/>
        </w:rPr>
        <w:tab/>
        <w:t xml:space="preserve">Source: Australian Immunisation Register, data as </w:t>
      </w:r>
      <w:proofErr w:type="gramStart"/>
      <w:r>
        <w:rPr>
          <w:lang w:val="en-GB"/>
        </w:rPr>
        <w:t>at</w:t>
      </w:r>
      <w:proofErr w:type="gramEnd"/>
      <w:r>
        <w:rPr>
          <w:lang w:val="en-GB"/>
        </w:rPr>
        <w:t xml:space="preserve"> 31 March 2021.</w:t>
      </w:r>
    </w:p>
    <w:p w14:paraId="6A4AF3C1" w14:textId="1BF7290C" w:rsidR="002B4EF6" w:rsidRPr="003D590A" w:rsidRDefault="003D590A" w:rsidP="003D590A">
      <w:pPr>
        <w:pStyle w:val="CDIfootnotes"/>
        <w:rPr>
          <w:lang w:val="en-GB"/>
        </w:rPr>
      </w:pPr>
      <w:r>
        <w:rPr>
          <w:lang w:val="en-GB"/>
        </w:rPr>
        <w:t>d</w:t>
      </w:r>
      <w:r>
        <w:rPr>
          <w:lang w:val="en-GB"/>
        </w:rPr>
        <w:tab/>
        <w:t>Cohort born in 2018.</w:t>
      </w:r>
    </w:p>
    <w:p w14:paraId="06E5DC7C" w14:textId="77777777" w:rsidR="002B4EF6" w:rsidRDefault="002B4EF6" w:rsidP="00FD4A14">
      <w:r>
        <w:t xml:space="preserve">Compared to 2019, the disparity between Indigenous and non-Indigenous children for on-time receipt of vaccines in 2020 marginally increased by 0.1–0.3 of a percentage point for vaccine doses due at 4 months of age (second doses of </w:t>
      </w:r>
      <w:proofErr w:type="spellStart"/>
      <w:r>
        <w:t>DTPa</w:t>
      </w:r>
      <w:proofErr w:type="spellEnd"/>
      <w:r>
        <w:t xml:space="preserve">-containing vaccine, 13vPCV, and rotavirus vaccine; refer to Table 2). For vaccine doses due at 12 months of age, the disparity increased slightly by 0.3 of a percentage </w:t>
      </w:r>
      <w:proofErr w:type="gramStart"/>
      <w:r>
        <w:t>point</w:t>
      </w:r>
      <w:proofErr w:type="gramEnd"/>
      <w:r>
        <w:t xml:space="preserve"> for the first dose of MMR vaccine (timeliness not assessed for </w:t>
      </w:r>
      <w:proofErr w:type="spellStart"/>
      <w:r>
        <w:t>MenACWY</w:t>
      </w:r>
      <w:proofErr w:type="spellEnd"/>
      <w:r>
        <w:t xml:space="preserve"> vaccine in 2019). Longer-term trend data for on-time receipt of vaccines can be found in our 2017 report.</w:t>
      </w:r>
      <w:r>
        <w:rPr>
          <w:vertAlign w:val="superscript"/>
        </w:rPr>
        <w:t>11</w:t>
      </w:r>
      <w:r>
        <w:t xml:space="preserve"> </w:t>
      </w:r>
    </w:p>
    <w:p w14:paraId="6CA5742D" w14:textId="77777777" w:rsidR="00445B06" w:rsidRDefault="00445B06">
      <w:r>
        <w:br w:type="page"/>
      </w:r>
    </w:p>
    <w:p w14:paraId="33796B9A" w14:textId="77777777" w:rsidR="00445B06" w:rsidRDefault="00445B06" w:rsidP="00445B06">
      <w:pPr>
        <w:pStyle w:val="NormalWeb"/>
        <w:rPr>
          <w:lang w:val="en-GB"/>
        </w:rPr>
      </w:pPr>
      <w:r>
        <w:rPr>
          <w:rStyle w:val="Strong"/>
          <w:lang w:val="en-GB"/>
        </w:rPr>
        <w:lastRenderedPageBreak/>
        <w:t>Table 2: Disparity in on-time vaccination between Indigenous and non-Indigenous children for selected vaccine doses, Australia, 2019 and 2020</w:t>
      </w:r>
      <w:r>
        <w:rPr>
          <w:rStyle w:val="Strong"/>
          <w:vertAlign w:val="superscript"/>
          <w:lang w:val="en-GB"/>
        </w:rPr>
        <w:t>a</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2 shows the disparity in on-time vaccination between Indigenous and non-Indigenous children for selected vaccine doses, Australia, 2019 versus 2020. The disparity between Indigenous and non-Indigenous children for on-time receipt of vaccines increased by 0.1–0.3 percentage points for vaccine doses due at 4 months of age (second doses of DTPa-containing vaccine, 13vPCV and rotavirus vaccine). For vaccine doses due at 12 months of age, the disparity increased slightly for the first dose of MMR vaccine.&#10;"/>
      </w:tblPr>
      <w:tblGrid>
        <w:gridCol w:w="4536"/>
        <w:gridCol w:w="1701"/>
        <w:gridCol w:w="1701"/>
        <w:gridCol w:w="2528"/>
      </w:tblGrid>
      <w:tr w:rsidR="00445B06" w14:paraId="7A2F39CA" w14:textId="77777777" w:rsidTr="00445B06">
        <w:trPr>
          <w:cnfStyle w:val="100000000000" w:firstRow="1" w:lastRow="0" w:firstColumn="0" w:lastColumn="0" w:oddVBand="0" w:evenVBand="0" w:oddHBand="0" w:evenHBand="0" w:firstRowFirstColumn="0" w:firstRowLastColumn="0" w:lastRowFirstColumn="0" w:lastRowLastColumn="0"/>
          <w:tblHeader/>
        </w:trPr>
        <w:tc>
          <w:tcPr>
            <w:tcW w:w="4536" w:type="dxa"/>
            <w:vMerge w:val="restart"/>
            <w:tcBorders>
              <w:top w:val="nil"/>
              <w:left w:val="nil"/>
              <w:bottom w:val="nil"/>
            </w:tcBorders>
            <w:hideMark/>
          </w:tcPr>
          <w:p w14:paraId="5421C930" w14:textId="77777777" w:rsidR="00445B06" w:rsidRDefault="00445B06">
            <w:pPr>
              <w:pStyle w:val="NormalWeb"/>
              <w:jc w:val="left"/>
              <w:rPr>
                <w:sz w:val="18"/>
                <w:szCs w:val="18"/>
              </w:rPr>
            </w:pPr>
            <w:r>
              <w:rPr>
                <w:sz w:val="18"/>
                <w:szCs w:val="18"/>
              </w:rPr>
              <w:t>Vaccine/antigen</w:t>
            </w:r>
          </w:p>
        </w:tc>
        <w:tc>
          <w:tcPr>
            <w:tcW w:w="3402" w:type="dxa"/>
            <w:gridSpan w:val="2"/>
            <w:tcBorders>
              <w:top w:val="nil"/>
            </w:tcBorders>
            <w:hideMark/>
          </w:tcPr>
          <w:p w14:paraId="2F3012E6" w14:textId="77777777" w:rsidR="00445B06" w:rsidRDefault="00445B06">
            <w:pPr>
              <w:pStyle w:val="NormalWeb"/>
              <w:rPr>
                <w:sz w:val="18"/>
                <w:szCs w:val="18"/>
              </w:rPr>
            </w:pPr>
            <w:r>
              <w:rPr>
                <w:sz w:val="18"/>
                <w:szCs w:val="18"/>
              </w:rPr>
              <w:t>Disparity in on-time vaccination (percentage points)</w:t>
            </w:r>
          </w:p>
        </w:tc>
        <w:tc>
          <w:tcPr>
            <w:tcW w:w="2528" w:type="dxa"/>
            <w:vMerge w:val="restart"/>
            <w:tcBorders>
              <w:top w:val="nil"/>
              <w:bottom w:val="nil"/>
              <w:right w:val="nil"/>
            </w:tcBorders>
            <w:hideMark/>
          </w:tcPr>
          <w:p w14:paraId="6251E0F0" w14:textId="77777777" w:rsidR="00445B06" w:rsidRDefault="00445B06">
            <w:pPr>
              <w:pStyle w:val="NormalWeb"/>
              <w:rPr>
                <w:sz w:val="18"/>
                <w:szCs w:val="18"/>
              </w:rPr>
            </w:pPr>
            <w:r>
              <w:rPr>
                <w:sz w:val="18"/>
                <w:szCs w:val="18"/>
              </w:rPr>
              <w:t>Change (increase) in disparity (from 2019 to 2020)</w:t>
            </w:r>
          </w:p>
        </w:tc>
      </w:tr>
      <w:tr w:rsidR="00445B06" w14:paraId="58902CF4" w14:textId="77777777" w:rsidTr="00445B06">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nil"/>
              <w:left w:val="nil"/>
              <w:bottom w:val="nil"/>
            </w:tcBorders>
            <w:hideMark/>
          </w:tcPr>
          <w:p w14:paraId="00C8FC16" w14:textId="77777777" w:rsidR="00445B06" w:rsidRDefault="00445B06">
            <w:pPr>
              <w:rPr>
                <w:sz w:val="18"/>
                <w:szCs w:val="18"/>
              </w:rPr>
            </w:pPr>
          </w:p>
        </w:tc>
        <w:tc>
          <w:tcPr>
            <w:tcW w:w="1701" w:type="dxa"/>
            <w:tcBorders>
              <w:bottom w:val="nil"/>
            </w:tcBorders>
            <w:hideMark/>
          </w:tcPr>
          <w:p w14:paraId="397B9BA7" w14:textId="77777777" w:rsidR="00445B06" w:rsidRDefault="00445B06">
            <w:pPr>
              <w:pStyle w:val="NormalWeb"/>
              <w:rPr>
                <w:sz w:val="18"/>
                <w:szCs w:val="18"/>
              </w:rPr>
            </w:pPr>
            <w:r>
              <w:rPr>
                <w:sz w:val="18"/>
                <w:szCs w:val="18"/>
              </w:rPr>
              <w:t>2019</w:t>
            </w:r>
          </w:p>
        </w:tc>
        <w:tc>
          <w:tcPr>
            <w:tcW w:w="1701" w:type="dxa"/>
            <w:tcBorders>
              <w:bottom w:val="nil"/>
            </w:tcBorders>
            <w:hideMark/>
          </w:tcPr>
          <w:p w14:paraId="560F3055" w14:textId="77777777" w:rsidR="00445B06" w:rsidRDefault="00445B06">
            <w:pPr>
              <w:pStyle w:val="NormalWeb"/>
              <w:rPr>
                <w:sz w:val="18"/>
                <w:szCs w:val="18"/>
              </w:rPr>
            </w:pPr>
            <w:r>
              <w:rPr>
                <w:sz w:val="18"/>
                <w:szCs w:val="18"/>
              </w:rPr>
              <w:t>2020</w:t>
            </w:r>
          </w:p>
        </w:tc>
        <w:tc>
          <w:tcPr>
            <w:tcW w:w="0" w:type="auto"/>
            <w:vMerge/>
            <w:tcBorders>
              <w:top w:val="nil"/>
              <w:bottom w:val="nil"/>
              <w:right w:val="nil"/>
            </w:tcBorders>
            <w:hideMark/>
          </w:tcPr>
          <w:p w14:paraId="1FBE09F1" w14:textId="77777777" w:rsidR="00445B06" w:rsidRDefault="00445B06">
            <w:pPr>
              <w:rPr>
                <w:sz w:val="18"/>
                <w:szCs w:val="18"/>
              </w:rPr>
            </w:pPr>
          </w:p>
        </w:tc>
      </w:tr>
      <w:tr w:rsidR="00445B06" w14:paraId="74EB76DA" w14:textId="77777777" w:rsidTr="00445B06">
        <w:tc>
          <w:tcPr>
            <w:tcW w:w="4536" w:type="dxa"/>
            <w:hideMark/>
          </w:tcPr>
          <w:p w14:paraId="2E1974A4" w14:textId="77777777" w:rsidR="00445B06" w:rsidRDefault="00445B06">
            <w:pPr>
              <w:pStyle w:val="NormalWeb"/>
              <w:jc w:val="left"/>
              <w:rPr>
                <w:sz w:val="18"/>
                <w:szCs w:val="18"/>
              </w:rPr>
            </w:pPr>
            <w:r>
              <w:rPr>
                <w:sz w:val="18"/>
                <w:szCs w:val="18"/>
              </w:rPr>
              <w:t>Diphtheria, tetanus, acellular pertussis – dose 2</w:t>
            </w:r>
          </w:p>
        </w:tc>
        <w:tc>
          <w:tcPr>
            <w:tcW w:w="1701" w:type="dxa"/>
            <w:hideMark/>
          </w:tcPr>
          <w:p w14:paraId="219C95EA" w14:textId="77777777" w:rsidR="00445B06" w:rsidRDefault="00445B06">
            <w:pPr>
              <w:pStyle w:val="NormalWeb"/>
              <w:rPr>
                <w:sz w:val="18"/>
                <w:szCs w:val="18"/>
              </w:rPr>
            </w:pPr>
            <w:r>
              <w:rPr>
                <w:sz w:val="18"/>
                <w:szCs w:val="18"/>
              </w:rPr>
              <w:t>9.8</w:t>
            </w:r>
          </w:p>
        </w:tc>
        <w:tc>
          <w:tcPr>
            <w:tcW w:w="1701" w:type="dxa"/>
            <w:hideMark/>
          </w:tcPr>
          <w:p w14:paraId="0F2FFFC9" w14:textId="77777777" w:rsidR="00445B06" w:rsidRDefault="00445B06">
            <w:pPr>
              <w:pStyle w:val="NormalWeb"/>
              <w:rPr>
                <w:sz w:val="18"/>
                <w:szCs w:val="18"/>
              </w:rPr>
            </w:pPr>
            <w:r>
              <w:rPr>
                <w:sz w:val="18"/>
                <w:szCs w:val="18"/>
              </w:rPr>
              <w:t>10.0</w:t>
            </w:r>
          </w:p>
        </w:tc>
        <w:tc>
          <w:tcPr>
            <w:tcW w:w="2528" w:type="dxa"/>
            <w:hideMark/>
          </w:tcPr>
          <w:p w14:paraId="3F748A53" w14:textId="77777777" w:rsidR="00445B06" w:rsidRDefault="00445B06">
            <w:pPr>
              <w:pStyle w:val="NormalWeb"/>
              <w:rPr>
                <w:sz w:val="18"/>
                <w:szCs w:val="18"/>
              </w:rPr>
            </w:pPr>
            <w:r>
              <w:rPr>
                <w:sz w:val="18"/>
                <w:szCs w:val="18"/>
              </w:rPr>
              <w:t>0.2</w:t>
            </w:r>
          </w:p>
        </w:tc>
      </w:tr>
      <w:tr w:rsidR="00445B06" w14:paraId="687F6C87" w14:textId="77777777" w:rsidTr="00445B06">
        <w:trPr>
          <w:cnfStyle w:val="000000010000" w:firstRow="0" w:lastRow="0" w:firstColumn="0" w:lastColumn="0" w:oddVBand="0" w:evenVBand="0" w:oddHBand="0" w:evenHBand="1" w:firstRowFirstColumn="0" w:firstRowLastColumn="0" w:lastRowFirstColumn="0" w:lastRowLastColumn="0"/>
        </w:trPr>
        <w:tc>
          <w:tcPr>
            <w:tcW w:w="4536" w:type="dxa"/>
            <w:hideMark/>
          </w:tcPr>
          <w:p w14:paraId="083B8E32" w14:textId="77777777" w:rsidR="00445B06" w:rsidRDefault="00445B06">
            <w:pPr>
              <w:pStyle w:val="NormalWeb"/>
              <w:jc w:val="left"/>
              <w:rPr>
                <w:sz w:val="18"/>
                <w:szCs w:val="18"/>
              </w:rPr>
            </w:pPr>
            <w:r>
              <w:rPr>
                <w:sz w:val="18"/>
                <w:szCs w:val="18"/>
              </w:rPr>
              <w:t>13-valent pneumococcal conjugate – dose 2</w:t>
            </w:r>
          </w:p>
        </w:tc>
        <w:tc>
          <w:tcPr>
            <w:tcW w:w="1701" w:type="dxa"/>
            <w:hideMark/>
          </w:tcPr>
          <w:p w14:paraId="6FCAD786" w14:textId="77777777" w:rsidR="00445B06" w:rsidRDefault="00445B06">
            <w:pPr>
              <w:pStyle w:val="NormalWeb"/>
              <w:rPr>
                <w:sz w:val="18"/>
                <w:szCs w:val="18"/>
              </w:rPr>
            </w:pPr>
            <w:r>
              <w:rPr>
                <w:sz w:val="18"/>
                <w:szCs w:val="18"/>
              </w:rPr>
              <w:t>9.6</w:t>
            </w:r>
          </w:p>
        </w:tc>
        <w:tc>
          <w:tcPr>
            <w:tcW w:w="1701" w:type="dxa"/>
            <w:hideMark/>
          </w:tcPr>
          <w:p w14:paraId="53BB14D5" w14:textId="77777777" w:rsidR="00445B06" w:rsidRDefault="00445B06">
            <w:pPr>
              <w:pStyle w:val="NormalWeb"/>
              <w:rPr>
                <w:sz w:val="18"/>
                <w:szCs w:val="18"/>
              </w:rPr>
            </w:pPr>
            <w:r>
              <w:rPr>
                <w:sz w:val="18"/>
                <w:szCs w:val="18"/>
              </w:rPr>
              <w:t>9.7</w:t>
            </w:r>
          </w:p>
        </w:tc>
        <w:tc>
          <w:tcPr>
            <w:tcW w:w="2528" w:type="dxa"/>
            <w:hideMark/>
          </w:tcPr>
          <w:p w14:paraId="4B1B119C" w14:textId="77777777" w:rsidR="00445B06" w:rsidRDefault="00445B06">
            <w:pPr>
              <w:pStyle w:val="NormalWeb"/>
              <w:rPr>
                <w:sz w:val="18"/>
                <w:szCs w:val="18"/>
              </w:rPr>
            </w:pPr>
            <w:r>
              <w:rPr>
                <w:sz w:val="18"/>
                <w:szCs w:val="18"/>
              </w:rPr>
              <w:t>0.1</w:t>
            </w:r>
          </w:p>
        </w:tc>
      </w:tr>
      <w:tr w:rsidR="00445B06" w14:paraId="3C208004" w14:textId="77777777" w:rsidTr="00445B06">
        <w:tc>
          <w:tcPr>
            <w:tcW w:w="4536" w:type="dxa"/>
            <w:hideMark/>
          </w:tcPr>
          <w:p w14:paraId="7B737598" w14:textId="77777777" w:rsidR="00445B06" w:rsidRDefault="00445B06">
            <w:pPr>
              <w:pStyle w:val="NormalWeb"/>
              <w:jc w:val="left"/>
              <w:rPr>
                <w:sz w:val="18"/>
                <w:szCs w:val="18"/>
              </w:rPr>
            </w:pPr>
            <w:r>
              <w:rPr>
                <w:sz w:val="18"/>
                <w:szCs w:val="18"/>
              </w:rPr>
              <w:t>Rotavirus – dose 2</w:t>
            </w:r>
          </w:p>
        </w:tc>
        <w:tc>
          <w:tcPr>
            <w:tcW w:w="1701" w:type="dxa"/>
            <w:hideMark/>
          </w:tcPr>
          <w:p w14:paraId="17734068" w14:textId="77777777" w:rsidR="00445B06" w:rsidRDefault="00445B06">
            <w:pPr>
              <w:pStyle w:val="NormalWeb"/>
              <w:rPr>
                <w:sz w:val="18"/>
                <w:szCs w:val="18"/>
              </w:rPr>
            </w:pPr>
            <w:r>
              <w:rPr>
                <w:sz w:val="18"/>
                <w:szCs w:val="18"/>
              </w:rPr>
              <w:t>4.0</w:t>
            </w:r>
          </w:p>
        </w:tc>
        <w:tc>
          <w:tcPr>
            <w:tcW w:w="1701" w:type="dxa"/>
            <w:hideMark/>
          </w:tcPr>
          <w:p w14:paraId="3B7A96BF" w14:textId="77777777" w:rsidR="00445B06" w:rsidRDefault="00445B06">
            <w:pPr>
              <w:pStyle w:val="NormalWeb"/>
              <w:rPr>
                <w:sz w:val="18"/>
                <w:szCs w:val="18"/>
              </w:rPr>
            </w:pPr>
            <w:r>
              <w:rPr>
                <w:sz w:val="18"/>
                <w:szCs w:val="18"/>
              </w:rPr>
              <w:t>4.3</w:t>
            </w:r>
          </w:p>
        </w:tc>
        <w:tc>
          <w:tcPr>
            <w:tcW w:w="2528" w:type="dxa"/>
            <w:hideMark/>
          </w:tcPr>
          <w:p w14:paraId="68F5E35E" w14:textId="77777777" w:rsidR="00445B06" w:rsidRDefault="00445B06">
            <w:pPr>
              <w:pStyle w:val="NormalWeb"/>
              <w:rPr>
                <w:sz w:val="18"/>
                <w:szCs w:val="18"/>
              </w:rPr>
            </w:pPr>
            <w:r>
              <w:rPr>
                <w:sz w:val="18"/>
                <w:szCs w:val="18"/>
              </w:rPr>
              <w:t>0.3</w:t>
            </w:r>
          </w:p>
        </w:tc>
      </w:tr>
      <w:tr w:rsidR="00445B06" w14:paraId="055E63FB" w14:textId="77777777" w:rsidTr="00445B06">
        <w:trPr>
          <w:cnfStyle w:val="000000010000" w:firstRow="0" w:lastRow="0" w:firstColumn="0" w:lastColumn="0" w:oddVBand="0" w:evenVBand="0" w:oddHBand="0" w:evenHBand="1" w:firstRowFirstColumn="0" w:firstRowLastColumn="0" w:lastRowFirstColumn="0" w:lastRowLastColumn="0"/>
        </w:trPr>
        <w:tc>
          <w:tcPr>
            <w:tcW w:w="4536" w:type="dxa"/>
            <w:hideMark/>
          </w:tcPr>
          <w:p w14:paraId="45DBDE63" w14:textId="77777777" w:rsidR="00445B06" w:rsidRDefault="00445B06">
            <w:pPr>
              <w:pStyle w:val="NormalWeb"/>
              <w:jc w:val="left"/>
              <w:rPr>
                <w:sz w:val="18"/>
                <w:szCs w:val="18"/>
              </w:rPr>
            </w:pPr>
            <w:r>
              <w:rPr>
                <w:sz w:val="18"/>
                <w:szCs w:val="18"/>
              </w:rPr>
              <w:t>Measles-mumps-rubella – dose 1</w:t>
            </w:r>
          </w:p>
        </w:tc>
        <w:tc>
          <w:tcPr>
            <w:tcW w:w="1701" w:type="dxa"/>
            <w:hideMark/>
          </w:tcPr>
          <w:p w14:paraId="1EEF5A01" w14:textId="77777777" w:rsidR="00445B06" w:rsidRDefault="00445B06">
            <w:pPr>
              <w:pStyle w:val="NormalWeb"/>
              <w:rPr>
                <w:sz w:val="18"/>
                <w:szCs w:val="18"/>
              </w:rPr>
            </w:pPr>
            <w:r>
              <w:rPr>
                <w:sz w:val="18"/>
                <w:szCs w:val="18"/>
              </w:rPr>
              <w:t>11.5</w:t>
            </w:r>
          </w:p>
        </w:tc>
        <w:tc>
          <w:tcPr>
            <w:tcW w:w="1701" w:type="dxa"/>
            <w:hideMark/>
          </w:tcPr>
          <w:p w14:paraId="5F5C8A44" w14:textId="77777777" w:rsidR="00445B06" w:rsidRDefault="00445B06">
            <w:pPr>
              <w:pStyle w:val="NormalWeb"/>
              <w:rPr>
                <w:sz w:val="18"/>
                <w:szCs w:val="18"/>
              </w:rPr>
            </w:pPr>
            <w:r>
              <w:rPr>
                <w:sz w:val="18"/>
                <w:szCs w:val="18"/>
              </w:rPr>
              <w:t>11.8</w:t>
            </w:r>
          </w:p>
        </w:tc>
        <w:tc>
          <w:tcPr>
            <w:tcW w:w="2528" w:type="dxa"/>
            <w:hideMark/>
          </w:tcPr>
          <w:p w14:paraId="7C312B7D" w14:textId="77777777" w:rsidR="00445B06" w:rsidRDefault="00445B06">
            <w:pPr>
              <w:pStyle w:val="NormalWeb"/>
              <w:rPr>
                <w:sz w:val="18"/>
                <w:szCs w:val="18"/>
              </w:rPr>
            </w:pPr>
            <w:r>
              <w:rPr>
                <w:sz w:val="18"/>
                <w:szCs w:val="18"/>
              </w:rPr>
              <w:t>0.3</w:t>
            </w:r>
          </w:p>
        </w:tc>
      </w:tr>
    </w:tbl>
    <w:p w14:paraId="112E5A8B" w14:textId="77777777" w:rsidR="00445B06" w:rsidRDefault="00445B06" w:rsidP="00445B06">
      <w:pPr>
        <w:pStyle w:val="CDIfootnotes"/>
        <w:rPr>
          <w:lang w:val="en-GB"/>
        </w:rPr>
      </w:pPr>
      <w:r>
        <w:rPr>
          <w:lang w:val="en-GB"/>
        </w:rPr>
        <w:t>a</w:t>
      </w:r>
      <w:r>
        <w:rPr>
          <w:lang w:val="en-GB"/>
        </w:rPr>
        <w:tab/>
        <w:t xml:space="preserve">Source: Australian Immunisation Register, data as </w:t>
      </w:r>
      <w:proofErr w:type="gramStart"/>
      <w:r>
        <w:rPr>
          <w:lang w:val="en-GB"/>
        </w:rPr>
        <w:t>at</w:t>
      </w:r>
      <w:proofErr w:type="gramEnd"/>
      <w:r>
        <w:rPr>
          <w:lang w:val="en-GB"/>
        </w:rPr>
        <w:t xml:space="preserve"> 31 March 2021.</w:t>
      </w:r>
    </w:p>
    <w:p w14:paraId="533CA968" w14:textId="76D8E51D" w:rsidR="005B02CB" w:rsidRDefault="002B4EF6" w:rsidP="00FD4A14">
      <w:r>
        <w:t>Tables 3 and 4 present ‘fully vaccinated’ coverage estimates assessed 3 months after the last vaccine dose due, that is, earlier than the standard assessment milestones, to capture aspects of timeliness, along with the standard 12-month, 24-month and 60-month age milestones. For all four of the earlier assessment milestones (9-month, 15-month, 21-</w:t>
      </w:r>
      <w:proofErr w:type="gramStart"/>
      <w:r>
        <w:t>month</w:t>
      </w:r>
      <w:proofErr w:type="gramEnd"/>
      <w:r>
        <w:t xml:space="preserve"> and 51-month), ‘fully vaccinated’ coverage in 2020 was lower in Indigenous children residing in remote areas than in those residing in major cities and regional areas, with the greatest coverage differential at 21 months of age (Table 3). In contrast, while ‘fully vaccinated’ coverage for non-Indigenous children was 1.1–1.3 percentage points lower in remote areas at 21 months of age and 1.5 percentage points lower at 51 months of age than for children in major cities and regional areas, it was similar at 15 months of age. ‘Fully vaccinated’ coverage in 2020 was substantially higher at the standard milestones than the earlier milestones, most marked for vaccines due at 48 months when assessed at 60 months versus 51 months, for both Indigenous and non-Indigenous children, and across all remoteness categories (Table 3).</w:t>
      </w:r>
    </w:p>
    <w:p w14:paraId="5A815C75" w14:textId="77777777" w:rsidR="002B4EF6" w:rsidRDefault="002B4EF6" w:rsidP="00FD4A14">
      <w:r>
        <w:t xml:space="preserve">When stratified by socioeconomic status of area of residence, children residing in areas included in the most advantaged (fifth) quintile in 2020 had 2.4 percentage points or higher ‘fully vaccinated’ coverage than children in the least advantaged (first) quintile at the youngest three earlier assessment milestones (9, 15 and 21 months), but only 1.9 percentage points higher at the 51-month milestone (Table 4). The disparity between vaccination coverage in the most and least advantaged quintiles at the standard milestones ranged from 1.9 percentage points at 24 months of age to 0.9 percentage points at 60 months of age. </w:t>
      </w:r>
    </w:p>
    <w:p w14:paraId="2FC4CF65" w14:textId="77777777" w:rsidR="002B4EF6" w:rsidRDefault="002B4EF6" w:rsidP="00FD4A14">
      <w:r>
        <w:t xml:space="preserve">‘Fully vaccinated’ coverage estimates assessed at the earlier and standard age milestones in 2020, by PHN, are shown in Table A.3 in the Appendix. </w:t>
      </w:r>
    </w:p>
    <w:p w14:paraId="4C50D288" w14:textId="77777777" w:rsidR="005B02CB" w:rsidRDefault="005B02CB">
      <w:pPr>
        <w:rPr>
          <w:rFonts w:asciiTheme="majorHAnsi" w:eastAsiaTheme="majorEastAsia" w:hAnsiTheme="majorHAnsi" w:cstheme="majorBidi"/>
          <w:b/>
          <w:bCs/>
          <w:sz w:val="26"/>
          <w:szCs w:val="26"/>
        </w:rPr>
      </w:pPr>
      <w:r>
        <w:br w:type="page"/>
      </w:r>
    </w:p>
    <w:p w14:paraId="6745BFA5" w14:textId="77777777" w:rsidR="005B02CB" w:rsidRPr="009A491D" w:rsidRDefault="005B02CB" w:rsidP="005B02CB">
      <w:pPr>
        <w:pStyle w:val="CDIFigures"/>
        <w:rPr>
          <w:b w:val="0"/>
          <w:bCs/>
        </w:rPr>
      </w:pPr>
      <w:r w:rsidRPr="009A491D">
        <w:rPr>
          <w:rStyle w:val="Strong"/>
          <w:b/>
          <w:bCs w:val="0"/>
        </w:rPr>
        <w:lastRenderedPageBreak/>
        <w:t xml:space="preserve">Table 3: ‘Fully vaccinated’ coverage estimates assessed at earlier (9, 15, 21, 51) and standard (12, 24, 60 months of age: shaded) </w:t>
      </w:r>
      <w:proofErr w:type="spellStart"/>
      <w:proofErr w:type="gramStart"/>
      <w:r w:rsidRPr="009A491D">
        <w:rPr>
          <w:rStyle w:val="Strong"/>
          <w:b/>
          <w:bCs w:val="0"/>
        </w:rPr>
        <w:t>milestones,</w:t>
      </w:r>
      <w:r w:rsidRPr="009A491D">
        <w:rPr>
          <w:rStyle w:val="Strong"/>
          <w:b/>
          <w:bCs w:val="0"/>
          <w:vertAlign w:val="superscript"/>
        </w:rPr>
        <w:t>a</w:t>
      </w:r>
      <w:proofErr w:type="spellEnd"/>
      <w:proofErr w:type="gramEnd"/>
      <w:r w:rsidRPr="009A491D">
        <w:rPr>
          <w:rStyle w:val="Strong"/>
          <w:b/>
          <w:bCs w:val="0"/>
        </w:rPr>
        <w:t xml:space="preserve"> by Indigenous status and remoteness of area of </w:t>
      </w:r>
      <w:proofErr w:type="spellStart"/>
      <w:r w:rsidRPr="009A491D">
        <w:rPr>
          <w:rStyle w:val="Strong"/>
          <w:b/>
          <w:bCs w:val="0"/>
        </w:rPr>
        <w:t>residence,</w:t>
      </w:r>
      <w:r w:rsidRPr="009A491D">
        <w:rPr>
          <w:rStyle w:val="Strong"/>
          <w:b/>
          <w:bCs w:val="0"/>
          <w:vertAlign w:val="superscript"/>
        </w:rPr>
        <w:t>b</w:t>
      </w:r>
      <w:proofErr w:type="spellEnd"/>
      <w:r w:rsidRPr="009A491D">
        <w:rPr>
          <w:rStyle w:val="Strong"/>
          <w:b/>
          <w:bCs w:val="0"/>
        </w:rPr>
        <w:t xml:space="preserve"> Australia, 2020</w:t>
      </w:r>
      <w:r w:rsidRPr="009A491D">
        <w:rPr>
          <w:rStyle w:val="Strong"/>
          <w:b/>
          <w:bCs w:val="0"/>
          <w:vertAlign w:val="superscript"/>
        </w:rPr>
        <w:t>c</w:t>
      </w:r>
    </w:p>
    <w:tbl>
      <w:tblPr>
        <w:tblStyle w:val="CDI-StandardTable"/>
        <w:tblW w:w="0" w:type="auto"/>
        <w:tblLook w:val="04A0" w:firstRow="1" w:lastRow="0" w:firstColumn="1" w:lastColumn="0" w:noHBand="0" w:noVBand="1"/>
        <w:tblDescription w:val="Table 3 presents ‘fully vaccinated’ coverage estimates assessed three months after last vaccine dose due, i.e. earlier than the standard assessment milestones in order to capture aspects of timeliness, along with the standard 12-month, 24-month, and 60-month milestones, by remoteness in 2020. For all four of the earlier assessment milestones, ‘fully vaccinated’ coverage in 2020 was lower in Indigenous children residing in “Remote” and “Very Remote” areas compared to those residing in “Major Cities” and “Inner and Outer Regional” areas, with the greatest coverage differential at 21 months. Coverage at the standard milestones was higher and the disparity lower between Indigenous children in ‘Remote’ and ‘Very Remote’ compared with ‘Major Cities’ and ‘Inner and Outer Regional’ areas.&#10;"/>
      </w:tblPr>
      <w:tblGrid>
        <w:gridCol w:w="1160"/>
        <w:gridCol w:w="2384"/>
        <w:gridCol w:w="985"/>
        <w:gridCol w:w="985"/>
        <w:gridCol w:w="985"/>
        <w:gridCol w:w="985"/>
        <w:gridCol w:w="985"/>
        <w:gridCol w:w="985"/>
        <w:gridCol w:w="986"/>
      </w:tblGrid>
      <w:tr w:rsidR="005B02CB" w14:paraId="621131BD" w14:textId="77777777" w:rsidTr="005B02CB">
        <w:trPr>
          <w:cnfStyle w:val="100000000000" w:firstRow="1" w:lastRow="0" w:firstColumn="0" w:lastColumn="0" w:oddVBand="0" w:evenVBand="0" w:oddHBand="0" w:evenHBand="0" w:firstRowFirstColumn="0" w:firstRowLastColumn="0" w:lastRowFirstColumn="0" w:lastRowLastColumn="0"/>
        </w:trPr>
        <w:tc>
          <w:tcPr>
            <w:tcW w:w="1160" w:type="dxa"/>
            <w:tcBorders>
              <w:top w:val="nil"/>
              <w:left w:val="nil"/>
              <w:bottom w:val="nil"/>
            </w:tcBorders>
            <w:hideMark/>
          </w:tcPr>
          <w:p w14:paraId="79D601B7" w14:textId="77777777" w:rsidR="005B02CB" w:rsidRDefault="005B02CB">
            <w:pPr>
              <w:pStyle w:val="NormalWeb"/>
              <w:rPr>
                <w:sz w:val="18"/>
                <w:szCs w:val="18"/>
              </w:rPr>
            </w:pPr>
            <w:r>
              <w:rPr>
                <w:sz w:val="18"/>
                <w:szCs w:val="18"/>
              </w:rPr>
              <w:t>Indigenous status</w:t>
            </w:r>
          </w:p>
        </w:tc>
        <w:tc>
          <w:tcPr>
            <w:tcW w:w="2384" w:type="dxa"/>
            <w:tcBorders>
              <w:top w:val="nil"/>
              <w:bottom w:val="nil"/>
            </w:tcBorders>
            <w:hideMark/>
          </w:tcPr>
          <w:p w14:paraId="220CD573" w14:textId="77777777" w:rsidR="005B02CB" w:rsidRDefault="005B02CB">
            <w:pPr>
              <w:pStyle w:val="NormalWeb"/>
              <w:rPr>
                <w:sz w:val="18"/>
                <w:szCs w:val="18"/>
              </w:rPr>
            </w:pPr>
            <w:r>
              <w:rPr>
                <w:sz w:val="18"/>
                <w:szCs w:val="18"/>
              </w:rPr>
              <w:t xml:space="preserve">Remoteness </w:t>
            </w:r>
            <w:proofErr w:type="spellStart"/>
            <w:r>
              <w:rPr>
                <w:sz w:val="18"/>
                <w:szCs w:val="18"/>
              </w:rPr>
              <w:t>category</w:t>
            </w:r>
            <w:r>
              <w:rPr>
                <w:sz w:val="18"/>
                <w:szCs w:val="18"/>
                <w:vertAlign w:val="superscript"/>
              </w:rPr>
              <w:t>b</w:t>
            </w:r>
            <w:proofErr w:type="spellEnd"/>
          </w:p>
        </w:tc>
        <w:tc>
          <w:tcPr>
            <w:tcW w:w="985" w:type="dxa"/>
            <w:tcBorders>
              <w:top w:val="nil"/>
              <w:bottom w:val="nil"/>
            </w:tcBorders>
            <w:hideMark/>
          </w:tcPr>
          <w:p w14:paraId="61655BF1" w14:textId="77777777" w:rsidR="005B02CB" w:rsidRDefault="005B02CB">
            <w:pPr>
              <w:pStyle w:val="NormalWeb"/>
              <w:rPr>
                <w:sz w:val="18"/>
                <w:szCs w:val="18"/>
              </w:rPr>
            </w:pPr>
            <w:r>
              <w:rPr>
                <w:sz w:val="18"/>
                <w:szCs w:val="18"/>
              </w:rPr>
              <w:t xml:space="preserve">9 </w:t>
            </w:r>
            <w:proofErr w:type="spellStart"/>
            <w:proofErr w:type="gramStart"/>
            <w:r>
              <w:rPr>
                <w:sz w:val="18"/>
                <w:szCs w:val="18"/>
              </w:rPr>
              <w:t>mo</w:t>
            </w:r>
            <w:r>
              <w:rPr>
                <w:sz w:val="18"/>
                <w:szCs w:val="18"/>
                <w:vertAlign w:val="superscript"/>
              </w:rPr>
              <w:t>d,e</w:t>
            </w:r>
            <w:proofErr w:type="spellEnd"/>
            <w:proofErr w:type="gramEnd"/>
            <w:r>
              <w:rPr>
                <w:sz w:val="18"/>
                <w:szCs w:val="18"/>
              </w:rPr>
              <w:br/>
              <w:t>(%)</w:t>
            </w:r>
          </w:p>
        </w:tc>
        <w:tc>
          <w:tcPr>
            <w:tcW w:w="985" w:type="dxa"/>
            <w:tcBorders>
              <w:top w:val="nil"/>
              <w:bottom w:val="nil"/>
            </w:tcBorders>
            <w:hideMark/>
          </w:tcPr>
          <w:p w14:paraId="08850B1D" w14:textId="77777777" w:rsidR="005B02CB" w:rsidRDefault="005B02CB">
            <w:pPr>
              <w:pStyle w:val="NormalWeb"/>
              <w:rPr>
                <w:sz w:val="18"/>
                <w:szCs w:val="18"/>
              </w:rPr>
            </w:pPr>
            <w:r>
              <w:rPr>
                <w:sz w:val="18"/>
                <w:szCs w:val="18"/>
              </w:rPr>
              <w:t xml:space="preserve">12 </w:t>
            </w:r>
            <w:proofErr w:type="spellStart"/>
            <w:proofErr w:type="gramStart"/>
            <w:r>
              <w:rPr>
                <w:sz w:val="18"/>
                <w:szCs w:val="18"/>
              </w:rPr>
              <w:t>mo</w:t>
            </w:r>
            <w:r>
              <w:rPr>
                <w:sz w:val="18"/>
                <w:szCs w:val="18"/>
                <w:vertAlign w:val="superscript"/>
              </w:rPr>
              <w:t>d,e</w:t>
            </w:r>
            <w:proofErr w:type="spellEnd"/>
            <w:proofErr w:type="gramEnd"/>
            <w:r>
              <w:rPr>
                <w:sz w:val="18"/>
                <w:szCs w:val="18"/>
              </w:rPr>
              <w:br/>
              <w:t>(%)</w:t>
            </w:r>
          </w:p>
        </w:tc>
        <w:tc>
          <w:tcPr>
            <w:tcW w:w="985" w:type="dxa"/>
            <w:tcBorders>
              <w:top w:val="nil"/>
              <w:bottom w:val="nil"/>
            </w:tcBorders>
            <w:hideMark/>
          </w:tcPr>
          <w:p w14:paraId="730813DA" w14:textId="77777777" w:rsidR="005B02CB" w:rsidRDefault="005B02CB">
            <w:pPr>
              <w:pStyle w:val="NormalWeb"/>
              <w:rPr>
                <w:sz w:val="18"/>
                <w:szCs w:val="18"/>
              </w:rPr>
            </w:pPr>
            <w:r>
              <w:rPr>
                <w:sz w:val="18"/>
                <w:szCs w:val="18"/>
              </w:rPr>
              <w:t xml:space="preserve">15 </w:t>
            </w:r>
            <w:proofErr w:type="spellStart"/>
            <w:proofErr w:type="gramStart"/>
            <w:r>
              <w:rPr>
                <w:sz w:val="18"/>
                <w:szCs w:val="18"/>
              </w:rPr>
              <w:t>mo</w:t>
            </w:r>
            <w:r>
              <w:rPr>
                <w:sz w:val="18"/>
                <w:szCs w:val="18"/>
                <w:vertAlign w:val="superscript"/>
              </w:rPr>
              <w:t>d,f</w:t>
            </w:r>
            <w:proofErr w:type="spellEnd"/>
            <w:proofErr w:type="gramEnd"/>
            <w:r>
              <w:rPr>
                <w:sz w:val="18"/>
                <w:szCs w:val="18"/>
              </w:rPr>
              <w:br/>
              <w:t>(%)</w:t>
            </w:r>
          </w:p>
        </w:tc>
        <w:tc>
          <w:tcPr>
            <w:tcW w:w="985" w:type="dxa"/>
            <w:tcBorders>
              <w:top w:val="nil"/>
              <w:bottom w:val="nil"/>
            </w:tcBorders>
            <w:hideMark/>
          </w:tcPr>
          <w:p w14:paraId="17EE7481" w14:textId="77777777" w:rsidR="005B02CB" w:rsidRDefault="005B02CB">
            <w:pPr>
              <w:pStyle w:val="NormalWeb"/>
              <w:rPr>
                <w:sz w:val="18"/>
                <w:szCs w:val="18"/>
              </w:rPr>
            </w:pPr>
            <w:r>
              <w:rPr>
                <w:sz w:val="18"/>
                <w:szCs w:val="18"/>
              </w:rPr>
              <w:t xml:space="preserve">21 </w:t>
            </w:r>
            <w:proofErr w:type="spellStart"/>
            <w:proofErr w:type="gramStart"/>
            <w:r>
              <w:rPr>
                <w:sz w:val="18"/>
                <w:szCs w:val="18"/>
              </w:rPr>
              <w:t>mo</w:t>
            </w:r>
            <w:r>
              <w:rPr>
                <w:sz w:val="18"/>
                <w:szCs w:val="18"/>
                <w:vertAlign w:val="superscript"/>
              </w:rPr>
              <w:t>d,f</w:t>
            </w:r>
            <w:proofErr w:type="spellEnd"/>
            <w:proofErr w:type="gramEnd"/>
            <w:r>
              <w:rPr>
                <w:sz w:val="18"/>
                <w:szCs w:val="18"/>
              </w:rPr>
              <w:br/>
              <w:t>(%)</w:t>
            </w:r>
          </w:p>
        </w:tc>
        <w:tc>
          <w:tcPr>
            <w:tcW w:w="985" w:type="dxa"/>
            <w:tcBorders>
              <w:top w:val="nil"/>
              <w:bottom w:val="nil"/>
            </w:tcBorders>
            <w:hideMark/>
          </w:tcPr>
          <w:p w14:paraId="31F83854" w14:textId="77777777" w:rsidR="005B02CB" w:rsidRDefault="005B02CB">
            <w:pPr>
              <w:pStyle w:val="NormalWeb"/>
              <w:rPr>
                <w:sz w:val="18"/>
                <w:szCs w:val="18"/>
              </w:rPr>
            </w:pPr>
            <w:r>
              <w:rPr>
                <w:sz w:val="18"/>
                <w:szCs w:val="18"/>
              </w:rPr>
              <w:t xml:space="preserve">24 </w:t>
            </w:r>
            <w:proofErr w:type="spellStart"/>
            <w:proofErr w:type="gramStart"/>
            <w:r>
              <w:rPr>
                <w:sz w:val="18"/>
                <w:szCs w:val="18"/>
              </w:rPr>
              <w:t>mo</w:t>
            </w:r>
            <w:r>
              <w:rPr>
                <w:sz w:val="18"/>
                <w:szCs w:val="18"/>
                <w:vertAlign w:val="superscript"/>
              </w:rPr>
              <w:t>d,f</w:t>
            </w:r>
            <w:proofErr w:type="spellEnd"/>
            <w:proofErr w:type="gramEnd"/>
            <w:r>
              <w:rPr>
                <w:sz w:val="18"/>
                <w:szCs w:val="18"/>
              </w:rPr>
              <w:br/>
              <w:t>(%)</w:t>
            </w:r>
          </w:p>
        </w:tc>
        <w:tc>
          <w:tcPr>
            <w:tcW w:w="985" w:type="dxa"/>
            <w:tcBorders>
              <w:top w:val="nil"/>
              <w:bottom w:val="nil"/>
            </w:tcBorders>
            <w:hideMark/>
          </w:tcPr>
          <w:p w14:paraId="1A95C296" w14:textId="77777777" w:rsidR="005B02CB" w:rsidRDefault="005B02CB">
            <w:pPr>
              <w:pStyle w:val="NormalWeb"/>
              <w:rPr>
                <w:sz w:val="18"/>
                <w:szCs w:val="18"/>
              </w:rPr>
            </w:pPr>
            <w:r>
              <w:rPr>
                <w:sz w:val="18"/>
                <w:szCs w:val="18"/>
              </w:rPr>
              <w:t xml:space="preserve">51 </w:t>
            </w:r>
            <w:proofErr w:type="spellStart"/>
            <w:proofErr w:type="gramStart"/>
            <w:r>
              <w:rPr>
                <w:sz w:val="18"/>
                <w:szCs w:val="18"/>
              </w:rPr>
              <w:t>mo</w:t>
            </w:r>
            <w:r>
              <w:rPr>
                <w:sz w:val="18"/>
                <w:szCs w:val="18"/>
                <w:vertAlign w:val="superscript"/>
              </w:rPr>
              <w:t>d,g</w:t>
            </w:r>
            <w:proofErr w:type="spellEnd"/>
            <w:proofErr w:type="gramEnd"/>
            <w:r>
              <w:rPr>
                <w:sz w:val="18"/>
                <w:szCs w:val="18"/>
                <w:vertAlign w:val="superscript"/>
              </w:rPr>
              <w:br/>
            </w:r>
            <w:r>
              <w:rPr>
                <w:sz w:val="18"/>
                <w:szCs w:val="18"/>
              </w:rPr>
              <w:t>(%)</w:t>
            </w:r>
          </w:p>
        </w:tc>
        <w:tc>
          <w:tcPr>
            <w:tcW w:w="986" w:type="dxa"/>
            <w:tcBorders>
              <w:top w:val="nil"/>
              <w:bottom w:val="nil"/>
              <w:right w:val="nil"/>
            </w:tcBorders>
            <w:hideMark/>
          </w:tcPr>
          <w:p w14:paraId="7E56C6AF" w14:textId="77777777" w:rsidR="005B02CB" w:rsidRDefault="005B02CB">
            <w:pPr>
              <w:pStyle w:val="NormalWeb"/>
              <w:rPr>
                <w:sz w:val="18"/>
                <w:szCs w:val="18"/>
              </w:rPr>
            </w:pPr>
            <w:r>
              <w:rPr>
                <w:sz w:val="18"/>
                <w:szCs w:val="18"/>
              </w:rPr>
              <w:t xml:space="preserve">60 </w:t>
            </w:r>
            <w:proofErr w:type="spellStart"/>
            <w:proofErr w:type="gramStart"/>
            <w:r>
              <w:rPr>
                <w:sz w:val="18"/>
                <w:szCs w:val="18"/>
              </w:rPr>
              <w:t>mo</w:t>
            </w:r>
            <w:r>
              <w:rPr>
                <w:sz w:val="18"/>
                <w:szCs w:val="18"/>
                <w:vertAlign w:val="superscript"/>
              </w:rPr>
              <w:t>d,</w:t>
            </w:r>
            <w:r w:rsidRPr="00D553FC">
              <w:rPr>
                <w:sz w:val="18"/>
                <w:szCs w:val="18"/>
                <w:vertAlign w:val="superscript"/>
              </w:rPr>
              <w:t>g</w:t>
            </w:r>
            <w:proofErr w:type="spellEnd"/>
            <w:proofErr w:type="gramEnd"/>
            <w:r>
              <w:rPr>
                <w:sz w:val="18"/>
                <w:szCs w:val="18"/>
              </w:rPr>
              <w:br/>
              <w:t>(%)</w:t>
            </w:r>
          </w:p>
        </w:tc>
      </w:tr>
      <w:tr w:rsidR="005B02CB" w14:paraId="21E21E6C" w14:textId="77777777" w:rsidTr="005B02CB">
        <w:tc>
          <w:tcPr>
            <w:tcW w:w="1160" w:type="dxa"/>
            <w:vMerge w:val="restart"/>
            <w:tcBorders>
              <w:top w:val="nil"/>
              <w:left w:val="nil"/>
              <w:bottom w:val="single" w:sz="2" w:space="0" w:color="auto"/>
              <w:right w:val="nil"/>
            </w:tcBorders>
            <w:shd w:val="clear" w:color="auto" w:fill="BBA991"/>
            <w:hideMark/>
          </w:tcPr>
          <w:p w14:paraId="48AE1DC4" w14:textId="77777777" w:rsidR="005B02CB" w:rsidRDefault="005B02CB">
            <w:pPr>
              <w:pStyle w:val="NormalWeb"/>
              <w:rPr>
                <w:b/>
                <w:bCs/>
                <w:sz w:val="18"/>
                <w:szCs w:val="18"/>
              </w:rPr>
            </w:pPr>
            <w:r>
              <w:rPr>
                <w:b/>
                <w:bCs/>
                <w:sz w:val="18"/>
                <w:szCs w:val="18"/>
              </w:rPr>
              <w:t>Indigenous</w:t>
            </w:r>
          </w:p>
        </w:tc>
        <w:tc>
          <w:tcPr>
            <w:tcW w:w="2384" w:type="dxa"/>
            <w:hideMark/>
          </w:tcPr>
          <w:p w14:paraId="5AB8B694" w14:textId="77777777" w:rsidR="005B02CB" w:rsidRDefault="005B02CB">
            <w:pPr>
              <w:pStyle w:val="NormalWeb"/>
              <w:rPr>
                <w:sz w:val="18"/>
                <w:szCs w:val="18"/>
              </w:rPr>
            </w:pPr>
            <w:r>
              <w:rPr>
                <w:sz w:val="18"/>
                <w:szCs w:val="18"/>
              </w:rPr>
              <w:t>Major cities</w:t>
            </w:r>
          </w:p>
        </w:tc>
        <w:tc>
          <w:tcPr>
            <w:tcW w:w="985" w:type="dxa"/>
            <w:hideMark/>
          </w:tcPr>
          <w:p w14:paraId="7B412574" w14:textId="77777777" w:rsidR="005B02CB" w:rsidRDefault="005B02CB">
            <w:pPr>
              <w:pStyle w:val="NormalWeb"/>
              <w:rPr>
                <w:sz w:val="18"/>
                <w:szCs w:val="18"/>
              </w:rPr>
            </w:pPr>
            <w:r>
              <w:rPr>
                <w:sz w:val="18"/>
                <w:szCs w:val="18"/>
              </w:rPr>
              <w:t>86.7</w:t>
            </w:r>
          </w:p>
        </w:tc>
        <w:tc>
          <w:tcPr>
            <w:tcW w:w="985" w:type="dxa"/>
            <w:hideMark/>
          </w:tcPr>
          <w:p w14:paraId="0D46BD3E" w14:textId="77777777" w:rsidR="005B02CB" w:rsidRDefault="005B02CB">
            <w:pPr>
              <w:pStyle w:val="NormalWeb"/>
              <w:rPr>
                <w:sz w:val="18"/>
                <w:szCs w:val="18"/>
              </w:rPr>
            </w:pPr>
            <w:r>
              <w:rPr>
                <w:sz w:val="18"/>
                <w:szCs w:val="18"/>
              </w:rPr>
              <w:t>92.6</w:t>
            </w:r>
          </w:p>
        </w:tc>
        <w:tc>
          <w:tcPr>
            <w:tcW w:w="985" w:type="dxa"/>
            <w:hideMark/>
          </w:tcPr>
          <w:p w14:paraId="6DD6AECA" w14:textId="77777777" w:rsidR="005B02CB" w:rsidRDefault="005B02CB">
            <w:pPr>
              <w:pStyle w:val="NormalWeb"/>
              <w:rPr>
                <w:sz w:val="18"/>
                <w:szCs w:val="18"/>
              </w:rPr>
            </w:pPr>
            <w:r>
              <w:rPr>
                <w:sz w:val="18"/>
                <w:szCs w:val="18"/>
              </w:rPr>
              <w:t>88.3</w:t>
            </w:r>
          </w:p>
        </w:tc>
        <w:tc>
          <w:tcPr>
            <w:tcW w:w="985" w:type="dxa"/>
            <w:hideMark/>
          </w:tcPr>
          <w:p w14:paraId="5FFC6F38" w14:textId="77777777" w:rsidR="005B02CB" w:rsidRDefault="005B02CB">
            <w:pPr>
              <w:pStyle w:val="NormalWeb"/>
              <w:rPr>
                <w:sz w:val="18"/>
                <w:szCs w:val="18"/>
              </w:rPr>
            </w:pPr>
            <w:r>
              <w:rPr>
                <w:sz w:val="18"/>
                <w:szCs w:val="18"/>
              </w:rPr>
              <w:t>85.1</w:t>
            </w:r>
          </w:p>
        </w:tc>
        <w:tc>
          <w:tcPr>
            <w:tcW w:w="985" w:type="dxa"/>
            <w:hideMark/>
          </w:tcPr>
          <w:p w14:paraId="7243B0A6" w14:textId="77777777" w:rsidR="005B02CB" w:rsidRDefault="005B02CB">
            <w:pPr>
              <w:pStyle w:val="NormalWeb"/>
              <w:rPr>
                <w:sz w:val="18"/>
                <w:szCs w:val="18"/>
              </w:rPr>
            </w:pPr>
            <w:r>
              <w:rPr>
                <w:sz w:val="18"/>
                <w:szCs w:val="18"/>
              </w:rPr>
              <w:t>91.3</w:t>
            </w:r>
          </w:p>
        </w:tc>
        <w:tc>
          <w:tcPr>
            <w:tcW w:w="985" w:type="dxa"/>
            <w:hideMark/>
          </w:tcPr>
          <w:p w14:paraId="29DCD36E" w14:textId="77777777" w:rsidR="005B02CB" w:rsidRDefault="005B02CB">
            <w:pPr>
              <w:pStyle w:val="NormalWeb"/>
              <w:rPr>
                <w:sz w:val="18"/>
                <w:szCs w:val="18"/>
              </w:rPr>
            </w:pPr>
            <w:r>
              <w:rPr>
                <w:sz w:val="18"/>
                <w:szCs w:val="18"/>
              </w:rPr>
              <w:t>86.8</w:t>
            </w:r>
          </w:p>
        </w:tc>
        <w:tc>
          <w:tcPr>
            <w:tcW w:w="986" w:type="dxa"/>
            <w:hideMark/>
          </w:tcPr>
          <w:p w14:paraId="17A7F802" w14:textId="77777777" w:rsidR="005B02CB" w:rsidRDefault="005B02CB">
            <w:pPr>
              <w:pStyle w:val="NormalWeb"/>
              <w:rPr>
                <w:sz w:val="18"/>
                <w:szCs w:val="18"/>
              </w:rPr>
            </w:pPr>
            <w:r>
              <w:rPr>
                <w:sz w:val="18"/>
                <w:szCs w:val="18"/>
              </w:rPr>
              <w:t>97.1</w:t>
            </w:r>
          </w:p>
        </w:tc>
      </w:tr>
      <w:tr w:rsidR="005B02CB" w14:paraId="1FDE6FAD" w14:textId="77777777" w:rsidTr="005B02CB">
        <w:trPr>
          <w:cnfStyle w:val="000000010000" w:firstRow="0" w:lastRow="0" w:firstColumn="0" w:lastColumn="0" w:oddVBand="0" w:evenVBand="0" w:oddHBand="0" w:evenHBand="1" w:firstRowFirstColumn="0" w:firstRowLastColumn="0" w:lastRowFirstColumn="0" w:lastRowLastColumn="0"/>
        </w:trPr>
        <w:tc>
          <w:tcPr>
            <w:tcW w:w="0" w:type="auto"/>
            <w:vMerge/>
            <w:tcBorders>
              <w:top w:val="nil"/>
              <w:left w:val="nil"/>
              <w:bottom w:val="single" w:sz="2" w:space="0" w:color="auto"/>
              <w:right w:val="nil"/>
            </w:tcBorders>
            <w:hideMark/>
          </w:tcPr>
          <w:p w14:paraId="7AB5E9D3" w14:textId="77777777" w:rsidR="005B02CB" w:rsidRDefault="005B02CB">
            <w:pPr>
              <w:rPr>
                <w:b/>
                <w:bCs/>
                <w:sz w:val="18"/>
                <w:szCs w:val="18"/>
              </w:rPr>
            </w:pPr>
          </w:p>
        </w:tc>
        <w:tc>
          <w:tcPr>
            <w:tcW w:w="2384" w:type="dxa"/>
            <w:hideMark/>
          </w:tcPr>
          <w:p w14:paraId="2FD846A1" w14:textId="77777777" w:rsidR="005B02CB" w:rsidRDefault="005B02CB">
            <w:pPr>
              <w:pStyle w:val="NormalWeb"/>
              <w:rPr>
                <w:sz w:val="18"/>
                <w:szCs w:val="18"/>
              </w:rPr>
            </w:pPr>
            <w:r>
              <w:rPr>
                <w:sz w:val="18"/>
                <w:szCs w:val="18"/>
              </w:rPr>
              <w:t>Inner and outer regional</w:t>
            </w:r>
          </w:p>
        </w:tc>
        <w:tc>
          <w:tcPr>
            <w:tcW w:w="985" w:type="dxa"/>
            <w:hideMark/>
          </w:tcPr>
          <w:p w14:paraId="171A5573" w14:textId="77777777" w:rsidR="005B02CB" w:rsidRDefault="005B02CB">
            <w:pPr>
              <w:pStyle w:val="NormalWeb"/>
              <w:rPr>
                <w:sz w:val="18"/>
                <w:szCs w:val="18"/>
              </w:rPr>
            </w:pPr>
            <w:r>
              <w:rPr>
                <w:sz w:val="18"/>
                <w:szCs w:val="18"/>
              </w:rPr>
              <w:t>87.0</w:t>
            </w:r>
          </w:p>
        </w:tc>
        <w:tc>
          <w:tcPr>
            <w:tcW w:w="985" w:type="dxa"/>
            <w:hideMark/>
          </w:tcPr>
          <w:p w14:paraId="684CD0C7" w14:textId="77777777" w:rsidR="005B02CB" w:rsidRDefault="005B02CB">
            <w:pPr>
              <w:pStyle w:val="NormalWeb"/>
              <w:rPr>
                <w:sz w:val="18"/>
                <w:szCs w:val="18"/>
              </w:rPr>
            </w:pPr>
            <w:r>
              <w:rPr>
                <w:sz w:val="18"/>
                <w:szCs w:val="18"/>
              </w:rPr>
              <w:t>93.6</w:t>
            </w:r>
          </w:p>
        </w:tc>
        <w:tc>
          <w:tcPr>
            <w:tcW w:w="985" w:type="dxa"/>
            <w:hideMark/>
          </w:tcPr>
          <w:p w14:paraId="65F23E61" w14:textId="77777777" w:rsidR="005B02CB" w:rsidRDefault="005B02CB">
            <w:pPr>
              <w:pStyle w:val="NormalWeb"/>
              <w:rPr>
                <w:sz w:val="18"/>
                <w:szCs w:val="18"/>
              </w:rPr>
            </w:pPr>
            <w:r>
              <w:rPr>
                <w:sz w:val="18"/>
                <w:szCs w:val="18"/>
              </w:rPr>
              <w:t>89.1</w:t>
            </w:r>
          </w:p>
        </w:tc>
        <w:tc>
          <w:tcPr>
            <w:tcW w:w="985" w:type="dxa"/>
            <w:hideMark/>
          </w:tcPr>
          <w:p w14:paraId="194FF225" w14:textId="77777777" w:rsidR="005B02CB" w:rsidRDefault="005B02CB">
            <w:pPr>
              <w:pStyle w:val="NormalWeb"/>
              <w:rPr>
                <w:sz w:val="18"/>
                <w:szCs w:val="18"/>
              </w:rPr>
            </w:pPr>
            <w:r>
              <w:rPr>
                <w:sz w:val="18"/>
                <w:szCs w:val="18"/>
              </w:rPr>
              <w:t>85.7</w:t>
            </w:r>
          </w:p>
        </w:tc>
        <w:tc>
          <w:tcPr>
            <w:tcW w:w="985" w:type="dxa"/>
            <w:hideMark/>
          </w:tcPr>
          <w:p w14:paraId="2B09464A" w14:textId="77777777" w:rsidR="005B02CB" w:rsidRDefault="005B02CB">
            <w:pPr>
              <w:pStyle w:val="NormalWeb"/>
              <w:rPr>
                <w:sz w:val="18"/>
                <w:szCs w:val="18"/>
              </w:rPr>
            </w:pPr>
            <w:r>
              <w:rPr>
                <w:sz w:val="18"/>
                <w:szCs w:val="18"/>
              </w:rPr>
              <w:t>92.0</w:t>
            </w:r>
          </w:p>
        </w:tc>
        <w:tc>
          <w:tcPr>
            <w:tcW w:w="985" w:type="dxa"/>
            <w:hideMark/>
          </w:tcPr>
          <w:p w14:paraId="1DDA5E59" w14:textId="77777777" w:rsidR="005B02CB" w:rsidRDefault="005B02CB">
            <w:pPr>
              <w:pStyle w:val="NormalWeb"/>
              <w:rPr>
                <w:sz w:val="18"/>
                <w:szCs w:val="18"/>
              </w:rPr>
            </w:pPr>
            <w:r>
              <w:rPr>
                <w:sz w:val="18"/>
                <w:szCs w:val="18"/>
              </w:rPr>
              <w:t>85.8</w:t>
            </w:r>
          </w:p>
        </w:tc>
        <w:tc>
          <w:tcPr>
            <w:tcW w:w="986" w:type="dxa"/>
            <w:hideMark/>
          </w:tcPr>
          <w:p w14:paraId="5D625186" w14:textId="77777777" w:rsidR="005B02CB" w:rsidRDefault="005B02CB">
            <w:pPr>
              <w:pStyle w:val="NormalWeb"/>
              <w:rPr>
                <w:sz w:val="18"/>
                <w:szCs w:val="18"/>
              </w:rPr>
            </w:pPr>
            <w:r>
              <w:rPr>
                <w:sz w:val="18"/>
                <w:szCs w:val="18"/>
              </w:rPr>
              <w:t>97.0</w:t>
            </w:r>
          </w:p>
        </w:tc>
      </w:tr>
      <w:tr w:rsidR="005B02CB" w14:paraId="1AA29A0B" w14:textId="77777777" w:rsidTr="005B02CB">
        <w:tc>
          <w:tcPr>
            <w:tcW w:w="0" w:type="auto"/>
            <w:vMerge/>
            <w:tcBorders>
              <w:top w:val="nil"/>
              <w:left w:val="nil"/>
              <w:bottom w:val="single" w:sz="2" w:space="0" w:color="auto"/>
              <w:right w:val="nil"/>
            </w:tcBorders>
            <w:hideMark/>
          </w:tcPr>
          <w:p w14:paraId="336F0C33" w14:textId="77777777" w:rsidR="005B02CB" w:rsidRDefault="005B02CB">
            <w:pPr>
              <w:rPr>
                <w:b/>
                <w:bCs/>
                <w:sz w:val="18"/>
                <w:szCs w:val="18"/>
              </w:rPr>
            </w:pPr>
          </w:p>
        </w:tc>
        <w:tc>
          <w:tcPr>
            <w:tcW w:w="2384" w:type="dxa"/>
            <w:tcBorders>
              <w:top w:val="nil"/>
              <w:left w:val="nil"/>
              <w:bottom w:val="single" w:sz="2" w:space="0" w:color="auto"/>
              <w:right w:val="nil"/>
            </w:tcBorders>
            <w:hideMark/>
          </w:tcPr>
          <w:p w14:paraId="4633DDE3" w14:textId="77777777" w:rsidR="005B02CB" w:rsidRDefault="005B02CB">
            <w:pPr>
              <w:pStyle w:val="NormalWeb"/>
              <w:rPr>
                <w:sz w:val="18"/>
                <w:szCs w:val="18"/>
              </w:rPr>
            </w:pPr>
            <w:r>
              <w:rPr>
                <w:sz w:val="18"/>
                <w:szCs w:val="18"/>
              </w:rPr>
              <w:t>Remote and very remote</w:t>
            </w:r>
          </w:p>
        </w:tc>
        <w:tc>
          <w:tcPr>
            <w:tcW w:w="985" w:type="dxa"/>
            <w:tcBorders>
              <w:top w:val="nil"/>
              <w:left w:val="nil"/>
              <w:bottom w:val="single" w:sz="2" w:space="0" w:color="auto"/>
              <w:right w:val="nil"/>
            </w:tcBorders>
            <w:hideMark/>
          </w:tcPr>
          <w:p w14:paraId="4ED433BE" w14:textId="77777777" w:rsidR="005B02CB" w:rsidRDefault="005B02CB">
            <w:pPr>
              <w:pStyle w:val="NormalWeb"/>
              <w:rPr>
                <w:sz w:val="18"/>
                <w:szCs w:val="18"/>
              </w:rPr>
            </w:pPr>
            <w:r>
              <w:rPr>
                <w:sz w:val="18"/>
                <w:szCs w:val="18"/>
              </w:rPr>
              <w:t>84.0</w:t>
            </w:r>
          </w:p>
        </w:tc>
        <w:tc>
          <w:tcPr>
            <w:tcW w:w="985" w:type="dxa"/>
            <w:tcBorders>
              <w:top w:val="nil"/>
              <w:left w:val="nil"/>
              <w:bottom w:val="single" w:sz="2" w:space="0" w:color="auto"/>
              <w:right w:val="nil"/>
            </w:tcBorders>
            <w:hideMark/>
          </w:tcPr>
          <w:p w14:paraId="3DD1D78A" w14:textId="77777777" w:rsidR="005B02CB" w:rsidRDefault="005B02CB">
            <w:pPr>
              <w:pStyle w:val="NormalWeb"/>
              <w:rPr>
                <w:sz w:val="18"/>
                <w:szCs w:val="18"/>
              </w:rPr>
            </w:pPr>
            <w:r>
              <w:rPr>
                <w:sz w:val="18"/>
                <w:szCs w:val="18"/>
              </w:rPr>
              <w:t>92.8</w:t>
            </w:r>
          </w:p>
        </w:tc>
        <w:tc>
          <w:tcPr>
            <w:tcW w:w="985" w:type="dxa"/>
            <w:tcBorders>
              <w:top w:val="nil"/>
              <w:left w:val="nil"/>
              <w:bottom w:val="single" w:sz="2" w:space="0" w:color="auto"/>
              <w:right w:val="nil"/>
            </w:tcBorders>
            <w:hideMark/>
          </w:tcPr>
          <w:p w14:paraId="3646A8F8" w14:textId="77777777" w:rsidR="005B02CB" w:rsidRDefault="005B02CB">
            <w:pPr>
              <w:pStyle w:val="NormalWeb"/>
              <w:rPr>
                <w:sz w:val="18"/>
                <w:szCs w:val="18"/>
              </w:rPr>
            </w:pPr>
            <w:r>
              <w:rPr>
                <w:sz w:val="18"/>
                <w:szCs w:val="18"/>
              </w:rPr>
              <w:t>85.0</w:t>
            </w:r>
          </w:p>
        </w:tc>
        <w:tc>
          <w:tcPr>
            <w:tcW w:w="985" w:type="dxa"/>
            <w:tcBorders>
              <w:top w:val="nil"/>
              <w:left w:val="nil"/>
              <w:bottom w:val="single" w:sz="2" w:space="0" w:color="auto"/>
              <w:right w:val="nil"/>
            </w:tcBorders>
            <w:hideMark/>
          </w:tcPr>
          <w:p w14:paraId="4FCCF1C8" w14:textId="77777777" w:rsidR="005B02CB" w:rsidRDefault="005B02CB">
            <w:pPr>
              <w:pStyle w:val="NormalWeb"/>
              <w:rPr>
                <w:sz w:val="18"/>
                <w:szCs w:val="18"/>
              </w:rPr>
            </w:pPr>
            <w:r>
              <w:rPr>
                <w:sz w:val="18"/>
                <w:szCs w:val="18"/>
              </w:rPr>
              <w:t>77.9</w:t>
            </w:r>
          </w:p>
        </w:tc>
        <w:tc>
          <w:tcPr>
            <w:tcW w:w="985" w:type="dxa"/>
            <w:tcBorders>
              <w:top w:val="nil"/>
              <w:left w:val="nil"/>
              <w:bottom w:val="single" w:sz="2" w:space="0" w:color="auto"/>
              <w:right w:val="nil"/>
            </w:tcBorders>
            <w:hideMark/>
          </w:tcPr>
          <w:p w14:paraId="04646EA2" w14:textId="77777777" w:rsidR="005B02CB" w:rsidRDefault="005B02CB">
            <w:pPr>
              <w:pStyle w:val="NormalWeb"/>
              <w:rPr>
                <w:sz w:val="18"/>
                <w:szCs w:val="18"/>
              </w:rPr>
            </w:pPr>
            <w:r>
              <w:rPr>
                <w:sz w:val="18"/>
                <w:szCs w:val="18"/>
              </w:rPr>
              <w:t>88.3</w:t>
            </w:r>
          </w:p>
        </w:tc>
        <w:tc>
          <w:tcPr>
            <w:tcW w:w="985" w:type="dxa"/>
            <w:tcBorders>
              <w:top w:val="nil"/>
              <w:left w:val="nil"/>
              <w:bottom w:val="single" w:sz="2" w:space="0" w:color="auto"/>
              <w:right w:val="nil"/>
            </w:tcBorders>
            <w:hideMark/>
          </w:tcPr>
          <w:p w14:paraId="1BF502B0" w14:textId="77777777" w:rsidR="005B02CB" w:rsidRDefault="005B02CB">
            <w:pPr>
              <w:pStyle w:val="NormalWeb"/>
              <w:rPr>
                <w:sz w:val="18"/>
                <w:szCs w:val="18"/>
              </w:rPr>
            </w:pPr>
            <w:r>
              <w:rPr>
                <w:sz w:val="18"/>
                <w:szCs w:val="18"/>
              </w:rPr>
              <w:t>83.2</w:t>
            </w:r>
          </w:p>
        </w:tc>
        <w:tc>
          <w:tcPr>
            <w:tcW w:w="986" w:type="dxa"/>
            <w:tcBorders>
              <w:top w:val="nil"/>
              <w:left w:val="nil"/>
              <w:bottom w:val="single" w:sz="2" w:space="0" w:color="auto"/>
              <w:right w:val="nil"/>
            </w:tcBorders>
            <w:hideMark/>
          </w:tcPr>
          <w:p w14:paraId="2174D881" w14:textId="77777777" w:rsidR="005B02CB" w:rsidRDefault="005B02CB">
            <w:pPr>
              <w:pStyle w:val="NormalWeb"/>
              <w:rPr>
                <w:sz w:val="18"/>
                <w:szCs w:val="18"/>
              </w:rPr>
            </w:pPr>
            <w:r>
              <w:rPr>
                <w:sz w:val="18"/>
                <w:szCs w:val="18"/>
              </w:rPr>
              <w:t>96.8</w:t>
            </w:r>
          </w:p>
        </w:tc>
      </w:tr>
      <w:tr w:rsidR="005B02CB" w14:paraId="28E90BD8" w14:textId="77777777" w:rsidTr="005B02CB">
        <w:trPr>
          <w:cnfStyle w:val="000000010000" w:firstRow="0" w:lastRow="0" w:firstColumn="0" w:lastColumn="0" w:oddVBand="0" w:evenVBand="0" w:oddHBand="0" w:evenHBand="1" w:firstRowFirstColumn="0" w:firstRowLastColumn="0" w:lastRowFirstColumn="0" w:lastRowLastColumn="0"/>
        </w:trPr>
        <w:tc>
          <w:tcPr>
            <w:tcW w:w="0" w:type="auto"/>
            <w:vMerge/>
            <w:tcBorders>
              <w:top w:val="nil"/>
              <w:left w:val="nil"/>
              <w:bottom w:val="single" w:sz="2" w:space="0" w:color="auto"/>
              <w:right w:val="nil"/>
            </w:tcBorders>
            <w:hideMark/>
          </w:tcPr>
          <w:p w14:paraId="6AFC4EEB" w14:textId="77777777" w:rsidR="005B02CB" w:rsidRDefault="005B02CB">
            <w:pPr>
              <w:rPr>
                <w:b/>
                <w:bCs/>
                <w:sz w:val="18"/>
                <w:szCs w:val="18"/>
              </w:rPr>
            </w:pPr>
          </w:p>
        </w:tc>
        <w:tc>
          <w:tcPr>
            <w:tcW w:w="2384" w:type="dxa"/>
            <w:tcBorders>
              <w:top w:val="single" w:sz="2" w:space="0" w:color="auto"/>
              <w:left w:val="nil"/>
              <w:bottom w:val="single" w:sz="2" w:space="0" w:color="auto"/>
              <w:right w:val="nil"/>
            </w:tcBorders>
            <w:shd w:val="clear" w:color="auto" w:fill="F7ECDD"/>
            <w:hideMark/>
          </w:tcPr>
          <w:p w14:paraId="6C6C6CAD" w14:textId="77777777" w:rsidR="005B02CB" w:rsidRDefault="005B02CB">
            <w:pPr>
              <w:pStyle w:val="NormalWeb"/>
              <w:rPr>
                <w:b/>
                <w:bCs/>
                <w:sz w:val="18"/>
                <w:szCs w:val="18"/>
              </w:rPr>
            </w:pPr>
            <w:r>
              <w:rPr>
                <w:b/>
                <w:bCs/>
                <w:sz w:val="18"/>
                <w:szCs w:val="18"/>
              </w:rPr>
              <w:t>All</w:t>
            </w:r>
          </w:p>
        </w:tc>
        <w:tc>
          <w:tcPr>
            <w:tcW w:w="985" w:type="dxa"/>
            <w:tcBorders>
              <w:top w:val="single" w:sz="2" w:space="0" w:color="auto"/>
              <w:left w:val="nil"/>
              <w:bottom w:val="single" w:sz="2" w:space="0" w:color="auto"/>
              <w:right w:val="nil"/>
            </w:tcBorders>
            <w:shd w:val="clear" w:color="auto" w:fill="F7ECDD"/>
            <w:hideMark/>
          </w:tcPr>
          <w:p w14:paraId="16922ADA" w14:textId="77777777" w:rsidR="005B02CB" w:rsidRDefault="005B02CB">
            <w:pPr>
              <w:pStyle w:val="NormalWeb"/>
              <w:rPr>
                <w:b/>
                <w:bCs/>
                <w:sz w:val="18"/>
                <w:szCs w:val="18"/>
              </w:rPr>
            </w:pPr>
            <w:r>
              <w:rPr>
                <w:b/>
                <w:bCs/>
                <w:sz w:val="18"/>
                <w:szCs w:val="18"/>
              </w:rPr>
              <w:t>86.5</w:t>
            </w:r>
          </w:p>
        </w:tc>
        <w:tc>
          <w:tcPr>
            <w:tcW w:w="985" w:type="dxa"/>
            <w:tcBorders>
              <w:top w:val="single" w:sz="2" w:space="0" w:color="auto"/>
              <w:left w:val="nil"/>
              <w:bottom w:val="single" w:sz="2" w:space="0" w:color="auto"/>
              <w:right w:val="nil"/>
            </w:tcBorders>
            <w:shd w:val="clear" w:color="auto" w:fill="F7ECDD"/>
            <w:hideMark/>
          </w:tcPr>
          <w:p w14:paraId="0082A65F" w14:textId="77777777" w:rsidR="005B02CB" w:rsidRDefault="005B02CB">
            <w:pPr>
              <w:pStyle w:val="NormalWeb"/>
              <w:rPr>
                <w:b/>
                <w:bCs/>
                <w:sz w:val="18"/>
                <w:szCs w:val="18"/>
              </w:rPr>
            </w:pPr>
            <w:r>
              <w:rPr>
                <w:b/>
                <w:bCs/>
                <w:sz w:val="18"/>
                <w:szCs w:val="18"/>
              </w:rPr>
              <w:t>93.1</w:t>
            </w:r>
          </w:p>
        </w:tc>
        <w:tc>
          <w:tcPr>
            <w:tcW w:w="985" w:type="dxa"/>
            <w:tcBorders>
              <w:top w:val="single" w:sz="2" w:space="0" w:color="auto"/>
              <w:left w:val="nil"/>
              <w:bottom w:val="single" w:sz="2" w:space="0" w:color="auto"/>
              <w:right w:val="nil"/>
            </w:tcBorders>
            <w:shd w:val="clear" w:color="auto" w:fill="F7ECDD"/>
            <w:hideMark/>
          </w:tcPr>
          <w:p w14:paraId="2F352E54" w14:textId="77777777" w:rsidR="005B02CB" w:rsidRDefault="005B02CB">
            <w:pPr>
              <w:pStyle w:val="NormalWeb"/>
              <w:rPr>
                <w:b/>
                <w:bCs/>
                <w:sz w:val="18"/>
                <w:szCs w:val="18"/>
              </w:rPr>
            </w:pPr>
            <w:r>
              <w:rPr>
                <w:b/>
                <w:bCs/>
                <w:sz w:val="18"/>
                <w:szCs w:val="18"/>
              </w:rPr>
              <w:t>88.2</w:t>
            </w:r>
          </w:p>
        </w:tc>
        <w:tc>
          <w:tcPr>
            <w:tcW w:w="985" w:type="dxa"/>
            <w:tcBorders>
              <w:top w:val="single" w:sz="2" w:space="0" w:color="auto"/>
              <w:left w:val="nil"/>
              <w:bottom w:val="single" w:sz="2" w:space="0" w:color="auto"/>
              <w:right w:val="nil"/>
            </w:tcBorders>
            <w:shd w:val="clear" w:color="auto" w:fill="F7ECDD"/>
            <w:hideMark/>
          </w:tcPr>
          <w:p w14:paraId="263F1F9D" w14:textId="77777777" w:rsidR="005B02CB" w:rsidRDefault="005B02CB">
            <w:pPr>
              <w:pStyle w:val="NormalWeb"/>
              <w:rPr>
                <w:b/>
                <w:bCs/>
                <w:sz w:val="18"/>
                <w:szCs w:val="18"/>
              </w:rPr>
            </w:pPr>
            <w:r>
              <w:rPr>
                <w:b/>
                <w:bCs/>
                <w:sz w:val="18"/>
                <w:szCs w:val="18"/>
              </w:rPr>
              <w:t>84.4</w:t>
            </w:r>
          </w:p>
        </w:tc>
        <w:tc>
          <w:tcPr>
            <w:tcW w:w="985" w:type="dxa"/>
            <w:tcBorders>
              <w:top w:val="single" w:sz="2" w:space="0" w:color="auto"/>
              <w:left w:val="nil"/>
              <w:bottom w:val="single" w:sz="2" w:space="0" w:color="auto"/>
              <w:right w:val="nil"/>
            </w:tcBorders>
            <w:shd w:val="clear" w:color="auto" w:fill="F7ECDD"/>
            <w:hideMark/>
          </w:tcPr>
          <w:p w14:paraId="5EAC99DF" w14:textId="77777777" w:rsidR="005B02CB" w:rsidRDefault="005B02CB">
            <w:pPr>
              <w:pStyle w:val="NormalWeb"/>
              <w:rPr>
                <w:b/>
                <w:bCs/>
                <w:sz w:val="18"/>
                <w:szCs w:val="18"/>
              </w:rPr>
            </w:pPr>
            <w:r>
              <w:rPr>
                <w:b/>
                <w:bCs/>
                <w:sz w:val="18"/>
                <w:szCs w:val="18"/>
              </w:rPr>
              <w:t>91.2</w:t>
            </w:r>
          </w:p>
        </w:tc>
        <w:tc>
          <w:tcPr>
            <w:tcW w:w="985" w:type="dxa"/>
            <w:tcBorders>
              <w:top w:val="single" w:sz="2" w:space="0" w:color="auto"/>
              <w:left w:val="nil"/>
              <w:bottom w:val="single" w:sz="2" w:space="0" w:color="auto"/>
              <w:right w:val="nil"/>
            </w:tcBorders>
            <w:shd w:val="clear" w:color="auto" w:fill="F7ECDD"/>
            <w:hideMark/>
          </w:tcPr>
          <w:p w14:paraId="1E97DB50" w14:textId="77777777" w:rsidR="005B02CB" w:rsidRDefault="005B02CB">
            <w:pPr>
              <w:pStyle w:val="NormalWeb"/>
              <w:rPr>
                <w:b/>
                <w:bCs/>
                <w:sz w:val="18"/>
                <w:szCs w:val="18"/>
              </w:rPr>
            </w:pPr>
            <w:r>
              <w:rPr>
                <w:b/>
                <w:bCs/>
                <w:sz w:val="18"/>
                <w:szCs w:val="18"/>
              </w:rPr>
              <w:t>85.7</w:t>
            </w:r>
          </w:p>
        </w:tc>
        <w:tc>
          <w:tcPr>
            <w:tcW w:w="986" w:type="dxa"/>
            <w:tcBorders>
              <w:top w:val="single" w:sz="2" w:space="0" w:color="auto"/>
              <w:left w:val="nil"/>
              <w:bottom w:val="single" w:sz="2" w:space="0" w:color="auto"/>
              <w:right w:val="nil"/>
            </w:tcBorders>
            <w:shd w:val="clear" w:color="auto" w:fill="F7ECDD"/>
            <w:hideMark/>
          </w:tcPr>
          <w:p w14:paraId="42C55F62" w14:textId="77777777" w:rsidR="005B02CB" w:rsidRDefault="005B02CB">
            <w:pPr>
              <w:pStyle w:val="NormalWeb"/>
              <w:rPr>
                <w:b/>
                <w:bCs/>
                <w:sz w:val="18"/>
                <w:szCs w:val="18"/>
              </w:rPr>
            </w:pPr>
            <w:r>
              <w:rPr>
                <w:b/>
                <w:bCs/>
                <w:sz w:val="18"/>
                <w:szCs w:val="18"/>
              </w:rPr>
              <w:t>97.0</w:t>
            </w:r>
          </w:p>
        </w:tc>
      </w:tr>
      <w:tr w:rsidR="005B02CB" w14:paraId="58C78EDF" w14:textId="77777777" w:rsidTr="005B02CB">
        <w:tc>
          <w:tcPr>
            <w:tcW w:w="1160" w:type="dxa"/>
            <w:vMerge w:val="restart"/>
            <w:tcBorders>
              <w:top w:val="nil"/>
              <w:left w:val="nil"/>
              <w:bottom w:val="single" w:sz="2" w:space="0" w:color="auto"/>
              <w:right w:val="nil"/>
            </w:tcBorders>
            <w:shd w:val="clear" w:color="auto" w:fill="BBA991"/>
            <w:hideMark/>
          </w:tcPr>
          <w:p w14:paraId="0F781DC3" w14:textId="77777777" w:rsidR="005B02CB" w:rsidRDefault="005B02CB">
            <w:pPr>
              <w:pStyle w:val="NormalWeb"/>
              <w:rPr>
                <w:b/>
                <w:bCs/>
                <w:sz w:val="18"/>
                <w:szCs w:val="18"/>
              </w:rPr>
            </w:pPr>
            <w:r>
              <w:rPr>
                <w:b/>
                <w:bCs/>
                <w:sz w:val="18"/>
                <w:szCs w:val="18"/>
              </w:rPr>
              <w:t>Non-Indigenous</w:t>
            </w:r>
          </w:p>
        </w:tc>
        <w:tc>
          <w:tcPr>
            <w:tcW w:w="2384" w:type="dxa"/>
            <w:tcBorders>
              <w:top w:val="single" w:sz="2" w:space="0" w:color="auto"/>
              <w:left w:val="nil"/>
              <w:bottom w:val="nil"/>
              <w:right w:val="nil"/>
            </w:tcBorders>
            <w:hideMark/>
          </w:tcPr>
          <w:p w14:paraId="0E1A6F79" w14:textId="77777777" w:rsidR="005B02CB" w:rsidRDefault="005B02CB">
            <w:pPr>
              <w:pStyle w:val="NormalWeb"/>
              <w:rPr>
                <w:sz w:val="18"/>
                <w:szCs w:val="18"/>
              </w:rPr>
            </w:pPr>
            <w:r>
              <w:rPr>
                <w:sz w:val="18"/>
                <w:szCs w:val="18"/>
              </w:rPr>
              <w:t>Major cities</w:t>
            </w:r>
          </w:p>
        </w:tc>
        <w:tc>
          <w:tcPr>
            <w:tcW w:w="985" w:type="dxa"/>
            <w:tcBorders>
              <w:top w:val="single" w:sz="2" w:space="0" w:color="auto"/>
              <w:left w:val="nil"/>
              <w:bottom w:val="nil"/>
              <w:right w:val="nil"/>
            </w:tcBorders>
            <w:hideMark/>
          </w:tcPr>
          <w:p w14:paraId="27334030" w14:textId="77777777" w:rsidR="005B02CB" w:rsidRDefault="005B02CB">
            <w:pPr>
              <w:pStyle w:val="NormalWeb"/>
              <w:rPr>
                <w:sz w:val="18"/>
                <w:szCs w:val="18"/>
              </w:rPr>
            </w:pPr>
            <w:r>
              <w:rPr>
                <w:sz w:val="18"/>
                <w:szCs w:val="18"/>
              </w:rPr>
              <w:t>92.4</w:t>
            </w:r>
          </w:p>
        </w:tc>
        <w:tc>
          <w:tcPr>
            <w:tcW w:w="985" w:type="dxa"/>
            <w:tcBorders>
              <w:top w:val="single" w:sz="2" w:space="0" w:color="auto"/>
              <w:left w:val="nil"/>
              <w:bottom w:val="nil"/>
              <w:right w:val="nil"/>
            </w:tcBorders>
            <w:hideMark/>
          </w:tcPr>
          <w:p w14:paraId="743232FF" w14:textId="77777777" w:rsidR="005B02CB" w:rsidRDefault="005B02CB">
            <w:pPr>
              <w:pStyle w:val="NormalWeb"/>
              <w:rPr>
                <w:sz w:val="18"/>
                <w:szCs w:val="18"/>
              </w:rPr>
            </w:pPr>
            <w:r>
              <w:rPr>
                <w:sz w:val="18"/>
                <w:szCs w:val="18"/>
              </w:rPr>
              <w:t>94.9</w:t>
            </w:r>
          </w:p>
        </w:tc>
        <w:tc>
          <w:tcPr>
            <w:tcW w:w="985" w:type="dxa"/>
            <w:tcBorders>
              <w:top w:val="single" w:sz="2" w:space="0" w:color="auto"/>
              <w:left w:val="nil"/>
              <w:bottom w:val="nil"/>
              <w:right w:val="nil"/>
            </w:tcBorders>
            <w:hideMark/>
          </w:tcPr>
          <w:p w14:paraId="44DB5E5E" w14:textId="77777777" w:rsidR="005B02CB" w:rsidRDefault="005B02CB">
            <w:pPr>
              <w:pStyle w:val="NormalWeb"/>
              <w:rPr>
                <w:sz w:val="18"/>
                <w:szCs w:val="18"/>
              </w:rPr>
            </w:pPr>
            <w:r>
              <w:rPr>
                <w:sz w:val="18"/>
                <w:szCs w:val="18"/>
              </w:rPr>
              <w:t>90.8</w:t>
            </w:r>
          </w:p>
        </w:tc>
        <w:tc>
          <w:tcPr>
            <w:tcW w:w="985" w:type="dxa"/>
            <w:tcBorders>
              <w:top w:val="single" w:sz="2" w:space="0" w:color="auto"/>
              <w:left w:val="nil"/>
              <w:bottom w:val="nil"/>
              <w:right w:val="nil"/>
            </w:tcBorders>
            <w:hideMark/>
          </w:tcPr>
          <w:p w14:paraId="2EC00E32" w14:textId="77777777" w:rsidR="005B02CB" w:rsidRDefault="005B02CB">
            <w:pPr>
              <w:pStyle w:val="NormalWeb"/>
              <w:rPr>
                <w:sz w:val="18"/>
                <w:szCs w:val="18"/>
              </w:rPr>
            </w:pPr>
            <w:r>
              <w:rPr>
                <w:sz w:val="18"/>
                <w:szCs w:val="18"/>
              </w:rPr>
              <w:t>89.3</w:t>
            </w:r>
          </w:p>
        </w:tc>
        <w:tc>
          <w:tcPr>
            <w:tcW w:w="985" w:type="dxa"/>
            <w:tcBorders>
              <w:top w:val="single" w:sz="2" w:space="0" w:color="auto"/>
              <w:left w:val="nil"/>
              <w:bottom w:val="nil"/>
              <w:right w:val="nil"/>
            </w:tcBorders>
            <w:hideMark/>
          </w:tcPr>
          <w:p w14:paraId="18ED6A09" w14:textId="77777777" w:rsidR="005B02CB" w:rsidRDefault="005B02CB">
            <w:pPr>
              <w:pStyle w:val="NormalWeb"/>
              <w:rPr>
                <w:sz w:val="18"/>
                <w:szCs w:val="18"/>
              </w:rPr>
            </w:pPr>
            <w:r>
              <w:rPr>
                <w:sz w:val="18"/>
                <w:szCs w:val="18"/>
              </w:rPr>
              <w:t>92.1</w:t>
            </w:r>
          </w:p>
        </w:tc>
        <w:tc>
          <w:tcPr>
            <w:tcW w:w="985" w:type="dxa"/>
            <w:tcBorders>
              <w:top w:val="single" w:sz="2" w:space="0" w:color="auto"/>
              <w:left w:val="nil"/>
              <w:bottom w:val="nil"/>
              <w:right w:val="nil"/>
            </w:tcBorders>
            <w:hideMark/>
          </w:tcPr>
          <w:p w14:paraId="670994E3" w14:textId="77777777" w:rsidR="005B02CB" w:rsidRDefault="005B02CB">
            <w:pPr>
              <w:pStyle w:val="NormalWeb"/>
              <w:rPr>
                <w:sz w:val="18"/>
                <w:szCs w:val="18"/>
              </w:rPr>
            </w:pPr>
            <w:r>
              <w:rPr>
                <w:sz w:val="18"/>
                <w:szCs w:val="18"/>
              </w:rPr>
              <w:t>88.2</w:t>
            </w:r>
          </w:p>
        </w:tc>
        <w:tc>
          <w:tcPr>
            <w:tcW w:w="986" w:type="dxa"/>
            <w:tcBorders>
              <w:top w:val="single" w:sz="2" w:space="0" w:color="auto"/>
              <w:left w:val="nil"/>
              <w:bottom w:val="nil"/>
              <w:right w:val="nil"/>
            </w:tcBorders>
            <w:hideMark/>
          </w:tcPr>
          <w:p w14:paraId="75A1BC73" w14:textId="77777777" w:rsidR="005B02CB" w:rsidRDefault="005B02CB">
            <w:pPr>
              <w:pStyle w:val="NormalWeb"/>
              <w:rPr>
                <w:sz w:val="18"/>
                <w:szCs w:val="18"/>
              </w:rPr>
            </w:pPr>
            <w:r>
              <w:rPr>
                <w:sz w:val="18"/>
                <w:szCs w:val="18"/>
              </w:rPr>
              <w:t>94.6</w:t>
            </w:r>
          </w:p>
        </w:tc>
      </w:tr>
      <w:tr w:rsidR="005B02CB" w14:paraId="270474AD" w14:textId="77777777" w:rsidTr="005B02CB">
        <w:trPr>
          <w:cnfStyle w:val="000000010000" w:firstRow="0" w:lastRow="0" w:firstColumn="0" w:lastColumn="0" w:oddVBand="0" w:evenVBand="0" w:oddHBand="0" w:evenHBand="1" w:firstRowFirstColumn="0" w:firstRowLastColumn="0" w:lastRowFirstColumn="0" w:lastRowLastColumn="0"/>
        </w:trPr>
        <w:tc>
          <w:tcPr>
            <w:tcW w:w="0" w:type="auto"/>
            <w:vMerge/>
            <w:tcBorders>
              <w:top w:val="nil"/>
              <w:left w:val="nil"/>
              <w:bottom w:val="single" w:sz="2" w:space="0" w:color="auto"/>
              <w:right w:val="nil"/>
            </w:tcBorders>
            <w:hideMark/>
          </w:tcPr>
          <w:p w14:paraId="7AC0EE07" w14:textId="77777777" w:rsidR="005B02CB" w:rsidRDefault="005B02CB">
            <w:pPr>
              <w:rPr>
                <w:b/>
                <w:bCs/>
                <w:sz w:val="18"/>
                <w:szCs w:val="18"/>
              </w:rPr>
            </w:pPr>
          </w:p>
        </w:tc>
        <w:tc>
          <w:tcPr>
            <w:tcW w:w="2384" w:type="dxa"/>
            <w:hideMark/>
          </w:tcPr>
          <w:p w14:paraId="56788DC2" w14:textId="77777777" w:rsidR="005B02CB" w:rsidRDefault="005B02CB">
            <w:pPr>
              <w:pStyle w:val="NormalWeb"/>
              <w:rPr>
                <w:sz w:val="18"/>
                <w:szCs w:val="18"/>
              </w:rPr>
            </w:pPr>
            <w:r>
              <w:rPr>
                <w:sz w:val="18"/>
                <w:szCs w:val="18"/>
              </w:rPr>
              <w:t>Inner and outer regional</w:t>
            </w:r>
          </w:p>
        </w:tc>
        <w:tc>
          <w:tcPr>
            <w:tcW w:w="985" w:type="dxa"/>
            <w:hideMark/>
          </w:tcPr>
          <w:p w14:paraId="69E33832" w14:textId="77777777" w:rsidR="005B02CB" w:rsidRDefault="005B02CB">
            <w:pPr>
              <w:pStyle w:val="NormalWeb"/>
              <w:rPr>
                <w:sz w:val="18"/>
                <w:szCs w:val="18"/>
              </w:rPr>
            </w:pPr>
            <w:r>
              <w:rPr>
                <w:sz w:val="18"/>
                <w:szCs w:val="18"/>
              </w:rPr>
              <w:t>92.5</w:t>
            </w:r>
          </w:p>
        </w:tc>
        <w:tc>
          <w:tcPr>
            <w:tcW w:w="985" w:type="dxa"/>
            <w:hideMark/>
          </w:tcPr>
          <w:p w14:paraId="4CEFC582" w14:textId="77777777" w:rsidR="005B02CB" w:rsidRDefault="005B02CB">
            <w:pPr>
              <w:pStyle w:val="NormalWeb"/>
              <w:rPr>
                <w:sz w:val="18"/>
                <w:szCs w:val="18"/>
              </w:rPr>
            </w:pPr>
            <w:r>
              <w:rPr>
                <w:sz w:val="18"/>
                <w:szCs w:val="18"/>
              </w:rPr>
              <w:t>95.0</w:t>
            </w:r>
          </w:p>
        </w:tc>
        <w:tc>
          <w:tcPr>
            <w:tcW w:w="985" w:type="dxa"/>
            <w:hideMark/>
          </w:tcPr>
          <w:p w14:paraId="2578E2EC" w14:textId="77777777" w:rsidR="005B02CB" w:rsidRDefault="005B02CB">
            <w:pPr>
              <w:pStyle w:val="NormalWeb"/>
              <w:rPr>
                <w:sz w:val="18"/>
                <w:szCs w:val="18"/>
              </w:rPr>
            </w:pPr>
            <w:r>
              <w:rPr>
                <w:sz w:val="18"/>
                <w:szCs w:val="18"/>
              </w:rPr>
              <w:t>90.9</w:t>
            </w:r>
          </w:p>
        </w:tc>
        <w:tc>
          <w:tcPr>
            <w:tcW w:w="985" w:type="dxa"/>
            <w:hideMark/>
          </w:tcPr>
          <w:p w14:paraId="29A63148" w14:textId="77777777" w:rsidR="005B02CB" w:rsidRDefault="005B02CB">
            <w:pPr>
              <w:pStyle w:val="NormalWeb"/>
              <w:rPr>
                <w:sz w:val="18"/>
                <w:szCs w:val="18"/>
              </w:rPr>
            </w:pPr>
            <w:r>
              <w:rPr>
                <w:sz w:val="18"/>
                <w:szCs w:val="18"/>
              </w:rPr>
              <w:t>89.5</w:t>
            </w:r>
          </w:p>
        </w:tc>
        <w:tc>
          <w:tcPr>
            <w:tcW w:w="985" w:type="dxa"/>
            <w:hideMark/>
          </w:tcPr>
          <w:p w14:paraId="67BD5DD0" w14:textId="77777777" w:rsidR="005B02CB" w:rsidRDefault="005B02CB">
            <w:pPr>
              <w:pStyle w:val="NormalWeb"/>
              <w:rPr>
                <w:sz w:val="18"/>
                <w:szCs w:val="18"/>
              </w:rPr>
            </w:pPr>
            <w:r>
              <w:rPr>
                <w:sz w:val="18"/>
                <w:szCs w:val="18"/>
              </w:rPr>
              <w:t>92.4</w:t>
            </w:r>
          </w:p>
        </w:tc>
        <w:tc>
          <w:tcPr>
            <w:tcW w:w="985" w:type="dxa"/>
            <w:hideMark/>
          </w:tcPr>
          <w:p w14:paraId="66C4D96A" w14:textId="77777777" w:rsidR="005B02CB" w:rsidRDefault="005B02CB">
            <w:pPr>
              <w:pStyle w:val="NormalWeb"/>
              <w:rPr>
                <w:sz w:val="18"/>
                <w:szCs w:val="18"/>
              </w:rPr>
            </w:pPr>
            <w:r>
              <w:rPr>
                <w:sz w:val="18"/>
                <w:szCs w:val="18"/>
              </w:rPr>
              <w:t>88.2</w:t>
            </w:r>
          </w:p>
        </w:tc>
        <w:tc>
          <w:tcPr>
            <w:tcW w:w="986" w:type="dxa"/>
            <w:hideMark/>
          </w:tcPr>
          <w:p w14:paraId="28D5A415" w14:textId="77777777" w:rsidR="005B02CB" w:rsidRDefault="005B02CB">
            <w:pPr>
              <w:pStyle w:val="NormalWeb"/>
              <w:rPr>
                <w:sz w:val="18"/>
                <w:szCs w:val="18"/>
              </w:rPr>
            </w:pPr>
            <w:r>
              <w:rPr>
                <w:sz w:val="18"/>
                <w:szCs w:val="18"/>
              </w:rPr>
              <w:t>95.1</w:t>
            </w:r>
          </w:p>
        </w:tc>
      </w:tr>
      <w:tr w:rsidR="005B02CB" w14:paraId="3373E31F" w14:textId="77777777" w:rsidTr="005B02CB">
        <w:tc>
          <w:tcPr>
            <w:tcW w:w="0" w:type="auto"/>
            <w:vMerge/>
            <w:tcBorders>
              <w:top w:val="nil"/>
              <w:left w:val="nil"/>
              <w:bottom w:val="single" w:sz="2" w:space="0" w:color="auto"/>
              <w:right w:val="nil"/>
            </w:tcBorders>
            <w:hideMark/>
          </w:tcPr>
          <w:p w14:paraId="70FCC96A" w14:textId="77777777" w:rsidR="005B02CB" w:rsidRDefault="005B02CB">
            <w:pPr>
              <w:rPr>
                <w:b/>
                <w:bCs/>
                <w:sz w:val="18"/>
                <w:szCs w:val="18"/>
              </w:rPr>
            </w:pPr>
          </w:p>
        </w:tc>
        <w:tc>
          <w:tcPr>
            <w:tcW w:w="2384" w:type="dxa"/>
            <w:tcBorders>
              <w:top w:val="nil"/>
              <w:left w:val="nil"/>
              <w:bottom w:val="single" w:sz="2" w:space="0" w:color="auto"/>
              <w:right w:val="nil"/>
            </w:tcBorders>
            <w:hideMark/>
          </w:tcPr>
          <w:p w14:paraId="2CC7ED08" w14:textId="77777777" w:rsidR="005B02CB" w:rsidRDefault="005B02CB">
            <w:pPr>
              <w:pStyle w:val="NormalWeb"/>
              <w:rPr>
                <w:sz w:val="18"/>
                <w:szCs w:val="18"/>
              </w:rPr>
            </w:pPr>
            <w:r>
              <w:rPr>
                <w:sz w:val="18"/>
                <w:szCs w:val="18"/>
              </w:rPr>
              <w:t>Remote and very remote</w:t>
            </w:r>
          </w:p>
        </w:tc>
        <w:tc>
          <w:tcPr>
            <w:tcW w:w="985" w:type="dxa"/>
            <w:tcBorders>
              <w:top w:val="nil"/>
              <w:left w:val="nil"/>
              <w:bottom w:val="single" w:sz="2" w:space="0" w:color="auto"/>
              <w:right w:val="nil"/>
            </w:tcBorders>
            <w:hideMark/>
          </w:tcPr>
          <w:p w14:paraId="0CDD19C3" w14:textId="77777777" w:rsidR="005B02CB" w:rsidRDefault="005B02CB">
            <w:pPr>
              <w:pStyle w:val="NormalWeb"/>
              <w:rPr>
                <w:sz w:val="18"/>
                <w:szCs w:val="18"/>
              </w:rPr>
            </w:pPr>
            <w:r>
              <w:rPr>
                <w:sz w:val="18"/>
                <w:szCs w:val="18"/>
              </w:rPr>
              <w:t>92.0</w:t>
            </w:r>
          </w:p>
        </w:tc>
        <w:tc>
          <w:tcPr>
            <w:tcW w:w="985" w:type="dxa"/>
            <w:tcBorders>
              <w:top w:val="nil"/>
              <w:left w:val="nil"/>
              <w:bottom w:val="single" w:sz="2" w:space="0" w:color="auto"/>
              <w:right w:val="nil"/>
            </w:tcBorders>
            <w:hideMark/>
          </w:tcPr>
          <w:p w14:paraId="1931F6C1" w14:textId="77777777" w:rsidR="005B02CB" w:rsidRDefault="005B02CB">
            <w:pPr>
              <w:pStyle w:val="NormalWeb"/>
              <w:rPr>
                <w:sz w:val="18"/>
                <w:szCs w:val="18"/>
              </w:rPr>
            </w:pPr>
            <w:r>
              <w:rPr>
                <w:sz w:val="18"/>
                <w:szCs w:val="18"/>
              </w:rPr>
              <w:t>94.8</w:t>
            </w:r>
          </w:p>
        </w:tc>
        <w:tc>
          <w:tcPr>
            <w:tcW w:w="985" w:type="dxa"/>
            <w:tcBorders>
              <w:top w:val="nil"/>
              <w:left w:val="nil"/>
              <w:bottom w:val="single" w:sz="2" w:space="0" w:color="auto"/>
              <w:right w:val="nil"/>
            </w:tcBorders>
            <w:hideMark/>
          </w:tcPr>
          <w:p w14:paraId="2CD40456" w14:textId="77777777" w:rsidR="005B02CB" w:rsidRDefault="005B02CB">
            <w:pPr>
              <w:pStyle w:val="NormalWeb"/>
              <w:rPr>
                <w:sz w:val="18"/>
                <w:szCs w:val="18"/>
              </w:rPr>
            </w:pPr>
            <w:r>
              <w:rPr>
                <w:sz w:val="18"/>
                <w:szCs w:val="18"/>
              </w:rPr>
              <w:t>91.0</w:t>
            </w:r>
          </w:p>
        </w:tc>
        <w:tc>
          <w:tcPr>
            <w:tcW w:w="985" w:type="dxa"/>
            <w:tcBorders>
              <w:top w:val="nil"/>
              <w:left w:val="nil"/>
              <w:bottom w:val="single" w:sz="2" w:space="0" w:color="auto"/>
              <w:right w:val="nil"/>
            </w:tcBorders>
            <w:hideMark/>
          </w:tcPr>
          <w:p w14:paraId="5CB70FE3" w14:textId="77777777" w:rsidR="005B02CB" w:rsidRDefault="005B02CB">
            <w:pPr>
              <w:pStyle w:val="NormalWeb"/>
              <w:rPr>
                <w:sz w:val="18"/>
                <w:szCs w:val="18"/>
              </w:rPr>
            </w:pPr>
            <w:r>
              <w:rPr>
                <w:sz w:val="18"/>
                <w:szCs w:val="18"/>
              </w:rPr>
              <w:t>88.2</w:t>
            </w:r>
          </w:p>
        </w:tc>
        <w:tc>
          <w:tcPr>
            <w:tcW w:w="985" w:type="dxa"/>
            <w:tcBorders>
              <w:top w:val="nil"/>
              <w:left w:val="nil"/>
              <w:bottom w:val="single" w:sz="2" w:space="0" w:color="auto"/>
              <w:right w:val="nil"/>
            </w:tcBorders>
            <w:hideMark/>
          </w:tcPr>
          <w:p w14:paraId="75E95D97" w14:textId="77777777" w:rsidR="005B02CB" w:rsidRDefault="005B02CB">
            <w:pPr>
              <w:pStyle w:val="NormalWeb"/>
              <w:rPr>
                <w:sz w:val="18"/>
                <w:szCs w:val="18"/>
              </w:rPr>
            </w:pPr>
            <w:r>
              <w:rPr>
                <w:sz w:val="18"/>
                <w:szCs w:val="18"/>
              </w:rPr>
              <w:t>92.0</w:t>
            </w:r>
          </w:p>
        </w:tc>
        <w:tc>
          <w:tcPr>
            <w:tcW w:w="985" w:type="dxa"/>
            <w:tcBorders>
              <w:top w:val="nil"/>
              <w:left w:val="nil"/>
              <w:bottom w:val="single" w:sz="2" w:space="0" w:color="auto"/>
              <w:right w:val="nil"/>
            </w:tcBorders>
            <w:hideMark/>
          </w:tcPr>
          <w:p w14:paraId="14B859CD" w14:textId="77777777" w:rsidR="005B02CB" w:rsidRDefault="005B02CB">
            <w:pPr>
              <w:pStyle w:val="NormalWeb"/>
              <w:rPr>
                <w:sz w:val="18"/>
                <w:szCs w:val="18"/>
              </w:rPr>
            </w:pPr>
            <w:r>
              <w:rPr>
                <w:sz w:val="18"/>
                <w:szCs w:val="18"/>
              </w:rPr>
              <w:t>86.7</w:t>
            </w:r>
          </w:p>
        </w:tc>
        <w:tc>
          <w:tcPr>
            <w:tcW w:w="986" w:type="dxa"/>
            <w:tcBorders>
              <w:top w:val="nil"/>
              <w:left w:val="nil"/>
              <w:bottom w:val="single" w:sz="2" w:space="0" w:color="auto"/>
              <w:right w:val="nil"/>
            </w:tcBorders>
            <w:hideMark/>
          </w:tcPr>
          <w:p w14:paraId="7F59CF55" w14:textId="77777777" w:rsidR="005B02CB" w:rsidRDefault="005B02CB">
            <w:pPr>
              <w:pStyle w:val="NormalWeb"/>
              <w:rPr>
                <w:sz w:val="18"/>
                <w:szCs w:val="18"/>
              </w:rPr>
            </w:pPr>
            <w:r>
              <w:rPr>
                <w:sz w:val="18"/>
                <w:szCs w:val="18"/>
              </w:rPr>
              <w:t>94.9</w:t>
            </w:r>
          </w:p>
        </w:tc>
      </w:tr>
      <w:tr w:rsidR="005B02CB" w14:paraId="73B07F2E" w14:textId="77777777" w:rsidTr="005B02CB">
        <w:trPr>
          <w:cnfStyle w:val="000000010000" w:firstRow="0" w:lastRow="0" w:firstColumn="0" w:lastColumn="0" w:oddVBand="0" w:evenVBand="0" w:oddHBand="0" w:evenHBand="1" w:firstRowFirstColumn="0" w:firstRowLastColumn="0" w:lastRowFirstColumn="0" w:lastRowLastColumn="0"/>
        </w:trPr>
        <w:tc>
          <w:tcPr>
            <w:tcW w:w="0" w:type="auto"/>
            <w:vMerge/>
            <w:tcBorders>
              <w:top w:val="nil"/>
              <w:left w:val="nil"/>
              <w:bottom w:val="single" w:sz="2" w:space="0" w:color="auto"/>
              <w:right w:val="nil"/>
            </w:tcBorders>
            <w:hideMark/>
          </w:tcPr>
          <w:p w14:paraId="7FDCDDD2" w14:textId="77777777" w:rsidR="005B02CB" w:rsidRDefault="005B02CB">
            <w:pPr>
              <w:rPr>
                <w:b/>
                <w:bCs/>
                <w:sz w:val="18"/>
                <w:szCs w:val="18"/>
              </w:rPr>
            </w:pPr>
          </w:p>
        </w:tc>
        <w:tc>
          <w:tcPr>
            <w:tcW w:w="2384" w:type="dxa"/>
            <w:tcBorders>
              <w:top w:val="single" w:sz="2" w:space="0" w:color="auto"/>
              <w:left w:val="nil"/>
              <w:bottom w:val="single" w:sz="2" w:space="0" w:color="auto"/>
              <w:right w:val="nil"/>
            </w:tcBorders>
            <w:shd w:val="clear" w:color="auto" w:fill="F7ECDD"/>
            <w:hideMark/>
          </w:tcPr>
          <w:p w14:paraId="5736BF05" w14:textId="77777777" w:rsidR="005B02CB" w:rsidRDefault="005B02CB">
            <w:pPr>
              <w:pStyle w:val="NormalWeb"/>
              <w:rPr>
                <w:b/>
                <w:bCs/>
                <w:sz w:val="18"/>
                <w:szCs w:val="18"/>
              </w:rPr>
            </w:pPr>
            <w:r>
              <w:rPr>
                <w:b/>
                <w:bCs/>
                <w:sz w:val="18"/>
                <w:szCs w:val="18"/>
              </w:rPr>
              <w:t>All</w:t>
            </w:r>
          </w:p>
        </w:tc>
        <w:tc>
          <w:tcPr>
            <w:tcW w:w="985" w:type="dxa"/>
            <w:tcBorders>
              <w:top w:val="single" w:sz="2" w:space="0" w:color="auto"/>
              <w:left w:val="nil"/>
              <w:bottom w:val="single" w:sz="2" w:space="0" w:color="auto"/>
              <w:right w:val="nil"/>
            </w:tcBorders>
            <w:shd w:val="clear" w:color="auto" w:fill="F7ECDD"/>
            <w:hideMark/>
          </w:tcPr>
          <w:p w14:paraId="6A4AF4DC" w14:textId="77777777" w:rsidR="005B02CB" w:rsidRDefault="005B02CB">
            <w:pPr>
              <w:pStyle w:val="NormalWeb"/>
              <w:rPr>
                <w:b/>
                <w:bCs/>
                <w:sz w:val="18"/>
                <w:szCs w:val="18"/>
              </w:rPr>
            </w:pPr>
            <w:r>
              <w:rPr>
                <w:b/>
                <w:bCs/>
                <w:sz w:val="18"/>
                <w:szCs w:val="18"/>
              </w:rPr>
              <w:t>92.4</w:t>
            </w:r>
          </w:p>
        </w:tc>
        <w:tc>
          <w:tcPr>
            <w:tcW w:w="985" w:type="dxa"/>
            <w:tcBorders>
              <w:top w:val="single" w:sz="2" w:space="0" w:color="auto"/>
              <w:left w:val="nil"/>
              <w:bottom w:val="single" w:sz="2" w:space="0" w:color="auto"/>
              <w:right w:val="nil"/>
            </w:tcBorders>
            <w:shd w:val="clear" w:color="auto" w:fill="F7ECDD"/>
            <w:hideMark/>
          </w:tcPr>
          <w:p w14:paraId="58A09827" w14:textId="77777777" w:rsidR="005B02CB" w:rsidRDefault="005B02CB">
            <w:pPr>
              <w:pStyle w:val="NormalWeb"/>
              <w:rPr>
                <w:b/>
                <w:bCs/>
                <w:sz w:val="18"/>
                <w:szCs w:val="18"/>
              </w:rPr>
            </w:pPr>
            <w:r>
              <w:rPr>
                <w:b/>
                <w:bCs/>
                <w:sz w:val="18"/>
                <w:szCs w:val="18"/>
              </w:rPr>
              <w:t>94.9</w:t>
            </w:r>
          </w:p>
        </w:tc>
        <w:tc>
          <w:tcPr>
            <w:tcW w:w="985" w:type="dxa"/>
            <w:tcBorders>
              <w:top w:val="single" w:sz="2" w:space="0" w:color="auto"/>
              <w:left w:val="nil"/>
              <w:bottom w:val="single" w:sz="2" w:space="0" w:color="auto"/>
              <w:right w:val="nil"/>
            </w:tcBorders>
            <w:shd w:val="clear" w:color="auto" w:fill="F7ECDD"/>
            <w:hideMark/>
          </w:tcPr>
          <w:p w14:paraId="23F9F027" w14:textId="77777777" w:rsidR="005B02CB" w:rsidRDefault="005B02CB">
            <w:pPr>
              <w:pStyle w:val="NormalWeb"/>
              <w:rPr>
                <w:b/>
                <w:bCs/>
                <w:sz w:val="18"/>
                <w:szCs w:val="18"/>
              </w:rPr>
            </w:pPr>
            <w:r>
              <w:rPr>
                <w:b/>
                <w:bCs/>
                <w:sz w:val="18"/>
                <w:szCs w:val="18"/>
              </w:rPr>
              <w:t>90.8</w:t>
            </w:r>
          </w:p>
        </w:tc>
        <w:tc>
          <w:tcPr>
            <w:tcW w:w="985" w:type="dxa"/>
            <w:tcBorders>
              <w:top w:val="single" w:sz="2" w:space="0" w:color="auto"/>
              <w:left w:val="nil"/>
              <w:bottom w:val="single" w:sz="2" w:space="0" w:color="auto"/>
              <w:right w:val="nil"/>
            </w:tcBorders>
            <w:shd w:val="clear" w:color="auto" w:fill="F7ECDD"/>
            <w:hideMark/>
          </w:tcPr>
          <w:p w14:paraId="467ED5CB" w14:textId="77777777" w:rsidR="005B02CB" w:rsidRDefault="005B02CB">
            <w:pPr>
              <w:pStyle w:val="NormalWeb"/>
              <w:rPr>
                <w:b/>
                <w:bCs/>
                <w:sz w:val="18"/>
                <w:szCs w:val="18"/>
              </w:rPr>
            </w:pPr>
            <w:r>
              <w:rPr>
                <w:b/>
                <w:bCs/>
                <w:sz w:val="18"/>
                <w:szCs w:val="18"/>
              </w:rPr>
              <w:t>89.3</w:t>
            </w:r>
          </w:p>
        </w:tc>
        <w:tc>
          <w:tcPr>
            <w:tcW w:w="985" w:type="dxa"/>
            <w:tcBorders>
              <w:top w:val="single" w:sz="2" w:space="0" w:color="auto"/>
              <w:left w:val="nil"/>
              <w:bottom w:val="single" w:sz="2" w:space="0" w:color="auto"/>
              <w:right w:val="nil"/>
            </w:tcBorders>
            <w:shd w:val="clear" w:color="auto" w:fill="F7ECDD"/>
            <w:hideMark/>
          </w:tcPr>
          <w:p w14:paraId="0ADCAD7B" w14:textId="77777777" w:rsidR="005B02CB" w:rsidRDefault="005B02CB">
            <w:pPr>
              <w:pStyle w:val="NormalWeb"/>
              <w:rPr>
                <w:b/>
                <w:bCs/>
                <w:sz w:val="18"/>
                <w:szCs w:val="18"/>
              </w:rPr>
            </w:pPr>
            <w:r>
              <w:rPr>
                <w:b/>
                <w:bCs/>
                <w:sz w:val="18"/>
                <w:szCs w:val="18"/>
              </w:rPr>
              <w:t>92.1</w:t>
            </w:r>
          </w:p>
        </w:tc>
        <w:tc>
          <w:tcPr>
            <w:tcW w:w="985" w:type="dxa"/>
            <w:tcBorders>
              <w:top w:val="single" w:sz="2" w:space="0" w:color="auto"/>
              <w:left w:val="nil"/>
              <w:bottom w:val="single" w:sz="2" w:space="0" w:color="auto"/>
              <w:right w:val="nil"/>
            </w:tcBorders>
            <w:shd w:val="clear" w:color="auto" w:fill="F7ECDD"/>
            <w:hideMark/>
          </w:tcPr>
          <w:p w14:paraId="4EF80E44" w14:textId="77777777" w:rsidR="005B02CB" w:rsidRDefault="005B02CB">
            <w:pPr>
              <w:pStyle w:val="NormalWeb"/>
              <w:rPr>
                <w:b/>
                <w:bCs/>
                <w:sz w:val="18"/>
                <w:szCs w:val="18"/>
              </w:rPr>
            </w:pPr>
            <w:r>
              <w:rPr>
                <w:b/>
                <w:bCs/>
                <w:sz w:val="18"/>
                <w:szCs w:val="18"/>
              </w:rPr>
              <w:t>88.2</w:t>
            </w:r>
          </w:p>
        </w:tc>
        <w:tc>
          <w:tcPr>
            <w:tcW w:w="986" w:type="dxa"/>
            <w:tcBorders>
              <w:top w:val="single" w:sz="2" w:space="0" w:color="auto"/>
              <w:left w:val="nil"/>
              <w:bottom w:val="single" w:sz="2" w:space="0" w:color="auto"/>
              <w:right w:val="nil"/>
            </w:tcBorders>
            <w:shd w:val="clear" w:color="auto" w:fill="F7ECDD"/>
            <w:hideMark/>
          </w:tcPr>
          <w:p w14:paraId="1D482497" w14:textId="77777777" w:rsidR="005B02CB" w:rsidRDefault="005B02CB">
            <w:pPr>
              <w:pStyle w:val="NormalWeb"/>
              <w:rPr>
                <w:b/>
                <w:bCs/>
                <w:sz w:val="18"/>
                <w:szCs w:val="18"/>
              </w:rPr>
            </w:pPr>
            <w:r>
              <w:rPr>
                <w:b/>
                <w:bCs/>
                <w:sz w:val="18"/>
                <w:szCs w:val="18"/>
              </w:rPr>
              <w:t>94.7</w:t>
            </w:r>
          </w:p>
        </w:tc>
      </w:tr>
      <w:tr w:rsidR="005B02CB" w14:paraId="4508B55F" w14:textId="77777777" w:rsidTr="005B02CB">
        <w:tc>
          <w:tcPr>
            <w:tcW w:w="1160" w:type="dxa"/>
            <w:vMerge w:val="restart"/>
            <w:tcBorders>
              <w:top w:val="nil"/>
              <w:left w:val="nil"/>
              <w:bottom w:val="single" w:sz="2" w:space="0" w:color="auto"/>
              <w:right w:val="nil"/>
            </w:tcBorders>
            <w:shd w:val="clear" w:color="auto" w:fill="BBA991"/>
            <w:hideMark/>
          </w:tcPr>
          <w:p w14:paraId="550C0F1B" w14:textId="77777777" w:rsidR="005B02CB" w:rsidRDefault="005B02CB">
            <w:pPr>
              <w:pStyle w:val="NormalWeb"/>
              <w:rPr>
                <w:b/>
                <w:bCs/>
                <w:sz w:val="18"/>
                <w:szCs w:val="18"/>
              </w:rPr>
            </w:pPr>
            <w:r>
              <w:rPr>
                <w:b/>
                <w:bCs/>
                <w:sz w:val="18"/>
                <w:szCs w:val="18"/>
              </w:rPr>
              <w:t>All children</w:t>
            </w:r>
          </w:p>
        </w:tc>
        <w:tc>
          <w:tcPr>
            <w:tcW w:w="2384" w:type="dxa"/>
            <w:tcBorders>
              <w:top w:val="single" w:sz="2" w:space="0" w:color="auto"/>
              <w:left w:val="nil"/>
              <w:bottom w:val="nil"/>
              <w:right w:val="nil"/>
            </w:tcBorders>
            <w:hideMark/>
          </w:tcPr>
          <w:p w14:paraId="4AAC6157" w14:textId="77777777" w:rsidR="005B02CB" w:rsidRDefault="005B02CB">
            <w:pPr>
              <w:pStyle w:val="NormalWeb"/>
              <w:rPr>
                <w:sz w:val="18"/>
                <w:szCs w:val="18"/>
              </w:rPr>
            </w:pPr>
            <w:r>
              <w:rPr>
                <w:sz w:val="18"/>
                <w:szCs w:val="18"/>
              </w:rPr>
              <w:t>Major cities</w:t>
            </w:r>
          </w:p>
        </w:tc>
        <w:tc>
          <w:tcPr>
            <w:tcW w:w="985" w:type="dxa"/>
            <w:tcBorders>
              <w:top w:val="single" w:sz="2" w:space="0" w:color="auto"/>
              <w:left w:val="nil"/>
              <w:bottom w:val="nil"/>
              <w:right w:val="nil"/>
            </w:tcBorders>
            <w:hideMark/>
          </w:tcPr>
          <w:p w14:paraId="521F1AF9" w14:textId="77777777" w:rsidR="005B02CB" w:rsidRDefault="005B02CB">
            <w:pPr>
              <w:pStyle w:val="NormalWeb"/>
              <w:rPr>
                <w:sz w:val="18"/>
                <w:szCs w:val="18"/>
              </w:rPr>
            </w:pPr>
            <w:r>
              <w:rPr>
                <w:sz w:val="18"/>
                <w:szCs w:val="18"/>
              </w:rPr>
              <w:t>92.2</w:t>
            </w:r>
          </w:p>
        </w:tc>
        <w:tc>
          <w:tcPr>
            <w:tcW w:w="985" w:type="dxa"/>
            <w:tcBorders>
              <w:top w:val="single" w:sz="2" w:space="0" w:color="auto"/>
              <w:left w:val="nil"/>
              <w:bottom w:val="nil"/>
              <w:right w:val="nil"/>
            </w:tcBorders>
            <w:hideMark/>
          </w:tcPr>
          <w:p w14:paraId="0E5AB088" w14:textId="77777777" w:rsidR="005B02CB" w:rsidRDefault="005B02CB">
            <w:pPr>
              <w:pStyle w:val="NormalWeb"/>
              <w:rPr>
                <w:sz w:val="18"/>
                <w:szCs w:val="18"/>
              </w:rPr>
            </w:pPr>
            <w:r>
              <w:rPr>
                <w:sz w:val="18"/>
                <w:szCs w:val="18"/>
              </w:rPr>
              <w:t>94.9</w:t>
            </w:r>
          </w:p>
        </w:tc>
        <w:tc>
          <w:tcPr>
            <w:tcW w:w="985" w:type="dxa"/>
            <w:tcBorders>
              <w:top w:val="single" w:sz="2" w:space="0" w:color="auto"/>
              <w:left w:val="nil"/>
              <w:bottom w:val="nil"/>
              <w:right w:val="nil"/>
            </w:tcBorders>
            <w:hideMark/>
          </w:tcPr>
          <w:p w14:paraId="4832FE5D" w14:textId="77777777" w:rsidR="005B02CB" w:rsidRDefault="005B02CB">
            <w:pPr>
              <w:pStyle w:val="NormalWeb"/>
              <w:rPr>
                <w:sz w:val="18"/>
                <w:szCs w:val="18"/>
              </w:rPr>
            </w:pPr>
            <w:r>
              <w:rPr>
                <w:sz w:val="18"/>
                <w:szCs w:val="18"/>
              </w:rPr>
              <w:t>90.7</w:t>
            </w:r>
          </w:p>
        </w:tc>
        <w:tc>
          <w:tcPr>
            <w:tcW w:w="985" w:type="dxa"/>
            <w:tcBorders>
              <w:top w:val="single" w:sz="2" w:space="0" w:color="auto"/>
              <w:left w:val="nil"/>
              <w:bottom w:val="nil"/>
              <w:right w:val="nil"/>
            </w:tcBorders>
            <w:hideMark/>
          </w:tcPr>
          <w:p w14:paraId="67550F06" w14:textId="77777777" w:rsidR="005B02CB" w:rsidRDefault="005B02CB">
            <w:pPr>
              <w:pStyle w:val="NormalWeb"/>
              <w:rPr>
                <w:sz w:val="18"/>
                <w:szCs w:val="18"/>
              </w:rPr>
            </w:pPr>
            <w:r>
              <w:rPr>
                <w:sz w:val="18"/>
                <w:szCs w:val="18"/>
              </w:rPr>
              <w:t>89.2</w:t>
            </w:r>
          </w:p>
        </w:tc>
        <w:tc>
          <w:tcPr>
            <w:tcW w:w="985" w:type="dxa"/>
            <w:tcBorders>
              <w:top w:val="single" w:sz="2" w:space="0" w:color="auto"/>
              <w:left w:val="nil"/>
              <w:bottom w:val="nil"/>
              <w:right w:val="nil"/>
            </w:tcBorders>
            <w:hideMark/>
          </w:tcPr>
          <w:p w14:paraId="452E3FD5" w14:textId="77777777" w:rsidR="005B02CB" w:rsidRDefault="005B02CB">
            <w:pPr>
              <w:pStyle w:val="NormalWeb"/>
              <w:rPr>
                <w:sz w:val="18"/>
                <w:szCs w:val="18"/>
              </w:rPr>
            </w:pPr>
            <w:r>
              <w:rPr>
                <w:sz w:val="18"/>
                <w:szCs w:val="18"/>
              </w:rPr>
              <w:t>92.1</w:t>
            </w:r>
          </w:p>
        </w:tc>
        <w:tc>
          <w:tcPr>
            <w:tcW w:w="985" w:type="dxa"/>
            <w:tcBorders>
              <w:top w:val="single" w:sz="2" w:space="0" w:color="auto"/>
              <w:left w:val="nil"/>
              <w:bottom w:val="nil"/>
              <w:right w:val="nil"/>
            </w:tcBorders>
            <w:hideMark/>
          </w:tcPr>
          <w:p w14:paraId="1A53A260" w14:textId="77777777" w:rsidR="005B02CB" w:rsidRDefault="005B02CB">
            <w:pPr>
              <w:pStyle w:val="NormalWeb"/>
              <w:rPr>
                <w:sz w:val="18"/>
                <w:szCs w:val="18"/>
              </w:rPr>
            </w:pPr>
            <w:r>
              <w:rPr>
                <w:sz w:val="18"/>
                <w:szCs w:val="18"/>
              </w:rPr>
              <w:t>88.2</w:t>
            </w:r>
          </w:p>
        </w:tc>
        <w:tc>
          <w:tcPr>
            <w:tcW w:w="986" w:type="dxa"/>
            <w:tcBorders>
              <w:top w:val="single" w:sz="2" w:space="0" w:color="auto"/>
              <w:left w:val="nil"/>
              <w:bottom w:val="nil"/>
              <w:right w:val="nil"/>
            </w:tcBorders>
            <w:hideMark/>
          </w:tcPr>
          <w:p w14:paraId="1589081B" w14:textId="77777777" w:rsidR="005B02CB" w:rsidRDefault="005B02CB">
            <w:pPr>
              <w:pStyle w:val="NormalWeb"/>
              <w:rPr>
                <w:sz w:val="18"/>
                <w:szCs w:val="18"/>
              </w:rPr>
            </w:pPr>
            <w:r>
              <w:rPr>
                <w:sz w:val="18"/>
                <w:szCs w:val="18"/>
              </w:rPr>
              <w:t>94.7</w:t>
            </w:r>
          </w:p>
        </w:tc>
      </w:tr>
      <w:tr w:rsidR="005B02CB" w14:paraId="6FF64726" w14:textId="77777777" w:rsidTr="005B02CB">
        <w:trPr>
          <w:cnfStyle w:val="000000010000" w:firstRow="0" w:lastRow="0" w:firstColumn="0" w:lastColumn="0" w:oddVBand="0" w:evenVBand="0" w:oddHBand="0" w:evenHBand="1" w:firstRowFirstColumn="0" w:firstRowLastColumn="0" w:lastRowFirstColumn="0" w:lastRowLastColumn="0"/>
        </w:trPr>
        <w:tc>
          <w:tcPr>
            <w:tcW w:w="0" w:type="auto"/>
            <w:vMerge/>
            <w:tcBorders>
              <w:top w:val="nil"/>
              <w:left w:val="nil"/>
              <w:bottom w:val="single" w:sz="2" w:space="0" w:color="auto"/>
              <w:right w:val="nil"/>
            </w:tcBorders>
            <w:hideMark/>
          </w:tcPr>
          <w:p w14:paraId="7A22D4E0" w14:textId="77777777" w:rsidR="005B02CB" w:rsidRDefault="005B02CB">
            <w:pPr>
              <w:rPr>
                <w:b/>
                <w:bCs/>
                <w:sz w:val="18"/>
                <w:szCs w:val="18"/>
              </w:rPr>
            </w:pPr>
          </w:p>
        </w:tc>
        <w:tc>
          <w:tcPr>
            <w:tcW w:w="2384" w:type="dxa"/>
            <w:hideMark/>
          </w:tcPr>
          <w:p w14:paraId="254D8DA3" w14:textId="77777777" w:rsidR="005B02CB" w:rsidRDefault="005B02CB">
            <w:pPr>
              <w:pStyle w:val="NormalWeb"/>
              <w:rPr>
                <w:sz w:val="18"/>
                <w:szCs w:val="18"/>
              </w:rPr>
            </w:pPr>
            <w:r>
              <w:rPr>
                <w:sz w:val="18"/>
                <w:szCs w:val="18"/>
              </w:rPr>
              <w:t>Inner and outer regional</w:t>
            </w:r>
          </w:p>
        </w:tc>
        <w:tc>
          <w:tcPr>
            <w:tcW w:w="985" w:type="dxa"/>
            <w:hideMark/>
          </w:tcPr>
          <w:p w14:paraId="2B3F6E39" w14:textId="77777777" w:rsidR="005B02CB" w:rsidRDefault="005B02CB">
            <w:pPr>
              <w:pStyle w:val="NormalWeb"/>
              <w:rPr>
                <w:sz w:val="18"/>
                <w:szCs w:val="18"/>
              </w:rPr>
            </w:pPr>
            <w:r>
              <w:rPr>
                <w:sz w:val="18"/>
                <w:szCs w:val="18"/>
              </w:rPr>
              <w:t>91.7</w:t>
            </w:r>
          </w:p>
        </w:tc>
        <w:tc>
          <w:tcPr>
            <w:tcW w:w="985" w:type="dxa"/>
            <w:hideMark/>
          </w:tcPr>
          <w:p w14:paraId="3B74498A" w14:textId="77777777" w:rsidR="005B02CB" w:rsidRDefault="005B02CB">
            <w:pPr>
              <w:pStyle w:val="NormalWeb"/>
              <w:rPr>
                <w:sz w:val="18"/>
                <w:szCs w:val="18"/>
              </w:rPr>
            </w:pPr>
            <w:r>
              <w:rPr>
                <w:sz w:val="18"/>
                <w:szCs w:val="18"/>
              </w:rPr>
              <w:t>94.8</w:t>
            </w:r>
          </w:p>
        </w:tc>
        <w:tc>
          <w:tcPr>
            <w:tcW w:w="985" w:type="dxa"/>
            <w:hideMark/>
          </w:tcPr>
          <w:p w14:paraId="7735FBE3" w14:textId="77777777" w:rsidR="005B02CB" w:rsidRDefault="005B02CB">
            <w:pPr>
              <w:pStyle w:val="NormalWeb"/>
              <w:rPr>
                <w:sz w:val="18"/>
                <w:szCs w:val="18"/>
              </w:rPr>
            </w:pPr>
            <w:r>
              <w:rPr>
                <w:sz w:val="18"/>
                <w:szCs w:val="18"/>
              </w:rPr>
              <w:t>90.7</w:t>
            </w:r>
          </w:p>
        </w:tc>
        <w:tc>
          <w:tcPr>
            <w:tcW w:w="985" w:type="dxa"/>
            <w:hideMark/>
          </w:tcPr>
          <w:p w14:paraId="6D0D1B9D" w14:textId="77777777" w:rsidR="005B02CB" w:rsidRDefault="005B02CB">
            <w:pPr>
              <w:pStyle w:val="NormalWeb"/>
              <w:rPr>
                <w:sz w:val="18"/>
                <w:szCs w:val="18"/>
              </w:rPr>
            </w:pPr>
            <w:r>
              <w:rPr>
                <w:sz w:val="18"/>
                <w:szCs w:val="18"/>
              </w:rPr>
              <w:t>89.0</w:t>
            </w:r>
          </w:p>
        </w:tc>
        <w:tc>
          <w:tcPr>
            <w:tcW w:w="985" w:type="dxa"/>
            <w:hideMark/>
          </w:tcPr>
          <w:p w14:paraId="2AE94275" w14:textId="77777777" w:rsidR="005B02CB" w:rsidRDefault="005B02CB">
            <w:pPr>
              <w:pStyle w:val="NormalWeb"/>
              <w:rPr>
                <w:sz w:val="18"/>
                <w:szCs w:val="18"/>
              </w:rPr>
            </w:pPr>
            <w:r>
              <w:rPr>
                <w:sz w:val="18"/>
                <w:szCs w:val="18"/>
              </w:rPr>
              <w:t>92.3</w:t>
            </w:r>
          </w:p>
        </w:tc>
        <w:tc>
          <w:tcPr>
            <w:tcW w:w="985" w:type="dxa"/>
            <w:hideMark/>
          </w:tcPr>
          <w:p w14:paraId="51A7560C" w14:textId="77777777" w:rsidR="005B02CB" w:rsidRDefault="005B02CB">
            <w:pPr>
              <w:pStyle w:val="NormalWeb"/>
              <w:rPr>
                <w:sz w:val="18"/>
                <w:szCs w:val="18"/>
              </w:rPr>
            </w:pPr>
            <w:r>
              <w:rPr>
                <w:sz w:val="18"/>
                <w:szCs w:val="18"/>
              </w:rPr>
              <w:t>87.9</w:t>
            </w:r>
          </w:p>
        </w:tc>
        <w:tc>
          <w:tcPr>
            <w:tcW w:w="986" w:type="dxa"/>
            <w:hideMark/>
          </w:tcPr>
          <w:p w14:paraId="1B9CF882" w14:textId="77777777" w:rsidR="005B02CB" w:rsidRDefault="005B02CB">
            <w:pPr>
              <w:pStyle w:val="NormalWeb"/>
              <w:rPr>
                <w:sz w:val="18"/>
                <w:szCs w:val="18"/>
              </w:rPr>
            </w:pPr>
            <w:r>
              <w:rPr>
                <w:sz w:val="18"/>
                <w:szCs w:val="18"/>
              </w:rPr>
              <w:t>95.3</w:t>
            </w:r>
          </w:p>
        </w:tc>
      </w:tr>
      <w:tr w:rsidR="005B02CB" w14:paraId="1FDA1C93" w14:textId="77777777" w:rsidTr="005B02CB">
        <w:tc>
          <w:tcPr>
            <w:tcW w:w="0" w:type="auto"/>
            <w:vMerge/>
            <w:tcBorders>
              <w:top w:val="nil"/>
              <w:left w:val="nil"/>
              <w:bottom w:val="single" w:sz="2" w:space="0" w:color="auto"/>
              <w:right w:val="nil"/>
            </w:tcBorders>
            <w:hideMark/>
          </w:tcPr>
          <w:p w14:paraId="56147849" w14:textId="77777777" w:rsidR="005B02CB" w:rsidRDefault="005B02CB">
            <w:pPr>
              <w:rPr>
                <w:b/>
                <w:bCs/>
                <w:sz w:val="18"/>
                <w:szCs w:val="18"/>
              </w:rPr>
            </w:pPr>
          </w:p>
        </w:tc>
        <w:tc>
          <w:tcPr>
            <w:tcW w:w="2384" w:type="dxa"/>
            <w:tcBorders>
              <w:top w:val="nil"/>
              <w:left w:val="nil"/>
              <w:bottom w:val="single" w:sz="2" w:space="0" w:color="auto"/>
              <w:right w:val="nil"/>
            </w:tcBorders>
            <w:hideMark/>
          </w:tcPr>
          <w:p w14:paraId="6A576F8B" w14:textId="77777777" w:rsidR="005B02CB" w:rsidRDefault="005B02CB">
            <w:pPr>
              <w:pStyle w:val="NormalWeb"/>
              <w:rPr>
                <w:sz w:val="18"/>
                <w:szCs w:val="18"/>
              </w:rPr>
            </w:pPr>
            <w:r>
              <w:rPr>
                <w:sz w:val="18"/>
                <w:szCs w:val="18"/>
              </w:rPr>
              <w:t>Remote and very remote</w:t>
            </w:r>
          </w:p>
        </w:tc>
        <w:tc>
          <w:tcPr>
            <w:tcW w:w="985" w:type="dxa"/>
            <w:tcBorders>
              <w:top w:val="nil"/>
              <w:left w:val="nil"/>
              <w:bottom w:val="single" w:sz="2" w:space="0" w:color="auto"/>
              <w:right w:val="nil"/>
            </w:tcBorders>
            <w:hideMark/>
          </w:tcPr>
          <w:p w14:paraId="375F1E55" w14:textId="77777777" w:rsidR="005B02CB" w:rsidRDefault="005B02CB">
            <w:pPr>
              <w:pStyle w:val="NormalWeb"/>
              <w:rPr>
                <w:sz w:val="18"/>
                <w:szCs w:val="18"/>
              </w:rPr>
            </w:pPr>
            <w:r>
              <w:rPr>
                <w:sz w:val="18"/>
                <w:szCs w:val="18"/>
              </w:rPr>
              <w:t>88.8</w:t>
            </w:r>
          </w:p>
        </w:tc>
        <w:tc>
          <w:tcPr>
            <w:tcW w:w="985" w:type="dxa"/>
            <w:tcBorders>
              <w:top w:val="nil"/>
              <w:left w:val="nil"/>
              <w:bottom w:val="single" w:sz="2" w:space="0" w:color="auto"/>
              <w:right w:val="nil"/>
            </w:tcBorders>
            <w:hideMark/>
          </w:tcPr>
          <w:p w14:paraId="571B7FDD" w14:textId="77777777" w:rsidR="005B02CB" w:rsidRDefault="005B02CB">
            <w:pPr>
              <w:pStyle w:val="NormalWeb"/>
              <w:rPr>
                <w:sz w:val="18"/>
                <w:szCs w:val="18"/>
              </w:rPr>
            </w:pPr>
            <w:r>
              <w:rPr>
                <w:sz w:val="18"/>
                <w:szCs w:val="18"/>
              </w:rPr>
              <w:t>94.0</w:t>
            </w:r>
          </w:p>
        </w:tc>
        <w:tc>
          <w:tcPr>
            <w:tcW w:w="985" w:type="dxa"/>
            <w:tcBorders>
              <w:top w:val="nil"/>
              <w:left w:val="nil"/>
              <w:bottom w:val="single" w:sz="2" w:space="0" w:color="auto"/>
              <w:right w:val="nil"/>
            </w:tcBorders>
            <w:hideMark/>
          </w:tcPr>
          <w:p w14:paraId="55052B15" w14:textId="77777777" w:rsidR="005B02CB" w:rsidRDefault="005B02CB">
            <w:pPr>
              <w:pStyle w:val="NormalWeb"/>
              <w:rPr>
                <w:sz w:val="18"/>
                <w:szCs w:val="18"/>
              </w:rPr>
            </w:pPr>
            <w:r>
              <w:rPr>
                <w:sz w:val="18"/>
                <w:szCs w:val="18"/>
              </w:rPr>
              <w:t>88.6</w:t>
            </w:r>
          </w:p>
        </w:tc>
        <w:tc>
          <w:tcPr>
            <w:tcW w:w="985" w:type="dxa"/>
            <w:tcBorders>
              <w:top w:val="nil"/>
              <w:left w:val="nil"/>
              <w:bottom w:val="single" w:sz="2" w:space="0" w:color="auto"/>
              <w:right w:val="nil"/>
            </w:tcBorders>
            <w:hideMark/>
          </w:tcPr>
          <w:p w14:paraId="4252B0C0" w14:textId="77777777" w:rsidR="005B02CB" w:rsidRDefault="005B02CB">
            <w:pPr>
              <w:pStyle w:val="NormalWeb"/>
              <w:rPr>
                <w:sz w:val="18"/>
                <w:szCs w:val="18"/>
              </w:rPr>
            </w:pPr>
            <w:r>
              <w:rPr>
                <w:sz w:val="18"/>
                <w:szCs w:val="18"/>
              </w:rPr>
              <w:t>84.0</w:t>
            </w:r>
          </w:p>
        </w:tc>
        <w:tc>
          <w:tcPr>
            <w:tcW w:w="985" w:type="dxa"/>
            <w:tcBorders>
              <w:top w:val="nil"/>
              <w:left w:val="nil"/>
              <w:bottom w:val="single" w:sz="2" w:space="0" w:color="auto"/>
              <w:right w:val="nil"/>
            </w:tcBorders>
            <w:hideMark/>
          </w:tcPr>
          <w:p w14:paraId="795393B5" w14:textId="77777777" w:rsidR="005B02CB" w:rsidRDefault="005B02CB">
            <w:pPr>
              <w:pStyle w:val="NormalWeb"/>
              <w:rPr>
                <w:sz w:val="18"/>
                <w:szCs w:val="18"/>
              </w:rPr>
            </w:pPr>
            <w:r>
              <w:rPr>
                <w:sz w:val="18"/>
                <w:szCs w:val="18"/>
              </w:rPr>
              <w:t>90.5</w:t>
            </w:r>
          </w:p>
        </w:tc>
        <w:tc>
          <w:tcPr>
            <w:tcW w:w="985" w:type="dxa"/>
            <w:tcBorders>
              <w:top w:val="nil"/>
              <w:left w:val="nil"/>
              <w:bottom w:val="single" w:sz="2" w:space="0" w:color="auto"/>
              <w:right w:val="nil"/>
            </w:tcBorders>
            <w:hideMark/>
          </w:tcPr>
          <w:p w14:paraId="16567E6B" w14:textId="77777777" w:rsidR="005B02CB" w:rsidRDefault="005B02CB">
            <w:pPr>
              <w:pStyle w:val="NormalWeb"/>
              <w:rPr>
                <w:sz w:val="18"/>
                <w:szCs w:val="18"/>
              </w:rPr>
            </w:pPr>
            <w:r>
              <w:rPr>
                <w:sz w:val="18"/>
                <w:szCs w:val="18"/>
              </w:rPr>
              <w:t>85.3</w:t>
            </w:r>
          </w:p>
        </w:tc>
        <w:tc>
          <w:tcPr>
            <w:tcW w:w="986" w:type="dxa"/>
            <w:tcBorders>
              <w:top w:val="nil"/>
              <w:left w:val="nil"/>
              <w:bottom w:val="single" w:sz="2" w:space="0" w:color="auto"/>
              <w:right w:val="nil"/>
            </w:tcBorders>
            <w:hideMark/>
          </w:tcPr>
          <w:p w14:paraId="0F3C857F" w14:textId="77777777" w:rsidR="005B02CB" w:rsidRDefault="005B02CB">
            <w:pPr>
              <w:pStyle w:val="NormalWeb"/>
              <w:rPr>
                <w:sz w:val="18"/>
                <w:szCs w:val="18"/>
              </w:rPr>
            </w:pPr>
            <w:r>
              <w:rPr>
                <w:sz w:val="18"/>
                <w:szCs w:val="18"/>
              </w:rPr>
              <w:t>95.6</w:t>
            </w:r>
          </w:p>
        </w:tc>
      </w:tr>
      <w:tr w:rsidR="005B02CB" w14:paraId="439D63E9" w14:textId="77777777" w:rsidTr="005B02CB">
        <w:trPr>
          <w:cnfStyle w:val="000000010000" w:firstRow="0" w:lastRow="0" w:firstColumn="0" w:lastColumn="0" w:oddVBand="0" w:evenVBand="0" w:oddHBand="0" w:evenHBand="1" w:firstRowFirstColumn="0" w:firstRowLastColumn="0" w:lastRowFirstColumn="0" w:lastRowLastColumn="0"/>
        </w:trPr>
        <w:tc>
          <w:tcPr>
            <w:tcW w:w="0" w:type="auto"/>
            <w:vMerge/>
            <w:tcBorders>
              <w:top w:val="nil"/>
              <w:left w:val="nil"/>
              <w:bottom w:val="single" w:sz="2" w:space="0" w:color="auto"/>
              <w:right w:val="nil"/>
            </w:tcBorders>
            <w:hideMark/>
          </w:tcPr>
          <w:p w14:paraId="0D86F92A" w14:textId="77777777" w:rsidR="005B02CB" w:rsidRDefault="005B02CB">
            <w:pPr>
              <w:rPr>
                <w:b/>
                <w:bCs/>
                <w:sz w:val="18"/>
                <w:szCs w:val="18"/>
              </w:rPr>
            </w:pPr>
          </w:p>
        </w:tc>
        <w:tc>
          <w:tcPr>
            <w:tcW w:w="2384" w:type="dxa"/>
            <w:tcBorders>
              <w:top w:val="single" w:sz="2" w:space="0" w:color="auto"/>
              <w:left w:val="nil"/>
              <w:bottom w:val="single" w:sz="2" w:space="0" w:color="auto"/>
              <w:right w:val="nil"/>
            </w:tcBorders>
            <w:shd w:val="clear" w:color="auto" w:fill="F7ECDD"/>
            <w:hideMark/>
          </w:tcPr>
          <w:p w14:paraId="0E1177DC" w14:textId="77777777" w:rsidR="005B02CB" w:rsidRDefault="005B02CB">
            <w:pPr>
              <w:pStyle w:val="NormalWeb"/>
              <w:rPr>
                <w:b/>
                <w:bCs/>
                <w:sz w:val="18"/>
                <w:szCs w:val="18"/>
              </w:rPr>
            </w:pPr>
            <w:r>
              <w:rPr>
                <w:b/>
                <w:bCs/>
                <w:sz w:val="18"/>
                <w:szCs w:val="18"/>
              </w:rPr>
              <w:t>All</w:t>
            </w:r>
          </w:p>
        </w:tc>
        <w:tc>
          <w:tcPr>
            <w:tcW w:w="985" w:type="dxa"/>
            <w:tcBorders>
              <w:top w:val="single" w:sz="2" w:space="0" w:color="auto"/>
              <w:left w:val="nil"/>
              <w:bottom w:val="single" w:sz="2" w:space="0" w:color="auto"/>
              <w:right w:val="nil"/>
            </w:tcBorders>
            <w:shd w:val="clear" w:color="auto" w:fill="F7ECDD"/>
            <w:hideMark/>
          </w:tcPr>
          <w:p w14:paraId="4F2FDDDB" w14:textId="77777777" w:rsidR="005B02CB" w:rsidRDefault="005B02CB">
            <w:pPr>
              <w:pStyle w:val="NormalWeb"/>
              <w:rPr>
                <w:b/>
                <w:bCs/>
                <w:sz w:val="18"/>
                <w:szCs w:val="18"/>
              </w:rPr>
            </w:pPr>
            <w:r>
              <w:rPr>
                <w:b/>
                <w:bCs/>
                <w:sz w:val="18"/>
                <w:szCs w:val="18"/>
              </w:rPr>
              <w:t>92.0</w:t>
            </w:r>
          </w:p>
        </w:tc>
        <w:tc>
          <w:tcPr>
            <w:tcW w:w="985" w:type="dxa"/>
            <w:tcBorders>
              <w:top w:val="single" w:sz="2" w:space="0" w:color="auto"/>
              <w:left w:val="nil"/>
              <w:bottom w:val="single" w:sz="2" w:space="0" w:color="auto"/>
              <w:right w:val="nil"/>
            </w:tcBorders>
            <w:shd w:val="clear" w:color="auto" w:fill="F7ECDD"/>
            <w:hideMark/>
          </w:tcPr>
          <w:p w14:paraId="7A5EF777" w14:textId="77777777" w:rsidR="005B02CB" w:rsidRDefault="005B02CB">
            <w:pPr>
              <w:pStyle w:val="NormalWeb"/>
              <w:rPr>
                <w:b/>
                <w:bCs/>
                <w:sz w:val="18"/>
                <w:szCs w:val="18"/>
              </w:rPr>
            </w:pPr>
            <w:r>
              <w:rPr>
                <w:b/>
                <w:bCs/>
                <w:sz w:val="18"/>
                <w:szCs w:val="18"/>
              </w:rPr>
              <w:t>94.8</w:t>
            </w:r>
          </w:p>
        </w:tc>
        <w:tc>
          <w:tcPr>
            <w:tcW w:w="985" w:type="dxa"/>
            <w:tcBorders>
              <w:top w:val="single" w:sz="2" w:space="0" w:color="auto"/>
              <w:left w:val="nil"/>
              <w:bottom w:val="single" w:sz="2" w:space="0" w:color="auto"/>
              <w:right w:val="nil"/>
            </w:tcBorders>
            <w:shd w:val="clear" w:color="auto" w:fill="F7ECDD"/>
            <w:hideMark/>
          </w:tcPr>
          <w:p w14:paraId="2848996D" w14:textId="77777777" w:rsidR="005B02CB" w:rsidRDefault="005B02CB">
            <w:pPr>
              <w:pStyle w:val="NormalWeb"/>
              <w:rPr>
                <w:b/>
                <w:bCs/>
                <w:sz w:val="18"/>
                <w:szCs w:val="18"/>
              </w:rPr>
            </w:pPr>
            <w:r>
              <w:rPr>
                <w:b/>
                <w:bCs/>
                <w:sz w:val="18"/>
                <w:szCs w:val="18"/>
              </w:rPr>
              <w:t>90.6</w:t>
            </w:r>
          </w:p>
        </w:tc>
        <w:tc>
          <w:tcPr>
            <w:tcW w:w="985" w:type="dxa"/>
            <w:tcBorders>
              <w:top w:val="single" w:sz="2" w:space="0" w:color="auto"/>
              <w:left w:val="nil"/>
              <w:bottom w:val="single" w:sz="2" w:space="0" w:color="auto"/>
              <w:right w:val="nil"/>
            </w:tcBorders>
            <w:shd w:val="clear" w:color="auto" w:fill="F7ECDD"/>
            <w:hideMark/>
          </w:tcPr>
          <w:p w14:paraId="0432B48E" w14:textId="77777777" w:rsidR="005B02CB" w:rsidRDefault="005B02CB">
            <w:pPr>
              <w:pStyle w:val="NormalWeb"/>
              <w:rPr>
                <w:b/>
                <w:bCs/>
                <w:sz w:val="18"/>
                <w:szCs w:val="18"/>
              </w:rPr>
            </w:pPr>
            <w:r>
              <w:rPr>
                <w:b/>
                <w:bCs/>
                <w:sz w:val="18"/>
                <w:szCs w:val="18"/>
              </w:rPr>
              <w:t>89.0</w:t>
            </w:r>
          </w:p>
        </w:tc>
        <w:tc>
          <w:tcPr>
            <w:tcW w:w="985" w:type="dxa"/>
            <w:tcBorders>
              <w:top w:val="single" w:sz="2" w:space="0" w:color="auto"/>
              <w:left w:val="nil"/>
              <w:bottom w:val="single" w:sz="2" w:space="0" w:color="auto"/>
              <w:right w:val="nil"/>
            </w:tcBorders>
            <w:shd w:val="clear" w:color="auto" w:fill="F7ECDD"/>
            <w:hideMark/>
          </w:tcPr>
          <w:p w14:paraId="284569C7" w14:textId="77777777" w:rsidR="005B02CB" w:rsidRDefault="005B02CB">
            <w:pPr>
              <w:pStyle w:val="NormalWeb"/>
              <w:rPr>
                <w:b/>
                <w:bCs/>
                <w:sz w:val="18"/>
                <w:szCs w:val="18"/>
              </w:rPr>
            </w:pPr>
            <w:r>
              <w:rPr>
                <w:b/>
                <w:bCs/>
                <w:sz w:val="18"/>
                <w:szCs w:val="18"/>
              </w:rPr>
              <w:t>92.1</w:t>
            </w:r>
          </w:p>
        </w:tc>
        <w:tc>
          <w:tcPr>
            <w:tcW w:w="985" w:type="dxa"/>
            <w:tcBorders>
              <w:top w:val="single" w:sz="2" w:space="0" w:color="auto"/>
              <w:left w:val="nil"/>
              <w:bottom w:val="single" w:sz="2" w:space="0" w:color="auto"/>
              <w:right w:val="nil"/>
            </w:tcBorders>
            <w:shd w:val="clear" w:color="auto" w:fill="F7ECDD"/>
            <w:hideMark/>
          </w:tcPr>
          <w:p w14:paraId="09F7C7FF" w14:textId="77777777" w:rsidR="005B02CB" w:rsidRDefault="005B02CB">
            <w:pPr>
              <w:pStyle w:val="NormalWeb"/>
              <w:rPr>
                <w:b/>
                <w:bCs/>
                <w:sz w:val="18"/>
                <w:szCs w:val="18"/>
              </w:rPr>
            </w:pPr>
            <w:r>
              <w:rPr>
                <w:b/>
                <w:bCs/>
                <w:sz w:val="18"/>
                <w:szCs w:val="18"/>
              </w:rPr>
              <w:t>88.0</w:t>
            </w:r>
          </w:p>
        </w:tc>
        <w:tc>
          <w:tcPr>
            <w:tcW w:w="986" w:type="dxa"/>
            <w:tcBorders>
              <w:top w:val="single" w:sz="2" w:space="0" w:color="auto"/>
              <w:left w:val="nil"/>
              <w:bottom w:val="single" w:sz="2" w:space="0" w:color="auto"/>
              <w:right w:val="nil"/>
            </w:tcBorders>
            <w:shd w:val="clear" w:color="auto" w:fill="F7ECDD"/>
            <w:hideMark/>
          </w:tcPr>
          <w:p w14:paraId="01C026CE" w14:textId="77777777" w:rsidR="005B02CB" w:rsidRDefault="005B02CB">
            <w:pPr>
              <w:pStyle w:val="NormalWeb"/>
              <w:rPr>
                <w:b/>
                <w:bCs/>
                <w:sz w:val="18"/>
                <w:szCs w:val="18"/>
              </w:rPr>
            </w:pPr>
            <w:r>
              <w:rPr>
                <w:b/>
                <w:bCs/>
                <w:sz w:val="18"/>
                <w:szCs w:val="18"/>
              </w:rPr>
              <w:t>94.8</w:t>
            </w:r>
          </w:p>
        </w:tc>
      </w:tr>
    </w:tbl>
    <w:p w14:paraId="080EA888" w14:textId="77777777" w:rsidR="005B02CB" w:rsidRDefault="005B02CB" w:rsidP="005B02CB">
      <w:pPr>
        <w:pStyle w:val="CDIfootnotes"/>
        <w:rPr>
          <w:lang w:val="en-GB"/>
        </w:rPr>
      </w:pPr>
      <w:proofErr w:type="spellStart"/>
      <w:r>
        <w:rPr>
          <w:lang w:val="en-GB"/>
        </w:rPr>
        <w:t>a</w:t>
      </w:r>
      <w:proofErr w:type="spellEnd"/>
      <w:r>
        <w:rPr>
          <w:lang w:val="en-GB"/>
        </w:rPr>
        <w:tab/>
      </w:r>
      <w:proofErr w:type="gramStart"/>
      <w:r>
        <w:rPr>
          <w:lang w:val="en-GB"/>
        </w:rPr>
        <w:t>The</w:t>
      </w:r>
      <w:proofErr w:type="gramEnd"/>
      <w:r>
        <w:rPr>
          <w:lang w:val="en-GB"/>
        </w:rPr>
        <w:t xml:space="preserve"> coverage algorithm used for 9/21/51 month milestones is the same as that used for 12/24/60 month milestones, respectively; the algorithm used for 15 months is the same as that for 24 months but excludes doses due at 18 months; for further detail regarding algorithms, refer to Table A.2 in Appendix A.</w:t>
      </w:r>
    </w:p>
    <w:p w14:paraId="35642D71" w14:textId="77777777" w:rsidR="005B02CB" w:rsidRDefault="005B02CB" w:rsidP="005B02CB">
      <w:pPr>
        <w:pStyle w:val="CDIfootnotes"/>
        <w:rPr>
          <w:lang w:val="en-GB"/>
        </w:rPr>
      </w:pPr>
      <w:r>
        <w:rPr>
          <w:lang w:val="en-GB"/>
        </w:rPr>
        <w:t>b</w:t>
      </w:r>
      <w:r>
        <w:rPr>
          <w:lang w:val="en-GB"/>
        </w:rPr>
        <w:tab/>
        <w:t>Accessibility/Remoteness Index of Australia (ARIA++).</w:t>
      </w:r>
    </w:p>
    <w:p w14:paraId="5F301F31" w14:textId="77777777" w:rsidR="005B02CB" w:rsidRDefault="005B02CB" w:rsidP="005B02CB">
      <w:pPr>
        <w:pStyle w:val="CDIfootnotes"/>
        <w:rPr>
          <w:lang w:val="en-GB"/>
        </w:rPr>
      </w:pPr>
      <w:r>
        <w:rPr>
          <w:lang w:val="en-GB"/>
        </w:rPr>
        <w:t>c</w:t>
      </w:r>
      <w:r>
        <w:rPr>
          <w:lang w:val="en-GB"/>
        </w:rPr>
        <w:tab/>
        <w:t xml:space="preserve">Source: Australian Immunisation Register, data as </w:t>
      </w:r>
      <w:proofErr w:type="gramStart"/>
      <w:r>
        <w:rPr>
          <w:lang w:val="en-GB"/>
        </w:rPr>
        <w:t>at</w:t>
      </w:r>
      <w:proofErr w:type="gramEnd"/>
      <w:r>
        <w:rPr>
          <w:lang w:val="en-GB"/>
        </w:rPr>
        <w:t xml:space="preserve"> 31 March 2021.</w:t>
      </w:r>
    </w:p>
    <w:p w14:paraId="54297E28" w14:textId="77777777" w:rsidR="005B02CB" w:rsidRDefault="005B02CB" w:rsidP="005B02CB">
      <w:pPr>
        <w:pStyle w:val="CDIfootnotes"/>
        <w:rPr>
          <w:lang w:val="en-GB"/>
        </w:rPr>
      </w:pPr>
      <w:r>
        <w:rPr>
          <w:lang w:val="en-GB"/>
        </w:rPr>
        <w:t>d</w:t>
      </w:r>
      <w:r>
        <w:rPr>
          <w:lang w:val="en-GB"/>
        </w:rPr>
        <w:tab/>
      </w:r>
      <w:proofErr w:type="spellStart"/>
      <w:r>
        <w:rPr>
          <w:lang w:val="en-GB"/>
        </w:rPr>
        <w:t>mo</w:t>
      </w:r>
      <w:proofErr w:type="spellEnd"/>
      <w:r>
        <w:rPr>
          <w:lang w:val="en-GB"/>
        </w:rPr>
        <w:t>: months.</w:t>
      </w:r>
    </w:p>
    <w:p w14:paraId="56D998D3" w14:textId="77777777" w:rsidR="005B02CB" w:rsidRDefault="005B02CB" w:rsidP="005B02CB">
      <w:pPr>
        <w:pStyle w:val="CDIfootnotes"/>
        <w:rPr>
          <w:lang w:val="en-GB"/>
        </w:rPr>
      </w:pPr>
      <w:r>
        <w:rPr>
          <w:lang w:val="en-GB"/>
        </w:rPr>
        <w:t>e</w:t>
      </w:r>
      <w:r>
        <w:rPr>
          <w:lang w:val="en-GB"/>
        </w:rPr>
        <w:tab/>
        <w:t>Cohort born 1 January 2019 – 31 December 2019.</w:t>
      </w:r>
    </w:p>
    <w:p w14:paraId="74C8BDC0" w14:textId="77777777" w:rsidR="005B02CB" w:rsidRDefault="005B02CB" w:rsidP="005B02CB">
      <w:pPr>
        <w:pStyle w:val="CDIfootnotes"/>
        <w:rPr>
          <w:lang w:val="en-GB"/>
        </w:rPr>
      </w:pPr>
      <w:r>
        <w:rPr>
          <w:lang w:val="en-GB"/>
        </w:rPr>
        <w:t>f</w:t>
      </w:r>
      <w:r>
        <w:rPr>
          <w:lang w:val="en-GB"/>
        </w:rPr>
        <w:tab/>
        <w:t>Cohort born 1 January 2018 – 31 December 2018.</w:t>
      </w:r>
    </w:p>
    <w:p w14:paraId="54246C8E" w14:textId="77777777" w:rsidR="005B02CB" w:rsidRDefault="005B02CB" w:rsidP="005B02CB">
      <w:pPr>
        <w:pStyle w:val="CDIfootnotes"/>
        <w:rPr>
          <w:lang w:val="en-GB"/>
        </w:rPr>
      </w:pPr>
      <w:r>
        <w:rPr>
          <w:lang w:val="en-GB"/>
        </w:rPr>
        <w:t>g</w:t>
      </w:r>
      <w:r>
        <w:rPr>
          <w:lang w:val="en-GB"/>
        </w:rPr>
        <w:tab/>
        <w:t>Cohort born 1 January 2015 – 31 December 2015.</w:t>
      </w:r>
    </w:p>
    <w:p w14:paraId="1D9F14B1" w14:textId="77777777" w:rsidR="00417819" w:rsidRPr="00F95725" w:rsidRDefault="00417819" w:rsidP="00417819">
      <w:pPr>
        <w:pStyle w:val="CDIFigures"/>
        <w:rPr>
          <w:b w:val="0"/>
          <w:bCs/>
        </w:rPr>
      </w:pPr>
      <w:r w:rsidRPr="00F95725">
        <w:rPr>
          <w:rStyle w:val="Strong"/>
          <w:b/>
          <w:bCs w:val="0"/>
        </w:rPr>
        <w:t xml:space="preserve">Table 4: ‘Fully vaccinated’ coverage estimates assessed at earlier (9, 15, 21, 51) and standard (12, 24, 60 months: shaded) age </w:t>
      </w:r>
      <w:proofErr w:type="spellStart"/>
      <w:proofErr w:type="gramStart"/>
      <w:r w:rsidRPr="00F95725">
        <w:rPr>
          <w:rStyle w:val="Strong"/>
          <w:b/>
          <w:bCs w:val="0"/>
        </w:rPr>
        <w:t>milestones,</w:t>
      </w:r>
      <w:r w:rsidRPr="00F95725">
        <w:rPr>
          <w:rStyle w:val="Strong"/>
          <w:b/>
          <w:bCs w:val="0"/>
          <w:vertAlign w:val="superscript"/>
        </w:rPr>
        <w:t>a</w:t>
      </w:r>
      <w:proofErr w:type="spellEnd"/>
      <w:proofErr w:type="gramEnd"/>
      <w:r w:rsidRPr="00F95725">
        <w:rPr>
          <w:rStyle w:val="Strong"/>
          <w:b/>
          <w:bCs w:val="0"/>
        </w:rPr>
        <w:t xml:space="preserve"> by socio-economic status of area of </w:t>
      </w:r>
      <w:proofErr w:type="spellStart"/>
      <w:r w:rsidRPr="00F95725">
        <w:rPr>
          <w:rStyle w:val="Strong"/>
          <w:b/>
          <w:bCs w:val="0"/>
        </w:rPr>
        <w:t>residence,b</w:t>
      </w:r>
      <w:proofErr w:type="spellEnd"/>
      <w:r w:rsidRPr="00F95725">
        <w:rPr>
          <w:rStyle w:val="Strong"/>
          <w:b/>
          <w:bCs w:val="0"/>
        </w:rPr>
        <w:t xml:space="preserve"> Australia, 2020</w:t>
      </w:r>
      <w:r w:rsidRPr="00F95725">
        <w:rPr>
          <w:rStyle w:val="Strong"/>
          <w:b/>
          <w:bCs w:val="0"/>
          <w:vertAlign w:val="superscript"/>
        </w:rPr>
        <w:t>c</w:t>
      </w:r>
    </w:p>
    <w:tbl>
      <w:tblPr>
        <w:tblStyle w:val="CDI-StandardTable"/>
        <w:tblW w:w="0" w:type="auto"/>
        <w:tblCellMar>
          <w:left w:w="113" w:type="dxa"/>
          <w:right w:w="113" w:type="dxa"/>
        </w:tblCellMar>
        <w:tblLook w:val="04A0" w:firstRow="1" w:lastRow="0" w:firstColumn="1" w:lastColumn="0" w:noHBand="0" w:noVBand="1"/>
        <w:tblDescription w:val="Table 4 also presents ‘fully vaccinated’ coverage estimates assessed three months after last vaccine dose due, along with the standard 12-month, 24-month, and 60-month milestones in 2020. When stratified by the socioeconomic status of the area of residence, in 2020, children residing in areas included in the most advantaged (fifth) quintile had 1.9-3.1 percentage points higher ‘fully vaccinated’ coverage than children in the least advantaged (first) quintile for the youngest three early assessment ages (9, 15, and 21 months). However, this gap decreased at the 51 months age point, where coverage in the most advantaged quintile was only 0.9 of a percentage point higher than that in the least advantaged quintile. Coverage at the standard milestones was higher, and the disparity between the most and least advantaged quintiles lower.&#10;"/>
      </w:tblPr>
      <w:tblGrid>
        <w:gridCol w:w="2835"/>
        <w:gridCol w:w="851"/>
        <w:gridCol w:w="992"/>
        <w:gridCol w:w="992"/>
        <w:gridCol w:w="993"/>
        <w:gridCol w:w="992"/>
        <w:gridCol w:w="1276"/>
        <w:gridCol w:w="1509"/>
      </w:tblGrid>
      <w:tr w:rsidR="00417819" w14:paraId="3175B2CD" w14:textId="77777777" w:rsidTr="00417819">
        <w:trPr>
          <w:cnfStyle w:val="100000000000" w:firstRow="1" w:lastRow="0" w:firstColumn="0" w:lastColumn="0" w:oddVBand="0" w:evenVBand="0" w:oddHBand="0" w:evenHBand="0" w:firstRowFirstColumn="0" w:firstRowLastColumn="0" w:lastRowFirstColumn="0" w:lastRowLastColumn="0"/>
        </w:trPr>
        <w:tc>
          <w:tcPr>
            <w:tcW w:w="2835" w:type="dxa"/>
            <w:tcBorders>
              <w:top w:val="nil"/>
              <w:left w:val="nil"/>
              <w:bottom w:val="nil"/>
            </w:tcBorders>
            <w:hideMark/>
          </w:tcPr>
          <w:p w14:paraId="7AE99227" w14:textId="77777777" w:rsidR="00417819" w:rsidRDefault="00417819">
            <w:pPr>
              <w:pStyle w:val="NormalWeb"/>
              <w:jc w:val="left"/>
              <w:rPr>
                <w:sz w:val="18"/>
                <w:szCs w:val="18"/>
              </w:rPr>
            </w:pPr>
            <w:r>
              <w:rPr>
                <w:sz w:val="18"/>
                <w:szCs w:val="18"/>
              </w:rPr>
              <w:t>SEIFA quintile</w:t>
            </w:r>
          </w:p>
        </w:tc>
        <w:tc>
          <w:tcPr>
            <w:tcW w:w="851" w:type="dxa"/>
            <w:tcBorders>
              <w:top w:val="nil"/>
              <w:bottom w:val="nil"/>
            </w:tcBorders>
            <w:hideMark/>
          </w:tcPr>
          <w:p w14:paraId="6D98E9C9" w14:textId="77777777" w:rsidR="00417819" w:rsidRDefault="00417819">
            <w:pPr>
              <w:pStyle w:val="NormalWeb"/>
              <w:rPr>
                <w:sz w:val="18"/>
                <w:szCs w:val="18"/>
              </w:rPr>
            </w:pPr>
            <w:r>
              <w:rPr>
                <w:sz w:val="18"/>
                <w:szCs w:val="18"/>
              </w:rPr>
              <w:t xml:space="preserve">9 </w:t>
            </w:r>
            <w:proofErr w:type="spellStart"/>
            <w:proofErr w:type="gramStart"/>
            <w:r>
              <w:rPr>
                <w:sz w:val="18"/>
                <w:szCs w:val="18"/>
              </w:rPr>
              <w:t>mo</w:t>
            </w:r>
            <w:r>
              <w:rPr>
                <w:sz w:val="18"/>
                <w:szCs w:val="18"/>
                <w:vertAlign w:val="superscript"/>
              </w:rPr>
              <w:t>d,e</w:t>
            </w:r>
            <w:proofErr w:type="spellEnd"/>
            <w:proofErr w:type="gramEnd"/>
            <w:r>
              <w:rPr>
                <w:sz w:val="18"/>
                <w:szCs w:val="18"/>
              </w:rPr>
              <w:br/>
              <w:t>(%)</w:t>
            </w:r>
          </w:p>
        </w:tc>
        <w:tc>
          <w:tcPr>
            <w:tcW w:w="992" w:type="dxa"/>
            <w:tcBorders>
              <w:top w:val="nil"/>
              <w:bottom w:val="nil"/>
            </w:tcBorders>
            <w:hideMark/>
          </w:tcPr>
          <w:p w14:paraId="1E4DBB88" w14:textId="77777777" w:rsidR="00417819" w:rsidRDefault="00417819">
            <w:pPr>
              <w:pStyle w:val="NormalWeb"/>
              <w:rPr>
                <w:sz w:val="18"/>
                <w:szCs w:val="18"/>
              </w:rPr>
            </w:pPr>
            <w:r>
              <w:rPr>
                <w:sz w:val="18"/>
                <w:szCs w:val="18"/>
              </w:rPr>
              <w:t xml:space="preserve">12 </w:t>
            </w:r>
            <w:proofErr w:type="spellStart"/>
            <w:proofErr w:type="gramStart"/>
            <w:r>
              <w:rPr>
                <w:sz w:val="18"/>
                <w:szCs w:val="18"/>
              </w:rPr>
              <w:t>mo</w:t>
            </w:r>
            <w:r>
              <w:rPr>
                <w:sz w:val="18"/>
                <w:szCs w:val="18"/>
                <w:vertAlign w:val="superscript"/>
              </w:rPr>
              <w:t>d,e</w:t>
            </w:r>
            <w:proofErr w:type="spellEnd"/>
            <w:proofErr w:type="gramEnd"/>
            <w:r>
              <w:rPr>
                <w:sz w:val="18"/>
                <w:szCs w:val="18"/>
              </w:rPr>
              <w:br/>
              <w:t>(%)</w:t>
            </w:r>
          </w:p>
        </w:tc>
        <w:tc>
          <w:tcPr>
            <w:tcW w:w="992" w:type="dxa"/>
            <w:tcBorders>
              <w:top w:val="nil"/>
              <w:bottom w:val="nil"/>
            </w:tcBorders>
            <w:hideMark/>
          </w:tcPr>
          <w:p w14:paraId="27201F75" w14:textId="77777777" w:rsidR="00417819" w:rsidRDefault="00417819">
            <w:pPr>
              <w:pStyle w:val="NormalWeb"/>
              <w:rPr>
                <w:sz w:val="18"/>
                <w:szCs w:val="18"/>
              </w:rPr>
            </w:pPr>
            <w:r>
              <w:rPr>
                <w:sz w:val="18"/>
                <w:szCs w:val="18"/>
              </w:rPr>
              <w:t xml:space="preserve">15 </w:t>
            </w:r>
            <w:proofErr w:type="spellStart"/>
            <w:proofErr w:type="gramStart"/>
            <w:r>
              <w:rPr>
                <w:sz w:val="18"/>
                <w:szCs w:val="18"/>
              </w:rPr>
              <w:t>mo</w:t>
            </w:r>
            <w:r>
              <w:rPr>
                <w:sz w:val="18"/>
                <w:szCs w:val="18"/>
                <w:vertAlign w:val="superscript"/>
              </w:rPr>
              <w:t>d,f</w:t>
            </w:r>
            <w:proofErr w:type="spellEnd"/>
            <w:proofErr w:type="gramEnd"/>
            <w:r>
              <w:rPr>
                <w:sz w:val="18"/>
                <w:szCs w:val="18"/>
              </w:rPr>
              <w:br/>
              <w:t>(%)</w:t>
            </w:r>
          </w:p>
        </w:tc>
        <w:tc>
          <w:tcPr>
            <w:tcW w:w="993" w:type="dxa"/>
            <w:tcBorders>
              <w:top w:val="nil"/>
              <w:bottom w:val="nil"/>
            </w:tcBorders>
            <w:hideMark/>
          </w:tcPr>
          <w:p w14:paraId="1663972F" w14:textId="77777777" w:rsidR="00417819" w:rsidRDefault="00417819">
            <w:pPr>
              <w:pStyle w:val="NormalWeb"/>
              <w:rPr>
                <w:sz w:val="18"/>
                <w:szCs w:val="18"/>
              </w:rPr>
            </w:pPr>
            <w:r>
              <w:rPr>
                <w:sz w:val="18"/>
                <w:szCs w:val="18"/>
              </w:rPr>
              <w:t xml:space="preserve">21 </w:t>
            </w:r>
            <w:proofErr w:type="spellStart"/>
            <w:proofErr w:type="gramStart"/>
            <w:r>
              <w:rPr>
                <w:sz w:val="18"/>
                <w:szCs w:val="18"/>
              </w:rPr>
              <w:t>mo</w:t>
            </w:r>
            <w:r>
              <w:rPr>
                <w:sz w:val="18"/>
                <w:szCs w:val="18"/>
                <w:vertAlign w:val="superscript"/>
              </w:rPr>
              <w:t>d,f</w:t>
            </w:r>
            <w:proofErr w:type="spellEnd"/>
            <w:proofErr w:type="gramEnd"/>
            <w:r>
              <w:rPr>
                <w:sz w:val="18"/>
                <w:szCs w:val="18"/>
              </w:rPr>
              <w:br/>
              <w:t>(%)</w:t>
            </w:r>
          </w:p>
        </w:tc>
        <w:tc>
          <w:tcPr>
            <w:tcW w:w="992" w:type="dxa"/>
            <w:tcBorders>
              <w:top w:val="nil"/>
              <w:bottom w:val="nil"/>
            </w:tcBorders>
            <w:hideMark/>
          </w:tcPr>
          <w:p w14:paraId="05ABAB16" w14:textId="77777777" w:rsidR="00417819" w:rsidRDefault="00417819">
            <w:pPr>
              <w:pStyle w:val="NormalWeb"/>
              <w:rPr>
                <w:sz w:val="18"/>
                <w:szCs w:val="18"/>
              </w:rPr>
            </w:pPr>
            <w:r>
              <w:rPr>
                <w:sz w:val="18"/>
                <w:szCs w:val="18"/>
              </w:rPr>
              <w:t xml:space="preserve">24 </w:t>
            </w:r>
            <w:proofErr w:type="spellStart"/>
            <w:proofErr w:type="gramStart"/>
            <w:r>
              <w:rPr>
                <w:sz w:val="18"/>
                <w:szCs w:val="18"/>
              </w:rPr>
              <w:t>mo</w:t>
            </w:r>
            <w:r>
              <w:rPr>
                <w:sz w:val="18"/>
                <w:szCs w:val="18"/>
                <w:vertAlign w:val="superscript"/>
              </w:rPr>
              <w:t>d,f</w:t>
            </w:r>
            <w:proofErr w:type="spellEnd"/>
            <w:proofErr w:type="gramEnd"/>
            <w:r>
              <w:rPr>
                <w:sz w:val="18"/>
                <w:szCs w:val="18"/>
              </w:rPr>
              <w:br/>
              <w:t>(%)</w:t>
            </w:r>
          </w:p>
        </w:tc>
        <w:tc>
          <w:tcPr>
            <w:tcW w:w="1276" w:type="dxa"/>
            <w:tcBorders>
              <w:top w:val="nil"/>
              <w:bottom w:val="nil"/>
            </w:tcBorders>
            <w:hideMark/>
          </w:tcPr>
          <w:p w14:paraId="25CF29A2" w14:textId="77777777" w:rsidR="00417819" w:rsidRDefault="00417819">
            <w:pPr>
              <w:pStyle w:val="NormalWeb"/>
              <w:rPr>
                <w:sz w:val="18"/>
                <w:szCs w:val="18"/>
              </w:rPr>
            </w:pPr>
            <w:r>
              <w:rPr>
                <w:sz w:val="18"/>
                <w:szCs w:val="18"/>
              </w:rPr>
              <w:t xml:space="preserve">51 </w:t>
            </w:r>
            <w:proofErr w:type="spellStart"/>
            <w:proofErr w:type="gramStart"/>
            <w:r>
              <w:rPr>
                <w:sz w:val="18"/>
                <w:szCs w:val="18"/>
              </w:rPr>
              <w:t>mo</w:t>
            </w:r>
            <w:r>
              <w:rPr>
                <w:sz w:val="18"/>
                <w:szCs w:val="18"/>
                <w:vertAlign w:val="superscript"/>
              </w:rPr>
              <w:t>d,g</w:t>
            </w:r>
            <w:proofErr w:type="spellEnd"/>
            <w:proofErr w:type="gramEnd"/>
            <w:r>
              <w:rPr>
                <w:sz w:val="18"/>
                <w:szCs w:val="18"/>
              </w:rPr>
              <w:br/>
              <w:t>(%)</w:t>
            </w:r>
          </w:p>
        </w:tc>
        <w:tc>
          <w:tcPr>
            <w:tcW w:w="1509" w:type="dxa"/>
            <w:tcBorders>
              <w:top w:val="nil"/>
              <w:bottom w:val="nil"/>
              <w:right w:val="nil"/>
            </w:tcBorders>
            <w:hideMark/>
          </w:tcPr>
          <w:p w14:paraId="177D0000" w14:textId="77777777" w:rsidR="00417819" w:rsidRDefault="00417819">
            <w:pPr>
              <w:pStyle w:val="NormalWeb"/>
              <w:rPr>
                <w:sz w:val="18"/>
                <w:szCs w:val="18"/>
              </w:rPr>
            </w:pPr>
            <w:r>
              <w:rPr>
                <w:sz w:val="18"/>
                <w:szCs w:val="18"/>
              </w:rPr>
              <w:t xml:space="preserve">60 </w:t>
            </w:r>
            <w:proofErr w:type="spellStart"/>
            <w:proofErr w:type="gramStart"/>
            <w:r>
              <w:rPr>
                <w:sz w:val="18"/>
                <w:szCs w:val="18"/>
              </w:rPr>
              <w:t>mo</w:t>
            </w:r>
            <w:r>
              <w:rPr>
                <w:sz w:val="18"/>
                <w:szCs w:val="18"/>
                <w:vertAlign w:val="superscript"/>
              </w:rPr>
              <w:t>d,g</w:t>
            </w:r>
            <w:proofErr w:type="spellEnd"/>
            <w:proofErr w:type="gramEnd"/>
            <w:r>
              <w:rPr>
                <w:sz w:val="18"/>
                <w:szCs w:val="18"/>
              </w:rPr>
              <w:br/>
              <w:t>(%)</w:t>
            </w:r>
          </w:p>
        </w:tc>
      </w:tr>
      <w:tr w:rsidR="00417819" w14:paraId="3C03F22C" w14:textId="77777777" w:rsidTr="00417819">
        <w:tc>
          <w:tcPr>
            <w:tcW w:w="2835" w:type="dxa"/>
            <w:hideMark/>
          </w:tcPr>
          <w:p w14:paraId="0B594229" w14:textId="77777777" w:rsidR="00417819" w:rsidRDefault="00417819">
            <w:pPr>
              <w:pStyle w:val="NormalWeb"/>
              <w:jc w:val="left"/>
              <w:rPr>
                <w:sz w:val="18"/>
                <w:szCs w:val="18"/>
              </w:rPr>
            </w:pPr>
            <w:r>
              <w:rPr>
                <w:sz w:val="18"/>
                <w:szCs w:val="18"/>
              </w:rPr>
              <w:t>First (least advantaged)</w:t>
            </w:r>
          </w:p>
        </w:tc>
        <w:tc>
          <w:tcPr>
            <w:tcW w:w="851" w:type="dxa"/>
            <w:hideMark/>
          </w:tcPr>
          <w:p w14:paraId="7A4BD0A5" w14:textId="77777777" w:rsidR="00417819" w:rsidRDefault="00417819">
            <w:pPr>
              <w:pStyle w:val="NormalWeb"/>
              <w:rPr>
                <w:sz w:val="18"/>
                <w:szCs w:val="18"/>
              </w:rPr>
            </w:pPr>
            <w:r>
              <w:rPr>
                <w:sz w:val="18"/>
                <w:szCs w:val="18"/>
              </w:rPr>
              <w:t>90.6</w:t>
            </w:r>
          </w:p>
        </w:tc>
        <w:tc>
          <w:tcPr>
            <w:tcW w:w="992" w:type="dxa"/>
            <w:hideMark/>
          </w:tcPr>
          <w:p w14:paraId="49903B28" w14:textId="77777777" w:rsidR="00417819" w:rsidRDefault="00417819">
            <w:pPr>
              <w:pStyle w:val="NormalWeb"/>
              <w:rPr>
                <w:sz w:val="18"/>
                <w:szCs w:val="18"/>
              </w:rPr>
            </w:pPr>
            <w:r>
              <w:rPr>
                <w:sz w:val="18"/>
                <w:szCs w:val="18"/>
              </w:rPr>
              <w:t>94.2</w:t>
            </w:r>
          </w:p>
        </w:tc>
        <w:tc>
          <w:tcPr>
            <w:tcW w:w="992" w:type="dxa"/>
            <w:hideMark/>
          </w:tcPr>
          <w:p w14:paraId="3D3A590E" w14:textId="77777777" w:rsidR="00417819" w:rsidRDefault="00417819">
            <w:pPr>
              <w:pStyle w:val="NormalWeb"/>
              <w:rPr>
                <w:sz w:val="18"/>
                <w:szCs w:val="18"/>
              </w:rPr>
            </w:pPr>
            <w:r>
              <w:rPr>
                <w:sz w:val="18"/>
                <w:szCs w:val="18"/>
              </w:rPr>
              <w:t>89.2</w:t>
            </w:r>
          </w:p>
        </w:tc>
        <w:tc>
          <w:tcPr>
            <w:tcW w:w="993" w:type="dxa"/>
            <w:hideMark/>
          </w:tcPr>
          <w:p w14:paraId="02773AAB" w14:textId="77777777" w:rsidR="00417819" w:rsidRDefault="00417819">
            <w:pPr>
              <w:pStyle w:val="NormalWeb"/>
              <w:rPr>
                <w:sz w:val="18"/>
                <w:szCs w:val="18"/>
              </w:rPr>
            </w:pPr>
            <w:r>
              <w:rPr>
                <w:sz w:val="18"/>
                <w:szCs w:val="18"/>
              </w:rPr>
              <w:t>87.2</w:t>
            </w:r>
          </w:p>
        </w:tc>
        <w:tc>
          <w:tcPr>
            <w:tcW w:w="992" w:type="dxa"/>
            <w:hideMark/>
          </w:tcPr>
          <w:p w14:paraId="331257A9" w14:textId="77777777" w:rsidR="00417819" w:rsidRDefault="00417819">
            <w:pPr>
              <w:pStyle w:val="NormalWeb"/>
              <w:rPr>
                <w:sz w:val="18"/>
                <w:szCs w:val="18"/>
              </w:rPr>
            </w:pPr>
            <w:r>
              <w:rPr>
                <w:sz w:val="18"/>
                <w:szCs w:val="18"/>
              </w:rPr>
              <w:t>91.0</w:t>
            </w:r>
          </w:p>
        </w:tc>
        <w:tc>
          <w:tcPr>
            <w:tcW w:w="1276" w:type="dxa"/>
            <w:hideMark/>
          </w:tcPr>
          <w:p w14:paraId="61B9C84F" w14:textId="77777777" w:rsidR="00417819" w:rsidRDefault="00417819">
            <w:pPr>
              <w:pStyle w:val="NormalWeb"/>
              <w:rPr>
                <w:sz w:val="18"/>
                <w:szCs w:val="18"/>
              </w:rPr>
            </w:pPr>
            <w:r>
              <w:rPr>
                <w:sz w:val="18"/>
                <w:szCs w:val="18"/>
              </w:rPr>
              <w:t>87.0</w:t>
            </w:r>
          </w:p>
        </w:tc>
        <w:tc>
          <w:tcPr>
            <w:tcW w:w="1509" w:type="dxa"/>
            <w:hideMark/>
          </w:tcPr>
          <w:p w14:paraId="2F466E58" w14:textId="77777777" w:rsidR="00417819" w:rsidRDefault="00417819">
            <w:pPr>
              <w:pStyle w:val="NormalWeb"/>
              <w:rPr>
                <w:sz w:val="18"/>
                <w:szCs w:val="18"/>
              </w:rPr>
            </w:pPr>
            <w:r>
              <w:rPr>
                <w:sz w:val="18"/>
                <w:szCs w:val="18"/>
              </w:rPr>
              <w:t>94.4</w:t>
            </w:r>
          </w:p>
        </w:tc>
      </w:tr>
      <w:tr w:rsidR="00417819" w14:paraId="48EB8661" w14:textId="77777777" w:rsidTr="00417819">
        <w:trPr>
          <w:cnfStyle w:val="000000010000" w:firstRow="0" w:lastRow="0" w:firstColumn="0" w:lastColumn="0" w:oddVBand="0" w:evenVBand="0" w:oddHBand="0" w:evenHBand="1" w:firstRowFirstColumn="0" w:firstRowLastColumn="0" w:lastRowFirstColumn="0" w:lastRowLastColumn="0"/>
        </w:trPr>
        <w:tc>
          <w:tcPr>
            <w:tcW w:w="2835" w:type="dxa"/>
            <w:hideMark/>
          </w:tcPr>
          <w:p w14:paraId="7E6E5168" w14:textId="77777777" w:rsidR="00417819" w:rsidRDefault="00417819">
            <w:pPr>
              <w:pStyle w:val="NormalWeb"/>
              <w:jc w:val="left"/>
              <w:rPr>
                <w:sz w:val="18"/>
                <w:szCs w:val="18"/>
              </w:rPr>
            </w:pPr>
            <w:r>
              <w:rPr>
                <w:sz w:val="18"/>
                <w:szCs w:val="18"/>
              </w:rPr>
              <w:t>Second</w:t>
            </w:r>
          </w:p>
        </w:tc>
        <w:tc>
          <w:tcPr>
            <w:tcW w:w="851" w:type="dxa"/>
            <w:hideMark/>
          </w:tcPr>
          <w:p w14:paraId="6935F14C" w14:textId="77777777" w:rsidR="00417819" w:rsidRDefault="00417819">
            <w:pPr>
              <w:pStyle w:val="NormalWeb"/>
              <w:rPr>
                <w:sz w:val="18"/>
                <w:szCs w:val="18"/>
              </w:rPr>
            </w:pPr>
            <w:r>
              <w:rPr>
                <w:sz w:val="18"/>
                <w:szCs w:val="18"/>
              </w:rPr>
              <w:t>91.3</w:t>
            </w:r>
          </w:p>
        </w:tc>
        <w:tc>
          <w:tcPr>
            <w:tcW w:w="992" w:type="dxa"/>
            <w:hideMark/>
          </w:tcPr>
          <w:p w14:paraId="5576EDD0" w14:textId="77777777" w:rsidR="00417819" w:rsidRDefault="00417819">
            <w:pPr>
              <w:pStyle w:val="NormalWeb"/>
              <w:rPr>
                <w:sz w:val="18"/>
                <w:szCs w:val="18"/>
              </w:rPr>
            </w:pPr>
            <w:r>
              <w:rPr>
                <w:sz w:val="18"/>
                <w:szCs w:val="18"/>
              </w:rPr>
              <w:t>94.4</w:t>
            </w:r>
          </w:p>
        </w:tc>
        <w:tc>
          <w:tcPr>
            <w:tcW w:w="992" w:type="dxa"/>
            <w:hideMark/>
          </w:tcPr>
          <w:p w14:paraId="4E8E3268" w14:textId="77777777" w:rsidR="00417819" w:rsidRDefault="00417819">
            <w:pPr>
              <w:pStyle w:val="NormalWeb"/>
              <w:rPr>
                <w:sz w:val="18"/>
                <w:szCs w:val="18"/>
              </w:rPr>
            </w:pPr>
            <w:r>
              <w:rPr>
                <w:sz w:val="18"/>
                <w:szCs w:val="18"/>
              </w:rPr>
              <w:t>90.2</w:t>
            </w:r>
          </w:p>
        </w:tc>
        <w:tc>
          <w:tcPr>
            <w:tcW w:w="993" w:type="dxa"/>
            <w:hideMark/>
          </w:tcPr>
          <w:p w14:paraId="4030A48F" w14:textId="77777777" w:rsidR="00417819" w:rsidRDefault="00417819">
            <w:pPr>
              <w:pStyle w:val="NormalWeb"/>
              <w:rPr>
                <w:sz w:val="18"/>
                <w:szCs w:val="18"/>
              </w:rPr>
            </w:pPr>
            <w:r>
              <w:rPr>
                <w:sz w:val="18"/>
                <w:szCs w:val="18"/>
              </w:rPr>
              <w:t>88.5</w:t>
            </w:r>
          </w:p>
        </w:tc>
        <w:tc>
          <w:tcPr>
            <w:tcW w:w="992" w:type="dxa"/>
            <w:hideMark/>
          </w:tcPr>
          <w:p w14:paraId="2525E78E" w14:textId="77777777" w:rsidR="00417819" w:rsidRDefault="00417819">
            <w:pPr>
              <w:pStyle w:val="NormalWeb"/>
              <w:rPr>
                <w:sz w:val="18"/>
                <w:szCs w:val="18"/>
              </w:rPr>
            </w:pPr>
            <w:r>
              <w:rPr>
                <w:sz w:val="18"/>
                <w:szCs w:val="18"/>
              </w:rPr>
              <w:t>91.7</w:t>
            </w:r>
          </w:p>
        </w:tc>
        <w:tc>
          <w:tcPr>
            <w:tcW w:w="1276" w:type="dxa"/>
            <w:hideMark/>
          </w:tcPr>
          <w:p w14:paraId="3A30F1C0" w14:textId="77777777" w:rsidR="00417819" w:rsidRDefault="00417819">
            <w:pPr>
              <w:pStyle w:val="NormalWeb"/>
              <w:rPr>
                <w:sz w:val="18"/>
                <w:szCs w:val="18"/>
              </w:rPr>
            </w:pPr>
            <w:r>
              <w:rPr>
                <w:sz w:val="18"/>
                <w:szCs w:val="18"/>
              </w:rPr>
              <w:t>87.4</w:t>
            </w:r>
          </w:p>
        </w:tc>
        <w:tc>
          <w:tcPr>
            <w:tcW w:w="1509" w:type="dxa"/>
            <w:hideMark/>
          </w:tcPr>
          <w:p w14:paraId="02B73150" w14:textId="77777777" w:rsidR="00417819" w:rsidRDefault="00417819">
            <w:pPr>
              <w:pStyle w:val="NormalWeb"/>
              <w:rPr>
                <w:sz w:val="18"/>
                <w:szCs w:val="18"/>
              </w:rPr>
            </w:pPr>
            <w:r>
              <w:rPr>
                <w:sz w:val="18"/>
                <w:szCs w:val="18"/>
              </w:rPr>
              <w:t>94.8</w:t>
            </w:r>
          </w:p>
        </w:tc>
      </w:tr>
      <w:tr w:rsidR="00417819" w14:paraId="6EECBC80" w14:textId="77777777" w:rsidTr="00417819">
        <w:tc>
          <w:tcPr>
            <w:tcW w:w="2835" w:type="dxa"/>
            <w:hideMark/>
          </w:tcPr>
          <w:p w14:paraId="0E8F198D" w14:textId="77777777" w:rsidR="00417819" w:rsidRDefault="00417819">
            <w:pPr>
              <w:pStyle w:val="NormalWeb"/>
              <w:jc w:val="left"/>
              <w:rPr>
                <w:sz w:val="18"/>
                <w:szCs w:val="18"/>
              </w:rPr>
            </w:pPr>
            <w:r>
              <w:rPr>
                <w:sz w:val="18"/>
                <w:szCs w:val="18"/>
              </w:rPr>
              <w:t>Third</w:t>
            </w:r>
          </w:p>
        </w:tc>
        <w:tc>
          <w:tcPr>
            <w:tcW w:w="851" w:type="dxa"/>
            <w:hideMark/>
          </w:tcPr>
          <w:p w14:paraId="22D3E654" w14:textId="77777777" w:rsidR="00417819" w:rsidRDefault="00417819">
            <w:pPr>
              <w:pStyle w:val="NormalWeb"/>
              <w:rPr>
                <w:sz w:val="18"/>
                <w:szCs w:val="18"/>
              </w:rPr>
            </w:pPr>
            <w:r>
              <w:rPr>
                <w:sz w:val="18"/>
                <w:szCs w:val="18"/>
              </w:rPr>
              <w:t>92.4</w:t>
            </w:r>
          </w:p>
        </w:tc>
        <w:tc>
          <w:tcPr>
            <w:tcW w:w="992" w:type="dxa"/>
            <w:hideMark/>
          </w:tcPr>
          <w:p w14:paraId="3637EF85" w14:textId="77777777" w:rsidR="00417819" w:rsidRDefault="00417819">
            <w:pPr>
              <w:pStyle w:val="NormalWeb"/>
              <w:rPr>
                <w:sz w:val="18"/>
                <w:szCs w:val="18"/>
              </w:rPr>
            </w:pPr>
            <w:r>
              <w:rPr>
                <w:sz w:val="18"/>
                <w:szCs w:val="18"/>
              </w:rPr>
              <w:t>95.1</w:t>
            </w:r>
          </w:p>
        </w:tc>
        <w:tc>
          <w:tcPr>
            <w:tcW w:w="992" w:type="dxa"/>
            <w:hideMark/>
          </w:tcPr>
          <w:p w14:paraId="1AEC9457" w14:textId="77777777" w:rsidR="00417819" w:rsidRDefault="00417819">
            <w:pPr>
              <w:pStyle w:val="NormalWeb"/>
              <w:rPr>
                <w:sz w:val="18"/>
                <w:szCs w:val="18"/>
              </w:rPr>
            </w:pPr>
            <w:r>
              <w:rPr>
                <w:sz w:val="18"/>
                <w:szCs w:val="18"/>
              </w:rPr>
              <w:t>91.0</w:t>
            </w:r>
          </w:p>
        </w:tc>
        <w:tc>
          <w:tcPr>
            <w:tcW w:w="993" w:type="dxa"/>
            <w:hideMark/>
          </w:tcPr>
          <w:p w14:paraId="01038AFA" w14:textId="77777777" w:rsidR="00417819" w:rsidRDefault="00417819">
            <w:pPr>
              <w:pStyle w:val="NormalWeb"/>
              <w:rPr>
                <w:sz w:val="18"/>
                <w:szCs w:val="18"/>
              </w:rPr>
            </w:pPr>
            <w:r>
              <w:rPr>
                <w:sz w:val="18"/>
                <w:szCs w:val="18"/>
              </w:rPr>
              <w:t>89.4</w:t>
            </w:r>
          </w:p>
        </w:tc>
        <w:tc>
          <w:tcPr>
            <w:tcW w:w="992" w:type="dxa"/>
            <w:hideMark/>
          </w:tcPr>
          <w:p w14:paraId="7FF7433A" w14:textId="77777777" w:rsidR="00417819" w:rsidRDefault="00417819">
            <w:pPr>
              <w:pStyle w:val="NormalWeb"/>
              <w:rPr>
                <w:sz w:val="18"/>
                <w:szCs w:val="18"/>
              </w:rPr>
            </w:pPr>
            <w:r>
              <w:rPr>
                <w:sz w:val="18"/>
                <w:szCs w:val="18"/>
              </w:rPr>
              <w:t>92.3</w:t>
            </w:r>
          </w:p>
        </w:tc>
        <w:tc>
          <w:tcPr>
            <w:tcW w:w="1276" w:type="dxa"/>
            <w:hideMark/>
          </w:tcPr>
          <w:p w14:paraId="4BDB00EE" w14:textId="77777777" w:rsidR="00417819" w:rsidRDefault="00417819">
            <w:pPr>
              <w:pStyle w:val="NormalWeb"/>
              <w:rPr>
                <w:sz w:val="18"/>
                <w:szCs w:val="18"/>
              </w:rPr>
            </w:pPr>
            <w:r>
              <w:rPr>
                <w:sz w:val="18"/>
                <w:szCs w:val="18"/>
              </w:rPr>
              <w:t>88.1</w:t>
            </w:r>
          </w:p>
        </w:tc>
        <w:tc>
          <w:tcPr>
            <w:tcW w:w="1509" w:type="dxa"/>
            <w:hideMark/>
          </w:tcPr>
          <w:p w14:paraId="2BBF8F64" w14:textId="77777777" w:rsidR="00417819" w:rsidRDefault="00417819">
            <w:pPr>
              <w:pStyle w:val="NormalWeb"/>
              <w:rPr>
                <w:sz w:val="18"/>
                <w:szCs w:val="18"/>
              </w:rPr>
            </w:pPr>
            <w:r>
              <w:rPr>
                <w:sz w:val="18"/>
                <w:szCs w:val="18"/>
              </w:rPr>
              <w:t>94.7</w:t>
            </w:r>
          </w:p>
        </w:tc>
      </w:tr>
      <w:tr w:rsidR="00417819" w14:paraId="263CC741" w14:textId="77777777" w:rsidTr="00417819">
        <w:trPr>
          <w:cnfStyle w:val="000000010000" w:firstRow="0" w:lastRow="0" w:firstColumn="0" w:lastColumn="0" w:oddVBand="0" w:evenVBand="0" w:oddHBand="0" w:evenHBand="1" w:firstRowFirstColumn="0" w:firstRowLastColumn="0" w:lastRowFirstColumn="0" w:lastRowLastColumn="0"/>
        </w:trPr>
        <w:tc>
          <w:tcPr>
            <w:tcW w:w="2835" w:type="dxa"/>
            <w:hideMark/>
          </w:tcPr>
          <w:p w14:paraId="0B087E27" w14:textId="77777777" w:rsidR="00417819" w:rsidRDefault="00417819">
            <w:pPr>
              <w:pStyle w:val="NormalWeb"/>
              <w:jc w:val="left"/>
              <w:rPr>
                <w:sz w:val="18"/>
                <w:szCs w:val="18"/>
              </w:rPr>
            </w:pPr>
            <w:r>
              <w:rPr>
                <w:sz w:val="18"/>
                <w:szCs w:val="18"/>
              </w:rPr>
              <w:t>Fourth</w:t>
            </w:r>
          </w:p>
        </w:tc>
        <w:tc>
          <w:tcPr>
            <w:tcW w:w="851" w:type="dxa"/>
            <w:hideMark/>
          </w:tcPr>
          <w:p w14:paraId="5FDC5730" w14:textId="77777777" w:rsidR="00417819" w:rsidRDefault="00417819">
            <w:pPr>
              <w:pStyle w:val="NormalWeb"/>
              <w:rPr>
                <w:sz w:val="18"/>
                <w:szCs w:val="18"/>
              </w:rPr>
            </w:pPr>
            <w:r>
              <w:rPr>
                <w:sz w:val="18"/>
                <w:szCs w:val="18"/>
              </w:rPr>
              <w:t>92.8</w:t>
            </w:r>
          </w:p>
        </w:tc>
        <w:tc>
          <w:tcPr>
            <w:tcW w:w="992" w:type="dxa"/>
            <w:hideMark/>
          </w:tcPr>
          <w:p w14:paraId="2309AF0C" w14:textId="77777777" w:rsidR="00417819" w:rsidRDefault="00417819">
            <w:pPr>
              <w:pStyle w:val="NormalWeb"/>
              <w:rPr>
                <w:sz w:val="18"/>
                <w:szCs w:val="18"/>
              </w:rPr>
            </w:pPr>
            <w:r>
              <w:rPr>
                <w:sz w:val="18"/>
                <w:szCs w:val="18"/>
              </w:rPr>
              <w:t>95.2</w:t>
            </w:r>
          </w:p>
        </w:tc>
        <w:tc>
          <w:tcPr>
            <w:tcW w:w="992" w:type="dxa"/>
            <w:hideMark/>
          </w:tcPr>
          <w:p w14:paraId="458D1455" w14:textId="77777777" w:rsidR="00417819" w:rsidRDefault="00417819">
            <w:pPr>
              <w:pStyle w:val="NormalWeb"/>
              <w:rPr>
                <w:sz w:val="18"/>
                <w:szCs w:val="18"/>
              </w:rPr>
            </w:pPr>
            <w:r>
              <w:rPr>
                <w:sz w:val="18"/>
                <w:szCs w:val="18"/>
              </w:rPr>
              <w:t>91.4</w:t>
            </w:r>
          </w:p>
        </w:tc>
        <w:tc>
          <w:tcPr>
            <w:tcW w:w="993" w:type="dxa"/>
            <w:hideMark/>
          </w:tcPr>
          <w:p w14:paraId="5051EAD4" w14:textId="77777777" w:rsidR="00417819" w:rsidRDefault="00417819">
            <w:pPr>
              <w:pStyle w:val="NormalWeb"/>
              <w:rPr>
                <w:sz w:val="18"/>
                <w:szCs w:val="18"/>
              </w:rPr>
            </w:pPr>
            <w:r>
              <w:rPr>
                <w:sz w:val="18"/>
                <w:szCs w:val="18"/>
              </w:rPr>
              <w:t>89.9</w:t>
            </w:r>
          </w:p>
        </w:tc>
        <w:tc>
          <w:tcPr>
            <w:tcW w:w="992" w:type="dxa"/>
            <w:hideMark/>
          </w:tcPr>
          <w:p w14:paraId="71AA9AB5" w14:textId="77777777" w:rsidR="00417819" w:rsidRDefault="00417819">
            <w:pPr>
              <w:pStyle w:val="NormalWeb"/>
              <w:rPr>
                <w:sz w:val="18"/>
                <w:szCs w:val="18"/>
              </w:rPr>
            </w:pPr>
            <w:r>
              <w:rPr>
                <w:sz w:val="18"/>
                <w:szCs w:val="18"/>
              </w:rPr>
              <w:t>92.6</w:t>
            </w:r>
          </w:p>
        </w:tc>
        <w:tc>
          <w:tcPr>
            <w:tcW w:w="1276" w:type="dxa"/>
            <w:hideMark/>
          </w:tcPr>
          <w:p w14:paraId="38FE0DD6" w14:textId="77777777" w:rsidR="00417819" w:rsidRDefault="00417819">
            <w:pPr>
              <w:pStyle w:val="NormalWeb"/>
              <w:rPr>
                <w:sz w:val="18"/>
                <w:szCs w:val="18"/>
              </w:rPr>
            </w:pPr>
            <w:r>
              <w:rPr>
                <w:sz w:val="18"/>
                <w:szCs w:val="18"/>
              </w:rPr>
              <w:t>88.9</w:t>
            </w:r>
          </w:p>
        </w:tc>
        <w:tc>
          <w:tcPr>
            <w:tcW w:w="1509" w:type="dxa"/>
            <w:hideMark/>
          </w:tcPr>
          <w:p w14:paraId="05659CCB" w14:textId="77777777" w:rsidR="00417819" w:rsidRDefault="00417819">
            <w:pPr>
              <w:pStyle w:val="NormalWeb"/>
              <w:rPr>
                <w:sz w:val="18"/>
                <w:szCs w:val="18"/>
              </w:rPr>
            </w:pPr>
            <w:r>
              <w:rPr>
                <w:sz w:val="18"/>
                <w:szCs w:val="18"/>
              </w:rPr>
              <w:t>95.0</w:t>
            </w:r>
          </w:p>
        </w:tc>
      </w:tr>
      <w:tr w:rsidR="00417819" w14:paraId="5D291276" w14:textId="77777777" w:rsidTr="00417819">
        <w:tc>
          <w:tcPr>
            <w:tcW w:w="2835" w:type="dxa"/>
            <w:hideMark/>
          </w:tcPr>
          <w:p w14:paraId="04B4C23D" w14:textId="77777777" w:rsidR="00417819" w:rsidRDefault="00417819">
            <w:pPr>
              <w:pStyle w:val="NormalWeb"/>
              <w:jc w:val="left"/>
              <w:rPr>
                <w:sz w:val="18"/>
                <w:szCs w:val="18"/>
              </w:rPr>
            </w:pPr>
            <w:r>
              <w:rPr>
                <w:sz w:val="18"/>
                <w:szCs w:val="18"/>
              </w:rPr>
              <w:t>Fifth (most advantaged)</w:t>
            </w:r>
          </w:p>
        </w:tc>
        <w:tc>
          <w:tcPr>
            <w:tcW w:w="851" w:type="dxa"/>
            <w:hideMark/>
          </w:tcPr>
          <w:p w14:paraId="258C456D" w14:textId="77777777" w:rsidR="00417819" w:rsidRDefault="00417819">
            <w:pPr>
              <w:pStyle w:val="NormalWeb"/>
              <w:rPr>
                <w:sz w:val="18"/>
                <w:szCs w:val="18"/>
              </w:rPr>
            </w:pPr>
            <w:r>
              <w:rPr>
                <w:sz w:val="18"/>
                <w:szCs w:val="18"/>
              </w:rPr>
              <w:t>93.1</w:t>
            </w:r>
          </w:p>
        </w:tc>
        <w:tc>
          <w:tcPr>
            <w:tcW w:w="992" w:type="dxa"/>
            <w:hideMark/>
          </w:tcPr>
          <w:p w14:paraId="115020F8" w14:textId="77777777" w:rsidR="00417819" w:rsidRDefault="00417819">
            <w:pPr>
              <w:pStyle w:val="NormalWeb"/>
              <w:rPr>
                <w:sz w:val="18"/>
                <w:szCs w:val="18"/>
              </w:rPr>
            </w:pPr>
            <w:r>
              <w:rPr>
                <w:sz w:val="18"/>
                <w:szCs w:val="18"/>
              </w:rPr>
              <w:t>95.4</w:t>
            </w:r>
          </w:p>
        </w:tc>
        <w:tc>
          <w:tcPr>
            <w:tcW w:w="992" w:type="dxa"/>
            <w:hideMark/>
          </w:tcPr>
          <w:p w14:paraId="4A0D90AD" w14:textId="77777777" w:rsidR="00417819" w:rsidRDefault="00417819">
            <w:pPr>
              <w:pStyle w:val="NormalWeb"/>
              <w:rPr>
                <w:sz w:val="18"/>
                <w:szCs w:val="18"/>
              </w:rPr>
            </w:pPr>
            <w:r>
              <w:rPr>
                <w:sz w:val="18"/>
                <w:szCs w:val="18"/>
              </w:rPr>
              <w:t>91.6</w:t>
            </w:r>
          </w:p>
        </w:tc>
        <w:tc>
          <w:tcPr>
            <w:tcW w:w="993" w:type="dxa"/>
            <w:hideMark/>
          </w:tcPr>
          <w:p w14:paraId="05741ABD" w14:textId="77777777" w:rsidR="00417819" w:rsidRDefault="00417819">
            <w:pPr>
              <w:pStyle w:val="NormalWeb"/>
              <w:rPr>
                <w:sz w:val="18"/>
                <w:szCs w:val="18"/>
              </w:rPr>
            </w:pPr>
            <w:r>
              <w:rPr>
                <w:sz w:val="18"/>
                <w:szCs w:val="18"/>
              </w:rPr>
              <w:t>90.3</w:t>
            </w:r>
          </w:p>
        </w:tc>
        <w:tc>
          <w:tcPr>
            <w:tcW w:w="992" w:type="dxa"/>
            <w:hideMark/>
          </w:tcPr>
          <w:p w14:paraId="523268A0" w14:textId="77777777" w:rsidR="00417819" w:rsidRDefault="00417819">
            <w:pPr>
              <w:pStyle w:val="NormalWeb"/>
              <w:rPr>
                <w:sz w:val="18"/>
                <w:szCs w:val="18"/>
              </w:rPr>
            </w:pPr>
            <w:r>
              <w:rPr>
                <w:sz w:val="18"/>
                <w:szCs w:val="18"/>
              </w:rPr>
              <w:t>92.9</w:t>
            </w:r>
          </w:p>
        </w:tc>
        <w:tc>
          <w:tcPr>
            <w:tcW w:w="1276" w:type="dxa"/>
            <w:hideMark/>
          </w:tcPr>
          <w:p w14:paraId="72E4A328" w14:textId="77777777" w:rsidR="00417819" w:rsidRDefault="00417819">
            <w:pPr>
              <w:pStyle w:val="NormalWeb"/>
              <w:rPr>
                <w:sz w:val="18"/>
                <w:szCs w:val="18"/>
              </w:rPr>
            </w:pPr>
            <w:r>
              <w:rPr>
                <w:sz w:val="18"/>
                <w:szCs w:val="18"/>
              </w:rPr>
              <w:t>88.9</w:t>
            </w:r>
          </w:p>
        </w:tc>
        <w:tc>
          <w:tcPr>
            <w:tcW w:w="1509" w:type="dxa"/>
            <w:hideMark/>
          </w:tcPr>
          <w:p w14:paraId="485417FD" w14:textId="77777777" w:rsidR="00417819" w:rsidRDefault="00417819">
            <w:pPr>
              <w:pStyle w:val="NormalWeb"/>
              <w:rPr>
                <w:sz w:val="18"/>
                <w:szCs w:val="18"/>
              </w:rPr>
            </w:pPr>
            <w:r>
              <w:rPr>
                <w:sz w:val="18"/>
                <w:szCs w:val="18"/>
              </w:rPr>
              <w:t>95.3</w:t>
            </w:r>
          </w:p>
        </w:tc>
      </w:tr>
      <w:tr w:rsidR="00417819" w14:paraId="3EE55A75" w14:textId="77777777" w:rsidTr="00417819">
        <w:trPr>
          <w:cnfStyle w:val="000000010000" w:firstRow="0" w:lastRow="0" w:firstColumn="0" w:lastColumn="0" w:oddVBand="0" w:evenVBand="0" w:oddHBand="0" w:evenHBand="1" w:firstRowFirstColumn="0" w:firstRowLastColumn="0" w:lastRowFirstColumn="0" w:lastRowLastColumn="0"/>
        </w:trPr>
        <w:tc>
          <w:tcPr>
            <w:tcW w:w="2835" w:type="dxa"/>
            <w:shd w:val="clear" w:color="auto" w:fill="F7ECDD"/>
            <w:hideMark/>
          </w:tcPr>
          <w:p w14:paraId="0BB612A3" w14:textId="77777777" w:rsidR="00417819" w:rsidRDefault="00417819">
            <w:pPr>
              <w:pStyle w:val="NormalWeb"/>
              <w:jc w:val="left"/>
              <w:rPr>
                <w:b/>
                <w:bCs/>
                <w:sz w:val="18"/>
                <w:szCs w:val="18"/>
              </w:rPr>
            </w:pPr>
            <w:r>
              <w:rPr>
                <w:b/>
                <w:bCs/>
                <w:sz w:val="18"/>
                <w:szCs w:val="18"/>
              </w:rPr>
              <w:t>All</w:t>
            </w:r>
          </w:p>
        </w:tc>
        <w:tc>
          <w:tcPr>
            <w:tcW w:w="851" w:type="dxa"/>
            <w:shd w:val="clear" w:color="auto" w:fill="F7ECDD"/>
            <w:hideMark/>
          </w:tcPr>
          <w:p w14:paraId="62F59B8E" w14:textId="77777777" w:rsidR="00417819" w:rsidRDefault="00417819">
            <w:pPr>
              <w:pStyle w:val="NormalWeb"/>
              <w:rPr>
                <w:b/>
                <w:bCs/>
                <w:sz w:val="18"/>
                <w:szCs w:val="18"/>
              </w:rPr>
            </w:pPr>
            <w:r>
              <w:rPr>
                <w:b/>
                <w:bCs/>
                <w:sz w:val="18"/>
                <w:szCs w:val="18"/>
              </w:rPr>
              <w:t>92.0</w:t>
            </w:r>
          </w:p>
        </w:tc>
        <w:tc>
          <w:tcPr>
            <w:tcW w:w="992" w:type="dxa"/>
            <w:shd w:val="clear" w:color="auto" w:fill="F7ECDD"/>
            <w:hideMark/>
          </w:tcPr>
          <w:p w14:paraId="035D741A" w14:textId="77777777" w:rsidR="00417819" w:rsidRDefault="00417819">
            <w:pPr>
              <w:pStyle w:val="NormalWeb"/>
              <w:rPr>
                <w:b/>
                <w:bCs/>
                <w:sz w:val="18"/>
                <w:szCs w:val="18"/>
              </w:rPr>
            </w:pPr>
            <w:r>
              <w:rPr>
                <w:b/>
                <w:bCs/>
                <w:sz w:val="18"/>
                <w:szCs w:val="18"/>
              </w:rPr>
              <w:t>94.8</w:t>
            </w:r>
          </w:p>
        </w:tc>
        <w:tc>
          <w:tcPr>
            <w:tcW w:w="992" w:type="dxa"/>
            <w:shd w:val="clear" w:color="auto" w:fill="F7ECDD"/>
            <w:hideMark/>
          </w:tcPr>
          <w:p w14:paraId="333BB0EF" w14:textId="77777777" w:rsidR="00417819" w:rsidRDefault="00417819">
            <w:pPr>
              <w:pStyle w:val="NormalWeb"/>
              <w:rPr>
                <w:b/>
                <w:bCs/>
                <w:sz w:val="18"/>
                <w:szCs w:val="18"/>
              </w:rPr>
            </w:pPr>
            <w:r>
              <w:rPr>
                <w:b/>
                <w:bCs/>
                <w:sz w:val="18"/>
                <w:szCs w:val="18"/>
              </w:rPr>
              <w:t>90.6</w:t>
            </w:r>
          </w:p>
        </w:tc>
        <w:tc>
          <w:tcPr>
            <w:tcW w:w="993" w:type="dxa"/>
            <w:shd w:val="clear" w:color="auto" w:fill="F7ECDD"/>
            <w:hideMark/>
          </w:tcPr>
          <w:p w14:paraId="13FF901A" w14:textId="77777777" w:rsidR="00417819" w:rsidRDefault="00417819">
            <w:pPr>
              <w:pStyle w:val="NormalWeb"/>
              <w:rPr>
                <w:b/>
                <w:bCs/>
                <w:sz w:val="18"/>
                <w:szCs w:val="18"/>
              </w:rPr>
            </w:pPr>
            <w:r>
              <w:rPr>
                <w:b/>
                <w:bCs/>
                <w:sz w:val="18"/>
                <w:szCs w:val="18"/>
              </w:rPr>
              <w:t>89.0</w:t>
            </w:r>
          </w:p>
        </w:tc>
        <w:tc>
          <w:tcPr>
            <w:tcW w:w="992" w:type="dxa"/>
            <w:shd w:val="clear" w:color="auto" w:fill="F7ECDD"/>
            <w:hideMark/>
          </w:tcPr>
          <w:p w14:paraId="4E47EFAA" w14:textId="77777777" w:rsidR="00417819" w:rsidRDefault="00417819">
            <w:pPr>
              <w:pStyle w:val="NormalWeb"/>
              <w:rPr>
                <w:b/>
                <w:bCs/>
                <w:sz w:val="18"/>
                <w:szCs w:val="18"/>
              </w:rPr>
            </w:pPr>
            <w:r>
              <w:rPr>
                <w:b/>
                <w:bCs/>
                <w:sz w:val="18"/>
                <w:szCs w:val="18"/>
              </w:rPr>
              <w:t>92.1</w:t>
            </w:r>
          </w:p>
        </w:tc>
        <w:tc>
          <w:tcPr>
            <w:tcW w:w="1276" w:type="dxa"/>
            <w:shd w:val="clear" w:color="auto" w:fill="F7ECDD"/>
            <w:hideMark/>
          </w:tcPr>
          <w:p w14:paraId="38C22BC5" w14:textId="77777777" w:rsidR="00417819" w:rsidRDefault="00417819">
            <w:pPr>
              <w:pStyle w:val="NormalWeb"/>
              <w:rPr>
                <w:b/>
                <w:bCs/>
                <w:sz w:val="18"/>
                <w:szCs w:val="18"/>
              </w:rPr>
            </w:pPr>
            <w:r>
              <w:rPr>
                <w:b/>
                <w:bCs/>
                <w:sz w:val="18"/>
                <w:szCs w:val="18"/>
              </w:rPr>
              <w:t>88.0</w:t>
            </w:r>
          </w:p>
        </w:tc>
        <w:tc>
          <w:tcPr>
            <w:tcW w:w="1509" w:type="dxa"/>
            <w:shd w:val="clear" w:color="auto" w:fill="F7ECDD"/>
            <w:hideMark/>
          </w:tcPr>
          <w:p w14:paraId="0C15E455" w14:textId="77777777" w:rsidR="00417819" w:rsidRDefault="00417819">
            <w:pPr>
              <w:pStyle w:val="NormalWeb"/>
              <w:rPr>
                <w:b/>
                <w:bCs/>
                <w:sz w:val="18"/>
                <w:szCs w:val="18"/>
              </w:rPr>
            </w:pPr>
            <w:r>
              <w:rPr>
                <w:b/>
                <w:bCs/>
                <w:sz w:val="18"/>
                <w:szCs w:val="18"/>
              </w:rPr>
              <w:t>94.8</w:t>
            </w:r>
          </w:p>
        </w:tc>
      </w:tr>
    </w:tbl>
    <w:p w14:paraId="7FCC2293" w14:textId="77777777" w:rsidR="00417819" w:rsidRDefault="00417819" w:rsidP="00417819">
      <w:pPr>
        <w:pStyle w:val="CDIfootnotes"/>
        <w:rPr>
          <w:lang w:val="en-GB"/>
        </w:rPr>
      </w:pPr>
      <w:proofErr w:type="spellStart"/>
      <w:r>
        <w:rPr>
          <w:lang w:val="en-GB"/>
        </w:rPr>
        <w:t>a</w:t>
      </w:r>
      <w:proofErr w:type="spellEnd"/>
      <w:r>
        <w:rPr>
          <w:lang w:val="en-GB"/>
        </w:rPr>
        <w:tab/>
      </w:r>
      <w:proofErr w:type="gramStart"/>
      <w:r>
        <w:rPr>
          <w:lang w:val="en-GB"/>
        </w:rPr>
        <w:t>The</w:t>
      </w:r>
      <w:proofErr w:type="gramEnd"/>
      <w:r>
        <w:rPr>
          <w:lang w:val="en-GB"/>
        </w:rPr>
        <w:t xml:space="preserve"> coverage algorithm used for 9/21/51 month milestones is the same as that used for 12/24/60 month milestones, respectively; the algorithm used for 15 months is the same as that for 24 months but excludes doses due at 18 months; for further detail regarding algorithms, refer to Table A.2 in Appendix A.</w:t>
      </w:r>
    </w:p>
    <w:p w14:paraId="55576D11" w14:textId="77777777" w:rsidR="00417819" w:rsidRDefault="00417819" w:rsidP="00417819">
      <w:pPr>
        <w:pStyle w:val="CDIfootnotes"/>
        <w:rPr>
          <w:lang w:val="en-GB"/>
        </w:rPr>
      </w:pPr>
      <w:r>
        <w:rPr>
          <w:lang w:val="en-GB"/>
        </w:rPr>
        <w:t>b</w:t>
      </w:r>
      <w:r>
        <w:rPr>
          <w:lang w:val="en-GB"/>
        </w:rPr>
        <w:tab/>
        <w:t>SEIFA Index of Economic Resources.</w:t>
      </w:r>
    </w:p>
    <w:p w14:paraId="16001532" w14:textId="77777777" w:rsidR="00417819" w:rsidRDefault="00417819" w:rsidP="00417819">
      <w:pPr>
        <w:pStyle w:val="CDIfootnotes"/>
        <w:rPr>
          <w:lang w:val="en-GB"/>
        </w:rPr>
      </w:pPr>
      <w:r>
        <w:rPr>
          <w:lang w:val="en-GB"/>
        </w:rPr>
        <w:t>c</w:t>
      </w:r>
      <w:r>
        <w:rPr>
          <w:lang w:val="en-GB"/>
        </w:rPr>
        <w:tab/>
        <w:t xml:space="preserve">Source: Australian Immunisation Register, data as </w:t>
      </w:r>
      <w:proofErr w:type="gramStart"/>
      <w:r>
        <w:rPr>
          <w:lang w:val="en-GB"/>
        </w:rPr>
        <w:t>at</w:t>
      </w:r>
      <w:proofErr w:type="gramEnd"/>
      <w:r>
        <w:rPr>
          <w:lang w:val="en-GB"/>
        </w:rPr>
        <w:t xml:space="preserve"> 31 March 2021.</w:t>
      </w:r>
    </w:p>
    <w:p w14:paraId="1C39E7D9" w14:textId="77777777" w:rsidR="00417819" w:rsidRDefault="00417819" w:rsidP="00417819">
      <w:pPr>
        <w:pStyle w:val="CDIfootnotes"/>
        <w:rPr>
          <w:lang w:val="en-GB"/>
        </w:rPr>
      </w:pPr>
      <w:r>
        <w:rPr>
          <w:lang w:val="en-GB"/>
        </w:rPr>
        <w:t>d</w:t>
      </w:r>
      <w:r>
        <w:rPr>
          <w:lang w:val="en-GB"/>
        </w:rPr>
        <w:tab/>
      </w:r>
      <w:proofErr w:type="spellStart"/>
      <w:r>
        <w:rPr>
          <w:lang w:val="en-GB"/>
        </w:rPr>
        <w:t>mo</w:t>
      </w:r>
      <w:proofErr w:type="spellEnd"/>
      <w:r>
        <w:rPr>
          <w:lang w:val="en-GB"/>
        </w:rPr>
        <w:t>: months.</w:t>
      </w:r>
    </w:p>
    <w:p w14:paraId="74802AA6" w14:textId="77777777" w:rsidR="00417819" w:rsidRDefault="00417819" w:rsidP="00417819">
      <w:pPr>
        <w:pStyle w:val="CDIfootnotes"/>
        <w:rPr>
          <w:lang w:val="en-GB"/>
        </w:rPr>
      </w:pPr>
      <w:r>
        <w:rPr>
          <w:lang w:val="en-GB"/>
        </w:rPr>
        <w:t>e</w:t>
      </w:r>
      <w:r>
        <w:rPr>
          <w:lang w:val="en-GB"/>
        </w:rPr>
        <w:tab/>
        <w:t>Cohort born 1 January 2019 – 31 December 2019.</w:t>
      </w:r>
    </w:p>
    <w:p w14:paraId="73F112B2" w14:textId="77777777" w:rsidR="00417819" w:rsidRDefault="00417819" w:rsidP="00417819">
      <w:pPr>
        <w:pStyle w:val="CDIfootnotes"/>
        <w:rPr>
          <w:lang w:val="en-GB"/>
        </w:rPr>
      </w:pPr>
      <w:r>
        <w:rPr>
          <w:lang w:val="en-GB"/>
        </w:rPr>
        <w:t>f</w:t>
      </w:r>
      <w:r>
        <w:rPr>
          <w:lang w:val="en-GB"/>
        </w:rPr>
        <w:tab/>
        <w:t>Cohort born 1 January 2018 – 31 December 2018.</w:t>
      </w:r>
    </w:p>
    <w:p w14:paraId="02672231" w14:textId="77777777" w:rsidR="00417819" w:rsidRDefault="00417819" w:rsidP="00417819">
      <w:pPr>
        <w:pStyle w:val="CDIfootnotes"/>
        <w:rPr>
          <w:lang w:val="en-GB"/>
        </w:rPr>
      </w:pPr>
      <w:r>
        <w:rPr>
          <w:lang w:val="en-GB"/>
        </w:rPr>
        <w:t>g</w:t>
      </w:r>
      <w:r>
        <w:rPr>
          <w:lang w:val="en-GB"/>
        </w:rPr>
        <w:tab/>
        <w:t>Cohort born 1 January 2015 – 31 December 2015.</w:t>
      </w:r>
    </w:p>
    <w:p w14:paraId="0C97B5FB" w14:textId="77777777" w:rsidR="00A1168D" w:rsidRDefault="00A1168D">
      <w:pPr>
        <w:rPr>
          <w:rFonts w:asciiTheme="majorHAnsi" w:eastAsiaTheme="majorEastAsia" w:hAnsiTheme="majorHAnsi" w:cstheme="majorBidi"/>
          <w:b/>
          <w:bCs/>
          <w:sz w:val="26"/>
          <w:szCs w:val="26"/>
        </w:rPr>
      </w:pPr>
      <w:r>
        <w:br w:type="page"/>
      </w:r>
    </w:p>
    <w:p w14:paraId="2C5515D5" w14:textId="4B6F6C39" w:rsidR="002B4EF6" w:rsidRPr="00FD4A14" w:rsidRDefault="002B4EF6" w:rsidP="00FD4A14">
      <w:pPr>
        <w:pStyle w:val="Heading2"/>
      </w:pPr>
      <w:r w:rsidRPr="00FD4A14">
        <w:lastRenderedPageBreak/>
        <w:t xml:space="preserve">Small area coverage analysis </w:t>
      </w:r>
    </w:p>
    <w:p w14:paraId="4BDA73BA" w14:textId="61874386" w:rsidR="0023066D" w:rsidRDefault="002B4EF6">
      <w:r>
        <w:t xml:space="preserve">Childhood vaccination coverage in Australia in 2020 varied within jurisdictions and major capital cities, with coverage in some areas substantially below the national average, especially the north coast region of NSW and the Gold Coast region of Queensland (Figures 10–12). More than 60% of the SA3 areas had coverage of 93% or higher at 24 months of age for the second dose of MMR vaccine (227/329; 68.4%) (Figure 10); for the fourth dose of </w:t>
      </w:r>
      <w:proofErr w:type="spellStart"/>
      <w:r>
        <w:t>DTPa</w:t>
      </w:r>
      <w:proofErr w:type="spellEnd"/>
      <w:r>
        <w:t xml:space="preserve">-containing vaccine (213/329; 64.7%) (Figure 11); and for meningococcal ACWY vaccine (277/329; 84.2%) (Figure 12). </w:t>
      </w:r>
    </w:p>
    <w:p w14:paraId="2E4637F9" w14:textId="77777777" w:rsidR="00D20EA5" w:rsidRDefault="00D20EA5">
      <w:pPr>
        <w:rPr>
          <w:rStyle w:val="Strong"/>
          <w:lang w:val="en-GB"/>
        </w:rPr>
      </w:pPr>
      <w:r>
        <w:rPr>
          <w:rStyle w:val="Strong"/>
          <w:lang w:val="en-GB"/>
        </w:rPr>
        <w:br w:type="page"/>
      </w:r>
    </w:p>
    <w:p w14:paraId="552E593F" w14:textId="1F0C19CB" w:rsidR="0023066D" w:rsidRDefault="0023066D" w:rsidP="0023066D">
      <w:pPr>
        <w:pStyle w:val="NormalWeb"/>
        <w:rPr>
          <w:lang w:val="en-GB"/>
        </w:rPr>
      </w:pPr>
      <w:r>
        <w:rPr>
          <w:rStyle w:val="Strong"/>
          <w:lang w:val="en-GB"/>
        </w:rPr>
        <w:lastRenderedPageBreak/>
        <w:t xml:space="preserve">Figure 10: Coverage of two doses of measles-mumps-rubella (MMR)-containing vaccine at 24 months of </w:t>
      </w:r>
      <w:proofErr w:type="spellStart"/>
      <w:r>
        <w:rPr>
          <w:rStyle w:val="Strong"/>
          <w:lang w:val="en-GB"/>
        </w:rPr>
        <w:t>age</w:t>
      </w:r>
      <w:r>
        <w:rPr>
          <w:rStyle w:val="Strong"/>
          <w:vertAlign w:val="superscript"/>
          <w:lang w:val="en-GB"/>
        </w:rPr>
        <w:t>a</w:t>
      </w:r>
      <w:proofErr w:type="spellEnd"/>
      <w:r>
        <w:rPr>
          <w:rStyle w:val="Strong"/>
          <w:lang w:val="en-GB"/>
        </w:rPr>
        <w:t xml:space="preserve"> by Statistical Area 3, </w:t>
      </w:r>
      <w:proofErr w:type="gramStart"/>
      <w:r>
        <w:rPr>
          <w:rStyle w:val="Strong"/>
          <w:lang w:val="en-GB"/>
        </w:rPr>
        <w:t>Australia</w:t>
      </w:r>
      <w:proofErr w:type="gramEnd"/>
      <w:r>
        <w:rPr>
          <w:rStyle w:val="Strong"/>
          <w:lang w:val="en-GB"/>
        </w:rPr>
        <w:t xml:space="preserve"> and major capital cities, 2020</w:t>
      </w:r>
    </w:p>
    <w:p w14:paraId="18C1320D" w14:textId="77777777" w:rsidR="0023066D" w:rsidRDefault="0023066D" w:rsidP="0023066D">
      <w:pPr>
        <w:pStyle w:val="NormalWeb"/>
        <w:jc w:val="center"/>
        <w:rPr>
          <w:lang w:val="en-GB"/>
        </w:rPr>
      </w:pPr>
      <w:r>
        <w:rPr>
          <w:b/>
          <w:noProof/>
          <w:lang w:val="en-GB"/>
        </w:rPr>
        <w:drawing>
          <wp:inline distT="0" distB="0" distL="0" distR="0" wp14:anchorId="27544DC6" wp14:editId="00560C6B">
            <wp:extent cx="4937277" cy="3782533"/>
            <wp:effectExtent l="0" t="0" r="0" b="8890"/>
            <wp:docPr id="12" name="Picture 12" descr="Figure 10 shows measles, mumps, rubella (MMR) coverage at 24 months of age (2 doses) by Statistical Area 3 (SA3), for Australia and major capital cities. The map shows pockets of low levels of coverage within jurisdictions in 2020, in particular in coastal areas of south east Queensland, and northern New South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gure 10 shows measles, mumps, rubella (MMR) coverage at 24 months of age (2 doses) by Statistical Area 3 (SA3), for Australia and major capital cities. The map shows pockets of low levels of coverage within jurisdictions in 2020, in particular in coastal areas of south east Queensland, and northern New South Wales."/>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4972927" cy="3809845"/>
                    </a:xfrm>
                    <a:prstGeom prst="rect">
                      <a:avLst/>
                    </a:prstGeom>
                  </pic:spPr>
                </pic:pic>
              </a:graphicData>
            </a:graphic>
          </wp:inline>
        </w:drawing>
      </w:r>
    </w:p>
    <w:p w14:paraId="6E229948" w14:textId="27C05673" w:rsidR="0023066D" w:rsidRDefault="0023066D" w:rsidP="0023066D">
      <w:pPr>
        <w:pStyle w:val="NormalWeb"/>
        <w:jc w:val="center"/>
        <w:rPr>
          <w:lang w:val="en-GB"/>
        </w:rPr>
      </w:pPr>
      <w:r>
        <w:rPr>
          <w:noProof/>
          <w:lang w:val="en-GB"/>
        </w:rPr>
        <w:drawing>
          <wp:inline distT="0" distB="0" distL="0" distR="0" wp14:anchorId="68385C00" wp14:editId="00271CEC">
            <wp:extent cx="4937125" cy="3935841"/>
            <wp:effectExtent l="0" t="0" r="0" b="762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4955142" cy="3950204"/>
                    </a:xfrm>
                    <a:prstGeom prst="rect">
                      <a:avLst/>
                    </a:prstGeom>
                  </pic:spPr>
                </pic:pic>
              </a:graphicData>
            </a:graphic>
          </wp:inline>
        </w:drawing>
      </w:r>
    </w:p>
    <w:p w14:paraId="405F3F5D" w14:textId="77777777" w:rsidR="0023066D" w:rsidRDefault="0023066D" w:rsidP="0023066D">
      <w:pPr>
        <w:pStyle w:val="CDIfootnotes"/>
        <w:rPr>
          <w:lang w:val="en-GB"/>
        </w:rPr>
      </w:pPr>
      <w:r>
        <w:rPr>
          <w:lang w:val="en-GB"/>
        </w:rPr>
        <w:t>a</w:t>
      </w:r>
      <w:r>
        <w:rPr>
          <w:lang w:val="en-GB"/>
        </w:rPr>
        <w:tab/>
        <w:t>Cohort born 1 January 2018 – 31 December 2018.</w:t>
      </w:r>
    </w:p>
    <w:p w14:paraId="3184D9CD" w14:textId="7FC0EFE6" w:rsidR="002B4EF6" w:rsidRPr="0023066D" w:rsidRDefault="0023066D" w:rsidP="0023066D">
      <w:pPr>
        <w:pStyle w:val="CDIfootnotes"/>
        <w:rPr>
          <w:lang w:val="en-GB"/>
        </w:rPr>
      </w:pPr>
      <w:r>
        <w:rPr>
          <w:lang w:val="en-GB"/>
        </w:rPr>
        <w:t>b</w:t>
      </w:r>
      <w:r>
        <w:rPr>
          <w:lang w:val="en-GB"/>
        </w:rPr>
        <w:tab/>
        <w:t>Number in parentheses = number of Statistical Area 3s in each coverage category.</w:t>
      </w:r>
    </w:p>
    <w:p w14:paraId="3B8BB57C" w14:textId="77777777" w:rsidR="00445B06" w:rsidRDefault="00445B06" w:rsidP="00445B06">
      <w:pPr>
        <w:pStyle w:val="NormalWeb"/>
        <w:rPr>
          <w:lang w:val="en-GB"/>
        </w:rPr>
      </w:pPr>
      <w:r>
        <w:rPr>
          <w:rStyle w:val="Strong"/>
          <w:lang w:val="en-GB"/>
        </w:rPr>
        <w:lastRenderedPageBreak/>
        <w:t>Figure 11: Coverage of four doses of diphtheria-tetanus-acellular pertussis (</w:t>
      </w:r>
      <w:proofErr w:type="spellStart"/>
      <w:r>
        <w:rPr>
          <w:rStyle w:val="Strong"/>
          <w:lang w:val="en-GB"/>
        </w:rPr>
        <w:t>DTPa</w:t>
      </w:r>
      <w:proofErr w:type="spellEnd"/>
      <w:r>
        <w:rPr>
          <w:rStyle w:val="Strong"/>
          <w:lang w:val="en-GB"/>
        </w:rPr>
        <w:t xml:space="preserve">)-containing vaccine at 24 months of </w:t>
      </w:r>
      <w:proofErr w:type="spellStart"/>
      <w:r>
        <w:rPr>
          <w:rStyle w:val="Strong"/>
          <w:lang w:val="en-GB"/>
        </w:rPr>
        <w:t>age</w:t>
      </w:r>
      <w:r>
        <w:rPr>
          <w:rStyle w:val="Strong"/>
          <w:vertAlign w:val="superscript"/>
          <w:lang w:val="en-GB"/>
        </w:rPr>
        <w:t>a</w:t>
      </w:r>
      <w:proofErr w:type="spellEnd"/>
      <w:r>
        <w:rPr>
          <w:rStyle w:val="Strong"/>
          <w:lang w:val="en-GB"/>
        </w:rPr>
        <w:t xml:space="preserve"> by Statistical Area 3, </w:t>
      </w:r>
      <w:proofErr w:type="gramStart"/>
      <w:r>
        <w:rPr>
          <w:rStyle w:val="Strong"/>
          <w:lang w:val="en-GB"/>
        </w:rPr>
        <w:t>Australia</w:t>
      </w:r>
      <w:proofErr w:type="gramEnd"/>
      <w:r>
        <w:rPr>
          <w:rStyle w:val="Strong"/>
          <w:lang w:val="en-GB"/>
        </w:rPr>
        <w:t xml:space="preserve"> and major capital cities, 2020</w:t>
      </w:r>
    </w:p>
    <w:p w14:paraId="132184E2" w14:textId="77777777" w:rsidR="00445B06" w:rsidRDefault="00445B06" w:rsidP="00A1168D">
      <w:pPr>
        <w:pStyle w:val="NormalWeb"/>
        <w:jc w:val="center"/>
        <w:rPr>
          <w:lang w:val="en-GB"/>
        </w:rPr>
      </w:pPr>
      <w:r>
        <w:rPr>
          <w:noProof/>
          <w:lang w:val="en-GB"/>
        </w:rPr>
        <w:drawing>
          <wp:inline distT="0" distB="0" distL="0" distR="0" wp14:anchorId="7E69A67B" wp14:editId="778D381D">
            <wp:extent cx="5775953" cy="4347058"/>
            <wp:effectExtent l="0" t="0" r="0" b="0"/>
            <wp:docPr id="14" name="Picture 14" descr="Figure 11 shows diphtheria, tetanus, acellular pertussis (DTPa) coverage at 24 months of age (4 doses) by Statistical Area 3 (SA3), for Australia and major capital cities. The map shows pockets of low levels of coverage within jurisdictions in 2020, in particular in coastal areas of south east Queensland, and northern New South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igure 11 shows diphtheria, tetanus, acellular pertussis (DTPa) coverage at 24 months of age (4 doses) by Statistical Area 3 (SA3), for Australia and major capital cities. The map shows pockets of low levels of coverage within jurisdictions in 2020, in particular in coastal areas of south east Queensland, and northern New South Wales."/>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5785401" cy="4354169"/>
                    </a:xfrm>
                    <a:prstGeom prst="rect">
                      <a:avLst/>
                    </a:prstGeom>
                  </pic:spPr>
                </pic:pic>
              </a:graphicData>
            </a:graphic>
          </wp:inline>
        </w:drawing>
      </w:r>
    </w:p>
    <w:p w14:paraId="79BE2505" w14:textId="1CE8340C" w:rsidR="00445B06" w:rsidRDefault="00445B06" w:rsidP="00D20EA5">
      <w:pPr>
        <w:pStyle w:val="NormalWeb"/>
        <w:jc w:val="center"/>
        <w:rPr>
          <w:lang w:val="en-GB"/>
        </w:rPr>
      </w:pPr>
      <w:r>
        <w:rPr>
          <w:noProof/>
          <w:lang w:val="en-GB"/>
        </w:rPr>
        <w:drawing>
          <wp:inline distT="0" distB="0" distL="0" distR="0" wp14:anchorId="3624C44E" wp14:editId="7FAEA974">
            <wp:extent cx="4520193" cy="3450343"/>
            <wp:effectExtent l="0" t="0" r="0" b="0"/>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4520193" cy="3450343"/>
                    </a:xfrm>
                    <a:prstGeom prst="rect">
                      <a:avLst/>
                    </a:prstGeom>
                  </pic:spPr>
                </pic:pic>
              </a:graphicData>
            </a:graphic>
          </wp:inline>
        </w:drawing>
      </w:r>
    </w:p>
    <w:p w14:paraId="0E9F1BE4" w14:textId="77777777" w:rsidR="00445B06" w:rsidRDefault="00445B06" w:rsidP="00445B06">
      <w:pPr>
        <w:pStyle w:val="CDIfootnotes"/>
        <w:rPr>
          <w:lang w:val="en-GB"/>
        </w:rPr>
      </w:pPr>
      <w:r>
        <w:rPr>
          <w:lang w:val="en-GB"/>
        </w:rPr>
        <w:t>a</w:t>
      </w:r>
      <w:r>
        <w:rPr>
          <w:lang w:val="en-GB"/>
        </w:rPr>
        <w:tab/>
        <w:t>Cohort born 1 January 2018 – 31 December 2018.</w:t>
      </w:r>
    </w:p>
    <w:p w14:paraId="30EF2EC7" w14:textId="4D6F1560" w:rsidR="00445B06" w:rsidRPr="00445B06" w:rsidRDefault="00445B06" w:rsidP="00445B06">
      <w:pPr>
        <w:pStyle w:val="CDIfootnotes"/>
        <w:rPr>
          <w:lang w:val="en-GB"/>
        </w:rPr>
      </w:pPr>
      <w:r>
        <w:rPr>
          <w:lang w:val="en-GB"/>
        </w:rPr>
        <w:t>b</w:t>
      </w:r>
      <w:r>
        <w:rPr>
          <w:lang w:val="en-GB"/>
        </w:rPr>
        <w:tab/>
        <w:t>Number in parentheses = number of Statistical Area 3s in each coverage category.</w:t>
      </w:r>
    </w:p>
    <w:p w14:paraId="37903FC5" w14:textId="77777777" w:rsidR="00445B06" w:rsidRDefault="00445B06" w:rsidP="00445B06">
      <w:pPr>
        <w:pStyle w:val="NormalWeb"/>
        <w:rPr>
          <w:lang w:val="en-GB"/>
        </w:rPr>
      </w:pPr>
      <w:r>
        <w:rPr>
          <w:rStyle w:val="Strong"/>
          <w:lang w:val="en-GB"/>
        </w:rPr>
        <w:lastRenderedPageBreak/>
        <w:t xml:space="preserve">Figure 12: Coverage of one dose of meningococcal ACWY vaccine at 24 months of </w:t>
      </w:r>
      <w:proofErr w:type="spellStart"/>
      <w:r>
        <w:rPr>
          <w:rStyle w:val="Strong"/>
          <w:lang w:val="en-GB"/>
        </w:rPr>
        <w:t>age</w:t>
      </w:r>
      <w:r>
        <w:rPr>
          <w:rStyle w:val="Strong"/>
          <w:vertAlign w:val="superscript"/>
          <w:lang w:val="en-GB"/>
        </w:rPr>
        <w:t>a</w:t>
      </w:r>
      <w:proofErr w:type="spellEnd"/>
      <w:r>
        <w:rPr>
          <w:rStyle w:val="Strong"/>
          <w:lang w:val="en-GB"/>
        </w:rPr>
        <w:t xml:space="preserve"> by Statistical Area 3, </w:t>
      </w:r>
      <w:proofErr w:type="gramStart"/>
      <w:r>
        <w:rPr>
          <w:rStyle w:val="Strong"/>
          <w:lang w:val="en-GB"/>
        </w:rPr>
        <w:t>Australia</w:t>
      </w:r>
      <w:proofErr w:type="gramEnd"/>
      <w:r>
        <w:rPr>
          <w:rStyle w:val="Strong"/>
          <w:lang w:val="en-GB"/>
        </w:rPr>
        <w:t xml:space="preserve"> and major capital cities, 2020</w:t>
      </w:r>
    </w:p>
    <w:p w14:paraId="5E0C71D1" w14:textId="77777777" w:rsidR="00445B06" w:rsidRDefault="00445B06" w:rsidP="00A1168D">
      <w:pPr>
        <w:pStyle w:val="NormalWeb"/>
        <w:jc w:val="center"/>
        <w:rPr>
          <w:lang w:val="en-GB"/>
        </w:rPr>
      </w:pPr>
      <w:r>
        <w:rPr>
          <w:noProof/>
          <w:lang w:val="en-GB"/>
        </w:rPr>
        <w:drawing>
          <wp:inline distT="0" distB="0" distL="0" distR="0" wp14:anchorId="0CBA464A" wp14:editId="6AA7C83D">
            <wp:extent cx="5191037" cy="3994100"/>
            <wp:effectExtent l="0" t="0" r="0" b="6985"/>
            <wp:docPr id="16" name="Picture 16" descr="Figure 12 shows meningococcal ACWY vaccine coverage at 24 months of age (1 dose) by Statistical Area 3 (SA3), for Australia and major capital cities. The map shows pockets of low levels of coverage within jurisdictions in 2020, in particular in coastal areas of south east Queensland, and northern New South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igure 12 shows meningococcal ACWY vaccine coverage at 24 months of age (1 dose) by Statistical Area 3 (SA3), for Australia and major capital cities. The map shows pockets of low levels of coverage within jurisdictions in 2020, in particular in coastal areas of south east Queensland, and northern New South Wales."/>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5194478" cy="3996747"/>
                    </a:xfrm>
                    <a:prstGeom prst="rect">
                      <a:avLst/>
                    </a:prstGeom>
                  </pic:spPr>
                </pic:pic>
              </a:graphicData>
            </a:graphic>
          </wp:inline>
        </w:drawing>
      </w:r>
    </w:p>
    <w:p w14:paraId="33EB2FD3" w14:textId="14FD8CBA" w:rsidR="00445B06" w:rsidRDefault="00445B06" w:rsidP="00A1168D">
      <w:pPr>
        <w:pStyle w:val="NormalWeb"/>
        <w:jc w:val="center"/>
        <w:rPr>
          <w:lang w:val="en-GB"/>
        </w:rPr>
      </w:pPr>
      <w:r>
        <w:rPr>
          <w:noProof/>
          <w:lang w:val="en-GB"/>
        </w:rPr>
        <w:drawing>
          <wp:inline distT="0" distB="0" distL="0" distR="0" wp14:anchorId="61273104" wp14:editId="41B9CB2A">
            <wp:extent cx="4508001" cy="3471679"/>
            <wp:effectExtent l="0" t="0" r="6985" b="0"/>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4508001" cy="3471679"/>
                    </a:xfrm>
                    <a:prstGeom prst="rect">
                      <a:avLst/>
                    </a:prstGeom>
                  </pic:spPr>
                </pic:pic>
              </a:graphicData>
            </a:graphic>
          </wp:inline>
        </w:drawing>
      </w:r>
    </w:p>
    <w:p w14:paraId="60968186" w14:textId="77777777" w:rsidR="00445B06" w:rsidRDefault="00445B06" w:rsidP="00445B06">
      <w:pPr>
        <w:pStyle w:val="CDIfootnotes"/>
        <w:rPr>
          <w:lang w:val="en-GB"/>
        </w:rPr>
      </w:pPr>
      <w:r>
        <w:rPr>
          <w:lang w:val="en-GB"/>
        </w:rPr>
        <w:t>a</w:t>
      </w:r>
      <w:r>
        <w:rPr>
          <w:lang w:val="en-GB"/>
        </w:rPr>
        <w:tab/>
        <w:t>Cohort born 1 January 2018 – 31 December 2018.</w:t>
      </w:r>
    </w:p>
    <w:p w14:paraId="08F3E3A6" w14:textId="77777777" w:rsidR="00445B06" w:rsidRDefault="00445B06" w:rsidP="00445B06">
      <w:pPr>
        <w:pStyle w:val="CDIfootnotes"/>
        <w:rPr>
          <w:lang w:val="en-GB"/>
        </w:rPr>
      </w:pPr>
      <w:r>
        <w:rPr>
          <w:lang w:val="en-GB"/>
        </w:rPr>
        <w:t>b</w:t>
      </w:r>
      <w:r>
        <w:rPr>
          <w:lang w:val="en-GB"/>
        </w:rPr>
        <w:tab/>
        <w:t>Number in parentheses = number of Statistical Area 3s in each coverage category.</w:t>
      </w:r>
    </w:p>
    <w:p w14:paraId="7B008C61" w14:textId="77777777" w:rsidR="00445B06" w:rsidRDefault="00445B06" w:rsidP="00FD4A14">
      <w:pPr>
        <w:pStyle w:val="Heading2"/>
      </w:pPr>
    </w:p>
    <w:p w14:paraId="12FE2218" w14:textId="77777777" w:rsidR="00A1168D" w:rsidRDefault="00A1168D">
      <w:pPr>
        <w:rPr>
          <w:rFonts w:asciiTheme="majorHAnsi" w:eastAsiaTheme="majorEastAsia" w:hAnsiTheme="majorHAnsi" w:cstheme="majorBidi"/>
          <w:b/>
          <w:bCs/>
          <w:sz w:val="26"/>
          <w:szCs w:val="26"/>
        </w:rPr>
      </w:pPr>
      <w:r>
        <w:br w:type="page"/>
      </w:r>
    </w:p>
    <w:p w14:paraId="66EE6628" w14:textId="6D0925DB" w:rsidR="002B4EF6" w:rsidRPr="00FD4A14" w:rsidRDefault="002B4EF6" w:rsidP="00FD4A14">
      <w:pPr>
        <w:pStyle w:val="Heading2"/>
      </w:pPr>
      <w:r w:rsidRPr="00FD4A14">
        <w:lastRenderedPageBreak/>
        <w:t xml:space="preserve">Provider type and reporting to AIR </w:t>
      </w:r>
    </w:p>
    <w:p w14:paraId="62D1F3B5" w14:textId="19C20299" w:rsidR="002B4EF6" w:rsidRDefault="002B4EF6" w:rsidP="00FD4A14">
      <w:r>
        <w:t xml:space="preserve">In 2020, the large majority (82.8%) of vaccinations given to children aged 0–6 years in Australia were administered in general practice settings, with the Northern Territory the only jurisdiction with a minority of vaccinations (21.5%) in young children given in general practice (Figure 13). Overall, 9.4% of vaccinations were delivered in local council clinic settings (with the proportion highest in Victoria at 21.3%), 6.1% in community health services (highest in the Northern Territory [51.3%], Australian Capital Territory [26.7%] and Western Australia [17.7%]) and 0.7% in Indigenous health services (highest in the Northern Territory at 22.3%), and 1.0% in hospitals. The distribution of vaccinations given to children aged 0–6 years by provider type was generally </w:t>
      </w:r>
      <w:proofErr w:type="gramStart"/>
      <w:r>
        <w:t>similar to</w:t>
      </w:r>
      <w:proofErr w:type="gramEnd"/>
      <w:r>
        <w:t xml:space="preserve"> that in people of all ages (Figure A.10 in the Appendix), but with none administered in pharmacy settings (pharmacists are not currently authorised to vaccinate young children).</w:t>
      </w:r>
    </w:p>
    <w:p w14:paraId="53A2B5D0" w14:textId="77777777" w:rsidR="00417819" w:rsidRDefault="00417819" w:rsidP="00417819">
      <w:pPr>
        <w:pStyle w:val="NormalWeb"/>
        <w:rPr>
          <w:lang w:val="en-GB"/>
        </w:rPr>
      </w:pPr>
      <w:r>
        <w:rPr>
          <w:rStyle w:val="Strong"/>
          <w:lang w:val="en-GB"/>
        </w:rPr>
        <w:t>Figure 13: Proportion of vaccinations given to children aged 0–6 years by provider type and jurisdiction, Australia, 2020</w:t>
      </w:r>
      <w:proofErr w:type="gramStart"/>
      <w:r>
        <w:rPr>
          <w:rStyle w:val="Strong"/>
          <w:vertAlign w:val="superscript"/>
          <w:lang w:val="en-GB"/>
        </w:rPr>
        <w:t>a,b</w:t>
      </w:r>
      <w:proofErr w:type="gramEnd"/>
    </w:p>
    <w:p w14:paraId="2425D504" w14:textId="6686C217" w:rsidR="00417819" w:rsidRDefault="00417819" w:rsidP="00417819">
      <w:pPr>
        <w:pStyle w:val="NormalWeb"/>
        <w:rPr>
          <w:lang w:val="en-GB"/>
        </w:rPr>
      </w:pPr>
      <w:r>
        <w:rPr>
          <w:noProof/>
          <w:lang w:val="en-GB"/>
        </w:rPr>
        <w:drawing>
          <wp:inline distT="0" distB="0" distL="0" distR="0" wp14:anchorId="58F89616" wp14:editId="0FB3DF88">
            <wp:extent cx="6625742" cy="4246252"/>
            <wp:effectExtent l="0" t="0" r="3810" b="1905"/>
            <wp:docPr id="17" name="Picture 17" descr="Figure 13 shows the proportion of vaccinations given to children aged &lt;7 years by provider type and jurisdiction, Australia, 2020. In 2020, the large majority (82.8%) of vaccinations given to children aged &lt;7 years in Australia were administered in general practice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igure 13 shows the proportion of vaccinations given to children aged &lt;7 years by provider type and jurisdiction, Australia, 2020. In 2020, the large majority (82.8%) of vaccinations given to children aged &lt;7 years in Australia were administered in general practice settings."/>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6633513" cy="4251232"/>
                    </a:xfrm>
                    <a:prstGeom prst="rect">
                      <a:avLst/>
                    </a:prstGeom>
                  </pic:spPr>
                </pic:pic>
              </a:graphicData>
            </a:graphic>
          </wp:inline>
        </w:drawing>
      </w:r>
    </w:p>
    <w:p w14:paraId="5A69B5DF" w14:textId="77777777" w:rsidR="00417819" w:rsidRDefault="00417819" w:rsidP="00417819">
      <w:pPr>
        <w:pStyle w:val="CDIfootnotes"/>
        <w:rPr>
          <w:lang w:val="en-GB"/>
        </w:rPr>
      </w:pPr>
      <w:r>
        <w:rPr>
          <w:lang w:val="en-GB"/>
        </w:rPr>
        <w:t>a</w:t>
      </w:r>
      <w:r>
        <w:rPr>
          <w:lang w:val="en-GB"/>
        </w:rPr>
        <w:tab/>
        <w:t xml:space="preserve">Source: Australian Immunisation Register, data as </w:t>
      </w:r>
      <w:proofErr w:type="gramStart"/>
      <w:r>
        <w:rPr>
          <w:lang w:val="en-GB"/>
        </w:rPr>
        <w:t>at</w:t>
      </w:r>
      <w:proofErr w:type="gramEnd"/>
      <w:r>
        <w:rPr>
          <w:lang w:val="en-GB"/>
        </w:rPr>
        <w:t xml:space="preserve"> 31 March 2021.</w:t>
      </w:r>
    </w:p>
    <w:p w14:paraId="2473076D" w14:textId="77777777" w:rsidR="00417819" w:rsidRDefault="00417819" w:rsidP="00417819">
      <w:pPr>
        <w:pStyle w:val="CDIfootnotes"/>
        <w:rPr>
          <w:lang w:val="en-GB"/>
        </w:rPr>
      </w:pPr>
      <w:r>
        <w:rPr>
          <w:lang w:val="en-GB"/>
        </w:rPr>
        <w:t>b</w:t>
      </w:r>
      <w:r>
        <w:rPr>
          <w:lang w:val="en-GB"/>
        </w:rPr>
        <w:tab/>
        <w:t>ACT = Australian Capital Territory; NSW = New South Wales; NT = Northern Territory; Qld = Queensland; SA = South Australia; Tas. = Tasmania; Vic. = Victoria; WA = Western Australia; AUST = Australia.</w:t>
      </w:r>
    </w:p>
    <w:p w14:paraId="42EA7A27" w14:textId="5AD0E66A" w:rsidR="00417819" w:rsidRPr="00417819" w:rsidRDefault="00417819" w:rsidP="00417819">
      <w:pPr>
        <w:pStyle w:val="CDIfootnotes"/>
        <w:rPr>
          <w:lang w:val="en-GB"/>
        </w:rPr>
      </w:pPr>
      <w:r>
        <w:rPr>
          <w:lang w:val="en-GB"/>
        </w:rPr>
        <w:t>c</w:t>
      </w:r>
      <w:r>
        <w:rPr>
          <w:lang w:val="en-GB"/>
        </w:rPr>
        <w:tab/>
        <w:t>Includes public health units and state health.</w:t>
      </w:r>
    </w:p>
    <w:p w14:paraId="2B7F452A" w14:textId="176E9D9D" w:rsidR="002B4EF6" w:rsidRDefault="002B4EF6" w:rsidP="00FD4A14">
      <w:r>
        <w:t>In 2020, a total of 84.9% of vaccinations given to children aged 0–6 years on the AIR were reported using practice management software (jurisdictional range 25.8%–89.7%; Figure 14), which was 2.6 percentage points higher than in 2019. Less common methods of reporting included the AIR website (11.6%; jurisdictional range 1.7–30.4%), and internet data interchange (IDI) upload, where immunisation providers/organisations send vaccination encounter details in bulk to the AIR (3.1%; jurisdictional range 0.1%–72.5%). The percentage of vaccinations given to all persons on the AIR in 2020 that were reported using practice management software was higher at 87.3% (jurisdictional range 39.8%–90.0%)</w:t>
      </w:r>
      <w:r w:rsidR="00FD4A14">
        <w:t xml:space="preserve"> </w:t>
      </w:r>
      <w:r>
        <w:t>(data not shown).</w:t>
      </w:r>
    </w:p>
    <w:p w14:paraId="7388A481" w14:textId="77777777" w:rsidR="00417819" w:rsidRDefault="00417819" w:rsidP="00417819">
      <w:pPr>
        <w:pStyle w:val="NormalWeb"/>
        <w:rPr>
          <w:lang w:val="en-GB"/>
        </w:rPr>
      </w:pPr>
      <w:r>
        <w:rPr>
          <w:rStyle w:val="Strong"/>
          <w:lang w:val="en-GB"/>
        </w:rPr>
        <w:lastRenderedPageBreak/>
        <w:t>Figure 14: Proportion of vaccinations given to children aged 0–6 years by type of reporting mechanism and state or territory, Australia, 2020</w:t>
      </w:r>
      <w:proofErr w:type="gramStart"/>
      <w:r>
        <w:rPr>
          <w:rStyle w:val="Strong"/>
          <w:vertAlign w:val="superscript"/>
          <w:lang w:val="en-GB"/>
        </w:rPr>
        <w:t>a,b</w:t>
      </w:r>
      <w:proofErr w:type="gramEnd"/>
    </w:p>
    <w:p w14:paraId="5C1BDC2D" w14:textId="1799D92B" w:rsidR="00417819" w:rsidRDefault="00417819" w:rsidP="00417819">
      <w:pPr>
        <w:pStyle w:val="NormalWeb"/>
        <w:rPr>
          <w:lang w:val="en-GB"/>
        </w:rPr>
      </w:pPr>
      <w:r>
        <w:rPr>
          <w:noProof/>
          <w:lang w:val="en-GB"/>
        </w:rPr>
        <w:drawing>
          <wp:inline distT="0" distB="0" distL="0" distR="0" wp14:anchorId="766749D7" wp14:editId="02930CA6">
            <wp:extent cx="6625742" cy="4270730"/>
            <wp:effectExtent l="0" t="0" r="3810" b="0"/>
            <wp:docPr id="18" name="Picture 18" descr="Figure 14 shows the proportion of vaccinations given to children aged &lt;7 years by type of reporting mechanism and state or territory, Australia, 2020. In 2020, 84.9% of vaccinations given to children aged &lt;7 years on the AIR were reported using Practice Management Software, 2.6 percentage points higher than in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igure 14 shows the proportion of vaccinations given to children aged &lt;7 years by type of reporting mechanism and state or territory, Australia, 2020. In 2020, 84.9% of vaccinations given to children aged &lt;7 years on the AIR were reported using Practice Management Software, 2.6 percentage points higher than in 2019."/>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6633304" cy="4275604"/>
                    </a:xfrm>
                    <a:prstGeom prst="rect">
                      <a:avLst/>
                    </a:prstGeom>
                  </pic:spPr>
                </pic:pic>
              </a:graphicData>
            </a:graphic>
          </wp:inline>
        </w:drawing>
      </w:r>
    </w:p>
    <w:p w14:paraId="33DA992B" w14:textId="77777777" w:rsidR="00417819" w:rsidRDefault="00417819" w:rsidP="00417819">
      <w:pPr>
        <w:pStyle w:val="CDIfootnotes"/>
        <w:rPr>
          <w:lang w:val="en-GB"/>
        </w:rPr>
      </w:pPr>
      <w:r>
        <w:rPr>
          <w:lang w:val="en-GB"/>
        </w:rPr>
        <w:t>a</w:t>
      </w:r>
      <w:r>
        <w:rPr>
          <w:lang w:val="en-GB"/>
        </w:rPr>
        <w:tab/>
        <w:t xml:space="preserve">Source: Australian Immunisation Register, data as </w:t>
      </w:r>
      <w:proofErr w:type="gramStart"/>
      <w:r>
        <w:rPr>
          <w:lang w:val="en-GB"/>
        </w:rPr>
        <w:t>at</w:t>
      </w:r>
      <w:proofErr w:type="gramEnd"/>
      <w:r>
        <w:rPr>
          <w:lang w:val="en-GB"/>
        </w:rPr>
        <w:t xml:space="preserve"> 31 March 2021.</w:t>
      </w:r>
    </w:p>
    <w:p w14:paraId="6432D2E5" w14:textId="77777777" w:rsidR="00417819" w:rsidRDefault="00417819" w:rsidP="00417819">
      <w:pPr>
        <w:pStyle w:val="CDIfootnotes"/>
        <w:rPr>
          <w:lang w:val="en-GB"/>
        </w:rPr>
      </w:pPr>
      <w:r>
        <w:rPr>
          <w:lang w:val="en-GB"/>
        </w:rPr>
        <w:t>b</w:t>
      </w:r>
      <w:r>
        <w:rPr>
          <w:lang w:val="en-GB"/>
        </w:rPr>
        <w:tab/>
        <w:t>ACT = Australian Capital Territory; NSW = New South Wales; NT = Northern Territory; Qld = Queensland; SA = South Australia; Tas. = Tasmania; Vic. = Victoria; WA = Western Australia; AUST = Australia.</w:t>
      </w:r>
    </w:p>
    <w:p w14:paraId="0CD197F3" w14:textId="77777777" w:rsidR="00417819" w:rsidRDefault="00417819" w:rsidP="00417819">
      <w:pPr>
        <w:pStyle w:val="CDIfootnotes"/>
        <w:rPr>
          <w:lang w:val="en-GB"/>
        </w:rPr>
      </w:pPr>
      <w:r>
        <w:rPr>
          <w:lang w:val="en-GB"/>
        </w:rPr>
        <w:t>c</w:t>
      </w:r>
      <w:r>
        <w:rPr>
          <w:lang w:val="en-GB"/>
        </w:rPr>
        <w:tab/>
        <w:t>PMS: practice management software.</w:t>
      </w:r>
    </w:p>
    <w:p w14:paraId="5FBF0950" w14:textId="77777777" w:rsidR="00417819" w:rsidRDefault="00417819" w:rsidP="00417819">
      <w:pPr>
        <w:pStyle w:val="CDIfootnotes"/>
        <w:rPr>
          <w:lang w:val="en-GB"/>
        </w:rPr>
      </w:pPr>
      <w:r>
        <w:rPr>
          <w:lang w:val="en-GB"/>
        </w:rPr>
        <w:t>d</w:t>
      </w:r>
      <w:r>
        <w:rPr>
          <w:lang w:val="en-GB"/>
        </w:rPr>
        <w:tab/>
        <w:t>IDI: internet data interchange (approved immunisation providers/organisations can send vaccination encounter details in bulk to the AIR using the IDI upload facility).</w:t>
      </w:r>
    </w:p>
    <w:p w14:paraId="09A1405E" w14:textId="74D770E2" w:rsidR="00417819" w:rsidRPr="00417819" w:rsidRDefault="00417819" w:rsidP="00417819">
      <w:pPr>
        <w:pStyle w:val="CDIfootnotes"/>
        <w:rPr>
          <w:lang w:val="en-GB"/>
        </w:rPr>
      </w:pPr>
      <w:r>
        <w:rPr>
          <w:lang w:val="en-GB"/>
        </w:rPr>
        <w:t>e</w:t>
      </w:r>
      <w:r>
        <w:rPr>
          <w:lang w:val="en-GB"/>
        </w:rPr>
        <w:tab/>
        <w:t>Other: manual and history forms.</w:t>
      </w:r>
    </w:p>
    <w:p w14:paraId="4C8D3100" w14:textId="77777777" w:rsidR="002B4EF6" w:rsidRPr="00FD4A14" w:rsidRDefault="002B4EF6" w:rsidP="00FD4A14">
      <w:pPr>
        <w:pStyle w:val="Heading2"/>
      </w:pPr>
      <w:r w:rsidRPr="00FD4A14">
        <w:t xml:space="preserve">Adolescents </w:t>
      </w:r>
    </w:p>
    <w:p w14:paraId="5F9DB78C" w14:textId="77777777" w:rsidR="002B4EF6" w:rsidRDefault="002B4EF6" w:rsidP="00FD4A14">
      <w:pPr>
        <w:pStyle w:val="Heading3"/>
        <w:rPr>
          <w:rFonts w:eastAsia="Times New Roman"/>
        </w:rPr>
      </w:pPr>
      <w:r>
        <w:rPr>
          <w:rFonts w:eastAsia="Times New Roman"/>
        </w:rPr>
        <w:t xml:space="preserve">Human papillomavirus vaccine coverage </w:t>
      </w:r>
    </w:p>
    <w:p w14:paraId="40975AF0" w14:textId="42E37F4B" w:rsidR="00EA4138" w:rsidRDefault="002B4EF6" w:rsidP="00FD4A14">
      <w:r>
        <w:t xml:space="preserve">HPV vaccination coverage estimates in girls, for receipt of first dose and course completion by 15 years of age, are shown in Table 5, by Indigenous status and jurisdiction for 2019 and 2020. In 2020, a total of 80.5% of Australian girls had completed a full course of HPV vaccine by 15 years of age, up from 79.8% in 2019. Course completion varied from 76.7% in Queensland to 83.6% in the Australian Capital Territory (Table 5). </w:t>
      </w:r>
    </w:p>
    <w:p w14:paraId="2C973FDB" w14:textId="77777777" w:rsidR="00EA4138" w:rsidRDefault="00EA4138">
      <w:r>
        <w:br w:type="page"/>
      </w:r>
    </w:p>
    <w:p w14:paraId="0A7ED7B9" w14:textId="77777777" w:rsidR="00EA4138" w:rsidRDefault="00EA4138" w:rsidP="00EA4138">
      <w:pPr>
        <w:pStyle w:val="NormalWeb"/>
        <w:rPr>
          <w:lang w:val="en-GB"/>
        </w:rPr>
      </w:pPr>
      <w:r>
        <w:rPr>
          <w:rStyle w:val="Strong"/>
          <w:lang w:val="en-GB"/>
        </w:rPr>
        <w:lastRenderedPageBreak/>
        <w:t xml:space="preserve">Table 5: Human papillomavirus (HPV) vaccination (dose 1 and course </w:t>
      </w:r>
      <w:proofErr w:type="gramStart"/>
      <w:r>
        <w:rPr>
          <w:rStyle w:val="Strong"/>
          <w:lang w:val="en-GB"/>
        </w:rPr>
        <w:t>completion)</w:t>
      </w:r>
      <w:r>
        <w:rPr>
          <w:rStyle w:val="Strong"/>
          <w:vertAlign w:val="superscript"/>
          <w:lang w:val="en-GB"/>
        </w:rPr>
        <w:t>a</w:t>
      </w:r>
      <w:proofErr w:type="gramEnd"/>
      <w:r>
        <w:rPr>
          <w:rStyle w:val="Strong"/>
          <w:lang w:val="en-GB"/>
        </w:rPr>
        <w:t xml:space="preserve"> coverage estimates (%) for girls by 15 years of </w:t>
      </w:r>
      <w:proofErr w:type="spellStart"/>
      <w:r>
        <w:rPr>
          <w:rStyle w:val="Strong"/>
          <w:lang w:val="en-GB"/>
        </w:rPr>
        <w:t>age,</w:t>
      </w:r>
      <w:r>
        <w:rPr>
          <w:rStyle w:val="Strong"/>
          <w:vertAlign w:val="superscript"/>
          <w:lang w:val="en-GB"/>
        </w:rPr>
        <w:t>b</w:t>
      </w:r>
      <w:proofErr w:type="spellEnd"/>
      <w:r>
        <w:rPr>
          <w:rStyle w:val="Strong"/>
          <w:lang w:val="en-GB"/>
        </w:rPr>
        <w:t xml:space="preserve"> by Indigenous status and jurisdiction, Australia, 2019 and 2020</w:t>
      </w:r>
      <w:r>
        <w:rPr>
          <w:rStyle w:val="Strong"/>
          <w:vertAlign w:val="superscript"/>
          <w:lang w:val="en-GB"/>
        </w:rPr>
        <w:t>c</w:t>
      </w:r>
    </w:p>
    <w:tbl>
      <w:tblPr>
        <w:tblStyle w:val="CDI-StandardTable"/>
        <w:tblW w:w="0" w:type="auto"/>
        <w:tblCellMar>
          <w:left w:w="113" w:type="dxa"/>
          <w:right w:w="113" w:type="dxa"/>
        </w:tblCellMar>
        <w:tblLook w:val="04A0" w:firstRow="1" w:lastRow="0" w:firstColumn="1" w:lastColumn="0" w:noHBand="0" w:noVBand="1"/>
        <w:tblDescription w:val="Table 5 presents HPV vaccination (dose 1 and course completion) coverage estimates for girls by 15 years of age, by Indigenous status and jurisdiction for Australia, 2019 versus 2020.&#10;"/>
      </w:tblPr>
      <w:tblGrid>
        <w:gridCol w:w="1843"/>
        <w:gridCol w:w="1098"/>
        <w:gridCol w:w="1099"/>
        <w:gridCol w:w="1098"/>
        <w:gridCol w:w="1099"/>
      </w:tblGrid>
      <w:tr w:rsidR="00EA4138" w14:paraId="23426087" w14:textId="77777777" w:rsidTr="00EA4138">
        <w:trPr>
          <w:cnfStyle w:val="100000000000" w:firstRow="1" w:lastRow="0" w:firstColumn="0" w:lastColumn="0" w:oddVBand="0" w:evenVBand="0" w:oddHBand="0" w:evenHBand="0" w:firstRowFirstColumn="0" w:firstRowLastColumn="0" w:lastRowFirstColumn="0" w:lastRowLastColumn="0"/>
          <w:tblHeader/>
        </w:trPr>
        <w:tc>
          <w:tcPr>
            <w:tcW w:w="1843" w:type="dxa"/>
            <w:vMerge w:val="restart"/>
            <w:tcBorders>
              <w:top w:val="nil"/>
              <w:left w:val="nil"/>
              <w:bottom w:val="nil"/>
            </w:tcBorders>
            <w:hideMark/>
          </w:tcPr>
          <w:p w14:paraId="3F269000" w14:textId="77777777" w:rsidR="00EA4138" w:rsidRDefault="00EA4138">
            <w:pPr>
              <w:pStyle w:val="NormalWeb"/>
              <w:jc w:val="left"/>
              <w:rPr>
                <w:sz w:val="18"/>
                <w:szCs w:val="18"/>
              </w:rPr>
            </w:pPr>
            <w:proofErr w:type="spellStart"/>
            <w:r>
              <w:rPr>
                <w:sz w:val="18"/>
                <w:szCs w:val="18"/>
              </w:rPr>
              <w:t>Jurisdiction</w:t>
            </w:r>
            <w:r>
              <w:rPr>
                <w:sz w:val="18"/>
                <w:szCs w:val="18"/>
                <w:vertAlign w:val="superscript"/>
              </w:rPr>
              <w:t>d</w:t>
            </w:r>
            <w:proofErr w:type="spellEnd"/>
          </w:p>
        </w:tc>
        <w:tc>
          <w:tcPr>
            <w:tcW w:w="2197" w:type="dxa"/>
            <w:gridSpan w:val="2"/>
            <w:tcBorders>
              <w:top w:val="nil"/>
            </w:tcBorders>
            <w:hideMark/>
          </w:tcPr>
          <w:p w14:paraId="456F27E4" w14:textId="77777777" w:rsidR="00EA4138" w:rsidRDefault="00EA4138">
            <w:pPr>
              <w:pStyle w:val="NormalWeb"/>
              <w:rPr>
                <w:sz w:val="18"/>
                <w:szCs w:val="18"/>
              </w:rPr>
            </w:pPr>
            <w:r>
              <w:rPr>
                <w:sz w:val="18"/>
                <w:szCs w:val="18"/>
              </w:rPr>
              <w:t>All girls</w:t>
            </w:r>
          </w:p>
        </w:tc>
        <w:tc>
          <w:tcPr>
            <w:tcW w:w="2197" w:type="dxa"/>
            <w:gridSpan w:val="2"/>
            <w:tcBorders>
              <w:top w:val="nil"/>
              <w:right w:val="nil"/>
            </w:tcBorders>
            <w:hideMark/>
          </w:tcPr>
          <w:p w14:paraId="545A3224" w14:textId="77777777" w:rsidR="00EA4138" w:rsidRDefault="00EA4138">
            <w:pPr>
              <w:pStyle w:val="NormalWeb"/>
              <w:rPr>
                <w:sz w:val="18"/>
                <w:szCs w:val="18"/>
              </w:rPr>
            </w:pPr>
            <w:r>
              <w:rPr>
                <w:sz w:val="18"/>
                <w:szCs w:val="18"/>
              </w:rPr>
              <w:t>Indigenous girls</w:t>
            </w:r>
          </w:p>
        </w:tc>
      </w:tr>
      <w:tr w:rsidR="00EA4138" w14:paraId="7F9405C3" w14:textId="77777777" w:rsidTr="00EA4138">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nil"/>
              <w:left w:val="nil"/>
              <w:bottom w:val="nil"/>
            </w:tcBorders>
            <w:hideMark/>
          </w:tcPr>
          <w:p w14:paraId="447DDF87" w14:textId="77777777" w:rsidR="00EA4138" w:rsidRDefault="00EA4138">
            <w:pPr>
              <w:rPr>
                <w:sz w:val="18"/>
                <w:szCs w:val="18"/>
              </w:rPr>
            </w:pPr>
          </w:p>
        </w:tc>
        <w:tc>
          <w:tcPr>
            <w:tcW w:w="1098" w:type="dxa"/>
            <w:tcBorders>
              <w:bottom w:val="nil"/>
            </w:tcBorders>
            <w:hideMark/>
          </w:tcPr>
          <w:p w14:paraId="2BF518A2" w14:textId="77777777" w:rsidR="00EA4138" w:rsidRDefault="00EA4138">
            <w:pPr>
              <w:pStyle w:val="NormalWeb"/>
              <w:rPr>
                <w:sz w:val="18"/>
                <w:szCs w:val="18"/>
              </w:rPr>
            </w:pPr>
            <w:r>
              <w:rPr>
                <w:sz w:val="18"/>
                <w:szCs w:val="18"/>
              </w:rPr>
              <w:t>2019</w:t>
            </w:r>
          </w:p>
        </w:tc>
        <w:tc>
          <w:tcPr>
            <w:tcW w:w="1099" w:type="dxa"/>
            <w:tcBorders>
              <w:bottom w:val="nil"/>
            </w:tcBorders>
            <w:hideMark/>
          </w:tcPr>
          <w:p w14:paraId="74BEC97A" w14:textId="77777777" w:rsidR="00EA4138" w:rsidRDefault="00EA4138">
            <w:pPr>
              <w:pStyle w:val="NormalWeb"/>
              <w:rPr>
                <w:sz w:val="18"/>
                <w:szCs w:val="18"/>
              </w:rPr>
            </w:pPr>
            <w:r>
              <w:rPr>
                <w:sz w:val="18"/>
                <w:szCs w:val="18"/>
              </w:rPr>
              <w:t>2020</w:t>
            </w:r>
          </w:p>
        </w:tc>
        <w:tc>
          <w:tcPr>
            <w:tcW w:w="1098" w:type="dxa"/>
            <w:tcBorders>
              <w:bottom w:val="nil"/>
            </w:tcBorders>
            <w:hideMark/>
          </w:tcPr>
          <w:p w14:paraId="56444A3A" w14:textId="77777777" w:rsidR="00EA4138" w:rsidRDefault="00EA4138">
            <w:pPr>
              <w:pStyle w:val="NormalWeb"/>
              <w:rPr>
                <w:sz w:val="18"/>
                <w:szCs w:val="18"/>
              </w:rPr>
            </w:pPr>
            <w:r>
              <w:rPr>
                <w:sz w:val="18"/>
                <w:szCs w:val="18"/>
              </w:rPr>
              <w:t>2019</w:t>
            </w:r>
          </w:p>
        </w:tc>
        <w:tc>
          <w:tcPr>
            <w:tcW w:w="1099" w:type="dxa"/>
            <w:tcBorders>
              <w:bottom w:val="nil"/>
              <w:right w:val="nil"/>
            </w:tcBorders>
            <w:hideMark/>
          </w:tcPr>
          <w:p w14:paraId="14E0651F" w14:textId="77777777" w:rsidR="00EA4138" w:rsidRDefault="00EA4138">
            <w:pPr>
              <w:pStyle w:val="NormalWeb"/>
              <w:rPr>
                <w:sz w:val="18"/>
                <w:szCs w:val="18"/>
              </w:rPr>
            </w:pPr>
            <w:r>
              <w:rPr>
                <w:sz w:val="18"/>
                <w:szCs w:val="18"/>
              </w:rPr>
              <w:t>2020</w:t>
            </w:r>
          </w:p>
        </w:tc>
      </w:tr>
      <w:tr w:rsidR="00EA4138" w14:paraId="114A54FB" w14:textId="77777777" w:rsidTr="00EA4138">
        <w:tc>
          <w:tcPr>
            <w:tcW w:w="1843" w:type="dxa"/>
            <w:hideMark/>
          </w:tcPr>
          <w:p w14:paraId="6CAE102F" w14:textId="77777777" w:rsidR="00EA4138" w:rsidRDefault="00EA4138">
            <w:pPr>
              <w:pStyle w:val="NormalWeb"/>
              <w:jc w:val="left"/>
              <w:rPr>
                <w:sz w:val="18"/>
                <w:szCs w:val="18"/>
              </w:rPr>
            </w:pPr>
            <w:r>
              <w:rPr>
                <w:b/>
                <w:bCs/>
                <w:sz w:val="18"/>
                <w:szCs w:val="18"/>
              </w:rPr>
              <w:t>ACT</w:t>
            </w:r>
            <w:r>
              <w:rPr>
                <w:b/>
                <w:bCs/>
                <w:sz w:val="18"/>
                <w:szCs w:val="18"/>
              </w:rPr>
              <w:br/>
            </w:r>
            <w:r>
              <w:rPr>
                <w:sz w:val="18"/>
                <w:szCs w:val="18"/>
              </w:rPr>
              <w:t>Dose 1</w:t>
            </w:r>
            <w:r>
              <w:rPr>
                <w:sz w:val="18"/>
                <w:szCs w:val="18"/>
              </w:rPr>
              <w:br/>
              <w:t>Course completion</w:t>
            </w:r>
          </w:p>
        </w:tc>
        <w:tc>
          <w:tcPr>
            <w:tcW w:w="1098" w:type="dxa"/>
            <w:hideMark/>
          </w:tcPr>
          <w:p w14:paraId="6CAFCF23" w14:textId="77777777" w:rsidR="00EA4138" w:rsidRDefault="00EA4138">
            <w:pPr>
              <w:pStyle w:val="NormalWeb"/>
              <w:rPr>
                <w:sz w:val="18"/>
                <w:szCs w:val="18"/>
              </w:rPr>
            </w:pPr>
            <w:r>
              <w:rPr>
                <w:sz w:val="18"/>
                <w:szCs w:val="18"/>
              </w:rPr>
              <w:t>88.6</w:t>
            </w:r>
            <w:r>
              <w:rPr>
                <w:sz w:val="18"/>
                <w:szCs w:val="18"/>
              </w:rPr>
              <w:br/>
              <w:t>82.9</w:t>
            </w:r>
          </w:p>
        </w:tc>
        <w:tc>
          <w:tcPr>
            <w:tcW w:w="1099" w:type="dxa"/>
            <w:hideMark/>
          </w:tcPr>
          <w:p w14:paraId="2FAA597E" w14:textId="77777777" w:rsidR="00EA4138" w:rsidRDefault="00EA4138">
            <w:pPr>
              <w:pStyle w:val="NormalWeb"/>
              <w:rPr>
                <w:sz w:val="18"/>
                <w:szCs w:val="18"/>
              </w:rPr>
            </w:pPr>
            <w:r>
              <w:rPr>
                <w:sz w:val="18"/>
                <w:szCs w:val="18"/>
              </w:rPr>
              <w:t>89.8</w:t>
            </w:r>
            <w:r>
              <w:rPr>
                <w:sz w:val="18"/>
                <w:szCs w:val="18"/>
              </w:rPr>
              <w:br/>
              <w:t>83.6</w:t>
            </w:r>
          </w:p>
        </w:tc>
        <w:tc>
          <w:tcPr>
            <w:tcW w:w="1098" w:type="dxa"/>
            <w:hideMark/>
          </w:tcPr>
          <w:p w14:paraId="35380047" w14:textId="77777777" w:rsidR="00EA4138" w:rsidRDefault="00EA4138">
            <w:pPr>
              <w:pStyle w:val="NormalWeb"/>
              <w:rPr>
                <w:sz w:val="18"/>
                <w:szCs w:val="18"/>
              </w:rPr>
            </w:pPr>
            <w:r>
              <w:rPr>
                <w:sz w:val="18"/>
                <w:szCs w:val="18"/>
              </w:rPr>
              <w:t>85.0</w:t>
            </w:r>
            <w:r>
              <w:rPr>
                <w:sz w:val="18"/>
                <w:szCs w:val="18"/>
              </w:rPr>
              <w:br/>
              <w:t>75.0</w:t>
            </w:r>
          </w:p>
        </w:tc>
        <w:tc>
          <w:tcPr>
            <w:tcW w:w="1099" w:type="dxa"/>
            <w:hideMark/>
          </w:tcPr>
          <w:p w14:paraId="406F84E6" w14:textId="77777777" w:rsidR="00EA4138" w:rsidRDefault="00EA4138">
            <w:pPr>
              <w:pStyle w:val="NormalWeb"/>
              <w:rPr>
                <w:sz w:val="18"/>
                <w:szCs w:val="18"/>
              </w:rPr>
            </w:pPr>
            <w:r>
              <w:rPr>
                <w:sz w:val="18"/>
                <w:szCs w:val="18"/>
              </w:rPr>
              <w:t>86.4</w:t>
            </w:r>
            <w:r>
              <w:rPr>
                <w:sz w:val="18"/>
                <w:szCs w:val="18"/>
              </w:rPr>
              <w:br/>
              <w:t>75.8</w:t>
            </w:r>
          </w:p>
        </w:tc>
      </w:tr>
      <w:tr w:rsidR="00EA4138" w14:paraId="42174F70" w14:textId="77777777" w:rsidTr="00EA4138">
        <w:trPr>
          <w:cnfStyle w:val="000000010000" w:firstRow="0" w:lastRow="0" w:firstColumn="0" w:lastColumn="0" w:oddVBand="0" w:evenVBand="0" w:oddHBand="0" w:evenHBand="1" w:firstRowFirstColumn="0" w:firstRowLastColumn="0" w:lastRowFirstColumn="0" w:lastRowLastColumn="0"/>
        </w:trPr>
        <w:tc>
          <w:tcPr>
            <w:tcW w:w="1843" w:type="dxa"/>
            <w:hideMark/>
          </w:tcPr>
          <w:p w14:paraId="6BAAEA76" w14:textId="77777777" w:rsidR="00EA4138" w:rsidRDefault="00EA4138">
            <w:pPr>
              <w:pStyle w:val="NormalWeb"/>
              <w:jc w:val="left"/>
              <w:rPr>
                <w:sz w:val="18"/>
                <w:szCs w:val="18"/>
              </w:rPr>
            </w:pPr>
            <w:r>
              <w:rPr>
                <w:b/>
                <w:bCs/>
                <w:sz w:val="18"/>
                <w:szCs w:val="18"/>
              </w:rPr>
              <w:t>NSW</w:t>
            </w:r>
            <w:r>
              <w:rPr>
                <w:b/>
                <w:bCs/>
                <w:sz w:val="18"/>
                <w:szCs w:val="18"/>
              </w:rPr>
              <w:br/>
            </w:r>
            <w:r>
              <w:rPr>
                <w:sz w:val="18"/>
                <w:szCs w:val="18"/>
              </w:rPr>
              <w:t>Dose 1</w:t>
            </w:r>
            <w:r>
              <w:rPr>
                <w:sz w:val="18"/>
                <w:szCs w:val="18"/>
              </w:rPr>
              <w:br/>
              <w:t>Course completion</w:t>
            </w:r>
          </w:p>
        </w:tc>
        <w:tc>
          <w:tcPr>
            <w:tcW w:w="1098" w:type="dxa"/>
            <w:hideMark/>
          </w:tcPr>
          <w:p w14:paraId="16F1A36F" w14:textId="77777777" w:rsidR="00EA4138" w:rsidRDefault="00EA4138">
            <w:pPr>
              <w:pStyle w:val="NormalWeb"/>
              <w:rPr>
                <w:sz w:val="18"/>
                <w:szCs w:val="18"/>
              </w:rPr>
            </w:pPr>
            <w:r>
              <w:rPr>
                <w:sz w:val="18"/>
                <w:szCs w:val="18"/>
              </w:rPr>
              <w:t>86.8</w:t>
            </w:r>
            <w:r>
              <w:rPr>
                <w:sz w:val="18"/>
                <w:szCs w:val="18"/>
              </w:rPr>
              <w:br/>
              <w:t>82.4</w:t>
            </w:r>
          </w:p>
        </w:tc>
        <w:tc>
          <w:tcPr>
            <w:tcW w:w="1099" w:type="dxa"/>
            <w:hideMark/>
          </w:tcPr>
          <w:p w14:paraId="4F17A8D3" w14:textId="77777777" w:rsidR="00EA4138" w:rsidRDefault="00EA4138">
            <w:pPr>
              <w:pStyle w:val="NormalWeb"/>
              <w:rPr>
                <w:sz w:val="18"/>
                <w:szCs w:val="18"/>
              </w:rPr>
            </w:pPr>
            <w:r>
              <w:rPr>
                <w:sz w:val="18"/>
                <w:szCs w:val="18"/>
              </w:rPr>
              <w:t>87.7</w:t>
            </w:r>
            <w:r>
              <w:rPr>
                <w:sz w:val="18"/>
                <w:szCs w:val="18"/>
              </w:rPr>
              <w:br/>
              <w:t>83.4</w:t>
            </w:r>
          </w:p>
        </w:tc>
        <w:tc>
          <w:tcPr>
            <w:tcW w:w="1098" w:type="dxa"/>
            <w:hideMark/>
          </w:tcPr>
          <w:p w14:paraId="59B475C6" w14:textId="77777777" w:rsidR="00EA4138" w:rsidRDefault="00EA4138">
            <w:pPr>
              <w:pStyle w:val="NormalWeb"/>
              <w:rPr>
                <w:sz w:val="18"/>
                <w:szCs w:val="18"/>
              </w:rPr>
            </w:pPr>
            <w:r>
              <w:rPr>
                <w:sz w:val="18"/>
                <w:szCs w:val="18"/>
              </w:rPr>
              <w:t>90.6</w:t>
            </w:r>
            <w:r>
              <w:rPr>
                <w:sz w:val="18"/>
                <w:szCs w:val="18"/>
              </w:rPr>
              <w:br/>
              <w:t>79.5</w:t>
            </w:r>
          </w:p>
        </w:tc>
        <w:tc>
          <w:tcPr>
            <w:tcW w:w="1099" w:type="dxa"/>
            <w:hideMark/>
          </w:tcPr>
          <w:p w14:paraId="7B1725F0" w14:textId="77777777" w:rsidR="00EA4138" w:rsidRDefault="00EA4138">
            <w:pPr>
              <w:pStyle w:val="NormalWeb"/>
              <w:rPr>
                <w:sz w:val="18"/>
                <w:szCs w:val="18"/>
              </w:rPr>
            </w:pPr>
            <w:r>
              <w:rPr>
                <w:sz w:val="18"/>
                <w:szCs w:val="18"/>
              </w:rPr>
              <w:t>92.1</w:t>
            </w:r>
            <w:r>
              <w:rPr>
                <w:sz w:val="18"/>
                <w:szCs w:val="18"/>
              </w:rPr>
              <w:br/>
              <w:t>83.5</w:t>
            </w:r>
          </w:p>
        </w:tc>
      </w:tr>
      <w:tr w:rsidR="00EA4138" w14:paraId="07B00C65" w14:textId="77777777" w:rsidTr="00EA4138">
        <w:tc>
          <w:tcPr>
            <w:tcW w:w="1843" w:type="dxa"/>
            <w:hideMark/>
          </w:tcPr>
          <w:p w14:paraId="134F6138" w14:textId="77777777" w:rsidR="00EA4138" w:rsidRDefault="00EA4138">
            <w:pPr>
              <w:pStyle w:val="NormalWeb"/>
              <w:jc w:val="left"/>
              <w:rPr>
                <w:sz w:val="18"/>
                <w:szCs w:val="18"/>
              </w:rPr>
            </w:pPr>
            <w:r>
              <w:rPr>
                <w:b/>
                <w:bCs/>
                <w:sz w:val="18"/>
                <w:szCs w:val="18"/>
              </w:rPr>
              <w:t>NT</w:t>
            </w:r>
            <w:r>
              <w:rPr>
                <w:b/>
                <w:bCs/>
                <w:sz w:val="18"/>
                <w:szCs w:val="18"/>
              </w:rPr>
              <w:br/>
            </w:r>
            <w:r>
              <w:rPr>
                <w:sz w:val="18"/>
                <w:szCs w:val="18"/>
              </w:rPr>
              <w:t>Dose 1</w:t>
            </w:r>
            <w:r>
              <w:rPr>
                <w:sz w:val="18"/>
                <w:szCs w:val="18"/>
              </w:rPr>
              <w:br/>
              <w:t>Course completion</w:t>
            </w:r>
          </w:p>
        </w:tc>
        <w:tc>
          <w:tcPr>
            <w:tcW w:w="1098" w:type="dxa"/>
            <w:hideMark/>
          </w:tcPr>
          <w:p w14:paraId="6751598A" w14:textId="77777777" w:rsidR="00EA4138" w:rsidRDefault="00EA4138">
            <w:pPr>
              <w:pStyle w:val="NormalWeb"/>
              <w:rPr>
                <w:sz w:val="18"/>
                <w:szCs w:val="18"/>
              </w:rPr>
            </w:pPr>
            <w:r>
              <w:rPr>
                <w:sz w:val="18"/>
                <w:szCs w:val="18"/>
              </w:rPr>
              <w:t>88.2</w:t>
            </w:r>
            <w:r>
              <w:rPr>
                <w:sz w:val="18"/>
                <w:szCs w:val="18"/>
              </w:rPr>
              <w:br/>
              <w:t>78.2</w:t>
            </w:r>
          </w:p>
        </w:tc>
        <w:tc>
          <w:tcPr>
            <w:tcW w:w="1099" w:type="dxa"/>
            <w:hideMark/>
          </w:tcPr>
          <w:p w14:paraId="36E4E5D0" w14:textId="77777777" w:rsidR="00EA4138" w:rsidRDefault="00EA4138">
            <w:pPr>
              <w:pStyle w:val="NormalWeb"/>
              <w:rPr>
                <w:sz w:val="18"/>
                <w:szCs w:val="18"/>
              </w:rPr>
            </w:pPr>
            <w:r>
              <w:rPr>
                <w:sz w:val="18"/>
                <w:szCs w:val="18"/>
              </w:rPr>
              <w:t>87.7</w:t>
            </w:r>
            <w:r>
              <w:rPr>
                <w:sz w:val="18"/>
                <w:szCs w:val="18"/>
              </w:rPr>
              <w:br/>
              <w:t>76.9</w:t>
            </w:r>
          </w:p>
        </w:tc>
        <w:tc>
          <w:tcPr>
            <w:tcW w:w="1098" w:type="dxa"/>
            <w:hideMark/>
          </w:tcPr>
          <w:p w14:paraId="06513EDF" w14:textId="77777777" w:rsidR="00EA4138" w:rsidRDefault="00EA4138">
            <w:pPr>
              <w:pStyle w:val="NormalWeb"/>
              <w:rPr>
                <w:sz w:val="18"/>
                <w:szCs w:val="18"/>
              </w:rPr>
            </w:pPr>
            <w:r>
              <w:rPr>
                <w:sz w:val="18"/>
                <w:szCs w:val="18"/>
              </w:rPr>
              <w:t>91.4</w:t>
            </w:r>
            <w:r>
              <w:rPr>
                <w:sz w:val="18"/>
                <w:szCs w:val="18"/>
              </w:rPr>
              <w:br/>
              <w:t>76.0</w:t>
            </w:r>
          </w:p>
        </w:tc>
        <w:tc>
          <w:tcPr>
            <w:tcW w:w="1099" w:type="dxa"/>
            <w:hideMark/>
          </w:tcPr>
          <w:p w14:paraId="75E5B079" w14:textId="77777777" w:rsidR="00EA4138" w:rsidRDefault="00EA4138">
            <w:pPr>
              <w:pStyle w:val="NormalWeb"/>
              <w:rPr>
                <w:sz w:val="18"/>
                <w:szCs w:val="18"/>
              </w:rPr>
            </w:pPr>
            <w:r>
              <w:rPr>
                <w:sz w:val="18"/>
                <w:szCs w:val="18"/>
              </w:rPr>
              <w:t>89.1</w:t>
            </w:r>
            <w:r>
              <w:rPr>
                <w:sz w:val="18"/>
                <w:szCs w:val="18"/>
              </w:rPr>
              <w:br/>
              <w:t>76.2</w:t>
            </w:r>
          </w:p>
        </w:tc>
      </w:tr>
      <w:tr w:rsidR="00EA4138" w14:paraId="21A1D83F" w14:textId="77777777" w:rsidTr="00EA4138">
        <w:trPr>
          <w:cnfStyle w:val="000000010000" w:firstRow="0" w:lastRow="0" w:firstColumn="0" w:lastColumn="0" w:oddVBand="0" w:evenVBand="0" w:oddHBand="0" w:evenHBand="1" w:firstRowFirstColumn="0" w:firstRowLastColumn="0" w:lastRowFirstColumn="0" w:lastRowLastColumn="0"/>
        </w:trPr>
        <w:tc>
          <w:tcPr>
            <w:tcW w:w="1843" w:type="dxa"/>
            <w:hideMark/>
          </w:tcPr>
          <w:p w14:paraId="07D82AAE" w14:textId="77777777" w:rsidR="00EA4138" w:rsidRDefault="00EA4138">
            <w:pPr>
              <w:pStyle w:val="NormalWeb"/>
              <w:jc w:val="left"/>
              <w:rPr>
                <w:sz w:val="18"/>
                <w:szCs w:val="18"/>
              </w:rPr>
            </w:pPr>
            <w:r>
              <w:rPr>
                <w:b/>
                <w:bCs/>
                <w:sz w:val="18"/>
                <w:szCs w:val="18"/>
              </w:rPr>
              <w:t>Qld</w:t>
            </w:r>
            <w:r>
              <w:rPr>
                <w:b/>
                <w:bCs/>
                <w:sz w:val="18"/>
                <w:szCs w:val="18"/>
              </w:rPr>
              <w:br/>
            </w:r>
            <w:r>
              <w:rPr>
                <w:sz w:val="18"/>
                <w:szCs w:val="18"/>
              </w:rPr>
              <w:t>Dose 1</w:t>
            </w:r>
            <w:r>
              <w:rPr>
                <w:sz w:val="18"/>
                <w:szCs w:val="18"/>
              </w:rPr>
              <w:br/>
              <w:t>Course completion</w:t>
            </w:r>
          </w:p>
        </w:tc>
        <w:tc>
          <w:tcPr>
            <w:tcW w:w="1098" w:type="dxa"/>
            <w:hideMark/>
          </w:tcPr>
          <w:p w14:paraId="0AE9FA3B" w14:textId="77777777" w:rsidR="00EA4138" w:rsidRDefault="00EA4138">
            <w:pPr>
              <w:pStyle w:val="NormalWeb"/>
              <w:rPr>
                <w:sz w:val="18"/>
                <w:szCs w:val="18"/>
              </w:rPr>
            </w:pPr>
            <w:r>
              <w:rPr>
                <w:sz w:val="18"/>
                <w:szCs w:val="18"/>
              </w:rPr>
              <w:t>82.7</w:t>
            </w:r>
            <w:r>
              <w:rPr>
                <w:sz w:val="18"/>
                <w:szCs w:val="18"/>
              </w:rPr>
              <w:br/>
              <w:t>76.2</w:t>
            </w:r>
          </w:p>
        </w:tc>
        <w:tc>
          <w:tcPr>
            <w:tcW w:w="1099" w:type="dxa"/>
            <w:hideMark/>
          </w:tcPr>
          <w:p w14:paraId="4D315292" w14:textId="77777777" w:rsidR="00EA4138" w:rsidRDefault="00EA4138">
            <w:pPr>
              <w:pStyle w:val="NormalWeb"/>
              <w:rPr>
                <w:sz w:val="18"/>
                <w:szCs w:val="18"/>
              </w:rPr>
            </w:pPr>
            <w:r>
              <w:rPr>
                <w:sz w:val="18"/>
                <w:szCs w:val="18"/>
              </w:rPr>
              <w:t>83.6</w:t>
            </w:r>
            <w:r>
              <w:rPr>
                <w:sz w:val="18"/>
                <w:szCs w:val="18"/>
              </w:rPr>
              <w:br/>
              <w:t>76.7</w:t>
            </w:r>
          </w:p>
        </w:tc>
        <w:tc>
          <w:tcPr>
            <w:tcW w:w="1098" w:type="dxa"/>
            <w:hideMark/>
          </w:tcPr>
          <w:p w14:paraId="78397A29" w14:textId="77777777" w:rsidR="00EA4138" w:rsidRDefault="00EA4138">
            <w:pPr>
              <w:pStyle w:val="NormalWeb"/>
              <w:rPr>
                <w:sz w:val="18"/>
                <w:szCs w:val="18"/>
              </w:rPr>
            </w:pPr>
            <w:r>
              <w:rPr>
                <w:sz w:val="18"/>
                <w:szCs w:val="18"/>
              </w:rPr>
              <w:t>85.8</w:t>
            </w:r>
            <w:r>
              <w:rPr>
                <w:sz w:val="18"/>
                <w:szCs w:val="18"/>
              </w:rPr>
              <w:br/>
              <w:t>71.1</w:t>
            </w:r>
          </w:p>
        </w:tc>
        <w:tc>
          <w:tcPr>
            <w:tcW w:w="1099" w:type="dxa"/>
            <w:hideMark/>
          </w:tcPr>
          <w:p w14:paraId="50106FE7" w14:textId="77777777" w:rsidR="00EA4138" w:rsidRDefault="00EA4138">
            <w:pPr>
              <w:pStyle w:val="NormalWeb"/>
              <w:rPr>
                <w:sz w:val="18"/>
                <w:szCs w:val="18"/>
              </w:rPr>
            </w:pPr>
            <w:r>
              <w:rPr>
                <w:sz w:val="18"/>
                <w:szCs w:val="18"/>
              </w:rPr>
              <w:t>85.6</w:t>
            </w:r>
            <w:r>
              <w:rPr>
                <w:sz w:val="18"/>
                <w:szCs w:val="18"/>
              </w:rPr>
              <w:br/>
              <w:t>71.5</w:t>
            </w:r>
          </w:p>
        </w:tc>
      </w:tr>
      <w:tr w:rsidR="00EA4138" w14:paraId="62C170DD" w14:textId="77777777" w:rsidTr="00EA4138">
        <w:tc>
          <w:tcPr>
            <w:tcW w:w="1843" w:type="dxa"/>
            <w:hideMark/>
          </w:tcPr>
          <w:p w14:paraId="58F1AEDE" w14:textId="77777777" w:rsidR="00EA4138" w:rsidRDefault="00EA4138">
            <w:pPr>
              <w:pStyle w:val="NormalWeb"/>
              <w:jc w:val="left"/>
              <w:rPr>
                <w:sz w:val="18"/>
                <w:szCs w:val="18"/>
              </w:rPr>
            </w:pPr>
            <w:r>
              <w:rPr>
                <w:b/>
                <w:bCs/>
                <w:sz w:val="18"/>
                <w:szCs w:val="18"/>
              </w:rPr>
              <w:t>SA</w:t>
            </w:r>
            <w:r>
              <w:rPr>
                <w:b/>
                <w:bCs/>
                <w:sz w:val="18"/>
                <w:szCs w:val="18"/>
              </w:rPr>
              <w:br/>
            </w:r>
            <w:r>
              <w:rPr>
                <w:sz w:val="18"/>
                <w:szCs w:val="18"/>
              </w:rPr>
              <w:t>Dose 1</w:t>
            </w:r>
            <w:r>
              <w:rPr>
                <w:sz w:val="18"/>
                <w:szCs w:val="18"/>
              </w:rPr>
              <w:br/>
              <w:t>Course completion</w:t>
            </w:r>
          </w:p>
        </w:tc>
        <w:tc>
          <w:tcPr>
            <w:tcW w:w="1098" w:type="dxa"/>
            <w:hideMark/>
          </w:tcPr>
          <w:p w14:paraId="4ACE6D83" w14:textId="77777777" w:rsidR="00EA4138" w:rsidRDefault="00EA4138">
            <w:pPr>
              <w:pStyle w:val="NormalWeb"/>
              <w:rPr>
                <w:sz w:val="18"/>
                <w:szCs w:val="18"/>
              </w:rPr>
            </w:pPr>
            <w:r>
              <w:rPr>
                <w:sz w:val="18"/>
                <w:szCs w:val="18"/>
              </w:rPr>
              <w:t>85.8</w:t>
            </w:r>
            <w:r>
              <w:rPr>
                <w:sz w:val="18"/>
                <w:szCs w:val="18"/>
              </w:rPr>
              <w:br/>
              <w:t>77.4</w:t>
            </w:r>
          </w:p>
        </w:tc>
        <w:tc>
          <w:tcPr>
            <w:tcW w:w="1099" w:type="dxa"/>
            <w:hideMark/>
          </w:tcPr>
          <w:p w14:paraId="6C4C25E3" w14:textId="77777777" w:rsidR="00EA4138" w:rsidRDefault="00EA4138">
            <w:pPr>
              <w:pStyle w:val="NormalWeb"/>
              <w:rPr>
                <w:sz w:val="18"/>
                <w:szCs w:val="18"/>
              </w:rPr>
            </w:pPr>
            <w:r>
              <w:rPr>
                <w:sz w:val="18"/>
                <w:szCs w:val="18"/>
              </w:rPr>
              <w:t>86.8</w:t>
            </w:r>
            <w:r>
              <w:rPr>
                <w:sz w:val="18"/>
                <w:szCs w:val="18"/>
              </w:rPr>
              <w:br/>
              <w:t>78.2</w:t>
            </w:r>
          </w:p>
        </w:tc>
        <w:tc>
          <w:tcPr>
            <w:tcW w:w="1098" w:type="dxa"/>
            <w:hideMark/>
          </w:tcPr>
          <w:p w14:paraId="40565380" w14:textId="77777777" w:rsidR="00EA4138" w:rsidRDefault="00EA4138">
            <w:pPr>
              <w:pStyle w:val="NormalWeb"/>
              <w:rPr>
                <w:sz w:val="18"/>
                <w:szCs w:val="18"/>
              </w:rPr>
            </w:pPr>
            <w:r>
              <w:rPr>
                <w:sz w:val="18"/>
                <w:szCs w:val="18"/>
              </w:rPr>
              <w:t>72.8</w:t>
            </w:r>
            <w:r>
              <w:rPr>
                <w:sz w:val="18"/>
                <w:szCs w:val="18"/>
              </w:rPr>
              <w:br/>
              <w:t>53.1</w:t>
            </w:r>
          </w:p>
        </w:tc>
        <w:tc>
          <w:tcPr>
            <w:tcW w:w="1099" w:type="dxa"/>
            <w:hideMark/>
          </w:tcPr>
          <w:p w14:paraId="4ACE2DD7" w14:textId="77777777" w:rsidR="00EA4138" w:rsidRDefault="00EA4138">
            <w:pPr>
              <w:pStyle w:val="NormalWeb"/>
              <w:rPr>
                <w:sz w:val="18"/>
                <w:szCs w:val="18"/>
              </w:rPr>
            </w:pPr>
            <w:r>
              <w:rPr>
                <w:sz w:val="18"/>
                <w:szCs w:val="18"/>
              </w:rPr>
              <w:t>82.2</w:t>
            </w:r>
            <w:r>
              <w:rPr>
                <w:sz w:val="18"/>
                <w:szCs w:val="18"/>
              </w:rPr>
              <w:br/>
              <w:t>58.8</w:t>
            </w:r>
          </w:p>
        </w:tc>
      </w:tr>
      <w:tr w:rsidR="00EA4138" w14:paraId="5ABC6614" w14:textId="77777777" w:rsidTr="00EA4138">
        <w:trPr>
          <w:cnfStyle w:val="000000010000" w:firstRow="0" w:lastRow="0" w:firstColumn="0" w:lastColumn="0" w:oddVBand="0" w:evenVBand="0" w:oddHBand="0" w:evenHBand="1" w:firstRowFirstColumn="0" w:firstRowLastColumn="0" w:lastRowFirstColumn="0" w:lastRowLastColumn="0"/>
        </w:trPr>
        <w:tc>
          <w:tcPr>
            <w:tcW w:w="1843" w:type="dxa"/>
            <w:hideMark/>
          </w:tcPr>
          <w:p w14:paraId="3213AD5F" w14:textId="77777777" w:rsidR="00EA4138" w:rsidRDefault="00EA4138">
            <w:pPr>
              <w:pStyle w:val="NormalWeb"/>
              <w:jc w:val="left"/>
              <w:rPr>
                <w:sz w:val="18"/>
                <w:szCs w:val="18"/>
              </w:rPr>
            </w:pPr>
            <w:r>
              <w:rPr>
                <w:b/>
                <w:bCs/>
                <w:sz w:val="18"/>
                <w:szCs w:val="18"/>
              </w:rPr>
              <w:t>Tas.</w:t>
            </w:r>
            <w:r>
              <w:rPr>
                <w:b/>
                <w:bCs/>
                <w:sz w:val="18"/>
                <w:szCs w:val="18"/>
              </w:rPr>
              <w:br/>
            </w:r>
            <w:r>
              <w:rPr>
                <w:sz w:val="18"/>
                <w:szCs w:val="18"/>
              </w:rPr>
              <w:t>Dose 1</w:t>
            </w:r>
            <w:r>
              <w:rPr>
                <w:sz w:val="18"/>
                <w:szCs w:val="18"/>
              </w:rPr>
              <w:br/>
              <w:t>Course completion</w:t>
            </w:r>
          </w:p>
        </w:tc>
        <w:tc>
          <w:tcPr>
            <w:tcW w:w="1098" w:type="dxa"/>
            <w:hideMark/>
          </w:tcPr>
          <w:p w14:paraId="37EEDC3F" w14:textId="77777777" w:rsidR="00EA4138" w:rsidRDefault="00EA4138">
            <w:pPr>
              <w:pStyle w:val="NormalWeb"/>
              <w:rPr>
                <w:sz w:val="18"/>
                <w:szCs w:val="18"/>
              </w:rPr>
            </w:pPr>
            <w:r>
              <w:rPr>
                <w:sz w:val="18"/>
                <w:szCs w:val="18"/>
              </w:rPr>
              <w:t>88.1</w:t>
            </w:r>
            <w:r>
              <w:rPr>
                <w:sz w:val="18"/>
                <w:szCs w:val="18"/>
              </w:rPr>
              <w:br/>
              <w:t>78.1</w:t>
            </w:r>
          </w:p>
        </w:tc>
        <w:tc>
          <w:tcPr>
            <w:tcW w:w="1099" w:type="dxa"/>
            <w:hideMark/>
          </w:tcPr>
          <w:p w14:paraId="61842258" w14:textId="77777777" w:rsidR="00EA4138" w:rsidRDefault="00EA4138">
            <w:pPr>
              <w:pStyle w:val="NormalWeb"/>
              <w:rPr>
                <w:sz w:val="18"/>
                <w:szCs w:val="18"/>
              </w:rPr>
            </w:pPr>
            <w:r>
              <w:rPr>
                <w:sz w:val="18"/>
                <w:szCs w:val="18"/>
              </w:rPr>
              <w:t>88.3</w:t>
            </w:r>
            <w:r>
              <w:rPr>
                <w:sz w:val="18"/>
                <w:szCs w:val="18"/>
              </w:rPr>
              <w:br/>
              <w:t>78.3</w:t>
            </w:r>
          </w:p>
        </w:tc>
        <w:tc>
          <w:tcPr>
            <w:tcW w:w="1098" w:type="dxa"/>
            <w:hideMark/>
          </w:tcPr>
          <w:p w14:paraId="2526726C" w14:textId="77777777" w:rsidR="00EA4138" w:rsidRDefault="00EA4138">
            <w:pPr>
              <w:pStyle w:val="NormalWeb"/>
              <w:rPr>
                <w:sz w:val="18"/>
                <w:szCs w:val="18"/>
              </w:rPr>
            </w:pPr>
            <w:r>
              <w:rPr>
                <w:sz w:val="18"/>
                <w:szCs w:val="18"/>
              </w:rPr>
              <w:t>88.0</w:t>
            </w:r>
            <w:r>
              <w:rPr>
                <w:sz w:val="18"/>
                <w:szCs w:val="18"/>
              </w:rPr>
              <w:br/>
              <w:t>72.6</w:t>
            </w:r>
          </w:p>
        </w:tc>
        <w:tc>
          <w:tcPr>
            <w:tcW w:w="1099" w:type="dxa"/>
            <w:hideMark/>
          </w:tcPr>
          <w:p w14:paraId="4F0054A7" w14:textId="77777777" w:rsidR="00EA4138" w:rsidRDefault="00EA4138">
            <w:pPr>
              <w:pStyle w:val="NormalWeb"/>
              <w:rPr>
                <w:sz w:val="18"/>
                <w:szCs w:val="18"/>
              </w:rPr>
            </w:pPr>
            <w:r>
              <w:rPr>
                <w:sz w:val="18"/>
                <w:szCs w:val="18"/>
              </w:rPr>
              <w:t>91.5</w:t>
            </w:r>
            <w:r>
              <w:rPr>
                <w:sz w:val="18"/>
                <w:szCs w:val="18"/>
              </w:rPr>
              <w:br/>
              <w:t>80.3</w:t>
            </w:r>
          </w:p>
        </w:tc>
      </w:tr>
      <w:tr w:rsidR="00EA4138" w14:paraId="02203C30" w14:textId="77777777" w:rsidTr="00EA4138">
        <w:tc>
          <w:tcPr>
            <w:tcW w:w="1843" w:type="dxa"/>
            <w:hideMark/>
          </w:tcPr>
          <w:p w14:paraId="08A4FE30" w14:textId="77777777" w:rsidR="00EA4138" w:rsidRDefault="00EA4138">
            <w:pPr>
              <w:pStyle w:val="NormalWeb"/>
              <w:jc w:val="left"/>
              <w:rPr>
                <w:sz w:val="18"/>
                <w:szCs w:val="18"/>
              </w:rPr>
            </w:pPr>
            <w:r>
              <w:rPr>
                <w:b/>
                <w:bCs/>
                <w:sz w:val="18"/>
                <w:szCs w:val="18"/>
              </w:rPr>
              <w:t>Vic.</w:t>
            </w:r>
            <w:r>
              <w:rPr>
                <w:b/>
                <w:bCs/>
                <w:sz w:val="18"/>
                <w:szCs w:val="18"/>
              </w:rPr>
              <w:br/>
            </w:r>
            <w:r>
              <w:rPr>
                <w:sz w:val="18"/>
                <w:szCs w:val="18"/>
              </w:rPr>
              <w:t>Dose 1</w:t>
            </w:r>
            <w:r>
              <w:rPr>
                <w:sz w:val="18"/>
                <w:szCs w:val="18"/>
              </w:rPr>
              <w:br/>
              <w:t>Course completion</w:t>
            </w:r>
          </w:p>
        </w:tc>
        <w:tc>
          <w:tcPr>
            <w:tcW w:w="1098" w:type="dxa"/>
            <w:hideMark/>
          </w:tcPr>
          <w:p w14:paraId="3CB820A6" w14:textId="77777777" w:rsidR="00EA4138" w:rsidRDefault="00EA4138">
            <w:pPr>
              <w:pStyle w:val="NormalWeb"/>
              <w:rPr>
                <w:sz w:val="18"/>
                <w:szCs w:val="18"/>
              </w:rPr>
            </w:pPr>
            <w:r>
              <w:rPr>
                <w:sz w:val="18"/>
                <w:szCs w:val="18"/>
              </w:rPr>
              <w:t>87.6</w:t>
            </w:r>
            <w:r>
              <w:rPr>
                <w:sz w:val="18"/>
                <w:szCs w:val="18"/>
              </w:rPr>
              <w:br/>
              <w:t>81.4</w:t>
            </w:r>
          </w:p>
        </w:tc>
        <w:tc>
          <w:tcPr>
            <w:tcW w:w="1099" w:type="dxa"/>
            <w:hideMark/>
          </w:tcPr>
          <w:p w14:paraId="7EC95665" w14:textId="77777777" w:rsidR="00EA4138" w:rsidRDefault="00EA4138">
            <w:pPr>
              <w:pStyle w:val="NormalWeb"/>
              <w:rPr>
                <w:sz w:val="18"/>
                <w:szCs w:val="18"/>
              </w:rPr>
            </w:pPr>
            <w:r>
              <w:rPr>
                <w:sz w:val="18"/>
                <w:szCs w:val="18"/>
              </w:rPr>
              <w:t>88.2</w:t>
            </w:r>
            <w:r>
              <w:rPr>
                <w:sz w:val="18"/>
                <w:szCs w:val="18"/>
              </w:rPr>
              <w:br/>
              <w:t>82.0</w:t>
            </w:r>
          </w:p>
        </w:tc>
        <w:tc>
          <w:tcPr>
            <w:tcW w:w="1098" w:type="dxa"/>
            <w:hideMark/>
          </w:tcPr>
          <w:p w14:paraId="0D045595" w14:textId="77777777" w:rsidR="00EA4138" w:rsidRDefault="00EA4138">
            <w:pPr>
              <w:pStyle w:val="NormalWeb"/>
              <w:rPr>
                <w:sz w:val="18"/>
                <w:szCs w:val="18"/>
              </w:rPr>
            </w:pPr>
            <w:r>
              <w:rPr>
                <w:sz w:val="18"/>
                <w:szCs w:val="18"/>
              </w:rPr>
              <w:t>90.3</w:t>
            </w:r>
            <w:r>
              <w:rPr>
                <w:sz w:val="18"/>
                <w:szCs w:val="18"/>
              </w:rPr>
              <w:br/>
              <w:t>74.4</w:t>
            </w:r>
          </w:p>
        </w:tc>
        <w:tc>
          <w:tcPr>
            <w:tcW w:w="1099" w:type="dxa"/>
            <w:hideMark/>
          </w:tcPr>
          <w:p w14:paraId="7A53F663" w14:textId="77777777" w:rsidR="00EA4138" w:rsidRDefault="00EA4138">
            <w:pPr>
              <w:pStyle w:val="NormalWeb"/>
              <w:rPr>
                <w:sz w:val="18"/>
                <w:szCs w:val="18"/>
              </w:rPr>
            </w:pPr>
            <w:r>
              <w:rPr>
                <w:sz w:val="18"/>
                <w:szCs w:val="18"/>
              </w:rPr>
              <w:t>88.2</w:t>
            </w:r>
            <w:r>
              <w:rPr>
                <w:sz w:val="18"/>
                <w:szCs w:val="18"/>
              </w:rPr>
              <w:br/>
              <w:t>77.0</w:t>
            </w:r>
          </w:p>
        </w:tc>
      </w:tr>
      <w:tr w:rsidR="00EA4138" w14:paraId="60AF1508" w14:textId="77777777" w:rsidTr="00EA4138">
        <w:trPr>
          <w:cnfStyle w:val="000000010000" w:firstRow="0" w:lastRow="0" w:firstColumn="0" w:lastColumn="0" w:oddVBand="0" w:evenVBand="0" w:oddHBand="0" w:evenHBand="1" w:firstRowFirstColumn="0" w:firstRowLastColumn="0" w:lastRowFirstColumn="0" w:lastRowLastColumn="0"/>
        </w:trPr>
        <w:tc>
          <w:tcPr>
            <w:tcW w:w="1843" w:type="dxa"/>
            <w:hideMark/>
          </w:tcPr>
          <w:p w14:paraId="29B1B99B" w14:textId="77777777" w:rsidR="00EA4138" w:rsidRDefault="00EA4138">
            <w:pPr>
              <w:pStyle w:val="NormalWeb"/>
              <w:jc w:val="left"/>
              <w:rPr>
                <w:sz w:val="18"/>
                <w:szCs w:val="18"/>
              </w:rPr>
            </w:pPr>
            <w:r>
              <w:rPr>
                <w:b/>
                <w:bCs/>
                <w:sz w:val="18"/>
                <w:szCs w:val="18"/>
              </w:rPr>
              <w:t>WA</w:t>
            </w:r>
            <w:r>
              <w:rPr>
                <w:b/>
                <w:bCs/>
                <w:sz w:val="18"/>
                <w:szCs w:val="18"/>
              </w:rPr>
              <w:br/>
            </w:r>
            <w:r>
              <w:rPr>
                <w:sz w:val="18"/>
                <w:szCs w:val="18"/>
              </w:rPr>
              <w:t>Dose 1</w:t>
            </w:r>
            <w:r>
              <w:rPr>
                <w:sz w:val="18"/>
                <w:szCs w:val="18"/>
              </w:rPr>
              <w:br/>
              <w:t>Course completion</w:t>
            </w:r>
          </w:p>
        </w:tc>
        <w:tc>
          <w:tcPr>
            <w:tcW w:w="1098" w:type="dxa"/>
            <w:hideMark/>
          </w:tcPr>
          <w:p w14:paraId="222A43AF" w14:textId="77777777" w:rsidR="00EA4138" w:rsidRDefault="00EA4138">
            <w:pPr>
              <w:pStyle w:val="NormalWeb"/>
              <w:rPr>
                <w:sz w:val="18"/>
                <w:szCs w:val="18"/>
              </w:rPr>
            </w:pPr>
            <w:r>
              <w:rPr>
                <w:sz w:val="18"/>
                <w:szCs w:val="18"/>
              </w:rPr>
              <w:t>83.5</w:t>
            </w:r>
            <w:r>
              <w:rPr>
                <w:sz w:val="18"/>
                <w:szCs w:val="18"/>
              </w:rPr>
              <w:br/>
              <w:t>77.3</w:t>
            </w:r>
          </w:p>
        </w:tc>
        <w:tc>
          <w:tcPr>
            <w:tcW w:w="1099" w:type="dxa"/>
            <w:hideMark/>
          </w:tcPr>
          <w:p w14:paraId="4A7348EC" w14:textId="77777777" w:rsidR="00EA4138" w:rsidRDefault="00EA4138">
            <w:pPr>
              <w:pStyle w:val="NormalWeb"/>
              <w:rPr>
                <w:sz w:val="18"/>
                <w:szCs w:val="18"/>
              </w:rPr>
            </w:pPr>
            <w:r>
              <w:rPr>
                <w:sz w:val="18"/>
                <w:szCs w:val="18"/>
              </w:rPr>
              <w:t>84.9</w:t>
            </w:r>
            <w:r>
              <w:rPr>
                <w:sz w:val="18"/>
                <w:szCs w:val="18"/>
              </w:rPr>
              <w:br/>
              <w:t>78.7</w:t>
            </w:r>
          </w:p>
        </w:tc>
        <w:tc>
          <w:tcPr>
            <w:tcW w:w="1098" w:type="dxa"/>
            <w:hideMark/>
          </w:tcPr>
          <w:p w14:paraId="43C14FFD" w14:textId="77777777" w:rsidR="00EA4138" w:rsidRDefault="00EA4138">
            <w:pPr>
              <w:pStyle w:val="NormalWeb"/>
              <w:rPr>
                <w:sz w:val="18"/>
                <w:szCs w:val="18"/>
              </w:rPr>
            </w:pPr>
            <w:r>
              <w:rPr>
                <w:sz w:val="18"/>
                <w:szCs w:val="18"/>
              </w:rPr>
              <w:t>80.8</w:t>
            </w:r>
            <w:r>
              <w:rPr>
                <w:sz w:val="18"/>
                <w:szCs w:val="18"/>
              </w:rPr>
              <w:br/>
              <w:t>59.5</w:t>
            </w:r>
          </w:p>
        </w:tc>
        <w:tc>
          <w:tcPr>
            <w:tcW w:w="1099" w:type="dxa"/>
            <w:hideMark/>
          </w:tcPr>
          <w:p w14:paraId="6A2676F9" w14:textId="77777777" w:rsidR="00EA4138" w:rsidRDefault="00EA4138">
            <w:pPr>
              <w:pStyle w:val="NormalWeb"/>
              <w:rPr>
                <w:sz w:val="18"/>
                <w:szCs w:val="18"/>
              </w:rPr>
            </w:pPr>
            <w:r>
              <w:rPr>
                <w:sz w:val="18"/>
                <w:szCs w:val="18"/>
              </w:rPr>
              <w:t>82.4</w:t>
            </w:r>
            <w:r>
              <w:rPr>
                <w:sz w:val="18"/>
                <w:szCs w:val="18"/>
              </w:rPr>
              <w:br/>
              <w:t>65.4</w:t>
            </w:r>
          </w:p>
        </w:tc>
      </w:tr>
      <w:tr w:rsidR="00EA4138" w14:paraId="6EEC31EC" w14:textId="77777777" w:rsidTr="00EA4138">
        <w:tc>
          <w:tcPr>
            <w:tcW w:w="1843" w:type="dxa"/>
            <w:hideMark/>
          </w:tcPr>
          <w:p w14:paraId="37C6C74C" w14:textId="77777777" w:rsidR="00EA4138" w:rsidRDefault="00EA4138">
            <w:pPr>
              <w:pStyle w:val="NormalWeb"/>
              <w:jc w:val="left"/>
              <w:rPr>
                <w:sz w:val="18"/>
                <w:szCs w:val="18"/>
              </w:rPr>
            </w:pPr>
            <w:r>
              <w:rPr>
                <w:b/>
                <w:bCs/>
                <w:sz w:val="18"/>
                <w:szCs w:val="18"/>
              </w:rPr>
              <w:t>AUST</w:t>
            </w:r>
            <w:r>
              <w:rPr>
                <w:b/>
                <w:bCs/>
                <w:sz w:val="18"/>
                <w:szCs w:val="18"/>
              </w:rPr>
              <w:br/>
            </w:r>
            <w:r>
              <w:rPr>
                <w:sz w:val="18"/>
                <w:szCs w:val="18"/>
              </w:rPr>
              <w:t>Dose 1</w:t>
            </w:r>
            <w:r>
              <w:rPr>
                <w:sz w:val="18"/>
                <w:szCs w:val="18"/>
              </w:rPr>
              <w:br/>
              <w:t>Course completion</w:t>
            </w:r>
          </w:p>
        </w:tc>
        <w:tc>
          <w:tcPr>
            <w:tcW w:w="1098" w:type="dxa"/>
            <w:hideMark/>
          </w:tcPr>
          <w:p w14:paraId="5FD87DF5" w14:textId="77777777" w:rsidR="00EA4138" w:rsidRDefault="00EA4138">
            <w:pPr>
              <w:pStyle w:val="NormalWeb"/>
              <w:rPr>
                <w:sz w:val="18"/>
                <w:szCs w:val="18"/>
              </w:rPr>
            </w:pPr>
            <w:r>
              <w:rPr>
                <w:sz w:val="18"/>
                <w:szCs w:val="18"/>
              </w:rPr>
              <w:t>85.7</w:t>
            </w:r>
            <w:r>
              <w:rPr>
                <w:sz w:val="18"/>
                <w:szCs w:val="18"/>
              </w:rPr>
              <w:br/>
              <w:t>79.8</w:t>
            </w:r>
          </w:p>
        </w:tc>
        <w:tc>
          <w:tcPr>
            <w:tcW w:w="1099" w:type="dxa"/>
            <w:hideMark/>
          </w:tcPr>
          <w:p w14:paraId="0F65078F" w14:textId="77777777" w:rsidR="00EA4138" w:rsidRDefault="00EA4138">
            <w:pPr>
              <w:pStyle w:val="NormalWeb"/>
              <w:rPr>
                <w:sz w:val="18"/>
                <w:szCs w:val="18"/>
              </w:rPr>
            </w:pPr>
            <w:r>
              <w:rPr>
                <w:sz w:val="18"/>
                <w:szCs w:val="18"/>
              </w:rPr>
              <w:t>86.6</w:t>
            </w:r>
            <w:r>
              <w:rPr>
                <w:sz w:val="18"/>
                <w:szCs w:val="18"/>
              </w:rPr>
              <w:br/>
              <w:t>80.5</w:t>
            </w:r>
          </w:p>
        </w:tc>
        <w:tc>
          <w:tcPr>
            <w:tcW w:w="1098" w:type="dxa"/>
            <w:hideMark/>
          </w:tcPr>
          <w:p w14:paraId="31DFAD7A" w14:textId="77777777" w:rsidR="00EA4138" w:rsidRDefault="00EA4138">
            <w:pPr>
              <w:pStyle w:val="NormalWeb"/>
              <w:rPr>
                <w:sz w:val="18"/>
                <w:szCs w:val="18"/>
              </w:rPr>
            </w:pPr>
            <w:r>
              <w:rPr>
                <w:sz w:val="18"/>
                <w:szCs w:val="18"/>
              </w:rPr>
              <w:t>86.8</w:t>
            </w:r>
            <w:r>
              <w:rPr>
                <w:sz w:val="18"/>
                <w:szCs w:val="18"/>
              </w:rPr>
              <w:br/>
              <w:t>71.8</w:t>
            </w:r>
          </w:p>
        </w:tc>
        <w:tc>
          <w:tcPr>
            <w:tcW w:w="1099" w:type="dxa"/>
            <w:hideMark/>
          </w:tcPr>
          <w:p w14:paraId="6D0EE175" w14:textId="77777777" w:rsidR="00EA4138" w:rsidRDefault="00EA4138">
            <w:pPr>
              <w:pStyle w:val="NormalWeb"/>
              <w:rPr>
                <w:sz w:val="18"/>
                <w:szCs w:val="18"/>
              </w:rPr>
            </w:pPr>
            <w:r>
              <w:rPr>
                <w:sz w:val="18"/>
                <w:szCs w:val="18"/>
              </w:rPr>
              <w:t>87.8</w:t>
            </w:r>
            <w:r>
              <w:rPr>
                <w:sz w:val="18"/>
                <w:szCs w:val="18"/>
              </w:rPr>
              <w:br/>
              <w:t>75.0</w:t>
            </w:r>
          </w:p>
        </w:tc>
      </w:tr>
    </w:tbl>
    <w:p w14:paraId="764424A4" w14:textId="77777777" w:rsidR="00EA4138" w:rsidRDefault="00EA4138" w:rsidP="00EA4138">
      <w:pPr>
        <w:pStyle w:val="CDIfootnotes"/>
        <w:rPr>
          <w:lang w:val="en-GB"/>
        </w:rPr>
      </w:pPr>
      <w:r>
        <w:rPr>
          <w:lang w:val="en-GB"/>
        </w:rPr>
        <w:t>a</w:t>
      </w:r>
      <w:r>
        <w:rPr>
          <w:lang w:val="en-GB"/>
        </w:rPr>
        <w:tab/>
        <w:t>Course completion defined as receipt of two doses if dose 2 given ≥ 5 months after dose 1 or receipt of three doses if dose 2 given &lt; 5 months after dose 1.</w:t>
      </w:r>
    </w:p>
    <w:p w14:paraId="2F3E95CD" w14:textId="77777777" w:rsidR="00EA4138" w:rsidRDefault="00EA4138" w:rsidP="00EA4138">
      <w:pPr>
        <w:pStyle w:val="CDIfootnotes"/>
        <w:rPr>
          <w:lang w:val="en-GB"/>
        </w:rPr>
      </w:pPr>
      <w:r>
        <w:rPr>
          <w:lang w:val="en-GB"/>
        </w:rPr>
        <w:t>b</w:t>
      </w:r>
      <w:r>
        <w:rPr>
          <w:lang w:val="en-GB"/>
        </w:rPr>
        <w:tab/>
        <w:t>HPV vaccinations received before fifteenth birthday in cohort born 1 January – 31 December 2004 for 2019 coverage estimates and in cohort born 1 January – 31 December 2005 for 2020 coverage estimates.</w:t>
      </w:r>
    </w:p>
    <w:p w14:paraId="0F059472" w14:textId="77777777" w:rsidR="00EA4138" w:rsidRDefault="00EA4138" w:rsidP="00EA4138">
      <w:pPr>
        <w:pStyle w:val="CDIfootnotes"/>
        <w:rPr>
          <w:lang w:val="en-GB"/>
        </w:rPr>
      </w:pPr>
      <w:r>
        <w:rPr>
          <w:lang w:val="en-GB"/>
        </w:rPr>
        <w:t>c</w:t>
      </w:r>
      <w:r>
        <w:rPr>
          <w:lang w:val="en-GB"/>
        </w:rPr>
        <w:tab/>
        <w:t xml:space="preserve">Source: Australian Immunisation Register, data as </w:t>
      </w:r>
      <w:proofErr w:type="gramStart"/>
      <w:r>
        <w:rPr>
          <w:lang w:val="en-GB"/>
        </w:rPr>
        <w:t>at</w:t>
      </w:r>
      <w:proofErr w:type="gramEnd"/>
      <w:r>
        <w:rPr>
          <w:lang w:val="en-GB"/>
        </w:rPr>
        <w:t xml:space="preserve"> 31 March 2020 (for 2019 data) and as at 31 March 2021 (for 2020 data).</w:t>
      </w:r>
    </w:p>
    <w:p w14:paraId="641C8B04" w14:textId="77777777" w:rsidR="00EA4138" w:rsidRDefault="00EA4138" w:rsidP="00EA4138">
      <w:pPr>
        <w:pStyle w:val="CDIfootnotes"/>
        <w:rPr>
          <w:lang w:val="en-GB"/>
        </w:rPr>
      </w:pPr>
      <w:r>
        <w:rPr>
          <w:lang w:val="en-GB"/>
        </w:rPr>
        <w:t>d</w:t>
      </w:r>
      <w:r>
        <w:rPr>
          <w:lang w:val="en-GB"/>
        </w:rPr>
        <w:tab/>
        <w:t>ACT: Australian Capital Territory; NSW: New South Wales; NT: Northern Territory; Qld: Queensland; SA: South Australia; Tas.: Tasmania; Vic.: Victoria; WA: Western Australia; AUST: Australia.</w:t>
      </w:r>
    </w:p>
    <w:p w14:paraId="00AE89A7" w14:textId="164646FD" w:rsidR="00EA4138" w:rsidRDefault="00EA4138">
      <w:r>
        <w:br w:type="page"/>
      </w:r>
    </w:p>
    <w:p w14:paraId="6B31CC0E" w14:textId="77777777" w:rsidR="00EA4138" w:rsidRPr="00FE2D8C" w:rsidRDefault="00EA4138" w:rsidP="00FE2D8C">
      <w:pPr>
        <w:pStyle w:val="CDIFigures"/>
      </w:pPr>
      <w:r w:rsidRPr="00FE2D8C">
        <w:rPr>
          <w:rStyle w:val="Strong"/>
          <w:b/>
          <w:bCs w:val="0"/>
        </w:rPr>
        <w:lastRenderedPageBreak/>
        <w:t xml:space="preserve">Table 6: Human papillomavirus (HPV) vaccination (dose 1 and course </w:t>
      </w:r>
      <w:proofErr w:type="gramStart"/>
      <w:r w:rsidRPr="00FE2D8C">
        <w:rPr>
          <w:rStyle w:val="Strong"/>
          <w:b/>
          <w:bCs w:val="0"/>
        </w:rPr>
        <w:t>completion)</w:t>
      </w:r>
      <w:r w:rsidRPr="00B3649A">
        <w:rPr>
          <w:rStyle w:val="Strong"/>
          <w:b/>
          <w:bCs w:val="0"/>
          <w:vertAlign w:val="superscript"/>
        </w:rPr>
        <w:t>a</w:t>
      </w:r>
      <w:proofErr w:type="gramEnd"/>
      <w:r w:rsidRPr="00FE2D8C">
        <w:rPr>
          <w:rStyle w:val="Strong"/>
          <w:b/>
          <w:bCs w:val="0"/>
        </w:rPr>
        <w:t xml:space="preserve"> coverage estimates (%) for boys by 15 years of </w:t>
      </w:r>
      <w:proofErr w:type="spellStart"/>
      <w:r w:rsidRPr="00FE2D8C">
        <w:rPr>
          <w:rStyle w:val="Strong"/>
          <w:b/>
          <w:bCs w:val="0"/>
        </w:rPr>
        <w:t>age,</w:t>
      </w:r>
      <w:r w:rsidRPr="00FE2D8C">
        <w:rPr>
          <w:rStyle w:val="Strong"/>
          <w:b/>
          <w:bCs w:val="0"/>
          <w:vertAlign w:val="superscript"/>
        </w:rPr>
        <w:t>b</w:t>
      </w:r>
      <w:proofErr w:type="spellEnd"/>
      <w:r w:rsidRPr="00FE2D8C">
        <w:rPr>
          <w:rStyle w:val="Strong"/>
          <w:b/>
          <w:bCs w:val="0"/>
        </w:rPr>
        <w:t xml:space="preserve"> by Indigenous status and jurisdiction, Australia, 2019 and 2020</w:t>
      </w:r>
      <w:r w:rsidRPr="00FE2D8C">
        <w:rPr>
          <w:rStyle w:val="Strong"/>
          <w:b/>
          <w:bCs w:val="0"/>
          <w:vertAlign w:val="superscript"/>
        </w:rPr>
        <w:t>c</w:t>
      </w:r>
    </w:p>
    <w:tbl>
      <w:tblPr>
        <w:tblStyle w:val="CDI-StandardTable"/>
        <w:tblW w:w="0" w:type="auto"/>
        <w:tblCellMar>
          <w:left w:w="113" w:type="dxa"/>
          <w:right w:w="113" w:type="dxa"/>
        </w:tblCellMar>
        <w:tblLook w:val="04A0" w:firstRow="1" w:lastRow="0" w:firstColumn="1" w:lastColumn="0" w:noHBand="0" w:noVBand="1"/>
        <w:tblDescription w:val="Table 6 presents HPV vaccination (dose 1 and course completion) coverage estimates for boys by 15 years of age, by Indigenous status and jurisdiction for Australia, 2019 versus 2020.&#10;"/>
      </w:tblPr>
      <w:tblGrid>
        <w:gridCol w:w="1843"/>
        <w:gridCol w:w="851"/>
        <w:gridCol w:w="850"/>
        <w:gridCol w:w="992"/>
        <w:gridCol w:w="851"/>
      </w:tblGrid>
      <w:tr w:rsidR="00EA4138" w14:paraId="2D40F1C5" w14:textId="77777777" w:rsidTr="00EA4138">
        <w:trPr>
          <w:cnfStyle w:val="100000000000" w:firstRow="1" w:lastRow="0" w:firstColumn="0" w:lastColumn="0" w:oddVBand="0" w:evenVBand="0" w:oddHBand="0" w:evenHBand="0" w:firstRowFirstColumn="0" w:firstRowLastColumn="0" w:lastRowFirstColumn="0" w:lastRowLastColumn="0"/>
          <w:tblHeader/>
        </w:trPr>
        <w:tc>
          <w:tcPr>
            <w:tcW w:w="1843" w:type="dxa"/>
            <w:vMerge w:val="restart"/>
            <w:tcBorders>
              <w:top w:val="nil"/>
              <w:left w:val="nil"/>
              <w:bottom w:val="nil"/>
            </w:tcBorders>
            <w:hideMark/>
          </w:tcPr>
          <w:p w14:paraId="706E1631" w14:textId="77777777" w:rsidR="00EA4138" w:rsidRDefault="00EA4138">
            <w:pPr>
              <w:pStyle w:val="NormalWeb"/>
              <w:rPr>
                <w:sz w:val="18"/>
                <w:szCs w:val="18"/>
              </w:rPr>
            </w:pPr>
            <w:proofErr w:type="spellStart"/>
            <w:r>
              <w:rPr>
                <w:sz w:val="18"/>
                <w:szCs w:val="18"/>
              </w:rPr>
              <w:t>Jurisdiction</w:t>
            </w:r>
            <w:r>
              <w:rPr>
                <w:sz w:val="18"/>
                <w:szCs w:val="18"/>
                <w:vertAlign w:val="superscript"/>
              </w:rPr>
              <w:t>d</w:t>
            </w:r>
            <w:proofErr w:type="spellEnd"/>
          </w:p>
        </w:tc>
        <w:tc>
          <w:tcPr>
            <w:tcW w:w="1701" w:type="dxa"/>
            <w:gridSpan w:val="2"/>
            <w:tcBorders>
              <w:top w:val="nil"/>
            </w:tcBorders>
            <w:hideMark/>
          </w:tcPr>
          <w:p w14:paraId="4A563F39" w14:textId="77777777" w:rsidR="00EA4138" w:rsidRDefault="00EA4138">
            <w:pPr>
              <w:pStyle w:val="NormalWeb"/>
              <w:rPr>
                <w:sz w:val="18"/>
                <w:szCs w:val="18"/>
              </w:rPr>
            </w:pPr>
            <w:r>
              <w:rPr>
                <w:sz w:val="18"/>
                <w:szCs w:val="18"/>
              </w:rPr>
              <w:t>All boys</w:t>
            </w:r>
          </w:p>
        </w:tc>
        <w:tc>
          <w:tcPr>
            <w:tcW w:w="1843" w:type="dxa"/>
            <w:gridSpan w:val="2"/>
            <w:tcBorders>
              <w:top w:val="nil"/>
              <w:right w:val="nil"/>
            </w:tcBorders>
            <w:hideMark/>
          </w:tcPr>
          <w:p w14:paraId="69C45D6C" w14:textId="77777777" w:rsidR="00EA4138" w:rsidRDefault="00EA4138">
            <w:pPr>
              <w:pStyle w:val="NormalWeb"/>
              <w:rPr>
                <w:sz w:val="18"/>
                <w:szCs w:val="18"/>
              </w:rPr>
            </w:pPr>
            <w:r>
              <w:rPr>
                <w:sz w:val="18"/>
                <w:szCs w:val="18"/>
              </w:rPr>
              <w:t>Indigenous boys</w:t>
            </w:r>
          </w:p>
        </w:tc>
      </w:tr>
      <w:tr w:rsidR="00EA4138" w14:paraId="68FF7D6F" w14:textId="77777777" w:rsidTr="00EA4138">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nil"/>
              <w:left w:val="nil"/>
              <w:bottom w:val="nil"/>
            </w:tcBorders>
            <w:hideMark/>
          </w:tcPr>
          <w:p w14:paraId="2F87DDDF" w14:textId="77777777" w:rsidR="00EA4138" w:rsidRDefault="00EA4138">
            <w:pPr>
              <w:rPr>
                <w:sz w:val="18"/>
                <w:szCs w:val="18"/>
              </w:rPr>
            </w:pPr>
          </w:p>
        </w:tc>
        <w:tc>
          <w:tcPr>
            <w:tcW w:w="851" w:type="dxa"/>
            <w:tcBorders>
              <w:bottom w:val="nil"/>
            </w:tcBorders>
            <w:hideMark/>
          </w:tcPr>
          <w:p w14:paraId="0A577C8C" w14:textId="77777777" w:rsidR="00EA4138" w:rsidRDefault="00EA4138">
            <w:pPr>
              <w:pStyle w:val="NormalWeb"/>
              <w:jc w:val="left"/>
              <w:rPr>
                <w:sz w:val="18"/>
                <w:szCs w:val="18"/>
              </w:rPr>
            </w:pPr>
            <w:r>
              <w:rPr>
                <w:sz w:val="18"/>
                <w:szCs w:val="18"/>
              </w:rPr>
              <w:t>2019</w:t>
            </w:r>
          </w:p>
        </w:tc>
        <w:tc>
          <w:tcPr>
            <w:tcW w:w="850" w:type="dxa"/>
            <w:tcBorders>
              <w:bottom w:val="nil"/>
            </w:tcBorders>
            <w:hideMark/>
          </w:tcPr>
          <w:p w14:paraId="5951B3BD" w14:textId="77777777" w:rsidR="00EA4138" w:rsidRDefault="00EA4138">
            <w:pPr>
              <w:pStyle w:val="NormalWeb"/>
              <w:jc w:val="left"/>
              <w:rPr>
                <w:sz w:val="18"/>
                <w:szCs w:val="18"/>
              </w:rPr>
            </w:pPr>
            <w:r>
              <w:rPr>
                <w:sz w:val="18"/>
                <w:szCs w:val="18"/>
              </w:rPr>
              <w:t>2020</w:t>
            </w:r>
          </w:p>
        </w:tc>
        <w:tc>
          <w:tcPr>
            <w:tcW w:w="992" w:type="dxa"/>
            <w:tcBorders>
              <w:bottom w:val="nil"/>
            </w:tcBorders>
            <w:hideMark/>
          </w:tcPr>
          <w:p w14:paraId="2E69524C" w14:textId="77777777" w:rsidR="00EA4138" w:rsidRDefault="00EA4138">
            <w:pPr>
              <w:pStyle w:val="NormalWeb"/>
              <w:jc w:val="left"/>
              <w:rPr>
                <w:sz w:val="18"/>
                <w:szCs w:val="18"/>
              </w:rPr>
            </w:pPr>
            <w:r>
              <w:rPr>
                <w:sz w:val="18"/>
                <w:szCs w:val="18"/>
              </w:rPr>
              <w:t>2019</w:t>
            </w:r>
          </w:p>
        </w:tc>
        <w:tc>
          <w:tcPr>
            <w:tcW w:w="851" w:type="dxa"/>
            <w:tcBorders>
              <w:bottom w:val="nil"/>
              <w:right w:val="nil"/>
            </w:tcBorders>
            <w:hideMark/>
          </w:tcPr>
          <w:p w14:paraId="1986F206" w14:textId="77777777" w:rsidR="00EA4138" w:rsidRDefault="00EA4138">
            <w:pPr>
              <w:pStyle w:val="NormalWeb"/>
              <w:jc w:val="left"/>
              <w:rPr>
                <w:sz w:val="18"/>
                <w:szCs w:val="18"/>
              </w:rPr>
            </w:pPr>
            <w:r>
              <w:rPr>
                <w:sz w:val="18"/>
                <w:szCs w:val="18"/>
              </w:rPr>
              <w:t>2020</w:t>
            </w:r>
          </w:p>
        </w:tc>
      </w:tr>
      <w:tr w:rsidR="00EA4138" w14:paraId="664D16D4" w14:textId="77777777" w:rsidTr="00EA4138">
        <w:tc>
          <w:tcPr>
            <w:tcW w:w="1843" w:type="dxa"/>
            <w:hideMark/>
          </w:tcPr>
          <w:p w14:paraId="2C7C0070" w14:textId="77777777" w:rsidR="00EA4138" w:rsidRDefault="00EA4138">
            <w:pPr>
              <w:pStyle w:val="NormalWeb"/>
              <w:jc w:val="left"/>
              <w:rPr>
                <w:sz w:val="18"/>
                <w:szCs w:val="18"/>
              </w:rPr>
            </w:pPr>
            <w:r>
              <w:rPr>
                <w:b/>
                <w:bCs/>
                <w:sz w:val="18"/>
                <w:szCs w:val="18"/>
              </w:rPr>
              <w:t>ACT</w:t>
            </w:r>
            <w:r>
              <w:rPr>
                <w:sz w:val="18"/>
                <w:szCs w:val="18"/>
              </w:rPr>
              <w:br/>
              <w:t>Dose 1</w:t>
            </w:r>
            <w:r>
              <w:rPr>
                <w:sz w:val="18"/>
                <w:szCs w:val="18"/>
              </w:rPr>
              <w:br/>
              <w:t>Course completion</w:t>
            </w:r>
          </w:p>
        </w:tc>
        <w:tc>
          <w:tcPr>
            <w:tcW w:w="851" w:type="dxa"/>
            <w:hideMark/>
          </w:tcPr>
          <w:p w14:paraId="2C299EDB" w14:textId="77777777" w:rsidR="00EA4138" w:rsidRDefault="00EA4138">
            <w:pPr>
              <w:pStyle w:val="NormalWeb"/>
              <w:rPr>
                <w:sz w:val="18"/>
                <w:szCs w:val="18"/>
              </w:rPr>
            </w:pPr>
            <w:r>
              <w:rPr>
                <w:sz w:val="18"/>
                <w:szCs w:val="18"/>
              </w:rPr>
              <w:t>86.6</w:t>
            </w:r>
            <w:r>
              <w:rPr>
                <w:sz w:val="18"/>
                <w:szCs w:val="18"/>
              </w:rPr>
              <w:br/>
              <w:t>79.6</w:t>
            </w:r>
          </w:p>
        </w:tc>
        <w:tc>
          <w:tcPr>
            <w:tcW w:w="850" w:type="dxa"/>
            <w:hideMark/>
          </w:tcPr>
          <w:p w14:paraId="53C00D0D" w14:textId="77777777" w:rsidR="00EA4138" w:rsidRDefault="00EA4138">
            <w:pPr>
              <w:pStyle w:val="NormalWeb"/>
              <w:rPr>
                <w:sz w:val="18"/>
                <w:szCs w:val="18"/>
              </w:rPr>
            </w:pPr>
            <w:r>
              <w:rPr>
                <w:sz w:val="18"/>
                <w:szCs w:val="18"/>
              </w:rPr>
              <w:t>87.6</w:t>
            </w:r>
            <w:r>
              <w:rPr>
                <w:sz w:val="18"/>
                <w:szCs w:val="18"/>
              </w:rPr>
              <w:br/>
              <w:t>80.4</w:t>
            </w:r>
          </w:p>
        </w:tc>
        <w:tc>
          <w:tcPr>
            <w:tcW w:w="992" w:type="dxa"/>
            <w:hideMark/>
          </w:tcPr>
          <w:p w14:paraId="09C18F3B" w14:textId="77777777" w:rsidR="00EA4138" w:rsidRDefault="00EA4138">
            <w:pPr>
              <w:pStyle w:val="NormalWeb"/>
              <w:rPr>
                <w:sz w:val="18"/>
                <w:szCs w:val="18"/>
              </w:rPr>
            </w:pPr>
            <w:r>
              <w:rPr>
                <w:sz w:val="18"/>
                <w:szCs w:val="18"/>
              </w:rPr>
              <w:t>80.4</w:t>
            </w:r>
            <w:r>
              <w:rPr>
                <w:sz w:val="18"/>
                <w:szCs w:val="18"/>
              </w:rPr>
              <w:br/>
              <w:t>62.7</w:t>
            </w:r>
          </w:p>
        </w:tc>
        <w:tc>
          <w:tcPr>
            <w:tcW w:w="851" w:type="dxa"/>
            <w:hideMark/>
          </w:tcPr>
          <w:p w14:paraId="61A0864D" w14:textId="77777777" w:rsidR="00EA4138" w:rsidRDefault="00EA4138">
            <w:pPr>
              <w:pStyle w:val="NormalWeb"/>
              <w:jc w:val="left"/>
              <w:rPr>
                <w:sz w:val="18"/>
                <w:szCs w:val="18"/>
              </w:rPr>
            </w:pPr>
            <w:r>
              <w:rPr>
                <w:sz w:val="18"/>
                <w:szCs w:val="18"/>
              </w:rPr>
              <w:t>79.6</w:t>
            </w:r>
            <w:r>
              <w:rPr>
                <w:sz w:val="18"/>
                <w:szCs w:val="18"/>
              </w:rPr>
              <w:br/>
              <w:t>55.6</w:t>
            </w:r>
          </w:p>
        </w:tc>
      </w:tr>
      <w:tr w:rsidR="00EA4138" w14:paraId="7F510FE7" w14:textId="77777777" w:rsidTr="00EA4138">
        <w:trPr>
          <w:cnfStyle w:val="000000010000" w:firstRow="0" w:lastRow="0" w:firstColumn="0" w:lastColumn="0" w:oddVBand="0" w:evenVBand="0" w:oddHBand="0" w:evenHBand="1" w:firstRowFirstColumn="0" w:firstRowLastColumn="0" w:lastRowFirstColumn="0" w:lastRowLastColumn="0"/>
        </w:trPr>
        <w:tc>
          <w:tcPr>
            <w:tcW w:w="1843" w:type="dxa"/>
            <w:hideMark/>
          </w:tcPr>
          <w:p w14:paraId="3671C192" w14:textId="77777777" w:rsidR="00EA4138" w:rsidRDefault="00EA4138">
            <w:pPr>
              <w:pStyle w:val="NormalWeb"/>
              <w:jc w:val="left"/>
              <w:rPr>
                <w:sz w:val="18"/>
                <w:szCs w:val="18"/>
              </w:rPr>
            </w:pPr>
            <w:r>
              <w:rPr>
                <w:b/>
                <w:bCs/>
                <w:sz w:val="18"/>
                <w:szCs w:val="18"/>
              </w:rPr>
              <w:t>NSW</w:t>
            </w:r>
            <w:r>
              <w:rPr>
                <w:sz w:val="18"/>
                <w:szCs w:val="18"/>
              </w:rPr>
              <w:br/>
              <w:t>Dose 1</w:t>
            </w:r>
            <w:r>
              <w:rPr>
                <w:sz w:val="18"/>
                <w:szCs w:val="18"/>
              </w:rPr>
              <w:br/>
              <w:t>Course completion</w:t>
            </w:r>
          </w:p>
        </w:tc>
        <w:tc>
          <w:tcPr>
            <w:tcW w:w="851" w:type="dxa"/>
            <w:hideMark/>
          </w:tcPr>
          <w:p w14:paraId="451BCFDC" w14:textId="77777777" w:rsidR="00EA4138" w:rsidRDefault="00EA4138">
            <w:pPr>
              <w:pStyle w:val="NormalWeb"/>
              <w:rPr>
                <w:sz w:val="18"/>
                <w:szCs w:val="18"/>
              </w:rPr>
            </w:pPr>
            <w:r>
              <w:rPr>
                <w:sz w:val="18"/>
                <w:szCs w:val="18"/>
              </w:rPr>
              <w:t>84.1</w:t>
            </w:r>
            <w:r>
              <w:rPr>
                <w:sz w:val="18"/>
                <w:szCs w:val="18"/>
              </w:rPr>
              <w:br/>
              <w:t>79.5</w:t>
            </w:r>
          </w:p>
        </w:tc>
        <w:tc>
          <w:tcPr>
            <w:tcW w:w="850" w:type="dxa"/>
            <w:hideMark/>
          </w:tcPr>
          <w:p w14:paraId="5702123F" w14:textId="77777777" w:rsidR="00EA4138" w:rsidRDefault="00EA4138">
            <w:pPr>
              <w:pStyle w:val="NormalWeb"/>
              <w:rPr>
                <w:sz w:val="18"/>
                <w:szCs w:val="18"/>
              </w:rPr>
            </w:pPr>
            <w:r>
              <w:rPr>
                <w:sz w:val="18"/>
                <w:szCs w:val="18"/>
              </w:rPr>
              <w:t>85.8</w:t>
            </w:r>
            <w:r>
              <w:rPr>
                <w:sz w:val="18"/>
                <w:szCs w:val="18"/>
              </w:rPr>
              <w:br/>
              <w:t>80.6</w:t>
            </w:r>
          </w:p>
        </w:tc>
        <w:tc>
          <w:tcPr>
            <w:tcW w:w="992" w:type="dxa"/>
            <w:hideMark/>
          </w:tcPr>
          <w:p w14:paraId="0582E73D" w14:textId="77777777" w:rsidR="00EA4138" w:rsidRDefault="00EA4138">
            <w:pPr>
              <w:pStyle w:val="NormalWeb"/>
              <w:rPr>
                <w:sz w:val="18"/>
                <w:szCs w:val="18"/>
              </w:rPr>
            </w:pPr>
            <w:r>
              <w:rPr>
                <w:sz w:val="18"/>
                <w:szCs w:val="18"/>
              </w:rPr>
              <w:t>82.4</w:t>
            </w:r>
            <w:r>
              <w:rPr>
                <w:sz w:val="18"/>
                <w:szCs w:val="18"/>
              </w:rPr>
              <w:br/>
              <w:t>70.3</w:t>
            </w:r>
          </w:p>
        </w:tc>
        <w:tc>
          <w:tcPr>
            <w:tcW w:w="851" w:type="dxa"/>
            <w:hideMark/>
          </w:tcPr>
          <w:p w14:paraId="09EDB54D" w14:textId="77777777" w:rsidR="00EA4138" w:rsidRDefault="00EA4138">
            <w:pPr>
              <w:pStyle w:val="NormalWeb"/>
              <w:jc w:val="left"/>
              <w:rPr>
                <w:sz w:val="18"/>
                <w:szCs w:val="18"/>
              </w:rPr>
            </w:pPr>
            <w:r>
              <w:rPr>
                <w:sz w:val="18"/>
                <w:szCs w:val="18"/>
              </w:rPr>
              <w:t>88.1</w:t>
            </w:r>
            <w:r>
              <w:rPr>
                <w:sz w:val="18"/>
                <w:szCs w:val="18"/>
              </w:rPr>
              <w:br/>
              <w:t>77.3</w:t>
            </w:r>
          </w:p>
        </w:tc>
      </w:tr>
      <w:tr w:rsidR="00EA4138" w14:paraId="4BBC0CD5" w14:textId="77777777" w:rsidTr="00EA4138">
        <w:tc>
          <w:tcPr>
            <w:tcW w:w="1843" w:type="dxa"/>
            <w:hideMark/>
          </w:tcPr>
          <w:p w14:paraId="63DC1550" w14:textId="77777777" w:rsidR="00EA4138" w:rsidRDefault="00EA4138">
            <w:pPr>
              <w:pStyle w:val="NormalWeb"/>
              <w:jc w:val="left"/>
              <w:rPr>
                <w:sz w:val="18"/>
                <w:szCs w:val="18"/>
              </w:rPr>
            </w:pPr>
            <w:r>
              <w:rPr>
                <w:b/>
                <w:bCs/>
                <w:sz w:val="18"/>
                <w:szCs w:val="18"/>
              </w:rPr>
              <w:t>NT</w:t>
            </w:r>
            <w:r>
              <w:rPr>
                <w:sz w:val="18"/>
                <w:szCs w:val="18"/>
              </w:rPr>
              <w:br/>
              <w:t>Dose 1</w:t>
            </w:r>
            <w:r>
              <w:rPr>
                <w:sz w:val="18"/>
                <w:szCs w:val="18"/>
              </w:rPr>
              <w:br/>
              <w:t>Course completion</w:t>
            </w:r>
          </w:p>
        </w:tc>
        <w:tc>
          <w:tcPr>
            <w:tcW w:w="851" w:type="dxa"/>
            <w:hideMark/>
          </w:tcPr>
          <w:p w14:paraId="0D2A9CC5" w14:textId="77777777" w:rsidR="00EA4138" w:rsidRDefault="00EA4138">
            <w:pPr>
              <w:pStyle w:val="NormalWeb"/>
              <w:rPr>
                <w:sz w:val="18"/>
                <w:szCs w:val="18"/>
              </w:rPr>
            </w:pPr>
            <w:r>
              <w:rPr>
                <w:sz w:val="18"/>
                <w:szCs w:val="18"/>
              </w:rPr>
              <w:t>86.4</w:t>
            </w:r>
            <w:r>
              <w:rPr>
                <w:sz w:val="18"/>
                <w:szCs w:val="18"/>
              </w:rPr>
              <w:br/>
              <w:t>71.5</w:t>
            </w:r>
          </w:p>
        </w:tc>
        <w:tc>
          <w:tcPr>
            <w:tcW w:w="850" w:type="dxa"/>
            <w:hideMark/>
          </w:tcPr>
          <w:p w14:paraId="36CCEAF6" w14:textId="77777777" w:rsidR="00EA4138" w:rsidRDefault="00EA4138">
            <w:pPr>
              <w:pStyle w:val="NormalWeb"/>
              <w:rPr>
                <w:sz w:val="18"/>
                <w:szCs w:val="18"/>
              </w:rPr>
            </w:pPr>
            <w:r>
              <w:rPr>
                <w:sz w:val="18"/>
                <w:szCs w:val="18"/>
              </w:rPr>
              <w:t>83.9</w:t>
            </w:r>
            <w:r>
              <w:rPr>
                <w:sz w:val="18"/>
                <w:szCs w:val="18"/>
              </w:rPr>
              <w:br/>
              <w:t>70.0</w:t>
            </w:r>
          </w:p>
        </w:tc>
        <w:tc>
          <w:tcPr>
            <w:tcW w:w="992" w:type="dxa"/>
            <w:hideMark/>
          </w:tcPr>
          <w:p w14:paraId="6E5EBE73" w14:textId="77777777" w:rsidR="00EA4138" w:rsidRDefault="00EA4138">
            <w:pPr>
              <w:pStyle w:val="NormalWeb"/>
              <w:rPr>
                <w:sz w:val="18"/>
                <w:szCs w:val="18"/>
              </w:rPr>
            </w:pPr>
            <w:r>
              <w:rPr>
                <w:sz w:val="18"/>
                <w:szCs w:val="18"/>
              </w:rPr>
              <w:t>88.3</w:t>
            </w:r>
            <w:r>
              <w:rPr>
                <w:sz w:val="18"/>
                <w:szCs w:val="18"/>
              </w:rPr>
              <w:br/>
              <w:t>66.3</w:t>
            </w:r>
          </w:p>
        </w:tc>
        <w:tc>
          <w:tcPr>
            <w:tcW w:w="851" w:type="dxa"/>
            <w:hideMark/>
          </w:tcPr>
          <w:p w14:paraId="43BD2EDF" w14:textId="77777777" w:rsidR="00EA4138" w:rsidRDefault="00EA4138">
            <w:pPr>
              <w:pStyle w:val="NormalWeb"/>
              <w:jc w:val="left"/>
              <w:rPr>
                <w:sz w:val="18"/>
                <w:szCs w:val="18"/>
              </w:rPr>
            </w:pPr>
            <w:r>
              <w:rPr>
                <w:sz w:val="18"/>
                <w:szCs w:val="18"/>
              </w:rPr>
              <w:t>82.5</w:t>
            </w:r>
            <w:r>
              <w:rPr>
                <w:sz w:val="18"/>
                <w:szCs w:val="18"/>
              </w:rPr>
              <w:br/>
              <w:t>63.7</w:t>
            </w:r>
          </w:p>
        </w:tc>
      </w:tr>
      <w:tr w:rsidR="00EA4138" w14:paraId="3BB5CC9B" w14:textId="77777777" w:rsidTr="00EA4138">
        <w:trPr>
          <w:cnfStyle w:val="000000010000" w:firstRow="0" w:lastRow="0" w:firstColumn="0" w:lastColumn="0" w:oddVBand="0" w:evenVBand="0" w:oddHBand="0" w:evenHBand="1" w:firstRowFirstColumn="0" w:firstRowLastColumn="0" w:lastRowFirstColumn="0" w:lastRowLastColumn="0"/>
        </w:trPr>
        <w:tc>
          <w:tcPr>
            <w:tcW w:w="1843" w:type="dxa"/>
            <w:hideMark/>
          </w:tcPr>
          <w:p w14:paraId="08452FD5" w14:textId="77777777" w:rsidR="00EA4138" w:rsidRDefault="00EA4138">
            <w:pPr>
              <w:pStyle w:val="NormalWeb"/>
              <w:jc w:val="left"/>
              <w:rPr>
                <w:sz w:val="18"/>
                <w:szCs w:val="18"/>
              </w:rPr>
            </w:pPr>
            <w:r>
              <w:rPr>
                <w:b/>
                <w:bCs/>
                <w:sz w:val="18"/>
                <w:szCs w:val="18"/>
              </w:rPr>
              <w:t>Qld</w:t>
            </w:r>
            <w:r>
              <w:rPr>
                <w:sz w:val="18"/>
                <w:szCs w:val="18"/>
              </w:rPr>
              <w:br/>
              <w:t>Dose 1</w:t>
            </w:r>
            <w:r>
              <w:rPr>
                <w:sz w:val="18"/>
                <w:szCs w:val="18"/>
              </w:rPr>
              <w:br/>
              <w:t>Course completion</w:t>
            </w:r>
          </w:p>
        </w:tc>
        <w:tc>
          <w:tcPr>
            <w:tcW w:w="851" w:type="dxa"/>
            <w:hideMark/>
          </w:tcPr>
          <w:p w14:paraId="6148B9CC" w14:textId="77777777" w:rsidR="00EA4138" w:rsidRDefault="00EA4138">
            <w:pPr>
              <w:pStyle w:val="NormalWeb"/>
              <w:rPr>
                <w:sz w:val="18"/>
                <w:szCs w:val="18"/>
              </w:rPr>
            </w:pPr>
            <w:r>
              <w:rPr>
                <w:sz w:val="18"/>
                <w:szCs w:val="18"/>
              </w:rPr>
              <w:t>80.3</w:t>
            </w:r>
            <w:r>
              <w:rPr>
                <w:sz w:val="18"/>
                <w:szCs w:val="18"/>
              </w:rPr>
              <w:br/>
              <w:t>72.9</w:t>
            </w:r>
          </w:p>
        </w:tc>
        <w:tc>
          <w:tcPr>
            <w:tcW w:w="850" w:type="dxa"/>
            <w:hideMark/>
          </w:tcPr>
          <w:p w14:paraId="3E0CA286" w14:textId="77777777" w:rsidR="00EA4138" w:rsidRDefault="00EA4138">
            <w:pPr>
              <w:pStyle w:val="NormalWeb"/>
              <w:rPr>
                <w:sz w:val="18"/>
                <w:szCs w:val="18"/>
              </w:rPr>
            </w:pPr>
            <w:r>
              <w:rPr>
                <w:sz w:val="18"/>
                <w:szCs w:val="18"/>
              </w:rPr>
              <w:t>82.0</w:t>
            </w:r>
            <w:r>
              <w:rPr>
                <w:sz w:val="18"/>
                <w:szCs w:val="18"/>
              </w:rPr>
              <w:br/>
              <w:t>73.8</w:t>
            </w:r>
          </w:p>
        </w:tc>
        <w:tc>
          <w:tcPr>
            <w:tcW w:w="992" w:type="dxa"/>
            <w:hideMark/>
          </w:tcPr>
          <w:p w14:paraId="05C3B93D" w14:textId="77777777" w:rsidR="00EA4138" w:rsidRDefault="00EA4138">
            <w:pPr>
              <w:pStyle w:val="NormalWeb"/>
              <w:rPr>
                <w:sz w:val="18"/>
                <w:szCs w:val="18"/>
              </w:rPr>
            </w:pPr>
            <w:r>
              <w:rPr>
                <w:sz w:val="18"/>
                <w:szCs w:val="18"/>
              </w:rPr>
              <w:t>80.0</w:t>
            </w:r>
            <w:r>
              <w:rPr>
                <w:sz w:val="18"/>
                <w:szCs w:val="18"/>
              </w:rPr>
              <w:br/>
              <w:t>65.2</w:t>
            </w:r>
          </w:p>
        </w:tc>
        <w:tc>
          <w:tcPr>
            <w:tcW w:w="851" w:type="dxa"/>
            <w:hideMark/>
          </w:tcPr>
          <w:p w14:paraId="40A6025F" w14:textId="77777777" w:rsidR="00EA4138" w:rsidRDefault="00EA4138">
            <w:pPr>
              <w:pStyle w:val="NormalWeb"/>
              <w:jc w:val="left"/>
              <w:rPr>
                <w:sz w:val="18"/>
                <w:szCs w:val="18"/>
              </w:rPr>
            </w:pPr>
            <w:r>
              <w:rPr>
                <w:sz w:val="18"/>
                <w:szCs w:val="18"/>
              </w:rPr>
              <w:t>80.9</w:t>
            </w:r>
            <w:r>
              <w:rPr>
                <w:sz w:val="18"/>
                <w:szCs w:val="18"/>
              </w:rPr>
              <w:br/>
              <w:t>64.8</w:t>
            </w:r>
          </w:p>
        </w:tc>
      </w:tr>
      <w:tr w:rsidR="00EA4138" w14:paraId="2691F950" w14:textId="77777777" w:rsidTr="00EA4138">
        <w:tc>
          <w:tcPr>
            <w:tcW w:w="1843" w:type="dxa"/>
            <w:hideMark/>
          </w:tcPr>
          <w:p w14:paraId="487724D5" w14:textId="77777777" w:rsidR="00EA4138" w:rsidRDefault="00EA4138">
            <w:pPr>
              <w:pStyle w:val="NormalWeb"/>
              <w:jc w:val="left"/>
              <w:rPr>
                <w:sz w:val="18"/>
                <w:szCs w:val="18"/>
              </w:rPr>
            </w:pPr>
            <w:r>
              <w:rPr>
                <w:b/>
                <w:bCs/>
                <w:sz w:val="18"/>
                <w:szCs w:val="18"/>
              </w:rPr>
              <w:t>SA</w:t>
            </w:r>
            <w:r>
              <w:rPr>
                <w:sz w:val="18"/>
                <w:szCs w:val="18"/>
              </w:rPr>
              <w:br/>
              <w:t>Dose 1</w:t>
            </w:r>
            <w:r>
              <w:rPr>
                <w:sz w:val="18"/>
                <w:szCs w:val="18"/>
              </w:rPr>
              <w:br/>
              <w:t>Course completion</w:t>
            </w:r>
          </w:p>
        </w:tc>
        <w:tc>
          <w:tcPr>
            <w:tcW w:w="851" w:type="dxa"/>
            <w:hideMark/>
          </w:tcPr>
          <w:p w14:paraId="1DCCE702" w14:textId="77777777" w:rsidR="00EA4138" w:rsidRDefault="00EA4138">
            <w:pPr>
              <w:pStyle w:val="NormalWeb"/>
              <w:rPr>
                <w:sz w:val="18"/>
                <w:szCs w:val="18"/>
              </w:rPr>
            </w:pPr>
            <w:r>
              <w:rPr>
                <w:sz w:val="18"/>
                <w:szCs w:val="18"/>
              </w:rPr>
              <w:t>83.1</w:t>
            </w:r>
            <w:r>
              <w:rPr>
                <w:sz w:val="18"/>
                <w:szCs w:val="18"/>
              </w:rPr>
              <w:br/>
              <w:t>73.7</w:t>
            </w:r>
          </w:p>
        </w:tc>
        <w:tc>
          <w:tcPr>
            <w:tcW w:w="850" w:type="dxa"/>
            <w:hideMark/>
          </w:tcPr>
          <w:p w14:paraId="58C6F338" w14:textId="77777777" w:rsidR="00EA4138" w:rsidRDefault="00EA4138">
            <w:pPr>
              <w:pStyle w:val="NormalWeb"/>
              <w:rPr>
                <w:sz w:val="18"/>
                <w:szCs w:val="18"/>
              </w:rPr>
            </w:pPr>
            <w:r>
              <w:rPr>
                <w:sz w:val="18"/>
                <w:szCs w:val="18"/>
              </w:rPr>
              <w:t>85.5</w:t>
            </w:r>
            <w:r>
              <w:rPr>
                <w:sz w:val="18"/>
                <w:szCs w:val="18"/>
              </w:rPr>
              <w:br/>
              <w:t>75.3</w:t>
            </w:r>
          </w:p>
        </w:tc>
        <w:tc>
          <w:tcPr>
            <w:tcW w:w="992" w:type="dxa"/>
            <w:hideMark/>
          </w:tcPr>
          <w:p w14:paraId="636D8DB9" w14:textId="77777777" w:rsidR="00EA4138" w:rsidRDefault="00EA4138">
            <w:pPr>
              <w:pStyle w:val="NormalWeb"/>
              <w:rPr>
                <w:sz w:val="18"/>
                <w:szCs w:val="18"/>
              </w:rPr>
            </w:pPr>
            <w:r>
              <w:rPr>
                <w:sz w:val="18"/>
                <w:szCs w:val="18"/>
              </w:rPr>
              <w:t>70.3</w:t>
            </w:r>
            <w:r>
              <w:rPr>
                <w:sz w:val="18"/>
                <w:szCs w:val="18"/>
              </w:rPr>
              <w:br/>
              <w:t>48.6</w:t>
            </w:r>
          </w:p>
        </w:tc>
        <w:tc>
          <w:tcPr>
            <w:tcW w:w="851" w:type="dxa"/>
            <w:hideMark/>
          </w:tcPr>
          <w:p w14:paraId="7CE2DF00" w14:textId="77777777" w:rsidR="00EA4138" w:rsidRDefault="00EA4138">
            <w:pPr>
              <w:pStyle w:val="NormalWeb"/>
              <w:jc w:val="left"/>
              <w:rPr>
                <w:sz w:val="18"/>
                <w:szCs w:val="18"/>
              </w:rPr>
            </w:pPr>
            <w:r>
              <w:rPr>
                <w:sz w:val="18"/>
                <w:szCs w:val="18"/>
              </w:rPr>
              <w:t>69.3</w:t>
            </w:r>
            <w:r>
              <w:rPr>
                <w:sz w:val="18"/>
                <w:szCs w:val="18"/>
              </w:rPr>
              <w:br/>
              <w:t>47.5</w:t>
            </w:r>
          </w:p>
        </w:tc>
      </w:tr>
      <w:tr w:rsidR="00EA4138" w14:paraId="6CB0109A" w14:textId="77777777" w:rsidTr="00EA4138">
        <w:trPr>
          <w:cnfStyle w:val="000000010000" w:firstRow="0" w:lastRow="0" w:firstColumn="0" w:lastColumn="0" w:oddVBand="0" w:evenVBand="0" w:oddHBand="0" w:evenHBand="1" w:firstRowFirstColumn="0" w:firstRowLastColumn="0" w:lastRowFirstColumn="0" w:lastRowLastColumn="0"/>
        </w:trPr>
        <w:tc>
          <w:tcPr>
            <w:tcW w:w="1843" w:type="dxa"/>
            <w:hideMark/>
          </w:tcPr>
          <w:p w14:paraId="491644B5" w14:textId="77777777" w:rsidR="00EA4138" w:rsidRDefault="00EA4138">
            <w:pPr>
              <w:pStyle w:val="NormalWeb"/>
              <w:jc w:val="left"/>
              <w:rPr>
                <w:sz w:val="18"/>
                <w:szCs w:val="18"/>
              </w:rPr>
            </w:pPr>
            <w:r>
              <w:rPr>
                <w:b/>
                <w:bCs/>
                <w:sz w:val="18"/>
                <w:szCs w:val="18"/>
              </w:rPr>
              <w:t>Tas.</w:t>
            </w:r>
            <w:r>
              <w:rPr>
                <w:sz w:val="18"/>
                <w:szCs w:val="18"/>
              </w:rPr>
              <w:br/>
              <w:t>Dose 1</w:t>
            </w:r>
            <w:r>
              <w:rPr>
                <w:sz w:val="18"/>
                <w:szCs w:val="18"/>
              </w:rPr>
              <w:br/>
              <w:t>Course completion</w:t>
            </w:r>
          </w:p>
        </w:tc>
        <w:tc>
          <w:tcPr>
            <w:tcW w:w="851" w:type="dxa"/>
            <w:hideMark/>
          </w:tcPr>
          <w:p w14:paraId="7656BB01" w14:textId="77777777" w:rsidR="00EA4138" w:rsidRDefault="00EA4138">
            <w:pPr>
              <w:pStyle w:val="NormalWeb"/>
              <w:rPr>
                <w:sz w:val="18"/>
                <w:szCs w:val="18"/>
              </w:rPr>
            </w:pPr>
            <w:r>
              <w:rPr>
                <w:sz w:val="18"/>
                <w:szCs w:val="18"/>
              </w:rPr>
              <w:t>85.9</w:t>
            </w:r>
            <w:r>
              <w:rPr>
                <w:sz w:val="18"/>
                <w:szCs w:val="18"/>
              </w:rPr>
              <w:br/>
              <w:t>75.4</w:t>
            </w:r>
          </w:p>
        </w:tc>
        <w:tc>
          <w:tcPr>
            <w:tcW w:w="850" w:type="dxa"/>
            <w:hideMark/>
          </w:tcPr>
          <w:p w14:paraId="7850FABD" w14:textId="77777777" w:rsidR="00EA4138" w:rsidRDefault="00EA4138">
            <w:pPr>
              <w:pStyle w:val="NormalWeb"/>
              <w:rPr>
                <w:sz w:val="18"/>
                <w:szCs w:val="18"/>
              </w:rPr>
            </w:pPr>
            <w:r>
              <w:rPr>
                <w:sz w:val="18"/>
                <w:szCs w:val="18"/>
              </w:rPr>
              <w:t>85.6</w:t>
            </w:r>
            <w:r>
              <w:rPr>
                <w:sz w:val="18"/>
                <w:szCs w:val="18"/>
              </w:rPr>
              <w:br/>
              <w:t>73.3</w:t>
            </w:r>
          </w:p>
        </w:tc>
        <w:tc>
          <w:tcPr>
            <w:tcW w:w="992" w:type="dxa"/>
            <w:hideMark/>
          </w:tcPr>
          <w:p w14:paraId="55B01BB8" w14:textId="77777777" w:rsidR="00EA4138" w:rsidRDefault="00EA4138">
            <w:pPr>
              <w:pStyle w:val="NormalWeb"/>
              <w:rPr>
                <w:sz w:val="18"/>
                <w:szCs w:val="18"/>
              </w:rPr>
            </w:pPr>
            <w:r>
              <w:rPr>
                <w:sz w:val="18"/>
                <w:szCs w:val="18"/>
              </w:rPr>
              <w:t>86.1</w:t>
            </w:r>
            <w:r>
              <w:rPr>
                <w:sz w:val="18"/>
                <w:szCs w:val="18"/>
              </w:rPr>
              <w:br/>
              <w:t>68.9</w:t>
            </w:r>
          </w:p>
        </w:tc>
        <w:tc>
          <w:tcPr>
            <w:tcW w:w="851" w:type="dxa"/>
            <w:hideMark/>
          </w:tcPr>
          <w:p w14:paraId="602453CF" w14:textId="77777777" w:rsidR="00EA4138" w:rsidRDefault="00EA4138">
            <w:pPr>
              <w:pStyle w:val="NormalWeb"/>
              <w:jc w:val="left"/>
              <w:rPr>
                <w:sz w:val="18"/>
                <w:szCs w:val="18"/>
              </w:rPr>
            </w:pPr>
            <w:r>
              <w:rPr>
                <w:sz w:val="18"/>
                <w:szCs w:val="18"/>
              </w:rPr>
              <w:t>86.4</w:t>
            </w:r>
            <w:r>
              <w:rPr>
                <w:sz w:val="18"/>
                <w:szCs w:val="18"/>
              </w:rPr>
              <w:br/>
              <w:t>69.1</w:t>
            </w:r>
          </w:p>
        </w:tc>
      </w:tr>
      <w:tr w:rsidR="00EA4138" w14:paraId="3A2C6C5F" w14:textId="77777777" w:rsidTr="00EA4138">
        <w:tc>
          <w:tcPr>
            <w:tcW w:w="1843" w:type="dxa"/>
            <w:hideMark/>
          </w:tcPr>
          <w:p w14:paraId="3979CD12" w14:textId="77777777" w:rsidR="00EA4138" w:rsidRDefault="00EA4138">
            <w:pPr>
              <w:pStyle w:val="NormalWeb"/>
              <w:jc w:val="left"/>
              <w:rPr>
                <w:sz w:val="18"/>
                <w:szCs w:val="18"/>
              </w:rPr>
            </w:pPr>
            <w:r>
              <w:rPr>
                <w:b/>
                <w:bCs/>
                <w:sz w:val="18"/>
                <w:szCs w:val="18"/>
              </w:rPr>
              <w:t>Vic.</w:t>
            </w:r>
            <w:r>
              <w:rPr>
                <w:sz w:val="18"/>
                <w:szCs w:val="18"/>
              </w:rPr>
              <w:br/>
              <w:t>Dose 1</w:t>
            </w:r>
            <w:r>
              <w:rPr>
                <w:sz w:val="18"/>
                <w:szCs w:val="18"/>
              </w:rPr>
              <w:br/>
              <w:t>Course completion</w:t>
            </w:r>
          </w:p>
        </w:tc>
        <w:tc>
          <w:tcPr>
            <w:tcW w:w="851" w:type="dxa"/>
            <w:hideMark/>
          </w:tcPr>
          <w:p w14:paraId="10BCFF63" w14:textId="77777777" w:rsidR="00EA4138" w:rsidRDefault="00EA4138">
            <w:pPr>
              <w:pStyle w:val="NormalWeb"/>
              <w:rPr>
                <w:sz w:val="18"/>
                <w:szCs w:val="18"/>
              </w:rPr>
            </w:pPr>
            <w:r>
              <w:rPr>
                <w:sz w:val="18"/>
                <w:szCs w:val="18"/>
              </w:rPr>
              <w:t>85.7</w:t>
            </w:r>
            <w:r>
              <w:rPr>
                <w:sz w:val="18"/>
                <w:szCs w:val="18"/>
              </w:rPr>
              <w:br/>
              <w:t>78.6</w:t>
            </w:r>
          </w:p>
        </w:tc>
        <w:tc>
          <w:tcPr>
            <w:tcW w:w="850" w:type="dxa"/>
            <w:hideMark/>
          </w:tcPr>
          <w:p w14:paraId="3D9E3642" w14:textId="77777777" w:rsidR="00EA4138" w:rsidRDefault="00EA4138">
            <w:pPr>
              <w:pStyle w:val="NormalWeb"/>
              <w:rPr>
                <w:sz w:val="18"/>
                <w:szCs w:val="18"/>
              </w:rPr>
            </w:pPr>
            <w:r>
              <w:rPr>
                <w:sz w:val="18"/>
                <w:szCs w:val="18"/>
              </w:rPr>
              <w:t>86.2</w:t>
            </w:r>
            <w:r>
              <w:rPr>
                <w:sz w:val="18"/>
                <w:szCs w:val="18"/>
              </w:rPr>
              <w:br/>
              <w:t>78.4</w:t>
            </w:r>
          </w:p>
        </w:tc>
        <w:tc>
          <w:tcPr>
            <w:tcW w:w="992" w:type="dxa"/>
            <w:hideMark/>
          </w:tcPr>
          <w:p w14:paraId="79944BC7" w14:textId="77777777" w:rsidR="00EA4138" w:rsidRDefault="00EA4138">
            <w:pPr>
              <w:pStyle w:val="NormalWeb"/>
              <w:rPr>
                <w:sz w:val="18"/>
                <w:szCs w:val="18"/>
              </w:rPr>
            </w:pPr>
            <w:r>
              <w:rPr>
                <w:sz w:val="18"/>
                <w:szCs w:val="18"/>
              </w:rPr>
              <w:t>87.8</w:t>
            </w:r>
            <w:r>
              <w:rPr>
                <w:sz w:val="18"/>
                <w:szCs w:val="18"/>
              </w:rPr>
              <w:br/>
              <w:t>73.4</w:t>
            </w:r>
          </w:p>
        </w:tc>
        <w:tc>
          <w:tcPr>
            <w:tcW w:w="851" w:type="dxa"/>
            <w:hideMark/>
          </w:tcPr>
          <w:p w14:paraId="492C0E46" w14:textId="77777777" w:rsidR="00EA4138" w:rsidRDefault="00EA4138">
            <w:pPr>
              <w:pStyle w:val="NormalWeb"/>
              <w:jc w:val="left"/>
              <w:rPr>
                <w:sz w:val="18"/>
                <w:szCs w:val="18"/>
              </w:rPr>
            </w:pPr>
            <w:r>
              <w:rPr>
                <w:sz w:val="18"/>
                <w:szCs w:val="18"/>
              </w:rPr>
              <w:t>85.6</w:t>
            </w:r>
            <w:r>
              <w:rPr>
                <w:sz w:val="18"/>
                <w:szCs w:val="18"/>
              </w:rPr>
              <w:br/>
              <w:t>73.1</w:t>
            </w:r>
          </w:p>
        </w:tc>
      </w:tr>
      <w:tr w:rsidR="00EA4138" w14:paraId="6ED1C247" w14:textId="77777777" w:rsidTr="00EA4138">
        <w:trPr>
          <w:cnfStyle w:val="000000010000" w:firstRow="0" w:lastRow="0" w:firstColumn="0" w:lastColumn="0" w:oddVBand="0" w:evenVBand="0" w:oddHBand="0" w:evenHBand="1" w:firstRowFirstColumn="0" w:firstRowLastColumn="0" w:lastRowFirstColumn="0" w:lastRowLastColumn="0"/>
        </w:trPr>
        <w:tc>
          <w:tcPr>
            <w:tcW w:w="1843" w:type="dxa"/>
            <w:hideMark/>
          </w:tcPr>
          <w:p w14:paraId="5546434A" w14:textId="77777777" w:rsidR="00EA4138" w:rsidRDefault="00EA4138">
            <w:pPr>
              <w:pStyle w:val="NormalWeb"/>
              <w:jc w:val="left"/>
              <w:rPr>
                <w:sz w:val="18"/>
                <w:szCs w:val="18"/>
              </w:rPr>
            </w:pPr>
            <w:r>
              <w:rPr>
                <w:b/>
                <w:bCs/>
                <w:sz w:val="18"/>
                <w:szCs w:val="18"/>
              </w:rPr>
              <w:t>WA</w:t>
            </w:r>
            <w:r>
              <w:rPr>
                <w:sz w:val="18"/>
                <w:szCs w:val="18"/>
              </w:rPr>
              <w:br/>
              <w:t>Dose 1</w:t>
            </w:r>
            <w:r>
              <w:rPr>
                <w:sz w:val="18"/>
                <w:szCs w:val="18"/>
              </w:rPr>
              <w:br/>
              <w:t>Course completion</w:t>
            </w:r>
          </w:p>
        </w:tc>
        <w:tc>
          <w:tcPr>
            <w:tcW w:w="851" w:type="dxa"/>
            <w:hideMark/>
          </w:tcPr>
          <w:p w14:paraId="0390525E" w14:textId="77777777" w:rsidR="00EA4138" w:rsidRDefault="00EA4138">
            <w:pPr>
              <w:pStyle w:val="NormalWeb"/>
              <w:rPr>
                <w:sz w:val="18"/>
                <w:szCs w:val="18"/>
              </w:rPr>
            </w:pPr>
            <w:r>
              <w:rPr>
                <w:sz w:val="18"/>
                <w:szCs w:val="18"/>
              </w:rPr>
              <w:t>82.9</w:t>
            </w:r>
            <w:r>
              <w:rPr>
                <w:sz w:val="18"/>
                <w:szCs w:val="18"/>
              </w:rPr>
              <w:br/>
              <w:t>76.7</w:t>
            </w:r>
          </w:p>
        </w:tc>
        <w:tc>
          <w:tcPr>
            <w:tcW w:w="850" w:type="dxa"/>
            <w:hideMark/>
          </w:tcPr>
          <w:p w14:paraId="52B48384" w14:textId="77777777" w:rsidR="00EA4138" w:rsidRDefault="00EA4138">
            <w:pPr>
              <w:pStyle w:val="NormalWeb"/>
              <w:rPr>
                <w:sz w:val="18"/>
                <w:szCs w:val="18"/>
              </w:rPr>
            </w:pPr>
            <w:r>
              <w:rPr>
                <w:sz w:val="18"/>
                <w:szCs w:val="18"/>
              </w:rPr>
              <w:t>84.3</w:t>
            </w:r>
            <w:r>
              <w:rPr>
                <w:sz w:val="18"/>
                <w:szCs w:val="18"/>
              </w:rPr>
              <w:br/>
              <w:t>77.6</w:t>
            </w:r>
          </w:p>
        </w:tc>
        <w:tc>
          <w:tcPr>
            <w:tcW w:w="992" w:type="dxa"/>
            <w:hideMark/>
          </w:tcPr>
          <w:p w14:paraId="72262E99" w14:textId="77777777" w:rsidR="00EA4138" w:rsidRDefault="00EA4138">
            <w:pPr>
              <w:pStyle w:val="NormalWeb"/>
              <w:rPr>
                <w:sz w:val="18"/>
                <w:szCs w:val="18"/>
              </w:rPr>
            </w:pPr>
            <w:r>
              <w:rPr>
                <w:sz w:val="18"/>
                <w:szCs w:val="18"/>
              </w:rPr>
              <w:t>75.5</w:t>
            </w:r>
            <w:r>
              <w:rPr>
                <w:sz w:val="18"/>
                <w:szCs w:val="18"/>
              </w:rPr>
              <w:br/>
              <w:t>56.4</w:t>
            </w:r>
          </w:p>
        </w:tc>
        <w:tc>
          <w:tcPr>
            <w:tcW w:w="851" w:type="dxa"/>
            <w:hideMark/>
          </w:tcPr>
          <w:p w14:paraId="3DD6A702" w14:textId="77777777" w:rsidR="00EA4138" w:rsidRDefault="00EA4138">
            <w:pPr>
              <w:pStyle w:val="NormalWeb"/>
              <w:jc w:val="left"/>
              <w:rPr>
                <w:sz w:val="18"/>
                <w:szCs w:val="18"/>
              </w:rPr>
            </w:pPr>
            <w:r>
              <w:rPr>
                <w:sz w:val="18"/>
                <w:szCs w:val="18"/>
              </w:rPr>
              <w:t>78.7</w:t>
            </w:r>
            <w:r>
              <w:rPr>
                <w:sz w:val="18"/>
                <w:szCs w:val="18"/>
              </w:rPr>
              <w:br/>
              <w:t>60.4</w:t>
            </w:r>
          </w:p>
        </w:tc>
      </w:tr>
      <w:tr w:rsidR="00EA4138" w14:paraId="5F44093D" w14:textId="77777777" w:rsidTr="00EA4138">
        <w:tc>
          <w:tcPr>
            <w:tcW w:w="1843" w:type="dxa"/>
            <w:hideMark/>
          </w:tcPr>
          <w:p w14:paraId="001713BC" w14:textId="77777777" w:rsidR="00EA4138" w:rsidRDefault="00EA4138">
            <w:pPr>
              <w:pStyle w:val="NormalWeb"/>
              <w:jc w:val="left"/>
              <w:rPr>
                <w:sz w:val="18"/>
                <w:szCs w:val="18"/>
              </w:rPr>
            </w:pPr>
            <w:r>
              <w:rPr>
                <w:b/>
                <w:bCs/>
                <w:sz w:val="18"/>
                <w:szCs w:val="18"/>
              </w:rPr>
              <w:t>AUST</w:t>
            </w:r>
            <w:r>
              <w:rPr>
                <w:sz w:val="18"/>
                <w:szCs w:val="18"/>
              </w:rPr>
              <w:br/>
              <w:t>Dose 1</w:t>
            </w:r>
            <w:r>
              <w:rPr>
                <w:sz w:val="18"/>
                <w:szCs w:val="18"/>
              </w:rPr>
              <w:br/>
              <w:t>Course completion</w:t>
            </w:r>
          </w:p>
        </w:tc>
        <w:tc>
          <w:tcPr>
            <w:tcW w:w="851" w:type="dxa"/>
            <w:hideMark/>
          </w:tcPr>
          <w:p w14:paraId="105CC32E" w14:textId="77777777" w:rsidR="00EA4138" w:rsidRDefault="00EA4138">
            <w:pPr>
              <w:pStyle w:val="NormalWeb"/>
              <w:rPr>
                <w:sz w:val="18"/>
                <w:szCs w:val="18"/>
              </w:rPr>
            </w:pPr>
            <w:r>
              <w:rPr>
                <w:sz w:val="18"/>
                <w:szCs w:val="18"/>
              </w:rPr>
              <w:t>83.6</w:t>
            </w:r>
            <w:r>
              <w:rPr>
                <w:sz w:val="18"/>
                <w:szCs w:val="18"/>
              </w:rPr>
              <w:br/>
              <w:t>77.0</w:t>
            </w:r>
          </w:p>
        </w:tc>
        <w:tc>
          <w:tcPr>
            <w:tcW w:w="850" w:type="dxa"/>
            <w:hideMark/>
          </w:tcPr>
          <w:p w14:paraId="51B871CF" w14:textId="77777777" w:rsidR="00EA4138" w:rsidRDefault="00EA4138">
            <w:pPr>
              <w:pStyle w:val="NormalWeb"/>
              <w:rPr>
                <w:sz w:val="18"/>
                <w:szCs w:val="18"/>
              </w:rPr>
            </w:pPr>
            <w:r>
              <w:rPr>
                <w:sz w:val="18"/>
                <w:szCs w:val="18"/>
              </w:rPr>
              <w:t>84.9</w:t>
            </w:r>
            <w:r>
              <w:rPr>
                <w:sz w:val="18"/>
                <w:szCs w:val="18"/>
              </w:rPr>
              <w:br/>
              <w:t>77.6</w:t>
            </w:r>
          </w:p>
        </w:tc>
        <w:tc>
          <w:tcPr>
            <w:tcW w:w="992" w:type="dxa"/>
            <w:hideMark/>
          </w:tcPr>
          <w:p w14:paraId="2BF2FF3D" w14:textId="77777777" w:rsidR="00EA4138" w:rsidRDefault="00EA4138">
            <w:pPr>
              <w:pStyle w:val="NormalWeb"/>
              <w:rPr>
                <w:sz w:val="18"/>
                <w:szCs w:val="18"/>
              </w:rPr>
            </w:pPr>
            <w:r>
              <w:rPr>
                <w:sz w:val="18"/>
                <w:szCs w:val="18"/>
              </w:rPr>
              <w:t>81.3</w:t>
            </w:r>
            <w:r>
              <w:rPr>
                <w:sz w:val="18"/>
                <w:szCs w:val="18"/>
              </w:rPr>
              <w:br/>
              <w:t>65.4</w:t>
            </w:r>
          </w:p>
        </w:tc>
        <w:tc>
          <w:tcPr>
            <w:tcW w:w="851" w:type="dxa"/>
            <w:hideMark/>
          </w:tcPr>
          <w:p w14:paraId="2436A426" w14:textId="77777777" w:rsidR="00EA4138" w:rsidRDefault="00EA4138">
            <w:pPr>
              <w:pStyle w:val="NormalWeb"/>
              <w:jc w:val="left"/>
              <w:rPr>
                <w:sz w:val="18"/>
                <w:szCs w:val="18"/>
              </w:rPr>
            </w:pPr>
            <w:r>
              <w:rPr>
                <w:sz w:val="18"/>
                <w:szCs w:val="18"/>
              </w:rPr>
              <w:t>83.0</w:t>
            </w:r>
            <w:r>
              <w:rPr>
                <w:sz w:val="18"/>
                <w:szCs w:val="18"/>
              </w:rPr>
              <w:br/>
              <w:t>68.0</w:t>
            </w:r>
          </w:p>
        </w:tc>
      </w:tr>
    </w:tbl>
    <w:p w14:paraId="50235548" w14:textId="77777777" w:rsidR="00EA4138" w:rsidRDefault="00EA4138" w:rsidP="00EA4138">
      <w:pPr>
        <w:pStyle w:val="CDIfootnotes"/>
        <w:rPr>
          <w:lang w:val="en-GB"/>
        </w:rPr>
      </w:pPr>
      <w:r>
        <w:rPr>
          <w:lang w:val="en-GB"/>
        </w:rPr>
        <w:t>a</w:t>
      </w:r>
      <w:r>
        <w:rPr>
          <w:lang w:val="en-GB"/>
        </w:rPr>
        <w:tab/>
        <w:t>Course completion defined as receipt of two doses if dose 2 given ≥ 5 months after dose 1 or receipt of three doses if dose 2 given &lt; 5 months after dose 1.</w:t>
      </w:r>
    </w:p>
    <w:p w14:paraId="768B891D" w14:textId="77777777" w:rsidR="00EA4138" w:rsidRDefault="00EA4138" w:rsidP="00EA4138">
      <w:pPr>
        <w:pStyle w:val="CDIfootnotes"/>
        <w:rPr>
          <w:lang w:val="en-GB"/>
        </w:rPr>
      </w:pPr>
      <w:r>
        <w:rPr>
          <w:lang w:val="en-GB"/>
        </w:rPr>
        <w:t>b</w:t>
      </w:r>
      <w:r>
        <w:rPr>
          <w:lang w:val="en-GB"/>
        </w:rPr>
        <w:tab/>
        <w:t>HPV vaccinations received before fifteenth birthday in cohort born 1 January – 31 December 2004 for 2019 coverage estimates and in cohort born 1 January – 31 December 2005 for 2020 coverage estimates.</w:t>
      </w:r>
    </w:p>
    <w:p w14:paraId="62181532" w14:textId="77777777" w:rsidR="00EA4138" w:rsidRDefault="00EA4138" w:rsidP="00EA4138">
      <w:pPr>
        <w:pStyle w:val="CDIfootnotes"/>
        <w:rPr>
          <w:lang w:val="en-GB"/>
        </w:rPr>
      </w:pPr>
      <w:r>
        <w:rPr>
          <w:lang w:val="en-GB"/>
        </w:rPr>
        <w:t>c</w:t>
      </w:r>
      <w:r>
        <w:rPr>
          <w:lang w:val="en-GB"/>
        </w:rPr>
        <w:tab/>
        <w:t xml:space="preserve">Source: Australian Immunisation Register, data as </w:t>
      </w:r>
      <w:proofErr w:type="gramStart"/>
      <w:r>
        <w:rPr>
          <w:lang w:val="en-GB"/>
        </w:rPr>
        <w:t>at</w:t>
      </w:r>
      <w:proofErr w:type="gramEnd"/>
      <w:r>
        <w:rPr>
          <w:lang w:val="en-GB"/>
        </w:rPr>
        <w:t xml:space="preserve"> 31 March 2020 (for 2019 data) and as at 31 March 2021 (for 2020 data).</w:t>
      </w:r>
    </w:p>
    <w:p w14:paraId="211E089E" w14:textId="47C80936" w:rsidR="002B4EF6" w:rsidRPr="00EA4138" w:rsidRDefault="00EA4138" w:rsidP="00EA4138">
      <w:pPr>
        <w:pStyle w:val="CDIfootnotes"/>
        <w:rPr>
          <w:lang w:val="en-GB"/>
        </w:rPr>
      </w:pPr>
      <w:r>
        <w:rPr>
          <w:lang w:val="en-GB"/>
        </w:rPr>
        <w:t>d</w:t>
      </w:r>
      <w:r>
        <w:rPr>
          <w:lang w:val="en-GB"/>
        </w:rPr>
        <w:tab/>
        <w:t>ACT: Australian Capital Territory; NSW: New South Wales; NT: Northern Territory; Qld: Queensland; SA: South Australia; Tas.: Tasmania; Vic.: Victoria; WA: Western Australia; AUST: Australia.</w:t>
      </w:r>
    </w:p>
    <w:p w14:paraId="0988844E" w14:textId="77777777" w:rsidR="002B4EF6" w:rsidRDefault="002B4EF6" w:rsidP="00FD4A14">
      <w:r>
        <w:t xml:space="preserve">HPV vaccine course completion was lower in Indigenous girls in 2020 than in all girls nationally (75.0% versus 80.5%), ranging from 58.8% in South Australia to 83.5% in New South Wales (Table 5). </w:t>
      </w:r>
    </w:p>
    <w:p w14:paraId="55485304" w14:textId="77777777" w:rsidR="002B4EF6" w:rsidRDefault="002B4EF6" w:rsidP="00FD4A14">
      <w:r>
        <w:t xml:space="preserve">In 2020, a total of 77.6% of Australian boys had completed a full course of HPV vaccine by 15 years of age, up from 77.0% in 2019. Course completion varied from 70.0% in the Northern Territory to 80.6% in the Australian Capital Territory (Table 6). </w:t>
      </w:r>
    </w:p>
    <w:p w14:paraId="52A5A083" w14:textId="77777777" w:rsidR="002B4EF6" w:rsidRDefault="002B4EF6" w:rsidP="00FD4A14">
      <w:r>
        <w:t xml:space="preserve">HPV vaccine course completion was lower in Indigenous boys in 2020 than in all boys (68.0% versus 77.6%), ranging from 47.5% in South Australia to 77.3% in New South Wales (Table 6). </w:t>
      </w:r>
    </w:p>
    <w:p w14:paraId="32731132" w14:textId="77777777" w:rsidR="00432DA0" w:rsidRDefault="00432DA0">
      <w:r>
        <w:br w:type="page"/>
      </w:r>
    </w:p>
    <w:p w14:paraId="1165F2D4" w14:textId="77777777" w:rsidR="00432DA0" w:rsidRPr="004916CB" w:rsidRDefault="00432DA0" w:rsidP="00432DA0">
      <w:pPr>
        <w:pStyle w:val="CDIFigures"/>
        <w:rPr>
          <w:b w:val="0"/>
          <w:bCs/>
        </w:rPr>
      </w:pPr>
      <w:r w:rsidRPr="004916CB">
        <w:rPr>
          <w:rStyle w:val="Strong"/>
          <w:b/>
          <w:bCs w:val="0"/>
        </w:rPr>
        <w:lastRenderedPageBreak/>
        <w:t xml:space="preserve">Table 7: Number of girls aged 11–14 years who received a first dose of human papillomavirus (HPV) </w:t>
      </w:r>
      <w:proofErr w:type="spellStart"/>
      <w:proofErr w:type="gramStart"/>
      <w:r w:rsidRPr="004916CB">
        <w:rPr>
          <w:rStyle w:val="Strong"/>
          <w:b/>
          <w:bCs w:val="0"/>
        </w:rPr>
        <w:t>vaccine,</w:t>
      </w:r>
      <w:r w:rsidRPr="00A1168D">
        <w:rPr>
          <w:rStyle w:val="Strong"/>
          <w:b/>
          <w:bCs w:val="0"/>
          <w:vertAlign w:val="superscript"/>
        </w:rPr>
        <w:t>a</w:t>
      </w:r>
      <w:proofErr w:type="spellEnd"/>
      <w:proofErr w:type="gramEnd"/>
      <w:r w:rsidRPr="00A1168D">
        <w:rPr>
          <w:rStyle w:val="Strong"/>
          <w:b/>
          <w:bCs w:val="0"/>
          <w:vertAlign w:val="superscript"/>
        </w:rPr>
        <w:t xml:space="preserve"> </w:t>
      </w:r>
      <w:r w:rsidRPr="004916CB">
        <w:rPr>
          <w:rStyle w:val="Strong"/>
          <w:b/>
          <w:bCs w:val="0"/>
        </w:rPr>
        <w:t xml:space="preserve">percentage of those who received a second dose in the same calendar year, and number who received </w:t>
      </w:r>
      <w:proofErr w:type="spellStart"/>
      <w:r w:rsidRPr="004916CB">
        <w:rPr>
          <w:rStyle w:val="Strong"/>
          <w:b/>
          <w:bCs w:val="0"/>
        </w:rPr>
        <w:t>dTpa</w:t>
      </w:r>
      <w:proofErr w:type="spellEnd"/>
      <w:r w:rsidRPr="004916CB">
        <w:rPr>
          <w:rStyle w:val="Strong"/>
          <w:b/>
          <w:bCs w:val="0"/>
        </w:rPr>
        <w:t xml:space="preserve"> </w:t>
      </w:r>
      <w:proofErr w:type="spellStart"/>
      <w:r w:rsidRPr="004916CB">
        <w:rPr>
          <w:rStyle w:val="Strong"/>
          <w:b/>
          <w:bCs w:val="0"/>
        </w:rPr>
        <w:t>vaccine,</w:t>
      </w:r>
      <w:r w:rsidRPr="00A1168D">
        <w:rPr>
          <w:rStyle w:val="Strong"/>
          <w:b/>
          <w:bCs w:val="0"/>
          <w:vertAlign w:val="superscript"/>
        </w:rPr>
        <w:t>b</w:t>
      </w:r>
      <w:proofErr w:type="spellEnd"/>
      <w:r w:rsidRPr="004916CB">
        <w:rPr>
          <w:rStyle w:val="Strong"/>
          <w:b/>
          <w:bCs w:val="0"/>
        </w:rPr>
        <w:t xml:space="preserve"> by Indigenous status and jurisdiction, Australia, 2019 and 2020</w:t>
      </w:r>
    </w:p>
    <w:tbl>
      <w:tblPr>
        <w:tblStyle w:val="CDI-StandardTable"/>
        <w:tblW w:w="10348" w:type="dxa"/>
        <w:tblCellMar>
          <w:left w:w="113" w:type="dxa"/>
          <w:right w:w="113" w:type="dxa"/>
        </w:tblCellMar>
        <w:tblLook w:val="04A0" w:firstRow="1" w:lastRow="0" w:firstColumn="1" w:lastColumn="0" w:noHBand="0" w:noVBand="1"/>
        <w:tblDescription w:val="Table 7 presents the number of girls aged 11-&lt;15 years who received a first dose of HPV vaccine, the percentage of those who received a second dose in the same calendar year, and the number who received dTpa vaccine, by Indigenous status and jurisdiction, Australia, 2019 versus 2020.&#10;"/>
      </w:tblPr>
      <w:tblGrid>
        <w:gridCol w:w="1129"/>
        <w:gridCol w:w="1536"/>
        <w:gridCol w:w="1536"/>
        <w:gridCol w:w="1537"/>
        <w:gridCol w:w="1536"/>
        <w:gridCol w:w="1536"/>
        <w:gridCol w:w="1538"/>
      </w:tblGrid>
      <w:tr w:rsidR="00432DA0" w14:paraId="0DF4CE27" w14:textId="77777777" w:rsidTr="004303AF">
        <w:trPr>
          <w:cnfStyle w:val="100000000000" w:firstRow="1" w:lastRow="0" w:firstColumn="0" w:lastColumn="0" w:oddVBand="0" w:evenVBand="0" w:oddHBand="0" w:evenHBand="0" w:firstRowFirstColumn="0" w:firstRowLastColumn="0" w:lastRowFirstColumn="0" w:lastRowLastColumn="0"/>
          <w:tblHeader/>
        </w:trPr>
        <w:tc>
          <w:tcPr>
            <w:tcW w:w="10348" w:type="dxa"/>
            <w:gridSpan w:val="7"/>
            <w:tcBorders>
              <w:top w:val="nil"/>
              <w:left w:val="nil"/>
              <w:right w:val="nil"/>
            </w:tcBorders>
            <w:hideMark/>
          </w:tcPr>
          <w:p w14:paraId="0F215CE1" w14:textId="77777777" w:rsidR="00432DA0" w:rsidRDefault="00432DA0" w:rsidP="00D553FC">
            <w:pPr>
              <w:pStyle w:val="NormalWeb"/>
              <w:jc w:val="left"/>
              <w:rPr>
                <w:sz w:val="18"/>
                <w:szCs w:val="18"/>
              </w:rPr>
            </w:pPr>
            <w:r>
              <w:rPr>
                <w:sz w:val="18"/>
                <w:szCs w:val="18"/>
              </w:rPr>
              <w:t>All girls aged 11–14 years</w:t>
            </w:r>
          </w:p>
        </w:tc>
      </w:tr>
      <w:tr w:rsidR="00432DA0" w14:paraId="102957F4" w14:textId="77777777" w:rsidTr="004303AF">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left w:val="nil"/>
              <w:bottom w:val="nil"/>
            </w:tcBorders>
            <w:hideMark/>
          </w:tcPr>
          <w:p w14:paraId="03955A4E" w14:textId="77777777" w:rsidR="00432DA0" w:rsidRDefault="00432DA0">
            <w:pPr>
              <w:pStyle w:val="NormalWeb"/>
              <w:rPr>
                <w:sz w:val="18"/>
                <w:szCs w:val="18"/>
              </w:rPr>
            </w:pPr>
            <w:proofErr w:type="spellStart"/>
            <w:r>
              <w:rPr>
                <w:sz w:val="18"/>
                <w:szCs w:val="18"/>
              </w:rPr>
              <w:t>Jurisdiction</w:t>
            </w:r>
            <w:r>
              <w:rPr>
                <w:sz w:val="18"/>
                <w:szCs w:val="18"/>
                <w:vertAlign w:val="superscript"/>
              </w:rPr>
              <w:t>c</w:t>
            </w:r>
            <w:proofErr w:type="spellEnd"/>
          </w:p>
        </w:tc>
        <w:tc>
          <w:tcPr>
            <w:tcW w:w="4609" w:type="dxa"/>
            <w:gridSpan w:val="3"/>
            <w:hideMark/>
          </w:tcPr>
          <w:p w14:paraId="13B6154A" w14:textId="77777777" w:rsidR="00432DA0" w:rsidRDefault="00432DA0">
            <w:pPr>
              <w:pStyle w:val="NormalWeb"/>
              <w:rPr>
                <w:sz w:val="18"/>
                <w:szCs w:val="18"/>
              </w:rPr>
            </w:pPr>
            <w:r>
              <w:rPr>
                <w:sz w:val="18"/>
                <w:szCs w:val="18"/>
              </w:rPr>
              <w:t>2019</w:t>
            </w:r>
          </w:p>
        </w:tc>
        <w:tc>
          <w:tcPr>
            <w:tcW w:w="4610" w:type="dxa"/>
            <w:gridSpan w:val="3"/>
            <w:tcBorders>
              <w:right w:val="nil"/>
            </w:tcBorders>
            <w:hideMark/>
          </w:tcPr>
          <w:p w14:paraId="4B5B7F24" w14:textId="77777777" w:rsidR="00432DA0" w:rsidRDefault="00432DA0">
            <w:pPr>
              <w:pStyle w:val="NormalWeb"/>
              <w:rPr>
                <w:sz w:val="18"/>
                <w:szCs w:val="18"/>
              </w:rPr>
            </w:pPr>
            <w:r>
              <w:rPr>
                <w:sz w:val="18"/>
                <w:szCs w:val="18"/>
              </w:rPr>
              <w:t>2020</w:t>
            </w:r>
          </w:p>
        </w:tc>
      </w:tr>
      <w:tr w:rsidR="00432DA0" w14:paraId="640C65C0" w14:textId="77777777" w:rsidTr="004303AF">
        <w:trPr>
          <w:cnfStyle w:val="100000000000" w:firstRow="1" w:lastRow="0" w:firstColumn="0" w:lastColumn="0" w:oddVBand="0" w:evenVBand="0" w:oddHBand="0" w:evenHBand="0" w:firstRowFirstColumn="0" w:firstRowLastColumn="0" w:lastRowFirstColumn="0" w:lastRowLastColumn="0"/>
          <w:tblHeader/>
        </w:trPr>
        <w:tc>
          <w:tcPr>
            <w:tcW w:w="0" w:type="auto"/>
            <w:vMerge/>
            <w:tcBorders>
              <w:left w:val="nil"/>
              <w:bottom w:val="nil"/>
            </w:tcBorders>
            <w:hideMark/>
          </w:tcPr>
          <w:p w14:paraId="1D1FF73F" w14:textId="77777777" w:rsidR="00432DA0" w:rsidRDefault="00432DA0">
            <w:pPr>
              <w:rPr>
                <w:sz w:val="18"/>
                <w:szCs w:val="18"/>
              </w:rPr>
            </w:pPr>
          </w:p>
        </w:tc>
        <w:tc>
          <w:tcPr>
            <w:tcW w:w="1536" w:type="dxa"/>
            <w:tcBorders>
              <w:bottom w:val="nil"/>
            </w:tcBorders>
            <w:hideMark/>
          </w:tcPr>
          <w:p w14:paraId="6E5CE9ED" w14:textId="77777777" w:rsidR="00432DA0" w:rsidRDefault="00432DA0">
            <w:pPr>
              <w:pStyle w:val="NormalWeb"/>
              <w:rPr>
                <w:sz w:val="18"/>
                <w:szCs w:val="18"/>
              </w:rPr>
            </w:pPr>
            <w:r>
              <w:rPr>
                <w:sz w:val="18"/>
                <w:szCs w:val="18"/>
              </w:rPr>
              <w:t>HPV</w:t>
            </w:r>
            <w:r>
              <w:rPr>
                <w:sz w:val="18"/>
                <w:szCs w:val="18"/>
              </w:rPr>
              <w:br/>
              <w:t>dose 1</w:t>
            </w:r>
            <w:r>
              <w:rPr>
                <w:sz w:val="18"/>
                <w:szCs w:val="18"/>
              </w:rPr>
              <w:br/>
              <w:t>(n)</w:t>
            </w:r>
          </w:p>
        </w:tc>
        <w:tc>
          <w:tcPr>
            <w:tcW w:w="1536" w:type="dxa"/>
            <w:tcBorders>
              <w:bottom w:val="nil"/>
            </w:tcBorders>
            <w:hideMark/>
          </w:tcPr>
          <w:p w14:paraId="7D871238" w14:textId="77777777" w:rsidR="00432DA0" w:rsidRDefault="00432DA0">
            <w:pPr>
              <w:pStyle w:val="NormalWeb"/>
              <w:rPr>
                <w:sz w:val="18"/>
                <w:szCs w:val="18"/>
              </w:rPr>
            </w:pPr>
            <w:r>
              <w:rPr>
                <w:sz w:val="18"/>
                <w:szCs w:val="18"/>
              </w:rPr>
              <w:t>% received HPV</w:t>
            </w:r>
            <w:r>
              <w:rPr>
                <w:sz w:val="18"/>
                <w:szCs w:val="18"/>
              </w:rPr>
              <w:br/>
              <w:t>dose 2</w:t>
            </w:r>
            <w:r>
              <w:rPr>
                <w:sz w:val="18"/>
                <w:szCs w:val="18"/>
                <w:vertAlign w:val="superscript"/>
              </w:rPr>
              <w:t>d</w:t>
            </w:r>
          </w:p>
        </w:tc>
        <w:tc>
          <w:tcPr>
            <w:tcW w:w="1537" w:type="dxa"/>
            <w:tcBorders>
              <w:bottom w:val="nil"/>
            </w:tcBorders>
            <w:hideMark/>
          </w:tcPr>
          <w:p w14:paraId="41D2E88D" w14:textId="77777777" w:rsidR="00432DA0" w:rsidRDefault="00432DA0">
            <w:pPr>
              <w:pStyle w:val="NormalWeb"/>
              <w:rPr>
                <w:sz w:val="18"/>
                <w:szCs w:val="18"/>
              </w:rPr>
            </w:pPr>
            <w:proofErr w:type="spellStart"/>
            <w:r>
              <w:rPr>
                <w:sz w:val="18"/>
                <w:szCs w:val="18"/>
              </w:rPr>
              <w:t>dTpa</w:t>
            </w:r>
            <w:proofErr w:type="spellEnd"/>
            <w:r>
              <w:rPr>
                <w:sz w:val="18"/>
                <w:szCs w:val="18"/>
              </w:rPr>
              <w:br/>
              <w:t>(n)</w:t>
            </w:r>
          </w:p>
        </w:tc>
        <w:tc>
          <w:tcPr>
            <w:tcW w:w="1536" w:type="dxa"/>
            <w:tcBorders>
              <w:bottom w:val="nil"/>
            </w:tcBorders>
            <w:hideMark/>
          </w:tcPr>
          <w:p w14:paraId="53304CF4" w14:textId="77777777" w:rsidR="00432DA0" w:rsidRDefault="00432DA0">
            <w:pPr>
              <w:pStyle w:val="NormalWeb"/>
              <w:rPr>
                <w:sz w:val="18"/>
                <w:szCs w:val="18"/>
              </w:rPr>
            </w:pPr>
            <w:r>
              <w:rPr>
                <w:sz w:val="18"/>
                <w:szCs w:val="18"/>
              </w:rPr>
              <w:t>HPV</w:t>
            </w:r>
            <w:r>
              <w:rPr>
                <w:sz w:val="18"/>
                <w:szCs w:val="18"/>
              </w:rPr>
              <w:br/>
              <w:t>dose 1</w:t>
            </w:r>
            <w:r>
              <w:rPr>
                <w:sz w:val="18"/>
                <w:szCs w:val="18"/>
              </w:rPr>
              <w:br/>
              <w:t>(n)</w:t>
            </w:r>
          </w:p>
        </w:tc>
        <w:tc>
          <w:tcPr>
            <w:tcW w:w="1536" w:type="dxa"/>
            <w:tcBorders>
              <w:bottom w:val="nil"/>
            </w:tcBorders>
            <w:hideMark/>
          </w:tcPr>
          <w:p w14:paraId="7F04FD69" w14:textId="77777777" w:rsidR="00432DA0" w:rsidRDefault="00432DA0">
            <w:pPr>
              <w:pStyle w:val="NormalWeb"/>
              <w:rPr>
                <w:sz w:val="18"/>
                <w:szCs w:val="18"/>
              </w:rPr>
            </w:pPr>
            <w:r>
              <w:rPr>
                <w:sz w:val="18"/>
                <w:szCs w:val="18"/>
              </w:rPr>
              <w:t>% received HPV</w:t>
            </w:r>
            <w:r>
              <w:rPr>
                <w:sz w:val="18"/>
                <w:szCs w:val="18"/>
              </w:rPr>
              <w:br/>
              <w:t>dose 2d</w:t>
            </w:r>
          </w:p>
        </w:tc>
        <w:tc>
          <w:tcPr>
            <w:tcW w:w="1538" w:type="dxa"/>
            <w:tcBorders>
              <w:bottom w:val="nil"/>
              <w:right w:val="nil"/>
            </w:tcBorders>
            <w:hideMark/>
          </w:tcPr>
          <w:p w14:paraId="7D7A9E00" w14:textId="77777777" w:rsidR="00432DA0" w:rsidRDefault="00432DA0">
            <w:pPr>
              <w:pStyle w:val="NormalWeb"/>
              <w:rPr>
                <w:sz w:val="18"/>
                <w:szCs w:val="18"/>
              </w:rPr>
            </w:pPr>
            <w:proofErr w:type="spellStart"/>
            <w:r>
              <w:rPr>
                <w:sz w:val="18"/>
                <w:szCs w:val="18"/>
              </w:rPr>
              <w:t>dTpa</w:t>
            </w:r>
            <w:proofErr w:type="spellEnd"/>
            <w:r>
              <w:rPr>
                <w:sz w:val="18"/>
                <w:szCs w:val="18"/>
              </w:rPr>
              <w:br/>
              <w:t>(n)</w:t>
            </w:r>
          </w:p>
        </w:tc>
      </w:tr>
      <w:tr w:rsidR="00432DA0" w14:paraId="451E7E89" w14:textId="77777777" w:rsidTr="004303AF">
        <w:tc>
          <w:tcPr>
            <w:tcW w:w="0" w:type="auto"/>
            <w:hideMark/>
          </w:tcPr>
          <w:p w14:paraId="4AA86B6A" w14:textId="77777777" w:rsidR="00432DA0" w:rsidRDefault="00432DA0">
            <w:pPr>
              <w:pStyle w:val="NormalWeb"/>
              <w:jc w:val="left"/>
              <w:rPr>
                <w:b/>
                <w:bCs/>
                <w:sz w:val="18"/>
                <w:szCs w:val="18"/>
              </w:rPr>
            </w:pPr>
            <w:r>
              <w:rPr>
                <w:b/>
                <w:bCs/>
                <w:sz w:val="18"/>
                <w:szCs w:val="18"/>
              </w:rPr>
              <w:t>ACT</w:t>
            </w:r>
          </w:p>
        </w:tc>
        <w:tc>
          <w:tcPr>
            <w:tcW w:w="1536" w:type="dxa"/>
            <w:hideMark/>
          </w:tcPr>
          <w:p w14:paraId="3A2D943B" w14:textId="77777777" w:rsidR="00432DA0" w:rsidRDefault="00432DA0">
            <w:pPr>
              <w:pStyle w:val="NormalWeb"/>
              <w:rPr>
                <w:sz w:val="18"/>
                <w:szCs w:val="18"/>
              </w:rPr>
            </w:pPr>
            <w:r>
              <w:rPr>
                <w:sz w:val="18"/>
                <w:szCs w:val="18"/>
              </w:rPr>
              <w:t>2,422</w:t>
            </w:r>
          </w:p>
        </w:tc>
        <w:tc>
          <w:tcPr>
            <w:tcW w:w="1536" w:type="dxa"/>
            <w:hideMark/>
          </w:tcPr>
          <w:p w14:paraId="019C634B" w14:textId="77777777" w:rsidR="00432DA0" w:rsidRDefault="00432DA0">
            <w:pPr>
              <w:pStyle w:val="NormalWeb"/>
              <w:rPr>
                <w:sz w:val="18"/>
                <w:szCs w:val="18"/>
              </w:rPr>
            </w:pPr>
            <w:r>
              <w:rPr>
                <w:sz w:val="18"/>
                <w:szCs w:val="18"/>
              </w:rPr>
              <w:t>85.8</w:t>
            </w:r>
          </w:p>
        </w:tc>
        <w:tc>
          <w:tcPr>
            <w:tcW w:w="1537" w:type="dxa"/>
            <w:hideMark/>
          </w:tcPr>
          <w:p w14:paraId="6799EF23" w14:textId="77777777" w:rsidR="00432DA0" w:rsidRDefault="00432DA0">
            <w:pPr>
              <w:pStyle w:val="NormalWeb"/>
              <w:rPr>
                <w:sz w:val="18"/>
                <w:szCs w:val="18"/>
              </w:rPr>
            </w:pPr>
            <w:r>
              <w:rPr>
                <w:sz w:val="18"/>
                <w:szCs w:val="18"/>
              </w:rPr>
              <w:t>2,508</w:t>
            </w:r>
          </w:p>
        </w:tc>
        <w:tc>
          <w:tcPr>
            <w:tcW w:w="1536" w:type="dxa"/>
            <w:hideMark/>
          </w:tcPr>
          <w:p w14:paraId="17780914" w14:textId="77777777" w:rsidR="00432DA0" w:rsidRDefault="00432DA0">
            <w:pPr>
              <w:pStyle w:val="NormalWeb"/>
              <w:rPr>
                <w:sz w:val="18"/>
                <w:szCs w:val="18"/>
              </w:rPr>
            </w:pPr>
            <w:r>
              <w:rPr>
                <w:sz w:val="18"/>
                <w:szCs w:val="18"/>
              </w:rPr>
              <w:t>2,499</w:t>
            </w:r>
          </w:p>
        </w:tc>
        <w:tc>
          <w:tcPr>
            <w:tcW w:w="1536" w:type="dxa"/>
            <w:hideMark/>
          </w:tcPr>
          <w:p w14:paraId="730110C4" w14:textId="77777777" w:rsidR="00432DA0" w:rsidRDefault="00432DA0">
            <w:pPr>
              <w:pStyle w:val="NormalWeb"/>
              <w:rPr>
                <w:sz w:val="18"/>
                <w:szCs w:val="18"/>
              </w:rPr>
            </w:pPr>
            <w:r>
              <w:rPr>
                <w:sz w:val="18"/>
                <w:szCs w:val="18"/>
              </w:rPr>
              <w:t>86.4</w:t>
            </w:r>
          </w:p>
        </w:tc>
        <w:tc>
          <w:tcPr>
            <w:tcW w:w="1538" w:type="dxa"/>
            <w:hideMark/>
          </w:tcPr>
          <w:p w14:paraId="0AED1A81" w14:textId="77777777" w:rsidR="00432DA0" w:rsidRDefault="00432DA0">
            <w:pPr>
              <w:pStyle w:val="NormalWeb"/>
              <w:rPr>
                <w:sz w:val="18"/>
                <w:szCs w:val="18"/>
              </w:rPr>
            </w:pPr>
            <w:r>
              <w:rPr>
                <w:sz w:val="18"/>
                <w:szCs w:val="18"/>
              </w:rPr>
              <w:t>2,382</w:t>
            </w:r>
          </w:p>
        </w:tc>
      </w:tr>
      <w:tr w:rsidR="00432DA0" w14:paraId="030061D2" w14:textId="77777777" w:rsidTr="004303AF">
        <w:trPr>
          <w:cnfStyle w:val="000000010000" w:firstRow="0" w:lastRow="0" w:firstColumn="0" w:lastColumn="0" w:oddVBand="0" w:evenVBand="0" w:oddHBand="0" w:evenHBand="1" w:firstRowFirstColumn="0" w:firstRowLastColumn="0" w:lastRowFirstColumn="0" w:lastRowLastColumn="0"/>
        </w:trPr>
        <w:tc>
          <w:tcPr>
            <w:tcW w:w="0" w:type="auto"/>
            <w:hideMark/>
          </w:tcPr>
          <w:p w14:paraId="3DE92609" w14:textId="77777777" w:rsidR="00432DA0" w:rsidRDefault="00432DA0">
            <w:pPr>
              <w:pStyle w:val="NormalWeb"/>
              <w:jc w:val="left"/>
              <w:rPr>
                <w:b/>
                <w:bCs/>
                <w:sz w:val="18"/>
                <w:szCs w:val="18"/>
              </w:rPr>
            </w:pPr>
            <w:r>
              <w:rPr>
                <w:b/>
                <w:bCs/>
                <w:sz w:val="18"/>
                <w:szCs w:val="18"/>
              </w:rPr>
              <w:t>NSW</w:t>
            </w:r>
          </w:p>
        </w:tc>
        <w:tc>
          <w:tcPr>
            <w:tcW w:w="1536" w:type="dxa"/>
            <w:hideMark/>
          </w:tcPr>
          <w:p w14:paraId="34650010" w14:textId="77777777" w:rsidR="00432DA0" w:rsidRDefault="00432DA0">
            <w:pPr>
              <w:pStyle w:val="NormalWeb"/>
              <w:rPr>
                <w:sz w:val="18"/>
                <w:szCs w:val="18"/>
              </w:rPr>
            </w:pPr>
            <w:r>
              <w:rPr>
                <w:sz w:val="18"/>
                <w:szCs w:val="18"/>
              </w:rPr>
              <w:t>44,284</w:t>
            </w:r>
          </w:p>
        </w:tc>
        <w:tc>
          <w:tcPr>
            <w:tcW w:w="1536" w:type="dxa"/>
            <w:hideMark/>
          </w:tcPr>
          <w:p w14:paraId="21C022A8" w14:textId="77777777" w:rsidR="00432DA0" w:rsidRDefault="00432DA0">
            <w:pPr>
              <w:pStyle w:val="NormalWeb"/>
              <w:rPr>
                <w:sz w:val="18"/>
                <w:szCs w:val="18"/>
              </w:rPr>
            </w:pPr>
            <w:r>
              <w:rPr>
                <w:sz w:val="18"/>
                <w:szCs w:val="18"/>
              </w:rPr>
              <w:t>85.5</w:t>
            </w:r>
          </w:p>
        </w:tc>
        <w:tc>
          <w:tcPr>
            <w:tcW w:w="1537" w:type="dxa"/>
            <w:hideMark/>
          </w:tcPr>
          <w:p w14:paraId="62FE4D63" w14:textId="77777777" w:rsidR="00432DA0" w:rsidRDefault="00432DA0">
            <w:pPr>
              <w:pStyle w:val="NormalWeb"/>
              <w:rPr>
                <w:sz w:val="18"/>
                <w:szCs w:val="18"/>
              </w:rPr>
            </w:pPr>
            <w:r>
              <w:rPr>
                <w:sz w:val="18"/>
                <w:szCs w:val="18"/>
              </w:rPr>
              <w:t>45,454</w:t>
            </w:r>
          </w:p>
        </w:tc>
        <w:tc>
          <w:tcPr>
            <w:tcW w:w="1536" w:type="dxa"/>
            <w:hideMark/>
          </w:tcPr>
          <w:p w14:paraId="50EBBE4F" w14:textId="77777777" w:rsidR="00432DA0" w:rsidRDefault="00432DA0">
            <w:pPr>
              <w:pStyle w:val="NormalWeb"/>
              <w:rPr>
                <w:sz w:val="18"/>
                <w:szCs w:val="18"/>
              </w:rPr>
            </w:pPr>
            <w:r>
              <w:rPr>
                <w:sz w:val="18"/>
                <w:szCs w:val="18"/>
              </w:rPr>
              <w:t>41,100</w:t>
            </w:r>
          </w:p>
        </w:tc>
        <w:tc>
          <w:tcPr>
            <w:tcW w:w="1536" w:type="dxa"/>
            <w:hideMark/>
          </w:tcPr>
          <w:p w14:paraId="7EF0B363" w14:textId="77777777" w:rsidR="00432DA0" w:rsidRDefault="00432DA0">
            <w:pPr>
              <w:pStyle w:val="NormalWeb"/>
              <w:rPr>
                <w:sz w:val="18"/>
                <w:szCs w:val="18"/>
              </w:rPr>
            </w:pPr>
            <w:r>
              <w:rPr>
                <w:sz w:val="18"/>
                <w:szCs w:val="18"/>
              </w:rPr>
              <w:t>71.6</w:t>
            </w:r>
          </w:p>
        </w:tc>
        <w:tc>
          <w:tcPr>
            <w:tcW w:w="1538" w:type="dxa"/>
            <w:hideMark/>
          </w:tcPr>
          <w:p w14:paraId="731EE33C" w14:textId="77777777" w:rsidR="00432DA0" w:rsidRDefault="00432DA0">
            <w:pPr>
              <w:pStyle w:val="NormalWeb"/>
              <w:rPr>
                <w:sz w:val="18"/>
                <w:szCs w:val="18"/>
              </w:rPr>
            </w:pPr>
            <w:r>
              <w:rPr>
                <w:sz w:val="18"/>
                <w:szCs w:val="18"/>
              </w:rPr>
              <w:t>41,421</w:t>
            </w:r>
          </w:p>
        </w:tc>
      </w:tr>
      <w:tr w:rsidR="00432DA0" w14:paraId="21D87662" w14:textId="77777777" w:rsidTr="004303AF">
        <w:tc>
          <w:tcPr>
            <w:tcW w:w="0" w:type="auto"/>
            <w:hideMark/>
          </w:tcPr>
          <w:p w14:paraId="40B573DB" w14:textId="77777777" w:rsidR="00432DA0" w:rsidRDefault="00432DA0">
            <w:pPr>
              <w:pStyle w:val="NormalWeb"/>
              <w:jc w:val="left"/>
              <w:rPr>
                <w:b/>
                <w:bCs/>
                <w:sz w:val="18"/>
                <w:szCs w:val="18"/>
              </w:rPr>
            </w:pPr>
            <w:r>
              <w:rPr>
                <w:b/>
                <w:bCs/>
                <w:sz w:val="18"/>
                <w:szCs w:val="18"/>
              </w:rPr>
              <w:t>NT</w:t>
            </w:r>
          </w:p>
        </w:tc>
        <w:tc>
          <w:tcPr>
            <w:tcW w:w="1536" w:type="dxa"/>
            <w:hideMark/>
          </w:tcPr>
          <w:p w14:paraId="0C2A65BE" w14:textId="77777777" w:rsidR="00432DA0" w:rsidRDefault="00432DA0">
            <w:pPr>
              <w:pStyle w:val="NormalWeb"/>
              <w:rPr>
                <w:sz w:val="18"/>
                <w:szCs w:val="18"/>
              </w:rPr>
            </w:pPr>
            <w:r>
              <w:rPr>
                <w:sz w:val="18"/>
                <w:szCs w:val="18"/>
              </w:rPr>
              <w:t>1,490</w:t>
            </w:r>
          </w:p>
        </w:tc>
        <w:tc>
          <w:tcPr>
            <w:tcW w:w="1536" w:type="dxa"/>
            <w:hideMark/>
          </w:tcPr>
          <w:p w14:paraId="518DD196" w14:textId="77777777" w:rsidR="00432DA0" w:rsidRDefault="00432DA0">
            <w:pPr>
              <w:pStyle w:val="NormalWeb"/>
              <w:rPr>
                <w:sz w:val="18"/>
                <w:szCs w:val="18"/>
              </w:rPr>
            </w:pPr>
            <w:r>
              <w:rPr>
                <w:sz w:val="18"/>
                <w:szCs w:val="18"/>
              </w:rPr>
              <w:t>66.0</w:t>
            </w:r>
          </w:p>
        </w:tc>
        <w:tc>
          <w:tcPr>
            <w:tcW w:w="1537" w:type="dxa"/>
            <w:hideMark/>
          </w:tcPr>
          <w:p w14:paraId="48AE3DBC" w14:textId="77777777" w:rsidR="00432DA0" w:rsidRDefault="00432DA0">
            <w:pPr>
              <w:pStyle w:val="NormalWeb"/>
              <w:rPr>
                <w:sz w:val="18"/>
                <w:szCs w:val="18"/>
              </w:rPr>
            </w:pPr>
            <w:r>
              <w:rPr>
                <w:sz w:val="18"/>
                <w:szCs w:val="18"/>
              </w:rPr>
              <w:t>1,525</w:t>
            </w:r>
          </w:p>
        </w:tc>
        <w:tc>
          <w:tcPr>
            <w:tcW w:w="1536" w:type="dxa"/>
            <w:hideMark/>
          </w:tcPr>
          <w:p w14:paraId="5F8331C2" w14:textId="77777777" w:rsidR="00432DA0" w:rsidRDefault="00432DA0">
            <w:pPr>
              <w:pStyle w:val="NormalWeb"/>
              <w:rPr>
                <w:sz w:val="18"/>
                <w:szCs w:val="18"/>
              </w:rPr>
            </w:pPr>
            <w:r>
              <w:rPr>
                <w:sz w:val="18"/>
                <w:szCs w:val="18"/>
              </w:rPr>
              <w:t>1,411</w:t>
            </w:r>
          </w:p>
        </w:tc>
        <w:tc>
          <w:tcPr>
            <w:tcW w:w="1536" w:type="dxa"/>
            <w:hideMark/>
          </w:tcPr>
          <w:p w14:paraId="4718BEDC" w14:textId="77777777" w:rsidR="00432DA0" w:rsidRDefault="00432DA0">
            <w:pPr>
              <w:pStyle w:val="NormalWeb"/>
              <w:rPr>
                <w:sz w:val="18"/>
                <w:szCs w:val="18"/>
              </w:rPr>
            </w:pPr>
            <w:r>
              <w:rPr>
                <w:sz w:val="18"/>
                <w:szCs w:val="18"/>
              </w:rPr>
              <w:t>60.8</w:t>
            </w:r>
          </w:p>
        </w:tc>
        <w:tc>
          <w:tcPr>
            <w:tcW w:w="1538" w:type="dxa"/>
            <w:hideMark/>
          </w:tcPr>
          <w:p w14:paraId="1B5EE088" w14:textId="77777777" w:rsidR="00432DA0" w:rsidRDefault="00432DA0">
            <w:pPr>
              <w:pStyle w:val="NormalWeb"/>
              <w:rPr>
                <w:sz w:val="18"/>
                <w:szCs w:val="18"/>
              </w:rPr>
            </w:pPr>
            <w:r>
              <w:rPr>
                <w:sz w:val="18"/>
                <w:szCs w:val="18"/>
              </w:rPr>
              <w:t>1,426</w:t>
            </w:r>
          </w:p>
        </w:tc>
      </w:tr>
      <w:tr w:rsidR="00432DA0" w14:paraId="419EEA84" w14:textId="77777777" w:rsidTr="004303AF">
        <w:trPr>
          <w:cnfStyle w:val="000000010000" w:firstRow="0" w:lastRow="0" w:firstColumn="0" w:lastColumn="0" w:oddVBand="0" w:evenVBand="0" w:oddHBand="0" w:evenHBand="1" w:firstRowFirstColumn="0" w:firstRowLastColumn="0" w:lastRowFirstColumn="0" w:lastRowLastColumn="0"/>
        </w:trPr>
        <w:tc>
          <w:tcPr>
            <w:tcW w:w="0" w:type="auto"/>
            <w:hideMark/>
          </w:tcPr>
          <w:p w14:paraId="08425131" w14:textId="77777777" w:rsidR="00432DA0" w:rsidRDefault="00432DA0">
            <w:pPr>
              <w:pStyle w:val="NormalWeb"/>
              <w:jc w:val="left"/>
              <w:rPr>
                <w:b/>
                <w:bCs/>
                <w:sz w:val="18"/>
                <w:szCs w:val="18"/>
              </w:rPr>
            </w:pPr>
            <w:r>
              <w:rPr>
                <w:b/>
                <w:bCs/>
                <w:sz w:val="18"/>
                <w:szCs w:val="18"/>
              </w:rPr>
              <w:t>Qld</w:t>
            </w:r>
          </w:p>
        </w:tc>
        <w:tc>
          <w:tcPr>
            <w:tcW w:w="1536" w:type="dxa"/>
            <w:hideMark/>
          </w:tcPr>
          <w:p w14:paraId="73317221" w14:textId="77777777" w:rsidR="00432DA0" w:rsidRDefault="00432DA0">
            <w:pPr>
              <w:pStyle w:val="NormalWeb"/>
              <w:rPr>
                <w:sz w:val="18"/>
                <w:szCs w:val="18"/>
              </w:rPr>
            </w:pPr>
            <w:r>
              <w:rPr>
                <w:sz w:val="18"/>
                <w:szCs w:val="18"/>
              </w:rPr>
              <w:t>29,414</w:t>
            </w:r>
          </w:p>
        </w:tc>
        <w:tc>
          <w:tcPr>
            <w:tcW w:w="1536" w:type="dxa"/>
            <w:hideMark/>
          </w:tcPr>
          <w:p w14:paraId="4AF45812" w14:textId="77777777" w:rsidR="00432DA0" w:rsidRDefault="00432DA0">
            <w:pPr>
              <w:pStyle w:val="NormalWeb"/>
              <w:rPr>
                <w:sz w:val="18"/>
                <w:szCs w:val="18"/>
              </w:rPr>
            </w:pPr>
            <w:r>
              <w:rPr>
                <w:sz w:val="18"/>
                <w:szCs w:val="18"/>
              </w:rPr>
              <w:t>84.3</w:t>
            </w:r>
          </w:p>
        </w:tc>
        <w:tc>
          <w:tcPr>
            <w:tcW w:w="1537" w:type="dxa"/>
            <w:hideMark/>
          </w:tcPr>
          <w:p w14:paraId="1AE37C97" w14:textId="77777777" w:rsidR="00432DA0" w:rsidRDefault="00432DA0">
            <w:pPr>
              <w:pStyle w:val="NormalWeb"/>
              <w:rPr>
                <w:sz w:val="18"/>
                <w:szCs w:val="18"/>
              </w:rPr>
            </w:pPr>
            <w:r>
              <w:rPr>
                <w:sz w:val="18"/>
                <w:szCs w:val="18"/>
              </w:rPr>
              <w:t>30,286</w:t>
            </w:r>
          </w:p>
        </w:tc>
        <w:tc>
          <w:tcPr>
            <w:tcW w:w="1536" w:type="dxa"/>
            <w:hideMark/>
          </w:tcPr>
          <w:p w14:paraId="242F5C5D" w14:textId="77777777" w:rsidR="00432DA0" w:rsidRDefault="00432DA0">
            <w:pPr>
              <w:pStyle w:val="NormalWeb"/>
              <w:rPr>
                <w:sz w:val="18"/>
                <w:szCs w:val="18"/>
              </w:rPr>
            </w:pPr>
            <w:r>
              <w:rPr>
                <w:sz w:val="18"/>
                <w:szCs w:val="18"/>
              </w:rPr>
              <w:t>29,143</w:t>
            </w:r>
          </w:p>
        </w:tc>
        <w:tc>
          <w:tcPr>
            <w:tcW w:w="1536" w:type="dxa"/>
            <w:hideMark/>
          </w:tcPr>
          <w:p w14:paraId="47F71568" w14:textId="77777777" w:rsidR="00432DA0" w:rsidRDefault="00432DA0">
            <w:pPr>
              <w:pStyle w:val="NormalWeb"/>
              <w:rPr>
                <w:sz w:val="18"/>
                <w:szCs w:val="18"/>
              </w:rPr>
            </w:pPr>
            <w:r>
              <w:rPr>
                <w:sz w:val="18"/>
                <w:szCs w:val="18"/>
              </w:rPr>
              <w:t>79.0</w:t>
            </w:r>
          </w:p>
        </w:tc>
        <w:tc>
          <w:tcPr>
            <w:tcW w:w="1538" w:type="dxa"/>
            <w:hideMark/>
          </w:tcPr>
          <w:p w14:paraId="6CFD0468" w14:textId="77777777" w:rsidR="00432DA0" w:rsidRDefault="00432DA0">
            <w:pPr>
              <w:pStyle w:val="NormalWeb"/>
              <w:rPr>
                <w:sz w:val="18"/>
                <w:szCs w:val="18"/>
              </w:rPr>
            </w:pPr>
            <w:r>
              <w:rPr>
                <w:sz w:val="18"/>
                <w:szCs w:val="18"/>
              </w:rPr>
              <w:t>29,527</w:t>
            </w:r>
          </w:p>
        </w:tc>
      </w:tr>
      <w:tr w:rsidR="00432DA0" w14:paraId="32C5157C" w14:textId="77777777" w:rsidTr="004303AF">
        <w:tc>
          <w:tcPr>
            <w:tcW w:w="0" w:type="auto"/>
            <w:hideMark/>
          </w:tcPr>
          <w:p w14:paraId="0897909D" w14:textId="77777777" w:rsidR="00432DA0" w:rsidRDefault="00432DA0">
            <w:pPr>
              <w:pStyle w:val="NormalWeb"/>
              <w:jc w:val="left"/>
              <w:rPr>
                <w:b/>
                <w:bCs/>
                <w:sz w:val="18"/>
                <w:szCs w:val="18"/>
              </w:rPr>
            </w:pPr>
            <w:r>
              <w:rPr>
                <w:b/>
                <w:bCs/>
                <w:sz w:val="18"/>
                <w:szCs w:val="18"/>
              </w:rPr>
              <w:t>SA</w:t>
            </w:r>
          </w:p>
        </w:tc>
        <w:tc>
          <w:tcPr>
            <w:tcW w:w="1536" w:type="dxa"/>
            <w:hideMark/>
          </w:tcPr>
          <w:p w14:paraId="39939587" w14:textId="77777777" w:rsidR="00432DA0" w:rsidRDefault="00432DA0">
            <w:pPr>
              <w:pStyle w:val="NormalWeb"/>
              <w:rPr>
                <w:sz w:val="18"/>
                <w:szCs w:val="18"/>
              </w:rPr>
            </w:pPr>
            <w:r>
              <w:rPr>
                <w:sz w:val="18"/>
                <w:szCs w:val="18"/>
              </w:rPr>
              <w:t>8,840</w:t>
            </w:r>
          </w:p>
        </w:tc>
        <w:tc>
          <w:tcPr>
            <w:tcW w:w="1536" w:type="dxa"/>
            <w:hideMark/>
          </w:tcPr>
          <w:p w14:paraId="6DDC2240" w14:textId="77777777" w:rsidR="00432DA0" w:rsidRDefault="00432DA0">
            <w:pPr>
              <w:pStyle w:val="NormalWeb"/>
              <w:rPr>
                <w:sz w:val="18"/>
                <w:szCs w:val="18"/>
              </w:rPr>
            </w:pPr>
            <w:r>
              <w:rPr>
                <w:sz w:val="18"/>
                <w:szCs w:val="18"/>
              </w:rPr>
              <w:t>86.7</w:t>
            </w:r>
          </w:p>
        </w:tc>
        <w:tc>
          <w:tcPr>
            <w:tcW w:w="1537" w:type="dxa"/>
            <w:hideMark/>
          </w:tcPr>
          <w:p w14:paraId="311AD2A8" w14:textId="77777777" w:rsidR="00432DA0" w:rsidRDefault="00432DA0">
            <w:pPr>
              <w:pStyle w:val="NormalWeb"/>
              <w:rPr>
                <w:sz w:val="18"/>
                <w:szCs w:val="18"/>
              </w:rPr>
            </w:pPr>
            <w:r>
              <w:rPr>
                <w:sz w:val="18"/>
                <w:szCs w:val="18"/>
              </w:rPr>
              <w:t>9,195</w:t>
            </w:r>
          </w:p>
        </w:tc>
        <w:tc>
          <w:tcPr>
            <w:tcW w:w="1536" w:type="dxa"/>
            <w:hideMark/>
          </w:tcPr>
          <w:p w14:paraId="6D1055F7" w14:textId="77777777" w:rsidR="00432DA0" w:rsidRDefault="00432DA0">
            <w:pPr>
              <w:pStyle w:val="NormalWeb"/>
              <w:rPr>
                <w:sz w:val="18"/>
                <w:szCs w:val="18"/>
              </w:rPr>
            </w:pPr>
            <w:r>
              <w:rPr>
                <w:sz w:val="18"/>
                <w:szCs w:val="18"/>
              </w:rPr>
              <w:t>9,001</w:t>
            </w:r>
          </w:p>
        </w:tc>
        <w:tc>
          <w:tcPr>
            <w:tcW w:w="1536" w:type="dxa"/>
            <w:hideMark/>
          </w:tcPr>
          <w:p w14:paraId="26BEC3E4" w14:textId="77777777" w:rsidR="00432DA0" w:rsidRDefault="00432DA0">
            <w:pPr>
              <w:pStyle w:val="NormalWeb"/>
              <w:rPr>
                <w:sz w:val="18"/>
                <w:szCs w:val="18"/>
              </w:rPr>
            </w:pPr>
            <w:r>
              <w:rPr>
                <w:sz w:val="18"/>
                <w:szCs w:val="18"/>
              </w:rPr>
              <w:t>83.1</w:t>
            </w:r>
          </w:p>
        </w:tc>
        <w:tc>
          <w:tcPr>
            <w:tcW w:w="1538" w:type="dxa"/>
            <w:hideMark/>
          </w:tcPr>
          <w:p w14:paraId="7F6DCFAD" w14:textId="77777777" w:rsidR="00432DA0" w:rsidRDefault="00432DA0">
            <w:pPr>
              <w:pStyle w:val="NormalWeb"/>
              <w:rPr>
                <w:sz w:val="18"/>
                <w:szCs w:val="18"/>
              </w:rPr>
            </w:pPr>
            <w:r>
              <w:rPr>
                <w:sz w:val="18"/>
                <w:szCs w:val="18"/>
              </w:rPr>
              <w:t>9,211</w:t>
            </w:r>
          </w:p>
        </w:tc>
      </w:tr>
      <w:tr w:rsidR="00432DA0" w14:paraId="14FB2541" w14:textId="77777777" w:rsidTr="004303AF">
        <w:trPr>
          <w:cnfStyle w:val="000000010000" w:firstRow="0" w:lastRow="0" w:firstColumn="0" w:lastColumn="0" w:oddVBand="0" w:evenVBand="0" w:oddHBand="0" w:evenHBand="1" w:firstRowFirstColumn="0" w:firstRowLastColumn="0" w:lastRowFirstColumn="0" w:lastRowLastColumn="0"/>
        </w:trPr>
        <w:tc>
          <w:tcPr>
            <w:tcW w:w="0" w:type="auto"/>
            <w:hideMark/>
          </w:tcPr>
          <w:p w14:paraId="4DD616C7" w14:textId="77777777" w:rsidR="00432DA0" w:rsidRDefault="00432DA0">
            <w:pPr>
              <w:pStyle w:val="NormalWeb"/>
              <w:jc w:val="left"/>
              <w:rPr>
                <w:b/>
                <w:bCs/>
                <w:sz w:val="18"/>
                <w:szCs w:val="18"/>
              </w:rPr>
            </w:pPr>
            <w:r>
              <w:rPr>
                <w:b/>
                <w:bCs/>
                <w:sz w:val="18"/>
                <w:szCs w:val="18"/>
              </w:rPr>
              <w:t>Tas.</w:t>
            </w:r>
          </w:p>
        </w:tc>
        <w:tc>
          <w:tcPr>
            <w:tcW w:w="1536" w:type="dxa"/>
            <w:hideMark/>
          </w:tcPr>
          <w:p w14:paraId="2934BD3E" w14:textId="77777777" w:rsidR="00432DA0" w:rsidRDefault="00432DA0">
            <w:pPr>
              <w:pStyle w:val="NormalWeb"/>
              <w:rPr>
                <w:sz w:val="18"/>
                <w:szCs w:val="18"/>
              </w:rPr>
            </w:pPr>
            <w:r>
              <w:rPr>
                <w:sz w:val="18"/>
                <w:szCs w:val="18"/>
              </w:rPr>
              <w:t>2,862</w:t>
            </w:r>
          </w:p>
        </w:tc>
        <w:tc>
          <w:tcPr>
            <w:tcW w:w="1536" w:type="dxa"/>
            <w:hideMark/>
          </w:tcPr>
          <w:p w14:paraId="674CAB0B" w14:textId="77777777" w:rsidR="00432DA0" w:rsidRDefault="00432DA0">
            <w:pPr>
              <w:pStyle w:val="NormalWeb"/>
              <w:rPr>
                <w:sz w:val="18"/>
                <w:szCs w:val="18"/>
              </w:rPr>
            </w:pPr>
            <w:r>
              <w:rPr>
                <w:sz w:val="18"/>
                <w:szCs w:val="18"/>
              </w:rPr>
              <w:t>81.9</w:t>
            </w:r>
          </w:p>
        </w:tc>
        <w:tc>
          <w:tcPr>
            <w:tcW w:w="1537" w:type="dxa"/>
            <w:hideMark/>
          </w:tcPr>
          <w:p w14:paraId="034AB5B1" w14:textId="77777777" w:rsidR="00432DA0" w:rsidRDefault="00432DA0">
            <w:pPr>
              <w:pStyle w:val="NormalWeb"/>
              <w:rPr>
                <w:sz w:val="18"/>
                <w:szCs w:val="18"/>
              </w:rPr>
            </w:pPr>
            <w:r>
              <w:rPr>
                <w:sz w:val="18"/>
                <w:szCs w:val="18"/>
              </w:rPr>
              <w:t>2,886</w:t>
            </w:r>
          </w:p>
        </w:tc>
        <w:tc>
          <w:tcPr>
            <w:tcW w:w="1536" w:type="dxa"/>
            <w:hideMark/>
          </w:tcPr>
          <w:p w14:paraId="642901F8" w14:textId="77777777" w:rsidR="00432DA0" w:rsidRDefault="00432DA0">
            <w:pPr>
              <w:pStyle w:val="NormalWeb"/>
              <w:rPr>
                <w:sz w:val="18"/>
                <w:szCs w:val="18"/>
              </w:rPr>
            </w:pPr>
            <w:r>
              <w:rPr>
                <w:sz w:val="18"/>
                <w:szCs w:val="18"/>
              </w:rPr>
              <w:t>2,618</w:t>
            </w:r>
          </w:p>
        </w:tc>
        <w:tc>
          <w:tcPr>
            <w:tcW w:w="1536" w:type="dxa"/>
            <w:hideMark/>
          </w:tcPr>
          <w:p w14:paraId="143D698E" w14:textId="77777777" w:rsidR="00432DA0" w:rsidRDefault="00432DA0">
            <w:pPr>
              <w:pStyle w:val="NormalWeb"/>
              <w:rPr>
                <w:sz w:val="18"/>
                <w:szCs w:val="18"/>
              </w:rPr>
            </w:pPr>
            <w:r>
              <w:rPr>
                <w:sz w:val="18"/>
                <w:szCs w:val="18"/>
              </w:rPr>
              <w:t>65.0</w:t>
            </w:r>
          </w:p>
        </w:tc>
        <w:tc>
          <w:tcPr>
            <w:tcW w:w="1538" w:type="dxa"/>
            <w:hideMark/>
          </w:tcPr>
          <w:p w14:paraId="13072AA1" w14:textId="77777777" w:rsidR="00432DA0" w:rsidRDefault="00432DA0">
            <w:pPr>
              <w:pStyle w:val="NormalWeb"/>
              <w:rPr>
                <w:sz w:val="18"/>
                <w:szCs w:val="18"/>
              </w:rPr>
            </w:pPr>
            <w:r>
              <w:rPr>
                <w:sz w:val="18"/>
                <w:szCs w:val="18"/>
              </w:rPr>
              <w:t>2,616</w:t>
            </w:r>
          </w:p>
        </w:tc>
      </w:tr>
      <w:tr w:rsidR="00432DA0" w14:paraId="518ACBB1" w14:textId="77777777" w:rsidTr="004303AF">
        <w:tc>
          <w:tcPr>
            <w:tcW w:w="0" w:type="auto"/>
            <w:hideMark/>
          </w:tcPr>
          <w:p w14:paraId="01D0DC06" w14:textId="77777777" w:rsidR="00432DA0" w:rsidRDefault="00432DA0">
            <w:pPr>
              <w:pStyle w:val="NormalWeb"/>
              <w:jc w:val="left"/>
              <w:rPr>
                <w:b/>
                <w:bCs/>
                <w:sz w:val="18"/>
                <w:szCs w:val="18"/>
              </w:rPr>
            </w:pPr>
            <w:r>
              <w:rPr>
                <w:b/>
                <w:bCs/>
                <w:sz w:val="18"/>
                <w:szCs w:val="18"/>
              </w:rPr>
              <w:t>Vic.</w:t>
            </w:r>
          </w:p>
        </w:tc>
        <w:tc>
          <w:tcPr>
            <w:tcW w:w="1536" w:type="dxa"/>
            <w:hideMark/>
          </w:tcPr>
          <w:p w14:paraId="44958881" w14:textId="77777777" w:rsidR="00432DA0" w:rsidRDefault="00432DA0">
            <w:pPr>
              <w:pStyle w:val="NormalWeb"/>
              <w:rPr>
                <w:sz w:val="18"/>
                <w:szCs w:val="18"/>
              </w:rPr>
            </w:pPr>
            <w:r>
              <w:rPr>
                <w:sz w:val="18"/>
                <w:szCs w:val="18"/>
              </w:rPr>
              <w:t>34,376</w:t>
            </w:r>
          </w:p>
        </w:tc>
        <w:tc>
          <w:tcPr>
            <w:tcW w:w="1536" w:type="dxa"/>
            <w:hideMark/>
          </w:tcPr>
          <w:p w14:paraId="37A28ACB" w14:textId="77777777" w:rsidR="00432DA0" w:rsidRDefault="00432DA0">
            <w:pPr>
              <w:pStyle w:val="NormalWeb"/>
              <w:rPr>
                <w:sz w:val="18"/>
                <w:szCs w:val="18"/>
              </w:rPr>
            </w:pPr>
            <w:r>
              <w:rPr>
                <w:sz w:val="18"/>
                <w:szCs w:val="18"/>
              </w:rPr>
              <w:t>87.7</w:t>
            </w:r>
          </w:p>
        </w:tc>
        <w:tc>
          <w:tcPr>
            <w:tcW w:w="1537" w:type="dxa"/>
            <w:hideMark/>
          </w:tcPr>
          <w:p w14:paraId="71B354A0" w14:textId="77777777" w:rsidR="00432DA0" w:rsidRDefault="00432DA0">
            <w:pPr>
              <w:pStyle w:val="NormalWeb"/>
              <w:rPr>
                <w:sz w:val="18"/>
                <w:szCs w:val="18"/>
              </w:rPr>
            </w:pPr>
            <w:r>
              <w:rPr>
                <w:sz w:val="18"/>
                <w:szCs w:val="18"/>
              </w:rPr>
              <w:t>35,194</w:t>
            </w:r>
          </w:p>
        </w:tc>
        <w:tc>
          <w:tcPr>
            <w:tcW w:w="1536" w:type="dxa"/>
            <w:hideMark/>
          </w:tcPr>
          <w:p w14:paraId="07C277E3" w14:textId="77777777" w:rsidR="00432DA0" w:rsidRDefault="00432DA0">
            <w:pPr>
              <w:pStyle w:val="NormalWeb"/>
              <w:rPr>
                <w:sz w:val="18"/>
                <w:szCs w:val="18"/>
              </w:rPr>
            </w:pPr>
            <w:r>
              <w:rPr>
                <w:sz w:val="18"/>
                <w:szCs w:val="18"/>
              </w:rPr>
              <w:t>33,859</w:t>
            </w:r>
          </w:p>
        </w:tc>
        <w:tc>
          <w:tcPr>
            <w:tcW w:w="1536" w:type="dxa"/>
            <w:hideMark/>
          </w:tcPr>
          <w:p w14:paraId="4A7DF962" w14:textId="77777777" w:rsidR="00432DA0" w:rsidRDefault="00432DA0">
            <w:pPr>
              <w:pStyle w:val="NormalWeb"/>
              <w:rPr>
                <w:sz w:val="18"/>
                <w:szCs w:val="18"/>
              </w:rPr>
            </w:pPr>
            <w:r>
              <w:rPr>
                <w:sz w:val="18"/>
                <w:szCs w:val="18"/>
              </w:rPr>
              <w:t>71.3</w:t>
            </w:r>
          </w:p>
        </w:tc>
        <w:tc>
          <w:tcPr>
            <w:tcW w:w="1538" w:type="dxa"/>
            <w:hideMark/>
          </w:tcPr>
          <w:p w14:paraId="5DD50E19" w14:textId="77777777" w:rsidR="00432DA0" w:rsidRDefault="00432DA0">
            <w:pPr>
              <w:pStyle w:val="NormalWeb"/>
              <w:rPr>
                <w:sz w:val="18"/>
                <w:szCs w:val="18"/>
              </w:rPr>
            </w:pPr>
            <w:r>
              <w:rPr>
                <w:sz w:val="18"/>
                <w:szCs w:val="18"/>
              </w:rPr>
              <w:t>33,719</w:t>
            </w:r>
          </w:p>
        </w:tc>
      </w:tr>
      <w:tr w:rsidR="00432DA0" w14:paraId="2C8AE96B" w14:textId="77777777" w:rsidTr="004303AF">
        <w:trPr>
          <w:cnfStyle w:val="000000010000" w:firstRow="0" w:lastRow="0" w:firstColumn="0" w:lastColumn="0" w:oddVBand="0" w:evenVBand="0" w:oddHBand="0" w:evenHBand="1" w:firstRowFirstColumn="0" w:firstRowLastColumn="0" w:lastRowFirstColumn="0" w:lastRowLastColumn="0"/>
        </w:trPr>
        <w:tc>
          <w:tcPr>
            <w:tcW w:w="0" w:type="auto"/>
            <w:tcBorders>
              <w:top w:val="nil"/>
              <w:left w:val="nil"/>
              <w:bottom w:val="single" w:sz="2" w:space="0" w:color="auto"/>
              <w:right w:val="nil"/>
            </w:tcBorders>
            <w:hideMark/>
          </w:tcPr>
          <w:p w14:paraId="54B533BF" w14:textId="77777777" w:rsidR="00432DA0" w:rsidRDefault="00432DA0">
            <w:pPr>
              <w:pStyle w:val="NormalWeb"/>
              <w:jc w:val="left"/>
              <w:rPr>
                <w:b/>
                <w:bCs/>
                <w:sz w:val="18"/>
                <w:szCs w:val="18"/>
              </w:rPr>
            </w:pPr>
            <w:r>
              <w:rPr>
                <w:b/>
                <w:bCs/>
                <w:sz w:val="18"/>
                <w:szCs w:val="18"/>
              </w:rPr>
              <w:t>WA</w:t>
            </w:r>
          </w:p>
        </w:tc>
        <w:tc>
          <w:tcPr>
            <w:tcW w:w="1536" w:type="dxa"/>
            <w:tcBorders>
              <w:top w:val="nil"/>
              <w:left w:val="nil"/>
              <w:bottom w:val="single" w:sz="2" w:space="0" w:color="auto"/>
              <w:right w:val="nil"/>
            </w:tcBorders>
            <w:hideMark/>
          </w:tcPr>
          <w:p w14:paraId="468EF62F" w14:textId="77777777" w:rsidR="00432DA0" w:rsidRDefault="00432DA0">
            <w:pPr>
              <w:pStyle w:val="NormalWeb"/>
              <w:rPr>
                <w:sz w:val="18"/>
                <w:szCs w:val="18"/>
              </w:rPr>
            </w:pPr>
            <w:r>
              <w:rPr>
                <w:sz w:val="18"/>
                <w:szCs w:val="18"/>
              </w:rPr>
              <w:t>28,478</w:t>
            </w:r>
          </w:p>
        </w:tc>
        <w:tc>
          <w:tcPr>
            <w:tcW w:w="1536" w:type="dxa"/>
            <w:tcBorders>
              <w:top w:val="nil"/>
              <w:left w:val="nil"/>
              <w:bottom w:val="single" w:sz="2" w:space="0" w:color="auto"/>
              <w:right w:val="nil"/>
            </w:tcBorders>
            <w:hideMark/>
          </w:tcPr>
          <w:p w14:paraId="75875412" w14:textId="77777777" w:rsidR="00432DA0" w:rsidRDefault="00432DA0">
            <w:pPr>
              <w:pStyle w:val="NormalWeb"/>
              <w:rPr>
                <w:sz w:val="18"/>
                <w:szCs w:val="18"/>
              </w:rPr>
            </w:pPr>
            <w:r>
              <w:rPr>
                <w:sz w:val="18"/>
                <w:szCs w:val="18"/>
              </w:rPr>
              <w:t>88.7</w:t>
            </w:r>
          </w:p>
        </w:tc>
        <w:tc>
          <w:tcPr>
            <w:tcW w:w="1537" w:type="dxa"/>
            <w:tcBorders>
              <w:top w:val="nil"/>
              <w:left w:val="nil"/>
              <w:bottom w:val="single" w:sz="2" w:space="0" w:color="auto"/>
              <w:right w:val="nil"/>
            </w:tcBorders>
            <w:hideMark/>
          </w:tcPr>
          <w:p w14:paraId="63B11F10" w14:textId="77777777" w:rsidR="00432DA0" w:rsidRDefault="00432DA0">
            <w:pPr>
              <w:pStyle w:val="NormalWeb"/>
              <w:rPr>
                <w:sz w:val="18"/>
                <w:szCs w:val="18"/>
              </w:rPr>
            </w:pPr>
            <w:r>
              <w:rPr>
                <w:sz w:val="18"/>
                <w:szCs w:val="18"/>
              </w:rPr>
              <w:t>29,563</w:t>
            </w:r>
          </w:p>
        </w:tc>
        <w:tc>
          <w:tcPr>
            <w:tcW w:w="1536" w:type="dxa"/>
            <w:tcBorders>
              <w:top w:val="nil"/>
              <w:left w:val="nil"/>
              <w:bottom w:val="single" w:sz="2" w:space="0" w:color="auto"/>
              <w:right w:val="nil"/>
            </w:tcBorders>
            <w:hideMark/>
          </w:tcPr>
          <w:p w14:paraId="1D0191A4" w14:textId="77777777" w:rsidR="00432DA0" w:rsidRDefault="00432DA0">
            <w:pPr>
              <w:pStyle w:val="NormalWeb"/>
              <w:rPr>
                <w:sz w:val="18"/>
                <w:szCs w:val="18"/>
              </w:rPr>
            </w:pPr>
            <w:r>
              <w:rPr>
                <w:sz w:val="18"/>
                <w:szCs w:val="18"/>
              </w:rPr>
              <w:t>15,238</w:t>
            </w:r>
          </w:p>
        </w:tc>
        <w:tc>
          <w:tcPr>
            <w:tcW w:w="1536" w:type="dxa"/>
            <w:tcBorders>
              <w:top w:val="nil"/>
              <w:left w:val="nil"/>
              <w:bottom w:val="single" w:sz="2" w:space="0" w:color="auto"/>
              <w:right w:val="nil"/>
            </w:tcBorders>
            <w:hideMark/>
          </w:tcPr>
          <w:p w14:paraId="603CF879" w14:textId="77777777" w:rsidR="00432DA0" w:rsidRDefault="00432DA0">
            <w:pPr>
              <w:pStyle w:val="NormalWeb"/>
              <w:rPr>
                <w:sz w:val="18"/>
                <w:szCs w:val="18"/>
              </w:rPr>
            </w:pPr>
            <w:r>
              <w:rPr>
                <w:sz w:val="18"/>
                <w:szCs w:val="18"/>
              </w:rPr>
              <w:t>78.3</w:t>
            </w:r>
          </w:p>
        </w:tc>
        <w:tc>
          <w:tcPr>
            <w:tcW w:w="1538" w:type="dxa"/>
            <w:tcBorders>
              <w:top w:val="nil"/>
              <w:left w:val="nil"/>
              <w:bottom w:val="single" w:sz="2" w:space="0" w:color="auto"/>
              <w:right w:val="nil"/>
            </w:tcBorders>
            <w:hideMark/>
          </w:tcPr>
          <w:p w14:paraId="1E152721" w14:textId="77777777" w:rsidR="00432DA0" w:rsidRDefault="00432DA0">
            <w:pPr>
              <w:pStyle w:val="NormalWeb"/>
              <w:rPr>
                <w:sz w:val="18"/>
                <w:szCs w:val="18"/>
              </w:rPr>
            </w:pPr>
            <w:r>
              <w:rPr>
                <w:sz w:val="18"/>
                <w:szCs w:val="18"/>
              </w:rPr>
              <w:t>15,491</w:t>
            </w:r>
          </w:p>
        </w:tc>
      </w:tr>
      <w:tr w:rsidR="00432DA0" w14:paraId="247231F1" w14:textId="77777777" w:rsidTr="004303AF">
        <w:tc>
          <w:tcPr>
            <w:tcW w:w="0" w:type="auto"/>
            <w:tcBorders>
              <w:top w:val="single" w:sz="2" w:space="0" w:color="auto"/>
              <w:left w:val="nil"/>
              <w:bottom w:val="single" w:sz="2" w:space="0" w:color="auto"/>
              <w:right w:val="nil"/>
            </w:tcBorders>
            <w:shd w:val="clear" w:color="auto" w:fill="F7ECDD"/>
            <w:hideMark/>
          </w:tcPr>
          <w:p w14:paraId="68296BD6" w14:textId="77777777" w:rsidR="00432DA0" w:rsidRDefault="00432DA0">
            <w:pPr>
              <w:pStyle w:val="NormalWeb"/>
              <w:rPr>
                <w:b/>
                <w:bCs/>
                <w:sz w:val="18"/>
                <w:szCs w:val="18"/>
              </w:rPr>
            </w:pPr>
            <w:r>
              <w:rPr>
                <w:b/>
                <w:bCs/>
                <w:sz w:val="18"/>
                <w:szCs w:val="18"/>
              </w:rPr>
              <w:t>AUST</w:t>
            </w:r>
          </w:p>
        </w:tc>
        <w:tc>
          <w:tcPr>
            <w:tcW w:w="1536" w:type="dxa"/>
            <w:tcBorders>
              <w:top w:val="single" w:sz="2" w:space="0" w:color="auto"/>
              <w:left w:val="nil"/>
              <w:bottom w:val="single" w:sz="2" w:space="0" w:color="auto"/>
              <w:right w:val="nil"/>
            </w:tcBorders>
            <w:shd w:val="clear" w:color="auto" w:fill="F7ECDD"/>
            <w:hideMark/>
          </w:tcPr>
          <w:p w14:paraId="181AD2E7" w14:textId="77777777" w:rsidR="00432DA0" w:rsidRDefault="00432DA0">
            <w:pPr>
              <w:pStyle w:val="NormalWeb"/>
              <w:rPr>
                <w:b/>
                <w:bCs/>
                <w:sz w:val="18"/>
                <w:szCs w:val="18"/>
              </w:rPr>
            </w:pPr>
            <w:r>
              <w:rPr>
                <w:b/>
                <w:bCs/>
                <w:sz w:val="18"/>
                <w:szCs w:val="18"/>
              </w:rPr>
              <w:t>152,166</w:t>
            </w:r>
          </w:p>
        </w:tc>
        <w:tc>
          <w:tcPr>
            <w:tcW w:w="1536" w:type="dxa"/>
            <w:tcBorders>
              <w:top w:val="single" w:sz="2" w:space="0" w:color="auto"/>
              <w:left w:val="nil"/>
              <w:bottom w:val="single" w:sz="2" w:space="0" w:color="auto"/>
              <w:right w:val="nil"/>
            </w:tcBorders>
            <w:shd w:val="clear" w:color="auto" w:fill="F7ECDD"/>
            <w:hideMark/>
          </w:tcPr>
          <w:p w14:paraId="58199972" w14:textId="77777777" w:rsidR="00432DA0" w:rsidRDefault="00432DA0">
            <w:pPr>
              <w:pStyle w:val="NormalWeb"/>
              <w:rPr>
                <w:b/>
                <w:bCs/>
                <w:sz w:val="18"/>
                <w:szCs w:val="18"/>
              </w:rPr>
            </w:pPr>
            <w:r>
              <w:rPr>
                <w:b/>
                <w:bCs/>
                <w:sz w:val="18"/>
                <w:szCs w:val="18"/>
              </w:rPr>
              <w:t>86.2</w:t>
            </w:r>
          </w:p>
        </w:tc>
        <w:tc>
          <w:tcPr>
            <w:tcW w:w="1537" w:type="dxa"/>
            <w:tcBorders>
              <w:top w:val="single" w:sz="2" w:space="0" w:color="auto"/>
              <w:left w:val="nil"/>
              <w:bottom w:val="single" w:sz="2" w:space="0" w:color="auto"/>
              <w:right w:val="nil"/>
            </w:tcBorders>
            <w:shd w:val="clear" w:color="auto" w:fill="F7ECDD"/>
            <w:hideMark/>
          </w:tcPr>
          <w:p w14:paraId="692086B9" w14:textId="77777777" w:rsidR="00432DA0" w:rsidRDefault="00432DA0">
            <w:pPr>
              <w:pStyle w:val="NormalWeb"/>
              <w:rPr>
                <w:b/>
                <w:bCs/>
                <w:sz w:val="18"/>
                <w:szCs w:val="18"/>
              </w:rPr>
            </w:pPr>
            <w:r>
              <w:rPr>
                <w:b/>
                <w:bCs/>
                <w:sz w:val="18"/>
                <w:szCs w:val="18"/>
              </w:rPr>
              <w:t>156,611</w:t>
            </w:r>
          </w:p>
        </w:tc>
        <w:tc>
          <w:tcPr>
            <w:tcW w:w="1536" w:type="dxa"/>
            <w:tcBorders>
              <w:top w:val="single" w:sz="2" w:space="0" w:color="auto"/>
              <w:left w:val="nil"/>
              <w:bottom w:val="single" w:sz="2" w:space="0" w:color="auto"/>
              <w:right w:val="nil"/>
            </w:tcBorders>
            <w:shd w:val="clear" w:color="auto" w:fill="F7ECDD"/>
            <w:hideMark/>
          </w:tcPr>
          <w:p w14:paraId="1FDD5F05" w14:textId="77777777" w:rsidR="00432DA0" w:rsidRDefault="00432DA0">
            <w:pPr>
              <w:pStyle w:val="NormalWeb"/>
              <w:rPr>
                <w:b/>
                <w:bCs/>
                <w:sz w:val="18"/>
                <w:szCs w:val="18"/>
              </w:rPr>
            </w:pPr>
            <w:r>
              <w:rPr>
                <w:b/>
                <w:bCs/>
                <w:sz w:val="18"/>
                <w:szCs w:val="18"/>
              </w:rPr>
              <w:t>134,869</w:t>
            </w:r>
          </w:p>
        </w:tc>
        <w:tc>
          <w:tcPr>
            <w:tcW w:w="1536" w:type="dxa"/>
            <w:tcBorders>
              <w:top w:val="single" w:sz="2" w:space="0" w:color="auto"/>
              <w:left w:val="nil"/>
              <w:bottom w:val="single" w:sz="2" w:space="0" w:color="auto"/>
              <w:right w:val="nil"/>
            </w:tcBorders>
            <w:shd w:val="clear" w:color="auto" w:fill="F7ECDD"/>
            <w:hideMark/>
          </w:tcPr>
          <w:p w14:paraId="0A93074E" w14:textId="77777777" w:rsidR="00432DA0" w:rsidRDefault="00432DA0">
            <w:pPr>
              <w:pStyle w:val="NormalWeb"/>
              <w:rPr>
                <w:b/>
                <w:bCs/>
                <w:sz w:val="18"/>
                <w:szCs w:val="18"/>
              </w:rPr>
            </w:pPr>
            <w:r>
              <w:rPr>
                <w:b/>
                <w:bCs/>
                <w:sz w:val="18"/>
                <w:szCs w:val="18"/>
              </w:rPr>
              <w:t>74.7</w:t>
            </w:r>
          </w:p>
        </w:tc>
        <w:tc>
          <w:tcPr>
            <w:tcW w:w="1538" w:type="dxa"/>
            <w:tcBorders>
              <w:top w:val="single" w:sz="2" w:space="0" w:color="auto"/>
              <w:left w:val="nil"/>
              <w:bottom w:val="single" w:sz="2" w:space="0" w:color="auto"/>
              <w:right w:val="nil"/>
            </w:tcBorders>
            <w:shd w:val="clear" w:color="auto" w:fill="F7ECDD"/>
            <w:hideMark/>
          </w:tcPr>
          <w:p w14:paraId="458BEF90" w14:textId="77777777" w:rsidR="00432DA0" w:rsidRDefault="00432DA0">
            <w:pPr>
              <w:pStyle w:val="NormalWeb"/>
              <w:rPr>
                <w:b/>
                <w:bCs/>
                <w:sz w:val="18"/>
                <w:szCs w:val="18"/>
              </w:rPr>
            </w:pPr>
            <w:r>
              <w:rPr>
                <w:b/>
                <w:bCs/>
                <w:sz w:val="18"/>
                <w:szCs w:val="18"/>
              </w:rPr>
              <w:t>135,793</w:t>
            </w:r>
          </w:p>
        </w:tc>
      </w:tr>
    </w:tbl>
    <w:p w14:paraId="4BF2C118" w14:textId="77777777" w:rsidR="00432DA0" w:rsidRDefault="00432DA0" w:rsidP="00432DA0">
      <w:pPr>
        <w:rPr>
          <w:rFonts w:eastAsia="Times New Roman"/>
          <w:vanish/>
          <w:lang w:val="en-GB"/>
        </w:rPr>
      </w:pPr>
    </w:p>
    <w:tbl>
      <w:tblPr>
        <w:tblStyle w:val="CDI-StandardTable"/>
        <w:tblW w:w="0" w:type="auto"/>
        <w:tblCellMar>
          <w:left w:w="113" w:type="dxa"/>
          <w:right w:w="113" w:type="dxa"/>
        </w:tblCellMar>
        <w:tblLook w:val="04A0" w:firstRow="1" w:lastRow="0" w:firstColumn="1" w:lastColumn="0" w:noHBand="0" w:noVBand="1"/>
        <w:tblDescription w:val="Table 7 presents the number of girls aged 11-&lt;15 years who received a first dose of HPV vaccine, the percentage of those who received a second dose in the same calendar year, and the number who received dTpa vaccine, by Indigenous status and jurisdiction, Australia, 2019 versus 2020.&#10;"/>
      </w:tblPr>
      <w:tblGrid>
        <w:gridCol w:w="1435"/>
        <w:gridCol w:w="1505"/>
        <w:gridCol w:w="1505"/>
        <w:gridCol w:w="1505"/>
        <w:gridCol w:w="1505"/>
        <w:gridCol w:w="1505"/>
        <w:gridCol w:w="1388"/>
      </w:tblGrid>
      <w:tr w:rsidR="00432DA0" w14:paraId="38F06033" w14:textId="77777777" w:rsidTr="004303AF">
        <w:trPr>
          <w:cnfStyle w:val="100000000000" w:firstRow="1" w:lastRow="0" w:firstColumn="0" w:lastColumn="0" w:oddVBand="0" w:evenVBand="0" w:oddHBand="0" w:evenHBand="0" w:firstRowFirstColumn="0" w:firstRowLastColumn="0" w:lastRowFirstColumn="0" w:lastRowLastColumn="0"/>
          <w:tblHeader/>
        </w:trPr>
        <w:tc>
          <w:tcPr>
            <w:tcW w:w="10348" w:type="dxa"/>
            <w:gridSpan w:val="7"/>
            <w:tcBorders>
              <w:top w:val="nil"/>
              <w:left w:val="nil"/>
              <w:right w:val="nil"/>
            </w:tcBorders>
            <w:hideMark/>
          </w:tcPr>
          <w:p w14:paraId="3AE687B1" w14:textId="77777777" w:rsidR="00432DA0" w:rsidRDefault="00432DA0" w:rsidP="00D553FC">
            <w:pPr>
              <w:pStyle w:val="NormalWeb"/>
              <w:jc w:val="left"/>
              <w:rPr>
                <w:sz w:val="18"/>
                <w:szCs w:val="18"/>
              </w:rPr>
            </w:pPr>
            <w:r>
              <w:rPr>
                <w:sz w:val="18"/>
                <w:szCs w:val="18"/>
              </w:rPr>
              <w:t>Indigenous girls aged 11–14 years</w:t>
            </w:r>
          </w:p>
        </w:tc>
      </w:tr>
      <w:tr w:rsidR="00432DA0" w14:paraId="667F4F15" w14:textId="77777777" w:rsidTr="004303AF">
        <w:trPr>
          <w:cnfStyle w:val="100000000000" w:firstRow="1" w:lastRow="0" w:firstColumn="0" w:lastColumn="0" w:oddVBand="0" w:evenVBand="0" w:oddHBand="0" w:evenHBand="0" w:firstRowFirstColumn="0" w:firstRowLastColumn="0" w:lastRowFirstColumn="0" w:lastRowLastColumn="0"/>
          <w:tblHeader/>
        </w:trPr>
        <w:tc>
          <w:tcPr>
            <w:tcW w:w="1435" w:type="dxa"/>
            <w:vMerge w:val="restart"/>
            <w:tcBorders>
              <w:left w:val="nil"/>
              <w:bottom w:val="nil"/>
            </w:tcBorders>
            <w:hideMark/>
          </w:tcPr>
          <w:p w14:paraId="78A768A1" w14:textId="77777777" w:rsidR="00432DA0" w:rsidRDefault="00432DA0">
            <w:pPr>
              <w:pStyle w:val="NormalWeb"/>
              <w:jc w:val="left"/>
              <w:rPr>
                <w:sz w:val="18"/>
                <w:szCs w:val="18"/>
              </w:rPr>
            </w:pPr>
            <w:proofErr w:type="spellStart"/>
            <w:r>
              <w:rPr>
                <w:sz w:val="18"/>
                <w:szCs w:val="18"/>
              </w:rPr>
              <w:t>Jurisdiction</w:t>
            </w:r>
            <w:r>
              <w:rPr>
                <w:sz w:val="18"/>
                <w:szCs w:val="18"/>
                <w:vertAlign w:val="superscript"/>
              </w:rPr>
              <w:t>c</w:t>
            </w:r>
            <w:proofErr w:type="spellEnd"/>
          </w:p>
        </w:tc>
        <w:tc>
          <w:tcPr>
            <w:tcW w:w="4515" w:type="dxa"/>
            <w:gridSpan w:val="3"/>
            <w:hideMark/>
          </w:tcPr>
          <w:p w14:paraId="4965DC1A" w14:textId="77777777" w:rsidR="00432DA0" w:rsidRDefault="00432DA0">
            <w:pPr>
              <w:pStyle w:val="NormalWeb"/>
              <w:rPr>
                <w:sz w:val="18"/>
                <w:szCs w:val="18"/>
              </w:rPr>
            </w:pPr>
            <w:r>
              <w:rPr>
                <w:sz w:val="18"/>
                <w:szCs w:val="18"/>
              </w:rPr>
              <w:t>2019</w:t>
            </w:r>
          </w:p>
        </w:tc>
        <w:tc>
          <w:tcPr>
            <w:tcW w:w="4398" w:type="dxa"/>
            <w:gridSpan w:val="3"/>
            <w:tcBorders>
              <w:right w:val="nil"/>
            </w:tcBorders>
            <w:hideMark/>
          </w:tcPr>
          <w:p w14:paraId="63B9B5C6" w14:textId="77777777" w:rsidR="00432DA0" w:rsidRDefault="00432DA0">
            <w:pPr>
              <w:pStyle w:val="NormalWeb"/>
              <w:rPr>
                <w:sz w:val="18"/>
                <w:szCs w:val="18"/>
              </w:rPr>
            </w:pPr>
            <w:r>
              <w:rPr>
                <w:sz w:val="18"/>
                <w:szCs w:val="18"/>
              </w:rPr>
              <w:t>2020</w:t>
            </w:r>
          </w:p>
        </w:tc>
      </w:tr>
      <w:tr w:rsidR="00432DA0" w14:paraId="4D9121E1" w14:textId="77777777" w:rsidTr="004303AF">
        <w:trPr>
          <w:cnfStyle w:val="100000000000" w:firstRow="1" w:lastRow="0" w:firstColumn="0" w:lastColumn="0" w:oddVBand="0" w:evenVBand="0" w:oddHBand="0" w:evenHBand="0" w:firstRowFirstColumn="0" w:firstRowLastColumn="0" w:lastRowFirstColumn="0" w:lastRowLastColumn="0"/>
          <w:tblHeader/>
        </w:trPr>
        <w:tc>
          <w:tcPr>
            <w:tcW w:w="0" w:type="auto"/>
            <w:vMerge/>
            <w:tcBorders>
              <w:left w:val="nil"/>
              <w:bottom w:val="nil"/>
            </w:tcBorders>
            <w:hideMark/>
          </w:tcPr>
          <w:p w14:paraId="3D09D6E2" w14:textId="77777777" w:rsidR="00432DA0" w:rsidRDefault="00432DA0">
            <w:pPr>
              <w:rPr>
                <w:sz w:val="18"/>
                <w:szCs w:val="18"/>
              </w:rPr>
            </w:pPr>
          </w:p>
        </w:tc>
        <w:tc>
          <w:tcPr>
            <w:tcW w:w="1505" w:type="dxa"/>
            <w:tcBorders>
              <w:bottom w:val="nil"/>
            </w:tcBorders>
            <w:hideMark/>
          </w:tcPr>
          <w:p w14:paraId="3D85786A" w14:textId="77777777" w:rsidR="00432DA0" w:rsidRDefault="00432DA0">
            <w:pPr>
              <w:pStyle w:val="NormalWeb"/>
              <w:rPr>
                <w:sz w:val="18"/>
                <w:szCs w:val="18"/>
              </w:rPr>
            </w:pPr>
            <w:r>
              <w:rPr>
                <w:sz w:val="18"/>
                <w:szCs w:val="18"/>
              </w:rPr>
              <w:t>HPV</w:t>
            </w:r>
            <w:r>
              <w:rPr>
                <w:sz w:val="18"/>
                <w:szCs w:val="18"/>
              </w:rPr>
              <w:br/>
              <w:t>dose 1</w:t>
            </w:r>
            <w:r>
              <w:rPr>
                <w:sz w:val="18"/>
                <w:szCs w:val="18"/>
              </w:rPr>
              <w:br/>
              <w:t>(n)</w:t>
            </w:r>
          </w:p>
        </w:tc>
        <w:tc>
          <w:tcPr>
            <w:tcW w:w="1505" w:type="dxa"/>
            <w:tcBorders>
              <w:bottom w:val="nil"/>
            </w:tcBorders>
            <w:hideMark/>
          </w:tcPr>
          <w:p w14:paraId="44694BF4" w14:textId="77777777" w:rsidR="00432DA0" w:rsidRDefault="00432DA0">
            <w:pPr>
              <w:pStyle w:val="NormalWeb"/>
              <w:rPr>
                <w:sz w:val="18"/>
                <w:szCs w:val="18"/>
              </w:rPr>
            </w:pPr>
            <w:r>
              <w:rPr>
                <w:sz w:val="18"/>
                <w:szCs w:val="18"/>
              </w:rPr>
              <w:t>% received HPV</w:t>
            </w:r>
            <w:r>
              <w:rPr>
                <w:sz w:val="18"/>
                <w:szCs w:val="18"/>
              </w:rPr>
              <w:br/>
              <w:t>dose 2</w:t>
            </w:r>
            <w:r>
              <w:rPr>
                <w:sz w:val="18"/>
                <w:szCs w:val="18"/>
                <w:vertAlign w:val="superscript"/>
              </w:rPr>
              <w:t>d</w:t>
            </w:r>
          </w:p>
        </w:tc>
        <w:tc>
          <w:tcPr>
            <w:tcW w:w="1505" w:type="dxa"/>
            <w:tcBorders>
              <w:bottom w:val="nil"/>
            </w:tcBorders>
            <w:hideMark/>
          </w:tcPr>
          <w:p w14:paraId="1693BA7E" w14:textId="77777777" w:rsidR="00432DA0" w:rsidRDefault="00432DA0">
            <w:pPr>
              <w:pStyle w:val="NormalWeb"/>
              <w:rPr>
                <w:sz w:val="18"/>
                <w:szCs w:val="18"/>
              </w:rPr>
            </w:pPr>
            <w:proofErr w:type="spellStart"/>
            <w:r>
              <w:rPr>
                <w:sz w:val="18"/>
                <w:szCs w:val="18"/>
              </w:rPr>
              <w:t>dTpa</w:t>
            </w:r>
            <w:proofErr w:type="spellEnd"/>
            <w:r>
              <w:rPr>
                <w:sz w:val="18"/>
                <w:szCs w:val="18"/>
              </w:rPr>
              <w:br/>
              <w:t>(n)</w:t>
            </w:r>
          </w:p>
        </w:tc>
        <w:tc>
          <w:tcPr>
            <w:tcW w:w="1505" w:type="dxa"/>
            <w:tcBorders>
              <w:bottom w:val="nil"/>
            </w:tcBorders>
            <w:hideMark/>
          </w:tcPr>
          <w:p w14:paraId="3C662800" w14:textId="77777777" w:rsidR="00432DA0" w:rsidRDefault="00432DA0">
            <w:pPr>
              <w:pStyle w:val="NormalWeb"/>
              <w:rPr>
                <w:sz w:val="18"/>
                <w:szCs w:val="18"/>
              </w:rPr>
            </w:pPr>
            <w:r>
              <w:rPr>
                <w:sz w:val="18"/>
                <w:szCs w:val="18"/>
              </w:rPr>
              <w:t>HPV</w:t>
            </w:r>
            <w:r>
              <w:rPr>
                <w:sz w:val="18"/>
                <w:szCs w:val="18"/>
              </w:rPr>
              <w:br/>
              <w:t>dose 1</w:t>
            </w:r>
            <w:r>
              <w:rPr>
                <w:sz w:val="18"/>
                <w:szCs w:val="18"/>
              </w:rPr>
              <w:br/>
              <w:t>(n)</w:t>
            </w:r>
          </w:p>
        </w:tc>
        <w:tc>
          <w:tcPr>
            <w:tcW w:w="1505" w:type="dxa"/>
            <w:tcBorders>
              <w:bottom w:val="nil"/>
            </w:tcBorders>
            <w:hideMark/>
          </w:tcPr>
          <w:p w14:paraId="361952A1" w14:textId="77777777" w:rsidR="00432DA0" w:rsidRDefault="00432DA0">
            <w:pPr>
              <w:pStyle w:val="NormalWeb"/>
              <w:rPr>
                <w:sz w:val="18"/>
                <w:szCs w:val="18"/>
              </w:rPr>
            </w:pPr>
            <w:r>
              <w:rPr>
                <w:sz w:val="18"/>
                <w:szCs w:val="18"/>
              </w:rPr>
              <w:t>% received HPV</w:t>
            </w:r>
            <w:r>
              <w:rPr>
                <w:sz w:val="18"/>
                <w:szCs w:val="18"/>
              </w:rPr>
              <w:br/>
              <w:t>dose 2</w:t>
            </w:r>
            <w:r>
              <w:rPr>
                <w:vertAlign w:val="superscript"/>
              </w:rPr>
              <w:t>d</w:t>
            </w:r>
          </w:p>
        </w:tc>
        <w:tc>
          <w:tcPr>
            <w:tcW w:w="1388" w:type="dxa"/>
            <w:tcBorders>
              <w:bottom w:val="nil"/>
              <w:right w:val="nil"/>
            </w:tcBorders>
            <w:hideMark/>
          </w:tcPr>
          <w:p w14:paraId="0483C109" w14:textId="77777777" w:rsidR="00432DA0" w:rsidRDefault="00432DA0">
            <w:pPr>
              <w:pStyle w:val="NormalWeb"/>
              <w:rPr>
                <w:sz w:val="18"/>
                <w:szCs w:val="18"/>
              </w:rPr>
            </w:pPr>
            <w:proofErr w:type="spellStart"/>
            <w:r>
              <w:rPr>
                <w:sz w:val="18"/>
                <w:szCs w:val="18"/>
              </w:rPr>
              <w:t>dTpa</w:t>
            </w:r>
            <w:proofErr w:type="spellEnd"/>
            <w:r>
              <w:rPr>
                <w:sz w:val="18"/>
                <w:szCs w:val="18"/>
              </w:rPr>
              <w:br/>
              <w:t>(n)</w:t>
            </w:r>
          </w:p>
        </w:tc>
      </w:tr>
      <w:tr w:rsidR="00432DA0" w14:paraId="57DBECC6" w14:textId="77777777" w:rsidTr="004303AF">
        <w:tc>
          <w:tcPr>
            <w:tcW w:w="1435" w:type="dxa"/>
            <w:hideMark/>
          </w:tcPr>
          <w:p w14:paraId="53CD83A3" w14:textId="77777777" w:rsidR="00432DA0" w:rsidRDefault="00432DA0">
            <w:pPr>
              <w:pStyle w:val="NormalWeb"/>
              <w:jc w:val="left"/>
              <w:rPr>
                <w:b/>
                <w:sz w:val="18"/>
                <w:szCs w:val="18"/>
              </w:rPr>
            </w:pPr>
            <w:r>
              <w:rPr>
                <w:b/>
                <w:sz w:val="18"/>
                <w:szCs w:val="18"/>
              </w:rPr>
              <w:t>ACT</w:t>
            </w:r>
          </w:p>
        </w:tc>
        <w:tc>
          <w:tcPr>
            <w:tcW w:w="1505" w:type="dxa"/>
            <w:hideMark/>
          </w:tcPr>
          <w:p w14:paraId="0E3FE853" w14:textId="77777777" w:rsidR="00432DA0" w:rsidRDefault="00432DA0">
            <w:pPr>
              <w:pStyle w:val="NormalWeb"/>
              <w:rPr>
                <w:sz w:val="18"/>
                <w:szCs w:val="18"/>
              </w:rPr>
            </w:pPr>
            <w:r>
              <w:rPr>
                <w:sz w:val="18"/>
                <w:szCs w:val="18"/>
              </w:rPr>
              <w:t>38</w:t>
            </w:r>
          </w:p>
        </w:tc>
        <w:tc>
          <w:tcPr>
            <w:tcW w:w="1505" w:type="dxa"/>
            <w:hideMark/>
          </w:tcPr>
          <w:p w14:paraId="44C05F0A" w14:textId="77777777" w:rsidR="00432DA0" w:rsidRDefault="00432DA0">
            <w:pPr>
              <w:pStyle w:val="NormalWeb"/>
              <w:rPr>
                <w:sz w:val="18"/>
                <w:szCs w:val="18"/>
              </w:rPr>
            </w:pPr>
            <w:r>
              <w:rPr>
                <w:sz w:val="18"/>
                <w:szCs w:val="18"/>
              </w:rPr>
              <w:t>71.1</w:t>
            </w:r>
          </w:p>
        </w:tc>
        <w:tc>
          <w:tcPr>
            <w:tcW w:w="1505" w:type="dxa"/>
            <w:hideMark/>
          </w:tcPr>
          <w:p w14:paraId="230AE6E4" w14:textId="77777777" w:rsidR="00432DA0" w:rsidRDefault="00432DA0">
            <w:pPr>
              <w:pStyle w:val="NormalWeb"/>
              <w:rPr>
                <w:sz w:val="18"/>
                <w:szCs w:val="18"/>
              </w:rPr>
            </w:pPr>
            <w:r>
              <w:rPr>
                <w:sz w:val="18"/>
                <w:szCs w:val="18"/>
              </w:rPr>
              <w:t>48</w:t>
            </w:r>
          </w:p>
        </w:tc>
        <w:tc>
          <w:tcPr>
            <w:tcW w:w="1505" w:type="dxa"/>
            <w:hideMark/>
          </w:tcPr>
          <w:p w14:paraId="74486DA6" w14:textId="77777777" w:rsidR="00432DA0" w:rsidRDefault="00432DA0">
            <w:pPr>
              <w:pStyle w:val="NormalWeb"/>
              <w:rPr>
                <w:sz w:val="18"/>
                <w:szCs w:val="18"/>
              </w:rPr>
            </w:pPr>
            <w:r>
              <w:rPr>
                <w:sz w:val="18"/>
                <w:szCs w:val="18"/>
              </w:rPr>
              <w:t>48</w:t>
            </w:r>
          </w:p>
        </w:tc>
        <w:tc>
          <w:tcPr>
            <w:tcW w:w="1505" w:type="dxa"/>
            <w:hideMark/>
          </w:tcPr>
          <w:p w14:paraId="19A37BAF" w14:textId="77777777" w:rsidR="00432DA0" w:rsidRDefault="00432DA0">
            <w:pPr>
              <w:pStyle w:val="NormalWeb"/>
              <w:rPr>
                <w:sz w:val="18"/>
                <w:szCs w:val="18"/>
              </w:rPr>
            </w:pPr>
            <w:r>
              <w:rPr>
                <w:sz w:val="18"/>
                <w:szCs w:val="18"/>
              </w:rPr>
              <w:t>66.7</w:t>
            </w:r>
          </w:p>
        </w:tc>
        <w:tc>
          <w:tcPr>
            <w:tcW w:w="1388" w:type="dxa"/>
            <w:hideMark/>
          </w:tcPr>
          <w:p w14:paraId="2FCC9E26" w14:textId="77777777" w:rsidR="00432DA0" w:rsidRDefault="00432DA0">
            <w:pPr>
              <w:pStyle w:val="NormalWeb"/>
              <w:rPr>
                <w:b/>
                <w:bCs/>
                <w:sz w:val="18"/>
                <w:szCs w:val="18"/>
              </w:rPr>
            </w:pPr>
            <w:r>
              <w:rPr>
                <w:sz w:val="18"/>
                <w:szCs w:val="18"/>
              </w:rPr>
              <w:t>43</w:t>
            </w:r>
          </w:p>
        </w:tc>
      </w:tr>
      <w:tr w:rsidR="00432DA0" w14:paraId="17A5FC7C" w14:textId="77777777" w:rsidTr="004303AF">
        <w:trPr>
          <w:cnfStyle w:val="000000010000" w:firstRow="0" w:lastRow="0" w:firstColumn="0" w:lastColumn="0" w:oddVBand="0" w:evenVBand="0" w:oddHBand="0" w:evenHBand="1" w:firstRowFirstColumn="0" w:firstRowLastColumn="0" w:lastRowFirstColumn="0" w:lastRowLastColumn="0"/>
        </w:trPr>
        <w:tc>
          <w:tcPr>
            <w:tcW w:w="1435" w:type="dxa"/>
            <w:hideMark/>
          </w:tcPr>
          <w:p w14:paraId="2B174105" w14:textId="77777777" w:rsidR="00432DA0" w:rsidRDefault="00432DA0">
            <w:pPr>
              <w:pStyle w:val="NormalWeb"/>
              <w:jc w:val="left"/>
              <w:rPr>
                <w:b/>
                <w:sz w:val="18"/>
                <w:szCs w:val="18"/>
              </w:rPr>
            </w:pPr>
            <w:r>
              <w:rPr>
                <w:b/>
                <w:sz w:val="18"/>
                <w:szCs w:val="18"/>
              </w:rPr>
              <w:t>NSW</w:t>
            </w:r>
          </w:p>
        </w:tc>
        <w:tc>
          <w:tcPr>
            <w:tcW w:w="1505" w:type="dxa"/>
            <w:hideMark/>
          </w:tcPr>
          <w:p w14:paraId="36263588" w14:textId="77777777" w:rsidR="00432DA0" w:rsidRDefault="00432DA0">
            <w:pPr>
              <w:pStyle w:val="NormalWeb"/>
              <w:rPr>
                <w:sz w:val="18"/>
                <w:szCs w:val="18"/>
              </w:rPr>
            </w:pPr>
            <w:r>
              <w:rPr>
                <w:sz w:val="18"/>
                <w:szCs w:val="18"/>
              </w:rPr>
              <w:t>2,708</w:t>
            </w:r>
          </w:p>
        </w:tc>
        <w:tc>
          <w:tcPr>
            <w:tcW w:w="1505" w:type="dxa"/>
            <w:hideMark/>
          </w:tcPr>
          <w:p w14:paraId="72E07EA4" w14:textId="77777777" w:rsidR="00432DA0" w:rsidRDefault="00432DA0">
            <w:pPr>
              <w:pStyle w:val="NormalWeb"/>
              <w:rPr>
                <w:sz w:val="18"/>
                <w:szCs w:val="18"/>
              </w:rPr>
            </w:pPr>
            <w:r>
              <w:rPr>
                <w:sz w:val="18"/>
                <w:szCs w:val="18"/>
              </w:rPr>
              <w:t>74.7</w:t>
            </w:r>
          </w:p>
        </w:tc>
        <w:tc>
          <w:tcPr>
            <w:tcW w:w="1505" w:type="dxa"/>
            <w:hideMark/>
          </w:tcPr>
          <w:p w14:paraId="29674A6C" w14:textId="77777777" w:rsidR="00432DA0" w:rsidRDefault="00432DA0">
            <w:pPr>
              <w:pStyle w:val="NormalWeb"/>
              <w:rPr>
                <w:sz w:val="18"/>
                <w:szCs w:val="18"/>
              </w:rPr>
            </w:pPr>
            <w:r>
              <w:rPr>
                <w:sz w:val="18"/>
                <w:szCs w:val="18"/>
              </w:rPr>
              <w:t>2,762</w:t>
            </w:r>
          </w:p>
        </w:tc>
        <w:tc>
          <w:tcPr>
            <w:tcW w:w="1505" w:type="dxa"/>
            <w:hideMark/>
          </w:tcPr>
          <w:p w14:paraId="7A9ED9FD" w14:textId="77777777" w:rsidR="00432DA0" w:rsidRDefault="00432DA0">
            <w:pPr>
              <w:pStyle w:val="NormalWeb"/>
              <w:rPr>
                <w:sz w:val="18"/>
                <w:szCs w:val="18"/>
              </w:rPr>
            </w:pPr>
            <w:r>
              <w:rPr>
                <w:sz w:val="18"/>
                <w:szCs w:val="18"/>
              </w:rPr>
              <w:t>2,346</w:t>
            </w:r>
          </w:p>
        </w:tc>
        <w:tc>
          <w:tcPr>
            <w:tcW w:w="1505" w:type="dxa"/>
            <w:hideMark/>
          </w:tcPr>
          <w:p w14:paraId="3B1DA710" w14:textId="77777777" w:rsidR="00432DA0" w:rsidRDefault="00432DA0">
            <w:pPr>
              <w:pStyle w:val="NormalWeb"/>
              <w:rPr>
                <w:sz w:val="18"/>
                <w:szCs w:val="18"/>
              </w:rPr>
            </w:pPr>
            <w:r>
              <w:rPr>
                <w:sz w:val="18"/>
                <w:szCs w:val="18"/>
              </w:rPr>
              <w:t>67.2</w:t>
            </w:r>
          </w:p>
        </w:tc>
        <w:tc>
          <w:tcPr>
            <w:tcW w:w="1388" w:type="dxa"/>
            <w:hideMark/>
          </w:tcPr>
          <w:p w14:paraId="7B9ED6DE" w14:textId="77777777" w:rsidR="00432DA0" w:rsidRDefault="00432DA0">
            <w:pPr>
              <w:pStyle w:val="NormalWeb"/>
              <w:rPr>
                <w:sz w:val="18"/>
                <w:szCs w:val="18"/>
              </w:rPr>
            </w:pPr>
            <w:r>
              <w:rPr>
                <w:sz w:val="18"/>
                <w:szCs w:val="18"/>
              </w:rPr>
              <w:t>2,344</w:t>
            </w:r>
          </w:p>
        </w:tc>
      </w:tr>
      <w:tr w:rsidR="00432DA0" w14:paraId="42F14C4C" w14:textId="77777777" w:rsidTr="004303AF">
        <w:tc>
          <w:tcPr>
            <w:tcW w:w="1435" w:type="dxa"/>
            <w:hideMark/>
          </w:tcPr>
          <w:p w14:paraId="55D3E202" w14:textId="77777777" w:rsidR="00432DA0" w:rsidRDefault="00432DA0">
            <w:pPr>
              <w:pStyle w:val="NormalWeb"/>
              <w:jc w:val="left"/>
              <w:rPr>
                <w:b/>
                <w:sz w:val="18"/>
                <w:szCs w:val="18"/>
              </w:rPr>
            </w:pPr>
            <w:r>
              <w:rPr>
                <w:b/>
                <w:sz w:val="18"/>
                <w:szCs w:val="18"/>
              </w:rPr>
              <w:t>NT</w:t>
            </w:r>
          </w:p>
        </w:tc>
        <w:tc>
          <w:tcPr>
            <w:tcW w:w="1505" w:type="dxa"/>
            <w:hideMark/>
          </w:tcPr>
          <w:p w14:paraId="3C925313" w14:textId="77777777" w:rsidR="00432DA0" w:rsidRDefault="00432DA0">
            <w:pPr>
              <w:pStyle w:val="NormalWeb"/>
              <w:rPr>
                <w:sz w:val="18"/>
                <w:szCs w:val="18"/>
              </w:rPr>
            </w:pPr>
            <w:r>
              <w:rPr>
                <w:sz w:val="18"/>
                <w:szCs w:val="18"/>
              </w:rPr>
              <w:t>619</w:t>
            </w:r>
          </w:p>
        </w:tc>
        <w:tc>
          <w:tcPr>
            <w:tcW w:w="1505" w:type="dxa"/>
            <w:hideMark/>
          </w:tcPr>
          <w:p w14:paraId="5489CC67" w14:textId="77777777" w:rsidR="00432DA0" w:rsidRDefault="00432DA0">
            <w:pPr>
              <w:pStyle w:val="NormalWeb"/>
              <w:rPr>
                <w:sz w:val="18"/>
                <w:szCs w:val="18"/>
              </w:rPr>
            </w:pPr>
            <w:r>
              <w:rPr>
                <w:sz w:val="18"/>
                <w:szCs w:val="18"/>
              </w:rPr>
              <w:t>41.8</w:t>
            </w:r>
          </w:p>
        </w:tc>
        <w:tc>
          <w:tcPr>
            <w:tcW w:w="1505" w:type="dxa"/>
            <w:hideMark/>
          </w:tcPr>
          <w:p w14:paraId="457376B7" w14:textId="77777777" w:rsidR="00432DA0" w:rsidRDefault="00432DA0">
            <w:pPr>
              <w:pStyle w:val="NormalWeb"/>
              <w:rPr>
                <w:sz w:val="18"/>
                <w:szCs w:val="18"/>
              </w:rPr>
            </w:pPr>
            <w:r>
              <w:rPr>
                <w:sz w:val="18"/>
                <w:szCs w:val="18"/>
              </w:rPr>
              <w:t>641</w:t>
            </w:r>
          </w:p>
        </w:tc>
        <w:tc>
          <w:tcPr>
            <w:tcW w:w="1505" w:type="dxa"/>
            <w:hideMark/>
          </w:tcPr>
          <w:p w14:paraId="799E2883" w14:textId="77777777" w:rsidR="00432DA0" w:rsidRDefault="00432DA0">
            <w:pPr>
              <w:pStyle w:val="NormalWeb"/>
              <w:rPr>
                <w:sz w:val="18"/>
                <w:szCs w:val="18"/>
              </w:rPr>
            </w:pPr>
            <w:r>
              <w:rPr>
                <w:sz w:val="18"/>
                <w:szCs w:val="18"/>
              </w:rPr>
              <w:t>524</w:t>
            </w:r>
          </w:p>
        </w:tc>
        <w:tc>
          <w:tcPr>
            <w:tcW w:w="1505" w:type="dxa"/>
            <w:hideMark/>
          </w:tcPr>
          <w:p w14:paraId="43852838" w14:textId="77777777" w:rsidR="00432DA0" w:rsidRDefault="00432DA0">
            <w:pPr>
              <w:pStyle w:val="NormalWeb"/>
              <w:rPr>
                <w:sz w:val="18"/>
                <w:szCs w:val="18"/>
              </w:rPr>
            </w:pPr>
            <w:r>
              <w:rPr>
                <w:sz w:val="18"/>
                <w:szCs w:val="18"/>
              </w:rPr>
              <w:t>35.3</w:t>
            </w:r>
          </w:p>
        </w:tc>
        <w:tc>
          <w:tcPr>
            <w:tcW w:w="1388" w:type="dxa"/>
            <w:hideMark/>
          </w:tcPr>
          <w:p w14:paraId="6664C548" w14:textId="77777777" w:rsidR="00432DA0" w:rsidRDefault="00432DA0">
            <w:pPr>
              <w:pStyle w:val="NormalWeb"/>
              <w:rPr>
                <w:sz w:val="18"/>
                <w:szCs w:val="18"/>
              </w:rPr>
            </w:pPr>
            <w:r>
              <w:rPr>
                <w:sz w:val="18"/>
                <w:szCs w:val="18"/>
              </w:rPr>
              <w:t>518</w:t>
            </w:r>
          </w:p>
        </w:tc>
      </w:tr>
      <w:tr w:rsidR="00432DA0" w14:paraId="79974349" w14:textId="77777777" w:rsidTr="004303AF">
        <w:trPr>
          <w:cnfStyle w:val="000000010000" w:firstRow="0" w:lastRow="0" w:firstColumn="0" w:lastColumn="0" w:oddVBand="0" w:evenVBand="0" w:oddHBand="0" w:evenHBand="1" w:firstRowFirstColumn="0" w:firstRowLastColumn="0" w:lastRowFirstColumn="0" w:lastRowLastColumn="0"/>
        </w:trPr>
        <w:tc>
          <w:tcPr>
            <w:tcW w:w="1435" w:type="dxa"/>
            <w:hideMark/>
          </w:tcPr>
          <w:p w14:paraId="3E08E417" w14:textId="77777777" w:rsidR="00432DA0" w:rsidRDefault="00432DA0">
            <w:pPr>
              <w:pStyle w:val="NormalWeb"/>
              <w:jc w:val="left"/>
              <w:rPr>
                <w:b/>
                <w:sz w:val="18"/>
                <w:szCs w:val="18"/>
              </w:rPr>
            </w:pPr>
            <w:r>
              <w:rPr>
                <w:b/>
                <w:sz w:val="18"/>
                <w:szCs w:val="18"/>
              </w:rPr>
              <w:t>Qld</w:t>
            </w:r>
          </w:p>
        </w:tc>
        <w:tc>
          <w:tcPr>
            <w:tcW w:w="1505" w:type="dxa"/>
            <w:hideMark/>
          </w:tcPr>
          <w:p w14:paraId="76231015" w14:textId="77777777" w:rsidR="00432DA0" w:rsidRDefault="00432DA0">
            <w:pPr>
              <w:pStyle w:val="NormalWeb"/>
              <w:rPr>
                <w:sz w:val="18"/>
                <w:szCs w:val="18"/>
              </w:rPr>
            </w:pPr>
            <w:r>
              <w:rPr>
                <w:sz w:val="18"/>
                <w:szCs w:val="18"/>
              </w:rPr>
              <w:t>2,242</w:t>
            </w:r>
          </w:p>
        </w:tc>
        <w:tc>
          <w:tcPr>
            <w:tcW w:w="1505" w:type="dxa"/>
            <w:hideMark/>
          </w:tcPr>
          <w:p w14:paraId="3A2CEBA4" w14:textId="77777777" w:rsidR="00432DA0" w:rsidRDefault="00432DA0">
            <w:pPr>
              <w:pStyle w:val="NormalWeb"/>
              <w:rPr>
                <w:sz w:val="18"/>
                <w:szCs w:val="18"/>
              </w:rPr>
            </w:pPr>
            <w:r>
              <w:rPr>
                <w:sz w:val="18"/>
                <w:szCs w:val="18"/>
              </w:rPr>
              <w:t>71.0</w:t>
            </w:r>
          </w:p>
        </w:tc>
        <w:tc>
          <w:tcPr>
            <w:tcW w:w="1505" w:type="dxa"/>
            <w:hideMark/>
          </w:tcPr>
          <w:p w14:paraId="6858CFB6" w14:textId="77777777" w:rsidR="00432DA0" w:rsidRDefault="00432DA0">
            <w:pPr>
              <w:pStyle w:val="NormalWeb"/>
              <w:rPr>
                <w:sz w:val="18"/>
                <w:szCs w:val="18"/>
              </w:rPr>
            </w:pPr>
            <w:r>
              <w:rPr>
                <w:sz w:val="18"/>
                <w:szCs w:val="18"/>
              </w:rPr>
              <w:t>2,250</w:t>
            </w:r>
          </w:p>
        </w:tc>
        <w:tc>
          <w:tcPr>
            <w:tcW w:w="1505" w:type="dxa"/>
            <w:hideMark/>
          </w:tcPr>
          <w:p w14:paraId="322570DB" w14:textId="77777777" w:rsidR="00432DA0" w:rsidRDefault="00432DA0">
            <w:pPr>
              <w:pStyle w:val="NormalWeb"/>
              <w:rPr>
                <w:sz w:val="18"/>
                <w:szCs w:val="18"/>
              </w:rPr>
            </w:pPr>
            <w:r>
              <w:rPr>
                <w:sz w:val="18"/>
                <w:szCs w:val="18"/>
              </w:rPr>
              <w:t>2,224</w:t>
            </w:r>
          </w:p>
        </w:tc>
        <w:tc>
          <w:tcPr>
            <w:tcW w:w="1505" w:type="dxa"/>
            <w:hideMark/>
          </w:tcPr>
          <w:p w14:paraId="61673F13" w14:textId="77777777" w:rsidR="00432DA0" w:rsidRDefault="00432DA0">
            <w:pPr>
              <w:pStyle w:val="NormalWeb"/>
              <w:rPr>
                <w:sz w:val="18"/>
                <w:szCs w:val="18"/>
              </w:rPr>
            </w:pPr>
            <w:r>
              <w:rPr>
                <w:sz w:val="18"/>
                <w:szCs w:val="18"/>
              </w:rPr>
              <w:t>62.4</w:t>
            </w:r>
          </w:p>
        </w:tc>
        <w:tc>
          <w:tcPr>
            <w:tcW w:w="1388" w:type="dxa"/>
            <w:hideMark/>
          </w:tcPr>
          <w:p w14:paraId="50EB9A9C" w14:textId="77777777" w:rsidR="00432DA0" w:rsidRDefault="00432DA0">
            <w:pPr>
              <w:pStyle w:val="NormalWeb"/>
              <w:rPr>
                <w:sz w:val="18"/>
                <w:szCs w:val="18"/>
              </w:rPr>
            </w:pPr>
            <w:r>
              <w:rPr>
                <w:sz w:val="18"/>
                <w:szCs w:val="18"/>
              </w:rPr>
              <w:t>2,247</w:t>
            </w:r>
          </w:p>
        </w:tc>
      </w:tr>
      <w:tr w:rsidR="00432DA0" w14:paraId="2EB48D88" w14:textId="77777777" w:rsidTr="004303AF">
        <w:tc>
          <w:tcPr>
            <w:tcW w:w="1435" w:type="dxa"/>
            <w:hideMark/>
          </w:tcPr>
          <w:p w14:paraId="3AFD47F3" w14:textId="77777777" w:rsidR="00432DA0" w:rsidRDefault="00432DA0">
            <w:pPr>
              <w:pStyle w:val="NormalWeb"/>
              <w:jc w:val="left"/>
              <w:rPr>
                <w:b/>
                <w:sz w:val="18"/>
                <w:szCs w:val="18"/>
              </w:rPr>
            </w:pPr>
            <w:r>
              <w:rPr>
                <w:b/>
                <w:sz w:val="18"/>
                <w:szCs w:val="18"/>
              </w:rPr>
              <w:t>SA</w:t>
            </w:r>
          </w:p>
        </w:tc>
        <w:tc>
          <w:tcPr>
            <w:tcW w:w="1505" w:type="dxa"/>
            <w:hideMark/>
          </w:tcPr>
          <w:p w14:paraId="21BDF5A5" w14:textId="77777777" w:rsidR="00432DA0" w:rsidRDefault="00432DA0">
            <w:pPr>
              <w:pStyle w:val="NormalWeb"/>
              <w:rPr>
                <w:sz w:val="18"/>
                <w:szCs w:val="18"/>
              </w:rPr>
            </w:pPr>
            <w:r>
              <w:rPr>
                <w:sz w:val="18"/>
                <w:szCs w:val="18"/>
              </w:rPr>
              <w:t>281</w:t>
            </w:r>
          </w:p>
        </w:tc>
        <w:tc>
          <w:tcPr>
            <w:tcW w:w="1505" w:type="dxa"/>
            <w:hideMark/>
          </w:tcPr>
          <w:p w14:paraId="0F856F8B" w14:textId="77777777" w:rsidR="00432DA0" w:rsidRDefault="00432DA0">
            <w:pPr>
              <w:pStyle w:val="NormalWeb"/>
              <w:rPr>
                <w:sz w:val="18"/>
                <w:szCs w:val="18"/>
              </w:rPr>
            </w:pPr>
            <w:r>
              <w:rPr>
                <w:sz w:val="18"/>
                <w:szCs w:val="18"/>
              </w:rPr>
              <w:t>63.0</w:t>
            </w:r>
          </w:p>
        </w:tc>
        <w:tc>
          <w:tcPr>
            <w:tcW w:w="1505" w:type="dxa"/>
            <w:hideMark/>
          </w:tcPr>
          <w:p w14:paraId="0D14EE9B" w14:textId="77777777" w:rsidR="00432DA0" w:rsidRDefault="00432DA0">
            <w:pPr>
              <w:pStyle w:val="NormalWeb"/>
              <w:rPr>
                <w:sz w:val="18"/>
                <w:szCs w:val="18"/>
              </w:rPr>
            </w:pPr>
            <w:r>
              <w:rPr>
                <w:sz w:val="18"/>
                <w:szCs w:val="18"/>
              </w:rPr>
              <w:t>282</w:t>
            </w:r>
          </w:p>
        </w:tc>
        <w:tc>
          <w:tcPr>
            <w:tcW w:w="1505" w:type="dxa"/>
            <w:hideMark/>
          </w:tcPr>
          <w:p w14:paraId="7712723E" w14:textId="77777777" w:rsidR="00432DA0" w:rsidRDefault="00432DA0">
            <w:pPr>
              <w:pStyle w:val="NormalWeb"/>
              <w:rPr>
                <w:sz w:val="18"/>
                <w:szCs w:val="18"/>
              </w:rPr>
            </w:pPr>
            <w:r>
              <w:rPr>
                <w:sz w:val="18"/>
                <w:szCs w:val="18"/>
              </w:rPr>
              <w:t>276</w:t>
            </w:r>
          </w:p>
        </w:tc>
        <w:tc>
          <w:tcPr>
            <w:tcW w:w="1505" w:type="dxa"/>
            <w:hideMark/>
          </w:tcPr>
          <w:p w14:paraId="19B5AEBC" w14:textId="77777777" w:rsidR="00432DA0" w:rsidRDefault="00432DA0">
            <w:pPr>
              <w:pStyle w:val="NormalWeb"/>
              <w:rPr>
                <w:sz w:val="18"/>
                <w:szCs w:val="18"/>
              </w:rPr>
            </w:pPr>
            <w:r>
              <w:rPr>
                <w:sz w:val="18"/>
                <w:szCs w:val="18"/>
              </w:rPr>
              <w:t>63.0</w:t>
            </w:r>
          </w:p>
        </w:tc>
        <w:tc>
          <w:tcPr>
            <w:tcW w:w="1388" w:type="dxa"/>
            <w:hideMark/>
          </w:tcPr>
          <w:p w14:paraId="69FD1FA9" w14:textId="77777777" w:rsidR="00432DA0" w:rsidRDefault="00432DA0">
            <w:pPr>
              <w:pStyle w:val="NormalWeb"/>
              <w:rPr>
                <w:sz w:val="18"/>
                <w:szCs w:val="18"/>
              </w:rPr>
            </w:pPr>
            <w:r>
              <w:rPr>
                <w:sz w:val="18"/>
                <w:szCs w:val="18"/>
              </w:rPr>
              <w:t>284</w:t>
            </w:r>
          </w:p>
        </w:tc>
      </w:tr>
      <w:tr w:rsidR="00432DA0" w14:paraId="0AF6F530" w14:textId="77777777" w:rsidTr="004303AF">
        <w:trPr>
          <w:cnfStyle w:val="000000010000" w:firstRow="0" w:lastRow="0" w:firstColumn="0" w:lastColumn="0" w:oddVBand="0" w:evenVBand="0" w:oddHBand="0" w:evenHBand="1" w:firstRowFirstColumn="0" w:firstRowLastColumn="0" w:lastRowFirstColumn="0" w:lastRowLastColumn="0"/>
        </w:trPr>
        <w:tc>
          <w:tcPr>
            <w:tcW w:w="1435" w:type="dxa"/>
            <w:hideMark/>
          </w:tcPr>
          <w:p w14:paraId="5FA66CE7" w14:textId="77777777" w:rsidR="00432DA0" w:rsidRDefault="00432DA0">
            <w:pPr>
              <w:pStyle w:val="NormalWeb"/>
              <w:jc w:val="left"/>
              <w:rPr>
                <w:b/>
                <w:sz w:val="18"/>
                <w:szCs w:val="18"/>
              </w:rPr>
            </w:pPr>
            <w:r>
              <w:rPr>
                <w:b/>
                <w:sz w:val="18"/>
                <w:szCs w:val="18"/>
              </w:rPr>
              <w:t>Tas.</w:t>
            </w:r>
          </w:p>
        </w:tc>
        <w:tc>
          <w:tcPr>
            <w:tcW w:w="1505" w:type="dxa"/>
            <w:hideMark/>
          </w:tcPr>
          <w:p w14:paraId="0EACB33C" w14:textId="77777777" w:rsidR="00432DA0" w:rsidRDefault="00432DA0">
            <w:pPr>
              <w:pStyle w:val="NormalWeb"/>
              <w:rPr>
                <w:sz w:val="18"/>
                <w:szCs w:val="18"/>
              </w:rPr>
            </w:pPr>
            <w:r>
              <w:rPr>
                <w:sz w:val="18"/>
                <w:szCs w:val="18"/>
              </w:rPr>
              <w:t>261</w:t>
            </w:r>
          </w:p>
        </w:tc>
        <w:tc>
          <w:tcPr>
            <w:tcW w:w="1505" w:type="dxa"/>
            <w:hideMark/>
          </w:tcPr>
          <w:p w14:paraId="1264CC0F" w14:textId="77777777" w:rsidR="00432DA0" w:rsidRDefault="00432DA0">
            <w:pPr>
              <w:pStyle w:val="NormalWeb"/>
              <w:rPr>
                <w:sz w:val="18"/>
                <w:szCs w:val="18"/>
              </w:rPr>
            </w:pPr>
            <w:r>
              <w:rPr>
                <w:sz w:val="18"/>
                <w:szCs w:val="18"/>
              </w:rPr>
              <w:t>79.3</w:t>
            </w:r>
          </w:p>
        </w:tc>
        <w:tc>
          <w:tcPr>
            <w:tcW w:w="1505" w:type="dxa"/>
            <w:hideMark/>
          </w:tcPr>
          <w:p w14:paraId="3FF504F6" w14:textId="77777777" w:rsidR="00432DA0" w:rsidRDefault="00432DA0">
            <w:pPr>
              <w:pStyle w:val="NormalWeb"/>
              <w:rPr>
                <w:sz w:val="18"/>
                <w:szCs w:val="18"/>
              </w:rPr>
            </w:pPr>
            <w:r>
              <w:rPr>
                <w:sz w:val="18"/>
                <w:szCs w:val="18"/>
              </w:rPr>
              <w:t>266</w:t>
            </w:r>
          </w:p>
        </w:tc>
        <w:tc>
          <w:tcPr>
            <w:tcW w:w="1505" w:type="dxa"/>
            <w:hideMark/>
          </w:tcPr>
          <w:p w14:paraId="35CC1CF9" w14:textId="77777777" w:rsidR="00432DA0" w:rsidRDefault="00432DA0">
            <w:pPr>
              <w:pStyle w:val="NormalWeb"/>
              <w:rPr>
                <w:sz w:val="18"/>
                <w:szCs w:val="18"/>
              </w:rPr>
            </w:pPr>
            <w:r>
              <w:rPr>
                <w:sz w:val="18"/>
                <w:szCs w:val="18"/>
              </w:rPr>
              <w:t>265</w:t>
            </w:r>
          </w:p>
        </w:tc>
        <w:tc>
          <w:tcPr>
            <w:tcW w:w="1505" w:type="dxa"/>
            <w:hideMark/>
          </w:tcPr>
          <w:p w14:paraId="72803A7F" w14:textId="77777777" w:rsidR="00432DA0" w:rsidRDefault="00432DA0">
            <w:pPr>
              <w:pStyle w:val="NormalWeb"/>
              <w:rPr>
                <w:sz w:val="18"/>
                <w:szCs w:val="18"/>
              </w:rPr>
            </w:pPr>
            <w:r>
              <w:rPr>
                <w:sz w:val="18"/>
                <w:szCs w:val="18"/>
              </w:rPr>
              <w:t>63.4</w:t>
            </w:r>
          </w:p>
        </w:tc>
        <w:tc>
          <w:tcPr>
            <w:tcW w:w="1388" w:type="dxa"/>
            <w:hideMark/>
          </w:tcPr>
          <w:p w14:paraId="3C510343" w14:textId="77777777" w:rsidR="00432DA0" w:rsidRDefault="00432DA0">
            <w:pPr>
              <w:pStyle w:val="NormalWeb"/>
              <w:rPr>
                <w:sz w:val="18"/>
                <w:szCs w:val="18"/>
              </w:rPr>
            </w:pPr>
            <w:r>
              <w:rPr>
                <w:sz w:val="18"/>
                <w:szCs w:val="18"/>
              </w:rPr>
              <w:t>260</w:t>
            </w:r>
          </w:p>
        </w:tc>
      </w:tr>
      <w:tr w:rsidR="00432DA0" w14:paraId="7F43BC86" w14:textId="77777777" w:rsidTr="004303AF">
        <w:tc>
          <w:tcPr>
            <w:tcW w:w="1435" w:type="dxa"/>
            <w:hideMark/>
          </w:tcPr>
          <w:p w14:paraId="3F28EFBB" w14:textId="77777777" w:rsidR="00432DA0" w:rsidRDefault="00432DA0">
            <w:pPr>
              <w:pStyle w:val="NormalWeb"/>
              <w:jc w:val="left"/>
              <w:rPr>
                <w:b/>
                <w:sz w:val="18"/>
                <w:szCs w:val="18"/>
              </w:rPr>
            </w:pPr>
            <w:r>
              <w:rPr>
                <w:b/>
                <w:sz w:val="18"/>
                <w:szCs w:val="18"/>
              </w:rPr>
              <w:t>Vic.</w:t>
            </w:r>
          </w:p>
        </w:tc>
        <w:tc>
          <w:tcPr>
            <w:tcW w:w="1505" w:type="dxa"/>
            <w:hideMark/>
          </w:tcPr>
          <w:p w14:paraId="2081A2BD" w14:textId="77777777" w:rsidR="00432DA0" w:rsidRDefault="00432DA0">
            <w:pPr>
              <w:pStyle w:val="NormalWeb"/>
              <w:rPr>
                <w:sz w:val="18"/>
                <w:szCs w:val="18"/>
              </w:rPr>
            </w:pPr>
            <w:r>
              <w:rPr>
                <w:sz w:val="18"/>
                <w:szCs w:val="18"/>
              </w:rPr>
              <w:t>518</w:t>
            </w:r>
          </w:p>
        </w:tc>
        <w:tc>
          <w:tcPr>
            <w:tcW w:w="1505" w:type="dxa"/>
            <w:hideMark/>
          </w:tcPr>
          <w:p w14:paraId="284D0347" w14:textId="77777777" w:rsidR="00432DA0" w:rsidRDefault="00432DA0">
            <w:pPr>
              <w:pStyle w:val="NormalWeb"/>
              <w:rPr>
                <w:sz w:val="18"/>
                <w:szCs w:val="18"/>
              </w:rPr>
            </w:pPr>
            <w:r>
              <w:rPr>
                <w:sz w:val="18"/>
                <w:szCs w:val="18"/>
              </w:rPr>
              <w:t>76.8</w:t>
            </w:r>
          </w:p>
        </w:tc>
        <w:tc>
          <w:tcPr>
            <w:tcW w:w="1505" w:type="dxa"/>
            <w:hideMark/>
          </w:tcPr>
          <w:p w14:paraId="2D8393BC" w14:textId="77777777" w:rsidR="00432DA0" w:rsidRDefault="00432DA0">
            <w:pPr>
              <w:pStyle w:val="NormalWeb"/>
              <w:rPr>
                <w:sz w:val="18"/>
                <w:szCs w:val="18"/>
              </w:rPr>
            </w:pPr>
            <w:r>
              <w:rPr>
                <w:sz w:val="18"/>
                <w:szCs w:val="18"/>
              </w:rPr>
              <w:t>528</w:t>
            </w:r>
          </w:p>
        </w:tc>
        <w:tc>
          <w:tcPr>
            <w:tcW w:w="1505" w:type="dxa"/>
            <w:hideMark/>
          </w:tcPr>
          <w:p w14:paraId="2BC75E14" w14:textId="77777777" w:rsidR="00432DA0" w:rsidRDefault="00432DA0">
            <w:pPr>
              <w:pStyle w:val="NormalWeb"/>
              <w:rPr>
                <w:sz w:val="18"/>
                <w:szCs w:val="18"/>
              </w:rPr>
            </w:pPr>
            <w:r>
              <w:rPr>
                <w:sz w:val="18"/>
                <w:szCs w:val="18"/>
              </w:rPr>
              <w:t>543</w:t>
            </w:r>
          </w:p>
        </w:tc>
        <w:tc>
          <w:tcPr>
            <w:tcW w:w="1505" w:type="dxa"/>
            <w:hideMark/>
          </w:tcPr>
          <w:p w14:paraId="1A70E362" w14:textId="77777777" w:rsidR="00432DA0" w:rsidRDefault="00432DA0">
            <w:pPr>
              <w:pStyle w:val="NormalWeb"/>
              <w:rPr>
                <w:sz w:val="18"/>
                <w:szCs w:val="18"/>
              </w:rPr>
            </w:pPr>
            <w:r>
              <w:rPr>
                <w:sz w:val="18"/>
                <w:szCs w:val="18"/>
              </w:rPr>
              <w:t>57.1</w:t>
            </w:r>
          </w:p>
        </w:tc>
        <w:tc>
          <w:tcPr>
            <w:tcW w:w="1388" w:type="dxa"/>
            <w:hideMark/>
          </w:tcPr>
          <w:p w14:paraId="77CFF054" w14:textId="77777777" w:rsidR="00432DA0" w:rsidRDefault="00432DA0">
            <w:pPr>
              <w:pStyle w:val="NormalWeb"/>
              <w:rPr>
                <w:sz w:val="18"/>
                <w:szCs w:val="18"/>
              </w:rPr>
            </w:pPr>
            <w:r>
              <w:rPr>
                <w:sz w:val="18"/>
                <w:szCs w:val="18"/>
              </w:rPr>
              <w:t>543</w:t>
            </w:r>
          </w:p>
        </w:tc>
      </w:tr>
      <w:tr w:rsidR="00432DA0" w14:paraId="5A1856DD" w14:textId="77777777" w:rsidTr="004303AF">
        <w:trPr>
          <w:cnfStyle w:val="000000010000" w:firstRow="0" w:lastRow="0" w:firstColumn="0" w:lastColumn="0" w:oddVBand="0" w:evenVBand="0" w:oddHBand="0" w:evenHBand="1" w:firstRowFirstColumn="0" w:firstRowLastColumn="0" w:lastRowFirstColumn="0" w:lastRowLastColumn="0"/>
        </w:trPr>
        <w:tc>
          <w:tcPr>
            <w:tcW w:w="1435" w:type="dxa"/>
            <w:tcBorders>
              <w:top w:val="nil"/>
              <w:left w:val="nil"/>
              <w:bottom w:val="single" w:sz="2" w:space="0" w:color="auto"/>
              <w:right w:val="nil"/>
            </w:tcBorders>
            <w:hideMark/>
          </w:tcPr>
          <w:p w14:paraId="64A4642D" w14:textId="77777777" w:rsidR="00432DA0" w:rsidRDefault="00432DA0">
            <w:pPr>
              <w:pStyle w:val="NormalWeb"/>
              <w:jc w:val="left"/>
              <w:rPr>
                <w:b/>
                <w:sz w:val="18"/>
                <w:szCs w:val="18"/>
              </w:rPr>
            </w:pPr>
            <w:r>
              <w:rPr>
                <w:b/>
                <w:sz w:val="18"/>
                <w:szCs w:val="18"/>
              </w:rPr>
              <w:t>WA</w:t>
            </w:r>
          </w:p>
        </w:tc>
        <w:tc>
          <w:tcPr>
            <w:tcW w:w="1505" w:type="dxa"/>
            <w:tcBorders>
              <w:top w:val="nil"/>
              <w:left w:val="nil"/>
              <w:bottom w:val="single" w:sz="2" w:space="0" w:color="auto"/>
              <w:right w:val="nil"/>
            </w:tcBorders>
            <w:hideMark/>
          </w:tcPr>
          <w:p w14:paraId="11A40A29" w14:textId="77777777" w:rsidR="00432DA0" w:rsidRDefault="00432DA0">
            <w:pPr>
              <w:pStyle w:val="NormalWeb"/>
              <w:rPr>
                <w:sz w:val="18"/>
                <w:szCs w:val="18"/>
              </w:rPr>
            </w:pPr>
            <w:r>
              <w:rPr>
                <w:sz w:val="18"/>
                <w:szCs w:val="18"/>
              </w:rPr>
              <w:t>1,687</w:t>
            </w:r>
          </w:p>
        </w:tc>
        <w:tc>
          <w:tcPr>
            <w:tcW w:w="1505" w:type="dxa"/>
            <w:tcBorders>
              <w:top w:val="nil"/>
              <w:left w:val="nil"/>
              <w:bottom w:val="single" w:sz="2" w:space="0" w:color="auto"/>
              <w:right w:val="nil"/>
            </w:tcBorders>
            <w:hideMark/>
          </w:tcPr>
          <w:p w14:paraId="5D268B61" w14:textId="77777777" w:rsidR="00432DA0" w:rsidRDefault="00432DA0">
            <w:pPr>
              <w:pStyle w:val="NormalWeb"/>
              <w:rPr>
                <w:sz w:val="18"/>
                <w:szCs w:val="18"/>
              </w:rPr>
            </w:pPr>
            <w:r>
              <w:rPr>
                <w:sz w:val="18"/>
                <w:szCs w:val="18"/>
              </w:rPr>
              <w:t>70.0</w:t>
            </w:r>
          </w:p>
        </w:tc>
        <w:tc>
          <w:tcPr>
            <w:tcW w:w="1505" w:type="dxa"/>
            <w:tcBorders>
              <w:top w:val="nil"/>
              <w:left w:val="nil"/>
              <w:bottom w:val="single" w:sz="2" w:space="0" w:color="auto"/>
              <w:right w:val="nil"/>
            </w:tcBorders>
            <w:hideMark/>
          </w:tcPr>
          <w:p w14:paraId="2ABDE2D4" w14:textId="77777777" w:rsidR="00432DA0" w:rsidRDefault="00432DA0">
            <w:pPr>
              <w:pStyle w:val="NormalWeb"/>
              <w:rPr>
                <w:sz w:val="18"/>
                <w:szCs w:val="18"/>
              </w:rPr>
            </w:pPr>
            <w:r>
              <w:rPr>
                <w:sz w:val="18"/>
                <w:szCs w:val="18"/>
              </w:rPr>
              <w:t>1,691</w:t>
            </w:r>
          </w:p>
        </w:tc>
        <w:tc>
          <w:tcPr>
            <w:tcW w:w="1505" w:type="dxa"/>
            <w:tcBorders>
              <w:top w:val="nil"/>
              <w:left w:val="nil"/>
              <w:bottom w:val="single" w:sz="2" w:space="0" w:color="auto"/>
              <w:right w:val="nil"/>
            </w:tcBorders>
            <w:hideMark/>
          </w:tcPr>
          <w:p w14:paraId="51B3A9A5" w14:textId="77777777" w:rsidR="00432DA0" w:rsidRDefault="00432DA0">
            <w:pPr>
              <w:pStyle w:val="NormalWeb"/>
              <w:rPr>
                <w:sz w:val="18"/>
                <w:szCs w:val="18"/>
              </w:rPr>
            </w:pPr>
            <w:r>
              <w:rPr>
                <w:sz w:val="18"/>
                <w:szCs w:val="18"/>
              </w:rPr>
              <w:t>971</w:t>
            </w:r>
          </w:p>
        </w:tc>
        <w:tc>
          <w:tcPr>
            <w:tcW w:w="1505" w:type="dxa"/>
            <w:tcBorders>
              <w:top w:val="nil"/>
              <w:left w:val="nil"/>
              <w:bottom w:val="single" w:sz="2" w:space="0" w:color="auto"/>
              <w:right w:val="nil"/>
            </w:tcBorders>
            <w:hideMark/>
          </w:tcPr>
          <w:p w14:paraId="747FF57B" w14:textId="77777777" w:rsidR="00432DA0" w:rsidRDefault="00432DA0">
            <w:pPr>
              <w:pStyle w:val="NormalWeb"/>
              <w:rPr>
                <w:sz w:val="18"/>
                <w:szCs w:val="18"/>
              </w:rPr>
            </w:pPr>
            <w:r>
              <w:rPr>
                <w:sz w:val="18"/>
                <w:szCs w:val="18"/>
              </w:rPr>
              <w:t>59.7</w:t>
            </w:r>
          </w:p>
        </w:tc>
        <w:tc>
          <w:tcPr>
            <w:tcW w:w="1388" w:type="dxa"/>
            <w:tcBorders>
              <w:top w:val="nil"/>
              <w:left w:val="nil"/>
              <w:bottom w:val="single" w:sz="2" w:space="0" w:color="auto"/>
              <w:right w:val="nil"/>
            </w:tcBorders>
            <w:hideMark/>
          </w:tcPr>
          <w:p w14:paraId="6BF96804" w14:textId="77777777" w:rsidR="00432DA0" w:rsidRDefault="00432DA0">
            <w:pPr>
              <w:pStyle w:val="NormalWeb"/>
              <w:rPr>
                <w:sz w:val="18"/>
                <w:szCs w:val="18"/>
              </w:rPr>
            </w:pPr>
            <w:r>
              <w:rPr>
                <w:sz w:val="18"/>
                <w:szCs w:val="18"/>
              </w:rPr>
              <w:t>958</w:t>
            </w:r>
          </w:p>
        </w:tc>
      </w:tr>
      <w:tr w:rsidR="00432DA0" w14:paraId="1CC8DF02" w14:textId="77777777" w:rsidTr="004303AF">
        <w:tc>
          <w:tcPr>
            <w:tcW w:w="1435" w:type="dxa"/>
            <w:tcBorders>
              <w:top w:val="single" w:sz="2" w:space="0" w:color="auto"/>
              <w:left w:val="nil"/>
              <w:bottom w:val="single" w:sz="2" w:space="0" w:color="auto"/>
              <w:right w:val="nil"/>
            </w:tcBorders>
            <w:shd w:val="clear" w:color="auto" w:fill="F7ECDD"/>
            <w:hideMark/>
          </w:tcPr>
          <w:p w14:paraId="72C94E66" w14:textId="77777777" w:rsidR="00432DA0" w:rsidRDefault="00432DA0">
            <w:pPr>
              <w:pStyle w:val="NormalWeb"/>
              <w:jc w:val="left"/>
              <w:rPr>
                <w:b/>
                <w:sz w:val="18"/>
                <w:szCs w:val="18"/>
              </w:rPr>
            </w:pPr>
            <w:r>
              <w:rPr>
                <w:b/>
                <w:sz w:val="18"/>
                <w:szCs w:val="18"/>
              </w:rPr>
              <w:t>AUST</w:t>
            </w:r>
          </w:p>
        </w:tc>
        <w:tc>
          <w:tcPr>
            <w:tcW w:w="1505" w:type="dxa"/>
            <w:tcBorders>
              <w:top w:val="single" w:sz="2" w:space="0" w:color="auto"/>
              <w:left w:val="nil"/>
              <w:bottom w:val="single" w:sz="2" w:space="0" w:color="auto"/>
              <w:right w:val="nil"/>
            </w:tcBorders>
            <w:shd w:val="clear" w:color="auto" w:fill="F7ECDD"/>
            <w:hideMark/>
          </w:tcPr>
          <w:p w14:paraId="2FD19166" w14:textId="77777777" w:rsidR="00432DA0" w:rsidRDefault="00432DA0">
            <w:pPr>
              <w:pStyle w:val="NormalWeb"/>
              <w:rPr>
                <w:b/>
                <w:bCs/>
                <w:sz w:val="18"/>
                <w:szCs w:val="18"/>
              </w:rPr>
            </w:pPr>
            <w:r>
              <w:rPr>
                <w:b/>
                <w:bCs/>
                <w:sz w:val="18"/>
                <w:szCs w:val="18"/>
              </w:rPr>
              <w:t>8,354</w:t>
            </w:r>
          </w:p>
        </w:tc>
        <w:tc>
          <w:tcPr>
            <w:tcW w:w="1505" w:type="dxa"/>
            <w:tcBorders>
              <w:top w:val="single" w:sz="2" w:space="0" w:color="auto"/>
              <w:left w:val="nil"/>
              <w:bottom w:val="single" w:sz="2" w:space="0" w:color="auto"/>
              <w:right w:val="nil"/>
            </w:tcBorders>
            <w:shd w:val="clear" w:color="auto" w:fill="F7ECDD"/>
            <w:hideMark/>
          </w:tcPr>
          <w:p w14:paraId="15C3B0BA" w14:textId="77777777" w:rsidR="00432DA0" w:rsidRDefault="00432DA0">
            <w:pPr>
              <w:pStyle w:val="NormalWeb"/>
              <w:rPr>
                <w:b/>
                <w:bCs/>
                <w:sz w:val="18"/>
                <w:szCs w:val="18"/>
              </w:rPr>
            </w:pPr>
            <w:r>
              <w:rPr>
                <w:b/>
                <w:bCs/>
                <w:sz w:val="18"/>
                <w:szCs w:val="18"/>
              </w:rPr>
              <w:t>70.2</w:t>
            </w:r>
          </w:p>
        </w:tc>
        <w:tc>
          <w:tcPr>
            <w:tcW w:w="1505" w:type="dxa"/>
            <w:tcBorders>
              <w:top w:val="single" w:sz="2" w:space="0" w:color="auto"/>
              <w:left w:val="nil"/>
              <w:bottom w:val="single" w:sz="2" w:space="0" w:color="auto"/>
              <w:right w:val="nil"/>
            </w:tcBorders>
            <w:shd w:val="clear" w:color="auto" w:fill="F7ECDD"/>
            <w:hideMark/>
          </w:tcPr>
          <w:p w14:paraId="0F5F8BAB" w14:textId="77777777" w:rsidR="00432DA0" w:rsidRDefault="00432DA0">
            <w:pPr>
              <w:pStyle w:val="NormalWeb"/>
              <w:rPr>
                <w:b/>
                <w:bCs/>
                <w:sz w:val="18"/>
                <w:szCs w:val="18"/>
              </w:rPr>
            </w:pPr>
            <w:r>
              <w:rPr>
                <w:b/>
                <w:bCs/>
                <w:sz w:val="18"/>
                <w:szCs w:val="18"/>
              </w:rPr>
              <w:t>8,468</w:t>
            </w:r>
          </w:p>
        </w:tc>
        <w:tc>
          <w:tcPr>
            <w:tcW w:w="1505" w:type="dxa"/>
            <w:tcBorders>
              <w:top w:val="single" w:sz="2" w:space="0" w:color="auto"/>
              <w:left w:val="nil"/>
              <w:bottom w:val="single" w:sz="2" w:space="0" w:color="auto"/>
              <w:right w:val="nil"/>
            </w:tcBorders>
            <w:shd w:val="clear" w:color="auto" w:fill="F7ECDD"/>
            <w:hideMark/>
          </w:tcPr>
          <w:p w14:paraId="5F7DC628" w14:textId="77777777" w:rsidR="00432DA0" w:rsidRDefault="00432DA0">
            <w:pPr>
              <w:pStyle w:val="NormalWeb"/>
              <w:rPr>
                <w:b/>
                <w:bCs/>
                <w:sz w:val="18"/>
                <w:szCs w:val="18"/>
              </w:rPr>
            </w:pPr>
            <w:r>
              <w:rPr>
                <w:b/>
                <w:bCs/>
                <w:sz w:val="18"/>
                <w:szCs w:val="18"/>
              </w:rPr>
              <w:t>7,197</w:t>
            </w:r>
          </w:p>
        </w:tc>
        <w:tc>
          <w:tcPr>
            <w:tcW w:w="1505" w:type="dxa"/>
            <w:tcBorders>
              <w:top w:val="single" w:sz="2" w:space="0" w:color="auto"/>
              <w:left w:val="nil"/>
              <w:bottom w:val="single" w:sz="2" w:space="0" w:color="auto"/>
              <w:right w:val="nil"/>
            </w:tcBorders>
            <w:shd w:val="clear" w:color="auto" w:fill="F7ECDD"/>
            <w:hideMark/>
          </w:tcPr>
          <w:p w14:paraId="7727DEB8" w14:textId="77777777" w:rsidR="00432DA0" w:rsidRDefault="00432DA0">
            <w:pPr>
              <w:pStyle w:val="NormalWeb"/>
              <w:rPr>
                <w:b/>
                <w:bCs/>
                <w:sz w:val="18"/>
                <w:szCs w:val="18"/>
              </w:rPr>
            </w:pPr>
            <w:r>
              <w:rPr>
                <w:b/>
                <w:bCs/>
                <w:sz w:val="18"/>
                <w:szCs w:val="18"/>
              </w:rPr>
              <w:t>61.3</w:t>
            </w:r>
          </w:p>
        </w:tc>
        <w:tc>
          <w:tcPr>
            <w:tcW w:w="1388" w:type="dxa"/>
            <w:tcBorders>
              <w:top w:val="single" w:sz="2" w:space="0" w:color="auto"/>
              <w:left w:val="nil"/>
              <w:bottom w:val="single" w:sz="2" w:space="0" w:color="auto"/>
              <w:right w:val="nil"/>
            </w:tcBorders>
            <w:shd w:val="clear" w:color="auto" w:fill="F7ECDD"/>
            <w:hideMark/>
          </w:tcPr>
          <w:p w14:paraId="4F983227" w14:textId="77777777" w:rsidR="00432DA0" w:rsidRDefault="00432DA0">
            <w:pPr>
              <w:pStyle w:val="NormalWeb"/>
              <w:rPr>
                <w:b/>
                <w:bCs/>
                <w:sz w:val="18"/>
                <w:szCs w:val="18"/>
              </w:rPr>
            </w:pPr>
            <w:r>
              <w:rPr>
                <w:b/>
                <w:bCs/>
                <w:sz w:val="18"/>
                <w:szCs w:val="18"/>
              </w:rPr>
              <w:t>7,197</w:t>
            </w:r>
          </w:p>
        </w:tc>
      </w:tr>
    </w:tbl>
    <w:p w14:paraId="61200539" w14:textId="77777777" w:rsidR="00432DA0" w:rsidRDefault="00432DA0" w:rsidP="00432DA0">
      <w:pPr>
        <w:pStyle w:val="CDIfootnotes"/>
      </w:pPr>
      <w:r>
        <w:t>a</w:t>
      </w:r>
      <w:r>
        <w:tab/>
        <w:t xml:space="preserve">Source: Australian Immunisation Register, data as </w:t>
      </w:r>
      <w:proofErr w:type="gramStart"/>
      <w:r>
        <w:t>at</w:t>
      </w:r>
      <w:proofErr w:type="gramEnd"/>
      <w:r>
        <w:t xml:space="preserve"> 31 March 2021.</w:t>
      </w:r>
    </w:p>
    <w:p w14:paraId="24755013" w14:textId="77777777" w:rsidR="00432DA0" w:rsidRDefault="00432DA0" w:rsidP="00432DA0">
      <w:pPr>
        <w:pStyle w:val="CDIfootnotes"/>
      </w:pPr>
      <w:r>
        <w:t>b</w:t>
      </w:r>
      <w:r>
        <w:tab/>
      </w:r>
      <w:proofErr w:type="spellStart"/>
      <w:r>
        <w:t>dTpa</w:t>
      </w:r>
      <w:proofErr w:type="spellEnd"/>
      <w:r>
        <w:t>: diphtheria, tetanus, pertussis (acellular) – adolescent/adult formulation.</w:t>
      </w:r>
    </w:p>
    <w:p w14:paraId="438D9FC0" w14:textId="77777777" w:rsidR="00432DA0" w:rsidRDefault="00432DA0" w:rsidP="00432DA0">
      <w:pPr>
        <w:pStyle w:val="CDIfootnotes"/>
      </w:pPr>
      <w:r>
        <w:t>c</w:t>
      </w:r>
      <w:r>
        <w:tab/>
        <w:t>ACT: Australian Capital Territory; NSW: New South Wales; NT: Northern Territory; Qld: Queensland; SA: South Australia; Tas.: Tasmania; Vic.: Victoria; WA: Western Australia; AUST: Australia.</w:t>
      </w:r>
    </w:p>
    <w:p w14:paraId="2B366118" w14:textId="77777777" w:rsidR="00432DA0" w:rsidRDefault="00432DA0" w:rsidP="00432DA0">
      <w:pPr>
        <w:pStyle w:val="CDIfootnotes"/>
        <w:rPr>
          <w:lang w:val="en-GB"/>
        </w:rPr>
      </w:pPr>
      <w:r>
        <w:t>d</w:t>
      </w:r>
      <w:r>
        <w:tab/>
        <w:t>Percentage who received the first dose of HPV vaccine in 2019 or 2020 and went on to receive the second dose in the same calendar year.</w:t>
      </w:r>
    </w:p>
    <w:p w14:paraId="370B962F" w14:textId="7EEF03D5" w:rsidR="002B4EF6" w:rsidRDefault="002B4EF6" w:rsidP="00FD4A14">
      <w:r>
        <w:t xml:space="preserve">Table 7 shows the percentage of girls aged 11–14 years who received a first dose of HPV vaccine in 2019 or 2020 and then went on to receive a second dose in the same calendar year, by jurisdiction and Indigenous status. The percentage of girls aged 11–14 years who received both a first and second dose of HPV vaccine was 11.5 percentage points lower in 2020 than in 2019, ranging from 16.9 percentage points lower in Tasmania to 0.6 of a percentage </w:t>
      </w:r>
      <w:proofErr w:type="gramStart"/>
      <w:r>
        <w:t>point</w:t>
      </w:r>
      <w:proofErr w:type="gramEnd"/>
      <w:r>
        <w:t xml:space="preserve"> higher in the Australian Capital Territory. Similar trends were seen for Indigenous girls aged 11–14 years (Table</w:t>
      </w:r>
      <w:r w:rsidR="00FD4A14">
        <w:t> </w:t>
      </w:r>
      <w:r>
        <w:t xml:space="preserve">7). </w:t>
      </w:r>
    </w:p>
    <w:p w14:paraId="528D65AF" w14:textId="4B195A55" w:rsidR="002B4EF6" w:rsidRDefault="002B4EF6" w:rsidP="00FD4A14">
      <w:r>
        <w:t xml:space="preserve">Table 8 shows the percentage of boys aged 11–14 years who received a first dose of HPV vaccine in 2019 or 2020 and then went on to receive a second dose in the same calendar year, by jurisdiction and Indigenous status. The percentage of boys aged 11–14 years who received both a first and second dose of HPV in 2020 was 11.7 percentage </w:t>
      </w:r>
      <w:r>
        <w:lastRenderedPageBreak/>
        <w:t xml:space="preserve">points lower than in 2019, ranging from 16.7 percentage points lower in Victoria to 0.1 of a percentage </w:t>
      </w:r>
      <w:proofErr w:type="gramStart"/>
      <w:r>
        <w:t>point</w:t>
      </w:r>
      <w:proofErr w:type="gramEnd"/>
      <w:r>
        <w:t xml:space="preserve"> higher in the Australian Capital Territory. Similar trends were seen for Indigenous boys (Table 8). </w:t>
      </w:r>
    </w:p>
    <w:p w14:paraId="1CE68424" w14:textId="77777777" w:rsidR="00C00311" w:rsidRPr="004916CB" w:rsidRDefault="00C00311" w:rsidP="00C00311">
      <w:pPr>
        <w:pStyle w:val="CDIFigures"/>
        <w:rPr>
          <w:b w:val="0"/>
          <w:bCs/>
        </w:rPr>
      </w:pPr>
      <w:r w:rsidRPr="004916CB">
        <w:rPr>
          <w:rStyle w:val="Strong"/>
          <w:b/>
          <w:bCs w:val="0"/>
        </w:rPr>
        <w:t xml:space="preserve">Table 8: Number of boys aged 11–14 years who received a first dose of human papillomavirus (HPV) </w:t>
      </w:r>
      <w:proofErr w:type="spellStart"/>
      <w:proofErr w:type="gramStart"/>
      <w:r w:rsidRPr="004916CB">
        <w:rPr>
          <w:rStyle w:val="Strong"/>
          <w:b/>
          <w:bCs w:val="0"/>
        </w:rPr>
        <w:t>vaccine,</w:t>
      </w:r>
      <w:r w:rsidRPr="002402D3">
        <w:rPr>
          <w:rStyle w:val="Strong"/>
          <w:b/>
          <w:bCs w:val="0"/>
          <w:vertAlign w:val="superscript"/>
        </w:rPr>
        <w:t>a</w:t>
      </w:r>
      <w:proofErr w:type="spellEnd"/>
      <w:proofErr w:type="gramEnd"/>
      <w:r w:rsidRPr="004916CB">
        <w:rPr>
          <w:rStyle w:val="Strong"/>
          <w:b/>
          <w:bCs w:val="0"/>
        </w:rPr>
        <w:t xml:space="preserve"> percentage of those who received a second dose in the same calendar year, and number who received </w:t>
      </w:r>
      <w:proofErr w:type="spellStart"/>
      <w:r w:rsidRPr="004916CB">
        <w:rPr>
          <w:rStyle w:val="Strong"/>
          <w:b/>
          <w:bCs w:val="0"/>
        </w:rPr>
        <w:t>dTpa</w:t>
      </w:r>
      <w:proofErr w:type="spellEnd"/>
      <w:r w:rsidRPr="004916CB">
        <w:rPr>
          <w:rStyle w:val="Strong"/>
          <w:b/>
          <w:bCs w:val="0"/>
        </w:rPr>
        <w:t xml:space="preserve"> </w:t>
      </w:r>
      <w:proofErr w:type="spellStart"/>
      <w:r w:rsidRPr="004916CB">
        <w:rPr>
          <w:rStyle w:val="Strong"/>
          <w:b/>
          <w:bCs w:val="0"/>
        </w:rPr>
        <w:t>vaccine,</w:t>
      </w:r>
      <w:r w:rsidRPr="002402D3">
        <w:rPr>
          <w:rStyle w:val="Strong"/>
          <w:b/>
          <w:bCs w:val="0"/>
          <w:vertAlign w:val="superscript"/>
        </w:rPr>
        <w:t>b</w:t>
      </w:r>
      <w:proofErr w:type="spellEnd"/>
      <w:r w:rsidRPr="004916CB">
        <w:rPr>
          <w:rStyle w:val="Strong"/>
          <w:b/>
          <w:bCs w:val="0"/>
        </w:rPr>
        <w:t xml:space="preserve"> by Indigenous status and jurisdiction, Australia, 2019 and 2020</w:t>
      </w:r>
    </w:p>
    <w:tbl>
      <w:tblPr>
        <w:tblStyle w:val="CDI-StandardTable"/>
        <w:tblW w:w="0" w:type="auto"/>
        <w:tblCellMar>
          <w:left w:w="113" w:type="dxa"/>
          <w:right w:w="113" w:type="dxa"/>
        </w:tblCellMar>
        <w:tblLook w:val="04A0" w:firstRow="1" w:lastRow="0" w:firstColumn="1" w:lastColumn="0" w:noHBand="0" w:noVBand="1"/>
        <w:tblDescription w:val="Table 8 presents the number of boys aged 11-&lt;15 years who received a first dose of HPV vaccine, the percentage of those who received a second dose in the same calendar year, and the number who received dTpa vaccine, by Indigenous status and jurisdiction, Australia, 2019 versus 2020.&#10;"/>
      </w:tblPr>
      <w:tblGrid>
        <w:gridCol w:w="1129"/>
        <w:gridCol w:w="1556"/>
        <w:gridCol w:w="1556"/>
        <w:gridCol w:w="1556"/>
        <w:gridCol w:w="1556"/>
        <w:gridCol w:w="1556"/>
        <w:gridCol w:w="1557"/>
      </w:tblGrid>
      <w:tr w:rsidR="00C00311" w14:paraId="7F5CD6BC" w14:textId="77777777" w:rsidTr="00C00311">
        <w:trPr>
          <w:cnfStyle w:val="100000000000" w:firstRow="1" w:lastRow="0" w:firstColumn="0" w:lastColumn="0" w:oddVBand="0" w:evenVBand="0" w:oddHBand="0" w:evenHBand="0" w:firstRowFirstColumn="0" w:firstRowLastColumn="0" w:lastRowFirstColumn="0" w:lastRowLastColumn="0"/>
          <w:tblHeader/>
        </w:trPr>
        <w:tc>
          <w:tcPr>
            <w:tcW w:w="10466" w:type="dxa"/>
            <w:gridSpan w:val="7"/>
            <w:tcBorders>
              <w:top w:val="nil"/>
              <w:left w:val="nil"/>
              <w:right w:val="nil"/>
            </w:tcBorders>
            <w:hideMark/>
          </w:tcPr>
          <w:p w14:paraId="52681E3C" w14:textId="77777777" w:rsidR="00C00311" w:rsidRDefault="00C00311">
            <w:pPr>
              <w:pStyle w:val="NormalWeb"/>
              <w:jc w:val="left"/>
              <w:rPr>
                <w:sz w:val="18"/>
                <w:szCs w:val="18"/>
              </w:rPr>
            </w:pPr>
            <w:r>
              <w:rPr>
                <w:sz w:val="18"/>
                <w:szCs w:val="18"/>
              </w:rPr>
              <w:t>All boys aged 11–14 years</w:t>
            </w:r>
          </w:p>
        </w:tc>
      </w:tr>
      <w:tr w:rsidR="00C00311" w14:paraId="53F7F446" w14:textId="77777777" w:rsidTr="00C00311">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left w:val="nil"/>
              <w:bottom w:val="nil"/>
            </w:tcBorders>
            <w:hideMark/>
          </w:tcPr>
          <w:p w14:paraId="27A6DC90" w14:textId="77777777" w:rsidR="00C00311" w:rsidRDefault="00C00311">
            <w:pPr>
              <w:pStyle w:val="NormalWeb"/>
              <w:rPr>
                <w:sz w:val="18"/>
                <w:szCs w:val="18"/>
              </w:rPr>
            </w:pPr>
            <w:proofErr w:type="spellStart"/>
            <w:r>
              <w:rPr>
                <w:sz w:val="18"/>
                <w:szCs w:val="18"/>
              </w:rPr>
              <w:t>Jurisdiction</w:t>
            </w:r>
            <w:r>
              <w:rPr>
                <w:sz w:val="18"/>
                <w:szCs w:val="18"/>
                <w:vertAlign w:val="superscript"/>
              </w:rPr>
              <w:t>c</w:t>
            </w:r>
            <w:proofErr w:type="spellEnd"/>
          </w:p>
        </w:tc>
        <w:tc>
          <w:tcPr>
            <w:tcW w:w="4668" w:type="dxa"/>
            <w:gridSpan w:val="3"/>
            <w:hideMark/>
          </w:tcPr>
          <w:p w14:paraId="47685A4D" w14:textId="77777777" w:rsidR="00C00311" w:rsidRDefault="00C00311">
            <w:pPr>
              <w:pStyle w:val="NormalWeb"/>
              <w:rPr>
                <w:sz w:val="18"/>
                <w:szCs w:val="18"/>
              </w:rPr>
            </w:pPr>
            <w:r>
              <w:rPr>
                <w:sz w:val="18"/>
                <w:szCs w:val="18"/>
              </w:rPr>
              <w:t>2019</w:t>
            </w:r>
          </w:p>
        </w:tc>
        <w:tc>
          <w:tcPr>
            <w:tcW w:w="4669" w:type="dxa"/>
            <w:gridSpan w:val="3"/>
            <w:tcBorders>
              <w:right w:val="nil"/>
            </w:tcBorders>
            <w:hideMark/>
          </w:tcPr>
          <w:p w14:paraId="095D1B96" w14:textId="77777777" w:rsidR="00C00311" w:rsidRDefault="00C00311">
            <w:pPr>
              <w:pStyle w:val="NormalWeb"/>
              <w:rPr>
                <w:sz w:val="18"/>
                <w:szCs w:val="18"/>
              </w:rPr>
            </w:pPr>
            <w:r>
              <w:rPr>
                <w:sz w:val="18"/>
                <w:szCs w:val="18"/>
              </w:rPr>
              <w:t>2020</w:t>
            </w:r>
          </w:p>
        </w:tc>
      </w:tr>
      <w:tr w:rsidR="00C00311" w14:paraId="6A91FBD8" w14:textId="77777777" w:rsidTr="00C00311">
        <w:trPr>
          <w:cnfStyle w:val="100000000000" w:firstRow="1" w:lastRow="0" w:firstColumn="0" w:lastColumn="0" w:oddVBand="0" w:evenVBand="0" w:oddHBand="0" w:evenHBand="0" w:firstRowFirstColumn="0" w:firstRowLastColumn="0" w:lastRowFirstColumn="0" w:lastRowLastColumn="0"/>
          <w:tblHeader/>
        </w:trPr>
        <w:tc>
          <w:tcPr>
            <w:tcW w:w="0" w:type="auto"/>
            <w:vMerge/>
            <w:tcBorders>
              <w:left w:val="nil"/>
              <w:bottom w:val="nil"/>
            </w:tcBorders>
            <w:hideMark/>
          </w:tcPr>
          <w:p w14:paraId="6A6316C4" w14:textId="77777777" w:rsidR="00C00311" w:rsidRDefault="00C00311">
            <w:pPr>
              <w:rPr>
                <w:sz w:val="18"/>
                <w:szCs w:val="18"/>
              </w:rPr>
            </w:pPr>
          </w:p>
        </w:tc>
        <w:tc>
          <w:tcPr>
            <w:tcW w:w="1556" w:type="dxa"/>
            <w:tcBorders>
              <w:bottom w:val="nil"/>
            </w:tcBorders>
            <w:hideMark/>
          </w:tcPr>
          <w:p w14:paraId="766D4846" w14:textId="77777777" w:rsidR="00C00311" w:rsidRDefault="00C00311">
            <w:pPr>
              <w:pStyle w:val="NormalWeb"/>
              <w:rPr>
                <w:sz w:val="18"/>
                <w:szCs w:val="18"/>
              </w:rPr>
            </w:pPr>
            <w:r>
              <w:rPr>
                <w:sz w:val="18"/>
                <w:szCs w:val="18"/>
              </w:rPr>
              <w:t>HPV</w:t>
            </w:r>
            <w:r>
              <w:rPr>
                <w:sz w:val="18"/>
                <w:szCs w:val="18"/>
              </w:rPr>
              <w:br/>
              <w:t>Dose 1</w:t>
            </w:r>
            <w:r>
              <w:rPr>
                <w:sz w:val="18"/>
                <w:szCs w:val="18"/>
              </w:rPr>
              <w:br/>
              <w:t>(n)</w:t>
            </w:r>
          </w:p>
        </w:tc>
        <w:tc>
          <w:tcPr>
            <w:tcW w:w="1556" w:type="dxa"/>
            <w:tcBorders>
              <w:bottom w:val="nil"/>
            </w:tcBorders>
            <w:hideMark/>
          </w:tcPr>
          <w:p w14:paraId="597A94EC" w14:textId="77777777" w:rsidR="00C00311" w:rsidRDefault="00C00311">
            <w:pPr>
              <w:pStyle w:val="NormalWeb"/>
              <w:rPr>
                <w:sz w:val="18"/>
                <w:szCs w:val="18"/>
              </w:rPr>
            </w:pPr>
            <w:r>
              <w:rPr>
                <w:sz w:val="18"/>
                <w:szCs w:val="18"/>
              </w:rPr>
              <w:t>% received HPV</w:t>
            </w:r>
            <w:r>
              <w:rPr>
                <w:sz w:val="18"/>
                <w:szCs w:val="18"/>
              </w:rPr>
              <w:br/>
              <w:t>Dose 2</w:t>
            </w:r>
            <w:r>
              <w:rPr>
                <w:sz w:val="18"/>
                <w:szCs w:val="18"/>
                <w:vertAlign w:val="superscript"/>
              </w:rPr>
              <w:t>d</w:t>
            </w:r>
          </w:p>
        </w:tc>
        <w:tc>
          <w:tcPr>
            <w:tcW w:w="1556" w:type="dxa"/>
            <w:tcBorders>
              <w:bottom w:val="nil"/>
            </w:tcBorders>
            <w:hideMark/>
          </w:tcPr>
          <w:p w14:paraId="4EB0065D" w14:textId="77777777" w:rsidR="00C00311" w:rsidRDefault="00C00311">
            <w:pPr>
              <w:pStyle w:val="NormalWeb"/>
              <w:rPr>
                <w:sz w:val="18"/>
                <w:szCs w:val="18"/>
              </w:rPr>
            </w:pPr>
            <w:proofErr w:type="spellStart"/>
            <w:r>
              <w:rPr>
                <w:sz w:val="18"/>
                <w:szCs w:val="18"/>
              </w:rPr>
              <w:t>dTpa</w:t>
            </w:r>
            <w:proofErr w:type="spellEnd"/>
            <w:r>
              <w:rPr>
                <w:sz w:val="18"/>
                <w:szCs w:val="18"/>
              </w:rPr>
              <w:br/>
              <w:t>(n)</w:t>
            </w:r>
          </w:p>
        </w:tc>
        <w:tc>
          <w:tcPr>
            <w:tcW w:w="1556" w:type="dxa"/>
            <w:tcBorders>
              <w:bottom w:val="nil"/>
            </w:tcBorders>
            <w:hideMark/>
          </w:tcPr>
          <w:p w14:paraId="51F0F573" w14:textId="77777777" w:rsidR="00C00311" w:rsidRDefault="00C00311">
            <w:pPr>
              <w:pStyle w:val="NormalWeb"/>
              <w:rPr>
                <w:sz w:val="18"/>
                <w:szCs w:val="18"/>
              </w:rPr>
            </w:pPr>
            <w:r>
              <w:rPr>
                <w:sz w:val="18"/>
                <w:szCs w:val="18"/>
              </w:rPr>
              <w:t>HPV</w:t>
            </w:r>
            <w:r>
              <w:rPr>
                <w:sz w:val="18"/>
                <w:szCs w:val="18"/>
              </w:rPr>
              <w:br/>
              <w:t>Dose 1</w:t>
            </w:r>
            <w:r>
              <w:rPr>
                <w:sz w:val="18"/>
                <w:szCs w:val="18"/>
              </w:rPr>
              <w:br/>
              <w:t>(n)</w:t>
            </w:r>
          </w:p>
        </w:tc>
        <w:tc>
          <w:tcPr>
            <w:tcW w:w="1556" w:type="dxa"/>
            <w:tcBorders>
              <w:bottom w:val="nil"/>
            </w:tcBorders>
            <w:hideMark/>
          </w:tcPr>
          <w:p w14:paraId="24052A8D" w14:textId="77777777" w:rsidR="00C00311" w:rsidRDefault="00C00311" w:rsidP="002129A3">
            <w:pPr>
              <w:pStyle w:val="NormalWeb"/>
              <w:rPr>
                <w:sz w:val="18"/>
                <w:szCs w:val="18"/>
              </w:rPr>
            </w:pPr>
            <w:r>
              <w:rPr>
                <w:sz w:val="18"/>
                <w:szCs w:val="18"/>
              </w:rPr>
              <w:t>% received HPV</w:t>
            </w:r>
            <w:r>
              <w:rPr>
                <w:sz w:val="18"/>
                <w:szCs w:val="18"/>
              </w:rPr>
              <w:br/>
              <w:t>Dose 2</w:t>
            </w:r>
            <w:r>
              <w:rPr>
                <w:sz w:val="18"/>
                <w:szCs w:val="18"/>
                <w:vertAlign w:val="superscript"/>
              </w:rPr>
              <w:t>d</w:t>
            </w:r>
          </w:p>
        </w:tc>
        <w:tc>
          <w:tcPr>
            <w:tcW w:w="1557" w:type="dxa"/>
            <w:tcBorders>
              <w:bottom w:val="nil"/>
              <w:right w:val="nil"/>
            </w:tcBorders>
            <w:hideMark/>
          </w:tcPr>
          <w:p w14:paraId="753E1AAB" w14:textId="77777777" w:rsidR="00C00311" w:rsidRDefault="00C00311">
            <w:pPr>
              <w:pStyle w:val="NormalWeb"/>
              <w:rPr>
                <w:sz w:val="18"/>
                <w:szCs w:val="18"/>
              </w:rPr>
            </w:pPr>
            <w:proofErr w:type="spellStart"/>
            <w:r>
              <w:rPr>
                <w:sz w:val="18"/>
                <w:szCs w:val="18"/>
              </w:rPr>
              <w:t>dTpa</w:t>
            </w:r>
            <w:proofErr w:type="spellEnd"/>
            <w:r>
              <w:rPr>
                <w:sz w:val="18"/>
                <w:szCs w:val="18"/>
              </w:rPr>
              <w:br/>
              <w:t>(n)</w:t>
            </w:r>
          </w:p>
        </w:tc>
      </w:tr>
      <w:tr w:rsidR="00C00311" w14:paraId="6E383A15" w14:textId="77777777" w:rsidTr="00C00311">
        <w:tc>
          <w:tcPr>
            <w:tcW w:w="0" w:type="auto"/>
            <w:hideMark/>
          </w:tcPr>
          <w:p w14:paraId="7D7772B2" w14:textId="77777777" w:rsidR="00C00311" w:rsidRDefault="00C00311">
            <w:pPr>
              <w:pStyle w:val="NormalWeb"/>
              <w:jc w:val="left"/>
              <w:rPr>
                <w:b/>
                <w:bCs/>
                <w:sz w:val="18"/>
                <w:szCs w:val="18"/>
              </w:rPr>
            </w:pPr>
            <w:r>
              <w:rPr>
                <w:b/>
                <w:bCs/>
                <w:sz w:val="18"/>
                <w:szCs w:val="18"/>
              </w:rPr>
              <w:t>ACT</w:t>
            </w:r>
          </w:p>
        </w:tc>
        <w:tc>
          <w:tcPr>
            <w:tcW w:w="1556" w:type="dxa"/>
            <w:hideMark/>
          </w:tcPr>
          <w:p w14:paraId="6A77FFB6" w14:textId="77777777" w:rsidR="00C00311" w:rsidRDefault="00C00311">
            <w:pPr>
              <w:pStyle w:val="NormalWeb"/>
              <w:rPr>
                <w:sz w:val="18"/>
                <w:szCs w:val="18"/>
              </w:rPr>
            </w:pPr>
            <w:r>
              <w:rPr>
                <w:sz w:val="18"/>
                <w:szCs w:val="18"/>
              </w:rPr>
              <w:t>2,620</w:t>
            </w:r>
          </w:p>
        </w:tc>
        <w:tc>
          <w:tcPr>
            <w:tcW w:w="1556" w:type="dxa"/>
            <w:hideMark/>
          </w:tcPr>
          <w:p w14:paraId="1899DC6F" w14:textId="77777777" w:rsidR="00C00311" w:rsidRDefault="00C00311">
            <w:pPr>
              <w:pStyle w:val="NormalWeb"/>
              <w:rPr>
                <w:sz w:val="18"/>
                <w:szCs w:val="18"/>
              </w:rPr>
            </w:pPr>
            <w:r>
              <w:rPr>
                <w:sz w:val="18"/>
                <w:szCs w:val="18"/>
              </w:rPr>
              <w:t>84.0</w:t>
            </w:r>
          </w:p>
        </w:tc>
        <w:tc>
          <w:tcPr>
            <w:tcW w:w="1556" w:type="dxa"/>
            <w:hideMark/>
          </w:tcPr>
          <w:p w14:paraId="61AA56B4" w14:textId="77777777" w:rsidR="00C00311" w:rsidRDefault="00C00311">
            <w:pPr>
              <w:pStyle w:val="NormalWeb"/>
              <w:rPr>
                <w:sz w:val="18"/>
                <w:szCs w:val="18"/>
              </w:rPr>
            </w:pPr>
            <w:r>
              <w:rPr>
                <w:sz w:val="18"/>
                <w:szCs w:val="18"/>
              </w:rPr>
              <w:t>2,640</w:t>
            </w:r>
          </w:p>
        </w:tc>
        <w:tc>
          <w:tcPr>
            <w:tcW w:w="1556" w:type="dxa"/>
            <w:hideMark/>
          </w:tcPr>
          <w:p w14:paraId="5ECD2310" w14:textId="77777777" w:rsidR="00C00311" w:rsidRDefault="00C00311">
            <w:pPr>
              <w:pStyle w:val="NormalWeb"/>
              <w:rPr>
                <w:sz w:val="18"/>
                <w:szCs w:val="18"/>
              </w:rPr>
            </w:pPr>
            <w:r>
              <w:rPr>
                <w:sz w:val="18"/>
                <w:szCs w:val="18"/>
              </w:rPr>
              <w:t>2,508</w:t>
            </w:r>
          </w:p>
        </w:tc>
        <w:tc>
          <w:tcPr>
            <w:tcW w:w="1556" w:type="dxa"/>
            <w:hideMark/>
          </w:tcPr>
          <w:p w14:paraId="7EC6F753" w14:textId="77777777" w:rsidR="00C00311" w:rsidRDefault="00C00311">
            <w:pPr>
              <w:pStyle w:val="NormalWeb"/>
              <w:rPr>
                <w:sz w:val="18"/>
                <w:szCs w:val="18"/>
              </w:rPr>
            </w:pPr>
            <w:r>
              <w:rPr>
                <w:sz w:val="18"/>
                <w:szCs w:val="18"/>
              </w:rPr>
              <w:t>84.1</w:t>
            </w:r>
          </w:p>
        </w:tc>
        <w:tc>
          <w:tcPr>
            <w:tcW w:w="1557" w:type="dxa"/>
            <w:hideMark/>
          </w:tcPr>
          <w:p w14:paraId="320B152D" w14:textId="77777777" w:rsidR="00C00311" w:rsidRDefault="00C00311">
            <w:pPr>
              <w:pStyle w:val="NormalWeb"/>
              <w:rPr>
                <w:sz w:val="18"/>
                <w:szCs w:val="18"/>
              </w:rPr>
            </w:pPr>
            <w:r>
              <w:rPr>
                <w:sz w:val="18"/>
                <w:szCs w:val="18"/>
              </w:rPr>
              <w:t>2,378</w:t>
            </w:r>
          </w:p>
        </w:tc>
      </w:tr>
      <w:tr w:rsidR="00C00311" w14:paraId="4ADA64CE" w14:textId="77777777" w:rsidTr="00C00311">
        <w:trPr>
          <w:cnfStyle w:val="000000010000" w:firstRow="0" w:lastRow="0" w:firstColumn="0" w:lastColumn="0" w:oddVBand="0" w:evenVBand="0" w:oddHBand="0" w:evenHBand="1" w:firstRowFirstColumn="0" w:firstRowLastColumn="0" w:lastRowFirstColumn="0" w:lastRowLastColumn="0"/>
        </w:trPr>
        <w:tc>
          <w:tcPr>
            <w:tcW w:w="0" w:type="auto"/>
            <w:hideMark/>
          </w:tcPr>
          <w:p w14:paraId="7E19368E" w14:textId="77777777" w:rsidR="00C00311" w:rsidRDefault="00C00311">
            <w:pPr>
              <w:pStyle w:val="NormalWeb"/>
              <w:jc w:val="left"/>
              <w:rPr>
                <w:b/>
                <w:bCs/>
                <w:sz w:val="18"/>
                <w:szCs w:val="18"/>
              </w:rPr>
            </w:pPr>
            <w:r>
              <w:rPr>
                <w:b/>
                <w:bCs/>
                <w:sz w:val="18"/>
                <w:szCs w:val="18"/>
              </w:rPr>
              <w:t>NSW</w:t>
            </w:r>
          </w:p>
        </w:tc>
        <w:tc>
          <w:tcPr>
            <w:tcW w:w="1556" w:type="dxa"/>
            <w:hideMark/>
          </w:tcPr>
          <w:p w14:paraId="284EDA67" w14:textId="77777777" w:rsidR="00C00311" w:rsidRDefault="00C00311">
            <w:pPr>
              <w:pStyle w:val="NormalWeb"/>
              <w:rPr>
                <w:sz w:val="18"/>
                <w:szCs w:val="18"/>
              </w:rPr>
            </w:pPr>
            <w:r>
              <w:rPr>
                <w:sz w:val="18"/>
                <w:szCs w:val="18"/>
              </w:rPr>
              <w:t>45,052</w:t>
            </w:r>
          </w:p>
        </w:tc>
        <w:tc>
          <w:tcPr>
            <w:tcW w:w="1556" w:type="dxa"/>
            <w:hideMark/>
          </w:tcPr>
          <w:p w14:paraId="741D5BC9" w14:textId="77777777" w:rsidR="00C00311" w:rsidRDefault="00C00311">
            <w:pPr>
              <w:pStyle w:val="NormalWeb"/>
              <w:rPr>
                <w:sz w:val="18"/>
                <w:szCs w:val="18"/>
              </w:rPr>
            </w:pPr>
            <w:r>
              <w:rPr>
                <w:sz w:val="18"/>
                <w:szCs w:val="18"/>
              </w:rPr>
              <w:t>83.0</w:t>
            </w:r>
          </w:p>
        </w:tc>
        <w:tc>
          <w:tcPr>
            <w:tcW w:w="1556" w:type="dxa"/>
            <w:hideMark/>
          </w:tcPr>
          <w:p w14:paraId="25571AF8" w14:textId="77777777" w:rsidR="00C00311" w:rsidRDefault="00C00311">
            <w:pPr>
              <w:pStyle w:val="NormalWeb"/>
              <w:rPr>
                <w:sz w:val="18"/>
                <w:szCs w:val="18"/>
              </w:rPr>
            </w:pPr>
            <w:r>
              <w:rPr>
                <w:sz w:val="18"/>
                <w:szCs w:val="18"/>
              </w:rPr>
              <w:t>46,276</w:t>
            </w:r>
          </w:p>
        </w:tc>
        <w:tc>
          <w:tcPr>
            <w:tcW w:w="1556" w:type="dxa"/>
            <w:hideMark/>
          </w:tcPr>
          <w:p w14:paraId="19B253C5" w14:textId="77777777" w:rsidR="00C00311" w:rsidRDefault="00C00311">
            <w:pPr>
              <w:pStyle w:val="NormalWeb"/>
              <w:rPr>
                <w:sz w:val="18"/>
                <w:szCs w:val="18"/>
              </w:rPr>
            </w:pPr>
            <w:r>
              <w:rPr>
                <w:sz w:val="18"/>
                <w:szCs w:val="18"/>
              </w:rPr>
              <w:t>41,870</w:t>
            </w:r>
          </w:p>
        </w:tc>
        <w:tc>
          <w:tcPr>
            <w:tcW w:w="1556" w:type="dxa"/>
            <w:hideMark/>
          </w:tcPr>
          <w:p w14:paraId="69445E77" w14:textId="77777777" w:rsidR="00C00311" w:rsidRDefault="00C00311">
            <w:pPr>
              <w:pStyle w:val="NormalWeb"/>
              <w:rPr>
                <w:sz w:val="18"/>
                <w:szCs w:val="18"/>
              </w:rPr>
            </w:pPr>
            <w:r>
              <w:rPr>
                <w:sz w:val="18"/>
                <w:szCs w:val="18"/>
              </w:rPr>
              <w:t>69.1</w:t>
            </w:r>
          </w:p>
        </w:tc>
        <w:tc>
          <w:tcPr>
            <w:tcW w:w="1557" w:type="dxa"/>
            <w:hideMark/>
          </w:tcPr>
          <w:p w14:paraId="7EE8FA61" w14:textId="77777777" w:rsidR="00C00311" w:rsidRDefault="00C00311">
            <w:pPr>
              <w:pStyle w:val="NormalWeb"/>
              <w:rPr>
                <w:sz w:val="18"/>
                <w:szCs w:val="18"/>
              </w:rPr>
            </w:pPr>
            <w:r>
              <w:rPr>
                <w:sz w:val="18"/>
                <w:szCs w:val="18"/>
              </w:rPr>
              <w:t>42,173</w:t>
            </w:r>
          </w:p>
        </w:tc>
      </w:tr>
      <w:tr w:rsidR="00C00311" w14:paraId="1D2AD339" w14:textId="77777777" w:rsidTr="00C00311">
        <w:tc>
          <w:tcPr>
            <w:tcW w:w="0" w:type="auto"/>
            <w:hideMark/>
          </w:tcPr>
          <w:p w14:paraId="375A1F8F" w14:textId="77777777" w:rsidR="00C00311" w:rsidRDefault="00C00311">
            <w:pPr>
              <w:pStyle w:val="NormalWeb"/>
              <w:jc w:val="left"/>
              <w:rPr>
                <w:b/>
                <w:bCs/>
                <w:sz w:val="18"/>
                <w:szCs w:val="18"/>
              </w:rPr>
            </w:pPr>
            <w:r>
              <w:rPr>
                <w:b/>
                <w:bCs/>
                <w:sz w:val="18"/>
                <w:szCs w:val="18"/>
              </w:rPr>
              <w:t>NT</w:t>
            </w:r>
          </w:p>
        </w:tc>
        <w:tc>
          <w:tcPr>
            <w:tcW w:w="1556" w:type="dxa"/>
            <w:hideMark/>
          </w:tcPr>
          <w:p w14:paraId="177979EF" w14:textId="77777777" w:rsidR="00C00311" w:rsidRDefault="00C00311">
            <w:pPr>
              <w:pStyle w:val="NormalWeb"/>
              <w:rPr>
                <w:sz w:val="18"/>
                <w:szCs w:val="18"/>
              </w:rPr>
            </w:pPr>
            <w:r>
              <w:rPr>
                <w:sz w:val="18"/>
                <w:szCs w:val="18"/>
              </w:rPr>
              <w:t>1,495</w:t>
            </w:r>
          </w:p>
        </w:tc>
        <w:tc>
          <w:tcPr>
            <w:tcW w:w="1556" w:type="dxa"/>
            <w:hideMark/>
          </w:tcPr>
          <w:p w14:paraId="2A477628" w14:textId="77777777" w:rsidR="00C00311" w:rsidRDefault="00C00311">
            <w:pPr>
              <w:pStyle w:val="NormalWeb"/>
              <w:rPr>
                <w:sz w:val="18"/>
                <w:szCs w:val="18"/>
              </w:rPr>
            </w:pPr>
            <w:r>
              <w:rPr>
                <w:sz w:val="18"/>
                <w:szCs w:val="18"/>
              </w:rPr>
              <w:t>60.2</w:t>
            </w:r>
          </w:p>
        </w:tc>
        <w:tc>
          <w:tcPr>
            <w:tcW w:w="1556" w:type="dxa"/>
            <w:hideMark/>
          </w:tcPr>
          <w:p w14:paraId="128C9614" w14:textId="77777777" w:rsidR="00C00311" w:rsidRDefault="00C00311">
            <w:pPr>
              <w:pStyle w:val="NormalWeb"/>
              <w:rPr>
                <w:sz w:val="18"/>
                <w:szCs w:val="18"/>
              </w:rPr>
            </w:pPr>
            <w:r>
              <w:rPr>
                <w:sz w:val="18"/>
                <w:szCs w:val="18"/>
              </w:rPr>
              <w:t>1,534</w:t>
            </w:r>
          </w:p>
        </w:tc>
        <w:tc>
          <w:tcPr>
            <w:tcW w:w="1556" w:type="dxa"/>
            <w:hideMark/>
          </w:tcPr>
          <w:p w14:paraId="366643ED" w14:textId="77777777" w:rsidR="00C00311" w:rsidRDefault="00C00311">
            <w:pPr>
              <w:pStyle w:val="NormalWeb"/>
              <w:rPr>
                <w:sz w:val="18"/>
                <w:szCs w:val="18"/>
              </w:rPr>
            </w:pPr>
            <w:r>
              <w:rPr>
                <w:sz w:val="18"/>
                <w:szCs w:val="18"/>
              </w:rPr>
              <w:t>1,370</w:t>
            </w:r>
          </w:p>
        </w:tc>
        <w:tc>
          <w:tcPr>
            <w:tcW w:w="1556" w:type="dxa"/>
            <w:hideMark/>
          </w:tcPr>
          <w:p w14:paraId="0C489997" w14:textId="77777777" w:rsidR="00C00311" w:rsidRDefault="00C00311">
            <w:pPr>
              <w:pStyle w:val="NormalWeb"/>
              <w:rPr>
                <w:sz w:val="18"/>
                <w:szCs w:val="18"/>
              </w:rPr>
            </w:pPr>
            <w:r>
              <w:rPr>
                <w:sz w:val="18"/>
                <w:szCs w:val="18"/>
              </w:rPr>
              <w:t>60.1</w:t>
            </w:r>
          </w:p>
        </w:tc>
        <w:tc>
          <w:tcPr>
            <w:tcW w:w="1557" w:type="dxa"/>
            <w:hideMark/>
          </w:tcPr>
          <w:p w14:paraId="5838FC10" w14:textId="77777777" w:rsidR="00C00311" w:rsidRDefault="00C00311">
            <w:pPr>
              <w:pStyle w:val="NormalWeb"/>
              <w:rPr>
                <w:sz w:val="18"/>
                <w:szCs w:val="18"/>
              </w:rPr>
            </w:pPr>
            <w:r>
              <w:rPr>
                <w:sz w:val="18"/>
                <w:szCs w:val="18"/>
              </w:rPr>
              <w:t>1,356</w:t>
            </w:r>
          </w:p>
        </w:tc>
      </w:tr>
      <w:tr w:rsidR="00C00311" w14:paraId="047F6A09" w14:textId="77777777" w:rsidTr="00C00311">
        <w:trPr>
          <w:cnfStyle w:val="000000010000" w:firstRow="0" w:lastRow="0" w:firstColumn="0" w:lastColumn="0" w:oddVBand="0" w:evenVBand="0" w:oddHBand="0" w:evenHBand="1" w:firstRowFirstColumn="0" w:firstRowLastColumn="0" w:lastRowFirstColumn="0" w:lastRowLastColumn="0"/>
        </w:trPr>
        <w:tc>
          <w:tcPr>
            <w:tcW w:w="0" w:type="auto"/>
            <w:hideMark/>
          </w:tcPr>
          <w:p w14:paraId="0EF5EA48" w14:textId="77777777" w:rsidR="00C00311" w:rsidRDefault="00C00311">
            <w:pPr>
              <w:pStyle w:val="NormalWeb"/>
              <w:jc w:val="left"/>
              <w:rPr>
                <w:b/>
                <w:bCs/>
                <w:sz w:val="18"/>
                <w:szCs w:val="18"/>
              </w:rPr>
            </w:pPr>
            <w:r>
              <w:rPr>
                <w:b/>
                <w:bCs/>
                <w:sz w:val="18"/>
                <w:szCs w:val="18"/>
              </w:rPr>
              <w:t>Qld</w:t>
            </w:r>
          </w:p>
        </w:tc>
        <w:tc>
          <w:tcPr>
            <w:tcW w:w="1556" w:type="dxa"/>
            <w:hideMark/>
          </w:tcPr>
          <w:p w14:paraId="0B2984F5" w14:textId="77777777" w:rsidR="00C00311" w:rsidRDefault="00C00311">
            <w:pPr>
              <w:pStyle w:val="NormalWeb"/>
              <w:rPr>
                <w:sz w:val="18"/>
                <w:szCs w:val="18"/>
              </w:rPr>
            </w:pPr>
            <w:r>
              <w:rPr>
                <w:sz w:val="18"/>
                <w:szCs w:val="18"/>
              </w:rPr>
              <w:t>30,599</w:t>
            </w:r>
          </w:p>
        </w:tc>
        <w:tc>
          <w:tcPr>
            <w:tcW w:w="1556" w:type="dxa"/>
            <w:hideMark/>
          </w:tcPr>
          <w:p w14:paraId="52DE5257" w14:textId="77777777" w:rsidR="00C00311" w:rsidRDefault="00C00311">
            <w:pPr>
              <w:pStyle w:val="NormalWeb"/>
              <w:rPr>
                <w:sz w:val="18"/>
                <w:szCs w:val="18"/>
              </w:rPr>
            </w:pPr>
            <w:r>
              <w:rPr>
                <w:sz w:val="18"/>
                <w:szCs w:val="18"/>
              </w:rPr>
              <w:t>81.9</w:t>
            </w:r>
          </w:p>
        </w:tc>
        <w:tc>
          <w:tcPr>
            <w:tcW w:w="1556" w:type="dxa"/>
            <w:hideMark/>
          </w:tcPr>
          <w:p w14:paraId="3609BB4F" w14:textId="77777777" w:rsidR="00C00311" w:rsidRDefault="00C00311">
            <w:pPr>
              <w:pStyle w:val="NormalWeb"/>
              <w:rPr>
                <w:sz w:val="18"/>
                <w:szCs w:val="18"/>
              </w:rPr>
            </w:pPr>
            <w:r>
              <w:rPr>
                <w:sz w:val="18"/>
                <w:szCs w:val="18"/>
              </w:rPr>
              <w:t>31,554</w:t>
            </w:r>
          </w:p>
        </w:tc>
        <w:tc>
          <w:tcPr>
            <w:tcW w:w="1556" w:type="dxa"/>
            <w:hideMark/>
          </w:tcPr>
          <w:p w14:paraId="2E638829" w14:textId="77777777" w:rsidR="00C00311" w:rsidRDefault="00C00311">
            <w:pPr>
              <w:pStyle w:val="NormalWeb"/>
              <w:rPr>
                <w:sz w:val="18"/>
                <w:szCs w:val="18"/>
              </w:rPr>
            </w:pPr>
            <w:r>
              <w:rPr>
                <w:sz w:val="18"/>
                <w:szCs w:val="18"/>
              </w:rPr>
              <w:t>29,838</w:t>
            </w:r>
          </w:p>
        </w:tc>
        <w:tc>
          <w:tcPr>
            <w:tcW w:w="1556" w:type="dxa"/>
            <w:hideMark/>
          </w:tcPr>
          <w:p w14:paraId="3B6B6B28" w14:textId="77777777" w:rsidR="00C00311" w:rsidRDefault="00C00311">
            <w:pPr>
              <w:pStyle w:val="NormalWeb"/>
              <w:rPr>
                <w:sz w:val="18"/>
                <w:szCs w:val="18"/>
              </w:rPr>
            </w:pPr>
            <w:r>
              <w:rPr>
                <w:sz w:val="18"/>
                <w:szCs w:val="18"/>
              </w:rPr>
              <w:t>75.7</w:t>
            </w:r>
          </w:p>
        </w:tc>
        <w:tc>
          <w:tcPr>
            <w:tcW w:w="1557" w:type="dxa"/>
            <w:hideMark/>
          </w:tcPr>
          <w:p w14:paraId="22FAA457" w14:textId="77777777" w:rsidR="00C00311" w:rsidRDefault="00C00311">
            <w:pPr>
              <w:pStyle w:val="NormalWeb"/>
              <w:rPr>
                <w:sz w:val="18"/>
                <w:szCs w:val="18"/>
              </w:rPr>
            </w:pPr>
            <w:r>
              <w:rPr>
                <w:sz w:val="18"/>
                <w:szCs w:val="18"/>
              </w:rPr>
              <w:t>30,081</w:t>
            </w:r>
          </w:p>
        </w:tc>
      </w:tr>
      <w:tr w:rsidR="00C00311" w14:paraId="1AAA6550" w14:textId="77777777" w:rsidTr="00C00311">
        <w:tc>
          <w:tcPr>
            <w:tcW w:w="0" w:type="auto"/>
            <w:hideMark/>
          </w:tcPr>
          <w:p w14:paraId="2713993D" w14:textId="77777777" w:rsidR="00C00311" w:rsidRDefault="00C00311">
            <w:pPr>
              <w:pStyle w:val="NormalWeb"/>
              <w:jc w:val="left"/>
              <w:rPr>
                <w:b/>
                <w:bCs/>
                <w:sz w:val="18"/>
                <w:szCs w:val="18"/>
              </w:rPr>
            </w:pPr>
            <w:r>
              <w:rPr>
                <w:b/>
                <w:bCs/>
                <w:sz w:val="18"/>
                <w:szCs w:val="18"/>
              </w:rPr>
              <w:t>SA</w:t>
            </w:r>
          </w:p>
        </w:tc>
        <w:tc>
          <w:tcPr>
            <w:tcW w:w="1556" w:type="dxa"/>
            <w:hideMark/>
          </w:tcPr>
          <w:p w14:paraId="35EA74F4" w14:textId="77777777" w:rsidR="00C00311" w:rsidRDefault="00C00311">
            <w:pPr>
              <w:pStyle w:val="NormalWeb"/>
              <w:rPr>
                <w:sz w:val="18"/>
                <w:szCs w:val="18"/>
              </w:rPr>
            </w:pPr>
            <w:r>
              <w:rPr>
                <w:sz w:val="18"/>
                <w:szCs w:val="18"/>
              </w:rPr>
              <w:t>9,221</w:t>
            </w:r>
          </w:p>
        </w:tc>
        <w:tc>
          <w:tcPr>
            <w:tcW w:w="1556" w:type="dxa"/>
            <w:hideMark/>
          </w:tcPr>
          <w:p w14:paraId="7E958C87" w14:textId="77777777" w:rsidR="00C00311" w:rsidRDefault="00C00311">
            <w:pPr>
              <w:pStyle w:val="NormalWeb"/>
              <w:rPr>
                <w:sz w:val="18"/>
                <w:szCs w:val="18"/>
              </w:rPr>
            </w:pPr>
            <w:r>
              <w:rPr>
                <w:sz w:val="18"/>
                <w:szCs w:val="18"/>
              </w:rPr>
              <w:t>85.1</w:t>
            </w:r>
          </w:p>
        </w:tc>
        <w:tc>
          <w:tcPr>
            <w:tcW w:w="1556" w:type="dxa"/>
            <w:hideMark/>
          </w:tcPr>
          <w:p w14:paraId="4A3D19B8" w14:textId="77777777" w:rsidR="00C00311" w:rsidRDefault="00C00311">
            <w:pPr>
              <w:pStyle w:val="NormalWeb"/>
              <w:rPr>
                <w:sz w:val="18"/>
                <w:szCs w:val="18"/>
              </w:rPr>
            </w:pPr>
            <w:r>
              <w:rPr>
                <w:sz w:val="18"/>
                <w:szCs w:val="18"/>
              </w:rPr>
              <w:t>9,523</w:t>
            </w:r>
          </w:p>
        </w:tc>
        <w:tc>
          <w:tcPr>
            <w:tcW w:w="1556" w:type="dxa"/>
            <w:hideMark/>
          </w:tcPr>
          <w:p w14:paraId="2510794B" w14:textId="77777777" w:rsidR="00C00311" w:rsidRDefault="00C00311">
            <w:pPr>
              <w:pStyle w:val="NormalWeb"/>
              <w:rPr>
                <w:sz w:val="18"/>
                <w:szCs w:val="18"/>
              </w:rPr>
            </w:pPr>
            <w:r>
              <w:rPr>
                <w:sz w:val="18"/>
                <w:szCs w:val="18"/>
              </w:rPr>
              <w:t>8,932</w:t>
            </w:r>
          </w:p>
        </w:tc>
        <w:tc>
          <w:tcPr>
            <w:tcW w:w="1556" w:type="dxa"/>
            <w:hideMark/>
          </w:tcPr>
          <w:p w14:paraId="0409F6BC" w14:textId="77777777" w:rsidR="00C00311" w:rsidRDefault="00C00311">
            <w:pPr>
              <w:pStyle w:val="NormalWeb"/>
              <w:rPr>
                <w:sz w:val="18"/>
                <w:szCs w:val="18"/>
              </w:rPr>
            </w:pPr>
            <w:r>
              <w:rPr>
                <w:sz w:val="18"/>
                <w:szCs w:val="18"/>
              </w:rPr>
              <w:t>81.2</w:t>
            </w:r>
          </w:p>
        </w:tc>
        <w:tc>
          <w:tcPr>
            <w:tcW w:w="1557" w:type="dxa"/>
            <w:hideMark/>
          </w:tcPr>
          <w:p w14:paraId="0D4B3E86" w14:textId="77777777" w:rsidR="00C00311" w:rsidRDefault="00C00311">
            <w:pPr>
              <w:pStyle w:val="NormalWeb"/>
              <w:rPr>
                <w:sz w:val="18"/>
                <w:szCs w:val="18"/>
              </w:rPr>
            </w:pPr>
            <w:r>
              <w:rPr>
                <w:sz w:val="18"/>
                <w:szCs w:val="18"/>
              </w:rPr>
              <w:t>9,120</w:t>
            </w:r>
          </w:p>
        </w:tc>
      </w:tr>
      <w:tr w:rsidR="00C00311" w14:paraId="51210B1C" w14:textId="77777777" w:rsidTr="00C00311">
        <w:trPr>
          <w:cnfStyle w:val="000000010000" w:firstRow="0" w:lastRow="0" w:firstColumn="0" w:lastColumn="0" w:oddVBand="0" w:evenVBand="0" w:oddHBand="0" w:evenHBand="1" w:firstRowFirstColumn="0" w:firstRowLastColumn="0" w:lastRowFirstColumn="0" w:lastRowLastColumn="0"/>
        </w:trPr>
        <w:tc>
          <w:tcPr>
            <w:tcW w:w="0" w:type="auto"/>
            <w:hideMark/>
          </w:tcPr>
          <w:p w14:paraId="15FD5E3F" w14:textId="77777777" w:rsidR="00C00311" w:rsidRDefault="00C00311">
            <w:pPr>
              <w:pStyle w:val="NormalWeb"/>
              <w:jc w:val="left"/>
              <w:rPr>
                <w:b/>
                <w:bCs/>
                <w:sz w:val="18"/>
                <w:szCs w:val="18"/>
              </w:rPr>
            </w:pPr>
            <w:r>
              <w:rPr>
                <w:b/>
                <w:bCs/>
                <w:sz w:val="18"/>
                <w:szCs w:val="18"/>
              </w:rPr>
              <w:t>Tas.</w:t>
            </w:r>
          </w:p>
        </w:tc>
        <w:tc>
          <w:tcPr>
            <w:tcW w:w="1556" w:type="dxa"/>
            <w:hideMark/>
          </w:tcPr>
          <w:p w14:paraId="3415427F" w14:textId="77777777" w:rsidR="00C00311" w:rsidRDefault="00C00311">
            <w:pPr>
              <w:pStyle w:val="NormalWeb"/>
              <w:rPr>
                <w:sz w:val="18"/>
                <w:szCs w:val="18"/>
              </w:rPr>
            </w:pPr>
            <w:r>
              <w:rPr>
                <w:sz w:val="18"/>
                <w:szCs w:val="18"/>
              </w:rPr>
              <w:t>2,877</w:t>
            </w:r>
          </w:p>
        </w:tc>
        <w:tc>
          <w:tcPr>
            <w:tcW w:w="1556" w:type="dxa"/>
            <w:hideMark/>
          </w:tcPr>
          <w:p w14:paraId="2EA4D10A" w14:textId="77777777" w:rsidR="00C00311" w:rsidRDefault="00C00311">
            <w:pPr>
              <w:pStyle w:val="NormalWeb"/>
              <w:rPr>
                <w:sz w:val="18"/>
                <w:szCs w:val="18"/>
              </w:rPr>
            </w:pPr>
            <w:r>
              <w:rPr>
                <w:sz w:val="18"/>
                <w:szCs w:val="18"/>
              </w:rPr>
              <w:t>81.0</w:t>
            </w:r>
          </w:p>
        </w:tc>
        <w:tc>
          <w:tcPr>
            <w:tcW w:w="1556" w:type="dxa"/>
            <w:hideMark/>
          </w:tcPr>
          <w:p w14:paraId="03F42A61" w14:textId="77777777" w:rsidR="00C00311" w:rsidRDefault="00C00311">
            <w:pPr>
              <w:pStyle w:val="NormalWeb"/>
              <w:rPr>
                <w:sz w:val="18"/>
                <w:szCs w:val="18"/>
              </w:rPr>
            </w:pPr>
            <w:r>
              <w:rPr>
                <w:sz w:val="18"/>
                <w:szCs w:val="18"/>
              </w:rPr>
              <w:t>2,941</w:t>
            </w:r>
          </w:p>
        </w:tc>
        <w:tc>
          <w:tcPr>
            <w:tcW w:w="1556" w:type="dxa"/>
            <w:hideMark/>
          </w:tcPr>
          <w:p w14:paraId="490A7220" w14:textId="77777777" w:rsidR="00C00311" w:rsidRDefault="00C00311">
            <w:pPr>
              <w:pStyle w:val="NormalWeb"/>
              <w:rPr>
                <w:sz w:val="18"/>
                <w:szCs w:val="18"/>
              </w:rPr>
            </w:pPr>
            <w:r>
              <w:rPr>
                <w:sz w:val="18"/>
                <w:szCs w:val="18"/>
              </w:rPr>
              <w:t>2,545</w:t>
            </w:r>
          </w:p>
        </w:tc>
        <w:tc>
          <w:tcPr>
            <w:tcW w:w="1556" w:type="dxa"/>
            <w:hideMark/>
          </w:tcPr>
          <w:p w14:paraId="30C919E1" w14:textId="77777777" w:rsidR="00C00311" w:rsidRDefault="00C00311">
            <w:pPr>
              <w:pStyle w:val="NormalWeb"/>
              <w:rPr>
                <w:sz w:val="18"/>
                <w:szCs w:val="18"/>
              </w:rPr>
            </w:pPr>
            <w:r>
              <w:rPr>
                <w:sz w:val="18"/>
                <w:szCs w:val="18"/>
              </w:rPr>
              <w:t>67.5</w:t>
            </w:r>
          </w:p>
        </w:tc>
        <w:tc>
          <w:tcPr>
            <w:tcW w:w="1557" w:type="dxa"/>
            <w:hideMark/>
          </w:tcPr>
          <w:p w14:paraId="2DF2A7ED" w14:textId="77777777" w:rsidR="00C00311" w:rsidRDefault="00C00311">
            <w:pPr>
              <w:pStyle w:val="NormalWeb"/>
              <w:rPr>
                <w:sz w:val="18"/>
                <w:szCs w:val="18"/>
              </w:rPr>
            </w:pPr>
            <w:r>
              <w:rPr>
                <w:sz w:val="18"/>
                <w:szCs w:val="18"/>
              </w:rPr>
              <w:t>2,532</w:t>
            </w:r>
          </w:p>
        </w:tc>
      </w:tr>
      <w:tr w:rsidR="00C00311" w14:paraId="4064DB34" w14:textId="77777777" w:rsidTr="00C00311">
        <w:tc>
          <w:tcPr>
            <w:tcW w:w="0" w:type="auto"/>
            <w:hideMark/>
          </w:tcPr>
          <w:p w14:paraId="7BB40D1B" w14:textId="77777777" w:rsidR="00C00311" w:rsidRDefault="00C00311">
            <w:pPr>
              <w:pStyle w:val="NormalWeb"/>
              <w:jc w:val="left"/>
              <w:rPr>
                <w:b/>
                <w:bCs/>
                <w:sz w:val="18"/>
                <w:szCs w:val="18"/>
              </w:rPr>
            </w:pPr>
            <w:r>
              <w:rPr>
                <w:b/>
                <w:bCs/>
                <w:sz w:val="18"/>
                <w:szCs w:val="18"/>
              </w:rPr>
              <w:t>Vic.</w:t>
            </w:r>
          </w:p>
        </w:tc>
        <w:tc>
          <w:tcPr>
            <w:tcW w:w="1556" w:type="dxa"/>
            <w:hideMark/>
          </w:tcPr>
          <w:p w14:paraId="4567C024" w14:textId="77777777" w:rsidR="00C00311" w:rsidRDefault="00C00311">
            <w:pPr>
              <w:pStyle w:val="NormalWeb"/>
              <w:rPr>
                <w:sz w:val="18"/>
                <w:szCs w:val="18"/>
              </w:rPr>
            </w:pPr>
            <w:r>
              <w:rPr>
                <w:sz w:val="18"/>
                <w:szCs w:val="18"/>
              </w:rPr>
              <w:t>35,147</w:t>
            </w:r>
          </w:p>
        </w:tc>
        <w:tc>
          <w:tcPr>
            <w:tcW w:w="1556" w:type="dxa"/>
            <w:hideMark/>
          </w:tcPr>
          <w:p w14:paraId="3842FE52" w14:textId="77777777" w:rsidR="00C00311" w:rsidRDefault="00C00311">
            <w:pPr>
              <w:pStyle w:val="NormalWeb"/>
              <w:rPr>
                <w:sz w:val="18"/>
                <w:szCs w:val="18"/>
              </w:rPr>
            </w:pPr>
            <w:r>
              <w:rPr>
                <w:sz w:val="18"/>
                <w:szCs w:val="18"/>
              </w:rPr>
              <w:t>86.2</w:t>
            </w:r>
          </w:p>
        </w:tc>
        <w:tc>
          <w:tcPr>
            <w:tcW w:w="1556" w:type="dxa"/>
            <w:hideMark/>
          </w:tcPr>
          <w:p w14:paraId="7D235013" w14:textId="77777777" w:rsidR="00C00311" w:rsidRDefault="00C00311">
            <w:pPr>
              <w:pStyle w:val="NormalWeb"/>
              <w:rPr>
                <w:sz w:val="18"/>
                <w:szCs w:val="18"/>
              </w:rPr>
            </w:pPr>
            <w:r>
              <w:rPr>
                <w:sz w:val="18"/>
                <w:szCs w:val="18"/>
              </w:rPr>
              <w:t>36,170</w:t>
            </w:r>
          </w:p>
        </w:tc>
        <w:tc>
          <w:tcPr>
            <w:tcW w:w="1556" w:type="dxa"/>
            <w:hideMark/>
          </w:tcPr>
          <w:p w14:paraId="4EC3E342" w14:textId="77777777" w:rsidR="00C00311" w:rsidRDefault="00C00311">
            <w:pPr>
              <w:pStyle w:val="NormalWeb"/>
              <w:rPr>
                <w:sz w:val="18"/>
                <w:szCs w:val="18"/>
              </w:rPr>
            </w:pPr>
            <w:r>
              <w:rPr>
                <w:sz w:val="18"/>
                <w:szCs w:val="18"/>
              </w:rPr>
              <w:t>35,029</w:t>
            </w:r>
          </w:p>
        </w:tc>
        <w:tc>
          <w:tcPr>
            <w:tcW w:w="1556" w:type="dxa"/>
            <w:hideMark/>
          </w:tcPr>
          <w:p w14:paraId="4BF24CA4" w14:textId="77777777" w:rsidR="00C00311" w:rsidRDefault="00C00311">
            <w:pPr>
              <w:pStyle w:val="NormalWeb"/>
              <w:rPr>
                <w:sz w:val="18"/>
                <w:szCs w:val="18"/>
              </w:rPr>
            </w:pPr>
            <w:r>
              <w:rPr>
                <w:sz w:val="18"/>
                <w:szCs w:val="18"/>
              </w:rPr>
              <w:t>69.5</w:t>
            </w:r>
          </w:p>
        </w:tc>
        <w:tc>
          <w:tcPr>
            <w:tcW w:w="1557" w:type="dxa"/>
            <w:hideMark/>
          </w:tcPr>
          <w:p w14:paraId="29731E79" w14:textId="77777777" w:rsidR="00C00311" w:rsidRDefault="00C00311">
            <w:pPr>
              <w:pStyle w:val="NormalWeb"/>
              <w:rPr>
                <w:sz w:val="18"/>
                <w:szCs w:val="18"/>
              </w:rPr>
            </w:pPr>
            <w:r>
              <w:rPr>
                <w:sz w:val="18"/>
                <w:szCs w:val="18"/>
              </w:rPr>
              <w:t>34,834</w:t>
            </w:r>
          </w:p>
        </w:tc>
      </w:tr>
      <w:tr w:rsidR="00C00311" w14:paraId="28642A6C" w14:textId="77777777" w:rsidTr="00C00311">
        <w:trPr>
          <w:cnfStyle w:val="000000010000" w:firstRow="0" w:lastRow="0" w:firstColumn="0" w:lastColumn="0" w:oddVBand="0" w:evenVBand="0" w:oddHBand="0" w:evenHBand="1" w:firstRowFirstColumn="0" w:firstRowLastColumn="0" w:lastRowFirstColumn="0" w:lastRowLastColumn="0"/>
        </w:trPr>
        <w:tc>
          <w:tcPr>
            <w:tcW w:w="0" w:type="auto"/>
            <w:tcBorders>
              <w:top w:val="nil"/>
              <w:left w:val="nil"/>
              <w:bottom w:val="single" w:sz="2" w:space="0" w:color="auto"/>
              <w:right w:val="nil"/>
            </w:tcBorders>
            <w:hideMark/>
          </w:tcPr>
          <w:p w14:paraId="783A2C29" w14:textId="77777777" w:rsidR="00C00311" w:rsidRDefault="00C00311">
            <w:pPr>
              <w:pStyle w:val="NormalWeb"/>
              <w:jc w:val="left"/>
              <w:rPr>
                <w:b/>
                <w:bCs/>
                <w:sz w:val="18"/>
                <w:szCs w:val="18"/>
              </w:rPr>
            </w:pPr>
            <w:r>
              <w:rPr>
                <w:b/>
                <w:bCs/>
                <w:sz w:val="18"/>
                <w:szCs w:val="18"/>
              </w:rPr>
              <w:t>WA</w:t>
            </w:r>
          </w:p>
        </w:tc>
        <w:tc>
          <w:tcPr>
            <w:tcW w:w="1556" w:type="dxa"/>
            <w:tcBorders>
              <w:top w:val="nil"/>
              <w:left w:val="nil"/>
              <w:bottom w:val="single" w:sz="2" w:space="0" w:color="auto"/>
              <w:right w:val="nil"/>
            </w:tcBorders>
            <w:hideMark/>
          </w:tcPr>
          <w:p w14:paraId="6ABD0BAA" w14:textId="77777777" w:rsidR="00C00311" w:rsidRDefault="00C00311">
            <w:pPr>
              <w:pStyle w:val="NormalWeb"/>
              <w:rPr>
                <w:sz w:val="18"/>
                <w:szCs w:val="18"/>
              </w:rPr>
            </w:pPr>
            <w:r>
              <w:rPr>
                <w:sz w:val="18"/>
                <w:szCs w:val="18"/>
              </w:rPr>
              <w:t>29,562</w:t>
            </w:r>
          </w:p>
        </w:tc>
        <w:tc>
          <w:tcPr>
            <w:tcW w:w="1556" w:type="dxa"/>
            <w:tcBorders>
              <w:top w:val="nil"/>
              <w:left w:val="nil"/>
              <w:bottom w:val="single" w:sz="2" w:space="0" w:color="auto"/>
              <w:right w:val="nil"/>
            </w:tcBorders>
            <w:hideMark/>
          </w:tcPr>
          <w:p w14:paraId="717572D0" w14:textId="77777777" w:rsidR="00C00311" w:rsidRDefault="00C00311">
            <w:pPr>
              <w:pStyle w:val="NormalWeb"/>
              <w:rPr>
                <w:sz w:val="18"/>
                <w:szCs w:val="18"/>
              </w:rPr>
            </w:pPr>
            <w:r>
              <w:rPr>
                <w:sz w:val="18"/>
                <w:szCs w:val="18"/>
              </w:rPr>
              <w:t>88.0</w:t>
            </w:r>
          </w:p>
        </w:tc>
        <w:tc>
          <w:tcPr>
            <w:tcW w:w="1556" w:type="dxa"/>
            <w:tcBorders>
              <w:top w:val="nil"/>
              <w:left w:val="nil"/>
              <w:bottom w:val="single" w:sz="2" w:space="0" w:color="auto"/>
              <w:right w:val="nil"/>
            </w:tcBorders>
            <w:hideMark/>
          </w:tcPr>
          <w:p w14:paraId="41C291A5" w14:textId="77777777" w:rsidR="00C00311" w:rsidRDefault="00C00311">
            <w:pPr>
              <w:pStyle w:val="NormalWeb"/>
              <w:rPr>
                <w:sz w:val="18"/>
                <w:szCs w:val="18"/>
              </w:rPr>
            </w:pPr>
            <w:r>
              <w:rPr>
                <w:sz w:val="18"/>
                <w:szCs w:val="18"/>
              </w:rPr>
              <w:t>30,536</w:t>
            </w:r>
          </w:p>
        </w:tc>
        <w:tc>
          <w:tcPr>
            <w:tcW w:w="1556" w:type="dxa"/>
            <w:tcBorders>
              <w:top w:val="nil"/>
              <w:left w:val="nil"/>
              <w:bottom w:val="single" w:sz="2" w:space="0" w:color="auto"/>
              <w:right w:val="nil"/>
            </w:tcBorders>
            <w:hideMark/>
          </w:tcPr>
          <w:p w14:paraId="605A38FC" w14:textId="77777777" w:rsidR="00C00311" w:rsidRDefault="00C00311">
            <w:pPr>
              <w:pStyle w:val="NormalWeb"/>
              <w:rPr>
                <w:sz w:val="18"/>
                <w:szCs w:val="18"/>
              </w:rPr>
            </w:pPr>
            <w:r>
              <w:rPr>
                <w:sz w:val="18"/>
                <w:szCs w:val="18"/>
              </w:rPr>
              <w:t>15,846</w:t>
            </w:r>
          </w:p>
        </w:tc>
        <w:tc>
          <w:tcPr>
            <w:tcW w:w="1556" w:type="dxa"/>
            <w:tcBorders>
              <w:top w:val="nil"/>
              <w:left w:val="nil"/>
              <w:bottom w:val="single" w:sz="2" w:space="0" w:color="auto"/>
              <w:right w:val="nil"/>
            </w:tcBorders>
            <w:hideMark/>
          </w:tcPr>
          <w:p w14:paraId="004917C8" w14:textId="77777777" w:rsidR="00C00311" w:rsidRDefault="00C00311">
            <w:pPr>
              <w:pStyle w:val="NormalWeb"/>
              <w:rPr>
                <w:sz w:val="18"/>
                <w:szCs w:val="18"/>
              </w:rPr>
            </w:pPr>
            <w:r>
              <w:rPr>
                <w:sz w:val="18"/>
                <w:szCs w:val="18"/>
              </w:rPr>
              <w:t>77.6</w:t>
            </w:r>
          </w:p>
        </w:tc>
        <w:tc>
          <w:tcPr>
            <w:tcW w:w="1557" w:type="dxa"/>
            <w:tcBorders>
              <w:top w:val="nil"/>
              <w:left w:val="nil"/>
              <w:bottom w:val="single" w:sz="2" w:space="0" w:color="auto"/>
              <w:right w:val="nil"/>
            </w:tcBorders>
            <w:hideMark/>
          </w:tcPr>
          <w:p w14:paraId="0F220D48" w14:textId="77777777" w:rsidR="00C00311" w:rsidRDefault="00C00311">
            <w:pPr>
              <w:pStyle w:val="NormalWeb"/>
              <w:rPr>
                <w:sz w:val="18"/>
                <w:szCs w:val="18"/>
              </w:rPr>
            </w:pPr>
            <w:r>
              <w:rPr>
                <w:sz w:val="18"/>
                <w:szCs w:val="18"/>
              </w:rPr>
              <w:t>16,097</w:t>
            </w:r>
          </w:p>
        </w:tc>
      </w:tr>
      <w:tr w:rsidR="00C00311" w14:paraId="7418754D" w14:textId="77777777" w:rsidTr="00C00311">
        <w:tc>
          <w:tcPr>
            <w:tcW w:w="0" w:type="auto"/>
            <w:tcBorders>
              <w:top w:val="single" w:sz="2" w:space="0" w:color="auto"/>
              <w:left w:val="nil"/>
              <w:bottom w:val="single" w:sz="2" w:space="0" w:color="auto"/>
              <w:right w:val="nil"/>
            </w:tcBorders>
            <w:shd w:val="clear" w:color="auto" w:fill="F7ECDD"/>
            <w:hideMark/>
          </w:tcPr>
          <w:p w14:paraId="25BC39F9" w14:textId="77777777" w:rsidR="00C00311" w:rsidRDefault="00C00311">
            <w:pPr>
              <w:pStyle w:val="NormalWeb"/>
              <w:jc w:val="left"/>
              <w:rPr>
                <w:b/>
                <w:bCs/>
                <w:sz w:val="18"/>
                <w:szCs w:val="18"/>
              </w:rPr>
            </w:pPr>
            <w:r>
              <w:rPr>
                <w:b/>
                <w:bCs/>
                <w:sz w:val="18"/>
                <w:szCs w:val="18"/>
              </w:rPr>
              <w:t>AUST</w:t>
            </w:r>
          </w:p>
        </w:tc>
        <w:tc>
          <w:tcPr>
            <w:tcW w:w="1556" w:type="dxa"/>
            <w:tcBorders>
              <w:top w:val="single" w:sz="2" w:space="0" w:color="auto"/>
              <w:left w:val="nil"/>
              <w:bottom w:val="single" w:sz="2" w:space="0" w:color="auto"/>
              <w:right w:val="nil"/>
            </w:tcBorders>
            <w:shd w:val="clear" w:color="auto" w:fill="F7ECDD"/>
            <w:hideMark/>
          </w:tcPr>
          <w:p w14:paraId="4108CF1D" w14:textId="77777777" w:rsidR="00C00311" w:rsidRDefault="00C00311">
            <w:pPr>
              <w:pStyle w:val="NormalWeb"/>
              <w:rPr>
                <w:b/>
                <w:bCs/>
                <w:sz w:val="18"/>
                <w:szCs w:val="18"/>
              </w:rPr>
            </w:pPr>
            <w:r>
              <w:rPr>
                <w:b/>
                <w:bCs/>
                <w:sz w:val="18"/>
                <w:szCs w:val="18"/>
              </w:rPr>
              <w:t>156,573</w:t>
            </w:r>
          </w:p>
        </w:tc>
        <w:tc>
          <w:tcPr>
            <w:tcW w:w="1556" w:type="dxa"/>
            <w:tcBorders>
              <w:top w:val="single" w:sz="2" w:space="0" w:color="auto"/>
              <w:left w:val="nil"/>
              <w:bottom w:val="single" w:sz="2" w:space="0" w:color="auto"/>
              <w:right w:val="nil"/>
            </w:tcBorders>
            <w:shd w:val="clear" w:color="auto" w:fill="F7ECDD"/>
            <w:hideMark/>
          </w:tcPr>
          <w:p w14:paraId="09FE5438" w14:textId="77777777" w:rsidR="00C00311" w:rsidRDefault="00C00311">
            <w:pPr>
              <w:pStyle w:val="NormalWeb"/>
              <w:rPr>
                <w:b/>
                <w:bCs/>
                <w:sz w:val="18"/>
                <w:szCs w:val="18"/>
              </w:rPr>
            </w:pPr>
            <w:r>
              <w:rPr>
                <w:b/>
                <w:bCs/>
                <w:sz w:val="18"/>
                <w:szCs w:val="18"/>
              </w:rPr>
              <w:t>84.3</w:t>
            </w:r>
          </w:p>
        </w:tc>
        <w:tc>
          <w:tcPr>
            <w:tcW w:w="1556" w:type="dxa"/>
            <w:tcBorders>
              <w:top w:val="single" w:sz="2" w:space="0" w:color="auto"/>
              <w:left w:val="nil"/>
              <w:bottom w:val="single" w:sz="2" w:space="0" w:color="auto"/>
              <w:right w:val="nil"/>
            </w:tcBorders>
            <w:shd w:val="clear" w:color="auto" w:fill="F7ECDD"/>
            <w:hideMark/>
          </w:tcPr>
          <w:p w14:paraId="7CF1A329" w14:textId="77777777" w:rsidR="00C00311" w:rsidRDefault="00C00311">
            <w:pPr>
              <w:pStyle w:val="NormalWeb"/>
              <w:rPr>
                <w:b/>
                <w:bCs/>
                <w:sz w:val="18"/>
                <w:szCs w:val="18"/>
              </w:rPr>
            </w:pPr>
            <w:r>
              <w:rPr>
                <w:b/>
                <w:bCs/>
                <w:sz w:val="18"/>
                <w:szCs w:val="18"/>
              </w:rPr>
              <w:t>161,174</w:t>
            </w:r>
          </w:p>
        </w:tc>
        <w:tc>
          <w:tcPr>
            <w:tcW w:w="1556" w:type="dxa"/>
            <w:tcBorders>
              <w:top w:val="single" w:sz="2" w:space="0" w:color="auto"/>
              <w:left w:val="nil"/>
              <w:bottom w:val="single" w:sz="2" w:space="0" w:color="auto"/>
              <w:right w:val="nil"/>
            </w:tcBorders>
            <w:shd w:val="clear" w:color="auto" w:fill="F7ECDD"/>
            <w:hideMark/>
          </w:tcPr>
          <w:p w14:paraId="5D0D4C49" w14:textId="77777777" w:rsidR="00C00311" w:rsidRDefault="00C00311">
            <w:pPr>
              <w:pStyle w:val="NormalWeb"/>
              <w:rPr>
                <w:b/>
                <w:bCs/>
                <w:sz w:val="18"/>
                <w:szCs w:val="18"/>
              </w:rPr>
            </w:pPr>
            <w:r>
              <w:rPr>
                <w:b/>
                <w:bCs/>
                <w:sz w:val="18"/>
                <w:szCs w:val="18"/>
              </w:rPr>
              <w:t>137,938</w:t>
            </w:r>
          </w:p>
        </w:tc>
        <w:tc>
          <w:tcPr>
            <w:tcW w:w="1556" w:type="dxa"/>
            <w:tcBorders>
              <w:top w:val="single" w:sz="2" w:space="0" w:color="auto"/>
              <w:left w:val="nil"/>
              <w:bottom w:val="single" w:sz="2" w:space="0" w:color="auto"/>
              <w:right w:val="nil"/>
            </w:tcBorders>
            <w:shd w:val="clear" w:color="auto" w:fill="F7ECDD"/>
            <w:hideMark/>
          </w:tcPr>
          <w:p w14:paraId="6234780A" w14:textId="77777777" w:rsidR="00C00311" w:rsidRDefault="00C00311">
            <w:pPr>
              <w:pStyle w:val="NormalWeb"/>
              <w:rPr>
                <w:b/>
                <w:bCs/>
                <w:sz w:val="18"/>
                <w:szCs w:val="18"/>
              </w:rPr>
            </w:pPr>
            <w:r>
              <w:rPr>
                <w:b/>
                <w:bCs/>
                <w:sz w:val="18"/>
                <w:szCs w:val="18"/>
              </w:rPr>
              <w:t>72.6</w:t>
            </w:r>
          </w:p>
        </w:tc>
        <w:tc>
          <w:tcPr>
            <w:tcW w:w="1557" w:type="dxa"/>
            <w:tcBorders>
              <w:top w:val="single" w:sz="2" w:space="0" w:color="auto"/>
              <w:left w:val="nil"/>
              <w:bottom w:val="single" w:sz="2" w:space="0" w:color="auto"/>
              <w:right w:val="nil"/>
            </w:tcBorders>
            <w:shd w:val="clear" w:color="auto" w:fill="F7ECDD"/>
            <w:hideMark/>
          </w:tcPr>
          <w:p w14:paraId="11EE0A93" w14:textId="77777777" w:rsidR="00C00311" w:rsidRDefault="00C00311">
            <w:pPr>
              <w:pStyle w:val="NormalWeb"/>
              <w:rPr>
                <w:b/>
                <w:bCs/>
                <w:sz w:val="18"/>
                <w:szCs w:val="18"/>
              </w:rPr>
            </w:pPr>
            <w:r>
              <w:rPr>
                <w:b/>
                <w:bCs/>
                <w:sz w:val="18"/>
                <w:szCs w:val="18"/>
              </w:rPr>
              <w:t>138,571</w:t>
            </w:r>
          </w:p>
        </w:tc>
      </w:tr>
    </w:tbl>
    <w:p w14:paraId="69590B3F" w14:textId="77777777" w:rsidR="00C00311" w:rsidRDefault="00C00311" w:rsidP="00C00311">
      <w:pPr>
        <w:rPr>
          <w:rFonts w:eastAsia="Times New Roman"/>
          <w:vanish/>
          <w:lang w:val="en-GB"/>
        </w:rPr>
      </w:pPr>
    </w:p>
    <w:tbl>
      <w:tblPr>
        <w:tblStyle w:val="CDI-StandardTable"/>
        <w:tblW w:w="10490" w:type="dxa"/>
        <w:tblCellMar>
          <w:left w:w="113" w:type="dxa"/>
          <w:right w:w="113" w:type="dxa"/>
        </w:tblCellMar>
        <w:tblLook w:val="04A0" w:firstRow="1" w:lastRow="0" w:firstColumn="1" w:lastColumn="0" w:noHBand="0" w:noVBand="1"/>
        <w:tblDescription w:val="Table 8 presents the number of boys aged 11-&lt;15 years who received a first dose of HPV vaccine, the percentage of those who received a second dose in the same calendar year, and the number who received dTpa vaccine, by Indigenous status and jurisdiction, Australia, 2019 versus 2020.&#10;"/>
      </w:tblPr>
      <w:tblGrid>
        <w:gridCol w:w="1131"/>
        <w:gridCol w:w="1559"/>
        <w:gridCol w:w="1560"/>
        <w:gridCol w:w="1560"/>
        <w:gridCol w:w="1560"/>
        <w:gridCol w:w="1560"/>
        <w:gridCol w:w="1560"/>
      </w:tblGrid>
      <w:tr w:rsidR="00C00311" w14:paraId="6FD7F618" w14:textId="77777777" w:rsidTr="00C00311">
        <w:trPr>
          <w:cnfStyle w:val="100000000000" w:firstRow="1" w:lastRow="0" w:firstColumn="0" w:lastColumn="0" w:oddVBand="0" w:evenVBand="0" w:oddHBand="0" w:evenHBand="0" w:firstRowFirstColumn="0" w:firstRowLastColumn="0" w:lastRowFirstColumn="0" w:lastRowLastColumn="0"/>
          <w:tblHeader/>
        </w:trPr>
        <w:tc>
          <w:tcPr>
            <w:tcW w:w="10490" w:type="dxa"/>
            <w:gridSpan w:val="7"/>
            <w:tcBorders>
              <w:top w:val="nil"/>
              <w:left w:val="nil"/>
              <w:right w:val="nil"/>
            </w:tcBorders>
            <w:hideMark/>
          </w:tcPr>
          <w:p w14:paraId="18116EE5" w14:textId="77777777" w:rsidR="00C00311" w:rsidRDefault="00C00311">
            <w:pPr>
              <w:pStyle w:val="NormalWeb"/>
              <w:jc w:val="left"/>
              <w:rPr>
                <w:sz w:val="18"/>
                <w:szCs w:val="18"/>
              </w:rPr>
            </w:pPr>
            <w:r>
              <w:rPr>
                <w:sz w:val="18"/>
                <w:szCs w:val="18"/>
              </w:rPr>
              <w:t>Indigenous boys aged 11–14 years</w:t>
            </w:r>
          </w:p>
        </w:tc>
      </w:tr>
      <w:tr w:rsidR="00C00311" w14:paraId="6255D9AF" w14:textId="77777777" w:rsidTr="00C00311">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left w:val="nil"/>
              <w:bottom w:val="nil"/>
            </w:tcBorders>
            <w:hideMark/>
          </w:tcPr>
          <w:p w14:paraId="4B08EBAE" w14:textId="77777777" w:rsidR="00C00311" w:rsidRDefault="00C00311">
            <w:pPr>
              <w:pStyle w:val="NormalWeb"/>
              <w:rPr>
                <w:sz w:val="18"/>
                <w:szCs w:val="18"/>
              </w:rPr>
            </w:pPr>
            <w:proofErr w:type="spellStart"/>
            <w:r>
              <w:rPr>
                <w:sz w:val="18"/>
                <w:szCs w:val="18"/>
              </w:rPr>
              <w:t>Jurisdiction</w:t>
            </w:r>
            <w:r>
              <w:rPr>
                <w:sz w:val="18"/>
                <w:szCs w:val="18"/>
                <w:vertAlign w:val="superscript"/>
              </w:rPr>
              <w:t>c</w:t>
            </w:r>
            <w:proofErr w:type="spellEnd"/>
          </w:p>
        </w:tc>
        <w:tc>
          <w:tcPr>
            <w:tcW w:w="4664" w:type="dxa"/>
            <w:gridSpan w:val="3"/>
            <w:hideMark/>
          </w:tcPr>
          <w:p w14:paraId="304660E2" w14:textId="77777777" w:rsidR="00C00311" w:rsidRDefault="00C00311">
            <w:pPr>
              <w:pStyle w:val="NormalWeb"/>
              <w:rPr>
                <w:sz w:val="18"/>
                <w:szCs w:val="18"/>
              </w:rPr>
            </w:pPr>
            <w:r>
              <w:rPr>
                <w:sz w:val="18"/>
                <w:szCs w:val="18"/>
              </w:rPr>
              <w:t>2019</w:t>
            </w:r>
          </w:p>
        </w:tc>
        <w:tc>
          <w:tcPr>
            <w:tcW w:w="4665" w:type="dxa"/>
            <w:gridSpan w:val="3"/>
            <w:tcBorders>
              <w:right w:val="nil"/>
            </w:tcBorders>
            <w:hideMark/>
          </w:tcPr>
          <w:p w14:paraId="16FF7C72" w14:textId="77777777" w:rsidR="00C00311" w:rsidRDefault="00C00311">
            <w:pPr>
              <w:pStyle w:val="NormalWeb"/>
              <w:rPr>
                <w:sz w:val="18"/>
                <w:szCs w:val="18"/>
              </w:rPr>
            </w:pPr>
            <w:r>
              <w:rPr>
                <w:sz w:val="18"/>
                <w:szCs w:val="18"/>
              </w:rPr>
              <w:t>2020</w:t>
            </w:r>
          </w:p>
        </w:tc>
      </w:tr>
      <w:tr w:rsidR="00C00311" w14:paraId="68237AE0" w14:textId="77777777" w:rsidTr="00C00311">
        <w:trPr>
          <w:cnfStyle w:val="100000000000" w:firstRow="1" w:lastRow="0" w:firstColumn="0" w:lastColumn="0" w:oddVBand="0" w:evenVBand="0" w:oddHBand="0" w:evenHBand="0" w:firstRowFirstColumn="0" w:firstRowLastColumn="0" w:lastRowFirstColumn="0" w:lastRowLastColumn="0"/>
          <w:tblHeader/>
        </w:trPr>
        <w:tc>
          <w:tcPr>
            <w:tcW w:w="0" w:type="auto"/>
            <w:vMerge/>
            <w:tcBorders>
              <w:left w:val="nil"/>
              <w:bottom w:val="nil"/>
            </w:tcBorders>
            <w:hideMark/>
          </w:tcPr>
          <w:p w14:paraId="128CF83A" w14:textId="77777777" w:rsidR="00C00311" w:rsidRDefault="00C00311">
            <w:pPr>
              <w:rPr>
                <w:sz w:val="18"/>
                <w:szCs w:val="18"/>
              </w:rPr>
            </w:pPr>
          </w:p>
        </w:tc>
        <w:tc>
          <w:tcPr>
            <w:tcW w:w="1554" w:type="dxa"/>
            <w:tcBorders>
              <w:bottom w:val="nil"/>
            </w:tcBorders>
            <w:hideMark/>
          </w:tcPr>
          <w:p w14:paraId="451B80E4" w14:textId="77777777" w:rsidR="00C00311" w:rsidRDefault="00C00311">
            <w:pPr>
              <w:pStyle w:val="NormalWeb"/>
              <w:rPr>
                <w:sz w:val="18"/>
                <w:szCs w:val="18"/>
              </w:rPr>
            </w:pPr>
            <w:r>
              <w:rPr>
                <w:sz w:val="18"/>
                <w:szCs w:val="18"/>
              </w:rPr>
              <w:t>HPV</w:t>
            </w:r>
            <w:r>
              <w:rPr>
                <w:sz w:val="18"/>
                <w:szCs w:val="18"/>
              </w:rPr>
              <w:br/>
              <w:t>Dose 1</w:t>
            </w:r>
            <w:r>
              <w:rPr>
                <w:sz w:val="18"/>
                <w:szCs w:val="18"/>
              </w:rPr>
              <w:br/>
              <w:t>(n)</w:t>
            </w:r>
          </w:p>
        </w:tc>
        <w:tc>
          <w:tcPr>
            <w:tcW w:w="1555" w:type="dxa"/>
            <w:tcBorders>
              <w:bottom w:val="nil"/>
            </w:tcBorders>
            <w:hideMark/>
          </w:tcPr>
          <w:p w14:paraId="4B2C9108" w14:textId="77777777" w:rsidR="00C00311" w:rsidRDefault="00C00311">
            <w:pPr>
              <w:pStyle w:val="NormalWeb"/>
              <w:rPr>
                <w:sz w:val="18"/>
                <w:szCs w:val="18"/>
              </w:rPr>
            </w:pPr>
            <w:r>
              <w:rPr>
                <w:sz w:val="18"/>
                <w:szCs w:val="18"/>
              </w:rPr>
              <w:t>% received HPV</w:t>
            </w:r>
            <w:r>
              <w:rPr>
                <w:sz w:val="18"/>
                <w:szCs w:val="18"/>
              </w:rPr>
              <w:br/>
              <w:t>Dose 2d</w:t>
            </w:r>
          </w:p>
        </w:tc>
        <w:tc>
          <w:tcPr>
            <w:tcW w:w="1555" w:type="dxa"/>
            <w:tcBorders>
              <w:bottom w:val="nil"/>
            </w:tcBorders>
            <w:hideMark/>
          </w:tcPr>
          <w:p w14:paraId="07C4B075" w14:textId="77777777" w:rsidR="00C00311" w:rsidRDefault="00C00311">
            <w:pPr>
              <w:pStyle w:val="NormalWeb"/>
              <w:rPr>
                <w:sz w:val="18"/>
                <w:szCs w:val="18"/>
              </w:rPr>
            </w:pPr>
            <w:proofErr w:type="spellStart"/>
            <w:r>
              <w:rPr>
                <w:sz w:val="18"/>
                <w:szCs w:val="18"/>
              </w:rPr>
              <w:t>dTpa</w:t>
            </w:r>
            <w:proofErr w:type="spellEnd"/>
            <w:r>
              <w:rPr>
                <w:sz w:val="18"/>
                <w:szCs w:val="18"/>
              </w:rPr>
              <w:br/>
              <w:t>(n)</w:t>
            </w:r>
          </w:p>
        </w:tc>
        <w:tc>
          <w:tcPr>
            <w:tcW w:w="1555" w:type="dxa"/>
            <w:tcBorders>
              <w:bottom w:val="nil"/>
            </w:tcBorders>
            <w:hideMark/>
          </w:tcPr>
          <w:p w14:paraId="1FB23619" w14:textId="77777777" w:rsidR="00C00311" w:rsidRDefault="00C00311">
            <w:pPr>
              <w:pStyle w:val="NormalWeb"/>
              <w:rPr>
                <w:sz w:val="18"/>
                <w:szCs w:val="18"/>
              </w:rPr>
            </w:pPr>
            <w:r>
              <w:rPr>
                <w:sz w:val="18"/>
                <w:szCs w:val="18"/>
              </w:rPr>
              <w:t>HPV</w:t>
            </w:r>
            <w:r>
              <w:rPr>
                <w:sz w:val="18"/>
                <w:szCs w:val="18"/>
              </w:rPr>
              <w:br/>
              <w:t>Dose 1</w:t>
            </w:r>
            <w:r>
              <w:rPr>
                <w:sz w:val="18"/>
                <w:szCs w:val="18"/>
              </w:rPr>
              <w:br/>
              <w:t>(n)</w:t>
            </w:r>
          </w:p>
        </w:tc>
        <w:tc>
          <w:tcPr>
            <w:tcW w:w="1555" w:type="dxa"/>
            <w:tcBorders>
              <w:bottom w:val="nil"/>
            </w:tcBorders>
            <w:hideMark/>
          </w:tcPr>
          <w:p w14:paraId="12D21C66" w14:textId="77777777" w:rsidR="00C00311" w:rsidRDefault="00C00311">
            <w:pPr>
              <w:pStyle w:val="NormalWeb"/>
              <w:rPr>
                <w:sz w:val="18"/>
                <w:szCs w:val="18"/>
              </w:rPr>
            </w:pPr>
            <w:r>
              <w:rPr>
                <w:sz w:val="18"/>
                <w:szCs w:val="18"/>
              </w:rPr>
              <w:t>% received HPV</w:t>
            </w:r>
            <w:r>
              <w:rPr>
                <w:sz w:val="18"/>
                <w:szCs w:val="18"/>
              </w:rPr>
              <w:br/>
              <w:t>Dose 2</w:t>
            </w:r>
            <w:r>
              <w:rPr>
                <w:sz w:val="18"/>
                <w:szCs w:val="18"/>
                <w:vertAlign w:val="superscript"/>
              </w:rPr>
              <w:t>d</w:t>
            </w:r>
          </w:p>
        </w:tc>
        <w:tc>
          <w:tcPr>
            <w:tcW w:w="1555" w:type="dxa"/>
            <w:tcBorders>
              <w:bottom w:val="nil"/>
              <w:right w:val="nil"/>
            </w:tcBorders>
            <w:hideMark/>
          </w:tcPr>
          <w:p w14:paraId="21983B31" w14:textId="77777777" w:rsidR="00C00311" w:rsidRDefault="00C00311">
            <w:pPr>
              <w:pStyle w:val="NormalWeb"/>
              <w:rPr>
                <w:sz w:val="18"/>
                <w:szCs w:val="18"/>
              </w:rPr>
            </w:pPr>
            <w:proofErr w:type="spellStart"/>
            <w:r>
              <w:rPr>
                <w:sz w:val="18"/>
                <w:szCs w:val="18"/>
              </w:rPr>
              <w:t>dTpa</w:t>
            </w:r>
            <w:proofErr w:type="spellEnd"/>
            <w:r>
              <w:rPr>
                <w:sz w:val="18"/>
                <w:szCs w:val="18"/>
              </w:rPr>
              <w:br/>
              <w:t>(n)</w:t>
            </w:r>
          </w:p>
        </w:tc>
      </w:tr>
      <w:tr w:rsidR="00C00311" w14:paraId="3A1CC176" w14:textId="77777777" w:rsidTr="00C00311">
        <w:tc>
          <w:tcPr>
            <w:tcW w:w="0" w:type="auto"/>
            <w:hideMark/>
          </w:tcPr>
          <w:p w14:paraId="342DC66E" w14:textId="77777777" w:rsidR="00C00311" w:rsidRDefault="00C00311">
            <w:pPr>
              <w:pStyle w:val="NormalWeb"/>
              <w:jc w:val="left"/>
              <w:rPr>
                <w:b/>
                <w:bCs/>
                <w:sz w:val="18"/>
                <w:szCs w:val="18"/>
              </w:rPr>
            </w:pPr>
            <w:r>
              <w:rPr>
                <w:b/>
                <w:bCs/>
                <w:sz w:val="18"/>
                <w:szCs w:val="18"/>
              </w:rPr>
              <w:t>ACT</w:t>
            </w:r>
          </w:p>
        </w:tc>
        <w:tc>
          <w:tcPr>
            <w:tcW w:w="1554" w:type="dxa"/>
            <w:hideMark/>
          </w:tcPr>
          <w:p w14:paraId="5B2248BE" w14:textId="77777777" w:rsidR="00C00311" w:rsidRDefault="00C00311">
            <w:pPr>
              <w:pStyle w:val="NormalWeb"/>
              <w:rPr>
                <w:sz w:val="18"/>
                <w:szCs w:val="18"/>
              </w:rPr>
            </w:pPr>
            <w:r>
              <w:rPr>
                <w:sz w:val="18"/>
                <w:szCs w:val="18"/>
              </w:rPr>
              <w:t>75</w:t>
            </w:r>
          </w:p>
        </w:tc>
        <w:tc>
          <w:tcPr>
            <w:tcW w:w="1555" w:type="dxa"/>
            <w:hideMark/>
          </w:tcPr>
          <w:p w14:paraId="4D4D989C" w14:textId="77777777" w:rsidR="00C00311" w:rsidRDefault="00C00311">
            <w:pPr>
              <w:pStyle w:val="NormalWeb"/>
              <w:rPr>
                <w:sz w:val="18"/>
                <w:szCs w:val="18"/>
              </w:rPr>
            </w:pPr>
            <w:r>
              <w:rPr>
                <w:sz w:val="18"/>
                <w:szCs w:val="18"/>
              </w:rPr>
              <w:t>69.3</w:t>
            </w:r>
          </w:p>
        </w:tc>
        <w:tc>
          <w:tcPr>
            <w:tcW w:w="1555" w:type="dxa"/>
            <w:hideMark/>
          </w:tcPr>
          <w:p w14:paraId="34E46E9E" w14:textId="77777777" w:rsidR="00C00311" w:rsidRDefault="00C00311">
            <w:pPr>
              <w:pStyle w:val="NormalWeb"/>
              <w:rPr>
                <w:sz w:val="18"/>
                <w:szCs w:val="18"/>
              </w:rPr>
            </w:pPr>
            <w:r>
              <w:rPr>
                <w:sz w:val="18"/>
                <w:szCs w:val="18"/>
              </w:rPr>
              <w:t>71</w:t>
            </w:r>
          </w:p>
        </w:tc>
        <w:tc>
          <w:tcPr>
            <w:tcW w:w="1555" w:type="dxa"/>
            <w:hideMark/>
          </w:tcPr>
          <w:p w14:paraId="3A7463FD" w14:textId="77777777" w:rsidR="00C00311" w:rsidRDefault="00C00311">
            <w:pPr>
              <w:pStyle w:val="NormalWeb"/>
              <w:rPr>
                <w:sz w:val="18"/>
                <w:szCs w:val="18"/>
              </w:rPr>
            </w:pPr>
            <w:r>
              <w:rPr>
                <w:sz w:val="18"/>
                <w:szCs w:val="18"/>
              </w:rPr>
              <w:t>58</w:t>
            </w:r>
          </w:p>
        </w:tc>
        <w:tc>
          <w:tcPr>
            <w:tcW w:w="1555" w:type="dxa"/>
            <w:hideMark/>
          </w:tcPr>
          <w:p w14:paraId="1E2CAA6B" w14:textId="77777777" w:rsidR="00C00311" w:rsidRDefault="00C00311">
            <w:pPr>
              <w:pStyle w:val="NormalWeb"/>
              <w:rPr>
                <w:sz w:val="18"/>
                <w:szCs w:val="18"/>
              </w:rPr>
            </w:pPr>
            <w:r>
              <w:rPr>
                <w:sz w:val="18"/>
                <w:szCs w:val="18"/>
              </w:rPr>
              <w:t>63.8</w:t>
            </w:r>
          </w:p>
        </w:tc>
        <w:tc>
          <w:tcPr>
            <w:tcW w:w="1555" w:type="dxa"/>
            <w:hideMark/>
          </w:tcPr>
          <w:p w14:paraId="3292859E" w14:textId="77777777" w:rsidR="00C00311" w:rsidRDefault="00C00311">
            <w:pPr>
              <w:pStyle w:val="NormalWeb"/>
              <w:rPr>
                <w:sz w:val="18"/>
                <w:szCs w:val="18"/>
              </w:rPr>
            </w:pPr>
            <w:r>
              <w:rPr>
                <w:sz w:val="18"/>
                <w:szCs w:val="18"/>
              </w:rPr>
              <w:t>53</w:t>
            </w:r>
          </w:p>
        </w:tc>
      </w:tr>
      <w:tr w:rsidR="00C00311" w14:paraId="3AEC9B28" w14:textId="77777777" w:rsidTr="00C00311">
        <w:trPr>
          <w:cnfStyle w:val="000000010000" w:firstRow="0" w:lastRow="0" w:firstColumn="0" w:lastColumn="0" w:oddVBand="0" w:evenVBand="0" w:oddHBand="0" w:evenHBand="1" w:firstRowFirstColumn="0" w:firstRowLastColumn="0" w:lastRowFirstColumn="0" w:lastRowLastColumn="0"/>
        </w:trPr>
        <w:tc>
          <w:tcPr>
            <w:tcW w:w="0" w:type="auto"/>
            <w:hideMark/>
          </w:tcPr>
          <w:p w14:paraId="7C369525" w14:textId="77777777" w:rsidR="00C00311" w:rsidRDefault="00C00311">
            <w:pPr>
              <w:pStyle w:val="NormalWeb"/>
              <w:jc w:val="left"/>
              <w:rPr>
                <w:b/>
                <w:bCs/>
                <w:sz w:val="18"/>
                <w:szCs w:val="18"/>
              </w:rPr>
            </w:pPr>
            <w:r>
              <w:rPr>
                <w:b/>
                <w:bCs/>
                <w:sz w:val="18"/>
                <w:szCs w:val="18"/>
              </w:rPr>
              <w:t>NSW</w:t>
            </w:r>
          </w:p>
        </w:tc>
        <w:tc>
          <w:tcPr>
            <w:tcW w:w="1554" w:type="dxa"/>
            <w:hideMark/>
          </w:tcPr>
          <w:p w14:paraId="55049F01" w14:textId="77777777" w:rsidR="00C00311" w:rsidRDefault="00C00311">
            <w:pPr>
              <w:pStyle w:val="NormalWeb"/>
              <w:rPr>
                <w:sz w:val="18"/>
                <w:szCs w:val="18"/>
              </w:rPr>
            </w:pPr>
            <w:r>
              <w:rPr>
                <w:sz w:val="18"/>
                <w:szCs w:val="18"/>
              </w:rPr>
              <w:t>2,582</w:t>
            </w:r>
          </w:p>
        </w:tc>
        <w:tc>
          <w:tcPr>
            <w:tcW w:w="1555" w:type="dxa"/>
            <w:hideMark/>
          </w:tcPr>
          <w:p w14:paraId="2D54DF3A" w14:textId="77777777" w:rsidR="00C00311" w:rsidRDefault="00C00311">
            <w:pPr>
              <w:pStyle w:val="NormalWeb"/>
              <w:rPr>
                <w:sz w:val="18"/>
                <w:szCs w:val="18"/>
              </w:rPr>
            </w:pPr>
            <w:r>
              <w:rPr>
                <w:sz w:val="18"/>
                <w:szCs w:val="18"/>
              </w:rPr>
              <w:t>67.9</w:t>
            </w:r>
          </w:p>
        </w:tc>
        <w:tc>
          <w:tcPr>
            <w:tcW w:w="1555" w:type="dxa"/>
            <w:hideMark/>
          </w:tcPr>
          <w:p w14:paraId="2C048332" w14:textId="77777777" w:rsidR="00C00311" w:rsidRDefault="00C00311">
            <w:pPr>
              <w:pStyle w:val="NormalWeb"/>
              <w:rPr>
                <w:sz w:val="18"/>
                <w:szCs w:val="18"/>
              </w:rPr>
            </w:pPr>
            <w:r>
              <w:rPr>
                <w:sz w:val="18"/>
                <w:szCs w:val="18"/>
              </w:rPr>
              <w:t>2,618</w:t>
            </w:r>
          </w:p>
        </w:tc>
        <w:tc>
          <w:tcPr>
            <w:tcW w:w="1555" w:type="dxa"/>
            <w:hideMark/>
          </w:tcPr>
          <w:p w14:paraId="4429E7CF" w14:textId="77777777" w:rsidR="00C00311" w:rsidRDefault="00C00311">
            <w:pPr>
              <w:pStyle w:val="NormalWeb"/>
              <w:rPr>
                <w:sz w:val="18"/>
                <w:szCs w:val="18"/>
              </w:rPr>
            </w:pPr>
            <w:r>
              <w:rPr>
                <w:sz w:val="18"/>
                <w:szCs w:val="18"/>
              </w:rPr>
              <w:t>2,186</w:t>
            </w:r>
          </w:p>
        </w:tc>
        <w:tc>
          <w:tcPr>
            <w:tcW w:w="1555" w:type="dxa"/>
            <w:hideMark/>
          </w:tcPr>
          <w:p w14:paraId="16AED774" w14:textId="77777777" w:rsidR="00C00311" w:rsidRDefault="00C00311">
            <w:pPr>
              <w:pStyle w:val="NormalWeb"/>
              <w:rPr>
                <w:sz w:val="18"/>
                <w:szCs w:val="18"/>
              </w:rPr>
            </w:pPr>
            <w:r>
              <w:rPr>
                <w:sz w:val="18"/>
                <w:szCs w:val="18"/>
              </w:rPr>
              <w:t>64.8</w:t>
            </w:r>
          </w:p>
        </w:tc>
        <w:tc>
          <w:tcPr>
            <w:tcW w:w="1555" w:type="dxa"/>
            <w:hideMark/>
          </w:tcPr>
          <w:p w14:paraId="4C8C3C28" w14:textId="77777777" w:rsidR="00C00311" w:rsidRDefault="00C00311">
            <w:pPr>
              <w:pStyle w:val="NormalWeb"/>
              <w:rPr>
                <w:sz w:val="18"/>
                <w:szCs w:val="18"/>
              </w:rPr>
            </w:pPr>
            <w:r>
              <w:rPr>
                <w:sz w:val="18"/>
                <w:szCs w:val="18"/>
              </w:rPr>
              <w:t>2,161</w:t>
            </w:r>
          </w:p>
        </w:tc>
      </w:tr>
      <w:tr w:rsidR="00C00311" w14:paraId="18F2E30A" w14:textId="77777777" w:rsidTr="00C00311">
        <w:tc>
          <w:tcPr>
            <w:tcW w:w="0" w:type="auto"/>
            <w:hideMark/>
          </w:tcPr>
          <w:p w14:paraId="22091218" w14:textId="77777777" w:rsidR="00C00311" w:rsidRDefault="00C00311">
            <w:pPr>
              <w:pStyle w:val="NormalWeb"/>
              <w:jc w:val="left"/>
              <w:rPr>
                <w:b/>
                <w:bCs/>
                <w:sz w:val="18"/>
                <w:szCs w:val="18"/>
              </w:rPr>
            </w:pPr>
            <w:r>
              <w:rPr>
                <w:b/>
                <w:bCs/>
                <w:sz w:val="18"/>
                <w:szCs w:val="18"/>
              </w:rPr>
              <w:t>NT</w:t>
            </w:r>
          </w:p>
        </w:tc>
        <w:tc>
          <w:tcPr>
            <w:tcW w:w="1554" w:type="dxa"/>
            <w:hideMark/>
          </w:tcPr>
          <w:p w14:paraId="5107DDE9" w14:textId="77777777" w:rsidR="00C00311" w:rsidRDefault="00C00311">
            <w:pPr>
              <w:pStyle w:val="NormalWeb"/>
              <w:rPr>
                <w:sz w:val="18"/>
                <w:szCs w:val="18"/>
              </w:rPr>
            </w:pPr>
            <w:r>
              <w:rPr>
                <w:sz w:val="18"/>
                <w:szCs w:val="18"/>
              </w:rPr>
              <w:t>654</w:t>
            </w:r>
          </w:p>
        </w:tc>
        <w:tc>
          <w:tcPr>
            <w:tcW w:w="1555" w:type="dxa"/>
            <w:hideMark/>
          </w:tcPr>
          <w:p w14:paraId="35D92084" w14:textId="77777777" w:rsidR="00C00311" w:rsidRDefault="00C00311">
            <w:pPr>
              <w:pStyle w:val="NormalWeb"/>
              <w:rPr>
                <w:sz w:val="18"/>
                <w:szCs w:val="18"/>
              </w:rPr>
            </w:pPr>
            <w:r>
              <w:rPr>
                <w:sz w:val="18"/>
                <w:szCs w:val="18"/>
              </w:rPr>
              <w:t>35.9</w:t>
            </w:r>
          </w:p>
        </w:tc>
        <w:tc>
          <w:tcPr>
            <w:tcW w:w="1555" w:type="dxa"/>
            <w:hideMark/>
          </w:tcPr>
          <w:p w14:paraId="65C13EDE" w14:textId="77777777" w:rsidR="00C00311" w:rsidRDefault="00C00311">
            <w:pPr>
              <w:pStyle w:val="NormalWeb"/>
              <w:rPr>
                <w:sz w:val="18"/>
                <w:szCs w:val="18"/>
              </w:rPr>
            </w:pPr>
            <w:r>
              <w:rPr>
                <w:sz w:val="18"/>
                <w:szCs w:val="18"/>
              </w:rPr>
              <w:t>670</w:t>
            </w:r>
          </w:p>
        </w:tc>
        <w:tc>
          <w:tcPr>
            <w:tcW w:w="1555" w:type="dxa"/>
            <w:hideMark/>
          </w:tcPr>
          <w:p w14:paraId="4195BF76" w14:textId="77777777" w:rsidR="00C00311" w:rsidRDefault="00C00311">
            <w:pPr>
              <w:pStyle w:val="NormalWeb"/>
              <w:rPr>
                <w:sz w:val="18"/>
                <w:szCs w:val="18"/>
              </w:rPr>
            </w:pPr>
            <w:r>
              <w:rPr>
                <w:sz w:val="18"/>
                <w:szCs w:val="18"/>
              </w:rPr>
              <w:t>531</w:t>
            </w:r>
          </w:p>
        </w:tc>
        <w:tc>
          <w:tcPr>
            <w:tcW w:w="1555" w:type="dxa"/>
            <w:hideMark/>
          </w:tcPr>
          <w:p w14:paraId="28DEF287" w14:textId="77777777" w:rsidR="00C00311" w:rsidRDefault="00C00311">
            <w:pPr>
              <w:pStyle w:val="NormalWeb"/>
              <w:rPr>
                <w:sz w:val="18"/>
                <w:szCs w:val="18"/>
              </w:rPr>
            </w:pPr>
            <w:r>
              <w:rPr>
                <w:sz w:val="18"/>
                <w:szCs w:val="18"/>
              </w:rPr>
              <w:t>35.2</w:t>
            </w:r>
          </w:p>
        </w:tc>
        <w:tc>
          <w:tcPr>
            <w:tcW w:w="1555" w:type="dxa"/>
            <w:hideMark/>
          </w:tcPr>
          <w:p w14:paraId="0C0AE4A9" w14:textId="77777777" w:rsidR="00C00311" w:rsidRDefault="00C00311">
            <w:pPr>
              <w:pStyle w:val="NormalWeb"/>
              <w:rPr>
                <w:sz w:val="18"/>
                <w:szCs w:val="18"/>
              </w:rPr>
            </w:pPr>
            <w:r>
              <w:rPr>
                <w:sz w:val="18"/>
                <w:szCs w:val="18"/>
              </w:rPr>
              <w:t>512</w:t>
            </w:r>
          </w:p>
        </w:tc>
      </w:tr>
      <w:tr w:rsidR="00C00311" w14:paraId="7F876AA1" w14:textId="77777777" w:rsidTr="00C00311">
        <w:trPr>
          <w:cnfStyle w:val="000000010000" w:firstRow="0" w:lastRow="0" w:firstColumn="0" w:lastColumn="0" w:oddVBand="0" w:evenVBand="0" w:oddHBand="0" w:evenHBand="1" w:firstRowFirstColumn="0" w:firstRowLastColumn="0" w:lastRowFirstColumn="0" w:lastRowLastColumn="0"/>
        </w:trPr>
        <w:tc>
          <w:tcPr>
            <w:tcW w:w="0" w:type="auto"/>
            <w:hideMark/>
          </w:tcPr>
          <w:p w14:paraId="38FCC096" w14:textId="77777777" w:rsidR="00C00311" w:rsidRDefault="00C00311">
            <w:pPr>
              <w:pStyle w:val="NormalWeb"/>
              <w:jc w:val="left"/>
              <w:rPr>
                <w:b/>
                <w:bCs/>
                <w:sz w:val="18"/>
                <w:szCs w:val="18"/>
              </w:rPr>
            </w:pPr>
            <w:r>
              <w:rPr>
                <w:b/>
                <w:bCs/>
                <w:sz w:val="18"/>
                <w:szCs w:val="18"/>
              </w:rPr>
              <w:t>Qld</w:t>
            </w:r>
          </w:p>
        </w:tc>
        <w:tc>
          <w:tcPr>
            <w:tcW w:w="1554" w:type="dxa"/>
            <w:hideMark/>
          </w:tcPr>
          <w:p w14:paraId="53751F0C" w14:textId="77777777" w:rsidR="00C00311" w:rsidRDefault="00C00311">
            <w:pPr>
              <w:pStyle w:val="NormalWeb"/>
              <w:rPr>
                <w:sz w:val="18"/>
                <w:szCs w:val="18"/>
              </w:rPr>
            </w:pPr>
            <w:r>
              <w:rPr>
                <w:sz w:val="18"/>
                <w:szCs w:val="18"/>
              </w:rPr>
              <w:t>2,050</w:t>
            </w:r>
          </w:p>
        </w:tc>
        <w:tc>
          <w:tcPr>
            <w:tcW w:w="1555" w:type="dxa"/>
            <w:hideMark/>
          </w:tcPr>
          <w:p w14:paraId="4F34E00E" w14:textId="77777777" w:rsidR="00C00311" w:rsidRDefault="00C00311">
            <w:pPr>
              <w:pStyle w:val="NormalWeb"/>
              <w:rPr>
                <w:sz w:val="18"/>
                <w:szCs w:val="18"/>
              </w:rPr>
            </w:pPr>
            <w:r>
              <w:rPr>
                <w:sz w:val="18"/>
                <w:szCs w:val="18"/>
              </w:rPr>
              <w:t>65.1</w:t>
            </w:r>
          </w:p>
        </w:tc>
        <w:tc>
          <w:tcPr>
            <w:tcW w:w="1555" w:type="dxa"/>
            <w:hideMark/>
          </w:tcPr>
          <w:p w14:paraId="3A846AFA" w14:textId="77777777" w:rsidR="00C00311" w:rsidRDefault="00C00311">
            <w:pPr>
              <w:pStyle w:val="NormalWeb"/>
              <w:rPr>
                <w:sz w:val="18"/>
                <w:szCs w:val="18"/>
              </w:rPr>
            </w:pPr>
            <w:r>
              <w:rPr>
                <w:sz w:val="18"/>
                <w:szCs w:val="18"/>
              </w:rPr>
              <w:t>2,070</w:t>
            </w:r>
          </w:p>
        </w:tc>
        <w:tc>
          <w:tcPr>
            <w:tcW w:w="1555" w:type="dxa"/>
            <w:hideMark/>
          </w:tcPr>
          <w:p w14:paraId="0508D643" w14:textId="77777777" w:rsidR="00C00311" w:rsidRDefault="00C00311">
            <w:pPr>
              <w:pStyle w:val="NormalWeb"/>
              <w:rPr>
                <w:sz w:val="18"/>
                <w:szCs w:val="18"/>
              </w:rPr>
            </w:pPr>
            <w:r>
              <w:rPr>
                <w:sz w:val="18"/>
                <w:szCs w:val="18"/>
              </w:rPr>
              <w:t>2,198</w:t>
            </w:r>
          </w:p>
        </w:tc>
        <w:tc>
          <w:tcPr>
            <w:tcW w:w="1555" w:type="dxa"/>
            <w:hideMark/>
          </w:tcPr>
          <w:p w14:paraId="3F1068DC" w14:textId="77777777" w:rsidR="00C00311" w:rsidRDefault="00C00311">
            <w:pPr>
              <w:pStyle w:val="NormalWeb"/>
              <w:rPr>
                <w:sz w:val="18"/>
                <w:szCs w:val="18"/>
              </w:rPr>
            </w:pPr>
            <w:r>
              <w:rPr>
                <w:sz w:val="18"/>
                <w:szCs w:val="18"/>
              </w:rPr>
              <w:t>60.1</w:t>
            </w:r>
          </w:p>
        </w:tc>
        <w:tc>
          <w:tcPr>
            <w:tcW w:w="1555" w:type="dxa"/>
            <w:hideMark/>
          </w:tcPr>
          <w:p w14:paraId="73939350" w14:textId="77777777" w:rsidR="00C00311" w:rsidRDefault="00C00311">
            <w:pPr>
              <w:pStyle w:val="NormalWeb"/>
              <w:rPr>
                <w:sz w:val="18"/>
                <w:szCs w:val="18"/>
              </w:rPr>
            </w:pPr>
            <w:r>
              <w:rPr>
                <w:sz w:val="18"/>
                <w:szCs w:val="18"/>
              </w:rPr>
              <w:t>2,203</w:t>
            </w:r>
          </w:p>
        </w:tc>
      </w:tr>
      <w:tr w:rsidR="00C00311" w14:paraId="085B402A" w14:textId="77777777" w:rsidTr="00C00311">
        <w:tc>
          <w:tcPr>
            <w:tcW w:w="0" w:type="auto"/>
            <w:hideMark/>
          </w:tcPr>
          <w:p w14:paraId="0912AB63" w14:textId="77777777" w:rsidR="00C00311" w:rsidRDefault="00C00311">
            <w:pPr>
              <w:pStyle w:val="NormalWeb"/>
              <w:jc w:val="left"/>
              <w:rPr>
                <w:b/>
                <w:bCs/>
                <w:sz w:val="18"/>
                <w:szCs w:val="18"/>
              </w:rPr>
            </w:pPr>
            <w:r>
              <w:rPr>
                <w:b/>
                <w:bCs/>
                <w:sz w:val="18"/>
                <w:szCs w:val="18"/>
              </w:rPr>
              <w:t>SA</w:t>
            </w:r>
          </w:p>
        </w:tc>
        <w:tc>
          <w:tcPr>
            <w:tcW w:w="1554" w:type="dxa"/>
            <w:hideMark/>
          </w:tcPr>
          <w:p w14:paraId="2C45A30C" w14:textId="77777777" w:rsidR="00C00311" w:rsidRDefault="00C00311">
            <w:pPr>
              <w:pStyle w:val="NormalWeb"/>
              <w:rPr>
                <w:sz w:val="18"/>
                <w:szCs w:val="18"/>
              </w:rPr>
            </w:pPr>
            <w:r>
              <w:rPr>
                <w:sz w:val="18"/>
                <w:szCs w:val="18"/>
              </w:rPr>
              <w:t>303</w:t>
            </w:r>
          </w:p>
        </w:tc>
        <w:tc>
          <w:tcPr>
            <w:tcW w:w="1555" w:type="dxa"/>
            <w:hideMark/>
          </w:tcPr>
          <w:p w14:paraId="068CD20A" w14:textId="77777777" w:rsidR="00C00311" w:rsidRDefault="00C00311">
            <w:pPr>
              <w:pStyle w:val="NormalWeb"/>
              <w:rPr>
                <w:sz w:val="18"/>
                <w:szCs w:val="18"/>
              </w:rPr>
            </w:pPr>
            <w:r>
              <w:rPr>
                <w:sz w:val="18"/>
                <w:szCs w:val="18"/>
              </w:rPr>
              <w:t>64.7</w:t>
            </w:r>
          </w:p>
        </w:tc>
        <w:tc>
          <w:tcPr>
            <w:tcW w:w="1555" w:type="dxa"/>
            <w:hideMark/>
          </w:tcPr>
          <w:p w14:paraId="63627278" w14:textId="77777777" w:rsidR="00C00311" w:rsidRDefault="00C00311">
            <w:pPr>
              <w:pStyle w:val="NormalWeb"/>
              <w:rPr>
                <w:sz w:val="18"/>
                <w:szCs w:val="18"/>
              </w:rPr>
            </w:pPr>
            <w:r>
              <w:rPr>
                <w:sz w:val="18"/>
                <w:szCs w:val="18"/>
              </w:rPr>
              <w:t>301</w:t>
            </w:r>
          </w:p>
        </w:tc>
        <w:tc>
          <w:tcPr>
            <w:tcW w:w="1555" w:type="dxa"/>
            <w:hideMark/>
          </w:tcPr>
          <w:p w14:paraId="52CE3F35" w14:textId="77777777" w:rsidR="00C00311" w:rsidRDefault="00C00311">
            <w:pPr>
              <w:pStyle w:val="NormalWeb"/>
              <w:rPr>
                <w:sz w:val="18"/>
                <w:szCs w:val="18"/>
              </w:rPr>
            </w:pPr>
            <w:r>
              <w:rPr>
                <w:sz w:val="18"/>
                <w:szCs w:val="18"/>
              </w:rPr>
              <w:t>298</w:t>
            </w:r>
          </w:p>
        </w:tc>
        <w:tc>
          <w:tcPr>
            <w:tcW w:w="1555" w:type="dxa"/>
            <w:hideMark/>
          </w:tcPr>
          <w:p w14:paraId="4D5BB762" w14:textId="77777777" w:rsidR="00C00311" w:rsidRDefault="00C00311">
            <w:pPr>
              <w:pStyle w:val="NormalWeb"/>
              <w:rPr>
                <w:sz w:val="18"/>
                <w:szCs w:val="18"/>
              </w:rPr>
            </w:pPr>
            <w:r>
              <w:rPr>
                <w:sz w:val="18"/>
                <w:szCs w:val="18"/>
              </w:rPr>
              <w:t>58.4</w:t>
            </w:r>
          </w:p>
        </w:tc>
        <w:tc>
          <w:tcPr>
            <w:tcW w:w="1555" w:type="dxa"/>
            <w:hideMark/>
          </w:tcPr>
          <w:p w14:paraId="5297105A" w14:textId="77777777" w:rsidR="00C00311" w:rsidRDefault="00C00311">
            <w:pPr>
              <w:pStyle w:val="NormalWeb"/>
              <w:rPr>
                <w:sz w:val="18"/>
                <w:szCs w:val="18"/>
              </w:rPr>
            </w:pPr>
            <w:r>
              <w:rPr>
                <w:sz w:val="18"/>
                <w:szCs w:val="18"/>
              </w:rPr>
              <w:t>290</w:t>
            </w:r>
          </w:p>
        </w:tc>
      </w:tr>
      <w:tr w:rsidR="00C00311" w14:paraId="2DDF462E" w14:textId="77777777" w:rsidTr="00C00311">
        <w:trPr>
          <w:cnfStyle w:val="000000010000" w:firstRow="0" w:lastRow="0" w:firstColumn="0" w:lastColumn="0" w:oddVBand="0" w:evenVBand="0" w:oddHBand="0" w:evenHBand="1" w:firstRowFirstColumn="0" w:firstRowLastColumn="0" w:lastRowFirstColumn="0" w:lastRowLastColumn="0"/>
        </w:trPr>
        <w:tc>
          <w:tcPr>
            <w:tcW w:w="0" w:type="auto"/>
            <w:hideMark/>
          </w:tcPr>
          <w:p w14:paraId="2FB93B37" w14:textId="77777777" w:rsidR="00C00311" w:rsidRDefault="00C00311">
            <w:pPr>
              <w:pStyle w:val="NormalWeb"/>
              <w:jc w:val="left"/>
              <w:rPr>
                <w:b/>
                <w:bCs/>
                <w:sz w:val="18"/>
                <w:szCs w:val="18"/>
              </w:rPr>
            </w:pPr>
            <w:r>
              <w:rPr>
                <w:b/>
                <w:bCs/>
                <w:sz w:val="18"/>
                <w:szCs w:val="18"/>
              </w:rPr>
              <w:t>Tas.</w:t>
            </w:r>
          </w:p>
        </w:tc>
        <w:tc>
          <w:tcPr>
            <w:tcW w:w="1554" w:type="dxa"/>
            <w:hideMark/>
          </w:tcPr>
          <w:p w14:paraId="70216A0B" w14:textId="77777777" w:rsidR="00C00311" w:rsidRDefault="00C00311">
            <w:pPr>
              <w:pStyle w:val="NormalWeb"/>
              <w:rPr>
                <w:sz w:val="18"/>
                <w:szCs w:val="18"/>
              </w:rPr>
            </w:pPr>
            <w:r>
              <w:rPr>
                <w:sz w:val="18"/>
                <w:szCs w:val="18"/>
              </w:rPr>
              <w:t>229</w:t>
            </w:r>
          </w:p>
        </w:tc>
        <w:tc>
          <w:tcPr>
            <w:tcW w:w="1555" w:type="dxa"/>
            <w:hideMark/>
          </w:tcPr>
          <w:p w14:paraId="4CEE299F" w14:textId="77777777" w:rsidR="00C00311" w:rsidRDefault="00C00311">
            <w:pPr>
              <w:pStyle w:val="NormalWeb"/>
              <w:rPr>
                <w:sz w:val="18"/>
                <w:szCs w:val="18"/>
              </w:rPr>
            </w:pPr>
            <w:r>
              <w:rPr>
                <w:sz w:val="18"/>
                <w:szCs w:val="18"/>
              </w:rPr>
              <w:t>76.4</w:t>
            </w:r>
          </w:p>
        </w:tc>
        <w:tc>
          <w:tcPr>
            <w:tcW w:w="1555" w:type="dxa"/>
            <w:hideMark/>
          </w:tcPr>
          <w:p w14:paraId="67BF9BE4" w14:textId="77777777" w:rsidR="00C00311" w:rsidRDefault="00C00311">
            <w:pPr>
              <w:pStyle w:val="NormalWeb"/>
              <w:rPr>
                <w:sz w:val="18"/>
                <w:szCs w:val="18"/>
              </w:rPr>
            </w:pPr>
            <w:r>
              <w:rPr>
                <w:sz w:val="18"/>
                <w:szCs w:val="18"/>
              </w:rPr>
              <w:t>238</w:t>
            </w:r>
          </w:p>
        </w:tc>
        <w:tc>
          <w:tcPr>
            <w:tcW w:w="1555" w:type="dxa"/>
            <w:hideMark/>
          </w:tcPr>
          <w:p w14:paraId="3CCC5F95" w14:textId="77777777" w:rsidR="00C00311" w:rsidRDefault="00C00311">
            <w:pPr>
              <w:pStyle w:val="NormalWeb"/>
              <w:rPr>
                <w:sz w:val="18"/>
                <w:szCs w:val="18"/>
              </w:rPr>
            </w:pPr>
            <w:r>
              <w:rPr>
                <w:sz w:val="18"/>
                <w:szCs w:val="18"/>
              </w:rPr>
              <w:t>236</w:t>
            </w:r>
          </w:p>
        </w:tc>
        <w:tc>
          <w:tcPr>
            <w:tcW w:w="1555" w:type="dxa"/>
            <w:hideMark/>
          </w:tcPr>
          <w:p w14:paraId="077BA43C" w14:textId="77777777" w:rsidR="00C00311" w:rsidRDefault="00C00311">
            <w:pPr>
              <w:pStyle w:val="NormalWeb"/>
              <w:rPr>
                <w:sz w:val="18"/>
                <w:szCs w:val="18"/>
              </w:rPr>
            </w:pPr>
            <w:r>
              <w:rPr>
                <w:sz w:val="18"/>
                <w:szCs w:val="18"/>
              </w:rPr>
              <w:t>63.1</w:t>
            </w:r>
          </w:p>
        </w:tc>
        <w:tc>
          <w:tcPr>
            <w:tcW w:w="1555" w:type="dxa"/>
            <w:hideMark/>
          </w:tcPr>
          <w:p w14:paraId="2D5841C1" w14:textId="77777777" w:rsidR="00C00311" w:rsidRDefault="00C00311">
            <w:pPr>
              <w:pStyle w:val="NormalWeb"/>
              <w:rPr>
                <w:sz w:val="18"/>
                <w:szCs w:val="18"/>
              </w:rPr>
            </w:pPr>
            <w:r>
              <w:rPr>
                <w:sz w:val="18"/>
                <w:szCs w:val="18"/>
              </w:rPr>
              <w:t>229</w:t>
            </w:r>
          </w:p>
        </w:tc>
      </w:tr>
      <w:tr w:rsidR="00C00311" w14:paraId="2A840D62" w14:textId="77777777" w:rsidTr="00C00311">
        <w:tc>
          <w:tcPr>
            <w:tcW w:w="0" w:type="auto"/>
            <w:hideMark/>
          </w:tcPr>
          <w:p w14:paraId="69942DF9" w14:textId="77777777" w:rsidR="00C00311" w:rsidRDefault="00C00311">
            <w:pPr>
              <w:pStyle w:val="NormalWeb"/>
              <w:jc w:val="left"/>
              <w:rPr>
                <w:b/>
                <w:bCs/>
                <w:sz w:val="18"/>
                <w:szCs w:val="18"/>
              </w:rPr>
            </w:pPr>
            <w:r>
              <w:rPr>
                <w:b/>
                <w:bCs/>
                <w:sz w:val="18"/>
                <w:szCs w:val="18"/>
              </w:rPr>
              <w:t>Vic.</w:t>
            </w:r>
          </w:p>
        </w:tc>
        <w:tc>
          <w:tcPr>
            <w:tcW w:w="1554" w:type="dxa"/>
            <w:hideMark/>
          </w:tcPr>
          <w:p w14:paraId="74B48C6F" w14:textId="77777777" w:rsidR="00C00311" w:rsidRDefault="00C00311">
            <w:pPr>
              <w:pStyle w:val="NormalWeb"/>
              <w:rPr>
                <w:sz w:val="18"/>
                <w:szCs w:val="18"/>
              </w:rPr>
            </w:pPr>
            <w:r>
              <w:rPr>
                <w:sz w:val="18"/>
                <w:szCs w:val="18"/>
              </w:rPr>
              <w:t>479</w:t>
            </w:r>
          </w:p>
        </w:tc>
        <w:tc>
          <w:tcPr>
            <w:tcW w:w="1555" w:type="dxa"/>
            <w:hideMark/>
          </w:tcPr>
          <w:p w14:paraId="4D7C7C81" w14:textId="77777777" w:rsidR="00C00311" w:rsidRDefault="00C00311">
            <w:pPr>
              <w:pStyle w:val="NormalWeb"/>
              <w:rPr>
                <w:sz w:val="18"/>
                <w:szCs w:val="18"/>
              </w:rPr>
            </w:pPr>
            <w:r>
              <w:rPr>
                <w:sz w:val="18"/>
                <w:szCs w:val="18"/>
              </w:rPr>
              <w:t>69.1</w:t>
            </w:r>
          </w:p>
        </w:tc>
        <w:tc>
          <w:tcPr>
            <w:tcW w:w="1555" w:type="dxa"/>
            <w:hideMark/>
          </w:tcPr>
          <w:p w14:paraId="3BC13635" w14:textId="77777777" w:rsidR="00C00311" w:rsidRDefault="00C00311">
            <w:pPr>
              <w:pStyle w:val="NormalWeb"/>
              <w:rPr>
                <w:sz w:val="18"/>
                <w:szCs w:val="18"/>
              </w:rPr>
            </w:pPr>
            <w:r>
              <w:rPr>
                <w:sz w:val="18"/>
                <w:szCs w:val="18"/>
              </w:rPr>
              <w:t>478</w:t>
            </w:r>
          </w:p>
        </w:tc>
        <w:tc>
          <w:tcPr>
            <w:tcW w:w="1555" w:type="dxa"/>
            <w:hideMark/>
          </w:tcPr>
          <w:p w14:paraId="7E4964D2" w14:textId="77777777" w:rsidR="00C00311" w:rsidRDefault="00C00311">
            <w:pPr>
              <w:pStyle w:val="NormalWeb"/>
              <w:rPr>
                <w:sz w:val="18"/>
                <w:szCs w:val="18"/>
              </w:rPr>
            </w:pPr>
            <w:r>
              <w:rPr>
                <w:sz w:val="18"/>
                <w:szCs w:val="18"/>
              </w:rPr>
              <w:t>523</w:t>
            </w:r>
          </w:p>
        </w:tc>
        <w:tc>
          <w:tcPr>
            <w:tcW w:w="1555" w:type="dxa"/>
            <w:hideMark/>
          </w:tcPr>
          <w:p w14:paraId="60ADB6C3" w14:textId="77777777" w:rsidR="00C00311" w:rsidRDefault="00C00311">
            <w:pPr>
              <w:pStyle w:val="NormalWeb"/>
              <w:rPr>
                <w:sz w:val="18"/>
                <w:szCs w:val="18"/>
              </w:rPr>
            </w:pPr>
            <w:r>
              <w:rPr>
                <w:sz w:val="18"/>
                <w:szCs w:val="18"/>
              </w:rPr>
              <w:t>53.7</w:t>
            </w:r>
          </w:p>
        </w:tc>
        <w:tc>
          <w:tcPr>
            <w:tcW w:w="1555" w:type="dxa"/>
            <w:hideMark/>
          </w:tcPr>
          <w:p w14:paraId="03493507" w14:textId="77777777" w:rsidR="00C00311" w:rsidRDefault="00C00311">
            <w:pPr>
              <w:pStyle w:val="NormalWeb"/>
              <w:rPr>
                <w:sz w:val="18"/>
                <w:szCs w:val="18"/>
              </w:rPr>
            </w:pPr>
            <w:r>
              <w:rPr>
                <w:sz w:val="18"/>
                <w:szCs w:val="18"/>
              </w:rPr>
              <w:t>525</w:t>
            </w:r>
          </w:p>
        </w:tc>
      </w:tr>
      <w:tr w:rsidR="00C00311" w14:paraId="0DDC2911" w14:textId="77777777" w:rsidTr="00C00311">
        <w:trPr>
          <w:cnfStyle w:val="000000010000" w:firstRow="0" w:lastRow="0" w:firstColumn="0" w:lastColumn="0" w:oddVBand="0" w:evenVBand="0" w:oddHBand="0" w:evenHBand="1" w:firstRowFirstColumn="0" w:firstRowLastColumn="0" w:lastRowFirstColumn="0" w:lastRowLastColumn="0"/>
        </w:trPr>
        <w:tc>
          <w:tcPr>
            <w:tcW w:w="0" w:type="auto"/>
            <w:tcBorders>
              <w:top w:val="nil"/>
              <w:left w:val="nil"/>
              <w:bottom w:val="single" w:sz="2" w:space="0" w:color="auto"/>
              <w:right w:val="nil"/>
            </w:tcBorders>
            <w:hideMark/>
          </w:tcPr>
          <w:p w14:paraId="27023927" w14:textId="77777777" w:rsidR="00C00311" w:rsidRDefault="00C00311">
            <w:pPr>
              <w:pStyle w:val="NormalWeb"/>
              <w:jc w:val="left"/>
              <w:rPr>
                <w:b/>
                <w:bCs/>
                <w:sz w:val="18"/>
                <w:szCs w:val="18"/>
              </w:rPr>
            </w:pPr>
            <w:r>
              <w:rPr>
                <w:b/>
                <w:bCs/>
                <w:sz w:val="18"/>
                <w:szCs w:val="18"/>
              </w:rPr>
              <w:t>WA</w:t>
            </w:r>
          </w:p>
        </w:tc>
        <w:tc>
          <w:tcPr>
            <w:tcW w:w="1554" w:type="dxa"/>
            <w:tcBorders>
              <w:top w:val="nil"/>
              <w:left w:val="nil"/>
              <w:bottom w:val="single" w:sz="2" w:space="0" w:color="auto"/>
              <w:right w:val="nil"/>
            </w:tcBorders>
            <w:hideMark/>
          </w:tcPr>
          <w:p w14:paraId="1B5761C4" w14:textId="77777777" w:rsidR="00C00311" w:rsidRDefault="00C00311">
            <w:pPr>
              <w:pStyle w:val="NormalWeb"/>
              <w:rPr>
                <w:sz w:val="18"/>
                <w:szCs w:val="18"/>
              </w:rPr>
            </w:pPr>
            <w:r>
              <w:rPr>
                <w:sz w:val="18"/>
                <w:szCs w:val="18"/>
              </w:rPr>
              <w:t>1,609</w:t>
            </w:r>
          </w:p>
        </w:tc>
        <w:tc>
          <w:tcPr>
            <w:tcW w:w="1555" w:type="dxa"/>
            <w:tcBorders>
              <w:top w:val="nil"/>
              <w:left w:val="nil"/>
              <w:bottom w:val="single" w:sz="2" w:space="0" w:color="auto"/>
              <w:right w:val="nil"/>
            </w:tcBorders>
            <w:hideMark/>
          </w:tcPr>
          <w:p w14:paraId="024E5275" w14:textId="77777777" w:rsidR="00C00311" w:rsidRDefault="00C00311">
            <w:pPr>
              <w:pStyle w:val="NormalWeb"/>
              <w:rPr>
                <w:sz w:val="18"/>
                <w:szCs w:val="18"/>
              </w:rPr>
            </w:pPr>
            <w:r>
              <w:rPr>
                <w:sz w:val="18"/>
                <w:szCs w:val="18"/>
              </w:rPr>
              <w:t>66.0</w:t>
            </w:r>
          </w:p>
        </w:tc>
        <w:tc>
          <w:tcPr>
            <w:tcW w:w="1555" w:type="dxa"/>
            <w:tcBorders>
              <w:top w:val="nil"/>
              <w:left w:val="nil"/>
              <w:bottom w:val="single" w:sz="2" w:space="0" w:color="auto"/>
              <w:right w:val="nil"/>
            </w:tcBorders>
            <w:hideMark/>
          </w:tcPr>
          <w:p w14:paraId="11BDF31A" w14:textId="77777777" w:rsidR="00C00311" w:rsidRDefault="00C00311">
            <w:pPr>
              <w:pStyle w:val="NormalWeb"/>
              <w:rPr>
                <w:sz w:val="18"/>
                <w:szCs w:val="18"/>
              </w:rPr>
            </w:pPr>
            <w:r>
              <w:rPr>
                <w:sz w:val="18"/>
                <w:szCs w:val="18"/>
              </w:rPr>
              <w:t>1,611</w:t>
            </w:r>
          </w:p>
        </w:tc>
        <w:tc>
          <w:tcPr>
            <w:tcW w:w="1555" w:type="dxa"/>
            <w:tcBorders>
              <w:top w:val="nil"/>
              <w:left w:val="nil"/>
              <w:bottom w:val="single" w:sz="2" w:space="0" w:color="auto"/>
              <w:right w:val="nil"/>
            </w:tcBorders>
            <w:hideMark/>
          </w:tcPr>
          <w:p w14:paraId="3F23E073" w14:textId="77777777" w:rsidR="00C00311" w:rsidRDefault="00C00311">
            <w:pPr>
              <w:pStyle w:val="NormalWeb"/>
              <w:rPr>
                <w:sz w:val="18"/>
                <w:szCs w:val="18"/>
              </w:rPr>
            </w:pPr>
            <w:r>
              <w:rPr>
                <w:sz w:val="18"/>
                <w:szCs w:val="18"/>
              </w:rPr>
              <w:t>952</w:t>
            </w:r>
          </w:p>
        </w:tc>
        <w:tc>
          <w:tcPr>
            <w:tcW w:w="1555" w:type="dxa"/>
            <w:tcBorders>
              <w:top w:val="nil"/>
              <w:left w:val="nil"/>
              <w:bottom w:val="single" w:sz="2" w:space="0" w:color="auto"/>
              <w:right w:val="nil"/>
            </w:tcBorders>
            <w:hideMark/>
          </w:tcPr>
          <w:p w14:paraId="5E666881" w14:textId="77777777" w:rsidR="00C00311" w:rsidRDefault="00C00311">
            <w:pPr>
              <w:pStyle w:val="NormalWeb"/>
              <w:rPr>
                <w:sz w:val="18"/>
                <w:szCs w:val="18"/>
              </w:rPr>
            </w:pPr>
            <w:r>
              <w:rPr>
                <w:sz w:val="18"/>
                <w:szCs w:val="18"/>
              </w:rPr>
              <w:t>53.2</w:t>
            </w:r>
          </w:p>
        </w:tc>
        <w:tc>
          <w:tcPr>
            <w:tcW w:w="1555" w:type="dxa"/>
            <w:tcBorders>
              <w:top w:val="nil"/>
              <w:left w:val="nil"/>
              <w:bottom w:val="single" w:sz="2" w:space="0" w:color="auto"/>
              <w:right w:val="nil"/>
            </w:tcBorders>
            <w:hideMark/>
          </w:tcPr>
          <w:p w14:paraId="19C3F6B4" w14:textId="77777777" w:rsidR="00C00311" w:rsidRDefault="00C00311">
            <w:pPr>
              <w:pStyle w:val="NormalWeb"/>
              <w:rPr>
                <w:sz w:val="18"/>
                <w:szCs w:val="18"/>
              </w:rPr>
            </w:pPr>
            <w:r>
              <w:rPr>
                <w:sz w:val="18"/>
                <w:szCs w:val="18"/>
              </w:rPr>
              <w:t>931</w:t>
            </w:r>
          </w:p>
        </w:tc>
      </w:tr>
      <w:tr w:rsidR="00C00311" w14:paraId="5576C6E3" w14:textId="77777777" w:rsidTr="00C00311">
        <w:tc>
          <w:tcPr>
            <w:tcW w:w="0" w:type="auto"/>
            <w:tcBorders>
              <w:top w:val="single" w:sz="2" w:space="0" w:color="auto"/>
              <w:left w:val="nil"/>
              <w:bottom w:val="single" w:sz="2" w:space="0" w:color="auto"/>
              <w:right w:val="nil"/>
            </w:tcBorders>
            <w:shd w:val="clear" w:color="auto" w:fill="F7ECDD"/>
            <w:hideMark/>
          </w:tcPr>
          <w:p w14:paraId="52202433" w14:textId="77777777" w:rsidR="00C00311" w:rsidRDefault="00C00311">
            <w:pPr>
              <w:pStyle w:val="NormalWeb"/>
              <w:jc w:val="left"/>
              <w:rPr>
                <w:b/>
                <w:bCs/>
                <w:sz w:val="18"/>
                <w:szCs w:val="18"/>
              </w:rPr>
            </w:pPr>
            <w:r>
              <w:rPr>
                <w:b/>
                <w:bCs/>
                <w:sz w:val="18"/>
                <w:szCs w:val="18"/>
              </w:rPr>
              <w:t>AUST</w:t>
            </w:r>
          </w:p>
        </w:tc>
        <w:tc>
          <w:tcPr>
            <w:tcW w:w="1554" w:type="dxa"/>
            <w:tcBorders>
              <w:top w:val="single" w:sz="2" w:space="0" w:color="auto"/>
              <w:left w:val="nil"/>
              <w:bottom w:val="single" w:sz="2" w:space="0" w:color="auto"/>
              <w:right w:val="nil"/>
            </w:tcBorders>
            <w:shd w:val="clear" w:color="auto" w:fill="F7ECDD"/>
            <w:hideMark/>
          </w:tcPr>
          <w:p w14:paraId="3619AD1E" w14:textId="77777777" w:rsidR="00C00311" w:rsidRDefault="00C00311">
            <w:pPr>
              <w:pStyle w:val="NormalWeb"/>
              <w:rPr>
                <w:b/>
                <w:bCs/>
                <w:sz w:val="18"/>
                <w:szCs w:val="18"/>
              </w:rPr>
            </w:pPr>
            <w:r>
              <w:rPr>
                <w:b/>
                <w:bCs/>
                <w:sz w:val="18"/>
                <w:szCs w:val="18"/>
              </w:rPr>
              <w:t>7,981</w:t>
            </w:r>
          </w:p>
        </w:tc>
        <w:tc>
          <w:tcPr>
            <w:tcW w:w="1555" w:type="dxa"/>
            <w:tcBorders>
              <w:top w:val="single" w:sz="2" w:space="0" w:color="auto"/>
              <w:left w:val="nil"/>
              <w:bottom w:val="single" w:sz="2" w:space="0" w:color="auto"/>
              <w:right w:val="nil"/>
            </w:tcBorders>
            <w:shd w:val="clear" w:color="auto" w:fill="F7ECDD"/>
            <w:hideMark/>
          </w:tcPr>
          <w:p w14:paraId="121323A7" w14:textId="77777777" w:rsidR="00C00311" w:rsidRDefault="00C00311">
            <w:pPr>
              <w:pStyle w:val="NormalWeb"/>
              <w:rPr>
                <w:b/>
                <w:bCs/>
                <w:sz w:val="18"/>
                <w:szCs w:val="18"/>
              </w:rPr>
            </w:pPr>
            <w:r>
              <w:rPr>
                <w:b/>
                <w:bCs/>
                <w:sz w:val="18"/>
                <w:szCs w:val="18"/>
              </w:rPr>
              <w:t>64.4</w:t>
            </w:r>
          </w:p>
        </w:tc>
        <w:tc>
          <w:tcPr>
            <w:tcW w:w="1555" w:type="dxa"/>
            <w:tcBorders>
              <w:top w:val="single" w:sz="2" w:space="0" w:color="auto"/>
              <w:left w:val="nil"/>
              <w:bottom w:val="single" w:sz="2" w:space="0" w:color="auto"/>
              <w:right w:val="nil"/>
            </w:tcBorders>
            <w:shd w:val="clear" w:color="auto" w:fill="F7ECDD"/>
            <w:hideMark/>
          </w:tcPr>
          <w:p w14:paraId="034B89A6" w14:textId="77777777" w:rsidR="00C00311" w:rsidRDefault="00C00311">
            <w:pPr>
              <w:pStyle w:val="NormalWeb"/>
              <w:rPr>
                <w:b/>
                <w:bCs/>
                <w:sz w:val="18"/>
                <w:szCs w:val="18"/>
              </w:rPr>
            </w:pPr>
            <w:r>
              <w:rPr>
                <w:b/>
                <w:bCs/>
                <w:sz w:val="18"/>
                <w:szCs w:val="18"/>
              </w:rPr>
              <w:t>8,057</w:t>
            </w:r>
          </w:p>
        </w:tc>
        <w:tc>
          <w:tcPr>
            <w:tcW w:w="1555" w:type="dxa"/>
            <w:tcBorders>
              <w:top w:val="single" w:sz="2" w:space="0" w:color="auto"/>
              <w:left w:val="nil"/>
              <w:bottom w:val="single" w:sz="2" w:space="0" w:color="auto"/>
              <w:right w:val="nil"/>
            </w:tcBorders>
            <w:shd w:val="clear" w:color="auto" w:fill="F7ECDD"/>
            <w:hideMark/>
          </w:tcPr>
          <w:p w14:paraId="03EC5FD4" w14:textId="77777777" w:rsidR="00C00311" w:rsidRDefault="00C00311">
            <w:pPr>
              <w:pStyle w:val="NormalWeb"/>
              <w:rPr>
                <w:b/>
                <w:bCs/>
                <w:sz w:val="18"/>
                <w:szCs w:val="18"/>
              </w:rPr>
            </w:pPr>
            <w:r>
              <w:rPr>
                <w:b/>
                <w:bCs/>
                <w:sz w:val="18"/>
                <w:szCs w:val="18"/>
              </w:rPr>
              <w:t>6,982</w:t>
            </w:r>
          </w:p>
        </w:tc>
        <w:tc>
          <w:tcPr>
            <w:tcW w:w="1555" w:type="dxa"/>
            <w:tcBorders>
              <w:top w:val="single" w:sz="2" w:space="0" w:color="auto"/>
              <w:left w:val="nil"/>
              <w:bottom w:val="single" w:sz="2" w:space="0" w:color="auto"/>
              <w:right w:val="nil"/>
            </w:tcBorders>
            <w:shd w:val="clear" w:color="auto" w:fill="F7ECDD"/>
            <w:hideMark/>
          </w:tcPr>
          <w:p w14:paraId="1E24F62D" w14:textId="77777777" w:rsidR="00C00311" w:rsidRDefault="00C00311">
            <w:pPr>
              <w:pStyle w:val="NormalWeb"/>
              <w:rPr>
                <w:b/>
                <w:bCs/>
                <w:sz w:val="18"/>
                <w:szCs w:val="18"/>
              </w:rPr>
            </w:pPr>
            <w:r>
              <w:rPr>
                <w:b/>
                <w:bCs/>
                <w:sz w:val="18"/>
                <w:szCs w:val="18"/>
              </w:rPr>
              <w:t>58.3</w:t>
            </w:r>
          </w:p>
        </w:tc>
        <w:tc>
          <w:tcPr>
            <w:tcW w:w="1555" w:type="dxa"/>
            <w:tcBorders>
              <w:top w:val="single" w:sz="2" w:space="0" w:color="auto"/>
              <w:left w:val="nil"/>
              <w:bottom w:val="single" w:sz="2" w:space="0" w:color="auto"/>
              <w:right w:val="nil"/>
            </w:tcBorders>
            <w:shd w:val="clear" w:color="auto" w:fill="F7ECDD"/>
            <w:hideMark/>
          </w:tcPr>
          <w:p w14:paraId="0B04E2A0" w14:textId="77777777" w:rsidR="00C00311" w:rsidRDefault="00C00311">
            <w:pPr>
              <w:pStyle w:val="NormalWeb"/>
              <w:rPr>
                <w:b/>
                <w:bCs/>
                <w:sz w:val="18"/>
                <w:szCs w:val="18"/>
              </w:rPr>
            </w:pPr>
            <w:r>
              <w:rPr>
                <w:b/>
                <w:bCs/>
                <w:sz w:val="18"/>
                <w:szCs w:val="18"/>
              </w:rPr>
              <w:t>6,904</w:t>
            </w:r>
          </w:p>
        </w:tc>
      </w:tr>
    </w:tbl>
    <w:p w14:paraId="48B8E1D8" w14:textId="77777777" w:rsidR="00C00311" w:rsidRDefault="00C00311" w:rsidP="00C00311">
      <w:pPr>
        <w:pStyle w:val="CDIfootnotes"/>
        <w:rPr>
          <w:lang w:val="en-GB"/>
        </w:rPr>
      </w:pPr>
      <w:r>
        <w:rPr>
          <w:lang w:val="en-US"/>
        </w:rPr>
        <w:t>a</w:t>
      </w:r>
      <w:r>
        <w:rPr>
          <w:lang w:val="en-US"/>
        </w:rPr>
        <w:tab/>
        <w:t xml:space="preserve">Source: Australian </w:t>
      </w:r>
      <w:proofErr w:type="spellStart"/>
      <w:r>
        <w:rPr>
          <w:lang w:val="en-US"/>
        </w:rPr>
        <w:t>Immunisation</w:t>
      </w:r>
      <w:proofErr w:type="spellEnd"/>
      <w:r>
        <w:rPr>
          <w:lang w:val="en-US"/>
        </w:rPr>
        <w:t xml:space="preserve"> Register, data as </w:t>
      </w:r>
      <w:proofErr w:type="gramStart"/>
      <w:r>
        <w:rPr>
          <w:lang w:val="en-US"/>
        </w:rPr>
        <w:t>at</w:t>
      </w:r>
      <w:proofErr w:type="gramEnd"/>
      <w:r>
        <w:rPr>
          <w:lang w:val="en-US"/>
        </w:rPr>
        <w:t xml:space="preserve"> 31 March 2021.</w:t>
      </w:r>
    </w:p>
    <w:p w14:paraId="77BD08DC" w14:textId="77777777" w:rsidR="00C00311" w:rsidRDefault="00C00311" w:rsidP="00C00311">
      <w:pPr>
        <w:pStyle w:val="CDIfootnotes"/>
        <w:rPr>
          <w:lang w:val="en-GB"/>
        </w:rPr>
      </w:pPr>
      <w:r>
        <w:rPr>
          <w:lang w:val="en-US"/>
        </w:rPr>
        <w:t>b</w:t>
      </w:r>
      <w:r>
        <w:rPr>
          <w:lang w:val="en-US"/>
        </w:rPr>
        <w:tab/>
      </w:r>
      <w:proofErr w:type="spellStart"/>
      <w:r>
        <w:rPr>
          <w:lang w:val="en-US"/>
        </w:rPr>
        <w:t>dTpa</w:t>
      </w:r>
      <w:proofErr w:type="spellEnd"/>
      <w:r>
        <w:rPr>
          <w:lang w:val="en-US"/>
        </w:rPr>
        <w:t>: diphtheria, tetanus, pertussis (acellular) – adolescent/adult formulation.</w:t>
      </w:r>
    </w:p>
    <w:p w14:paraId="2A09E79E" w14:textId="77777777" w:rsidR="00C00311" w:rsidRDefault="00C00311" w:rsidP="00C00311">
      <w:pPr>
        <w:pStyle w:val="CDIfootnotes"/>
        <w:rPr>
          <w:lang w:val="en-GB"/>
        </w:rPr>
      </w:pPr>
      <w:r>
        <w:rPr>
          <w:lang w:val="en-US"/>
        </w:rPr>
        <w:t>c</w:t>
      </w:r>
      <w:r>
        <w:rPr>
          <w:lang w:val="en-US"/>
        </w:rPr>
        <w:tab/>
        <w:t>ACT: Australian Capital Territory; NSW: New South Wales; NT: Northern Territory; Qld: Queensland; SA: South Australia; Tas.: Tasmania; Vic.: Victoria; WA: Western Australia; AUST: Australia.</w:t>
      </w:r>
    </w:p>
    <w:p w14:paraId="59077070" w14:textId="77777777" w:rsidR="00C00311" w:rsidRDefault="00C00311" w:rsidP="00C00311">
      <w:pPr>
        <w:pStyle w:val="CDIfootnotes"/>
        <w:rPr>
          <w:lang w:val="en-GB"/>
        </w:rPr>
      </w:pPr>
      <w:r>
        <w:rPr>
          <w:lang w:val="en-US"/>
        </w:rPr>
        <w:t>d</w:t>
      </w:r>
      <w:r>
        <w:rPr>
          <w:lang w:val="en-US"/>
        </w:rPr>
        <w:tab/>
        <w:t>Percentage who received the first dose of HPV vaccine in 2019 or 2020 and went on to receive the second dose in the same calendar year.</w:t>
      </w:r>
    </w:p>
    <w:p w14:paraId="26AB44EF" w14:textId="77777777" w:rsidR="00C00311" w:rsidRDefault="00C00311" w:rsidP="00FD4A14"/>
    <w:p w14:paraId="1582D7E6" w14:textId="77777777" w:rsidR="002B4EF6" w:rsidRPr="00FD4A14" w:rsidRDefault="002B4EF6" w:rsidP="00FD4A14">
      <w:pPr>
        <w:pStyle w:val="Heading2"/>
      </w:pPr>
      <w:r w:rsidRPr="00FD4A14">
        <w:t>Diphtheria-tetanus-acellular pertussis (</w:t>
      </w:r>
      <w:proofErr w:type="spellStart"/>
      <w:r w:rsidRPr="00FD4A14">
        <w:t>dTpa</w:t>
      </w:r>
      <w:proofErr w:type="spellEnd"/>
      <w:r w:rsidRPr="00FD4A14">
        <w:t xml:space="preserve">) booster vaccine coverage </w:t>
      </w:r>
    </w:p>
    <w:p w14:paraId="57A1468E" w14:textId="77777777" w:rsidR="002B4EF6" w:rsidRDefault="002B4EF6" w:rsidP="00FD4A14">
      <w:r>
        <w:t>Figure 15 shows coverage, by 15 years of age, of the adolescent booster dose of diphtheria-tetanus-acellular pertussis (</w:t>
      </w:r>
      <w:proofErr w:type="spellStart"/>
      <w:r>
        <w:t>dTpa</w:t>
      </w:r>
      <w:proofErr w:type="spellEnd"/>
      <w:r>
        <w:t xml:space="preserve">) vaccine in 2019 and 2020, by jurisdiction. Nationally, </w:t>
      </w:r>
      <w:proofErr w:type="spellStart"/>
      <w:r>
        <w:t>dTpa</w:t>
      </w:r>
      <w:proofErr w:type="spellEnd"/>
      <w:r>
        <w:t xml:space="preserve"> coverage was 1.7 percentage points higher in 2020 than 2019 (86.8% versus 85.1%). Coverage in all jurisdictions was higher in 2020 than 2019, with the </w:t>
      </w:r>
      <w:r>
        <w:lastRenderedPageBreak/>
        <w:t xml:space="preserve">largest increase in Tasmania (from 71.9% to 83.9%). Coverage in 2020 ranged from 83.9% in Tasmania to 88.5% in South Australia. </w:t>
      </w:r>
    </w:p>
    <w:p w14:paraId="611C91AC" w14:textId="77777777" w:rsidR="002B4EF6" w:rsidRDefault="002B4EF6" w:rsidP="00FD4A14">
      <w:r>
        <w:t xml:space="preserve">Figure 16 shows coverage, by 15 years of age, of the booster dose of </w:t>
      </w:r>
      <w:proofErr w:type="spellStart"/>
      <w:r>
        <w:t>dTpa</w:t>
      </w:r>
      <w:proofErr w:type="spellEnd"/>
      <w:r>
        <w:t xml:space="preserve"> vaccine in 2019 and 2020 in Indigenous adolescents, by jurisdiction. Nationally, </w:t>
      </w:r>
      <w:proofErr w:type="spellStart"/>
      <w:r>
        <w:t>dTpa</w:t>
      </w:r>
      <w:proofErr w:type="spellEnd"/>
      <w:r>
        <w:t xml:space="preserve"> coverage for Indigenous adolescents was 3.3 percentage points higher in 2020 than in 2019 (84.2% versus 80.9%</w:t>
      </w:r>
      <w:proofErr w:type="gramStart"/>
      <w:r>
        <w:t>), and</w:t>
      </w:r>
      <w:proofErr w:type="gramEnd"/>
      <w:r>
        <w:t xml:space="preserve"> was 2.6 percentage points lower than coverage overall in 2020. Coverage in 2020 ranged from 73.3% in the Australian Capital Territory to 88.9% in New South Wales. </w:t>
      </w:r>
    </w:p>
    <w:p w14:paraId="200D5664" w14:textId="77777777" w:rsidR="002B4EF6" w:rsidRDefault="002B4EF6" w:rsidP="00FD4A14">
      <w:r>
        <w:t xml:space="preserve">In 2020, the number of </w:t>
      </w:r>
      <w:proofErr w:type="spellStart"/>
      <w:r>
        <w:t>dTpa</w:t>
      </w:r>
      <w:proofErr w:type="spellEnd"/>
      <w:r>
        <w:t xml:space="preserve"> vaccinations recorded as administered to girls aged 11–14 years was 13% lower nationally than in 2019, ranging from 47.6% lower in Western Australia to 0.2% higher in South Australia, and 15% lower in Indigenous girls, ranging from 43.3% lower in Western Australia to 2.8% higher in Victoria (Table 7). </w:t>
      </w:r>
    </w:p>
    <w:p w14:paraId="3AB80B2D" w14:textId="665C51A2" w:rsidR="00D4059C" w:rsidRDefault="002B4EF6" w:rsidP="00FD4A14">
      <w:r>
        <w:t xml:space="preserve">The number of </w:t>
      </w:r>
      <w:proofErr w:type="spellStart"/>
      <w:r>
        <w:t>dTpa</w:t>
      </w:r>
      <w:proofErr w:type="spellEnd"/>
      <w:r>
        <w:t xml:space="preserve"> vaccinations recorded as administered to boys aged 11–14 years was 14% lower nationally in 2020 than in 2019, ranging from 47.3% lower in Western Australia to 3.7% lower in Victoria, and 14.3% lower in Indigenous boys, ranging from 42.2% lower in Western Australia to 9.9% higher in Victoria (Table 8).</w:t>
      </w:r>
    </w:p>
    <w:p w14:paraId="659F147B" w14:textId="77777777" w:rsidR="002129A3" w:rsidRDefault="00D4059C" w:rsidP="00D4059C">
      <w:pPr>
        <w:pStyle w:val="NormalWeb"/>
        <w:rPr>
          <w:rStyle w:val="Strong"/>
          <w:vertAlign w:val="superscript"/>
          <w:lang w:val="en-GB"/>
        </w:rPr>
      </w:pPr>
      <w:r>
        <w:rPr>
          <w:rStyle w:val="Strong"/>
          <w:lang w:val="en-GB"/>
        </w:rPr>
        <w:t xml:space="preserve">Figure 15: Coverage (%) of the adolescent booster dose of diphtheria-tetanus-acellular pertussis (adolescent/adult formulation, </w:t>
      </w:r>
      <w:proofErr w:type="spellStart"/>
      <w:r>
        <w:rPr>
          <w:rStyle w:val="Strong"/>
          <w:lang w:val="en-GB"/>
        </w:rPr>
        <w:t>dTpa</w:t>
      </w:r>
      <w:proofErr w:type="spellEnd"/>
      <w:r>
        <w:rPr>
          <w:rStyle w:val="Strong"/>
          <w:lang w:val="en-GB"/>
        </w:rPr>
        <w:t xml:space="preserve">) vaccine by 15 years of </w:t>
      </w:r>
      <w:proofErr w:type="spellStart"/>
      <w:proofErr w:type="gramStart"/>
      <w:r>
        <w:rPr>
          <w:rStyle w:val="Strong"/>
          <w:lang w:val="en-GB"/>
        </w:rPr>
        <w:t>age,</w:t>
      </w:r>
      <w:r>
        <w:rPr>
          <w:rStyle w:val="Strong"/>
          <w:vertAlign w:val="superscript"/>
          <w:lang w:val="en-GB"/>
        </w:rPr>
        <w:t>a</w:t>
      </w:r>
      <w:proofErr w:type="spellEnd"/>
      <w:proofErr w:type="gramEnd"/>
      <w:r>
        <w:rPr>
          <w:rStyle w:val="Strong"/>
          <w:lang w:val="en-GB"/>
        </w:rPr>
        <w:t xml:space="preserve"> by jurisdiction, Australia, 2019 and 2020</w:t>
      </w:r>
      <w:r>
        <w:rPr>
          <w:rStyle w:val="Strong"/>
          <w:vertAlign w:val="superscript"/>
          <w:lang w:val="en-GB"/>
        </w:rPr>
        <w:t>b,c</w:t>
      </w:r>
    </w:p>
    <w:p w14:paraId="6E64591E" w14:textId="152272E9" w:rsidR="00D4059C" w:rsidRDefault="00D4059C" w:rsidP="00160856">
      <w:pPr>
        <w:pStyle w:val="NormalWeb"/>
        <w:jc w:val="center"/>
        <w:rPr>
          <w:lang w:val="en-GB"/>
        </w:rPr>
      </w:pPr>
      <w:r>
        <w:rPr>
          <w:noProof/>
          <w:lang w:val="en-GB"/>
        </w:rPr>
        <w:drawing>
          <wp:inline distT="0" distB="0" distL="0" distR="0" wp14:anchorId="724223CD" wp14:editId="5E58DE2C">
            <wp:extent cx="6111252" cy="3989840"/>
            <wp:effectExtent l="0" t="0" r="3810" b="0"/>
            <wp:docPr id="20" name="Picture 20" descr="Figure 15 shows coverage, by 15 years of age, of the adolescent booster dose of diphtheria-tetanus-acellular pertussis (dTpa) vaccine in 2019 and 2020, by jurisdiction. Nationally, dTpa coverage was 1.9 percentage points lower in 2020 than 2019 (77.4% versus 79.3%), although this was due solely to a decrease in Queensland (from 81.7% to 65.8%), with coverage in all other jurisdictions increa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igure 15 shows coverage, by 15 years of age, of the adolescent booster dose of diphtheria-tetanus-acellular pertussis (dTpa) vaccine in 2019 and 2020, by jurisdiction. Nationally, dTpa coverage was 1.9 percentage points lower in 2020 than 2019 (77.4% versus 79.3%), although this was due solely to a decrease in Queensland (from 81.7% to 65.8%), with coverage in all other jurisdictions increasing."/>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6111252" cy="3989840"/>
                    </a:xfrm>
                    <a:prstGeom prst="rect">
                      <a:avLst/>
                    </a:prstGeom>
                  </pic:spPr>
                </pic:pic>
              </a:graphicData>
            </a:graphic>
          </wp:inline>
        </w:drawing>
      </w:r>
    </w:p>
    <w:p w14:paraId="1ABBD899" w14:textId="77777777" w:rsidR="00D4059C" w:rsidRDefault="00D4059C" w:rsidP="00D4059C">
      <w:pPr>
        <w:pStyle w:val="CDIfootnotes"/>
        <w:rPr>
          <w:lang w:val="en-GB"/>
        </w:rPr>
      </w:pPr>
      <w:r>
        <w:rPr>
          <w:lang w:val="en-US"/>
        </w:rPr>
        <w:t>a</w:t>
      </w:r>
      <w:r>
        <w:rPr>
          <w:lang w:val="en-US"/>
        </w:rPr>
        <w:tab/>
      </w:r>
      <w:proofErr w:type="spellStart"/>
      <w:r>
        <w:rPr>
          <w:lang w:val="en-US"/>
        </w:rPr>
        <w:t>dTpa</w:t>
      </w:r>
      <w:proofErr w:type="spellEnd"/>
      <w:r>
        <w:rPr>
          <w:lang w:val="en-US"/>
        </w:rPr>
        <w:t xml:space="preserve"> vaccinations received before fifteenth birthday in cohort born 1 January – 31 December 2004 for 2019 coverage estimates and in cohort born 1 January – 31 December 2005 for 2020 coverage estimates.</w:t>
      </w:r>
    </w:p>
    <w:p w14:paraId="3371336F" w14:textId="77777777" w:rsidR="00D4059C" w:rsidRDefault="00D4059C" w:rsidP="00D4059C">
      <w:pPr>
        <w:pStyle w:val="CDIfootnotes"/>
        <w:rPr>
          <w:lang w:val="en-GB"/>
        </w:rPr>
      </w:pPr>
      <w:r>
        <w:rPr>
          <w:lang w:val="en-US"/>
        </w:rPr>
        <w:t>b</w:t>
      </w:r>
      <w:r>
        <w:rPr>
          <w:lang w:val="en-US"/>
        </w:rPr>
        <w:tab/>
        <w:t xml:space="preserve">Source: Australian </w:t>
      </w:r>
      <w:proofErr w:type="spellStart"/>
      <w:r>
        <w:rPr>
          <w:lang w:val="en-US"/>
        </w:rPr>
        <w:t>Immunisation</w:t>
      </w:r>
      <w:proofErr w:type="spellEnd"/>
      <w:r>
        <w:rPr>
          <w:lang w:val="en-US"/>
        </w:rPr>
        <w:t xml:space="preserve"> Register, data as </w:t>
      </w:r>
      <w:proofErr w:type="gramStart"/>
      <w:r>
        <w:rPr>
          <w:lang w:val="en-US"/>
        </w:rPr>
        <w:t>at</w:t>
      </w:r>
      <w:proofErr w:type="gramEnd"/>
      <w:r>
        <w:rPr>
          <w:lang w:val="en-US"/>
        </w:rPr>
        <w:t xml:space="preserve"> 31 March 2020 (for 2019 data) and as at 31 March 2021 (for 2020 data).</w:t>
      </w:r>
    </w:p>
    <w:p w14:paraId="36E41091" w14:textId="659D0A3C" w:rsidR="002B4EF6" w:rsidRPr="00D4059C" w:rsidRDefault="00D4059C" w:rsidP="00D4059C">
      <w:pPr>
        <w:pStyle w:val="CDIfootnotes"/>
        <w:rPr>
          <w:lang w:val="en-GB"/>
        </w:rPr>
      </w:pPr>
      <w:r>
        <w:rPr>
          <w:lang w:val="en-US"/>
        </w:rPr>
        <w:t>c</w:t>
      </w:r>
      <w:r>
        <w:rPr>
          <w:lang w:val="en-US"/>
        </w:rPr>
        <w:tab/>
        <w:t>ACT: Australian Capital Territory; NSW: New South Wales; NT: Northern Territory; Qld: Queensland; SA: South Australia; Tas.: Tasmania; Vic.: Victoria; WA: Western Australia; AUST: Australia.</w:t>
      </w:r>
    </w:p>
    <w:p w14:paraId="366805C2" w14:textId="4634102C" w:rsidR="00544D29" w:rsidRDefault="00544D29" w:rsidP="00544D29">
      <w:pPr>
        <w:pStyle w:val="NormalWeb"/>
        <w:rPr>
          <w:lang w:val="en-GB"/>
        </w:rPr>
      </w:pPr>
      <w:r>
        <w:rPr>
          <w:rStyle w:val="Strong"/>
          <w:lang w:val="en-GB"/>
        </w:rPr>
        <w:t xml:space="preserve">Figure 16: Coverage (%) of the adolescent booster dose of diphtheria-tetanus-acellular pertussis (adolescent/adult formulation, </w:t>
      </w:r>
      <w:proofErr w:type="spellStart"/>
      <w:r>
        <w:rPr>
          <w:rStyle w:val="Strong"/>
          <w:lang w:val="en-GB"/>
        </w:rPr>
        <w:t>dTpa</w:t>
      </w:r>
      <w:proofErr w:type="spellEnd"/>
      <w:r>
        <w:rPr>
          <w:rStyle w:val="Strong"/>
          <w:lang w:val="en-GB"/>
        </w:rPr>
        <w:t xml:space="preserve">) vaccine in Indigenous adolescents by 15 years of </w:t>
      </w:r>
      <w:proofErr w:type="spellStart"/>
      <w:proofErr w:type="gramStart"/>
      <w:r>
        <w:rPr>
          <w:rStyle w:val="Strong"/>
          <w:lang w:val="en-GB"/>
        </w:rPr>
        <w:t>age,</w:t>
      </w:r>
      <w:r>
        <w:rPr>
          <w:rStyle w:val="Strong"/>
          <w:vertAlign w:val="superscript"/>
          <w:lang w:val="en-GB"/>
        </w:rPr>
        <w:t>a</w:t>
      </w:r>
      <w:proofErr w:type="spellEnd"/>
      <w:proofErr w:type="gramEnd"/>
      <w:r>
        <w:rPr>
          <w:rStyle w:val="Strong"/>
          <w:lang w:val="en-GB"/>
        </w:rPr>
        <w:t xml:space="preserve"> by jurisdiction, Australia, 2019</w:t>
      </w:r>
      <w:r w:rsidR="002129A3">
        <w:rPr>
          <w:rStyle w:val="Strong"/>
          <w:lang w:val="en-GB"/>
        </w:rPr>
        <w:t> </w:t>
      </w:r>
      <w:r>
        <w:rPr>
          <w:rStyle w:val="Strong"/>
          <w:lang w:val="en-GB"/>
        </w:rPr>
        <w:t>and 2020</w:t>
      </w:r>
      <w:r>
        <w:rPr>
          <w:rStyle w:val="Strong"/>
          <w:vertAlign w:val="superscript"/>
          <w:lang w:val="en-GB"/>
        </w:rPr>
        <w:t>b,c</w:t>
      </w:r>
    </w:p>
    <w:p w14:paraId="4FB1B765" w14:textId="0DFDC6C8" w:rsidR="00544D29" w:rsidRDefault="00544D29" w:rsidP="00160856">
      <w:pPr>
        <w:pStyle w:val="NormalWeb"/>
        <w:jc w:val="center"/>
        <w:rPr>
          <w:lang w:val="en-GB"/>
        </w:rPr>
      </w:pPr>
      <w:r>
        <w:rPr>
          <w:noProof/>
          <w:lang w:val="en-US"/>
        </w:rPr>
        <w:lastRenderedPageBreak/>
        <w:drawing>
          <wp:inline distT="0" distB="0" distL="0" distR="0" wp14:anchorId="4CA022E8" wp14:editId="12501BBA">
            <wp:extent cx="6120396" cy="3986792"/>
            <wp:effectExtent l="0" t="0" r="0" b="0"/>
            <wp:docPr id="21" name="Picture 21" descr="Figure 16 shows coverage, by 15 years of age, of the adolescent booster dose of diphtheria-tetanus-acellular pertussis (dTpa) vaccine in Indigenous adolescents in 2019 and 2020, by jurisdiction. Nationally, dTpa coverage for Indigenous adolescents was 0.9 of a percentage point higher in 2020 than 2019 (79.1% versus 78.2%), and was 1.7 percentage points higher than coverage overall in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igure 16 shows coverage, by 15 years of age, of the adolescent booster dose of diphtheria-tetanus-acellular pertussis (dTpa) vaccine in Indigenous adolescents in 2019 and 2020, by jurisdiction. Nationally, dTpa coverage for Indigenous adolescents was 0.9 of a percentage point higher in 2020 than 2019 (79.1% versus 78.2%), and was 1.7 percentage points higher than coverage overall in 2020."/>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6120396" cy="3986792"/>
                    </a:xfrm>
                    <a:prstGeom prst="rect">
                      <a:avLst/>
                    </a:prstGeom>
                  </pic:spPr>
                </pic:pic>
              </a:graphicData>
            </a:graphic>
          </wp:inline>
        </w:drawing>
      </w:r>
    </w:p>
    <w:p w14:paraId="6FD58850" w14:textId="77777777" w:rsidR="00544D29" w:rsidRDefault="00544D29" w:rsidP="00544D29">
      <w:pPr>
        <w:pStyle w:val="CDIfootnotes"/>
        <w:rPr>
          <w:lang w:val="en-GB"/>
        </w:rPr>
      </w:pPr>
      <w:r>
        <w:rPr>
          <w:lang w:val="en-US"/>
        </w:rPr>
        <w:t>a</w:t>
      </w:r>
      <w:r>
        <w:rPr>
          <w:lang w:val="en-US"/>
        </w:rPr>
        <w:tab/>
      </w:r>
      <w:proofErr w:type="spellStart"/>
      <w:r>
        <w:rPr>
          <w:lang w:val="en-US"/>
        </w:rPr>
        <w:t>dTpa</w:t>
      </w:r>
      <w:proofErr w:type="spellEnd"/>
      <w:r>
        <w:rPr>
          <w:lang w:val="en-US"/>
        </w:rPr>
        <w:t xml:space="preserve"> vaccinations received before fifteenth birthday in cohort born 1 January – 31 December 2004 for 2019 coverage estimates and in cohort born 1 January – 31 December 2005 for 2020 coverage estimates.</w:t>
      </w:r>
    </w:p>
    <w:p w14:paraId="6DDB511B" w14:textId="77777777" w:rsidR="00544D29" w:rsidRDefault="00544D29" w:rsidP="00544D29">
      <w:pPr>
        <w:pStyle w:val="CDIfootnotes"/>
        <w:rPr>
          <w:lang w:val="en-GB"/>
        </w:rPr>
      </w:pPr>
      <w:r>
        <w:rPr>
          <w:lang w:val="en-US"/>
        </w:rPr>
        <w:t>b</w:t>
      </w:r>
      <w:r>
        <w:rPr>
          <w:lang w:val="en-US"/>
        </w:rPr>
        <w:tab/>
        <w:t xml:space="preserve">Source: Australian </w:t>
      </w:r>
      <w:proofErr w:type="spellStart"/>
      <w:r>
        <w:rPr>
          <w:lang w:val="en-US"/>
        </w:rPr>
        <w:t>Immunisation</w:t>
      </w:r>
      <w:proofErr w:type="spellEnd"/>
      <w:r>
        <w:rPr>
          <w:lang w:val="en-US"/>
        </w:rPr>
        <w:t xml:space="preserve"> Register, data as </w:t>
      </w:r>
      <w:proofErr w:type="gramStart"/>
      <w:r>
        <w:rPr>
          <w:lang w:val="en-US"/>
        </w:rPr>
        <w:t>at</w:t>
      </w:r>
      <w:proofErr w:type="gramEnd"/>
      <w:r>
        <w:rPr>
          <w:lang w:val="en-US"/>
        </w:rPr>
        <w:t xml:space="preserve"> 31 March 2020 (for 2019 data) and as at 31 March 2021 (for 2020 data).</w:t>
      </w:r>
    </w:p>
    <w:p w14:paraId="11C37651" w14:textId="77777777" w:rsidR="00544D29" w:rsidRDefault="00544D29" w:rsidP="00544D29">
      <w:pPr>
        <w:pStyle w:val="CDIfootnotes"/>
        <w:rPr>
          <w:lang w:val="en-GB"/>
        </w:rPr>
      </w:pPr>
      <w:r>
        <w:rPr>
          <w:lang w:val="en-US"/>
        </w:rPr>
        <w:t>c</w:t>
      </w:r>
      <w:r>
        <w:rPr>
          <w:lang w:val="en-US"/>
        </w:rPr>
        <w:tab/>
        <w:t>ACT: Australian Capital Territory; NSW: New South Wales; NT: Northern Territory; Qld: Queensland; SA: South Australia; Tas.: Tasmania; Vic.: Victoria; WA: Western Australia; AUST: Australia.</w:t>
      </w:r>
    </w:p>
    <w:p w14:paraId="419196D0" w14:textId="524AE7BA" w:rsidR="002B4EF6" w:rsidRPr="00FD4A14" w:rsidRDefault="002B4EF6" w:rsidP="00FD4A14">
      <w:pPr>
        <w:pStyle w:val="Heading2"/>
      </w:pPr>
      <w:r w:rsidRPr="00FD4A14">
        <w:t xml:space="preserve">Meningococcal ACWY vaccine coverage </w:t>
      </w:r>
    </w:p>
    <w:p w14:paraId="09537EC2" w14:textId="77777777" w:rsidR="002B4EF6" w:rsidRDefault="002B4EF6" w:rsidP="00FD4A14">
      <w:r>
        <w:t xml:space="preserve">Figure 17 shows coverage in 2020 of meningococcal ACWY vaccine in adolescents by 17 years of age, by Indigenous status and jurisdiction. Coverage was lower for Indigenous adolescents than for all adolescents nationally (68.1% versus 74.3%) and in all jurisdictions except Tasmania and the Northern Territory. Coverage was considerably lower in South Australia than in other jurisdictions, at 58.1% for all adolescents and 50.3% for Indigenous adolescents (Figure 17). </w:t>
      </w:r>
    </w:p>
    <w:p w14:paraId="6332A01B" w14:textId="77777777" w:rsidR="002B4EF6" w:rsidRDefault="002B4EF6" w:rsidP="00FD4A14">
      <w:r>
        <w:t xml:space="preserve">Figure 18 shows the number of adolescents who received a meningococcal ACWY dose in 2019 and 2020 by age group. Overall, the number of doses administered was 4.1 percentage points lower in 2020 than in 2019, and lower in all age groups except those aged 16 and 17 years (Figure 18). </w:t>
      </w:r>
    </w:p>
    <w:p w14:paraId="28351E87" w14:textId="77777777" w:rsidR="002B4EF6" w:rsidRDefault="002B4EF6" w:rsidP="00FD4A14">
      <w:r>
        <w:t xml:space="preserve">Figure 19 shows the number of adolescents who received a meningococcal ACWY dose in 2020 by age group and provider type. Overall, the highest numbers of doses were recorded as administered by council clinics and State Health/Public Health Units </w:t>
      </w:r>
      <w:proofErr w:type="gramStart"/>
      <w:r>
        <w:t>i.e.</w:t>
      </w:r>
      <w:proofErr w:type="gramEnd"/>
      <w:r>
        <w:t xml:space="preserve"> through school-based programs. This pattern was seen in all age groups except for those aged 17 and 18–19 years, where the highest number of doses was administered in general practice (Figure 20). </w:t>
      </w:r>
    </w:p>
    <w:p w14:paraId="730A5DC8" w14:textId="77777777" w:rsidR="0008493D" w:rsidRDefault="0008493D">
      <w:pPr>
        <w:rPr>
          <w:rFonts w:asciiTheme="majorHAnsi" w:eastAsiaTheme="majorEastAsia" w:hAnsiTheme="majorHAnsi" w:cstheme="majorBidi"/>
          <w:b/>
          <w:bCs/>
          <w:sz w:val="26"/>
          <w:szCs w:val="26"/>
        </w:rPr>
      </w:pPr>
      <w:r>
        <w:br w:type="page"/>
      </w:r>
    </w:p>
    <w:p w14:paraId="0993E4EB" w14:textId="77777777" w:rsidR="0008493D" w:rsidRDefault="0008493D" w:rsidP="0008493D">
      <w:pPr>
        <w:pStyle w:val="NormalWeb"/>
        <w:rPr>
          <w:lang w:val="en-GB"/>
        </w:rPr>
      </w:pPr>
      <w:r>
        <w:rPr>
          <w:rStyle w:val="Strong"/>
          <w:lang w:val="en-GB"/>
        </w:rPr>
        <w:lastRenderedPageBreak/>
        <w:t xml:space="preserve">Figure 17: Coverage (%) of meningococcal ACWY vaccine in </w:t>
      </w:r>
      <w:proofErr w:type="spellStart"/>
      <w:r>
        <w:rPr>
          <w:rStyle w:val="Strong"/>
          <w:lang w:val="en-GB"/>
        </w:rPr>
        <w:t>adolescents</w:t>
      </w:r>
      <w:r>
        <w:rPr>
          <w:rStyle w:val="Strong"/>
          <w:vertAlign w:val="superscript"/>
          <w:lang w:val="en-GB"/>
        </w:rPr>
        <w:t>a</w:t>
      </w:r>
      <w:proofErr w:type="spellEnd"/>
      <w:r>
        <w:rPr>
          <w:rStyle w:val="Strong"/>
          <w:lang w:val="en-GB"/>
        </w:rPr>
        <w:t xml:space="preserve"> by 17 years of age, by Indigenous status and jurisdiction, Australia, 2020</w:t>
      </w:r>
      <w:proofErr w:type="gramStart"/>
      <w:r>
        <w:rPr>
          <w:rStyle w:val="Strong"/>
          <w:vertAlign w:val="superscript"/>
          <w:lang w:val="en-GB"/>
        </w:rPr>
        <w:t>b,c</w:t>
      </w:r>
      <w:proofErr w:type="gramEnd"/>
    </w:p>
    <w:p w14:paraId="09C1AF57" w14:textId="00FC64BF" w:rsidR="0008493D" w:rsidRDefault="0008493D" w:rsidP="00160856">
      <w:pPr>
        <w:pStyle w:val="NormalWeb"/>
        <w:jc w:val="center"/>
        <w:rPr>
          <w:lang w:val="en-GB"/>
        </w:rPr>
      </w:pPr>
      <w:r>
        <w:rPr>
          <w:noProof/>
          <w:lang w:val="en-GB"/>
        </w:rPr>
        <w:drawing>
          <wp:inline distT="0" distB="0" distL="0" distR="0" wp14:anchorId="4A71C4B3" wp14:editId="26445B9B">
            <wp:extent cx="6111252" cy="4023368"/>
            <wp:effectExtent l="0" t="0" r="3810" b="0"/>
            <wp:docPr id="22" name="Picture 22" descr="Figure 17 shows coverage in 2020 of meningococcal ACWY vaccine in adolescents by 17 years of age, by Indigenous status and jurisdiction. Coverage was lower for Indigenous adolescents than all adolescents nationally (68.1% versus 74.3%) and in all jurisdictions except Tasmania and the Northern Terri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Figure 17 shows coverage in 2020 of meningococcal ACWY vaccine in adolescents by 17 years of age, by Indigenous status and jurisdiction. Coverage was lower for Indigenous adolescents than all adolescents nationally (68.1% versus 74.3%) and in all jurisdictions except Tasmania and the Northern Territory."/>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6111252" cy="4023368"/>
                    </a:xfrm>
                    <a:prstGeom prst="rect">
                      <a:avLst/>
                    </a:prstGeom>
                  </pic:spPr>
                </pic:pic>
              </a:graphicData>
            </a:graphic>
          </wp:inline>
        </w:drawing>
      </w:r>
    </w:p>
    <w:p w14:paraId="66705746" w14:textId="77777777" w:rsidR="0008493D" w:rsidRDefault="0008493D" w:rsidP="0008493D">
      <w:pPr>
        <w:pStyle w:val="CDIfootnotes"/>
        <w:rPr>
          <w:lang w:val="en-GB"/>
        </w:rPr>
      </w:pPr>
      <w:r>
        <w:rPr>
          <w:lang w:val="en-US"/>
        </w:rPr>
        <w:t>a</w:t>
      </w:r>
      <w:r>
        <w:rPr>
          <w:lang w:val="en-US"/>
        </w:rPr>
        <w:tab/>
        <w:t>Cohort born 1 January 2003 – 31 December 2003.</w:t>
      </w:r>
    </w:p>
    <w:p w14:paraId="7ED0FAE2" w14:textId="77777777" w:rsidR="0008493D" w:rsidRDefault="0008493D" w:rsidP="0008493D">
      <w:pPr>
        <w:pStyle w:val="CDIfootnotes"/>
        <w:rPr>
          <w:lang w:val="en-GB"/>
        </w:rPr>
      </w:pPr>
      <w:r>
        <w:rPr>
          <w:lang w:val="en-US"/>
        </w:rPr>
        <w:t>b</w:t>
      </w:r>
      <w:r>
        <w:rPr>
          <w:lang w:val="en-US"/>
        </w:rPr>
        <w:tab/>
        <w:t xml:space="preserve">Source: Australian </w:t>
      </w:r>
      <w:proofErr w:type="spellStart"/>
      <w:r>
        <w:rPr>
          <w:lang w:val="en-US"/>
        </w:rPr>
        <w:t>Immunisation</w:t>
      </w:r>
      <w:proofErr w:type="spellEnd"/>
      <w:r>
        <w:rPr>
          <w:lang w:val="en-US"/>
        </w:rPr>
        <w:t xml:space="preserve"> Register, data as </w:t>
      </w:r>
      <w:proofErr w:type="gramStart"/>
      <w:r>
        <w:rPr>
          <w:lang w:val="en-US"/>
        </w:rPr>
        <w:t>at</w:t>
      </w:r>
      <w:proofErr w:type="gramEnd"/>
      <w:r>
        <w:rPr>
          <w:lang w:val="en-US"/>
        </w:rPr>
        <w:t xml:space="preserve"> 31 March 2021.</w:t>
      </w:r>
    </w:p>
    <w:p w14:paraId="3235A3DE" w14:textId="77777777" w:rsidR="0008493D" w:rsidRDefault="0008493D" w:rsidP="0008493D">
      <w:pPr>
        <w:pStyle w:val="CDIfootnotes"/>
        <w:rPr>
          <w:lang w:val="en-GB"/>
        </w:rPr>
      </w:pPr>
      <w:r>
        <w:rPr>
          <w:lang w:val="en-US"/>
        </w:rPr>
        <w:t>c</w:t>
      </w:r>
      <w:r>
        <w:rPr>
          <w:lang w:val="en-US"/>
        </w:rPr>
        <w:tab/>
        <w:t>ACT: Australian Capital Territory; NSW: New South Wales; NT: Northern Territory; Qld: Queensland; SA: South Australia; Tas.: Tasmania; Vic.: Victoria; WA: Western Australia; AUST: Australia.</w:t>
      </w:r>
    </w:p>
    <w:p w14:paraId="56ECC42E" w14:textId="77777777" w:rsidR="00BF7B67" w:rsidRDefault="00BF7B67">
      <w:pPr>
        <w:rPr>
          <w:rFonts w:asciiTheme="majorHAnsi" w:eastAsiaTheme="majorEastAsia" w:hAnsiTheme="majorHAnsi" w:cstheme="majorBidi"/>
          <w:b/>
          <w:bCs/>
          <w:sz w:val="26"/>
          <w:szCs w:val="26"/>
        </w:rPr>
      </w:pPr>
      <w:r>
        <w:br w:type="page"/>
      </w:r>
    </w:p>
    <w:p w14:paraId="774343CB" w14:textId="77777777" w:rsidR="00BF7B67" w:rsidRDefault="00BF7B67" w:rsidP="00BF7B67">
      <w:pPr>
        <w:pStyle w:val="NormalWeb"/>
        <w:rPr>
          <w:lang w:val="en-GB"/>
        </w:rPr>
      </w:pPr>
      <w:r>
        <w:rPr>
          <w:rStyle w:val="Strong"/>
          <w:lang w:val="en-GB"/>
        </w:rPr>
        <w:lastRenderedPageBreak/>
        <w:t xml:space="preserve">Figure 18: Number of </w:t>
      </w:r>
      <w:proofErr w:type="spellStart"/>
      <w:r>
        <w:rPr>
          <w:rStyle w:val="Strong"/>
          <w:lang w:val="en-GB"/>
        </w:rPr>
        <w:t>adolescents</w:t>
      </w:r>
      <w:r>
        <w:rPr>
          <w:rStyle w:val="Strong"/>
          <w:vertAlign w:val="superscript"/>
          <w:lang w:val="en-GB"/>
        </w:rPr>
        <w:t>a</w:t>
      </w:r>
      <w:proofErr w:type="spellEnd"/>
      <w:r>
        <w:rPr>
          <w:rStyle w:val="Strong"/>
          <w:lang w:val="en-GB"/>
        </w:rPr>
        <w:t xml:space="preserve"> receiving a meningococcal ACWY dose by age group, Australia, 2019 and 2020</w:t>
      </w:r>
      <w:r>
        <w:rPr>
          <w:rStyle w:val="Strong"/>
          <w:vertAlign w:val="superscript"/>
          <w:lang w:val="en-GB"/>
        </w:rPr>
        <w:t>b</w:t>
      </w:r>
    </w:p>
    <w:p w14:paraId="6A8CC74B" w14:textId="6E4FB89D" w:rsidR="00BF7B67" w:rsidRDefault="00AB3470" w:rsidP="00160856">
      <w:pPr>
        <w:pStyle w:val="NormalWeb"/>
        <w:jc w:val="center"/>
        <w:rPr>
          <w:lang w:val="en-GB"/>
        </w:rPr>
      </w:pPr>
      <w:r>
        <w:rPr>
          <w:noProof/>
        </w:rPr>
        <w:drawing>
          <wp:inline distT="0" distB="0" distL="0" distR="0" wp14:anchorId="036A5D71" wp14:editId="277B0328">
            <wp:extent cx="5775972" cy="3425959"/>
            <wp:effectExtent l="0" t="0" r="0" b="3175"/>
            <wp:docPr id="42" name="Picture 42" descr="Figure 18 shows the number of adolescents who received a meningococcal ACWY dose in 2019 and 2020 by age group. Overall, the number of doses administered was 4.1 percentage points lower in 2020 than 2019, and lower in all age groups except 16-&lt;17 and 17-&lt;18 years."/>
            <wp:cNvGraphicFramePr/>
            <a:graphic xmlns:a="http://schemas.openxmlformats.org/drawingml/2006/main">
              <a:graphicData uri="http://schemas.openxmlformats.org/drawingml/2006/picture">
                <pic:pic xmlns:pic="http://schemas.openxmlformats.org/drawingml/2006/picture">
                  <pic:nvPicPr>
                    <pic:cNvPr id="21" name="Picture 21" descr="Figure 18 shows the number of adolescents who received a meningococcal ACWY dose in 2019 and 2020 by age group. Overall, the number of doses administered was 4.1 percentage points lower in 2020 than 2019, and lower in all age groups except 16-&lt;17 and 17-&lt;18 years."/>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5775972" cy="3425959"/>
                    </a:xfrm>
                    <a:prstGeom prst="rect">
                      <a:avLst/>
                    </a:prstGeom>
                  </pic:spPr>
                </pic:pic>
              </a:graphicData>
            </a:graphic>
          </wp:inline>
        </w:drawing>
      </w:r>
    </w:p>
    <w:p w14:paraId="35C66E86" w14:textId="090B24E9" w:rsidR="00BF7B67" w:rsidRDefault="00BF7B67" w:rsidP="00BF7B67">
      <w:pPr>
        <w:pStyle w:val="CDIfootnotes"/>
        <w:rPr>
          <w:lang w:val="en-GB"/>
        </w:rPr>
      </w:pPr>
      <w:proofErr w:type="spellStart"/>
      <w:proofErr w:type="gramStart"/>
      <w:r>
        <w:rPr>
          <w:lang w:val="en-GB"/>
        </w:rPr>
        <w:t>a</w:t>
      </w:r>
      <w:proofErr w:type="spellEnd"/>
      <w:proofErr w:type="gramEnd"/>
      <w:r>
        <w:rPr>
          <w:lang w:val="en-GB"/>
        </w:rPr>
        <w:tab/>
        <w:t>Aged 14–19 years as at date of vaccination.</w:t>
      </w:r>
    </w:p>
    <w:p w14:paraId="4C3CE34C" w14:textId="77777777" w:rsidR="00361C5B" w:rsidRDefault="00361C5B" w:rsidP="00361C5B">
      <w:pPr>
        <w:pStyle w:val="CDIfootnotes"/>
        <w:rPr>
          <w:lang w:val="en-GB"/>
        </w:rPr>
      </w:pPr>
      <w:r>
        <w:rPr>
          <w:lang w:val="en-GB"/>
        </w:rPr>
        <w:t>b</w:t>
      </w:r>
      <w:r>
        <w:rPr>
          <w:lang w:val="en-GB"/>
        </w:rPr>
        <w:tab/>
        <w:t xml:space="preserve">Source: Australian Immunisation Register, data as </w:t>
      </w:r>
      <w:proofErr w:type="gramStart"/>
      <w:r>
        <w:rPr>
          <w:lang w:val="en-GB"/>
        </w:rPr>
        <w:t>at</w:t>
      </w:r>
      <w:proofErr w:type="gramEnd"/>
      <w:r>
        <w:rPr>
          <w:lang w:val="en-GB"/>
        </w:rPr>
        <w:t xml:space="preserve"> 31 March 2021.</w:t>
      </w:r>
    </w:p>
    <w:p w14:paraId="0B93B50C" w14:textId="77777777" w:rsidR="00361C5B" w:rsidRDefault="00361C5B" w:rsidP="00BF7B67">
      <w:pPr>
        <w:pStyle w:val="CDIfootnotes"/>
        <w:rPr>
          <w:lang w:val="en-GB"/>
        </w:rPr>
      </w:pPr>
    </w:p>
    <w:p w14:paraId="2B4E3E07" w14:textId="77777777" w:rsidR="00361C5B" w:rsidRDefault="00361C5B">
      <w:pPr>
        <w:rPr>
          <w:rFonts w:asciiTheme="majorHAnsi" w:eastAsiaTheme="majorEastAsia" w:hAnsiTheme="majorHAnsi" w:cstheme="majorBidi"/>
          <w:b/>
          <w:bCs/>
          <w:sz w:val="26"/>
          <w:szCs w:val="26"/>
        </w:rPr>
      </w:pPr>
      <w:r>
        <w:br w:type="page"/>
      </w:r>
    </w:p>
    <w:p w14:paraId="24BB8605" w14:textId="77777777" w:rsidR="00361C5B" w:rsidRDefault="00361C5B" w:rsidP="00361C5B">
      <w:pPr>
        <w:pStyle w:val="NormalWeb"/>
        <w:rPr>
          <w:lang w:val="en-GB"/>
        </w:rPr>
      </w:pPr>
      <w:r>
        <w:rPr>
          <w:rStyle w:val="Strong"/>
          <w:lang w:val="en-GB"/>
        </w:rPr>
        <w:lastRenderedPageBreak/>
        <w:t xml:space="preserve">Figure 19: Number of </w:t>
      </w:r>
      <w:proofErr w:type="spellStart"/>
      <w:r>
        <w:rPr>
          <w:rStyle w:val="Strong"/>
          <w:lang w:val="en-GB"/>
        </w:rPr>
        <w:t>adolescents</w:t>
      </w:r>
      <w:r>
        <w:rPr>
          <w:rStyle w:val="Strong"/>
          <w:vertAlign w:val="superscript"/>
          <w:lang w:val="en-GB"/>
        </w:rPr>
        <w:t>a</w:t>
      </w:r>
      <w:proofErr w:type="spellEnd"/>
      <w:r>
        <w:rPr>
          <w:rStyle w:val="Strong"/>
          <w:lang w:val="en-GB"/>
        </w:rPr>
        <w:t xml:space="preserve"> receiving a meningococcal ACWY dose in 2020 by age group and provider type, </w:t>
      </w:r>
      <w:proofErr w:type="spellStart"/>
      <w:r>
        <w:rPr>
          <w:rStyle w:val="Strong"/>
          <w:lang w:val="en-GB"/>
        </w:rPr>
        <w:t>Australia</w:t>
      </w:r>
      <w:r>
        <w:rPr>
          <w:rStyle w:val="Strong"/>
          <w:vertAlign w:val="superscript"/>
          <w:lang w:val="en-GB"/>
        </w:rPr>
        <w:t>b</w:t>
      </w:r>
      <w:proofErr w:type="spellEnd"/>
    </w:p>
    <w:p w14:paraId="49112257" w14:textId="16BE4CF5" w:rsidR="00361C5B" w:rsidRDefault="00361C5B" w:rsidP="00D20EA5">
      <w:pPr>
        <w:pStyle w:val="NormalWeb"/>
        <w:jc w:val="center"/>
        <w:rPr>
          <w:lang w:val="en-GB"/>
        </w:rPr>
      </w:pPr>
      <w:r>
        <w:rPr>
          <w:noProof/>
          <w:lang w:val="en-GB"/>
        </w:rPr>
        <w:drawing>
          <wp:inline distT="0" distB="0" distL="0" distR="0" wp14:anchorId="5E8162E3" wp14:editId="3534D1B3">
            <wp:extent cx="5782068" cy="3758192"/>
            <wp:effectExtent l="0" t="0" r="0" b="0"/>
            <wp:docPr id="25" name="Picture 25" descr="Figure 19 shows the number of adolescents who received a meningococcal ACWY dose in 2020 by age group and provider type. Overall, the highest numbers of doses were recorded as administered by council clinics and State Health/Public Health Units i.e. through school-based programs. This pattern was seen in all age groups except for 17-&lt;18 and 18-&lt;20 years, where the highest number of doses was administered in general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Figure 19 shows the number of adolescents who received a meningococcal ACWY dose in 2020 by age group and provider type. Overall, the highest numbers of doses were recorded as administered by council clinics and State Health/Public Health Units i.e. through school-based programs. This pattern was seen in all age groups except for 17-&lt;18 and 18-&lt;20 years, where the highest number of doses was administered in general practice."/>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5782068" cy="3758192"/>
                    </a:xfrm>
                    <a:prstGeom prst="rect">
                      <a:avLst/>
                    </a:prstGeom>
                  </pic:spPr>
                </pic:pic>
              </a:graphicData>
            </a:graphic>
          </wp:inline>
        </w:drawing>
      </w:r>
    </w:p>
    <w:p w14:paraId="315F4A1C" w14:textId="77777777" w:rsidR="00361C5B" w:rsidRDefault="00361C5B" w:rsidP="00361C5B">
      <w:pPr>
        <w:pStyle w:val="CDIfootnotes"/>
        <w:rPr>
          <w:lang w:val="en-GB"/>
        </w:rPr>
      </w:pPr>
      <w:proofErr w:type="spellStart"/>
      <w:proofErr w:type="gramStart"/>
      <w:r>
        <w:rPr>
          <w:lang w:val="en-GB"/>
        </w:rPr>
        <w:t>a</w:t>
      </w:r>
      <w:proofErr w:type="spellEnd"/>
      <w:proofErr w:type="gramEnd"/>
      <w:r>
        <w:rPr>
          <w:lang w:val="en-GB"/>
        </w:rPr>
        <w:tab/>
        <w:t>Aged 14–19 years as at date of vaccination.</w:t>
      </w:r>
    </w:p>
    <w:p w14:paraId="2FAADA3B" w14:textId="77777777" w:rsidR="00361C5B" w:rsidRDefault="00361C5B" w:rsidP="00361C5B">
      <w:pPr>
        <w:pStyle w:val="CDIfootnotes"/>
        <w:rPr>
          <w:lang w:val="en-GB"/>
        </w:rPr>
      </w:pPr>
      <w:r>
        <w:rPr>
          <w:lang w:val="en-GB"/>
        </w:rPr>
        <w:t>b</w:t>
      </w:r>
      <w:r>
        <w:rPr>
          <w:lang w:val="en-GB"/>
        </w:rPr>
        <w:tab/>
        <w:t xml:space="preserve">Source: Australian Immunisation Register, data as </w:t>
      </w:r>
      <w:proofErr w:type="gramStart"/>
      <w:r>
        <w:rPr>
          <w:lang w:val="en-GB"/>
        </w:rPr>
        <w:t>at</w:t>
      </w:r>
      <w:proofErr w:type="gramEnd"/>
      <w:r>
        <w:rPr>
          <w:lang w:val="en-GB"/>
        </w:rPr>
        <w:t xml:space="preserve"> 31 March 2021.</w:t>
      </w:r>
    </w:p>
    <w:p w14:paraId="18E0D80B" w14:textId="3BC90EEC" w:rsidR="002B4EF6" w:rsidRPr="00FD4A14" w:rsidRDefault="002B4EF6" w:rsidP="00FD4A14">
      <w:pPr>
        <w:pStyle w:val="Heading2"/>
      </w:pPr>
      <w:r w:rsidRPr="00FD4A14">
        <w:t xml:space="preserve">Influenza vaccine coverage </w:t>
      </w:r>
    </w:p>
    <w:p w14:paraId="04CCDDEA" w14:textId="77777777" w:rsidR="002B4EF6" w:rsidRDefault="002B4EF6" w:rsidP="00FD4A14">
      <w:r>
        <w:t xml:space="preserve">Recorded influenza vaccine coverage in adolescents aged 10–14 years and 15–19 years increased by 6.5 and 7.1 percentage points between 2019 and 2020, reaching 25.3% and 22.7%, respectively (Figure 2). In 2020, recorded coverage for adolescents aged 10–14 years ranged from 22.2% in Queensland to 31.9% in Western Australia, and for adolescents aged 15–19 years from 20.6% in Queensland to 27.6% in the Northern Territory (Table A.3 in Appendix). </w:t>
      </w:r>
    </w:p>
    <w:p w14:paraId="426A0B29" w14:textId="751FD928" w:rsidR="002B4EF6" w:rsidRDefault="002B4EF6" w:rsidP="00FD4A14">
      <w:r>
        <w:t>Recorded influenza vaccine coverage in Indigenous adolescents aged 10–14 years and 15–19 years increased by 3.0 and 4.2 percentage points between 2019 and 2020, reaching 32.4% and 31.5%, respectively (Figure 4). Recorded coverage for Indigenous adolescents aged 10–14 years in 2020 ranged from 29.3% in New South Wales to 43.3% in the Northern Territory and for adolescents aged 15–19 years from 28.1% in New South Wales to 44.9% in the Northern Territory (Table A.3 in Appendix).</w:t>
      </w:r>
    </w:p>
    <w:p w14:paraId="793B03BA" w14:textId="77777777" w:rsidR="002B4EF6" w:rsidRPr="00FD4A14" w:rsidRDefault="002B4EF6" w:rsidP="00FD4A14">
      <w:pPr>
        <w:pStyle w:val="Heading2"/>
      </w:pPr>
      <w:r w:rsidRPr="00FD4A14">
        <w:t xml:space="preserve">Adults </w:t>
      </w:r>
    </w:p>
    <w:p w14:paraId="680ADC9F" w14:textId="77777777" w:rsidR="002B4EF6" w:rsidRPr="00FD4A14" w:rsidRDefault="002B4EF6" w:rsidP="00FD4A14">
      <w:pPr>
        <w:pStyle w:val="Heading2"/>
      </w:pPr>
      <w:r w:rsidRPr="00FD4A14">
        <w:t xml:space="preserve">Zoster vaccine coverage </w:t>
      </w:r>
    </w:p>
    <w:p w14:paraId="03BEA8E4" w14:textId="77777777" w:rsidR="002B4EF6" w:rsidRDefault="002B4EF6" w:rsidP="00FD4A14">
      <w:r>
        <w:t xml:space="preserve">Nationally, recorded zoster vaccine coverage for adults of age 70 years was 30.5% in 2019 and 30.4% in 2020, with coverage in 2020 ranging from 19.7% in the Northern Territory to 46.2% in Queensland (Figure 20). </w:t>
      </w:r>
    </w:p>
    <w:p w14:paraId="4461E03C" w14:textId="77777777" w:rsidR="002B4EF6" w:rsidRDefault="002B4EF6" w:rsidP="00FD4A14">
      <w:r>
        <w:t xml:space="preserve">Nationally, recorded coverage in Indigenous adults of age 70 years decreased from 33.2% in 2019 to 31.7% in 2020 but was higher than for adults overall in both years (Figure 21). Zoster coverage in Indigenous adults in 2020 ranged from 16.4% in the Northern Territory to 44.6% in Queensland. </w:t>
      </w:r>
    </w:p>
    <w:p w14:paraId="5FC86B22" w14:textId="77777777" w:rsidR="00AB3470" w:rsidRDefault="00AB3470">
      <w:pPr>
        <w:rPr>
          <w:rStyle w:val="Strong"/>
          <w:lang w:val="en-GB"/>
        </w:rPr>
      </w:pPr>
      <w:r>
        <w:rPr>
          <w:rStyle w:val="Strong"/>
          <w:lang w:val="en-GB"/>
        </w:rPr>
        <w:br w:type="page"/>
      </w:r>
    </w:p>
    <w:p w14:paraId="67ADB501" w14:textId="3BBD1481" w:rsidR="00AC21F1" w:rsidRDefault="00AC21F1" w:rsidP="00AC21F1">
      <w:pPr>
        <w:pStyle w:val="NormalWeb"/>
        <w:rPr>
          <w:lang w:val="en-GB"/>
        </w:rPr>
      </w:pPr>
      <w:r>
        <w:rPr>
          <w:rStyle w:val="Strong"/>
          <w:lang w:val="en-GB"/>
        </w:rPr>
        <w:lastRenderedPageBreak/>
        <w:t>Figure 20: Zoster vaccination coverage for adults aged 70 years, by jurisdiction, Australia, 2019 and 2020</w:t>
      </w:r>
      <w:proofErr w:type="gramStart"/>
      <w:r>
        <w:rPr>
          <w:rStyle w:val="Strong"/>
          <w:vertAlign w:val="superscript"/>
          <w:lang w:val="en-GB"/>
        </w:rPr>
        <w:t>a,b</w:t>
      </w:r>
      <w:proofErr w:type="gramEnd"/>
    </w:p>
    <w:p w14:paraId="0E05E745" w14:textId="620A4C93" w:rsidR="00AC21F1" w:rsidRDefault="00AC21F1" w:rsidP="00D20EA5">
      <w:pPr>
        <w:pStyle w:val="NormalWeb"/>
        <w:jc w:val="center"/>
        <w:rPr>
          <w:lang w:val="en-GB"/>
        </w:rPr>
      </w:pPr>
      <w:r>
        <w:rPr>
          <w:noProof/>
          <w:lang w:val="en-GB"/>
        </w:rPr>
        <w:drawing>
          <wp:inline distT="0" distB="0" distL="0" distR="0" wp14:anchorId="3124B12C" wp14:editId="465D9466">
            <wp:extent cx="5440691" cy="3605791"/>
            <wp:effectExtent l="0" t="0" r="7620" b="0"/>
            <wp:docPr id="26" name="Picture 26" descr="Figure 20 shows that, nationally, recorded zoster vaccine coverage for adults aged 70-&lt;71 years was 30.5% in 2019 and 30.4% in 2020, with coverage in 2020 ranging from 19.7% in the Northern Territory to 46.2% in Queen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Figure 20 shows that, nationally, recorded zoster vaccine coverage for adults aged 70-&lt;71 years was 30.5% in 2019 and 30.4% in 2020, with coverage in 2020 ranging from 19.7% in the Northern Territory to 46.2% in Queensland."/>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5440691" cy="3605791"/>
                    </a:xfrm>
                    <a:prstGeom prst="rect">
                      <a:avLst/>
                    </a:prstGeom>
                  </pic:spPr>
                </pic:pic>
              </a:graphicData>
            </a:graphic>
          </wp:inline>
        </w:drawing>
      </w:r>
    </w:p>
    <w:p w14:paraId="1385F7DE" w14:textId="77777777" w:rsidR="00AC21F1" w:rsidRDefault="00AC21F1" w:rsidP="00AC21F1">
      <w:pPr>
        <w:pStyle w:val="CDIfootnotes"/>
        <w:rPr>
          <w:lang w:val="en-GB"/>
        </w:rPr>
      </w:pPr>
      <w:r>
        <w:rPr>
          <w:lang w:val="en-GB"/>
        </w:rPr>
        <w:t>a</w:t>
      </w:r>
      <w:r>
        <w:rPr>
          <w:lang w:val="en-GB"/>
        </w:rPr>
        <w:tab/>
        <w:t xml:space="preserve">Source: Australian Immunisation Register, data as </w:t>
      </w:r>
      <w:proofErr w:type="gramStart"/>
      <w:r>
        <w:rPr>
          <w:lang w:val="en-GB"/>
        </w:rPr>
        <w:t>at</w:t>
      </w:r>
      <w:proofErr w:type="gramEnd"/>
      <w:r>
        <w:rPr>
          <w:lang w:val="en-GB"/>
        </w:rPr>
        <w:t xml:space="preserve"> 31 March 2020 (for 2019 data) and as at 31 March 2021 (for 2020 data).</w:t>
      </w:r>
    </w:p>
    <w:p w14:paraId="1582C329" w14:textId="77777777" w:rsidR="00AC21F1" w:rsidRDefault="00AC21F1" w:rsidP="00AC21F1">
      <w:pPr>
        <w:pStyle w:val="CDIfootnotes"/>
        <w:rPr>
          <w:lang w:val="en-GB"/>
        </w:rPr>
      </w:pPr>
      <w:r>
        <w:rPr>
          <w:lang w:val="en-GB"/>
        </w:rPr>
        <w:t>b</w:t>
      </w:r>
      <w:r>
        <w:rPr>
          <w:lang w:val="en-GB"/>
        </w:rPr>
        <w:tab/>
        <w:t>ACT: Australian Capital Territory; NSW: New South Wales; NT: Northern Territory; Qld: Queensland; SA: South Australia; Tas.: Tasmania; Vic.: Victoria; WA: Western Australia; AUST: Australia.</w:t>
      </w:r>
    </w:p>
    <w:p w14:paraId="7E01C544" w14:textId="77777777" w:rsidR="00AC21F1" w:rsidRDefault="00AC21F1">
      <w:pPr>
        <w:rPr>
          <w:rStyle w:val="Strong"/>
          <w:lang w:val="en-GB"/>
        </w:rPr>
      </w:pPr>
      <w:r>
        <w:rPr>
          <w:rStyle w:val="Strong"/>
          <w:lang w:val="en-GB"/>
        </w:rPr>
        <w:br w:type="page"/>
      </w:r>
    </w:p>
    <w:p w14:paraId="33FE0278" w14:textId="1D69B93F" w:rsidR="00AC21F1" w:rsidRDefault="00AC21F1" w:rsidP="00AC21F1">
      <w:pPr>
        <w:pStyle w:val="NormalWeb"/>
        <w:rPr>
          <w:lang w:val="en-GB"/>
        </w:rPr>
      </w:pPr>
      <w:r>
        <w:rPr>
          <w:rStyle w:val="Strong"/>
          <w:lang w:val="en-GB"/>
        </w:rPr>
        <w:lastRenderedPageBreak/>
        <w:t>Figure 21: Zoster vaccination coverage for Indigenous adults aged 70 years, by jurisdiction, Australia, 2019</w:t>
      </w:r>
      <w:r w:rsidR="00AB3470">
        <w:rPr>
          <w:rStyle w:val="Strong"/>
          <w:lang w:val="en-GB"/>
        </w:rPr>
        <w:t> </w:t>
      </w:r>
      <w:r>
        <w:rPr>
          <w:rStyle w:val="Strong"/>
          <w:lang w:val="en-GB"/>
        </w:rPr>
        <w:t>and 2020</w:t>
      </w:r>
      <w:proofErr w:type="gramStart"/>
      <w:r>
        <w:rPr>
          <w:rStyle w:val="Strong"/>
          <w:vertAlign w:val="superscript"/>
          <w:lang w:val="en-GB"/>
        </w:rPr>
        <w:t>a,b</w:t>
      </w:r>
      <w:proofErr w:type="gramEnd"/>
    </w:p>
    <w:p w14:paraId="32B179C8" w14:textId="1D44B364" w:rsidR="00AC21F1" w:rsidRDefault="00AC21F1" w:rsidP="00D20EA5">
      <w:pPr>
        <w:pStyle w:val="NormalWeb"/>
        <w:jc w:val="center"/>
        <w:rPr>
          <w:lang w:val="en-GB"/>
        </w:rPr>
      </w:pPr>
      <w:r>
        <w:rPr>
          <w:noProof/>
          <w:lang w:val="en-GB"/>
        </w:rPr>
        <w:drawing>
          <wp:inline distT="0" distB="0" distL="0" distR="0" wp14:anchorId="3DE2770D" wp14:editId="0F12D4C4">
            <wp:extent cx="5221235" cy="3392431"/>
            <wp:effectExtent l="0" t="0" r="0" b="0"/>
            <wp:docPr id="27" name="Picture 27" descr="Figure 21 shows that, nationally, recorded coverage in Indigenous adults aged 70-&lt;71 years decreased from 33.2% in 2019 to 31.7% in 2020 but was higher than for adults overall in both years (Figure 21). Zoster coverage in Indigenous adults in 2020 ranged from 16.4% in the Northern Territory to 44.6% in Queen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Figure 21 shows that, nationally, recorded coverage in Indigenous adults aged 70-&lt;71 years decreased from 33.2% in 2019 to 31.7% in 2020 but was higher than for adults overall in both years (Figure 21). Zoster coverage in Indigenous adults in 2020 ranged from 16.4% in the Northern Territory to 44.6% in Queensland."/>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5221235" cy="3392431"/>
                    </a:xfrm>
                    <a:prstGeom prst="rect">
                      <a:avLst/>
                    </a:prstGeom>
                  </pic:spPr>
                </pic:pic>
              </a:graphicData>
            </a:graphic>
          </wp:inline>
        </w:drawing>
      </w:r>
    </w:p>
    <w:p w14:paraId="5D99AC5F" w14:textId="77777777" w:rsidR="00AC21F1" w:rsidRDefault="00AC21F1" w:rsidP="00AC21F1">
      <w:pPr>
        <w:pStyle w:val="CDIfootnotes"/>
        <w:rPr>
          <w:lang w:val="en-GB"/>
        </w:rPr>
      </w:pPr>
      <w:r>
        <w:rPr>
          <w:lang w:val="en-GB"/>
        </w:rPr>
        <w:t>a</w:t>
      </w:r>
      <w:r>
        <w:rPr>
          <w:lang w:val="en-GB"/>
        </w:rPr>
        <w:tab/>
        <w:t xml:space="preserve">Source: Australian Immunisation Register, data as </w:t>
      </w:r>
      <w:proofErr w:type="gramStart"/>
      <w:r>
        <w:rPr>
          <w:lang w:val="en-GB"/>
        </w:rPr>
        <w:t>at</w:t>
      </w:r>
      <w:proofErr w:type="gramEnd"/>
      <w:r>
        <w:rPr>
          <w:lang w:val="en-GB"/>
        </w:rPr>
        <w:t xml:space="preserve"> 31 March 2020 (for 2019 data) and as at 31 March 2021 (for 2020 data).</w:t>
      </w:r>
    </w:p>
    <w:p w14:paraId="6B76939F" w14:textId="77777777" w:rsidR="00AC21F1" w:rsidRDefault="00AC21F1" w:rsidP="00AC21F1">
      <w:pPr>
        <w:pStyle w:val="CDIfootnotes"/>
        <w:rPr>
          <w:lang w:val="en-GB"/>
        </w:rPr>
      </w:pPr>
      <w:r>
        <w:rPr>
          <w:lang w:val="en-GB"/>
        </w:rPr>
        <w:t>b</w:t>
      </w:r>
      <w:r>
        <w:rPr>
          <w:lang w:val="en-GB"/>
        </w:rPr>
        <w:tab/>
        <w:t>ACT: Australian Capital Territory; NSW: New South Wales; NT: Northern Territory; Qld: Queensland; SA: South Australia; Tas.: Tasmania; Vic.: Victoria; WA: Western Australia; AUST: Australia.</w:t>
      </w:r>
    </w:p>
    <w:p w14:paraId="519874DF" w14:textId="77777777" w:rsidR="00AC21F1" w:rsidRDefault="00AC21F1" w:rsidP="00FD4A14">
      <w:pPr>
        <w:pStyle w:val="Heading2"/>
      </w:pPr>
    </w:p>
    <w:p w14:paraId="79E43A7B" w14:textId="10EF90F3" w:rsidR="002B4EF6" w:rsidRPr="00FD4A14" w:rsidRDefault="002B4EF6" w:rsidP="00FD4A14">
      <w:pPr>
        <w:pStyle w:val="Heading2"/>
      </w:pPr>
      <w:r w:rsidRPr="00FD4A14">
        <w:t xml:space="preserve">Influenza vaccine coverage </w:t>
      </w:r>
    </w:p>
    <w:p w14:paraId="43A474F9" w14:textId="77777777" w:rsidR="002B4EF6" w:rsidRDefault="002B4EF6" w:rsidP="00FD4A14">
      <w:r>
        <w:t xml:space="preserve">The recorded influenza vaccine coverage in adults aged 20–49 years and 50–64 years increased by 8.2 and 10.8 percentage points between 2019 and 2020, reaching 23.4% and 35.8%, respectively, while coverage in adults aged 65–74 years and ≥ 75 years increased by 7.2 and 4.2 percentage points, reaching 63.6% and 69.8%, respectively (Figure 2). </w:t>
      </w:r>
    </w:p>
    <w:p w14:paraId="17284AB4" w14:textId="77777777" w:rsidR="002B4EF6" w:rsidRDefault="002B4EF6" w:rsidP="00FD4A14">
      <w:r>
        <w:t xml:space="preserve">Overall, the national recorded influenza vaccine coverage in Indigenous adults aged 20–49 years and 50–64 years increased by 3.5 and 5.4 percentage points between 2019 and 2020, reaching 34.6% and 58.1% respectively, while coverage in Indigenous adults aged 65–74 years increased by 2.3 percentage points, reaching 77.2%, but decreased by 3.2 percentage points to 80.3% in the ≥ 75 years age group (Figure 4). </w:t>
      </w:r>
    </w:p>
    <w:p w14:paraId="7FC6917C" w14:textId="77777777" w:rsidR="002B4EF6" w:rsidRPr="00FD4A14" w:rsidRDefault="002B4EF6" w:rsidP="00FD4A14">
      <w:pPr>
        <w:pStyle w:val="Heading1"/>
      </w:pPr>
      <w:r w:rsidRPr="00FD4A14">
        <w:t xml:space="preserve">Discussion </w:t>
      </w:r>
    </w:p>
    <w:p w14:paraId="7FC847CA" w14:textId="77777777" w:rsidR="002B4EF6" w:rsidRPr="00FD4A14" w:rsidRDefault="002B4EF6" w:rsidP="00FD4A14">
      <w:pPr>
        <w:pStyle w:val="Heading2"/>
      </w:pPr>
      <w:r w:rsidRPr="00FD4A14">
        <w:t xml:space="preserve">Overall findings </w:t>
      </w:r>
    </w:p>
    <w:p w14:paraId="4177196D" w14:textId="77777777" w:rsidR="002B4EF6" w:rsidRPr="00FD4A14" w:rsidRDefault="002B4EF6" w:rsidP="00FD4A14">
      <w:pPr>
        <w:pStyle w:val="Heading3"/>
      </w:pPr>
      <w:r w:rsidRPr="00FD4A14">
        <w:t xml:space="preserve">Vaccination coverage in children </w:t>
      </w:r>
    </w:p>
    <w:p w14:paraId="11174CFB" w14:textId="77777777" w:rsidR="002B4EF6" w:rsidRDefault="002B4EF6" w:rsidP="00FD4A14">
      <w:r w:rsidRPr="002024C9">
        <w:rPr>
          <w:rStyle w:val="Emphasis"/>
          <w:b w:val="0"/>
          <w:bCs w:val="0"/>
        </w:rPr>
        <w:t>‘</w:t>
      </w:r>
      <w:r>
        <w:t>Fully vaccinated’ coverage in Australian children increased between 2019 and 2020, by 0.5–1.0 percentage points at the 12-month, 24-month and 60-month age assessment milestones, reaching 94.8%, 92.1% and 94.8%, respectively. While this predominantly reflects vaccinations due in 2019, i.e. prior to the coronavirus disease 2019 (COVID-19) pandemic, due to the use of standard assessment time points 6–12 months after vaccines are due, other reports have indicated a lack of impact of the COVID-19 pandemic on routine childhood vaccination in Australia,</w:t>
      </w:r>
      <w:r>
        <w:rPr>
          <w:vertAlign w:val="superscript"/>
        </w:rPr>
        <w:t>16,17</w:t>
      </w:r>
      <w:r>
        <w:t xml:space="preserve"> unlike in many other countries.</w:t>
      </w:r>
      <w:r>
        <w:rPr>
          <w:vertAlign w:val="superscript"/>
        </w:rPr>
        <w:t>18–20</w:t>
      </w:r>
      <w:r>
        <w:t xml:space="preserve"> True coverage in Australian children is likely to have been even higher, given </w:t>
      </w:r>
      <w:r>
        <w:lastRenderedPageBreak/>
        <w:t>underreporting to the AIR,</w:t>
      </w:r>
      <w:r>
        <w:rPr>
          <w:vertAlign w:val="superscript"/>
        </w:rPr>
        <w:t>21,22</w:t>
      </w:r>
      <w:r>
        <w:t xml:space="preserve"> and probably above the national coverage target of 95% at the 12- and 60-month age milestones. The increases in coverage at these milestones over recent years have potentially been contributed to by a range of measures, including the federal government’s ‘No Jab No Pay’ policy (implemented from 1 January 2016) and the ‘No Jab No Play’ policies implemented in several states.</w:t>
      </w:r>
      <w:r>
        <w:rPr>
          <w:vertAlign w:val="superscript"/>
        </w:rPr>
        <w:t>23</w:t>
      </w:r>
      <w:r>
        <w:t xml:space="preserve"> </w:t>
      </w:r>
    </w:p>
    <w:p w14:paraId="45F0FF9E" w14:textId="77777777" w:rsidR="002B4EF6" w:rsidRDefault="002B4EF6" w:rsidP="00FD4A14">
      <w:r>
        <w:t>‘Fully vaccinated’ coverage at the 24month milestone is nearly three percentage points below ‘fully vaccinated’ coverage at 12 and 60 months of age. This disparity is most likely due to the greater number of antigens required in order to be classified as ‘fully vaccinated’ at 24 months, including vaccine doses due at 6 and 12 months as well as the three vaccines (</w:t>
      </w:r>
      <w:proofErr w:type="spellStart"/>
      <w:r>
        <w:t>DTPa</w:t>
      </w:r>
      <w:proofErr w:type="spellEnd"/>
      <w:r>
        <w:t>, Hib and MMRV) now scheduled at 18 months of age, only six months before the assessment time point.</w:t>
      </w:r>
      <w:r>
        <w:rPr>
          <w:vertAlign w:val="superscript"/>
        </w:rPr>
        <w:t>9</w:t>
      </w:r>
      <w:r>
        <w:t xml:space="preserve"> In contrast, only one vaccine (</w:t>
      </w:r>
      <w:proofErr w:type="spellStart"/>
      <w:r>
        <w:t>DTPa</w:t>
      </w:r>
      <w:proofErr w:type="spellEnd"/>
      <w:r>
        <w:t>-polio) is scheduled at 48 months and assessed 12 months later at 60 months. Expansion of the 60-month assessment algorithm, to include a more comprehensive range of the vaccines/antigens that should have been received by that age, would be useful to better monitor uptake under the NIP. While this could present communication challenges in managing perceptions of a resultant ‘drop’ in coverage,</w:t>
      </w:r>
      <w:r>
        <w:rPr>
          <w:vertAlign w:val="superscript"/>
        </w:rPr>
        <w:t>24</w:t>
      </w:r>
      <w:r>
        <w:t xml:space="preserve"> our report shows that coverage is now over 95% for all other individual vaccines/antigens when assessed at 60 months of age. </w:t>
      </w:r>
    </w:p>
    <w:p w14:paraId="498B2059" w14:textId="77777777" w:rsidR="002B4EF6" w:rsidRDefault="002B4EF6" w:rsidP="00FD4A14">
      <w:r>
        <w:t xml:space="preserve">Coverage was higher in 2020 than in 2019 for all individual vaccines/antigens included in the ‘fully vaccinated’ assessment algorithms. The largest increase in coverage was for </w:t>
      </w:r>
      <w:proofErr w:type="spellStart"/>
      <w:r>
        <w:t>DTPa</w:t>
      </w:r>
      <w:proofErr w:type="spellEnd"/>
      <w:r>
        <w:t xml:space="preserve">-containing vaccine at 60 months of age (1.9 percentage point increase). In the context of Australia’s 95% coverage targets, which are particularly critical to measles control, coverage at 24 months of age in 2020 was 95.8% for the first dose of measles-containing vaccine, and while coverage at this milestone was slightly lower for the second dose at 94.0%, it increased to 96.8% by 60 months of age. </w:t>
      </w:r>
    </w:p>
    <w:p w14:paraId="7964C8E6" w14:textId="77777777" w:rsidR="002B4EF6" w:rsidRDefault="002B4EF6" w:rsidP="00FD4A14">
      <w:r>
        <w:t>Recorded influenza vaccine coverage in children aged 6–59 months increased from 41.0% in 2019, when state/territory-funded influenza vaccination programs were in place in all jurisdictions,</w:t>
      </w:r>
      <w:r>
        <w:rPr>
          <w:vertAlign w:val="superscript"/>
        </w:rPr>
        <w:t>25</w:t>
      </w:r>
      <w:r>
        <w:t xml:space="preserve"> to 45.2% in 2020, the first year during which the vaccine was funded under the NIP for all children in this age group.</w:t>
      </w:r>
      <w:r>
        <w:rPr>
          <w:vertAlign w:val="superscript"/>
        </w:rPr>
        <w:t>26</w:t>
      </w:r>
      <w:r>
        <w:t xml:space="preserve"> </w:t>
      </w:r>
    </w:p>
    <w:p w14:paraId="2A7C2634" w14:textId="77777777" w:rsidR="002B4EF6" w:rsidRPr="00FD4A14" w:rsidRDefault="002B4EF6" w:rsidP="00FD4A14">
      <w:pPr>
        <w:pStyle w:val="Heading1"/>
      </w:pPr>
      <w:r w:rsidRPr="00FD4A14">
        <w:t xml:space="preserve">Vaccination coverage in adolescents </w:t>
      </w:r>
    </w:p>
    <w:p w14:paraId="77D25C19" w14:textId="77777777" w:rsidR="002B4EF6" w:rsidRDefault="002B4EF6" w:rsidP="00FD4A14">
      <w:r>
        <w:t>HPV vaccination coverage (now derived from the AIR rather than from the National HPV Vaccination Program Register as in earlier reports) continues to increase, reflecting a successful predominantly school-based program. In 2020, a total of 80.5% of Australian girls completed a full course of the vaccine by age 15 years, up from 79.8% in 2019, as did 77.6% of boys, up from 77.0%. With modelling of HPV vaccination programs for both sexes suggesting that sustained population vaccination coverage of over 80% will be sufficient for elimination of targeted HPV types, Australia looks well placed to achieve this.</w:t>
      </w:r>
      <w:r>
        <w:rPr>
          <w:vertAlign w:val="superscript"/>
        </w:rPr>
        <w:t>27</w:t>
      </w:r>
      <w:r>
        <w:t xml:space="preserve"> </w:t>
      </w:r>
    </w:p>
    <w:p w14:paraId="5C2428A9" w14:textId="77777777" w:rsidR="002B4EF6" w:rsidRDefault="002B4EF6" w:rsidP="00FD4A14">
      <w:r>
        <w:t>However, of adolescents aged 11–14 years who received a first dose of HPV vaccine, the proportion who went on to receive their second dose in the same calendar year was 11.6 percentage points lower in 2020 than in 2019. This may reflect a flow-on effect from dose 1 vaccination delays due to the COVID-19 pandemic and associated control measures, particularly school closures, given the minimum 6-month interval recommended between doses.</w:t>
      </w:r>
      <w:r>
        <w:rPr>
          <w:vertAlign w:val="superscript"/>
        </w:rPr>
        <w:t>17</w:t>
      </w:r>
      <w:r>
        <w:t xml:space="preserve"> While </w:t>
      </w:r>
      <w:proofErr w:type="spellStart"/>
      <w:r>
        <w:t>dTpa</w:t>
      </w:r>
      <w:proofErr w:type="spellEnd"/>
      <w:r>
        <w:t xml:space="preserve"> vaccination coverage by age 15 years was 1.7 percentage points higher in 2020 than 2019, this reflects children vaccinated in the school-based program prior to the COVID-19 pandemic. There was evidence of impact of the pandemic on </w:t>
      </w:r>
      <w:proofErr w:type="spellStart"/>
      <w:r>
        <w:t>dTpa</w:t>
      </w:r>
      <w:proofErr w:type="spellEnd"/>
      <w:r>
        <w:t xml:space="preserve"> vaccination uptake in 2020, with the number of </w:t>
      </w:r>
      <w:proofErr w:type="spellStart"/>
      <w:r>
        <w:t>dTpa</w:t>
      </w:r>
      <w:proofErr w:type="spellEnd"/>
      <w:r>
        <w:t xml:space="preserve"> vaccinations administered to adolescents 13.7 percentage points lower than in 2019. However, the number of meningococcal ACWY vaccinations administered to adolescents in 2020 was only 4.1% lower than in 2019, which could be due to adolescents and parents prioritising meningococcal vaccination due to perceived greater risk and severity of disease. Given lower vaccination uptake in adolescents in 2020, it will be important to monitor catch-up vaccination activity into 2021 and beyond. </w:t>
      </w:r>
    </w:p>
    <w:p w14:paraId="7238C5B7" w14:textId="77777777" w:rsidR="002B4EF6" w:rsidRPr="00FD4A14" w:rsidRDefault="002B4EF6" w:rsidP="00FD4A14">
      <w:pPr>
        <w:pStyle w:val="Heading1"/>
      </w:pPr>
      <w:r w:rsidRPr="00FD4A14">
        <w:lastRenderedPageBreak/>
        <w:t xml:space="preserve">Vaccination coverage in adults </w:t>
      </w:r>
    </w:p>
    <w:p w14:paraId="0705F405" w14:textId="77777777" w:rsidR="002B4EF6" w:rsidRDefault="002B4EF6" w:rsidP="00FD4A14">
      <w:r>
        <w:t>Adult vaccination coverage data from the whole-of-life AIR are included in this report for the first time. Recorded zoster vaccine coverage was relatively low in 70-year-old adults in both 2019 and 2020, at just over 30%. This likely reflects some under-reporting to the AIR, with true coverage probably higher.</w:t>
      </w:r>
      <w:r>
        <w:rPr>
          <w:vertAlign w:val="superscript"/>
        </w:rPr>
        <w:t>28,29</w:t>
      </w:r>
      <w:r>
        <w:t xml:space="preserve"> Recorded influenza vaccination coverage in adults rose with increasing age group, reaching 64% in the 65–69 year and 70% in the ≥ </w:t>
      </w:r>
      <w:proofErr w:type="gramStart"/>
      <w:r>
        <w:t>75 year</w:t>
      </w:r>
      <w:proofErr w:type="gramEnd"/>
      <w:r>
        <w:t xml:space="preserve"> age group. Estimates also increased across all age groups between 2019 and 2020, which could reflect both increased completeness of reporting and a true increase in coverage due to early program rollout and associated public messaging in the early stages of the COVID-19 pandemic.</w:t>
      </w:r>
      <w:r>
        <w:rPr>
          <w:vertAlign w:val="superscript"/>
        </w:rPr>
        <w:t>26</w:t>
      </w:r>
      <w:r>
        <w:t xml:space="preserve"> The level of underreporting for influenza vaccine is likely greater in younger adults, due to the non-GP settings in which it is often administered (including workplaces and pharmacies).</w:t>
      </w:r>
      <w:r>
        <w:rPr>
          <w:vertAlign w:val="superscript"/>
        </w:rPr>
        <w:t>24</w:t>
      </w:r>
      <w:r>
        <w:t xml:space="preserve"> It will be important to monitor trends in adult vaccine coverage following the introduction of mandatory reporting to the AIR for all NIP vaccines in 2021.</w:t>
      </w:r>
      <w:r>
        <w:rPr>
          <w:vertAlign w:val="superscript"/>
        </w:rPr>
        <w:t xml:space="preserve">30 </w:t>
      </w:r>
    </w:p>
    <w:p w14:paraId="0A6F2515" w14:textId="77777777" w:rsidR="002B4EF6" w:rsidRPr="00FD4A14" w:rsidRDefault="002B4EF6" w:rsidP="00FD4A14">
      <w:pPr>
        <w:pStyle w:val="Heading1"/>
      </w:pPr>
      <w:r w:rsidRPr="00FD4A14">
        <w:t xml:space="preserve">Vaccination coverage in Indigenous people </w:t>
      </w:r>
    </w:p>
    <w:p w14:paraId="64EE521F" w14:textId="77777777" w:rsidR="002B4EF6" w:rsidRPr="00FD4A14" w:rsidRDefault="002B4EF6" w:rsidP="00FD4A14">
      <w:pPr>
        <w:pStyle w:val="Heading2"/>
      </w:pPr>
      <w:r w:rsidRPr="00FD4A14">
        <w:t xml:space="preserve">Children </w:t>
      </w:r>
    </w:p>
    <w:p w14:paraId="25D151A5" w14:textId="77777777" w:rsidR="002B4EF6" w:rsidRDefault="002B4EF6" w:rsidP="00FD4A14">
      <w:r>
        <w:t xml:space="preserve">‘Fully vaccinated’ coverage for Indigenous children increased between 2019 and 2020 at all three age milestones: 12 months (from 92.9% to 93.1%), 24 months (from 90.0% to 91.2%) and 60 months (from 96.9% to 97.0%). </w:t>
      </w:r>
    </w:p>
    <w:p w14:paraId="6A35ED5F" w14:textId="77777777" w:rsidR="002B4EF6" w:rsidRDefault="002B4EF6" w:rsidP="00FD4A14">
      <w:r>
        <w:t xml:space="preserve">The disparity in ‘fully vaccinated’ coverage between Indigenous and all children in 2020 was 1.7 percentage points at 12 months of age (up from 1.4 percentage points in 2019), and 0.9 of a percentage </w:t>
      </w:r>
      <w:proofErr w:type="gramStart"/>
      <w:r>
        <w:t>point</w:t>
      </w:r>
      <w:proofErr w:type="gramEnd"/>
      <w:r>
        <w:t xml:space="preserve"> at 24 months (down from 1.1 percentage points in 2019). ‘Fully vaccinated’ coverage at 60 months of age remained higher in Indigenous children than in all children, by 2.2 percentage points in 2020. </w:t>
      </w:r>
    </w:p>
    <w:p w14:paraId="31E04BD3" w14:textId="77777777" w:rsidR="002B4EF6" w:rsidRDefault="002B4EF6" w:rsidP="00FD4A14">
      <w:r>
        <w:t>The lower coverage at the 12- and 24-month milestones highlights timeliness issues among Indigenous children, as coverage of individual vaccines/antigens due at 6 or 12 months with no further doses required at older ages (</w:t>
      </w:r>
      <w:proofErr w:type="spellStart"/>
      <w:r>
        <w:t>MenC</w:t>
      </w:r>
      <w:proofErr w:type="spellEnd"/>
      <w:r>
        <w:t>, polio and hepatitis B-containing vaccines) increased to 96.5% or greater at 24 months. Similarly, although coverage in 2020 for the second dose of MMR and varicella (given as MMRV vaccine at 18 months) in Indigenous children was just below 94% at 24 months, it was over 4 percentage points higher (98.8%) at 60 months. This pattern is consistent with long-standing vaccination timeliness issues among Indigenous children.</w:t>
      </w:r>
      <w:r>
        <w:rPr>
          <w:vertAlign w:val="superscript"/>
        </w:rPr>
        <w:t xml:space="preserve">1,9 </w:t>
      </w:r>
    </w:p>
    <w:p w14:paraId="04C9B03A" w14:textId="77777777" w:rsidR="002B4EF6" w:rsidRDefault="002B4EF6" w:rsidP="00FD4A14">
      <w:r>
        <w:t xml:space="preserve">Recorded influenza vaccination coverage in Indigenous children aged 6–59 months remained the same in 2020 as in 2019, at 43.6%, slightly lower than coverage in all children, while in those aged 5 to 9 years, coverage increased from 32.3% to 34.8%, 5.1 percentage points higher than in all children. Influenza vaccination is funded for all Indigenous children aged 6 months and older, whereas it is only funded for non-Indigenous children aged 6–59 months or with specified underlying medical conditions. Coverage in Indigenous children aged 6–59 months varied substantially by jurisdiction in </w:t>
      </w:r>
      <w:proofErr w:type="gramStart"/>
      <w:r>
        <w:t>2020, and</w:t>
      </w:r>
      <w:proofErr w:type="gramEnd"/>
      <w:r>
        <w:t xml:space="preserve"> was highest in the Northern Territory at 71.0%. </w:t>
      </w:r>
    </w:p>
    <w:p w14:paraId="487A5AFD" w14:textId="77777777" w:rsidR="002B4EF6" w:rsidRDefault="002B4EF6" w:rsidP="00FD4A14">
      <w:r>
        <w:t xml:space="preserve">Coverage for hepatitis A vaccine and the fourth dose of 13vPCV, which are funded under the NIP for Indigenous children in four jurisdictions only (South Australia, Northern Territory, </w:t>
      </w:r>
      <w:proofErr w:type="gramStart"/>
      <w:r>
        <w:t>Queensland</w:t>
      </w:r>
      <w:proofErr w:type="gramEnd"/>
      <w:r>
        <w:t xml:space="preserve"> and Western Australia), remained suboptimal in 2020, at 72.7% and 73.5%, respectively, although coverage in the Northern Territory continued to be substantially higher. </w:t>
      </w:r>
    </w:p>
    <w:p w14:paraId="19018569" w14:textId="77777777" w:rsidR="002B4EF6" w:rsidRPr="00FD4A14" w:rsidRDefault="002B4EF6" w:rsidP="00FD4A14">
      <w:pPr>
        <w:pStyle w:val="Heading1"/>
      </w:pPr>
      <w:r w:rsidRPr="00FD4A14">
        <w:t xml:space="preserve">Adolescents </w:t>
      </w:r>
    </w:p>
    <w:p w14:paraId="6A67DD64" w14:textId="77777777" w:rsidR="002B4EF6" w:rsidRDefault="002B4EF6" w:rsidP="00FD4A14">
      <w:r>
        <w:t xml:space="preserve">HPV vaccination coverage (both first dose and course completion) for Indigenous girls and boys by 15 years of age was 1–3 percentage points higher in 2020 than 2019. However, coverage was lower than in adolescents overall: 2–3 percentage points lower for the first dose and 8–9 percentage points lower for course completion. Further efforts to </w:t>
      </w:r>
      <w:r>
        <w:lastRenderedPageBreak/>
        <w:t>address these disparities are required, given the much higher rates of cervical cancer in Indigenous women,</w:t>
      </w:r>
      <w:r>
        <w:rPr>
          <w:vertAlign w:val="superscript"/>
        </w:rPr>
        <w:t>31</w:t>
      </w:r>
      <w:r>
        <w:t xml:space="preserve"> whilst noting that there is increasing evidence that a single dose of HPV vaccine is highly effective in preventing infection and subsequent disease.</w:t>
      </w:r>
      <w:r>
        <w:rPr>
          <w:vertAlign w:val="superscript"/>
        </w:rPr>
        <w:t>32–34</w:t>
      </w:r>
      <w:r>
        <w:t xml:space="preserve"> Recorded influenza vaccine coverage in Indigenous adolescents was 3–4 percentage points higher in 2020 than 2019, and 7–9 percentage points higher than in all adolescents. Influenza vaccination is funded for all Indigenous adolescents but is only funded for non-Indigenous adolescents with specified underlying medical conditions. </w:t>
      </w:r>
    </w:p>
    <w:p w14:paraId="2DA533C6" w14:textId="77777777" w:rsidR="002B4EF6" w:rsidRPr="00FD4A14" w:rsidRDefault="002B4EF6" w:rsidP="00FD4A14">
      <w:pPr>
        <w:pStyle w:val="Heading1"/>
      </w:pPr>
      <w:r w:rsidRPr="00FD4A14">
        <w:t xml:space="preserve">Adults </w:t>
      </w:r>
    </w:p>
    <w:p w14:paraId="35C002BB" w14:textId="77777777" w:rsidR="002B4EF6" w:rsidRDefault="002B4EF6" w:rsidP="00FD4A14">
      <w:r>
        <w:t>Recorded zoster vaccination coverage in 2020 was slightly higher in Indigenous 70-year-olds than overall, but still relatively low at 31.7%. This could be due in part to underreporting, and potentially also to COVID-19 pandemic impacts.</w:t>
      </w:r>
      <w:r>
        <w:rPr>
          <w:vertAlign w:val="superscript"/>
        </w:rPr>
        <w:t>17</w:t>
      </w:r>
      <w:r>
        <w:t xml:space="preserve"> While recorded influenza vaccine coverage was relatively high in older Indigenous adults, at 77.2% for those aged 65–74 years and 80.3% for 75 years and over, coverage in younger adults was suboptimal, ranging from 34.6% for those aged 20–49 years to 58.1% for 50–64 years. Further efforts to increase uptake are required given that annual influenza vaccination is funded on the NIP for all Indigenous adults, due to their increased risk of severe disease. However, influenza vaccine coverage was higher in Indigenous adults in 2020 than in adults overall, across all age groups, ranging from 10.2 percentage points higher for the 20–</w:t>
      </w:r>
      <w:proofErr w:type="gramStart"/>
      <w:r>
        <w:t>49 year</w:t>
      </w:r>
      <w:proofErr w:type="gramEnd"/>
      <w:r>
        <w:t xml:space="preserve"> age group to 22.3 percentage points higher for the 50–64 year age group. Influenza vaccination is only funded for non-Indigenous adults aged 65 years and over or with specified underlying medical conditions. </w:t>
      </w:r>
    </w:p>
    <w:p w14:paraId="22358492" w14:textId="77777777" w:rsidR="002B4EF6" w:rsidRPr="00FD4A14" w:rsidRDefault="002B4EF6" w:rsidP="00FD4A14">
      <w:pPr>
        <w:pStyle w:val="Heading1"/>
      </w:pPr>
      <w:r w:rsidRPr="00FD4A14">
        <w:t xml:space="preserve">A focus on timeliness </w:t>
      </w:r>
    </w:p>
    <w:p w14:paraId="7A2B9733" w14:textId="77777777" w:rsidR="002B4EF6" w:rsidRDefault="002B4EF6" w:rsidP="00FD4A14">
      <w:r>
        <w:t xml:space="preserve">We examined a broad range of timeliness indicators in this report. The traditional measure—of vaccination receipt within 30 days of the age recommended on the NIP schedule—showed some improvement in 2020, with the disparity between Indigenous and non-Indigenous children in on-time coverage for the first dose of meningococcal C-containing vaccine decreasing by 2.1 percentage points compared to 2019. However, the disparity between Indigenous and non-Indigenous children in on-time coverage for the second doses of </w:t>
      </w:r>
      <w:proofErr w:type="spellStart"/>
      <w:r>
        <w:t>DTPa</w:t>
      </w:r>
      <w:proofErr w:type="spellEnd"/>
      <w:r>
        <w:t>-containing vaccine, 13vPCV and rotavirus vaccine increased marginally by 0.1–0.3 percentage points. In addition, we examined ‘fully vaccinated’ coverage at four earlier milestones, three months after the due date of the last scheduled vaccine, with a focus on remoteness and socioeconomic status of area of residence. ‘Fully vaccinated’ coverage at the earlier milestones in Indigenous children in remote areas was lower than that for Indigenous children in major cities and regional areas. The differential was highest at the 21-month age assessment milestone, with coverage 7.2 percentage points lower in Indigenous children in remote areas compared to major cities, 0.5 percentage points higher than the disparity in 2019.</w:t>
      </w:r>
      <w:r>
        <w:rPr>
          <w:vertAlign w:val="superscript"/>
        </w:rPr>
        <w:t>12</w:t>
      </w:r>
      <w:r>
        <w:t xml:space="preserve"> This disparity is likely due to greater logistic issues in providing and accessing vaccination in remote areas. ‘Fully vaccinated’ coverage at the earlier assessment time points was 1.9–3.1 percentage points lower for children living in areas in the most socioeconomically disadvantaged quintile than for those in the least disadvantaged quintile, generally </w:t>
      </w:r>
      <w:proofErr w:type="gramStart"/>
      <w:r>
        <w:t>similar to</w:t>
      </w:r>
      <w:proofErr w:type="gramEnd"/>
      <w:r>
        <w:t xml:space="preserve"> the disparity in 2019 although 1.0 percentage point higher at 51 months of age, which might reflect some increased access issues related to the COVID-19 pandemic. While coverage improved substantially across the board by 60 months of age, the current ‘fully vaccinated’ assessment algorithm at this milestone may not be optimal, given that it only includes the single vaccine due at 48 months of age. </w:t>
      </w:r>
    </w:p>
    <w:p w14:paraId="75546846" w14:textId="77777777" w:rsidR="002B4EF6" w:rsidRPr="00FD4A14" w:rsidRDefault="002B4EF6" w:rsidP="00FD4A14">
      <w:pPr>
        <w:pStyle w:val="Heading1"/>
      </w:pPr>
      <w:r w:rsidRPr="00FD4A14">
        <w:t xml:space="preserve">Conclusions </w:t>
      </w:r>
    </w:p>
    <w:p w14:paraId="4231433C" w14:textId="77777777" w:rsidR="002B4EF6" w:rsidRDefault="002B4EF6" w:rsidP="00FD4A14">
      <w:r>
        <w:t xml:space="preserve">This is the first in this series of reports to present whole-of-life coverage data from the AIR, following its expansion in 2016. We found continuing improvements across a range of childhood immunisation indicators in Australia in 2020. </w:t>
      </w:r>
      <w:r>
        <w:lastRenderedPageBreak/>
        <w:t xml:space="preserve">Adolescent coverage, reported using AIR data for the first time, was also relatively high in 2020, reflecting a successful predominantly school-based vaccination program, although with some evidence of pandemic impacts, particularly on completion of the 2-dose HPV vaccination schedule. It will therefore be important to monitor levels of catch-up vaccination in adolescents. </w:t>
      </w:r>
    </w:p>
    <w:p w14:paraId="76ED2DBC" w14:textId="77777777" w:rsidR="002B4EF6" w:rsidRDefault="002B4EF6" w:rsidP="00FD4A14">
      <w:r>
        <w:t xml:space="preserve">Some issues with timeliness of childhood vaccination persist, particularly in Indigenous and socioeconomically disadvantaged children. As younger children are generally more vulnerable to severe disease, and Indigenous and socioeconomically disadvantaged children even more so, equitable coverage of vaccination at the earliest appropriate age, in line with the NIP schedule, should be a public health goal for countries such as Australia where high levels of overall vaccine coverage at standard milestone ages have been achieved. New coverage targets for earlier protection in the first two years of life could be useful, along with review of current ‘fully vaccinated’ assessment algorithms, particularly at the 60-month age milestone where only a single vaccine is currently assessed. </w:t>
      </w:r>
    </w:p>
    <w:p w14:paraId="3440A8F5" w14:textId="77777777" w:rsidR="00FD4A14" w:rsidRDefault="002B4EF6" w:rsidP="00FD4A14">
      <w:r>
        <w:t>While recorded influenza vaccination coverage in adults increased in 2020, reaching over 60% in those aged 65 years and above (over 75% in Indigenous adults in this age group), recorded zoster vaccination coverage remained relatively low at just over 30%. However, these figures likely underestimate true coverage due to underreporting of adult vaccinations to the AIR.</w:t>
      </w:r>
      <w:r>
        <w:rPr>
          <w:vertAlign w:val="superscript"/>
        </w:rPr>
        <w:t>24,26</w:t>
      </w:r>
      <w:r>
        <w:t xml:space="preserve"> With more vaccinations being given across the entire life course, it will be important to optimise reporting to the AIR to enhance its value for monitoring the successful delivery of the NIP throughout Australia and across the age spectrum. The mandatory reporting of all NIP vaccinations to the AIR, introduced in 2021, should help in this regard.</w:t>
      </w:r>
    </w:p>
    <w:p w14:paraId="04007671" w14:textId="5B06F061" w:rsidR="002B4EF6" w:rsidRDefault="002B4EF6" w:rsidP="00FD4A14">
      <w:pPr>
        <w:pStyle w:val="Heading1"/>
      </w:pPr>
      <w:r>
        <w:t xml:space="preserve">Acknowledgments </w:t>
      </w:r>
    </w:p>
    <w:p w14:paraId="20CC8B52" w14:textId="77777777" w:rsidR="002B4EF6" w:rsidRDefault="002B4EF6" w:rsidP="00FD4A14">
      <w:r>
        <w:t>The National Centre for Immunisation Research and Surveillance is supported by the Australian Government Department of Health, the NSW Ministry of Health and The Sydney Children’s Hospitals Network. The opinions expressed in this report are those of the authors, and do not necessarily represent the views of these agencies.</w:t>
      </w:r>
    </w:p>
    <w:p w14:paraId="001C7E83" w14:textId="77777777" w:rsidR="00D553FC" w:rsidRDefault="00D553FC">
      <w:pPr>
        <w:rPr>
          <w:rFonts w:asciiTheme="majorHAnsi" w:eastAsiaTheme="majorEastAsia" w:hAnsiTheme="majorHAnsi" w:cstheme="majorBidi"/>
          <w:b/>
          <w:bCs/>
          <w:sz w:val="32"/>
          <w:szCs w:val="28"/>
        </w:rPr>
      </w:pPr>
      <w:r>
        <w:br w:type="page"/>
      </w:r>
    </w:p>
    <w:p w14:paraId="62097A17" w14:textId="726DF9FE" w:rsidR="002B4EF6" w:rsidRPr="00FD4A14" w:rsidRDefault="002B4EF6" w:rsidP="00FD4A14">
      <w:pPr>
        <w:pStyle w:val="Heading1"/>
      </w:pPr>
      <w:r w:rsidRPr="00FD4A14">
        <w:lastRenderedPageBreak/>
        <w:t xml:space="preserve">Author details </w:t>
      </w:r>
    </w:p>
    <w:p w14:paraId="209DB221" w14:textId="7F057D33" w:rsidR="002B4EF6" w:rsidRDefault="002B4EF6" w:rsidP="00FD4A14">
      <w:r>
        <w:t>Brynley Hull</w:t>
      </w:r>
      <w:r>
        <w:rPr>
          <w:vertAlign w:val="superscript"/>
        </w:rPr>
        <w:t>1</w:t>
      </w:r>
      <w:r>
        <w:t xml:space="preserve"> </w:t>
      </w:r>
      <w:r w:rsidR="00D553FC">
        <w:br/>
      </w:r>
      <w:r>
        <w:t>Alexandra Hendry</w:t>
      </w:r>
      <w:r>
        <w:rPr>
          <w:vertAlign w:val="superscript"/>
        </w:rPr>
        <w:t>1</w:t>
      </w:r>
      <w:r>
        <w:t xml:space="preserve"> </w:t>
      </w:r>
      <w:r w:rsidR="00D553FC">
        <w:br/>
      </w:r>
      <w:r>
        <w:t>Aditi Dey</w:t>
      </w:r>
      <w:r>
        <w:rPr>
          <w:vertAlign w:val="superscript"/>
        </w:rPr>
        <w:t>1</w:t>
      </w:r>
      <w:r>
        <w:t xml:space="preserve"> </w:t>
      </w:r>
      <w:r w:rsidR="00D553FC">
        <w:br/>
      </w:r>
      <w:r>
        <w:t>Julia Brotherton</w:t>
      </w:r>
      <w:r>
        <w:rPr>
          <w:vertAlign w:val="superscript"/>
        </w:rPr>
        <w:t>1</w:t>
      </w:r>
      <w:r>
        <w:t xml:space="preserve"> </w:t>
      </w:r>
      <w:r w:rsidR="00D553FC">
        <w:br/>
      </w:r>
      <w:r>
        <w:t>Kristine Macartney</w:t>
      </w:r>
      <w:r>
        <w:rPr>
          <w:vertAlign w:val="superscript"/>
        </w:rPr>
        <w:t>1</w:t>
      </w:r>
      <w:r>
        <w:t xml:space="preserve"> </w:t>
      </w:r>
      <w:r w:rsidR="00D553FC">
        <w:br/>
      </w:r>
      <w:r>
        <w:t>Frank Beard</w:t>
      </w:r>
      <w:r>
        <w:rPr>
          <w:vertAlign w:val="superscript"/>
        </w:rPr>
        <w:t>1</w:t>
      </w:r>
      <w:r>
        <w:t xml:space="preserve"> </w:t>
      </w:r>
    </w:p>
    <w:p w14:paraId="5CC7536F" w14:textId="77777777" w:rsidR="002B4EF6" w:rsidRPr="00FD4A14" w:rsidRDefault="002B4EF6" w:rsidP="00FD4A14">
      <w:pPr>
        <w:pStyle w:val="ListParagraph"/>
        <w:numPr>
          <w:ilvl w:val="0"/>
          <w:numId w:val="9"/>
        </w:numPr>
        <w:rPr>
          <w:rFonts w:eastAsia="Times New Roman"/>
        </w:rPr>
      </w:pPr>
      <w:r w:rsidRPr="00FD4A14">
        <w:rPr>
          <w:rFonts w:eastAsia="Times New Roman"/>
        </w:rPr>
        <w:t xml:space="preserve">National Centre for Immunisation Research and Surveillance, The Children’s Hospital at </w:t>
      </w:r>
      <w:proofErr w:type="gramStart"/>
      <w:r w:rsidRPr="00FD4A14">
        <w:rPr>
          <w:rFonts w:eastAsia="Times New Roman"/>
        </w:rPr>
        <w:t>Westmead</w:t>
      </w:r>
      <w:proofErr w:type="gramEnd"/>
      <w:r w:rsidRPr="00FD4A14">
        <w:rPr>
          <w:rFonts w:eastAsia="Times New Roman"/>
        </w:rPr>
        <w:t xml:space="preserve"> and The University of Sydney</w:t>
      </w:r>
    </w:p>
    <w:p w14:paraId="65D8B30C" w14:textId="77777777" w:rsidR="002B4EF6" w:rsidRPr="00FD4A14" w:rsidRDefault="002B4EF6" w:rsidP="00FD4A14">
      <w:pPr>
        <w:pStyle w:val="Heading2"/>
      </w:pPr>
      <w:r w:rsidRPr="00FD4A14">
        <w:t xml:space="preserve">Corresponding author </w:t>
      </w:r>
    </w:p>
    <w:p w14:paraId="4559B883" w14:textId="10A0FEE6" w:rsidR="002B4EF6" w:rsidRDefault="002B4EF6" w:rsidP="00FD4A14">
      <w:r>
        <w:t xml:space="preserve">Brynley Hull </w:t>
      </w:r>
      <w:r w:rsidR="00D553FC">
        <w:br/>
      </w:r>
      <w:r>
        <w:t xml:space="preserve">National Centre for Immunisation Research and Surveillance, The Children’s Hospital at Westmead and The University of Sydney, Locked Bag 4001, Westmead NSW 2145. </w:t>
      </w:r>
    </w:p>
    <w:p w14:paraId="1E085BAC" w14:textId="667D5D37" w:rsidR="002B4EF6" w:rsidRDefault="002B4EF6" w:rsidP="00FD4A14">
      <w:r>
        <w:t xml:space="preserve">Telephone: +61 2 9845 1435. </w:t>
      </w:r>
      <w:r w:rsidR="00D553FC">
        <w:br/>
      </w:r>
      <w:r>
        <w:t xml:space="preserve">Facsimile: +61 2 9845 1418. </w:t>
      </w:r>
      <w:r w:rsidR="00D553FC">
        <w:br/>
      </w:r>
      <w:r>
        <w:t>Email: brynley.hull@health.nsw.gov.au</w:t>
      </w:r>
    </w:p>
    <w:p w14:paraId="30301A33" w14:textId="77777777" w:rsidR="00CD3CEE" w:rsidRDefault="00CD3CEE">
      <w:pPr>
        <w:rPr>
          <w:rFonts w:asciiTheme="majorHAnsi" w:eastAsiaTheme="majorEastAsia" w:hAnsiTheme="majorHAnsi" w:cstheme="majorBidi"/>
          <w:b/>
          <w:bCs/>
          <w:sz w:val="32"/>
          <w:szCs w:val="28"/>
        </w:rPr>
      </w:pPr>
      <w:r>
        <w:br w:type="page"/>
      </w:r>
    </w:p>
    <w:p w14:paraId="41B1A668" w14:textId="24D8E759" w:rsidR="002B4EF6" w:rsidRPr="00FD4A14" w:rsidRDefault="002B4EF6" w:rsidP="00FD4A14">
      <w:pPr>
        <w:pStyle w:val="Heading1"/>
      </w:pPr>
      <w:r w:rsidRPr="00FD4A14">
        <w:lastRenderedPageBreak/>
        <w:t xml:space="preserve">References </w:t>
      </w:r>
    </w:p>
    <w:p w14:paraId="5749C436" w14:textId="77777777" w:rsidR="002B4EF6" w:rsidRPr="00FD4A14" w:rsidRDefault="002B4EF6" w:rsidP="00C576CF">
      <w:pPr>
        <w:pStyle w:val="ListParagraph"/>
        <w:numPr>
          <w:ilvl w:val="0"/>
          <w:numId w:val="10"/>
        </w:numPr>
        <w:rPr>
          <w:rFonts w:eastAsia="Times New Roman"/>
        </w:rPr>
      </w:pPr>
      <w:r w:rsidRPr="00FD4A14">
        <w:rPr>
          <w:rFonts w:eastAsia="Times New Roman"/>
        </w:rPr>
        <w:t xml:space="preserve">Hull B, </w:t>
      </w:r>
      <w:proofErr w:type="spellStart"/>
      <w:r w:rsidRPr="00FD4A14">
        <w:rPr>
          <w:rFonts w:eastAsia="Times New Roman"/>
        </w:rPr>
        <w:t>Deeks</w:t>
      </w:r>
      <w:proofErr w:type="spellEnd"/>
      <w:r w:rsidRPr="00FD4A14">
        <w:rPr>
          <w:rFonts w:eastAsia="Times New Roman"/>
        </w:rPr>
        <w:t xml:space="preserve"> S, Menzies R, McIntyre P. Immunisation coverage annual report, 2007. </w:t>
      </w:r>
      <w:proofErr w:type="spellStart"/>
      <w:r w:rsidRPr="002024C9">
        <w:rPr>
          <w:rStyle w:val="Emphasis"/>
          <w:rFonts w:eastAsia="Times New Roman"/>
          <w:b w:val="0"/>
          <w:bCs w:val="0"/>
        </w:rPr>
        <w:t>Commun</w:t>
      </w:r>
      <w:proofErr w:type="spellEnd"/>
      <w:r w:rsidRPr="002024C9">
        <w:rPr>
          <w:rStyle w:val="Emphasis"/>
          <w:rFonts w:eastAsia="Times New Roman"/>
          <w:b w:val="0"/>
          <w:bCs w:val="0"/>
        </w:rPr>
        <w:t xml:space="preserve"> Dis </w:t>
      </w:r>
      <w:proofErr w:type="spellStart"/>
      <w:r w:rsidRPr="002024C9">
        <w:rPr>
          <w:rStyle w:val="Emphasis"/>
          <w:rFonts w:eastAsia="Times New Roman"/>
          <w:b w:val="0"/>
          <w:bCs w:val="0"/>
        </w:rPr>
        <w:t>Intell</w:t>
      </w:r>
      <w:proofErr w:type="spellEnd"/>
      <w:r w:rsidRPr="002024C9">
        <w:rPr>
          <w:rStyle w:val="Emphasis"/>
          <w:rFonts w:eastAsia="Times New Roman"/>
          <w:b w:val="0"/>
          <w:bCs w:val="0"/>
        </w:rPr>
        <w:t xml:space="preserve"> Q Rep</w:t>
      </w:r>
      <w:r w:rsidRPr="00FD4A14">
        <w:rPr>
          <w:rFonts w:eastAsia="Times New Roman"/>
        </w:rPr>
        <w:t xml:space="preserve">. 2009;33(2):170–87. </w:t>
      </w:r>
    </w:p>
    <w:p w14:paraId="43F9430E" w14:textId="77777777" w:rsidR="002B4EF6" w:rsidRPr="00FD4A14" w:rsidRDefault="002B4EF6" w:rsidP="00C576CF">
      <w:pPr>
        <w:pStyle w:val="ListParagraph"/>
        <w:numPr>
          <w:ilvl w:val="0"/>
          <w:numId w:val="10"/>
        </w:numPr>
        <w:rPr>
          <w:rFonts w:eastAsia="Times New Roman"/>
        </w:rPr>
      </w:pPr>
      <w:r w:rsidRPr="00FD4A14">
        <w:rPr>
          <w:rFonts w:eastAsia="Times New Roman"/>
        </w:rPr>
        <w:t xml:space="preserve">Hull BP, Mahajan D, Dey A, Menzies RI, McIntyre PB. Immunisation coverage annual report, 2008. </w:t>
      </w:r>
      <w:proofErr w:type="spellStart"/>
      <w:r w:rsidRPr="002024C9">
        <w:rPr>
          <w:rStyle w:val="Emphasis"/>
          <w:rFonts w:eastAsia="Times New Roman"/>
          <w:b w:val="0"/>
          <w:bCs w:val="0"/>
        </w:rPr>
        <w:t>Commun</w:t>
      </w:r>
      <w:proofErr w:type="spellEnd"/>
      <w:r w:rsidRPr="002024C9">
        <w:rPr>
          <w:rStyle w:val="Emphasis"/>
          <w:rFonts w:eastAsia="Times New Roman"/>
          <w:b w:val="0"/>
          <w:bCs w:val="0"/>
        </w:rPr>
        <w:t xml:space="preserve"> Dis </w:t>
      </w:r>
      <w:proofErr w:type="spellStart"/>
      <w:r w:rsidRPr="002024C9">
        <w:rPr>
          <w:rStyle w:val="Emphasis"/>
          <w:rFonts w:eastAsia="Times New Roman"/>
          <w:b w:val="0"/>
          <w:bCs w:val="0"/>
        </w:rPr>
        <w:t>Intell</w:t>
      </w:r>
      <w:proofErr w:type="spellEnd"/>
      <w:r w:rsidRPr="002024C9">
        <w:rPr>
          <w:rStyle w:val="Emphasis"/>
          <w:rFonts w:eastAsia="Times New Roman"/>
          <w:b w:val="0"/>
          <w:bCs w:val="0"/>
        </w:rPr>
        <w:t xml:space="preserve"> Q Rep</w:t>
      </w:r>
      <w:r w:rsidRPr="00FD4A14">
        <w:rPr>
          <w:rFonts w:eastAsia="Times New Roman"/>
        </w:rPr>
        <w:t xml:space="preserve">. 2010 Sep;34(3):241–58. </w:t>
      </w:r>
    </w:p>
    <w:p w14:paraId="4C8E3817" w14:textId="77777777" w:rsidR="002B4EF6" w:rsidRPr="00FD4A14" w:rsidRDefault="002B4EF6" w:rsidP="00C576CF">
      <w:pPr>
        <w:pStyle w:val="ListParagraph"/>
        <w:numPr>
          <w:ilvl w:val="0"/>
          <w:numId w:val="10"/>
        </w:numPr>
        <w:rPr>
          <w:rFonts w:eastAsia="Times New Roman"/>
        </w:rPr>
      </w:pPr>
      <w:r w:rsidRPr="00FD4A14">
        <w:rPr>
          <w:rFonts w:eastAsia="Times New Roman"/>
        </w:rPr>
        <w:t xml:space="preserve">Hull B, Dey A, Mahajan D, Menzies RI, McIntyre PB. Immunisation coverage annual report, 2009. </w:t>
      </w:r>
      <w:proofErr w:type="spellStart"/>
      <w:r w:rsidRPr="002024C9">
        <w:rPr>
          <w:rStyle w:val="Emphasis"/>
          <w:rFonts w:eastAsia="Times New Roman"/>
          <w:b w:val="0"/>
          <w:bCs w:val="0"/>
        </w:rPr>
        <w:t>Commun</w:t>
      </w:r>
      <w:proofErr w:type="spellEnd"/>
      <w:r w:rsidRPr="002024C9">
        <w:rPr>
          <w:rStyle w:val="Emphasis"/>
          <w:rFonts w:eastAsia="Times New Roman"/>
          <w:b w:val="0"/>
          <w:bCs w:val="0"/>
        </w:rPr>
        <w:t xml:space="preserve"> Dis </w:t>
      </w:r>
      <w:proofErr w:type="spellStart"/>
      <w:r w:rsidRPr="002024C9">
        <w:rPr>
          <w:rStyle w:val="Emphasis"/>
          <w:rFonts w:eastAsia="Times New Roman"/>
          <w:b w:val="0"/>
          <w:bCs w:val="0"/>
        </w:rPr>
        <w:t>Intell</w:t>
      </w:r>
      <w:proofErr w:type="spellEnd"/>
      <w:r w:rsidRPr="002024C9">
        <w:rPr>
          <w:rStyle w:val="Emphasis"/>
          <w:rFonts w:eastAsia="Times New Roman"/>
          <w:b w:val="0"/>
          <w:bCs w:val="0"/>
        </w:rPr>
        <w:t xml:space="preserve"> Q Rep</w:t>
      </w:r>
      <w:r w:rsidRPr="00FD4A14">
        <w:rPr>
          <w:rFonts w:eastAsia="Times New Roman"/>
        </w:rPr>
        <w:t xml:space="preserve">. 2011;35(2):132–48. </w:t>
      </w:r>
    </w:p>
    <w:p w14:paraId="070AB98E" w14:textId="77777777" w:rsidR="002B4EF6" w:rsidRPr="00FD4A14" w:rsidRDefault="002B4EF6" w:rsidP="00C576CF">
      <w:pPr>
        <w:pStyle w:val="ListParagraph"/>
        <w:numPr>
          <w:ilvl w:val="0"/>
          <w:numId w:val="10"/>
        </w:numPr>
        <w:rPr>
          <w:rFonts w:eastAsia="Times New Roman"/>
        </w:rPr>
      </w:pPr>
      <w:r w:rsidRPr="00FD4A14">
        <w:rPr>
          <w:rFonts w:eastAsia="Times New Roman"/>
        </w:rPr>
        <w:t xml:space="preserve">Hull B, Dey A, Menzies R, McIntyre P. Annual immunisation coverage report, 2010. </w:t>
      </w:r>
      <w:proofErr w:type="spellStart"/>
      <w:r w:rsidRPr="002024C9">
        <w:rPr>
          <w:rStyle w:val="Emphasis"/>
          <w:rFonts w:eastAsia="Times New Roman"/>
          <w:b w:val="0"/>
          <w:bCs w:val="0"/>
        </w:rPr>
        <w:t>Commun</w:t>
      </w:r>
      <w:proofErr w:type="spellEnd"/>
      <w:r w:rsidRPr="002024C9">
        <w:rPr>
          <w:rStyle w:val="Emphasis"/>
          <w:rFonts w:eastAsia="Times New Roman"/>
          <w:b w:val="0"/>
          <w:bCs w:val="0"/>
        </w:rPr>
        <w:t xml:space="preserve"> Dis </w:t>
      </w:r>
      <w:proofErr w:type="spellStart"/>
      <w:r w:rsidRPr="002024C9">
        <w:rPr>
          <w:rStyle w:val="Emphasis"/>
          <w:rFonts w:eastAsia="Times New Roman"/>
          <w:b w:val="0"/>
          <w:bCs w:val="0"/>
        </w:rPr>
        <w:t>Intell</w:t>
      </w:r>
      <w:proofErr w:type="spellEnd"/>
      <w:r w:rsidRPr="002024C9">
        <w:rPr>
          <w:rStyle w:val="Emphasis"/>
          <w:rFonts w:eastAsia="Times New Roman"/>
          <w:b w:val="0"/>
          <w:bCs w:val="0"/>
        </w:rPr>
        <w:t xml:space="preserve"> Q Rep</w:t>
      </w:r>
      <w:r w:rsidRPr="00FD4A14">
        <w:rPr>
          <w:rFonts w:eastAsia="Times New Roman"/>
        </w:rPr>
        <w:t>. 2013;37(1</w:t>
      </w:r>
      <w:proofErr w:type="gramStart"/>
      <w:r w:rsidRPr="00FD4A14">
        <w:rPr>
          <w:rFonts w:eastAsia="Times New Roman"/>
        </w:rPr>
        <w:t>):E</w:t>
      </w:r>
      <w:proofErr w:type="gramEnd"/>
      <w:r w:rsidRPr="00FD4A14">
        <w:rPr>
          <w:rFonts w:eastAsia="Times New Roman"/>
        </w:rPr>
        <w:t xml:space="preserve">21–39. </w:t>
      </w:r>
    </w:p>
    <w:p w14:paraId="417D1EFA" w14:textId="77777777" w:rsidR="002B4EF6" w:rsidRPr="00FD4A14" w:rsidRDefault="002B4EF6" w:rsidP="00C576CF">
      <w:pPr>
        <w:pStyle w:val="ListParagraph"/>
        <w:numPr>
          <w:ilvl w:val="0"/>
          <w:numId w:val="10"/>
        </w:numPr>
        <w:rPr>
          <w:rFonts w:eastAsia="Times New Roman"/>
        </w:rPr>
      </w:pPr>
      <w:r w:rsidRPr="00FD4A14">
        <w:rPr>
          <w:rFonts w:eastAsia="Times New Roman"/>
        </w:rPr>
        <w:t xml:space="preserve">Hull BP, Dey A, Beard FH, Menzies RI, Brotherton JM, McIntyre PB. Immunisation coverage annual report, 2013. </w:t>
      </w:r>
      <w:proofErr w:type="spellStart"/>
      <w:r w:rsidRPr="002024C9">
        <w:rPr>
          <w:rStyle w:val="Emphasis"/>
          <w:rFonts w:eastAsia="Times New Roman"/>
          <w:b w:val="0"/>
          <w:bCs w:val="0"/>
        </w:rPr>
        <w:t>Commun</w:t>
      </w:r>
      <w:proofErr w:type="spellEnd"/>
      <w:r w:rsidRPr="002024C9">
        <w:rPr>
          <w:rStyle w:val="Emphasis"/>
          <w:rFonts w:eastAsia="Times New Roman"/>
          <w:b w:val="0"/>
          <w:bCs w:val="0"/>
        </w:rPr>
        <w:t xml:space="preserve"> Dis </w:t>
      </w:r>
      <w:proofErr w:type="spellStart"/>
      <w:r w:rsidRPr="002024C9">
        <w:rPr>
          <w:rStyle w:val="Emphasis"/>
          <w:rFonts w:eastAsia="Times New Roman"/>
          <w:b w:val="0"/>
          <w:bCs w:val="0"/>
        </w:rPr>
        <w:t>Intell</w:t>
      </w:r>
      <w:proofErr w:type="spellEnd"/>
      <w:r w:rsidRPr="002024C9">
        <w:rPr>
          <w:rStyle w:val="Emphasis"/>
          <w:rFonts w:eastAsia="Times New Roman"/>
          <w:b w:val="0"/>
          <w:bCs w:val="0"/>
        </w:rPr>
        <w:t xml:space="preserve"> Q Rep</w:t>
      </w:r>
      <w:r w:rsidRPr="00FD4A14">
        <w:rPr>
          <w:rFonts w:eastAsia="Times New Roman"/>
        </w:rPr>
        <w:t>. 2016;40(1</w:t>
      </w:r>
      <w:proofErr w:type="gramStart"/>
      <w:r w:rsidRPr="00FD4A14">
        <w:rPr>
          <w:rFonts w:eastAsia="Times New Roman"/>
        </w:rPr>
        <w:t>):E</w:t>
      </w:r>
      <w:proofErr w:type="gramEnd"/>
      <w:r w:rsidRPr="00FD4A14">
        <w:rPr>
          <w:rFonts w:eastAsia="Times New Roman"/>
        </w:rPr>
        <w:t xml:space="preserve">146–69. </w:t>
      </w:r>
    </w:p>
    <w:p w14:paraId="781A44F8" w14:textId="77777777" w:rsidR="002B4EF6" w:rsidRPr="00FD4A14" w:rsidRDefault="002B4EF6" w:rsidP="00C576CF">
      <w:pPr>
        <w:pStyle w:val="ListParagraph"/>
        <w:numPr>
          <w:ilvl w:val="0"/>
          <w:numId w:val="10"/>
        </w:numPr>
        <w:rPr>
          <w:rFonts w:eastAsia="Times New Roman"/>
        </w:rPr>
      </w:pPr>
      <w:r w:rsidRPr="00FD4A14">
        <w:rPr>
          <w:rFonts w:eastAsia="Times New Roman"/>
        </w:rPr>
        <w:t xml:space="preserve">Hull BP, Dey A, Menzies RI, Brotherton JM, McIntyre PB. Immunisation coverage annual report, 2011. </w:t>
      </w:r>
      <w:proofErr w:type="spellStart"/>
      <w:r w:rsidRPr="002024C9">
        <w:rPr>
          <w:rStyle w:val="Emphasis"/>
          <w:rFonts w:eastAsia="Times New Roman"/>
          <w:b w:val="0"/>
          <w:bCs w:val="0"/>
        </w:rPr>
        <w:t>Commun</w:t>
      </w:r>
      <w:proofErr w:type="spellEnd"/>
      <w:r w:rsidRPr="002024C9">
        <w:rPr>
          <w:rStyle w:val="Emphasis"/>
          <w:rFonts w:eastAsia="Times New Roman"/>
          <w:b w:val="0"/>
          <w:bCs w:val="0"/>
        </w:rPr>
        <w:t xml:space="preserve"> Dis </w:t>
      </w:r>
      <w:proofErr w:type="spellStart"/>
      <w:r w:rsidRPr="002024C9">
        <w:rPr>
          <w:rStyle w:val="Emphasis"/>
          <w:rFonts w:eastAsia="Times New Roman"/>
          <w:b w:val="0"/>
          <w:bCs w:val="0"/>
        </w:rPr>
        <w:t>Intell</w:t>
      </w:r>
      <w:proofErr w:type="spellEnd"/>
      <w:r w:rsidRPr="002024C9">
        <w:rPr>
          <w:rStyle w:val="Emphasis"/>
          <w:rFonts w:eastAsia="Times New Roman"/>
          <w:b w:val="0"/>
          <w:bCs w:val="0"/>
        </w:rPr>
        <w:t xml:space="preserve"> Q Rep</w:t>
      </w:r>
      <w:r w:rsidRPr="00FD4A14">
        <w:rPr>
          <w:rFonts w:eastAsia="Times New Roman"/>
        </w:rPr>
        <w:t>. 2013;37(4</w:t>
      </w:r>
      <w:proofErr w:type="gramStart"/>
      <w:r w:rsidRPr="00FD4A14">
        <w:rPr>
          <w:rFonts w:eastAsia="Times New Roman"/>
        </w:rPr>
        <w:t>):E</w:t>
      </w:r>
      <w:proofErr w:type="gramEnd"/>
      <w:r w:rsidRPr="00FD4A14">
        <w:rPr>
          <w:rFonts w:eastAsia="Times New Roman"/>
        </w:rPr>
        <w:t xml:space="preserve">291–312. </w:t>
      </w:r>
    </w:p>
    <w:p w14:paraId="22D4CA5E" w14:textId="77777777" w:rsidR="002B4EF6" w:rsidRPr="00FD4A14" w:rsidRDefault="002B4EF6" w:rsidP="00C576CF">
      <w:pPr>
        <w:pStyle w:val="ListParagraph"/>
        <w:numPr>
          <w:ilvl w:val="0"/>
          <w:numId w:val="10"/>
        </w:numPr>
        <w:rPr>
          <w:rFonts w:eastAsia="Times New Roman"/>
        </w:rPr>
      </w:pPr>
      <w:r w:rsidRPr="00FD4A14">
        <w:rPr>
          <w:rFonts w:eastAsia="Times New Roman"/>
        </w:rPr>
        <w:t xml:space="preserve">Hull BP, Dey A, Menzies RI, Brotherton JM, McIntyre PB. Immunisation coverage, 2012. </w:t>
      </w:r>
      <w:proofErr w:type="spellStart"/>
      <w:r w:rsidRPr="002024C9">
        <w:rPr>
          <w:rStyle w:val="Emphasis"/>
          <w:rFonts w:eastAsia="Times New Roman"/>
          <w:b w:val="0"/>
          <w:bCs w:val="0"/>
        </w:rPr>
        <w:t>Commun</w:t>
      </w:r>
      <w:proofErr w:type="spellEnd"/>
      <w:r w:rsidRPr="002024C9">
        <w:rPr>
          <w:rStyle w:val="Emphasis"/>
          <w:rFonts w:eastAsia="Times New Roman"/>
          <w:b w:val="0"/>
          <w:bCs w:val="0"/>
        </w:rPr>
        <w:t xml:space="preserve"> Dis </w:t>
      </w:r>
      <w:proofErr w:type="spellStart"/>
      <w:r w:rsidRPr="002024C9">
        <w:rPr>
          <w:rStyle w:val="Emphasis"/>
          <w:rFonts w:eastAsia="Times New Roman"/>
          <w:b w:val="0"/>
          <w:bCs w:val="0"/>
        </w:rPr>
        <w:t>Intell</w:t>
      </w:r>
      <w:proofErr w:type="spellEnd"/>
      <w:r w:rsidRPr="002024C9">
        <w:rPr>
          <w:rStyle w:val="Emphasis"/>
          <w:rFonts w:eastAsia="Times New Roman"/>
          <w:b w:val="0"/>
          <w:bCs w:val="0"/>
        </w:rPr>
        <w:t xml:space="preserve"> Q Rep</w:t>
      </w:r>
      <w:r w:rsidRPr="00FD4A14">
        <w:rPr>
          <w:rFonts w:eastAsia="Times New Roman"/>
        </w:rPr>
        <w:t>. 2014;38(3</w:t>
      </w:r>
      <w:proofErr w:type="gramStart"/>
      <w:r w:rsidRPr="00FD4A14">
        <w:rPr>
          <w:rFonts w:eastAsia="Times New Roman"/>
        </w:rPr>
        <w:t>):E</w:t>
      </w:r>
      <w:proofErr w:type="gramEnd"/>
      <w:r w:rsidRPr="00FD4A14">
        <w:rPr>
          <w:rFonts w:eastAsia="Times New Roman"/>
        </w:rPr>
        <w:t xml:space="preserve">208–31. </w:t>
      </w:r>
    </w:p>
    <w:p w14:paraId="58643DC1" w14:textId="77777777" w:rsidR="002B4EF6" w:rsidRPr="00FD4A14" w:rsidRDefault="002B4EF6" w:rsidP="00C576CF">
      <w:pPr>
        <w:pStyle w:val="ListParagraph"/>
        <w:numPr>
          <w:ilvl w:val="0"/>
          <w:numId w:val="10"/>
        </w:numPr>
        <w:rPr>
          <w:rFonts w:eastAsia="Times New Roman"/>
        </w:rPr>
      </w:pPr>
      <w:r w:rsidRPr="00FD4A14">
        <w:rPr>
          <w:rFonts w:eastAsia="Times New Roman"/>
        </w:rPr>
        <w:t xml:space="preserve">Hull BP, Hendry AJ, Dey A, Beard F, Brotherton J, McIntyre P. Immunisation coverage annual report, 2014. </w:t>
      </w:r>
      <w:proofErr w:type="spellStart"/>
      <w:r w:rsidRPr="002024C9">
        <w:rPr>
          <w:rStyle w:val="Emphasis"/>
          <w:rFonts w:eastAsia="Times New Roman"/>
          <w:b w:val="0"/>
          <w:bCs w:val="0"/>
        </w:rPr>
        <w:t>Commun</w:t>
      </w:r>
      <w:proofErr w:type="spellEnd"/>
      <w:r w:rsidRPr="002024C9">
        <w:rPr>
          <w:rStyle w:val="Emphasis"/>
          <w:rFonts w:eastAsia="Times New Roman"/>
          <w:b w:val="0"/>
          <w:bCs w:val="0"/>
        </w:rPr>
        <w:t xml:space="preserve"> Dis </w:t>
      </w:r>
      <w:proofErr w:type="spellStart"/>
      <w:r w:rsidRPr="002024C9">
        <w:rPr>
          <w:rStyle w:val="Emphasis"/>
          <w:rFonts w:eastAsia="Times New Roman"/>
          <w:b w:val="0"/>
          <w:bCs w:val="0"/>
        </w:rPr>
        <w:t>Intell</w:t>
      </w:r>
      <w:proofErr w:type="spellEnd"/>
      <w:r w:rsidRPr="002024C9">
        <w:rPr>
          <w:rStyle w:val="Emphasis"/>
          <w:rFonts w:eastAsia="Times New Roman"/>
          <w:b w:val="0"/>
          <w:bCs w:val="0"/>
        </w:rPr>
        <w:t xml:space="preserve"> Q Rep</w:t>
      </w:r>
      <w:r w:rsidRPr="00FD4A14">
        <w:rPr>
          <w:rFonts w:eastAsia="Times New Roman"/>
        </w:rPr>
        <w:t>. 2017;41(1</w:t>
      </w:r>
      <w:proofErr w:type="gramStart"/>
      <w:r w:rsidRPr="00FD4A14">
        <w:rPr>
          <w:rFonts w:eastAsia="Times New Roman"/>
        </w:rPr>
        <w:t>):E</w:t>
      </w:r>
      <w:proofErr w:type="gramEnd"/>
      <w:r w:rsidRPr="00FD4A14">
        <w:rPr>
          <w:rFonts w:eastAsia="Times New Roman"/>
        </w:rPr>
        <w:t xml:space="preserve">68–90. </w:t>
      </w:r>
    </w:p>
    <w:p w14:paraId="18A20B81" w14:textId="77777777" w:rsidR="002B4EF6" w:rsidRPr="00FD4A14" w:rsidRDefault="002B4EF6" w:rsidP="00C576CF">
      <w:pPr>
        <w:pStyle w:val="ListParagraph"/>
        <w:numPr>
          <w:ilvl w:val="0"/>
          <w:numId w:val="10"/>
        </w:numPr>
        <w:rPr>
          <w:rFonts w:eastAsia="Times New Roman"/>
        </w:rPr>
      </w:pPr>
      <w:r w:rsidRPr="00FD4A14">
        <w:rPr>
          <w:rFonts w:eastAsia="Times New Roman"/>
        </w:rPr>
        <w:t xml:space="preserve">Hull B, Hendry A, Dey A, Beard F, Brotherton J, McIntyre P. Immunisation coverage annual report, 2015. </w:t>
      </w:r>
      <w:proofErr w:type="spellStart"/>
      <w:r w:rsidRPr="002024C9">
        <w:rPr>
          <w:rStyle w:val="Emphasis"/>
          <w:rFonts w:eastAsia="Times New Roman"/>
          <w:b w:val="0"/>
          <w:bCs w:val="0"/>
        </w:rPr>
        <w:t>Commun</w:t>
      </w:r>
      <w:proofErr w:type="spellEnd"/>
      <w:r w:rsidRPr="002024C9">
        <w:rPr>
          <w:rStyle w:val="Emphasis"/>
          <w:rFonts w:eastAsia="Times New Roman"/>
          <w:b w:val="0"/>
          <w:bCs w:val="0"/>
        </w:rPr>
        <w:t xml:space="preserve"> Dis </w:t>
      </w:r>
      <w:proofErr w:type="spellStart"/>
      <w:r w:rsidRPr="002024C9">
        <w:rPr>
          <w:rStyle w:val="Emphasis"/>
          <w:rFonts w:eastAsia="Times New Roman"/>
          <w:b w:val="0"/>
          <w:bCs w:val="0"/>
        </w:rPr>
        <w:t>Intell</w:t>
      </w:r>
      <w:proofErr w:type="spellEnd"/>
      <w:r w:rsidRPr="002024C9">
        <w:rPr>
          <w:rStyle w:val="Emphasis"/>
          <w:rFonts w:eastAsia="Times New Roman"/>
          <w:b w:val="0"/>
          <w:bCs w:val="0"/>
        </w:rPr>
        <w:t xml:space="preserve"> (2018)</w:t>
      </w:r>
      <w:r w:rsidRPr="00FD4A14">
        <w:rPr>
          <w:rFonts w:eastAsia="Times New Roman"/>
        </w:rPr>
        <w:t xml:space="preserve">. 2019;43. </w:t>
      </w:r>
      <w:proofErr w:type="spellStart"/>
      <w:r w:rsidRPr="00FD4A14">
        <w:rPr>
          <w:rFonts w:eastAsia="Times New Roman"/>
        </w:rPr>
        <w:t>doi</w:t>
      </w:r>
      <w:proofErr w:type="spellEnd"/>
      <w:r w:rsidRPr="00FD4A14">
        <w:rPr>
          <w:rFonts w:eastAsia="Times New Roman"/>
        </w:rPr>
        <w:t xml:space="preserve">: https://doi.org/10.33321/cdi.2019.43.11. </w:t>
      </w:r>
    </w:p>
    <w:p w14:paraId="1BA0070B" w14:textId="77777777" w:rsidR="002B4EF6" w:rsidRPr="00FD4A14" w:rsidRDefault="002B4EF6" w:rsidP="00C576CF">
      <w:pPr>
        <w:pStyle w:val="ListParagraph"/>
        <w:numPr>
          <w:ilvl w:val="0"/>
          <w:numId w:val="10"/>
        </w:numPr>
        <w:rPr>
          <w:rFonts w:eastAsia="Times New Roman"/>
        </w:rPr>
      </w:pPr>
      <w:r w:rsidRPr="00FD4A14">
        <w:rPr>
          <w:rFonts w:eastAsia="Times New Roman"/>
        </w:rPr>
        <w:t xml:space="preserve">Hull B, Hendry A, Dey A, Beard F, Brotherton J, McIntyre P. Annual immunisation coverage report, 2016. </w:t>
      </w:r>
      <w:proofErr w:type="spellStart"/>
      <w:r w:rsidRPr="002024C9">
        <w:rPr>
          <w:rStyle w:val="Emphasis"/>
          <w:rFonts w:eastAsia="Times New Roman"/>
          <w:b w:val="0"/>
          <w:bCs w:val="0"/>
        </w:rPr>
        <w:t>Commun</w:t>
      </w:r>
      <w:proofErr w:type="spellEnd"/>
      <w:r w:rsidRPr="002024C9">
        <w:rPr>
          <w:rStyle w:val="Emphasis"/>
          <w:rFonts w:eastAsia="Times New Roman"/>
          <w:b w:val="0"/>
          <w:bCs w:val="0"/>
        </w:rPr>
        <w:t xml:space="preserve"> Dis </w:t>
      </w:r>
      <w:proofErr w:type="spellStart"/>
      <w:r w:rsidRPr="002024C9">
        <w:rPr>
          <w:rStyle w:val="Emphasis"/>
          <w:rFonts w:eastAsia="Times New Roman"/>
          <w:b w:val="0"/>
          <w:bCs w:val="0"/>
        </w:rPr>
        <w:t>Intell</w:t>
      </w:r>
      <w:proofErr w:type="spellEnd"/>
      <w:r w:rsidRPr="002024C9">
        <w:rPr>
          <w:rStyle w:val="Emphasis"/>
          <w:rFonts w:eastAsia="Times New Roman"/>
          <w:b w:val="0"/>
          <w:bCs w:val="0"/>
        </w:rPr>
        <w:t xml:space="preserve"> (2018)</w:t>
      </w:r>
      <w:r w:rsidRPr="00FD4A14">
        <w:rPr>
          <w:rFonts w:eastAsia="Times New Roman"/>
        </w:rPr>
        <w:t xml:space="preserve">. 2019;43. </w:t>
      </w:r>
      <w:proofErr w:type="spellStart"/>
      <w:r w:rsidRPr="00FD4A14">
        <w:rPr>
          <w:rFonts w:eastAsia="Times New Roman"/>
        </w:rPr>
        <w:t>doi</w:t>
      </w:r>
      <w:proofErr w:type="spellEnd"/>
      <w:r w:rsidRPr="00FD4A14">
        <w:rPr>
          <w:rFonts w:eastAsia="Times New Roman"/>
        </w:rPr>
        <w:t xml:space="preserve">: https://doi.org/10.33321/cdi.2019.43.44. </w:t>
      </w:r>
    </w:p>
    <w:p w14:paraId="653AE6CB" w14:textId="77777777" w:rsidR="002B4EF6" w:rsidRPr="00FD4A14" w:rsidRDefault="002B4EF6" w:rsidP="00C576CF">
      <w:pPr>
        <w:pStyle w:val="ListParagraph"/>
        <w:numPr>
          <w:ilvl w:val="0"/>
          <w:numId w:val="10"/>
        </w:numPr>
        <w:rPr>
          <w:rFonts w:eastAsia="Times New Roman"/>
        </w:rPr>
      </w:pPr>
      <w:r w:rsidRPr="00FD4A14">
        <w:rPr>
          <w:rFonts w:eastAsia="Times New Roman"/>
        </w:rPr>
        <w:t xml:space="preserve">Hull B, Hendry A, Dey A, Brotherton J, Macartney K, McIntyre P. Annual immunisation coverage report 2017. </w:t>
      </w:r>
      <w:proofErr w:type="spellStart"/>
      <w:r w:rsidRPr="002024C9">
        <w:rPr>
          <w:rStyle w:val="Emphasis"/>
          <w:rFonts w:eastAsia="Times New Roman"/>
          <w:b w:val="0"/>
          <w:bCs w:val="0"/>
        </w:rPr>
        <w:t>Commun</w:t>
      </w:r>
      <w:proofErr w:type="spellEnd"/>
      <w:r w:rsidRPr="002024C9">
        <w:rPr>
          <w:rStyle w:val="Emphasis"/>
          <w:rFonts w:eastAsia="Times New Roman"/>
          <w:b w:val="0"/>
          <w:bCs w:val="0"/>
        </w:rPr>
        <w:t xml:space="preserve"> Dis </w:t>
      </w:r>
      <w:proofErr w:type="spellStart"/>
      <w:r w:rsidRPr="002024C9">
        <w:rPr>
          <w:rStyle w:val="Emphasis"/>
          <w:rFonts w:eastAsia="Times New Roman"/>
          <w:b w:val="0"/>
          <w:bCs w:val="0"/>
        </w:rPr>
        <w:t>Intell</w:t>
      </w:r>
      <w:proofErr w:type="spellEnd"/>
      <w:r w:rsidRPr="002024C9">
        <w:rPr>
          <w:rStyle w:val="Emphasis"/>
          <w:rFonts w:eastAsia="Times New Roman"/>
          <w:b w:val="0"/>
          <w:bCs w:val="0"/>
        </w:rPr>
        <w:t xml:space="preserve"> (2018)</w:t>
      </w:r>
      <w:r w:rsidRPr="00FD4A14">
        <w:rPr>
          <w:rFonts w:eastAsia="Times New Roman"/>
        </w:rPr>
        <w:t xml:space="preserve">. 2019;43. </w:t>
      </w:r>
      <w:proofErr w:type="spellStart"/>
      <w:r w:rsidRPr="00FD4A14">
        <w:rPr>
          <w:rFonts w:eastAsia="Times New Roman"/>
        </w:rPr>
        <w:t>doi</w:t>
      </w:r>
      <w:proofErr w:type="spellEnd"/>
      <w:r w:rsidRPr="00FD4A14">
        <w:rPr>
          <w:rFonts w:eastAsia="Times New Roman"/>
        </w:rPr>
        <w:t xml:space="preserve">: https://doi.org/10.33321/cdi.2019.43.47. </w:t>
      </w:r>
    </w:p>
    <w:p w14:paraId="1FB4E39F" w14:textId="77777777" w:rsidR="002B4EF6" w:rsidRPr="00FD4A14" w:rsidRDefault="002B4EF6" w:rsidP="00C576CF">
      <w:pPr>
        <w:pStyle w:val="ListParagraph"/>
        <w:numPr>
          <w:ilvl w:val="0"/>
          <w:numId w:val="10"/>
        </w:numPr>
        <w:rPr>
          <w:rFonts w:eastAsia="Times New Roman"/>
        </w:rPr>
      </w:pPr>
      <w:r w:rsidRPr="00FD4A14">
        <w:rPr>
          <w:rFonts w:eastAsia="Times New Roman"/>
        </w:rPr>
        <w:t xml:space="preserve">Hull B, Hendry A, Dey A, McIntyre P, Macartney K, Beard F. Annual Immunisation Coverage Report 2018. </w:t>
      </w:r>
      <w:proofErr w:type="spellStart"/>
      <w:r w:rsidRPr="002024C9">
        <w:rPr>
          <w:rStyle w:val="Emphasis"/>
          <w:rFonts w:eastAsia="Times New Roman"/>
          <w:b w:val="0"/>
          <w:bCs w:val="0"/>
        </w:rPr>
        <w:t>Commun</w:t>
      </w:r>
      <w:proofErr w:type="spellEnd"/>
      <w:r w:rsidRPr="002024C9">
        <w:rPr>
          <w:rStyle w:val="Emphasis"/>
          <w:rFonts w:eastAsia="Times New Roman"/>
          <w:b w:val="0"/>
          <w:bCs w:val="0"/>
        </w:rPr>
        <w:t xml:space="preserve"> Dis </w:t>
      </w:r>
      <w:proofErr w:type="spellStart"/>
      <w:r w:rsidRPr="002024C9">
        <w:rPr>
          <w:rStyle w:val="Emphasis"/>
          <w:rFonts w:eastAsia="Times New Roman"/>
          <w:b w:val="0"/>
          <w:bCs w:val="0"/>
        </w:rPr>
        <w:t>Intell</w:t>
      </w:r>
      <w:proofErr w:type="spellEnd"/>
      <w:r w:rsidRPr="002024C9">
        <w:rPr>
          <w:rStyle w:val="Emphasis"/>
          <w:rFonts w:eastAsia="Times New Roman"/>
          <w:b w:val="0"/>
          <w:bCs w:val="0"/>
        </w:rPr>
        <w:t xml:space="preserve"> (2018)</w:t>
      </w:r>
      <w:r w:rsidRPr="00FD4A14">
        <w:rPr>
          <w:rFonts w:eastAsia="Times New Roman"/>
        </w:rPr>
        <w:t xml:space="preserve">. 2021;45. </w:t>
      </w:r>
      <w:proofErr w:type="spellStart"/>
      <w:r w:rsidRPr="00FD4A14">
        <w:rPr>
          <w:rFonts w:eastAsia="Times New Roman"/>
        </w:rPr>
        <w:t>doi</w:t>
      </w:r>
      <w:proofErr w:type="spellEnd"/>
      <w:r w:rsidRPr="00FD4A14">
        <w:rPr>
          <w:rFonts w:eastAsia="Times New Roman"/>
        </w:rPr>
        <w:t xml:space="preserve">: https://doi.org/10.33321/cdi.2020.45.17. </w:t>
      </w:r>
    </w:p>
    <w:p w14:paraId="798D177C" w14:textId="77777777" w:rsidR="002B4EF6" w:rsidRPr="00FD4A14" w:rsidRDefault="002B4EF6" w:rsidP="00C576CF">
      <w:pPr>
        <w:pStyle w:val="ListParagraph"/>
        <w:numPr>
          <w:ilvl w:val="0"/>
          <w:numId w:val="10"/>
        </w:numPr>
        <w:rPr>
          <w:rFonts w:eastAsia="Times New Roman"/>
        </w:rPr>
      </w:pPr>
      <w:r w:rsidRPr="00FD4A14">
        <w:rPr>
          <w:rFonts w:eastAsia="Times New Roman"/>
        </w:rPr>
        <w:t xml:space="preserve">Hull B, Hendry A, Dey A, Macartney K, Beard F. Immunisation Coverage Annual Report 2019. </w:t>
      </w:r>
      <w:proofErr w:type="spellStart"/>
      <w:r w:rsidRPr="002024C9">
        <w:rPr>
          <w:rStyle w:val="Emphasis"/>
          <w:rFonts w:eastAsia="Times New Roman"/>
          <w:b w:val="0"/>
          <w:bCs w:val="0"/>
        </w:rPr>
        <w:t>Commun</w:t>
      </w:r>
      <w:proofErr w:type="spellEnd"/>
      <w:r w:rsidRPr="002024C9">
        <w:rPr>
          <w:rStyle w:val="Emphasis"/>
          <w:rFonts w:eastAsia="Times New Roman"/>
          <w:b w:val="0"/>
          <w:bCs w:val="0"/>
        </w:rPr>
        <w:t xml:space="preserve"> Dis </w:t>
      </w:r>
      <w:proofErr w:type="spellStart"/>
      <w:r w:rsidRPr="002024C9">
        <w:rPr>
          <w:rStyle w:val="Emphasis"/>
          <w:rFonts w:eastAsia="Times New Roman"/>
          <w:b w:val="0"/>
          <w:bCs w:val="0"/>
        </w:rPr>
        <w:t>Intell</w:t>
      </w:r>
      <w:proofErr w:type="spellEnd"/>
      <w:r w:rsidRPr="002024C9">
        <w:rPr>
          <w:rStyle w:val="Emphasis"/>
          <w:rFonts w:eastAsia="Times New Roman"/>
          <w:b w:val="0"/>
          <w:bCs w:val="0"/>
        </w:rPr>
        <w:t xml:space="preserve"> (2018)</w:t>
      </w:r>
      <w:r w:rsidRPr="00FD4A14">
        <w:rPr>
          <w:rFonts w:eastAsia="Times New Roman"/>
        </w:rPr>
        <w:t xml:space="preserve">. 2021;45. </w:t>
      </w:r>
      <w:proofErr w:type="spellStart"/>
      <w:r w:rsidRPr="00FD4A14">
        <w:rPr>
          <w:rFonts w:eastAsia="Times New Roman"/>
        </w:rPr>
        <w:t>doi</w:t>
      </w:r>
      <w:proofErr w:type="spellEnd"/>
      <w:r w:rsidRPr="00FD4A14">
        <w:rPr>
          <w:rFonts w:eastAsia="Times New Roman"/>
        </w:rPr>
        <w:t xml:space="preserve">: https://doi.org/10.33321/cdi.2020.45.18. </w:t>
      </w:r>
    </w:p>
    <w:p w14:paraId="34CAF040" w14:textId="77777777" w:rsidR="002B4EF6" w:rsidRPr="00FD4A14" w:rsidRDefault="002B4EF6" w:rsidP="00C576CF">
      <w:pPr>
        <w:pStyle w:val="ListParagraph"/>
        <w:numPr>
          <w:ilvl w:val="0"/>
          <w:numId w:val="10"/>
        </w:numPr>
        <w:rPr>
          <w:rFonts w:eastAsia="Times New Roman"/>
        </w:rPr>
      </w:pPr>
      <w:r w:rsidRPr="00FD4A14">
        <w:rPr>
          <w:rFonts w:eastAsia="Times New Roman"/>
        </w:rPr>
        <w:t xml:space="preserve">Australian Institute of Health and Welfare (AIHW). In Focus: Healthy Communities. Immunisation rates for children in 2015–16. Canberra: Australian Government, AIHW; 2017. [Accessed on 19 August 2018.] Available from: https://www.aihw.gov.au/getmedia/40ddbc3e-5238-435a-8469-a83e270836ee/aihw-mhc-hpf-4-immunisation-rates-children-2015-16-in-focus-june-2017.pdf. Accessed 2018 09/08/2018. </w:t>
      </w:r>
    </w:p>
    <w:p w14:paraId="686F98FF" w14:textId="77777777" w:rsidR="002B4EF6" w:rsidRPr="00FD4A14" w:rsidRDefault="002B4EF6" w:rsidP="00C576CF">
      <w:pPr>
        <w:pStyle w:val="ListParagraph"/>
        <w:numPr>
          <w:ilvl w:val="0"/>
          <w:numId w:val="10"/>
        </w:numPr>
        <w:rPr>
          <w:rFonts w:eastAsia="Times New Roman"/>
        </w:rPr>
      </w:pPr>
      <w:r w:rsidRPr="00FD4A14">
        <w:rPr>
          <w:rFonts w:eastAsia="Times New Roman"/>
        </w:rPr>
        <w:t xml:space="preserve">Australian Government Department of Health. Immunisation coverage rates for all children. [Internet.] Canberra: Australian Government Department of Health; 16 August 2020. [Accessed on 8 August 2020.] Available from: https://www.health.gov.au/health-topics/immunisation/childhood-immunisation-coverage/immunisation-coverage-rates-for-all-children. </w:t>
      </w:r>
    </w:p>
    <w:p w14:paraId="1C4D4EFF" w14:textId="77777777" w:rsidR="002B4EF6" w:rsidRPr="00FD4A14" w:rsidRDefault="002B4EF6" w:rsidP="00C576CF">
      <w:pPr>
        <w:pStyle w:val="ListParagraph"/>
        <w:numPr>
          <w:ilvl w:val="0"/>
          <w:numId w:val="10"/>
        </w:numPr>
        <w:rPr>
          <w:rFonts w:eastAsia="Times New Roman"/>
        </w:rPr>
      </w:pPr>
      <w:r w:rsidRPr="00FD4A14">
        <w:rPr>
          <w:rFonts w:eastAsia="Times New Roman"/>
        </w:rPr>
        <w:t xml:space="preserve">National Centre </w:t>
      </w:r>
      <w:proofErr w:type="gramStart"/>
      <w:r w:rsidRPr="00FD4A14">
        <w:rPr>
          <w:rFonts w:eastAsia="Times New Roman"/>
        </w:rPr>
        <w:t>For</w:t>
      </w:r>
      <w:proofErr w:type="gramEnd"/>
      <w:r w:rsidRPr="00FD4A14">
        <w:rPr>
          <w:rFonts w:eastAsia="Times New Roman"/>
        </w:rPr>
        <w:t xml:space="preserve"> Immunisation Research and Surveillance (NCIRS). </w:t>
      </w:r>
      <w:r w:rsidRPr="002024C9">
        <w:rPr>
          <w:rStyle w:val="Emphasis"/>
          <w:rFonts w:eastAsia="Times New Roman"/>
          <w:b w:val="0"/>
          <w:bCs w:val="0"/>
        </w:rPr>
        <w:t>COVID-19: Impact on routine childhood vaccination uptake in Australia</w:t>
      </w:r>
      <w:r w:rsidRPr="00FD4A14">
        <w:rPr>
          <w:rFonts w:eastAsia="Times New Roman"/>
        </w:rPr>
        <w:t xml:space="preserve">. Sydney: NCIRS; 10 November 2020. [Accessed on 9 September 2021.] Available from: https://www.ncirs.org.au/sites/default/files/2020-11/COVID-19_Impact_Analysis_Final%20Report.pdf. </w:t>
      </w:r>
    </w:p>
    <w:p w14:paraId="5CDC56BD" w14:textId="77777777" w:rsidR="002B4EF6" w:rsidRPr="00FD4A14" w:rsidRDefault="002B4EF6" w:rsidP="00C576CF">
      <w:pPr>
        <w:pStyle w:val="ListParagraph"/>
        <w:numPr>
          <w:ilvl w:val="0"/>
          <w:numId w:val="10"/>
        </w:numPr>
        <w:rPr>
          <w:rFonts w:eastAsia="Times New Roman"/>
        </w:rPr>
      </w:pPr>
      <w:r w:rsidRPr="00FD4A14">
        <w:rPr>
          <w:rFonts w:eastAsia="Times New Roman"/>
        </w:rPr>
        <w:t xml:space="preserve">Hull BP, Hendry AJ, Dey A, Bryant K, </w:t>
      </w:r>
      <w:proofErr w:type="spellStart"/>
      <w:r w:rsidRPr="00FD4A14">
        <w:rPr>
          <w:rFonts w:eastAsia="Times New Roman"/>
        </w:rPr>
        <w:t>Radkowski</w:t>
      </w:r>
      <w:proofErr w:type="spellEnd"/>
      <w:r w:rsidRPr="00FD4A14">
        <w:rPr>
          <w:rFonts w:eastAsia="Times New Roman"/>
        </w:rPr>
        <w:t xml:space="preserve"> C, </w:t>
      </w:r>
      <w:proofErr w:type="spellStart"/>
      <w:r w:rsidRPr="00FD4A14">
        <w:rPr>
          <w:rFonts w:eastAsia="Times New Roman"/>
        </w:rPr>
        <w:t>Pellissier</w:t>
      </w:r>
      <w:proofErr w:type="spellEnd"/>
      <w:r w:rsidRPr="00FD4A14">
        <w:rPr>
          <w:rFonts w:eastAsia="Times New Roman"/>
        </w:rPr>
        <w:t xml:space="preserve"> S et al. The impact of the COVID-19 pandemic on routine vaccinations in Victoria. </w:t>
      </w:r>
      <w:r w:rsidRPr="002024C9">
        <w:rPr>
          <w:rStyle w:val="Emphasis"/>
          <w:rFonts w:eastAsia="Times New Roman"/>
          <w:b w:val="0"/>
          <w:bCs w:val="0"/>
        </w:rPr>
        <w:t>Med J Aust</w:t>
      </w:r>
      <w:r w:rsidRPr="00FD4A14">
        <w:rPr>
          <w:rFonts w:eastAsia="Times New Roman"/>
        </w:rPr>
        <w:t xml:space="preserve">. 2021;215(2):83–4. </w:t>
      </w:r>
      <w:proofErr w:type="spellStart"/>
      <w:r w:rsidRPr="00FD4A14">
        <w:rPr>
          <w:rFonts w:eastAsia="Times New Roman"/>
        </w:rPr>
        <w:t>doi</w:t>
      </w:r>
      <w:proofErr w:type="spellEnd"/>
      <w:r w:rsidRPr="00FD4A14">
        <w:rPr>
          <w:rFonts w:eastAsia="Times New Roman"/>
        </w:rPr>
        <w:t xml:space="preserve">: https://doi.org/10.5694/mja2.51145. </w:t>
      </w:r>
    </w:p>
    <w:p w14:paraId="0BF88327" w14:textId="77777777" w:rsidR="002B4EF6" w:rsidRPr="00FD4A14" w:rsidRDefault="002B4EF6" w:rsidP="00C576CF">
      <w:pPr>
        <w:pStyle w:val="ListParagraph"/>
        <w:numPr>
          <w:ilvl w:val="0"/>
          <w:numId w:val="10"/>
        </w:numPr>
        <w:rPr>
          <w:rFonts w:eastAsia="Times New Roman"/>
        </w:rPr>
      </w:pPr>
      <w:r w:rsidRPr="00FD4A14">
        <w:rPr>
          <w:rFonts w:eastAsia="Times New Roman"/>
        </w:rPr>
        <w:t>World Health Organization (WHO). WHO and UNICEF warn of a decline in vaccinations during COVID-</w:t>
      </w:r>
      <w:proofErr w:type="gramStart"/>
      <w:r w:rsidRPr="00FD4A14">
        <w:rPr>
          <w:rFonts w:eastAsia="Times New Roman"/>
        </w:rPr>
        <w:t>19.</w:t>
      </w:r>
      <w:proofErr w:type="gramEnd"/>
      <w:r w:rsidRPr="00FD4A14">
        <w:rPr>
          <w:rFonts w:eastAsia="Times New Roman"/>
        </w:rPr>
        <w:t xml:space="preserve"> [Internet.] Geneva: WHO; 15 July 2020 [Accessed on 9 September 2021.] Available from: https://www.who.int/news/item/15-07-2020-who-and-unicef-warn-of-a-decline-in-vaccinations-during-covid-19. </w:t>
      </w:r>
    </w:p>
    <w:p w14:paraId="57CC379F" w14:textId="77777777" w:rsidR="002B4EF6" w:rsidRPr="00FD4A14" w:rsidRDefault="002B4EF6" w:rsidP="00C576CF">
      <w:pPr>
        <w:pStyle w:val="ListParagraph"/>
        <w:numPr>
          <w:ilvl w:val="0"/>
          <w:numId w:val="10"/>
        </w:numPr>
        <w:rPr>
          <w:rFonts w:eastAsia="Times New Roman"/>
        </w:rPr>
      </w:pPr>
      <w:proofErr w:type="spellStart"/>
      <w:r w:rsidRPr="00FD4A14">
        <w:rPr>
          <w:rFonts w:eastAsia="Times New Roman"/>
        </w:rPr>
        <w:lastRenderedPageBreak/>
        <w:t>Santoli</w:t>
      </w:r>
      <w:proofErr w:type="spellEnd"/>
      <w:r w:rsidRPr="00FD4A14">
        <w:rPr>
          <w:rFonts w:eastAsia="Times New Roman"/>
        </w:rPr>
        <w:t xml:space="preserve"> JM, Lindley MC, DeSilva MB, Kharbanda EO, Daley MF, Galloway L, et al. Effects of the COVID-19 pandemic on routine </w:t>
      </w:r>
      <w:proofErr w:type="spellStart"/>
      <w:r w:rsidRPr="00FD4A14">
        <w:rPr>
          <w:rFonts w:eastAsia="Times New Roman"/>
        </w:rPr>
        <w:t>pediatric</w:t>
      </w:r>
      <w:proofErr w:type="spellEnd"/>
      <w:r w:rsidRPr="00FD4A14">
        <w:rPr>
          <w:rFonts w:eastAsia="Times New Roman"/>
        </w:rPr>
        <w:t xml:space="preserve"> vaccine ordering and administration – United States, 2020. </w:t>
      </w:r>
      <w:r w:rsidRPr="002024C9">
        <w:rPr>
          <w:rStyle w:val="Emphasis"/>
          <w:rFonts w:eastAsia="Times New Roman"/>
          <w:b w:val="0"/>
          <w:bCs w:val="0"/>
        </w:rPr>
        <w:t xml:space="preserve">MMWR </w:t>
      </w:r>
      <w:proofErr w:type="spellStart"/>
      <w:r w:rsidRPr="002024C9">
        <w:rPr>
          <w:rStyle w:val="Emphasis"/>
          <w:rFonts w:eastAsia="Times New Roman"/>
          <w:b w:val="0"/>
          <w:bCs w:val="0"/>
        </w:rPr>
        <w:t>Morb</w:t>
      </w:r>
      <w:proofErr w:type="spellEnd"/>
      <w:r w:rsidRPr="002024C9">
        <w:rPr>
          <w:rStyle w:val="Emphasis"/>
          <w:rFonts w:eastAsia="Times New Roman"/>
          <w:b w:val="0"/>
          <w:bCs w:val="0"/>
        </w:rPr>
        <w:t xml:space="preserve"> Mortal </w:t>
      </w:r>
      <w:proofErr w:type="spellStart"/>
      <w:r w:rsidRPr="002024C9">
        <w:rPr>
          <w:rStyle w:val="Emphasis"/>
          <w:rFonts w:eastAsia="Times New Roman"/>
          <w:b w:val="0"/>
          <w:bCs w:val="0"/>
        </w:rPr>
        <w:t>Wkly</w:t>
      </w:r>
      <w:proofErr w:type="spellEnd"/>
      <w:r w:rsidRPr="002024C9">
        <w:rPr>
          <w:rStyle w:val="Emphasis"/>
          <w:rFonts w:eastAsia="Times New Roman"/>
          <w:b w:val="0"/>
          <w:bCs w:val="0"/>
        </w:rPr>
        <w:t xml:space="preserve"> Rep</w:t>
      </w:r>
      <w:r w:rsidRPr="00FD4A14">
        <w:rPr>
          <w:rFonts w:eastAsia="Times New Roman"/>
        </w:rPr>
        <w:t xml:space="preserve">. 2020;69(19):591–3. </w:t>
      </w:r>
      <w:proofErr w:type="spellStart"/>
      <w:r w:rsidRPr="00FD4A14">
        <w:rPr>
          <w:rFonts w:eastAsia="Times New Roman"/>
        </w:rPr>
        <w:t>doi</w:t>
      </w:r>
      <w:proofErr w:type="spellEnd"/>
      <w:r w:rsidRPr="00FD4A14">
        <w:rPr>
          <w:rFonts w:eastAsia="Times New Roman"/>
        </w:rPr>
        <w:t xml:space="preserve">: https://doi.org/10.15585/mmwr.mm6919e2. </w:t>
      </w:r>
    </w:p>
    <w:p w14:paraId="507EC167" w14:textId="77777777" w:rsidR="002B4EF6" w:rsidRPr="00FD4A14" w:rsidRDefault="002B4EF6" w:rsidP="00C576CF">
      <w:pPr>
        <w:pStyle w:val="ListParagraph"/>
        <w:numPr>
          <w:ilvl w:val="0"/>
          <w:numId w:val="10"/>
        </w:numPr>
        <w:rPr>
          <w:rFonts w:eastAsia="Times New Roman"/>
        </w:rPr>
      </w:pPr>
      <w:r w:rsidRPr="00FD4A14">
        <w:rPr>
          <w:rFonts w:eastAsia="Times New Roman"/>
        </w:rPr>
        <w:t xml:space="preserve">Public Health England (PHE). </w:t>
      </w:r>
      <w:r w:rsidRPr="002024C9">
        <w:rPr>
          <w:rStyle w:val="Emphasis"/>
          <w:rFonts w:eastAsia="Times New Roman"/>
          <w:b w:val="0"/>
          <w:bCs w:val="0"/>
        </w:rPr>
        <w:t>Impact of COVID-19 on childhood vaccination counts to week 43, and vaccine coverage to September 2020 in England: interim analyses</w:t>
      </w:r>
      <w:r w:rsidRPr="00FD4A14">
        <w:rPr>
          <w:rFonts w:eastAsia="Times New Roman"/>
        </w:rPr>
        <w:t xml:space="preserve">. London: United Kingdom Government, Department of Health and Social Care, PHE; 10 November 2020. [Accessed on 24 November 2020.] Available from: https://assets.publishing.service.gov.uk/government/uploads/system/uploads/attachment_data/file/933545/hpr2120_chldhd-vc_wk43.pdf. </w:t>
      </w:r>
    </w:p>
    <w:p w14:paraId="29CE62D0" w14:textId="77777777" w:rsidR="002B4EF6" w:rsidRPr="00FD4A14" w:rsidRDefault="002B4EF6" w:rsidP="00C576CF">
      <w:pPr>
        <w:pStyle w:val="ListParagraph"/>
        <w:numPr>
          <w:ilvl w:val="0"/>
          <w:numId w:val="10"/>
        </w:numPr>
        <w:rPr>
          <w:rFonts w:eastAsia="Times New Roman"/>
        </w:rPr>
      </w:pPr>
      <w:r w:rsidRPr="00FD4A14">
        <w:rPr>
          <w:rFonts w:eastAsia="Times New Roman"/>
        </w:rPr>
        <w:t xml:space="preserve">Dalton L, </w:t>
      </w:r>
      <w:proofErr w:type="spellStart"/>
      <w:r w:rsidRPr="00FD4A14">
        <w:rPr>
          <w:rFonts w:eastAsia="Times New Roman"/>
        </w:rPr>
        <w:t>Meder</w:t>
      </w:r>
      <w:proofErr w:type="spellEnd"/>
      <w:r w:rsidRPr="00FD4A14">
        <w:rPr>
          <w:rFonts w:eastAsia="Times New Roman"/>
        </w:rPr>
        <w:t xml:space="preserve"> K, Beard F, Dey A, Hull B, McIntyre P et al. </w:t>
      </w:r>
      <w:r w:rsidRPr="002024C9">
        <w:rPr>
          <w:rStyle w:val="Emphasis"/>
          <w:rFonts w:eastAsia="Times New Roman"/>
          <w:b w:val="0"/>
          <w:bCs w:val="0"/>
        </w:rPr>
        <w:t>Australian Immunisation Register Data Transfer Study - Stage 2 Final Report</w:t>
      </w:r>
      <w:r w:rsidRPr="00FD4A14">
        <w:rPr>
          <w:rFonts w:eastAsia="Times New Roman"/>
        </w:rPr>
        <w:t xml:space="preserve">. Sydney: National Centre for Immunisation Research and Surveillance; August 2018. [Accessed on 9 September 2021.] Available from: https://ncirs.org.au/sites/default/files/2018-12/2018%20AIR%20data%20tranfer%20report_FINAL_0.pdf. </w:t>
      </w:r>
    </w:p>
    <w:p w14:paraId="6DB18998" w14:textId="77777777" w:rsidR="002B4EF6" w:rsidRPr="00FD4A14" w:rsidRDefault="002B4EF6" w:rsidP="00C576CF">
      <w:pPr>
        <w:pStyle w:val="ListParagraph"/>
        <w:numPr>
          <w:ilvl w:val="0"/>
          <w:numId w:val="10"/>
        </w:numPr>
        <w:rPr>
          <w:rFonts w:eastAsia="Times New Roman"/>
        </w:rPr>
      </w:pPr>
      <w:r w:rsidRPr="00FD4A14">
        <w:rPr>
          <w:rFonts w:eastAsia="Times New Roman"/>
        </w:rPr>
        <w:t xml:space="preserve">Law C, McGuire R, </w:t>
      </w:r>
      <w:proofErr w:type="spellStart"/>
      <w:r w:rsidRPr="00FD4A14">
        <w:rPr>
          <w:rFonts w:eastAsia="Times New Roman"/>
        </w:rPr>
        <w:t>Ferson</w:t>
      </w:r>
      <w:proofErr w:type="spellEnd"/>
      <w:r w:rsidRPr="00FD4A14">
        <w:rPr>
          <w:rFonts w:eastAsia="Times New Roman"/>
        </w:rPr>
        <w:t xml:space="preserve"> MJ, Reid S, Gately C, Stephenson J et al. Children overdue for immunisation: a question of coverage or reporting? An audit of the Australian Immunisation Register. </w:t>
      </w:r>
      <w:r w:rsidRPr="002024C9">
        <w:rPr>
          <w:rStyle w:val="Emphasis"/>
          <w:rFonts w:eastAsia="Times New Roman"/>
          <w:b w:val="0"/>
          <w:bCs w:val="0"/>
        </w:rPr>
        <w:t>Aust N Z J Public Health</w:t>
      </w:r>
      <w:r w:rsidRPr="00FD4A14">
        <w:rPr>
          <w:rFonts w:eastAsia="Times New Roman"/>
        </w:rPr>
        <w:t xml:space="preserve">. 2019;43(3):214–20. </w:t>
      </w:r>
    </w:p>
    <w:p w14:paraId="4EF889B9" w14:textId="77777777" w:rsidR="002B4EF6" w:rsidRPr="00FD4A14" w:rsidRDefault="002B4EF6" w:rsidP="00C576CF">
      <w:pPr>
        <w:pStyle w:val="ListParagraph"/>
        <w:numPr>
          <w:ilvl w:val="0"/>
          <w:numId w:val="10"/>
        </w:numPr>
        <w:rPr>
          <w:rFonts w:eastAsia="Times New Roman"/>
        </w:rPr>
      </w:pPr>
      <w:r w:rsidRPr="00FD4A14">
        <w:rPr>
          <w:rFonts w:eastAsia="Times New Roman"/>
        </w:rPr>
        <w:t xml:space="preserve">National Centre </w:t>
      </w:r>
      <w:proofErr w:type="gramStart"/>
      <w:r w:rsidRPr="00FD4A14">
        <w:rPr>
          <w:rFonts w:eastAsia="Times New Roman"/>
        </w:rPr>
        <w:t>For</w:t>
      </w:r>
      <w:proofErr w:type="gramEnd"/>
      <w:r w:rsidRPr="00FD4A14">
        <w:rPr>
          <w:rFonts w:eastAsia="Times New Roman"/>
        </w:rPr>
        <w:t xml:space="preserve"> Immunisation Research and Surveillance (NCIRS). No Jab No Play, No Jab No Pay. [Internet.] Sydney: NCIRS; 1 January 2020. [Accessed on 16 March 2020.] Available from: http://www.ncirs.org.au/public/no-jab-no-play-no-jab-no-pay. </w:t>
      </w:r>
    </w:p>
    <w:p w14:paraId="2FC861A3" w14:textId="77777777" w:rsidR="002B4EF6" w:rsidRPr="00FD4A14" w:rsidRDefault="002B4EF6" w:rsidP="00C576CF">
      <w:pPr>
        <w:pStyle w:val="ListParagraph"/>
        <w:numPr>
          <w:ilvl w:val="0"/>
          <w:numId w:val="10"/>
        </w:numPr>
        <w:rPr>
          <w:rFonts w:eastAsia="Times New Roman"/>
        </w:rPr>
      </w:pPr>
      <w:r w:rsidRPr="00FD4A14">
        <w:rPr>
          <w:rFonts w:eastAsia="Times New Roman"/>
        </w:rPr>
        <w:t xml:space="preserve">Hull B, Hendry A, Dey A, Macartney K, McIntyre P, Beard F. </w:t>
      </w:r>
      <w:r w:rsidRPr="002024C9">
        <w:rPr>
          <w:rStyle w:val="Emphasis"/>
          <w:rFonts w:eastAsia="Times New Roman"/>
          <w:b w:val="0"/>
          <w:bCs w:val="0"/>
        </w:rPr>
        <w:t>Exploratory analysis of the first 2 years of adult vaccination data recorded on AIR</w:t>
      </w:r>
      <w:r w:rsidRPr="00FD4A14">
        <w:rPr>
          <w:rFonts w:eastAsia="Times New Roman"/>
        </w:rPr>
        <w:t xml:space="preserve">. Sydney: National Centre for Immunisation Research and Surveillance; November 2019. [Accessed on 24 June 2020.] Available from: http://ncirs.org.au/sites/default/files/2019-12/Analysis%20of%20adult%20vaccination%20data%20on%20AIR_Nov%202019.pdf. </w:t>
      </w:r>
    </w:p>
    <w:p w14:paraId="3556857A" w14:textId="77777777" w:rsidR="002B4EF6" w:rsidRPr="00FD4A14" w:rsidRDefault="002B4EF6" w:rsidP="00C576CF">
      <w:pPr>
        <w:pStyle w:val="ListParagraph"/>
        <w:numPr>
          <w:ilvl w:val="0"/>
          <w:numId w:val="10"/>
        </w:numPr>
        <w:rPr>
          <w:rFonts w:eastAsia="Times New Roman"/>
        </w:rPr>
      </w:pPr>
      <w:r w:rsidRPr="00FD4A14">
        <w:rPr>
          <w:rFonts w:eastAsia="Times New Roman"/>
        </w:rPr>
        <w:t xml:space="preserve">Beard FH, Hendry AJ, Macartney K. Early success with room for improvement: influenza vaccination of young Australian children. Med J Aust. 2019;210(11):484–6. </w:t>
      </w:r>
    </w:p>
    <w:p w14:paraId="534B7C4D" w14:textId="77777777" w:rsidR="002B4EF6" w:rsidRPr="00FD4A14" w:rsidRDefault="002B4EF6" w:rsidP="00C576CF">
      <w:pPr>
        <w:pStyle w:val="ListParagraph"/>
        <w:numPr>
          <w:ilvl w:val="0"/>
          <w:numId w:val="10"/>
        </w:numPr>
        <w:rPr>
          <w:rFonts w:eastAsia="Times New Roman"/>
        </w:rPr>
      </w:pPr>
      <w:r w:rsidRPr="00FD4A14">
        <w:rPr>
          <w:rFonts w:eastAsia="Times New Roman"/>
        </w:rPr>
        <w:t xml:space="preserve">Beard F, Hendry A, Macartney K. Influenza vaccination uptake in Australia in 2020: impact of the COVID-19 pandemic? </w:t>
      </w:r>
      <w:proofErr w:type="spellStart"/>
      <w:r w:rsidRPr="002024C9">
        <w:rPr>
          <w:rStyle w:val="Emphasis"/>
          <w:rFonts w:eastAsia="Times New Roman"/>
          <w:b w:val="0"/>
          <w:bCs w:val="0"/>
        </w:rPr>
        <w:t>Commun</w:t>
      </w:r>
      <w:proofErr w:type="spellEnd"/>
      <w:r w:rsidRPr="002024C9">
        <w:rPr>
          <w:rStyle w:val="Emphasis"/>
          <w:rFonts w:eastAsia="Times New Roman"/>
          <w:b w:val="0"/>
          <w:bCs w:val="0"/>
        </w:rPr>
        <w:t xml:space="preserve"> Dis </w:t>
      </w:r>
      <w:proofErr w:type="spellStart"/>
      <w:r w:rsidRPr="002024C9">
        <w:rPr>
          <w:rStyle w:val="Emphasis"/>
          <w:rFonts w:eastAsia="Times New Roman"/>
          <w:b w:val="0"/>
          <w:bCs w:val="0"/>
        </w:rPr>
        <w:t>Intell</w:t>
      </w:r>
      <w:proofErr w:type="spellEnd"/>
      <w:r w:rsidRPr="002024C9">
        <w:rPr>
          <w:rStyle w:val="Emphasis"/>
          <w:rFonts w:eastAsia="Times New Roman"/>
          <w:b w:val="0"/>
          <w:bCs w:val="0"/>
        </w:rPr>
        <w:t xml:space="preserve"> (2018)</w:t>
      </w:r>
      <w:r w:rsidRPr="00FD4A14">
        <w:rPr>
          <w:rFonts w:eastAsia="Times New Roman"/>
        </w:rPr>
        <w:t xml:space="preserve">. 2021;45. </w:t>
      </w:r>
      <w:proofErr w:type="spellStart"/>
      <w:r w:rsidRPr="00FD4A14">
        <w:rPr>
          <w:rFonts w:eastAsia="Times New Roman"/>
        </w:rPr>
        <w:t>doi</w:t>
      </w:r>
      <w:proofErr w:type="spellEnd"/>
      <w:r w:rsidRPr="00FD4A14">
        <w:rPr>
          <w:rFonts w:eastAsia="Times New Roman"/>
        </w:rPr>
        <w:t xml:space="preserve">: https://doi.org/10.33321/cdi.2021.45.10. </w:t>
      </w:r>
    </w:p>
    <w:p w14:paraId="11EC6DCB" w14:textId="77777777" w:rsidR="002B4EF6" w:rsidRPr="00FD4A14" w:rsidRDefault="002B4EF6" w:rsidP="00C576CF">
      <w:pPr>
        <w:pStyle w:val="ListParagraph"/>
        <w:numPr>
          <w:ilvl w:val="0"/>
          <w:numId w:val="10"/>
        </w:numPr>
        <w:rPr>
          <w:rFonts w:eastAsia="Times New Roman"/>
        </w:rPr>
      </w:pPr>
      <w:r w:rsidRPr="00FD4A14">
        <w:rPr>
          <w:rFonts w:eastAsia="Times New Roman"/>
        </w:rPr>
        <w:t xml:space="preserve">Brisson M, </w:t>
      </w:r>
      <w:proofErr w:type="spellStart"/>
      <w:r w:rsidRPr="00FD4A14">
        <w:rPr>
          <w:rFonts w:eastAsia="Times New Roman"/>
        </w:rPr>
        <w:t>Bénard</w:t>
      </w:r>
      <w:proofErr w:type="spellEnd"/>
      <w:r w:rsidRPr="00FD4A14">
        <w:rPr>
          <w:rFonts w:eastAsia="Times New Roman"/>
        </w:rPr>
        <w:t xml:space="preserve"> É, </w:t>
      </w:r>
      <w:proofErr w:type="spellStart"/>
      <w:r w:rsidRPr="00FD4A14">
        <w:rPr>
          <w:rFonts w:eastAsia="Times New Roman"/>
        </w:rPr>
        <w:t>Drolet</w:t>
      </w:r>
      <w:proofErr w:type="spellEnd"/>
      <w:r w:rsidRPr="00FD4A14">
        <w:rPr>
          <w:rFonts w:eastAsia="Times New Roman"/>
        </w:rPr>
        <w:t xml:space="preserve"> M, </w:t>
      </w:r>
      <w:proofErr w:type="spellStart"/>
      <w:r w:rsidRPr="00FD4A14">
        <w:rPr>
          <w:rFonts w:eastAsia="Times New Roman"/>
        </w:rPr>
        <w:t>Bogaards</w:t>
      </w:r>
      <w:proofErr w:type="spellEnd"/>
      <w:r w:rsidRPr="00FD4A14">
        <w:rPr>
          <w:rFonts w:eastAsia="Times New Roman"/>
        </w:rPr>
        <w:t xml:space="preserve"> JA, </w:t>
      </w:r>
      <w:proofErr w:type="spellStart"/>
      <w:r w:rsidRPr="00FD4A14">
        <w:rPr>
          <w:rFonts w:eastAsia="Times New Roman"/>
        </w:rPr>
        <w:t>Baussano</w:t>
      </w:r>
      <w:proofErr w:type="spellEnd"/>
      <w:r w:rsidRPr="00FD4A14">
        <w:rPr>
          <w:rFonts w:eastAsia="Times New Roman"/>
        </w:rPr>
        <w:t xml:space="preserve"> I, </w:t>
      </w:r>
      <w:proofErr w:type="spellStart"/>
      <w:r w:rsidRPr="00FD4A14">
        <w:rPr>
          <w:rFonts w:eastAsia="Times New Roman"/>
        </w:rPr>
        <w:t>Vänskä</w:t>
      </w:r>
      <w:proofErr w:type="spellEnd"/>
      <w:r w:rsidRPr="00FD4A14">
        <w:rPr>
          <w:rFonts w:eastAsia="Times New Roman"/>
        </w:rPr>
        <w:t xml:space="preserve"> S et al. Population-level impact, herd immunity, and elimination after human papillomavirus vaccination: a systematic review and meta-analysis of predictions from transmission-dynamic models. </w:t>
      </w:r>
      <w:r w:rsidRPr="002024C9">
        <w:rPr>
          <w:rStyle w:val="Emphasis"/>
          <w:rFonts w:eastAsia="Times New Roman"/>
          <w:b w:val="0"/>
          <w:bCs w:val="0"/>
        </w:rPr>
        <w:t>Lancet Public Health</w:t>
      </w:r>
      <w:r w:rsidRPr="00FD4A14">
        <w:rPr>
          <w:rFonts w:eastAsia="Times New Roman"/>
        </w:rPr>
        <w:t>. 2016;1(1</w:t>
      </w:r>
      <w:proofErr w:type="gramStart"/>
      <w:r w:rsidRPr="00FD4A14">
        <w:rPr>
          <w:rFonts w:eastAsia="Times New Roman"/>
        </w:rPr>
        <w:t>):e</w:t>
      </w:r>
      <w:proofErr w:type="gramEnd"/>
      <w:r w:rsidRPr="00FD4A14">
        <w:rPr>
          <w:rFonts w:eastAsia="Times New Roman"/>
        </w:rPr>
        <w:t xml:space="preserve">8–17. </w:t>
      </w:r>
      <w:proofErr w:type="spellStart"/>
      <w:r w:rsidRPr="00FD4A14">
        <w:rPr>
          <w:rFonts w:eastAsia="Times New Roman"/>
        </w:rPr>
        <w:t>doi</w:t>
      </w:r>
      <w:proofErr w:type="spellEnd"/>
      <w:r w:rsidRPr="00FD4A14">
        <w:rPr>
          <w:rFonts w:eastAsia="Times New Roman"/>
        </w:rPr>
        <w:t xml:space="preserve">: https://doi.org/10.1016/S2468-2667(16)30001-9. </w:t>
      </w:r>
    </w:p>
    <w:p w14:paraId="363CB3BA" w14:textId="77777777" w:rsidR="002B4EF6" w:rsidRPr="00FD4A14" w:rsidRDefault="002B4EF6" w:rsidP="00C576CF">
      <w:pPr>
        <w:pStyle w:val="ListParagraph"/>
        <w:numPr>
          <w:ilvl w:val="0"/>
          <w:numId w:val="10"/>
        </w:numPr>
        <w:rPr>
          <w:rFonts w:eastAsia="Times New Roman"/>
        </w:rPr>
      </w:pPr>
      <w:r w:rsidRPr="00FD4A14">
        <w:rPr>
          <w:rFonts w:eastAsia="Times New Roman"/>
        </w:rPr>
        <w:t xml:space="preserve">Lin J, Wood JG, Bernardo C, Stocks NP, Liu B. Herpes zoster vaccine coverage in Australia before and after introduction of a national vaccination program. </w:t>
      </w:r>
      <w:r w:rsidRPr="002024C9">
        <w:rPr>
          <w:rStyle w:val="Emphasis"/>
          <w:rFonts w:eastAsia="Times New Roman"/>
          <w:b w:val="0"/>
          <w:bCs w:val="0"/>
        </w:rPr>
        <w:t>Vaccine</w:t>
      </w:r>
      <w:r w:rsidRPr="00FD4A14">
        <w:rPr>
          <w:rFonts w:eastAsia="Times New Roman"/>
        </w:rPr>
        <w:t xml:space="preserve">. 2020;38(20):3646–52. </w:t>
      </w:r>
      <w:proofErr w:type="spellStart"/>
      <w:r w:rsidRPr="00FD4A14">
        <w:rPr>
          <w:rFonts w:eastAsia="Times New Roman"/>
        </w:rPr>
        <w:t>doi</w:t>
      </w:r>
      <w:proofErr w:type="spellEnd"/>
      <w:r w:rsidRPr="00FD4A14">
        <w:rPr>
          <w:rFonts w:eastAsia="Times New Roman"/>
        </w:rPr>
        <w:t xml:space="preserve">: https://doi.org/10.1016/j.vaccine.2020.03.036. </w:t>
      </w:r>
    </w:p>
    <w:p w14:paraId="51C7BC23" w14:textId="77777777" w:rsidR="002B4EF6" w:rsidRPr="00FD4A14" w:rsidRDefault="002B4EF6" w:rsidP="00C576CF">
      <w:pPr>
        <w:pStyle w:val="ListParagraph"/>
        <w:numPr>
          <w:ilvl w:val="0"/>
          <w:numId w:val="10"/>
        </w:numPr>
        <w:rPr>
          <w:rFonts w:eastAsia="Times New Roman"/>
        </w:rPr>
      </w:pPr>
      <w:r w:rsidRPr="00FD4A14">
        <w:rPr>
          <w:rFonts w:eastAsia="Times New Roman"/>
        </w:rPr>
        <w:t xml:space="preserve">Rashid H, Dey A, </w:t>
      </w:r>
      <w:proofErr w:type="spellStart"/>
      <w:r w:rsidRPr="00FD4A14">
        <w:rPr>
          <w:rFonts w:eastAsia="Times New Roman"/>
        </w:rPr>
        <w:t>Manocha</w:t>
      </w:r>
      <w:proofErr w:type="spellEnd"/>
      <w:r w:rsidRPr="00FD4A14">
        <w:rPr>
          <w:rFonts w:eastAsia="Times New Roman"/>
        </w:rPr>
        <w:t xml:space="preserve"> R, </w:t>
      </w:r>
      <w:proofErr w:type="spellStart"/>
      <w:r w:rsidRPr="00FD4A14">
        <w:rPr>
          <w:rFonts w:eastAsia="Times New Roman"/>
        </w:rPr>
        <w:t>Tashani</w:t>
      </w:r>
      <w:proofErr w:type="spellEnd"/>
      <w:r w:rsidRPr="00FD4A14">
        <w:rPr>
          <w:rFonts w:eastAsia="Times New Roman"/>
        </w:rPr>
        <w:t xml:space="preserve"> M, Macartney K, Beard F. Australia’s national zoster vaccination program: knowledge, </w:t>
      </w:r>
      <w:proofErr w:type="gramStart"/>
      <w:r w:rsidRPr="00FD4A14">
        <w:rPr>
          <w:rFonts w:eastAsia="Times New Roman"/>
        </w:rPr>
        <w:t>attitudes</w:t>
      </w:r>
      <w:proofErr w:type="gramEnd"/>
      <w:r w:rsidRPr="00FD4A14">
        <w:rPr>
          <w:rFonts w:eastAsia="Times New Roman"/>
        </w:rPr>
        <w:t xml:space="preserve"> and behaviour of general practitioners. </w:t>
      </w:r>
      <w:proofErr w:type="spellStart"/>
      <w:r w:rsidRPr="002024C9">
        <w:rPr>
          <w:rStyle w:val="Emphasis"/>
          <w:rFonts w:eastAsia="Times New Roman"/>
          <w:b w:val="0"/>
          <w:bCs w:val="0"/>
        </w:rPr>
        <w:t>Commun</w:t>
      </w:r>
      <w:proofErr w:type="spellEnd"/>
      <w:r w:rsidRPr="002024C9">
        <w:rPr>
          <w:rStyle w:val="Emphasis"/>
          <w:rFonts w:eastAsia="Times New Roman"/>
          <w:b w:val="0"/>
          <w:bCs w:val="0"/>
        </w:rPr>
        <w:t xml:space="preserve"> Dis </w:t>
      </w:r>
      <w:proofErr w:type="spellStart"/>
      <w:r w:rsidRPr="002024C9">
        <w:rPr>
          <w:rStyle w:val="Emphasis"/>
          <w:rFonts w:eastAsia="Times New Roman"/>
          <w:b w:val="0"/>
          <w:bCs w:val="0"/>
        </w:rPr>
        <w:t>Intell</w:t>
      </w:r>
      <w:proofErr w:type="spellEnd"/>
      <w:r w:rsidRPr="002024C9">
        <w:rPr>
          <w:rStyle w:val="Emphasis"/>
          <w:rFonts w:eastAsia="Times New Roman"/>
          <w:b w:val="0"/>
          <w:bCs w:val="0"/>
        </w:rPr>
        <w:t xml:space="preserve"> (2018)</w:t>
      </w:r>
      <w:r w:rsidRPr="00FD4A14">
        <w:rPr>
          <w:rFonts w:eastAsia="Times New Roman"/>
        </w:rPr>
        <w:t xml:space="preserve">. 2020;44. </w:t>
      </w:r>
      <w:proofErr w:type="spellStart"/>
      <w:r w:rsidRPr="00FD4A14">
        <w:rPr>
          <w:rFonts w:eastAsia="Times New Roman"/>
        </w:rPr>
        <w:t>doi</w:t>
      </w:r>
      <w:proofErr w:type="spellEnd"/>
      <w:r w:rsidRPr="00FD4A14">
        <w:rPr>
          <w:rFonts w:eastAsia="Times New Roman"/>
        </w:rPr>
        <w:t xml:space="preserve">: https://doi.org/10.33321/cdi.2020.44.59. </w:t>
      </w:r>
    </w:p>
    <w:p w14:paraId="7689752F" w14:textId="77777777" w:rsidR="002B4EF6" w:rsidRPr="00FD4A14" w:rsidRDefault="002B4EF6" w:rsidP="00C576CF">
      <w:pPr>
        <w:pStyle w:val="ListParagraph"/>
        <w:numPr>
          <w:ilvl w:val="0"/>
          <w:numId w:val="10"/>
        </w:numPr>
        <w:rPr>
          <w:rFonts w:eastAsia="Times New Roman"/>
        </w:rPr>
      </w:pPr>
      <w:r w:rsidRPr="00FD4A14">
        <w:rPr>
          <w:rFonts w:eastAsia="Times New Roman"/>
        </w:rPr>
        <w:t xml:space="preserve">Australian Government Department of Health, The Hon Greg Hunt MP. Building a stronger Australian Immunisation Register. [Internet.] Canberra: Australian Government Department of Health, Ministers; 4 February 2021. [Accessed on 9 September 2021.] Available from: https://www.health.gov.au/ministers/the-hon-greg-hunt-mp/media/building-a-stronger-australian-immunisation-register. </w:t>
      </w:r>
    </w:p>
    <w:p w14:paraId="1261908D" w14:textId="77777777" w:rsidR="002B4EF6" w:rsidRPr="00FD4A14" w:rsidRDefault="002B4EF6" w:rsidP="00C576CF">
      <w:pPr>
        <w:pStyle w:val="ListParagraph"/>
        <w:numPr>
          <w:ilvl w:val="0"/>
          <w:numId w:val="10"/>
        </w:numPr>
        <w:rPr>
          <w:rFonts w:eastAsia="Times New Roman"/>
        </w:rPr>
      </w:pPr>
      <w:r w:rsidRPr="00FD4A14">
        <w:rPr>
          <w:rFonts w:eastAsia="Times New Roman"/>
        </w:rPr>
        <w:t xml:space="preserve">Australian Institute of Health and Welfare (AIHW). </w:t>
      </w:r>
      <w:r w:rsidRPr="002024C9">
        <w:rPr>
          <w:rStyle w:val="Emphasis"/>
          <w:rFonts w:eastAsia="Times New Roman"/>
          <w:b w:val="0"/>
          <w:bCs w:val="0"/>
        </w:rPr>
        <w:t>National Cervical Screening Program monitoring report 2020</w:t>
      </w:r>
      <w:r w:rsidRPr="00FD4A14">
        <w:rPr>
          <w:rFonts w:eastAsia="Times New Roman"/>
        </w:rPr>
        <w:t xml:space="preserve">. Canberra: Australian Government, AIHW; 1 December 2020. [Accessed on 9 September 2021.] Available from: https://www.aihw.gov.au/getmedia/dfb6c1fa-6c45-45de-a513-0f13a3739a53/aihw-can-138.pdf. </w:t>
      </w:r>
    </w:p>
    <w:p w14:paraId="43F32A18" w14:textId="77777777" w:rsidR="002B4EF6" w:rsidRPr="00FD4A14" w:rsidRDefault="002B4EF6" w:rsidP="00C576CF">
      <w:pPr>
        <w:pStyle w:val="ListParagraph"/>
        <w:numPr>
          <w:ilvl w:val="0"/>
          <w:numId w:val="10"/>
        </w:numPr>
        <w:rPr>
          <w:rFonts w:eastAsia="Times New Roman"/>
        </w:rPr>
      </w:pPr>
      <w:r w:rsidRPr="00FD4A14">
        <w:rPr>
          <w:rFonts w:eastAsia="Times New Roman"/>
        </w:rPr>
        <w:lastRenderedPageBreak/>
        <w:t xml:space="preserve">Brotherton JM, Budd A, </w:t>
      </w:r>
      <w:proofErr w:type="spellStart"/>
      <w:r w:rsidRPr="00FD4A14">
        <w:rPr>
          <w:rFonts w:eastAsia="Times New Roman"/>
        </w:rPr>
        <w:t>Rompotis</w:t>
      </w:r>
      <w:proofErr w:type="spellEnd"/>
      <w:r w:rsidRPr="00FD4A14">
        <w:rPr>
          <w:rFonts w:eastAsia="Times New Roman"/>
        </w:rPr>
        <w:t xml:space="preserve"> C, Bartlett N, Malloy MJ, Andersen RL et al. Is one dose of human papillomavirus vaccine as effective as </w:t>
      </w:r>
      <w:proofErr w:type="gramStart"/>
      <w:r w:rsidRPr="00FD4A14">
        <w:rPr>
          <w:rFonts w:eastAsia="Times New Roman"/>
        </w:rPr>
        <w:t>three?:</w:t>
      </w:r>
      <w:proofErr w:type="gramEnd"/>
      <w:r w:rsidRPr="00FD4A14">
        <w:rPr>
          <w:rFonts w:eastAsia="Times New Roman"/>
        </w:rPr>
        <w:t xml:space="preserve"> A national cohort analysis. </w:t>
      </w:r>
      <w:r w:rsidRPr="002024C9">
        <w:rPr>
          <w:rStyle w:val="Emphasis"/>
          <w:rFonts w:eastAsia="Times New Roman"/>
          <w:b w:val="0"/>
          <w:bCs w:val="0"/>
        </w:rPr>
        <w:t>Papillomavirus Res</w:t>
      </w:r>
      <w:r w:rsidRPr="00FD4A14">
        <w:rPr>
          <w:rFonts w:eastAsia="Times New Roman"/>
        </w:rPr>
        <w:t xml:space="preserve">. </w:t>
      </w:r>
      <w:proofErr w:type="gramStart"/>
      <w:r w:rsidRPr="00FD4A14">
        <w:rPr>
          <w:rFonts w:eastAsia="Times New Roman"/>
        </w:rPr>
        <w:t>2019;8:100177</w:t>
      </w:r>
      <w:proofErr w:type="gramEnd"/>
      <w:r w:rsidRPr="00FD4A14">
        <w:rPr>
          <w:rFonts w:eastAsia="Times New Roman"/>
        </w:rPr>
        <w:t xml:space="preserve">. </w:t>
      </w:r>
      <w:proofErr w:type="spellStart"/>
      <w:r w:rsidRPr="00FD4A14">
        <w:rPr>
          <w:rFonts w:eastAsia="Times New Roman"/>
        </w:rPr>
        <w:t>doi</w:t>
      </w:r>
      <w:proofErr w:type="spellEnd"/>
      <w:r w:rsidRPr="00FD4A14">
        <w:rPr>
          <w:rFonts w:eastAsia="Times New Roman"/>
        </w:rPr>
        <w:t xml:space="preserve">: https://doi.org/10.1016/j.pvr.2019.100177. </w:t>
      </w:r>
    </w:p>
    <w:p w14:paraId="62A2AF63" w14:textId="77777777" w:rsidR="002B4EF6" w:rsidRPr="00FD4A14" w:rsidRDefault="002B4EF6" w:rsidP="00C576CF">
      <w:pPr>
        <w:pStyle w:val="ListParagraph"/>
        <w:numPr>
          <w:ilvl w:val="0"/>
          <w:numId w:val="10"/>
        </w:numPr>
        <w:rPr>
          <w:rFonts w:eastAsia="Times New Roman"/>
        </w:rPr>
      </w:pPr>
      <w:r w:rsidRPr="00FD4A14">
        <w:rPr>
          <w:rFonts w:eastAsia="Times New Roman"/>
        </w:rPr>
        <w:t xml:space="preserve">Brotherton JML, </w:t>
      </w:r>
      <w:proofErr w:type="spellStart"/>
      <w:r w:rsidRPr="00FD4A14">
        <w:rPr>
          <w:rFonts w:eastAsia="Times New Roman"/>
        </w:rPr>
        <w:t>Sundström</w:t>
      </w:r>
      <w:proofErr w:type="spellEnd"/>
      <w:r w:rsidRPr="00FD4A14">
        <w:rPr>
          <w:rFonts w:eastAsia="Times New Roman"/>
        </w:rPr>
        <w:t xml:space="preserve"> K. More evidence suggesting that 1-dose human papillomavirus vaccination may be effective. </w:t>
      </w:r>
      <w:r w:rsidRPr="002024C9">
        <w:rPr>
          <w:rStyle w:val="Emphasis"/>
          <w:rFonts w:eastAsia="Times New Roman"/>
          <w:b w:val="0"/>
          <w:bCs w:val="0"/>
        </w:rPr>
        <w:t>Cancer</w:t>
      </w:r>
      <w:r w:rsidRPr="00FD4A14">
        <w:rPr>
          <w:rFonts w:eastAsia="Times New Roman"/>
        </w:rPr>
        <w:t xml:space="preserve">. 2020;126(8):1602–4. </w:t>
      </w:r>
      <w:proofErr w:type="spellStart"/>
      <w:r w:rsidRPr="00FD4A14">
        <w:rPr>
          <w:rFonts w:eastAsia="Times New Roman"/>
        </w:rPr>
        <w:t>doi</w:t>
      </w:r>
      <w:proofErr w:type="spellEnd"/>
      <w:r w:rsidRPr="00FD4A14">
        <w:rPr>
          <w:rFonts w:eastAsia="Times New Roman"/>
        </w:rPr>
        <w:t xml:space="preserve">: https://doi.org/10.1002/cncr.32696. </w:t>
      </w:r>
    </w:p>
    <w:p w14:paraId="162F4C8C" w14:textId="77777777" w:rsidR="002B4EF6" w:rsidRPr="00FD4A14" w:rsidRDefault="002B4EF6" w:rsidP="00C576CF">
      <w:pPr>
        <w:pStyle w:val="ListParagraph"/>
        <w:numPr>
          <w:ilvl w:val="0"/>
          <w:numId w:val="10"/>
        </w:numPr>
        <w:rPr>
          <w:rFonts w:eastAsia="Times New Roman"/>
        </w:rPr>
      </w:pPr>
      <w:r w:rsidRPr="00FD4A14">
        <w:rPr>
          <w:rFonts w:eastAsia="Times New Roman"/>
        </w:rPr>
        <w:t xml:space="preserve">Whitworth HS, Gallagher KE, Howard N, </w:t>
      </w:r>
      <w:proofErr w:type="spellStart"/>
      <w:r w:rsidRPr="00FD4A14">
        <w:rPr>
          <w:rFonts w:eastAsia="Times New Roman"/>
        </w:rPr>
        <w:t>Mounier</w:t>
      </w:r>
      <w:proofErr w:type="spellEnd"/>
      <w:r w:rsidRPr="00FD4A14">
        <w:rPr>
          <w:rFonts w:eastAsia="Times New Roman"/>
        </w:rPr>
        <w:t xml:space="preserve">-Jack S, </w:t>
      </w:r>
      <w:proofErr w:type="spellStart"/>
      <w:r w:rsidRPr="00FD4A14">
        <w:rPr>
          <w:rFonts w:eastAsia="Times New Roman"/>
        </w:rPr>
        <w:t>Mbwanji</w:t>
      </w:r>
      <w:proofErr w:type="spellEnd"/>
      <w:r w:rsidRPr="00FD4A14">
        <w:rPr>
          <w:rFonts w:eastAsia="Times New Roman"/>
        </w:rPr>
        <w:t xml:space="preserve"> G, </w:t>
      </w:r>
      <w:proofErr w:type="spellStart"/>
      <w:r w:rsidRPr="00FD4A14">
        <w:rPr>
          <w:rFonts w:eastAsia="Times New Roman"/>
        </w:rPr>
        <w:t>Kreimer</w:t>
      </w:r>
      <w:proofErr w:type="spellEnd"/>
      <w:r w:rsidRPr="00FD4A14">
        <w:rPr>
          <w:rFonts w:eastAsia="Times New Roman"/>
        </w:rPr>
        <w:t xml:space="preserve"> AR et al. Efficacy and immunogenicity of a single dose of human papillomavirus vaccine compared to no vaccination or standard three and two-dose vaccination regimens: a systematic review of evidence from clinical trials. </w:t>
      </w:r>
      <w:r w:rsidRPr="002024C9">
        <w:rPr>
          <w:rStyle w:val="Emphasis"/>
          <w:rFonts w:eastAsia="Times New Roman"/>
          <w:b w:val="0"/>
          <w:bCs w:val="0"/>
        </w:rPr>
        <w:t>Vaccine</w:t>
      </w:r>
      <w:r w:rsidRPr="00FD4A14">
        <w:rPr>
          <w:rFonts w:eastAsia="Times New Roman"/>
        </w:rPr>
        <w:t xml:space="preserve">. 2020;38(6):1302–14. </w:t>
      </w:r>
      <w:proofErr w:type="spellStart"/>
      <w:r w:rsidRPr="00FD4A14">
        <w:rPr>
          <w:rFonts w:eastAsia="Times New Roman"/>
        </w:rPr>
        <w:t>doi</w:t>
      </w:r>
      <w:proofErr w:type="spellEnd"/>
      <w:r w:rsidRPr="00FD4A14">
        <w:rPr>
          <w:rFonts w:eastAsia="Times New Roman"/>
        </w:rPr>
        <w:t xml:space="preserve">: https://doi.org/10.1016/j.vaccine.2019.12.017. </w:t>
      </w:r>
    </w:p>
    <w:p w14:paraId="2F9859B2" w14:textId="77777777" w:rsidR="002B4EF6" w:rsidRPr="00FD4A14" w:rsidRDefault="002B4EF6" w:rsidP="00C576CF">
      <w:pPr>
        <w:pStyle w:val="ListParagraph"/>
        <w:numPr>
          <w:ilvl w:val="0"/>
          <w:numId w:val="10"/>
        </w:numPr>
        <w:rPr>
          <w:rFonts w:eastAsia="Times New Roman"/>
        </w:rPr>
      </w:pPr>
      <w:r w:rsidRPr="00FD4A14">
        <w:rPr>
          <w:rFonts w:eastAsia="Times New Roman"/>
        </w:rPr>
        <w:t xml:space="preserve">National Centre </w:t>
      </w:r>
      <w:proofErr w:type="gramStart"/>
      <w:r w:rsidRPr="00FD4A14">
        <w:rPr>
          <w:rFonts w:eastAsia="Times New Roman"/>
        </w:rPr>
        <w:t>For</w:t>
      </w:r>
      <w:proofErr w:type="gramEnd"/>
      <w:r w:rsidRPr="00FD4A14">
        <w:rPr>
          <w:rFonts w:eastAsia="Times New Roman"/>
        </w:rPr>
        <w:t xml:space="preserve"> Immunisation Research and Surveillance (NCIRS). History of vaccination in Australia. [Internet.] Sydney: NCIRS; 2018. [Accessed on 19 September 2018.] Available from: http://www.ncirs.edu.au/provider-resources/vaccination-history/. </w:t>
      </w:r>
    </w:p>
    <w:p w14:paraId="02B5DC68" w14:textId="77777777" w:rsidR="002B4EF6" w:rsidRPr="00FD4A14" w:rsidRDefault="002B4EF6" w:rsidP="00C576CF">
      <w:pPr>
        <w:pStyle w:val="ListParagraph"/>
        <w:numPr>
          <w:ilvl w:val="0"/>
          <w:numId w:val="10"/>
        </w:numPr>
        <w:rPr>
          <w:rFonts w:eastAsia="Times New Roman"/>
        </w:rPr>
      </w:pPr>
      <w:r w:rsidRPr="00FD4A14">
        <w:rPr>
          <w:rFonts w:eastAsia="Times New Roman"/>
        </w:rPr>
        <w:t xml:space="preserve">Hull BP, McIntyre PB, Heath TC, Sayer GP. Measuring immunisation coverage in Australia: a review of the Australian Childhood Immunisation Register. </w:t>
      </w:r>
      <w:r w:rsidRPr="002024C9">
        <w:rPr>
          <w:rStyle w:val="Emphasis"/>
          <w:rFonts w:eastAsia="Times New Roman"/>
          <w:b w:val="0"/>
          <w:bCs w:val="0"/>
        </w:rPr>
        <w:t>Aust Fam Physician</w:t>
      </w:r>
      <w:r w:rsidRPr="00FD4A14">
        <w:rPr>
          <w:rFonts w:eastAsia="Times New Roman"/>
        </w:rPr>
        <w:t xml:space="preserve">. 1999;28(1):55–60. </w:t>
      </w:r>
    </w:p>
    <w:p w14:paraId="15D533FC" w14:textId="77777777" w:rsidR="002B4EF6" w:rsidRPr="00FD4A14" w:rsidRDefault="002B4EF6" w:rsidP="00C576CF">
      <w:pPr>
        <w:pStyle w:val="ListParagraph"/>
        <w:numPr>
          <w:ilvl w:val="0"/>
          <w:numId w:val="10"/>
        </w:numPr>
        <w:rPr>
          <w:rFonts w:eastAsia="Times New Roman"/>
        </w:rPr>
      </w:pPr>
      <w:r w:rsidRPr="00FD4A14">
        <w:rPr>
          <w:rFonts w:eastAsia="Times New Roman"/>
        </w:rPr>
        <w:t xml:space="preserve">Australian Digital Health Agency (ADHA). Australian Immunisation Register. [Website.] Canberra: Australian Government, ADHA; 2019. [Accessed on 27 August 2019.] Available from: https://developer.digitalhealth.gov.au/products/australian-immunisation-register. </w:t>
      </w:r>
    </w:p>
    <w:p w14:paraId="2F3818DA" w14:textId="77777777" w:rsidR="002B4EF6" w:rsidRPr="00FD4A14" w:rsidRDefault="002B4EF6" w:rsidP="00C576CF">
      <w:pPr>
        <w:pStyle w:val="ListParagraph"/>
        <w:numPr>
          <w:ilvl w:val="0"/>
          <w:numId w:val="10"/>
        </w:numPr>
        <w:rPr>
          <w:rFonts w:eastAsia="Times New Roman"/>
        </w:rPr>
      </w:pPr>
      <w:r w:rsidRPr="00FD4A14">
        <w:rPr>
          <w:rFonts w:eastAsia="Times New Roman"/>
        </w:rPr>
        <w:t xml:space="preserve">O’Brien ED, Sam GA, Mead C. Methodology for measuring Australia’s childhood immunisation coverage. </w:t>
      </w:r>
      <w:proofErr w:type="spellStart"/>
      <w:r w:rsidRPr="002024C9">
        <w:rPr>
          <w:rStyle w:val="Emphasis"/>
          <w:rFonts w:eastAsia="Times New Roman"/>
          <w:b w:val="0"/>
          <w:bCs w:val="0"/>
        </w:rPr>
        <w:t>Commun</w:t>
      </w:r>
      <w:proofErr w:type="spellEnd"/>
      <w:r w:rsidRPr="002024C9">
        <w:rPr>
          <w:rStyle w:val="Emphasis"/>
          <w:rFonts w:eastAsia="Times New Roman"/>
          <w:b w:val="0"/>
          <w:bCs w:val="0"/>
        </w:rPr>
        <w:t xml:space="preserve"> Dis </w:t>
      </w:r>
      <w:proofErr w:type="spellStart"/>
      <w:r w:rsidRPr="002024C9">
        <w:rPr>
          <w:rStyle w:val="Emphasis"/>
          <w:rFonts w:eastAsia="Times New Roman"/>
          <w:b w:val="0"/>
          <w:bCs w:val="0"/>
        </w:rPr>
        <w:t>Intell</w:t>
      </w:r>
      <w:proofErr w:type="spellEnd"/>
      <w:r w:rsidRPr="00FD4A14">
        <w:rPr>
          <w:rFonts w:eastAsia="Times New Roman"/>
        </w:rPr>
        <w:t xml:space="preserve">. 1998;22(3):36–7. </w:t>
      </w:r>
    </w:p>
    <w:p w14:paraId="161E268F" w14:textId="77777777" w:rsidR="002B4EF6" w:rsidRPr="00FD4A14" w:rsidRDefault="002B4EF6" w:rsidP="00C576CF">
      <w:pPr>
        <w:pStyle w:val="ListParagraph"/>
        <w:numPr>
          <w:ilvl w:val="0"/>
          <w:numId w:val="10"/>
        </w:numPr>
        <w:rPr>
          <w:rFonts w:eastAsia="Times New Roman"/>
        </w:rPr>
      </w:pPr>
      <w:r w:rsidRPr="00FD4A14">
        <w:rPr>
          <w:rFonts w:eastAsia="Times New Roman"/>
        </w:rPr>
        <w:t xml:space="preserve">Hull BP, McIntyre PB. Immunisation coverage reporting through the Australian Childhood Immunisation Register – an evaluation of the third-dose assumption. </w:t>
      </w:r>
      <w:r w:rsidRPr="002024C9">
        <w:rPr>
          <w:rStyle w:val="Emphasis"/>
          <w:rFonts w:eastAsia="Times New Roman"/>
          <w:b w:val="0"/>
          <w:bCs w:val="0"/>
        </w:rPr>
        <w:t>Aust N Z J Public Health</w:t>
      </w:r>
      <w:r w:rsidRPr="00FD4A14">
        <w:rPr>
          <w:rFonts w:eastAsia="Times New Roman"/>
        </w:rPr>
        <w:t xml:space="preserve">. 2000;24(1):17–21. </w:t>
      </w:r>
    </w:p>
    <w:p w14:paraId="1DB9FABE" w14:textId="77777777" w:rsidR="002B4EF6" w:rsidRPr="00FD4A14" w:rsidRDefault="002B4EF6" w:rsidP="00C576CF">
      <w:pPr>
        <w:pStyle w:val="ListParagraph"/>
        <w:numPr>
          <w:ilvl w:val="0"/>
          <w:numId w:val="10"/>
        </w:numPr>
        <w:rPr>
          <w:rFonts w:eastAsia="Times New Roman"/>
        </w:rPr>
      </w:pPr>
      <w:r w:rsidRPr="00FD4A14">
        <w:rPr>
          <w:rFonts w:eastAsia="Times New Roman"/>
        </w:rPr>
        <w:t xml:space="preserve">Hull BP, Lawrence GL, </w:t>
      </w:r>
      <w:proofErr w:type="spellStart"/>
      <w:r w:rsidRPr="00FD4A14">
        <w:rPr>
          <w:rFonts w:eastAsia="Times New Roman"/>
        </w:rPr>
        <w:t>MacIntyre</w:t>
      </w:r>
      <w:proofErr w:type="spellEnd"/>
      <w:r w:rsidRPr="00FD4A14">
        <w:rPr>
          <w:rFonts w:eastAsia="Times New Roman"/>
        </w:rPr>
        <w:t xml:space="preserve"> CR, McIntyre PB. Estimating immunisation coverage: is the ‘third dose assumption’ still valid? </w:t>
      </w:r>
      <w:proofErr w:type="spellStart"/>
      <w:r w:rsidRPr="002024C9">
        <w:rPr>
          <w:rStyle w:val="Emphasis"/>
          <w:rFonts w:eastAsia="Times New Roman"/>
          <w:b w:val="0"/>
          <w:bCs w:val="0"/>
        </w:rPr>
        <w:t>Commun</w:t>
      </w:r>
      <w:proofErr w:type="spellEnd"/>
      <w:r w:rsidRPr="002024C9">
        <w:rPr>
          <w:rStyle w:val="Emphasis"/>
          <w:rFonts w:eastAsia="Times New Roman"/>
          <w:b w:val="0"/>
          <w:bCs w:val="0"/>
        </w:rPr>
        <w:t xml:space="preserve"> Dis </w:t>
      </w:r>
      <w:proofErr w:type="spellStart"/>
      <w:r w:rsidRPr="002024C9">
        <w:rPr>
          <w:rStyle w:val="Emphasis"/>
          <w:rFonts w:eastAsia="Times New Roman"/>
          <w:b w:val="0"/>
          <w:bCs w:val="0"/>
        </w:rPr>
        <w:t>Intell</w:t>
      </w:r>
      <w:proofErr w:type="spellEnd"/>
      <w:r w:rsidRPr="002024C9">
        <w:rPr>
          <w:rStyle w:val="Emphasis"/>
          <w:rFonts w:eastAsia="Times New Roman"/>
          <w:b w:val="0"/>
          <w:bCs w:val="0"/>
        </w:rPr>
        <w:t xml:space="preserve"> Q Rep</w:t>
      </w:r>
      <w:r w:rsidRPr="00FD4A14">
        <w:rPr>
          <w:rFonts w:eastAsia="Times New Roman"/>
        </w:rPr>
        <w:t xml:space="preserve">. 2003;27(3):357–61. </w:t>
      </w:r>
    </w:p>
    <w:p w14:paraId="02D506BF" w14:textId="77777777" w:rsidR="002B4EF6" w:rsidRPr="00FD4A14" w:rsidRDefault="002B4EF6" w:rsidP="00C576CF">
      <w:pPr>
        <w:pStyle w:val="ListParagraph"/>
        <w:numPr>
          <w:ilvl w:val="0"/>
          <w:numId w:val="10"/>
        </w:numPr>
        <w:rPr>
          <w:rFonts w:eastAsia="Times New Roman"/>
        </w:rPr>
      </w:pPr>
      <w:r w:rsidRPr="00FD4A14">
        <w:rPr>
          <w:rFonts w:eastAsia="Times New Roman"/>
        </w:rPr>
        <w:t xml:space="preserve">Hugo Centre for Migration and Population Research. Accessibility/Remoteness Index of Australia - ARIA++(2011). [Internet.] Adelaide: University of Adelaide, Hugo Centre for Migration and Population Research, 2011. [Accessed on 17 November 2017.] Available from: https://www.adelaide.edu.au/hugo-centre/spatial_data/. </w:t>
      </w:r>
    </w:p>
    <w:p w14:paraId="417077F2" w14:textId="77777777" w:rsidR="002B4EF6" w:rsidRPr="00FD4A14" w:rsidRDefault="002B4EF6" w:rsidP="00C576CF">
      <w:pPr>
        <w:pStyle w:val="ListParagraph"/>
        <w:numPr>
          <w:ilvl w:val="0"/>
          <w:numId w:val="10"/>
        </w:numPr>
        <w:rPr>
          <w:rFonts w:eastAsia="Times New Roman"/>
        </w:rPr>
      </w:pPr>
      <w:r w:rsidRPr="00FD4A14">
        <w:rPr>
          <w:rFonts w:eastAsia="Times New Roman"/>
        </w:rPr>
        <w:t xml:space="preserve">Australian Bureau of Statistics. Socio-Economic Indexes for Areas. [Internet.] Canberra: Australian Bureau of Statistics; 2013. [Accessed on 26 February 2018.] Available from: http://www.abs.gov.au/websitedbs/censushome.nsf/home/seifa. </w:t>
      </w:r>
    </w:p>
    <w:p w14:paraId="12B65F5A" w14:textId="77777777" w:rsidR="002B4EF6" w:rsidRPr="00FD4A14" w:rsidRDefault="002B4EF6" w:rsidP="00C576CF">
      <w:pPr>
        <w:pStyle w:val="ListParagraph"/>
        <w:numPr>
          <w:ilvl w:val="0"/>
          <w:numId w:val="10"/>
        </w:numPr>
        <w:rPr>
          <w:rFonts w:eastAsia="Times New Roman"/>
        </w:rPr>
      </w:pPr>
      <w:r w:rsidRPr="00FD4A14">
        <w:rPr>
          <w:rFonts w:eastAsia="Times New Roman"/>
        </w:rPr>
        <w:t xml:space="preserve">Australian Bureau of Statistics. Australian Statistical Geography Standard (ASGS). Canberra: Australian Bureau of Statistics; 2011. [Accessed on 17 November 2014.] Available from: http://www.abs.gov.au/websitedbs/d3310114.nsf/home/australian+statistical+geography+standard+%28asgs%29. </w:t>
      </w:r>
    </w:p>
    <w:p w14:paraId="7974C167" w14:textId="77777777" w:rsidR="002B4EF6" w:rsidRPr="00FD4A14" w:rsidRDefault="002B4EF6" w:rsidP="00C576CF">
      <w:pPr>
        <w:pStyle w:val="ListParagraph"/>
        <w:numPr>
          <w:ilvl w:val="0"/>
          <w:numId w:val="10"/>
        </w:numPr>
        <w:rPr>
          <w:rFonts w:eastAsia="Times New Roman"/>
        </w:rPr>
      </w:pPr>
      <w:r w:rsidRPr="00FD4A14">
        <w:rPr>
          <w:rFonts w:eastAsia="Times New Roman"/>
        </w:rPr>
        <w:t xml:space="preserve">MapInfo. </w:t>
      </w:r>
      <w:r w:rsidRPr="002024C9">
        <w:rPr>
          <w:rStyle w:val="Emphasis"/>
          <w:rFonts w:eastAsia="Times New Roman"/>
          <w:b w:val="0"/>
          <w:bCs w:val="0"/>
        </w:rPr>
        <w:t>MapInfo Pro version 15.0</w:t>
      </w:r>
      <w:r w:rsidRPr="00FD4A14">
        <w:rPr>
          <w:rFonts w:eastAsia="Times New Roman"/>
        </w:rPr>
        <w:t xml:space="preserve">. [Software.] Pitney Bowes Software, Stamford, Connecticut, USA; 2015. </w:t>
      </w:r>
    </w:p>
    <w:p w14:paraId="0F2C9816" w14:textId="77777777" w:rsidR="002B4EF6" w:rsidRPr="00FD4A14" w:rsidRDefault="002B4EF6" w:rsidP="00C576CF">
      <w:pPr>
        <w:pStyle w:val="ListParagraph"/>
        <w:numPr>
          <w:ilvl w:val="0"/>
          <w:numId w:val="10"/>
        </w:numPr>
        <w:rPr>
          <w:rFonts w:eastAsia="Times New Roman"/>
        </w:rPr>
      </w:pPr>
      <w:r w:rsidRPr="00FD4A14">
        <w:rPr>
          <w:rFonts w:eastAsia="Times New Roman"/>
        </w:rPr>
        <w:t>Australian Bureau of Statistics. ASGS Geographic Correspondences (2016). Canberra: Australian Bureau of Statistics; 4 April 2018. [Accessed on 15 December 2020.] Available from: https://data.gov.au/dataset/ds-dga-23fe168c-09a7-42d2-a2f9-fd08fbd0a4ce/details</w:t>
      </w:r>
    </w:p>
    <w:p w14:paraId="409F0FD5" w14:textId="77777777" w:rsidR="008F7918" w:rsidRDefault="008F7918">
      <w:pPr>
        <w:rPr>
          <w:rFonts w:asciiTheme="majorHAnsi" w:eastAsiaTheme="majorEastAsia" w:hAnsiTheme="majorHAnsi" w:cstheme="majorBidi"/>
          <w:b/>
          <w:bCs/>
          <w:sz w:val="32"/>
          <w:szCs w:val="28"/>
        </w:rPr>
      </w:pPr>
      <w:r>
        <w:br w:type="page"/>
      </w:r>
    </w:p>
    <w:p w14:paraId="3CD34DA6" w14:textId="312F451B" w:rsidR="002B4EF6" w:rsidRDefault="002B4EF6" w:rsidP="00FD4A14">
      <w:pPr>
        <w:pStyle w:val="Heading1"/>
      </w:pPr>
      <w:r w:rsidRPr="00FD4A14">
        <w:lastRenderedPageBreak/>
        <w:t xml:space="preserve">Appendix </w:t>
      </w:r>
    </w:p>
    <w:p w14:paraId="32FAA5E4" w14:textId="77777777" w:rsidR="008F7918" w:rsidRPr="00CD3CEE" w:rsidRDefault="008F7918" w:rsidP="00CD3CEE">
      <w:pPr>
        <w:pStyle w:val="CDIFigures"/>
      </w:pPr>
      <w:r w:rsidRPr="00CD3CEE">
        <w:rPr>
          <w:rStyle w:val="Strong"/>
          <w:b/>
          <w:bCs w:val="0"/>
        </w:rPr>
        <w:t>Table A.1: Australian NIP Schedule in 2020</w:t>
      </w:r>
    </w:p>
    <w:tbl>
      <w:tblPr>
        <w:tblStyle w:val="CDI-StandardTable"/>
        <w:tblW w:w="0" w:type="auto"/>
        <w:tblLayout w:type="fixed"/>
        <w:tblLook w:val="04A0" w:firstRow="1" w:lastRow="0" w:firstColumn="1" w:lastColumn="0" w:noHBand="0" w:noVBand="1"/>
        <w:tblDescription w:val="Table A1 shows the Australian National Immunisation Program Schedule for children under 5 years of age in 2020.&#10;"/>
      </w:tblPr>
      <w:tblGrid>
        <w:gridCol w:w="1644"/>
        <w:gridCol w:w="624"/>
        <w:gridCol w:w="709"/>
        <w:gridCol w:w="567"/>
        <w:gridCol w:w="567"/>
        <w:gridCol w:w="567"/>
        <w:gridCol w:w="709"/>
        <w:gridCol w:w="992"/>
        <w:gridCol w:w="709"/>
        <w:gridCol w:w="850"/>
        <w:gridCol w:w="851"/>
        <w:gridCol w:w="709"/>
        <w:gridCol w:w="968"/>
      </w:tblGrid>
      <w:tr w:rsidR="008F7918" w14:paraId="585FD462" w14:textId="77777777" w:rsidTr="008F7918">
        <w:trPr>
          <w:cnfStyle w:val="100000000000" w:firstRow="1" w:lastRow="0" w:firstColumn="0" w:lastColumn="0" w:oddVBand="0" w:evenVBand="0" w:oddHBand="0" w:evenHBand="0" w:firstRowFirstColumn="0" w:firstRowLastColumn="0" w:lastRowFirstColumn="0" w:lastRowLastColumn="0"/>
        </w:trPr>
        <w:tc>
          <w:tcPr>
            <w:tcW w:w="1644" w:type="dxa"/>
            <w:tcBorders>
              <w:top w:val="single" w:sz="2" w:space="0" w:color="auto"/>
              <w:left w:val="single" w:sz="2" w:space="0" w:color="auto"/>
              <w:bottom w:val="single" w:sz="2" w:space="0" w:color="auto"/>
            </w:tcBorders>
            <w:hideMark/>
          </w:tcPr>
          <w:p w14:paraId="54BAF212" w14:textId="77777777" w:rsidR="008F7918" w:rsidRDefault="008F7918">
            <w:pPr>
              <w:pStyle w:val="NormalWeb"/>
              <w:jc w:val="left"/>
              <w:rPr>
                <w:sz w:val="18"/>
                <w:szCs w:val="18"/>
              </w:rPr>
            </w:pPr>
            <w:r>
              <w:rPr>
                <w:sz w:val="18"/>
                <w:szCs w:val="18"/>
              </w:rPr>
              <w:t>Age</w:t>
            </w:r>
          </w:p>
        </w:tc>
        <w:tc>
          <w:tcPr>
            <w:tcW w:w="8822" w:type="dxa"/>
            <w:gridSpan w:val="12"/>
            <w:tcBorders>
              <w:top w:val="single" w:sz="2" w:space="0" w:color="auto"/>
              <w:bottom w:val="single" w:sz="2" w:space="0" w:color="auto"/>
              <w:right w:val="single" w:sz="2" w:space="0" w:color="auto"/>
            </w:tcBorders>
            <w:hideMark/>
          </w:tcPr>
          <w:p w14:paraId="22E57901" w14:textId="77777777" w:rsidR="008F7918" w:rsidRDefault="008F7918">
            <w:pPr>
              <w:jc w:val="left"/>
              <w:rPr>
                <w:rFonts w:eastAsia="Times New Roman"/>
                <w:sz w:val="18"/>
                <w:szCs w:val="18"/>
              </w:rPr>
            </w:pPr>
            <w:proofErr w:type="spellStart"/>
            <w:r>
              <w:rPr>
                <w:sz w:val="18"/>
                <w:szCs w:val="18"/>
              </w:rPr>
              <w:t>Vaccine</w:t>
            </w:r>
            <w:r>
              <w:rPr>
                <w:sz w:val="18"/>
                <w:szCs w:val="18"/>
                <w:vertAlign w:val="superscript"/>
              </w:rPr>
              <w:t>a</w:t>
            </w:r>
            <w:proofErr w:type="spellEnd"/>
          </w:p>
        </w:tc>
      </w:tr>
      <w:tr w:rsidR="008F7918" w14:paraId="6CE86CE0" w14:textId="77777777" w:rsidTr="008F7918">
        <w:tc>
          <w:tcPr>
            <w:tcW w:w="1644" w:type="dxa"/>
            <w:tcBorders>
              <w:top w:val="single" w:sz="2" w:space="0" w:color="auto"/>
              <w:left w:val="single" w:sz="2" w:space="0" w:color="auto"/>
              <w:bottom w:val="single" w:sz="2" w:space="0" w:color="auto"/>
              <w:right w:val="single" w:sz="2" w:space="0" w:color="auto"/>
            </w:tcBorders>
            <w:shd w:val="clear" w:color="auto" w:fill="BBA991"/>
            <w:hideMark/>
          </w:tcPr>
          <w:p w14:paraId="6F639634" w14:textId="77777777" w:rsidR="008F7918" w:rsidRDefault="008F7918">
            <w:pPr>
              <w:pStyle w:val="NormalWeb"/>
              <w:jc w:val="left"/>
              <w:rPr>
                <w:b/>
                <w:bCs/>
                <w:sz w:val="18"/>
                <w:szCs w:val="18"/>
              </w:rPr>
            </w:pPr>
            <w:r>
              <w:rPr>
                <w:b/>
                <w:bCs/>
                <w:sz w:val="18"/>
                <w:szCs w:val="18"/>
              </w:rPr>
              <w:t>Children</w:t>
            </w:r>
          </w:p>
        </w:tc>
        <w:tc>
          <w:tcPr>
            <w:tcW w:w="8822" w:type="dxa"/>
            <w:gridSpan w:val="12"/>
            <w:tcBorders>
              <w:top w:val="single" w:sz="2" w:space="0" w:color="auto"/>
              <w:left w:val="single" w:sz="2" w:space="0" w:color="auto"/>
              <w:bottom w:val="single" w:sz="2" w:space="0" w:color="auto"/>
              <w:right w:val="single" w:sz="2" w:space="0" w:color="auto"/>
            </w:tcBorders>
            <w:shd w:val="clear" w:color="auto" w:fill="BBA991"/>
            <w:hideMark/>
          </w:tcPr>
          <w:p w14:paraId="5A864A97" w14:textId="77777777" w:rsidR="008F7918" w:rsidRDefault="008F7918">
            <w:pPr>
              <w:rPr>
                <w:b/>
                <w:bCs/>
                <w:sz w:val="18"/>
                <w:szCs w:val="18"/>
              </w:rPr>
            </w:pPr>
          </w:p>
        </w:tc>
      </w:tr>
      <w:tr w:rsidR="008F7918" w14:paraId="073F0155" w14:textId="77777777" w:rsidTr="008F7918">
        <w:trPr>
          <w:cnfStyle w:val="000000010000" w:firstRow="0" w:lastRow="0" w:firstColumn="0" w:lastColumn="0" w:oddVBand="0" w:evenVBand="0" w:oddHBand="0" w:evenHBand="1" w:firstRowFirstColumn="0" w:firstRowLastColumn="0" w:lastRowFirstColumn="0" w:lastRowLastColumn="0"/>
        </w:trPr>
        <w:tc>
          <w:tcPr>
            <w:tcW w:w="1644" w:type="dxa"/>
            <w:tcBorders>
              <w:top w:val="single" w:sz="2" w:space="0" w:color="auto"/>
              <w:left w:val="single" w:sz="2" w:space="0" w:color="auto"/>
              <w:bottom w:val="single" w:sz="2" w:space="0" w:color="auto"/>
              <w:right w:val="single" w:sz="2" w:space="0" w:color="auto"/>
            </w:tcBorders>
            <w:hideMark/>
          </w:tcPr>
          <w:p w14:paraId="2BA5CE67" w14:textId="77777777" w:rsidR="008F7918" w:rsidRDefault="008F7918">
            <w:pPr>
              <w:pStyle w:val="NormalWeb"/>
              <w:jc w:val="left"/>
              <w:rPr>
                <w:sz w:val="18"/>
                <w:szCs w:val="18"/>
              </w:rPr>
            </w:pPr>
            <w:r>
              <w:rPr>
                <w:sz w:val="18"/>
                <w:szCs w:val="18"/>
              </w:rPr>
              <w:t>Birth</w:t>
            </w:r>
          </w:p>
        </w:tc>
        <w:tc>
          <w:tcPr>
            <w:tcW w:w="624" w:type="dxa"/>
            <w:tcBorders>
              <w:top w:val="single" w:sz="2" w:space="0" w:color="auto"/>
              <w:left w:val="single" w:sz="2" w:space="0" w:color="auto"/>
              <w:bottom w:val="single" w:sz="2" w:space="0" w:color="auto"/>
              <w:right w:val="single" w:sz="2" w:space="0" w:color="auto"/>
            </w:tcBorders>
            <w:hideMark/>
          </w:tcPr>
          <w:p w14:paraId="12EC172B" w14:textId="77777777" w:rsidR="008F7918" w:rsidRDefault="008F7918">
            <w:pPr>
              <w:pStyle w:val="NormalWeb"/>
              <w:rPr>
                <w:sz w:val="18"/>
                <w:szCs w:val="18"/>
              </w:rPr>
            </w:pPr>
            <w:r>
              <w:rPr>
                <w:sz w:val="18"/>
                <w:szCs w:val="18"/>
              </w:rPr>
              <w:t>Hep B</w:t>
            </w:r>
          </w:p>
        </w:tc>
        <w:tc>
          <w:tcPr>
            <w:tcW w:w="709" w:type="dxa"/>
            <w:tcBorders>
              <w:top w:val="single" w:sz="2" w:space="0" w:color="auto"/>
              <w:left w:val="single" w:sz="2" w:space="0" w:color="auto"/>
              <w:bottom w:val="single" w:sz="2" w:space="0" w:color="auto"/>
              <w:right w:val="single" w:sz="2" w:space="0" w:color="auto"/>
            </w:tcBorders>
            <w:hideMark/>
          </w:tcPr>
          <w:p w14:paraId="0641869F" w14:textId="77777777" w:rsidR="008F7918" w:rsidRDefault="008F7918">
            <w:pPr>
              <w:rPr>
                <w:sz w:val="18"/>
                <w:szCs w:val="18"/>
              </w:rPr>
            </w:pPr>
          </w:p>
        </w:tc>
        <w:tc>
          <w:tcPr>
            <w:tcW w:w="567" w:type="dxa"/>
            <w:tcBorders>
              <w:top w:val="single" w:sz="2" w:space="0" w:color="auto"/>
              <w:left w:val="single" w:sz="2" w:space="0" w:color="auto"/>
              <w:bottom w:val="single" w:sz="2" w:space="0" w:color="auto"/>
              <w:right w:val="single" w:sz="2" w:space="0" w:color="auto"/>
            </w:tcBorders>
            <w:hideMark/>
          </w:tcPr>
          <w:p w14:paraId="1AD62581" w14:textId="77777777" w:rsidR="008F7918" w:rsidRDefault="008F7918">
            <w:pPr>
              <w:rPr>
                <w:rFonts w:asciiTheme="minorHAnsi" w:hAnsiTheme="minorHAnsi"/>
                <w:color w:val="auto"/>
                <w:sz w:val="20"/>
                <w:szCs w:val="20"/>
              </w:rPr>
            </w:pPr>
          </w:p>
        </w:tc>
        <w:tc>
          <w:tcPr>
            <w:tcW w:w="567" w:type="dxa"/>
            <w:tcBorders>
              <w:top w:val="single" w:sz="2" w:space="0" w:color="auto"/>
              <w:left w:val="single" w:sz="2" w:space="0" w:color="auto"/>
              <w:bottom w:val="single" w:sz="2" w:space="0" w:color="auto"/>
              <w:right w:val="single" w:sz="2" w:space="0" w:color="auto"/>
            </w:tcBorders>
            <w:hideMark/>
          </w:tcPr>
          <w:p w14:paraId="246991FE" w14:textId="77777777" w:rsidR="008F7918" w:rsidRDefault="008F7918">
            <w:pPr>
              <w:rPr>
                <w:rFonts w:asciiTheme="minorHAnsi" w:hAnsiTheme="minorHAnsi"/>
                <w:color w:val="auto"/>
                <w:sz w:val="20"/>
                <w:szCs w:val="20"/>
              </w:rPr>
            </w:pPr>
          </w:p>
        </w:tc>
        <w:tc>
          <w:tcPr>
            <w:tcW w:w="567" w:type="dxa"/>
            <w:tcBorders>
              <w:top w:val="single" w:sz="2" w:space="0" w:color="auto"/>
              <w:left w:val="single" w:sz="2" w:space="0" w:color="auto"/>
              <w:bottom w:val="single" w:sz="2" w:space="0" w:color="auto"/>
              <w:right w:val="single" w:sz="2" w:space="0" w:color="auto"/>
            </w:tcBorders>
            <w:hideMark/>
          </w:tcPr>
          <w:p w14:paraId="011285BC" w14:textId="77777777" w:rsidR="008F7918" w:rsidRDefault="008F7918">
            <w:pPr>
              <w:rPr>
                <w:rFonts w:asciiTheme="minorHAnsi" w:hAnsiTheme="minorHAnsi"/>
                <w:color w:val="auto"/>
                <w:sz w:val="20"/>
                <w:szCs w:val="20"/>
              </w:rPr>
            </w:pPr>
          </w:p>
        </w:tc>
        <w:tc>
          <w:tcPr>
            <w:tcW w:w="709" w:type="dxa"/>
            <w:tcBorders>
              <w:top w:val="single" w:sz="2" w:space="0" w:color="auto"/>
              <w:left w:val="single" w:sz="2" w:space="0" w:color="auto"/>
              <w:bottom w:val="single" w:sz="2" w:space="0" w:color="auto"/>
              <w:right w:val="single" w:sz="2" w:space="0" w:color="auto"/>
            </w:tcBorders>
            <w:hideMark/>
          </w:tcPr>
          <w:p w14:paraId="3EA12336" w14:textId="77777777" w:rsidR="008F7918" w:rsidRDefault="008F7918">
            <w:pPr>
              <w:rPr>
                <w:rFonts w:asciiTheme="minorHAnsi" w:hAnsiTheme="minorHAnsi"/>
                <w:color w:val="auto"/>
                <w:sz w:val="20"/>
                <w:szCs w:val="20"/>
              </w:rPr>
            </w:pPr>
          </w:p>
        </w:tc>
        <w:tc>
          <w:tcPr>
            <w:tcW w:w="992" w:type="dxa"/>
            <w:tcBorders>
              <w:top w:val="single" w:sz="2" w:space="0" w:color="auto"/>
              <w:left w:val="single" w:sz="2" w:space="0" w:color="auto"/>
              <w:bottom w:val="single" w:sz="2" w:space="0" w:color="auto"/>
              <w:right w:val="single" w:sz="2" w:space="0" w:color="auto"/>
            </w:tcBorders>
            <w:hideMark/>
          </w:tcPr>
          <w:p w14:paraId="46D0A503" w14:textId="77777777" w:rsidR="008F7918" w:rsidRDefault="008F7918">
            <w:pPr>
              <w:rPr>
                <w:rFonts w:asciiTheme="minorHAnsi" w:hAnsiTheme="minorHAnsi"/>
                <w:color w:val="auto"/>
                <w:sz w:val="20"/>
                <w:szCs w:val="20"/>
              </w:rPr>
            </w:pPr>
          </w:p>
        </w:tc>
        <w:tc>
          <w:tcPr>
            <w:tcW w:w="709" w:type="dxa"/>
            <w:tcBorders>
              <w:top w:val="single" w:sz="2" w:space="0" w:color="auto"/>
              <w:left w:val="single" w:sz="2" w:space="0" w:color="auto"/>
              <w:bottom w:val="single" w:sz="2" w:space="0" w:color="auto"/>
              <w:right w:val="single" w:sz="2" w:space="0" w:color="auto"/>
            </w:tcBorders>
            <w:hideMark/>
          </w:tcPr>
          <w:p w14:paraId="4D573397" w14:textId="77777777" w:rsidR="008F7918" w:rsidRDefault="008F7918">
            <w:pPr>
              <w:rPr>
                <w:rFonts w:asciiTheme="minorHAnsi" w:hAnsiTheme="minorHAnsi"/>
                <w:color w:val="auto"/>
                <w:sz w:val="20"/>
                <w:szCs w:val="20"/>
              </w:rPr>
            </w:pPr>
          </w:p>
        </w:tc>
        <w:tc>
          <w:tcPr>
            <w:tcW w:w="850" w:type="dxa"/>
            <w:tcBorders>
              <w:top w:val="single" w:sz="2" w:space="0" w:color="auto"/>
              <w:left w:val="single" w:sz="2" w:space="0" w:color="auto"/>
              <w:bottom w:val="single" w:sz="2" w:space="0" w:color="auto"/>
              <w:right w:val="single" w:sz="2" w:space="0" w:color="auto"/>
            </w:tcBorders>
            <w:hideMark/>
          </w:tcPr>
          <w:p w14:paraId="2562F6FB" w14:textId="77777777" w:rsidR="008F7918" w:rsidRDefault="008F7918">
            <w:pPr>
              <w:rPr>
                <w:rFonts w:asciiTheme="minorHAnsi" w:hAnsiTheme="minorHAnsi"/>
                <w:color w:val="auto"/>
                <w:sz w:val="20"/>
                <w:szCs w:val="20"/>
              </w:rPr>
            </w:pPr>
          </w:p>
        </w:tc>
        <w:tc>
          <w:tcPr>
            <w:tcW w:w="851" w:type="dxa"/>
            <w:tcBorders>
              <w:top w:val="single" w:sz="2" w:space="0" w:color="auto"/>
              <w:left w:val="single" w:sz="2" w:space="0" w:color="auto"/>
              <w:bottom w:val="single" w:sz="2" w:space="0" w:color="auto"/>
              <w:right w:val="single" w:sz="2" w:space="0" w:color="auto"/>
            </w:tcBorders>
            <w:hideMark/>
          </w:tcPr>
          <w:p w14:paraId="60A9CDD4" w14:textId="77777777" w:rsidR="008F7918" w:rsidRDefault="008F7918">
            <w:pPr>
              <w:rPr>
                <w:rFonts w:asciiTheme="minorHAnsi" w:hAnsiTheme="minorHAnsi"/>
                <w:color w:val="auto"/>
                <w:sz w:val="20"/>
                <w:szCs w:val="20"/>
              </w:rPr>
            </w:pPr>
          </w:p>
        </w:tc>
        <w:tc>
          <w:tcPr>
            <w:tcW w:w="709" w:type="dxa"/>
            <w:tcBorders>
              <w:top w:val="single" w:sz="2" w:space="0" w:color="auto"/>
              <w:left w:val="single" w:sz="2" w:space="0" w:color="auto"/>
              <w:bottom w:val="single" w:sz="2" w:space="0" w:color="auto"/>
              <w:right w:val="single" w:sz="2" w:space="0" w:color="auto"/>
            </w:tcBorders>
            <w:hideMark/>
          </w:tcPr>
          <w:p w14:paraId="6D4A2544" w14:textId="77777777" w:rsidR="008F7918" w:rsidRDefault="008F7918">
            <w:pPr>
              <w:rPr>
                <w:rFonts w:asciiTheme="minorHAnsi" w:hAnsiTheme="minorHAnsi"/>
                <w:color w:val="auto"/>
                <w:sz w:val="20"/>
                <w:szCs w:val="20"/>
              </w:rPr>
            </w:pPr>
          </w:p>
        </w:tc>
        <w:tc>
          <w:tcPr>
            <w:tcW w:w="968" w:type="dxa"/>
            <w:tcBorders>
              <w:top w:val="single" w:sz="2" w:space="0" w:color="auto"/>
              <w:left w:val="single" w:sz="2" w:space="0" w:color="auto"/>
              <w:bottom w:val="single" w:sz="2" w:space="0" w:color="auto"/>
              <w:right w:val="single" w:sz="2" w:space="0" w:color="auto"/>
            </w:tcBorders>
            <w:hideMark/>
          </w:tcPr>
          <w:p w14:paraId="50848715" w14:textId="77777777" w:rsidR="008F7918" w:rsidRDefault="008F7918">
            <w:pPr>
              <w:rPr>
                <w:rFonts w:asciiTheme="minorHAnsi" w:hAnsiTheme="minorHAnsi"/>
                <w:color w:val="auto"/>
                <w:sz w:val="20"/>
                <w:szCs w:val="20"/>
              </w:rPr>
            </w:pPr>
          </w:p>
        </w:tc>
      </w:tr>
      <w:tr w:rsidR="008F7918" w14:paraId="65CF3099" w14:textId="77777777" w:rsidTr="008F7918">
        <w:tc>
          <w:tcPr>
            <w:tcW w:w="1644" w:type="dxa"/>
            <w:tcBorders>
              <w:top w:val="single" w:sz="2" w:space="0" w:color="auto"/>
              <w:left w:val="single" w:sz="2" w:space="0" w:color="auto"/>
              <w:bottom w:val="single" w:sz="2" w:space="0" w:color="auto"/>
              <w:right w:val="single" w:sz="2" w:space="0" w:color="auto"/>
            </w:tcBorders>
            <w:hideMark/>
          </w:tcPr>
          <w:p w14:paraId="1722BF0C" w14:textId="77777777" w:rsidR="008F7918" w:rsidRDefault="008F7918">
            <w:pPr>
              <w:pStyle w:val="NormalWeb"/>
              <w:jc w:val="left"/>
              <w:rPr>
                <w:sz w:val="18"/>
                <w:szCs w:val="18"/>
              </w:rPr>
            </w:pPr>
            <w:r>
              <w:rPr>
                <w:sz w:val="18"/>
                <w:szCs w:val="18"/>
              </w:rPr>
              <w:t>2 months</w:t>
            </w:r>
          </w:p>
        </w:tc>
        <w:tc>
          <w:tcPr>
            <w:tcW w:w="624" w:type="dxa"/>
            <w:tcBorders>
              <w:top w:val="single" w:sz="2" w:space="0" w:color="auto"/>
              <w:left w:val="single" w:sz="2" w:space="0" w:color="auto"/>
              <w:bottom w:val="single" w:sz="2" w:space="0" w:color="auto"/>
              <w:right w:val="single" w:sz="2" w:space="0" w:color="auto"/>
            </w:tcBorders>
            <w:hideMark/>
          </w:tcPr>
          <w:p w14:paraId="2B07E66F" w14:textId="77777777" w:rsidR="008F7918" w:rsidRDefault="008F7918">
            <w:pPr>
              <w:pStyle w:val="NormalWeb"/>
              <w:rPr>
                <w:sz w:val="18"/>
                <w:szCs w:val="18"/>
              </w:rPr>
            </w:pPr>
            <w:r>
              <w:rPr>
                <w:sz w:val="18"/>
                <w:szCs w:val="18"/>
              </w:rPr>
              <w:t>Hep B</w:t>
            </w:r>
          </w:p>
        </w:tc>
        <w:tc>
          <w:tcPr>
            <w:tcW w:w="709" w:type="dxa"/>
            <w:tcBorders>
              <w:top w:val="single" w:sz="2" w:space="0" w:color="auto"/>
              <w:left w:val="single" w:sz="2" w:space="0" w:color="auto"/>
              <w:bottom w:val="single" w:sz="2" w:space="0" w:color="auto"/>
              <w:right w:val="single" w:sz="2" w:space="0" w:color="auto"/>
            </w:tcBorders>
            <w:hideMark/>
          </w:tcPr>
          <w:p w14:paraId="691FF734" w14:textId="77777777" w:rsidR="008F7918" w:rsidRDefault="008F7918">
            <w:pPr>
              <w:pStyle w:val="NormalWeb"/>
              <w:rPr>
                <w:sz w:val="18"/>
                <w:szCs w:val="18"/>
              </w:rPr>
            </w:pPr>
            <w:proofErr w:type="spellStart"/>
            <w:r>
              <w:rPr>
                <w:sz w:val="18"/>
                <w:szCs w:val="18"/>
              </w:rPr>
              <w:t>DTPa</w:t>
            </w:r>
            <w:proofErr w:type="spellEnd"/>
          </w:p>
        </w:tc>
        <w:tc>
          <w:tcPr>
            <w:tcW w:w="567" w:type="dxa"/>
            <w:tcBorders>
              <w:top w:val="single" w:sz="2" w:space="0" w:color="auto"/>
              <w:left w:val="single" w:sz="2" w:space="0" w:color="auto"/>
              <w:bottom w:val="single" w:sz="2" w:space="0" w:color="auto"/>
              <w:right w:val="single" w:sz="2" w:space="0" w:color="auto"/>
            </w:tcBorders>
            <w:hideMark/>
          </w:tcPr>
          <w:p w14:paraId="0A5B7FA7" w14:textId="77777777" w:rsidR="008F7918" w:rsidRDefault="008F7918">
            <w:pPr>
              <w:pStyle w:val="NormalWeb"/>
              <w:rPr>
                <w:sz w:val="18"/>
                <w:szCs w:val="18"/>
              </w:rPr>
            </w:pPr>
            <w:r>
              <w:rPr>
                <w:sz w:val="18"/>
                <w:szCs w:val="18"/>
              </w:rPr>
              <w:t>Hib</w:t>
            </w:r>
          </w:p>
        </w:tc>
        <w:tc>
          <w:tcPr>
            <w:tcW w:w="567" w:type="dxa"/>
            <w:tcBorders>
              <w:top w:val="single" w:sz="2" w:space="0" w:color="auto"/>
              <w:left w:val="single" w:sz="2" w:space="0" w:color="auto"/>
              <w:bottom w:val="single" w:sz="2" w:space="0" w:color="auto"/>
              <w:right w:val="single" w:sz="2" w:space="0" w:color="auto"/>
            </w:tcBorders>
            <w:hideMark/>
          </w:tcPr>
          <w:p w14:paraId="733CE383" w14:textId="77777777" w:rsidR="008F7918" w:rsidRDefault="008F7918">
            <w:pPr>
              <w:pStyle w:val="NormalWeb"/>
              <w:rPr>
                <w:sz w:val="18"/>
                <w:szCs w:val="18"/>
              </w:rPr>
            </w:pPr>
            <w:r>
              <w:rPr>
                <w:sz w:val="18"/>
                <w:szCs w:val="18"/>
              </w:rPr>
              <w:t>Polio</w:t>
            </w:r>
          </w:p>
        </w:tc>
        <w:tc>
          <w:tcPr>
            <w:tcW w:w="567" w:type="dxa"/>
            <w:tcBorders>
              <w:top w:val="single" w:sz="2" w:space="0" w:color="auto"/>
              <w:left w:val="single" w:sz="2" w:space="0" w:color="auto"/>
              <w:bottom w:val="single" w:sz="2" w:space="0" w:color="auto"/>
              <w:right w:val="single" w:sz="2" w:space="0" w:color="auto"/>
            </w:tcBorders>
            <w:hideMark/>
          </w:tcPr>
          <w:p w14:paraId="01F0FB20" w14:textId="77777777" w:rsidR="008F7918" w:rsidRDefault="008F7918">
            <w:pPr>
              <w:rPr>
                <w:sz w:val="18"/>
                <w:szCs w:val="18"/>
              </w:rPr>
            </w:pPr>
          </w:p>
        </w:tc>
        <w:tc>
          <w:tcPr>
            <w:tcW w:w="709" w:type="dxa"/>
            <w:tcBorders>
              <w:top w:val="single" w:sz="2" w:space="0" w:color="auto"/>
              <w:left w:val="single" w:sz="2" w:space="0" w:color="auto"/>
              <w:bottom w:val="single" w:sz="2" w:space="0" w:color="auto"/>
              <w:right w:val="single" w:sz="2" w:space="0" w:color="auto"/>
            </w:tcBorders>
            <w:hideMark/>
          </w:tcPr>
          <w:p w14:paraId="14DEA8B5" w14:textId="77777777" w:rsidR="008F7918" w:rsidRDefault="008F7918">
            <w:pPr>
              <w:rPr>
                <w:rFonts w:asciiTheme="minorHAnsi" w:hAnsiTheme="minorHAnsi"/>
                <w:color w:val="auto"/>
                <w:sz w:val="20"/>
                <w:szCs w:val="20"/>
              </w:rPr>
            </w:pPr>
          </w:p>
        </w:tc>
        <w:tc>
          <w:tcPr>
            <w:tcW w:w="992" w:type="dxa"/>
            <w:tcBorders>
              <w:top w:val="single" w:sz="2" w:space="0" w:color="auto"/>
              <w:left w:val="single" w:sz="2" w:space="0" w:color="auto"/>
              <w:bottom w:val="single" w:sz="2" w:space="0" w:color="auto"/>
              <w:right w:val="single" w:sz="2" w:space="0" w:color="auto"/>
            </w:tcBorders>
            <w:hideMark/>
          </w:tcPr>
          <w:p w14:paraId="3CFAF66E" w14:textId="77777777" w:rsidR="008F7918" w:rsidRDefault="008F7918">
            <w:pPr>
              <w:rPr>
                <w:rFonts w:asciiTheme="minorHAnsi" w:hAnsiTheme="minorHAnsi"/>
                <w:color w:val="auto"/>
                <w:sz w:val="20"/>
                <w:szCs w:val="20"/>
              </w:rPr>
            </w:pPr>
          </w:p>
        </w:tc>
        <w:tc>
          <w:tcPr>
            <w:tcW w:w="709" w:type="dxa"/>
            <w:tcBorders>
              <w:top w:val="single" w:sz="2" w:space="0" w:color="auto"/>
              <w:left w:val="single" w:sz="2" w:space="0" w:color="auto"/>
              <w:bottom w:val="single" w:sz="2" w:space="0" w:color="auto"/>
              <w:right w:val="single" w:sz="2" w:space="0" w:color="auto"/>
            </w:tcBorders>
            <w:hideMark/>
          </w:tcPr>
          <w:p w14:paraId="02CCC02B" w14:textId="77777777" w:rsidR="008F7918" w:rsidRDefault="008F7918">
            <w:pPr>
              <w:rPr>
                <w:rFonts w:asciiTheme="minorHAnsi" w:hAnsiTheme="minorHAnsi"/>
                <w:color w:val="auto"/>
                <w:sz w:val="20"/>
                <w:szCs w:val="20"/>
              </w:rPr>
            </w:pPr>
          </w:p>
        </w:tc>
        <w:tc>
          <w:tcPr>
            <w:tcW w:w="850" w:type="dxa"/>
            <w:tcBorders>
              <w:top w:val="single" w:sz="2" w:space="0" w:color="auto"/>
              <w:left w:val="single" w:sz="2" w:space="0" w:color="auto"/>
              <w:bottom w:val="single" w:sz="2" w:space="0" w:color="auto"/>
              <w:right w:val="single" w:sz="2" w:space="0" w:color="auto"/>
            </w:tcBorders>
            <w:hideMark/>
          </w:tcPr>
          <w:p w14:paraId="03F4DBCF" w14:textId="77777777" w:rsidR="008F7918" w:rsidRDefault="008F7918">
            <w:pPr>
              <w:pStyle w:val="NormalWeb"/>
              <w:rPr>
                <w:sz w:val="18"/>
                <w:szCs w:val="18"/>
              </w:rPr>
            </w:pPr>
            <w:r>
              <w:rPr>
                <w:sz w:val="18"/>
                <w:szCs w:val="18"/>
              </w:rPr>
              <w:t>13vPCV</w:t>
            </w:r>
          </w:p>
        </w:tc>
        <w:tc>
          <w:tcPr>
            <w:tcW w:w="851" w:type="dxa"/>
            <w:tcBorders>
              <w:top w:val="single" w:sz="2" w:space="0" w:color="auto"/>
              <w:left w:val="single" w:sz="2" w:space="0" w:color="auto"/>
              <w:bottom w:val="single" w:sz="2" w:space="0" w:color="auto"/>
              <w:right w:val="single" w:sz="2" w:space="0" w:color="auto"/>
            </w:tcBorders>
            <w:hideMark/>
          </w:tcPr>
          <w:p w14:paraId="63A151CA" w14:textId="77777777" w:rsidR="008F7918" w:rsidRDefault="008F7918">
            <w:pPr>
              <w:pStyle w:val="NormalWeb"/>
              <w:rPr>
                <w:sz w:val="18"/>
                <w:szCs w:val="18"/>
              </w:rPr>
            </w:pPr>
            <w:r>
              <w:rPr>
                <w:sz w:val="18"/>
                <w:szCs w:val="18"/>
              </w:rPr>
              <w:t>Rotavirus</w:t>
            </w:r>
          </w:p>
        </w:tc>
        <w:tc>
          <w:tcPr>
            <w:tcW w:w="709" w:type="dxa"/>
            <w:tcBorders>
              <w:top w:val="single" w:sz="2" w:space="0" w:color="auto"/>
              <w:left w:val="single" w:sz="2" w:space="0" w:color="auto"/>
              <w:bottom w:val="single" w:sz="2" w:space="0" w:color="auto"/>
              <w:right w:val="single" w:sz="2" w:space="0" w:color="auto"/>
            </w:tcBorders>
            <w:hideMark/>
          </w:tcPr>
          <w:p w14:paraId="3ECBAF0E" w14:textId="77777777" w:rsidR="008F7918" w:rsidRDefault="008F7918">
            <w:pPr>
              <w:rPr>
                <w:sz w:val="18"/>
                <w:szCs w:val="18"/>
              </w:rPr>
            </w:pPr>
          </w:p>
        </w:tc>
        <w:tc>
          <w:tcPr>
            <w:tcW w:w="968" w:type="dxa"/>
            <w:tcBorders>
              <w:top w:val="single" w:sz="2" w:space="0" w:color="auto"/>
              <w:left w:val="single" w:sz="2" w:space="0" w:color="auto"/>
              <w:bottom w:val="single" w:sz="2" w:space="0" w:color="auto"/>
              <w:right w:val="single" w:sz="2" w:space="0" w:color="auto"/>
            </w:tcBorders>
            <w:hideMark/>
          </w:tcPr>
          <w:p w14:paraId="2707803B" w14:textId="77777777" w:rsidR="008F7918" w:rsidRDefault="008F7918">
            <w:pPr>
              <w:pStyle w:val="NormalWeb"/>
              <w:rPr>
                <w:sz w:val="18"/>
                <w:szCs w:val="18"/>
              </w:rPr>
            </w:pPr>
            <w:proofErr w:type="spellStart"/>
            <w:r>
              <w:rPr>
                <w:sz w:val="18"/>
                <w:szCs w:val="18"/>
              </w:rPr>
              <w:t>MenB</w:t>
            </w:r>
            <w:r>
              <w:rPr>
                <w:sz w:val="18"/>
                <w:szCs w:val="18"/>
                <w:vertAlign w:val="superscript"/>
              </w:rPr>
              <w:t>b</w:t>
            </w:r>
            <w:proofErr w:type="spellEnd"/>
          </w:p>
        </w:tc>
      </w:tr>
      <w:tr w:rsidR="008F7918" w14:paraId="2F92283E" w14:textId="77777777" w:rsidTr="008F7918">
        <w:trPr>
          <w:cnfStyle w:val="000000010000" w:firstRow="0" w:lastRow="0" w:firstColumn="0" w:lastColumn="0" w:oddVBand="0" w:evenVBand="0" w:oddHBand="0" w:evenHBand="1" w:firstRowFirstColumn="0" w:firstRowLastColumn="0" w:lastRowFirstColumn="0" w:lastRowLastColumn="0"/>
        </w:trPr>
        <w:tc>
          <w:tcPr>
            <w:tcW w:w="1644" w:type="dxa"/>
            <w:tcBorders>
              <w:top w:val="single" w:sz="2" w:space="0" w:color="auto"/>
              <w:left w:val="single" w:sz="2" w:space="0" w:color="auto"/>
              <w:bottom w:val="single" w:sz="2" w:space="0" w:color="auto"/>
              <w:right w:val="single" w:sz="2" w:space="0" w:color="auto"/>
            </w:tcBorders>
            <w:hideMark/>
          </w:tcPr>
          <w:p w14:paraId="58883D44" w14:textId="77777777" w:rsidR="008F7918" w:rsidRDefault="008F7918">
            <w:pPr>
              <w:pStyle w:val="NormalWeb"/>
              <w:jc w:val="left"/>
              <w:rPr>
                <w:sz w:val="18"/>
                <w:szCs w:val="18"/>
              </w:rPr>
            </w:pPr>
            <w:r>
              <w:rPr>
                <w:sz w:val="18"/>
                <w:szCs w:val="18"/>
              </w:rPr>
              <w:t>4 months</w:t>
            </w:r>
          </w:p>
        </w:tc>
        <w:tc>
          <w:tcPr>
            <w:tcW w:w="624" w:type="dxa"/>
            <w:tcBorders>
              <w:top w:val="single" w:sz="2" w:space="0" w:color="auto"/>
              <w:left w:val="single" w:sz="2" w:space="0" w:color="auto"/>
              <w:bottom w:val="single" w:sz="2" w:space="0" w:color="auto"/>
              <w:right w:val="single" w:sz="2" w:space="0" w:color="auto"/>
            </w:tcBorders>
            <w:hideMark/>
          </w:tcPr>
          <w:p w14:paraId="7DA331D1" w14:textId="77777777" w:rsidR="008F7918" w:rsidRDefault="008F7918">
            <w:pPr>
              <w:pStyle w:val="NormalWeb"/>
              <w:rPr>
                <w:sz w:val="18"/>
                <w:szCs w:val="18"/>
              </w:rPr>
            </w:pPr>
            <w:r>
              <w:rPr>
                <w:sz w:val="18"/>
                <w:szCs w:val="18"/>
              </w:rPr>
              <w:t>Hep B</w:t>
            </w:r>
          </w:p>
        </w:tc>
        <w:tc>
          <w:tcPr>
            <w:tcW w:w="709" w:type="dxa"/>
            <w:tcBorders>
              <w:top w:val="single" w:sz="2" w:space="0" w:color="auto"/>
              <w:left w:val="single" w:sz="2" w:space="0" w:color="auto"/>
              <w:bottom w:val="single" w:sz="2" w:space="0" w:color="auto"/>
              <w:right w:val="single" w:sz="2" w:space="0" w:color="auto"/>
            </w:tcBorders>
            <w:hideMark/>
          </w:tcPr>
          <w:p w14:paraId="78BB1024" w14:textId="77777777" w:rsidR="008F7918" w:rsidRDefault="008F7918">
            <w:pPr>
              <w:pStyle w:val="NormalWeb"/>
              <w:rPr>
                <w:sz w:val="18"/>
                <w:szCs w:val="18"/>
              </w:rPr>
            </w:pPr>
            <w:proofErr w:type="spellStart"/>
            <w:r>
              <w:rPr>
                <w:sz w:val="18"/>
                <w:szCs w:val="18"/>
              </w:rPr>
              <w:t>DTPa</w:t>
            </w:r>
            <w:proofErr w:type="spellEnd"/>
          </w:p>
        </w:tc>
        <w:tc>
          <w:tcPr>
            <w:tcW w:w="567" w:type="dxa"/>
            <w:tcBorders>
              <w:top w:val="single" w:sz="2" w:space="0" w:color="auto"/>
              <w:left w:val="single" w:sz="2" w:space="0" w:color="auto"/>
              <w:bottom w:val="single" w:sz="2" w:space="0" w:color="auto"/>
              <w:right w:val="single" w:sz="2" w:space="0" w:color="auto"/>
            </w:tcBorders>
            <w:hideMark/>
          </w:tcPr>
          <w:p w14:paraId="3B67209A" w14:textId="77777777" w:rsidR="008F7918" w:rsidRDefault="008F7918">
            <w:pPr>
              <w:pStyle w:val="NormalWeb"/>
              <w:rPr>
                <w:sz w:val="18"/>
                <w:szCs w:val="18"/>
              </w:rPr>
            </w:pPr>
            <w:r>
              <w:rPr>
                <w:sz w:val="18"/>
                <w:szCs w:val="18"/>
              </w:rPr>
              <w:t>Hib</w:t>
            </w:r>
          </w:p>
        </w:tc>
        <w:tc>
          <w:tcPr>
            <w:tcW w:w="567" w:type="dxa"/>
            <w:tcBorders>
              <w:top w:val="single" w:sz="2" w:space="0" w:color="auto"/>
              <w:left w:val="single" w:sz="2" w:space="0" w:color="auto"/>
              <w:bottom w:val="single" w:sz="2" w:space="0" w:color="auto"/>
              <w:right w:val="single" w:sz="2" w:space="0" w:color="auto"/>
            </w:tcBorders>
            <w:hideMark/>
          </w:tcPr>
          <w:p w14:paraId="7E5A8098" w14:textId="77777777" w:rsidR="008F7918" w:rsidRDefault="008F7918">
            <w:pPr>
              <w:pStyle w:val="NormalWeb"/>
              <w:rPr>
                <w:sz w:val="18"/>
                <w:szCs w:val="18"/>
              </w:rPr>
            </w:pPr>
            <w:r>
              <w:rPr>
                <w:sz w:val="18"/>
                <w:szCs w:val="18"/>
              </w:rPr>
              <w:t>Polio</w:t>
            </w:r>
          </w:p>
        </w:tc>
        <w:tc>
          <w:tcPr>
            <w:tcW w:w="567" w:type="dxa"/>
            <w:tcBorders>
              <w:top w:val="single" w:sz="2" w:space="0" w:color="auto"/>
              <w:left w:val="single" w:sz="2" w:space="0" w:color="auto"/>
              <w:bottom w:val="single" w:sz="2" w:space="0" w:color="auto"/>
              <w:right w:val="single" w:sz="2" w:space="0" w:color="auto"/>
            </w:tcBorders>
            <w:hideMark/>
          </w:tcPr>
          <w:p w14:paraId="71044073" w14:textId="77777777" w:rsidR="008F7918" w:rsidRDefault="008F7918">
            <w:pPr>
              <w:rPr>
                <w:sz w:val="18"/>
                <w:szCs w:val="18"/>
              </w:rPr>
            </w:pPr>
          </w:p>
        </w:tc>
        <w:tc>
          <w:tcPr>
            <w:tcW w:w="709" w:type="dxa"/>
            <w:tcBorders>
              <w:top w:val="single" w:sz="2" w:space="0" w:color="auto"/>
              <w:left w:val="single" w:sz="2" w:space="0" w:color="auto"/>
              <w:bottom w:val="single" w:sz="2" w:space="0" w:color="auto"/>
              <w:right w:val="single" w:sz="2" w:space="0" w:color="auto"/>
            </w:tcBorders>
            <w:hideMark/>
          </w:tcPr>
          <w:p w14:paraId="4B297815" w14:textId="77777777" w:rsidR="008F7918" w:rsidRDefault="008F7918">
            <w:pPr>
              <w:rPr>
                <w:rFonts w:asciiTheme="minorHAnsi" w:hAnsiTheme="minorHAnsi"/>
                <w:color w:val="auto"/>
                <w:sz w:val="20"/>
                <w:szCs w:val="20"/>
              </w:rPr>
            </w:pPr>
          </w:p>
        </w:tc>
        <w:tc>
          <w:tcPr>
            <w:tcW w:w="992" w:type="dxa"/>
            <w:tcBorders>
              <w:top w:val="single" w:sz="2" w:space="0" w:color="auto"/>
              <w:left w:val="single" w:sz="2" w:space="0" w:color="auto"/>
              <w:bottom w:val="single" w:sz="2" w:space="0" w:color="auto"/>
              <w:right w:val="single" w:sz="2" w:space="0" w:color="auto"/>
            </w:tcBorders>
            <w:hideMark/>
          </w:tcPr>
          <w:p w14:paraId="10F0A4A9" w14:textId="77777777" w:rsidR="008F7918" w:rsidRDefault="008F7918">
            <w:pPr>
              <w:rPr>
                <w:rFonts w:asciiTheme="minorHAnsi" w:hAnsiTheme="minorHAnsi"/>
                <w:color w:val="auto"/>
                <w:sz w:val="20"/>
                <w:szCs w:val="20"/>
              </w:rPr>
            </w:pPr>
          </w:p>
        </w:tc>
        <w:tc>
          <w:tcPr>
            <w:tcW w:w="709" w:type="dxa"/>
            <w:tcBorders>
              <w:top w:val="single" w:sz="2" w:space="0" w:color="auto"/>
              <w:left w:val="single" w:sz="2" w:space="0" w:color="auto"/>
              <w:bottom w:val="single" w:sz="2" w:space="0" w:color="auto"/>
              <w:right w:val="single" w:sz="2" w:space="0" w:color="auto"/>
            </w:tcBorders>
            <w:hideMark/>
          </w:tcPr>
          <w:p w14:paraId="7AE99180" w14:textId="77777777" w:rsidR="008F7918" w:rsidRDefault="008F7918">
            <w:pPr>
              <w:rPr>
                <w:rFonts w:asciiTheme="minorHAnsi" w:hAnsiTheme="minorHAnsi"/>
                <w:color w:val="auto"/>
                <w:sz w:val="20"/>
                <w:szCs w:val="20"/>
              </w:rPr>
            </w:pPr>
          </w:p>
        </w:tc>
        <w:tc>
          <w:tcPr>
            <w:tcW w:w="850" w:type="dxa"/>
            <w:tcBorders>
              <w:top w:val="single" w:sz="2" w:space="0" w:color="auto"/>
              <w:left w:val="single" w:sz="2" w:space="0" w:color="auto"/>
              <w:bottom w:val="single" w:sz="2" w:space="0" w:color="auto"/>
              <w:right w:val="single" w:sz="2" w:space="0" w:color="auto"/>
            </w:tcBorders>
            <w:hideMark/>
          </w:tcPr>
          <w:p w14:paraId="6D7FDED9" w14:textId="77777777" w:rsidR="008F7918" w:rsidRDefault="008F7918">
            <w:pPr>
              <w:pStyle w:val="NormalWeb"/>
              <w:rPr>
                <w:sz w:val="18"/>
                <w:szCs w:val="18"/>
              </w:rPr>
            </w:pPr>
            <w:r>
              <w:rPr>
                <w:sz w:val="18"/>
                <w:szCs w:val="18"/>
              </w:rPr>
              <w:t>13vPCV</w:t>
            </w:r>
          </w:p>
        </w:tc>
        <w:tc>
          <w:tcPr>
            <w:tcW w:w="851" w:type="dxa"/>
            <w:tcBorders>
              <w:top w:val="single" w:sz="2" w:space="0" w:color="auto"/>
              <w:left w:val="single" w:sz="2" w:space="0" w:color="auto"/>
              <w:bottom w:val="single" w:sz="2" w:space="0" w:color="auto"/>
              <w:right w:val="single" w:sz="2" w:space="0" w:color="auto"/>
            </w:tcBorders>
            <w:hideMark/>
          </w:tcPr>
          <w:p w14:paraId="5D9514B4" w14:textId="77777777" w:rsidR="008F7918" w:rsidRDefault="008F7918">
            <w:pPr>
              <w:pStyle w:val="NormalWeb"/>
              <w:rPr>
                <w:sz w:val="18"/>
                <w:szCs w:val="18"/>
              </w:rPr>
            </w:pPr>
            <w:r>
              <w:rPr>
                <w:sz w:val="18"/>
                <w:szCs w:val="18"/>
              </w:rPr>
              <w:t>Rotavirus</w:t>
            </w:r>
          </w:p>
        </w:tc>
        <w:tc>
          <w:tcPr>
            <w:tcW w:w="709" w:type="dxa"/>
            <w:tcBorders>
              <w:top w:val="single" w:sz="2" w:space="0" w:color="auto"/>
              <w:left w:val="single" w:sz="2" w:space="0" w:color="auto"/>
              <w:bottom w:val="single" w:sz="2" w:space="0" w:color="auto"/>
              <w:right w:val="single" w:sz="2" w:space="0" w:color="auto"/>
            </w:tcBorders>
            <w:hideMark/>
          </w:tcPr>
          <w:p w14:paraId="3B48308E" w14:textId="77777777" w:rsidR="008F7918" w:rsidRDefault="008F7918">
            <w:pPr>
              <w:rPr>
                <w:sz w:val="18"/>
                <w:szCs w:val="18"/>
              </w:rPr>
            </w:pPr>
          </w:p>
        </w:tc>
        <w:tc>
          <w:tcPr>
            <w:tcW w:w="968" w:type="dxa"/>
            <w:tcBorders>
              <w:top w:val="single" w:sz="2" w:space="0" w:color="auto"/>
              <w:left w:val="single" w:sz="2" w:space="0" w:color="auto"/>
              <w:bottom w:val="single" w:sz="2" w:space="0" w:color="auto"/>
              <w:right w:val="single" w:sz="2" w:space="0" w:color="auto"/>
            </w:tcBorders>
            <w:hideMark/>
          </w:tcPr>
          <w:p w14:paraId="5B7B9864" w14:textId="77777777" w:rsidR="008F7918" w:rsidRDefault="008F7918">
            <w:pPr>
              <w:pStyle w:val="NormalWeb"/>
              <w:rPr>
                <w:sz w:val="18"/>
                <w:szCs w:val="18"/>
              </w:rPr>
            </w:pPr>
            <w:proofErr w:type="spellStart"/>
            <w:r>
              <w:rPr>
                <w:sz w:val="18"/>
                <w:szCs w:val="18"/>
              </w:rPr>
              <w:t>MenB</w:t>
            </w:r>
            <w:r>
              <w:rPr>
                <w:sz w:val="18"/>
                <w:szCs w:val="18"/>
                <w:vertAlign w:val="superscript"/>
              </w:rPr>
              <w:t>b</w:t>
            </w:r>
            <w:proofErr w:type="spellEnd"/>
          </w:p>
        </w:tc>
      </w:tr>
      <w:tr w:rsidR="008F7918" w14:paraId="249CE055" w14:textId="77777777" w:rsidTr="008F7918">
        <w:tc>
          <w:tcPr>
            <w:tcW w:w="1644" w:type="dxa"/>
            <w:tcBorders>
              <w:top w:val="single" w:sz="2" w:space="0" w:color="auto"/>
              <w:left w:val="single" w:sz="2" w:space="0" w:color="auto"/>
              <w:bottom w:val="single" w:sz="2" w:space="0" w:color="auto"/>
              <w:right w:val="single" w:sz="2" w:space="0" w:color="auto"/>
            </w:tcBorders>
            <w:hideMark/>
          </w:tcPr>
          <w:p w14:paraId="151EAC4A" w14:textId="77777777" w:rsidR="008F7918" w:rsidRDefault="008F7918">
            <w:pPr>
              <w:pStyle w:val="NormalWeb"/>
              <w:jc w:val="left"/>
              <w:rPr>
                <w:sz w:val="18"/>
                <w:szCs w:val="18"/>
              </w:rPr>
            </w:pPr>
            <w:r>
              <w:rPr>
                <w:sz w:val="18"/>
                <w:szCs w:val="18"/>
              </w:rPr>
              <w:t>6 months</w:t>
            </w:r>
          </w:p>
        </w:tc>
        <w:tc>
          <w:tcPr>
            <w:tcW w:w="624" w:type="dxa"/>
            <w:tcBorders>
              <w:top w:val="single" w:sz="2" w:space="0" w:color="auto"/>
              <w:left w:val="single" w:sz="2" w:space="0" w:color="auto"/>
              <w:bottom w:val="single" w:sz="2" w:space="0" w:color="auto"/>
              <w:right w:val="single" w:sz="2" w:space="0" w:color="auto"/>
            </w:tcBorders>
            <w:hideMark/>
          </w:tcPr>
          <w:p w14:paraId="54C45D96" w14:textId="77777777" w:rsidR="008F7918" w:rsidRDefault="008F7918">
            <w:pPr>
              <w:pStyle w:val="NormalWeb"/>
              <w:rPr>
                <w:sz w:val="18"/>
                <w:szCs w:val="18"/>
              </w:rPr>
            </w:pPr>
            <w:r>
              <w:rPr>
                <w:sz w:val="18"/>
                <w:szCs w:val="18"/>
              </w:rPr>
              <w:t>Hep B</w:t>
            </w:r>
          </w:p>
        </w:tc>
        <w:tc>
          <w:tcPr>
            <w:tcW w:w="709" w:type="dxa"/>
            <w:tcBorders>
              <w:top w:val="single" w:sz="2" w:space="0" w:color="auto"/>
              <w:left w:val="single" w:sz="2" w:space="0" w:color="auto"/>
              <w:bottom w:val="single" w:sz="2" w:space="0" w:color="auto"/>
              <w:right w:val="single" w:sz="2" w:space="0" w:color="auto"/>
            </w:tcBorders>
            <w:hideMark/>
          </w:tcPr>
          <w:p w14:paraId="0C472102" w14:textId="77777777" w:rsidR="008F7918" w:rsidRDefault="008F7918">
            <w:pPr>
              <w:pStyle w:val="NormalWeb"/>
              <w:rPr>
                <w:sz w:val="18"/>
                <w:szCs w:val="18"/>
              </w:rPr>
            </w:pPr>
            <w:proofErr w:type="spellStart"/>
            <w:r>
              <w:rPr>
                <w:sz w:val="18"/>
                <w:szCs w:val="18"/>
              </w:rPr>
              <w:t>DTPa</w:t>
            </w:r>
            <w:proofErr w:type="spellEnd"/>
          </w:p>
        </w:tc>
        <w:tc>
          <w:tcPr>
            <w:tcW w:w="567" w:type="dxa"/>
            <w:tcBorders>
              <w:top w:val="single" w:sz="2" w:space="0" w:color="auto"/>
              <w:left w:val="single" w:sz="2" w:space="0" w:color="auto"/>
              <w:bottom w:val="single" w:sz="2" w:space="0" w:color="auto"/>
              <w:right w:val="single" w:sz="2" w:space="0" w:color="auto"/>
            </w:tcBorders>
            <w:hideMark/>
          </w:tcPr>
          <w:p w14:paraId="1FC9F137" w14:textId="77777777" w:rsidR="008F7918" w:rsidRDefault="008F7918">
            <w:pPr>
              <w:pStyle w:val="NormalWeb"/>
              <w:rPr>
                <w:sz w:val="18"/>
                <w:szCs w:val="18"/>
              </w:rPr>
            </w:pPr>
            <w:r>
              <w:rPr>
                <w:sz w:val="18"/>
                <w:szCs w:val="18"/>
              </w:rPr>
              <w:t>Hib</w:t>
            </w:r>
          </w:p>
        </w:tc>
        <w:tc>
          <w:tcPr>
            <w:tcW w:w="567" w:type="dxa"/>
            <w:tcBorders>
              <w:top w:val="single" w:sz="2" w:space="0" w:color="auto"/>
              <w:left w:val="single" w:sz="2" w:space="0" w:color="auto"/>
              <w:bottom w:val="single" w:sz="2" w:space="0" w:color="auto"/>
              <w:right w:val="single" w:sz="2" w:space="0" w:color="auto"/>
            </w:tcBorders>
            <w:hideMark/>
          </w:tcPr>
          <w:p w14:paraId="21379A42" w14:textId="77777777" w:rsidR="008F7918" w:rsidRDefault="008F7918">
            <w:pPr>
              <w:pStyle w:val="NormalWeb"/>
              <w:rPr>
                <w:sz w:val="18"/>
                <w:szCs w:val="18"/>
              </w:rPr>
            </w:pPr>
            <w:r>
              <w:rPr>
                <w:sz w:val="18"/>
                <w:szCs w:val="18"/>
              </w:rPr>
              <w:t>Polio</w:t>
            </w:r>
          </w:p>
        </w:tc>
        <w:tc>
          <w:tcPr>
            <w:tcW w:w="567" w:type="dxa"/>
            <w:tcBorders>
              <w:top w:val="single" w:sz="2" w:space="0" w:color="auto"/>
              <w:left w:val="single" w:sz="2" w:space="0" w:color="auto"/>
              <w:bottom w:val="single" w:sz="2" w:space="0" w:color="auto"/>
              <w:right w:val="single" w:sz="2" w:space="0" w:color="auto"/>
            </w:tcBorders>
            <w:hideMark/>
          </w:tcPr>
          <w:p w14:paraId="6D259032" w14:textId="77777777" w:rsidR="008F7918" w:rsidRDefault="008F7918">
            <w:pPr>
              <w:rPr>
                <w:sz w:val="18"/>
                <w:szCs w:val="18"/>
              </w:rPr>
            </w:pPr>
          </w:p>
        </w:tc>
        <w:tc>
          <w:tcPr>
            <w:tcW w:w="709" w:type="dxa"/>
            <w:tcBorders>
              <w:top w:val="single" w:sz="2" w:space="0" w:color="auto"/>
              <w:left w:val="single" w:sz="2" w:space="0" w:color="auto"/>
              <w:bottom w:val="single" w:sz="2" w:space="0" w:color="auto"/>
              <w:right w:val="single" w:sz="2" w:space="0" w:color="auto"/>
            </w:tcBorders>
            <w:hideMark/>
          </w:tcPr>
          <w:p w14:paraId="5519AD2C" w14:textId="77777777" w:rsidR="008F7918" w:rsidRDefault="008F7918">
            <w:pPr>
              <w:rPr>
                <w:rFonts w:asciiTheme="minorHAnsi" w:hAnsiTheme="minorHAnsi"/>
                <w:color w:val="auto"/>
                <w:sz w:val="20"/>
                <w:szCs w:val="20"/>
              </w:rPr>
            </w:pPr>
          </w:p>
        </w:tc>
        <w:tc>
          <w:tcPr>
            <w:tcW w:w="992" w:type="dxa"/>
            <w:tcBorders>
              <w:top w:val="single" w:sz="2" w:space="0" w:color="auto"/>
              <w:left w:val="single" w:sz="2" w:space="0" w:color="auto"/>
              <w:bottom w:val="single" w:sz="2" w:space="0" w:color="auto"/>
              <w:right w:val="single" w:sz="2" w:space="0" w:color="auto"/>
            </w:tcBorders>
            <w:hideMark/>
          </w:tcPr>
          <w:p w14:paraId="5515571C" w14:textId="77777777" w:rsidR="008F7918" w:rsidRDefault="008F7918">
            <w:pPr>
              <w:rPr>
                <w:rFonts w:asciiTheme="minorHAnsi" w:hAnsiTheme="minorHAnsi"/>
                <w:color w:val="auto"/>
                <w:sz w:val="20"/>
                <w:szCs w:val="20"/>
              </w:rPr>
            </w:pPr>
          </w:p>
        </w:tc>
        <w:tc>
          <w:tcPr>
            <w:tcW w:w="709" w:type="dxa"/>
            <w:tcBorders>
              <w:top w:val="single" w:sz="2" w:space="0" w:color="auto"/>
              <w:left w:val="single" w:sz="2" w:space="0" w:color="auto"/>
              <w:bottom w:val="single" w:sz="2" w:space="0" w:color="auto"/>
              <w:right w:val="single" w:sz="2" w:space="0" w:color="auto"/>
            </w:tcBorders>
            <w:hideMark/>
          </w:tcPr>
          <w:p w14:paraId="2EBBBD1E" w14:textId="77777777" w:rsidR="008F7918" w:rsidRDefault="008F7918">
            <w:pPr>
              <w:rPr>
                <w:rFonts w:asciiTheme="minorHAnsi" w:hAnsiTheme="minorHAnsi"/>
                <w:color w:val="auto"/>
                <w:sz w:val="20"/>
                <w:szCs w:val="20"/>
              </w:rPr>
            </w:pPr>
          </w:p>
        </w:tc>
        <w:tc>
          <w:tcPr>
            <w:tcW w:w="850" w:type="dxa"/>
            <w:tcBorders>
              <w:top w:val="single" w:sz="2" w:space="0" w:color="auto"/>
              <w:left w:val="single" w:sz="2" w:space="0" w:color="auto"/>
              <w:bottom w:val="single" w:sz="2" w:space="0" w:color="auto"/>
              <w:right w:val="single" w:sz="2" w:space="0" w:color="auto"/>
            </w:tcBorders>
            <w:hideMark/>
          </w:tcPr>
          <w:p w14:paraId="7352E99C" w14:textId="77777777" w:rsidR="008F7918" w:rsidRDefault="008F7918">
            <w:pPr>
              <w:pStyle w:val="NormalWeb"/>
              <w:rPr>
                <w:sz w:val="18"/>
                <w:szCs w:val="18"/>
              </w:rPr>
            </w:pPr>
            <w:r>
              <w:rPr>
                <w:sz w:val="18"/>
                <w:szCs w:val="18"/>
              </w:rPr>
              <w:t>13vPCV</w:t>
            </w:r>
            <w:r>
              <w:rPr>
                <w:sz w:val="18"/>
                <w:szCs w:val="18"/>
                <w:vertAlign w:val="superscript"/>
              </w:rPr>
              <w:t>c</w:t>
            </w:r>
          </w:p>
        </w:tc>
        <w:tc>
          <w:tcPr>
            <w:tcW w:w="851" w:type="dxa"/>
            <w:tcBorders>
              <w:top w:val="single" w:sz="2" w:space="0" w:color="auto"/>
              <w:left w:val="single" w:sz="2" w:space="0" w:color="auto"/>
              <w:bottom w:val="single" w:sz="2" w:space="0" w:color="auto"/>
              <w:right w:val="single" w:sz="2" w:space="0" w:color="auto"/>
            </w:tcBorders>
            <w:hideMark/>
          </w:tcPr>
          <w:p w14:paraId="4ED8EAF9" w14:textId="77777777" w:rsidR="008F7918" w:rsidRDefault="008F7918">
            <w:pPr>
              <w:rPr>
                <w:sz w:val="18"/>
                <w:szCs w:val="18"/>
              </w:rPr>
            </w:pPr>
          </w:p>
        </w:tc>
        <w:tc>
          <w:tcPr>
            <w:tcW w:w="709" w:type="dxa"/>
            <w:tcBorders>
              <w:top w:val="single" w:sz="2" w:space="0" w:color="auto"/>
              <w:left w:val="single" w:sz="2" w:space="0" w:color="auto"/>
              <w:bottom w:val="single" w:sz="2" w:space="0" w:color="auto"/>
              <w:right w:val="single" w:sz="2" w:space="0" w:color="auto"/>
            </w:tcBorders>
            <w:hideMark/>
          </w:tcPr>
          <w:p w14:paraId="72BB4279" w14:textId="77777777" w:rsidR="008F7918" w:rsidRDefault="008F7918">
            <w:pPr>
              <w:rPr>
                <w:rFonts w:asciiTheme="minorHAnsi" w:hAnsiTheme="minorHAnsi"/>
                <w:color w:val="auto"/>
                <w:sz w:val="20"/>
                <w:szCs w:val="20"/>
              </w:rPr>
            </w:pPr>
          </w:p>
        </w:tc>
        <w:tc>
          <w:tcPr>
            <w:tcW w:w="968" w:type="dxa"/>
            <w:tcBorders>
              <w:top w:val="single" w:sz="2" w:space="0" w:color="auto"/>
              <w:left w:val="single" w:sz="2" w:space="0" w:color="auto"/>
              <w:bottom w:val="single" w:sz="2" w:space="0" w:color="auto"/>
              <w:right w:val="single" w:sz="2" w:space="0" w:color="auto"/>
            </w:tcBorders>
            <w:hideMark/>
          </w:tcPr>
          <w:p w14:paraId="14F20B01" w14:textId="77777777" w:rsidR="008F7918" w:rsidRDefault="008F7918">
            <w:pPr>
              <w:pStyle w:val="NormalWeb"/>
              <w:rPr>
                <w:sz w:val="18"/>
                <w:szCs w:val="18"/>
              </w:rPr>
            </w:pPr>
            <w:proofErr w:type="spellStart"/>
            <w:r>
              <w:rPr>
                <w:sz w:val="18"/>
                <w:szCs w:val="18"/>
              </w:rPr>
              <w:t>MenB</w:t>
            </w:r>
            <w:r>
              <w:rPr>
                <w:sz w:val="18"/>
                <w:szCs w:val="18"/>
                <w:vertAlign w:val="superscript"/>
              </w:rPr>
              <w:t>b</w:t>
            </w:r>
            <w:proofErr w:type="spellEnd"/>
          </w:p>
        </w:tc>
      </w:tr>
      <w:tr w:rsidR="008F7918" w14:paraId="2DF9507F" w14:textId="77777777" w:rsidTr="008F7918">
        <w:trPr>
          <w:cnfStyle w:val="000000010000" w:firstRow="0" w:lastRow="0" w:firstColumn="0" w:lastColumn="0" w:oddVBand="0" w:evenVBand="0" w:oddHBand="0" w:evenHBand="1" w:firstRowFirstColumn="0" w:firstRowLastColumn="0" w:lastRowFirstColumn="0" w:lastRowLastColumn="0"/>
        </w:trPr>
        <w:tc>
          <w:tcPr>
            <w:tcW w:w="1644" w:type="dxa"/>
            <w:tcBorders>
              <w:top w:val="single" w:sz="2" w:space="0" w:color="auto"/>
              <w:left w:val="single" w:sz="2" w:space="0" w:color="auto"/>
              <w:bottom w:val="single" w:sz="2" w:space="0" w:color="auto"/>
              <w:right w:val="single" w:sz="2" w:space="0" w:color="auto"/>
            </w:tcBorders>
            <w:hideMark/>
          </w:tcPr>
          <w:p w14:paraId="3156F4D9" w14:textId="77777777" w:rsidR="008F7918" w:rsidRDefault="008F7918">
            <w:pPr>
              <w:pStyle w:val="NormalWeb"/>
              <w:jc w:val="left"/>
              <w:rPr>
                <w:sz w:val="18"/>
                <w:szCs w:val="18"/>
              </w:rPr>
            </w:pPr>
            <w:r>
              <w:rPr>
                <w:sz w:val="18"/>
                <w:szCs w:val="18"/>
              </w:rPr>
              <w:t>12 months</w:t>
            </w:r>
          </w:p>
        </w:tc>
        <w:tc>
          <w:tcPr>
            <w:tcW w:w="624" w:type="dxa"/>
            <w:tcBorders>
              <w:top w:val="single" w:sz="2" w:space="0" w:color="auto"/>
              <w:left w:val="single" w:sz="2" w:space="0" w:color="auto"/>
              <w:bottom w:val="single" w:sz="2" w:space="0" w:color="auto"/>
              <w:right w:val="single" w:sz="2" w:space="0" w:color="auto"/>
            </w:tcBorders>
            <w:hideMark/>
          </w:tcPr>
          <w:p w14:paraId="6FFBE5BF" w14:textId="77777777" w:rsidR="008F7918" w:rsidRDefault="008F7918">
            <w:pPr>
              <w:rPr>
                <w:sz w:val="18"/>
                <w:szCs w:val="18"/>
              </w:rPr>
            </w:pPr>
          </w:p>
        </w:tc>
        <w:tc>
          <w:tcPr>
            <w:tcW w:w="709" w:type="dxa"/>
            <w:tcBorders>
              <w:top w:val="single" w:sz="2" w:space="0" w:color="auto"/>
              <w:left w:val="single" w:sz="2" w:space="0" w:color="auto"/>
              <w:bottom w:val="single" w:sz="2" w:space="0" w:color="auto"/>
              <w:right w:val="single" w:sz="2" w:space="0" w:color="auto"/>
            </w:tcBorders>
            <w:hideMark/>
          </w:tcPr>
          <w:p w14:paraId="2DA9C414" w14:textId="77777777" w:rsidR="008F7918" w:rsidRDefault="008F7918">
            <w:pPr>
              <w:rPr>
                <w:rFonts w:asciiTheme="minorHAnsi" w:hAnsiTheme="minorHAnsi"/>
                <w:color w:val="auto"/>
                <w:sz w:val="20"/>
                <w:szCs w:val="20"/>
              </w:rPr>
            </w:pPr>
          </w:p>
        </w:tc>
        <w:tc>
          <w:tcPr>
            <w:tcW w:w="567" w:type="dxa"/>
            <w:tcBorders>
              <w:top w:val="single" w:sz="2" w:space="0" w:color="auto"/>
              <w:left w:val="single" w:sz="2" w:space="0" w:color="auto"/>
              <w:bottom w:val="single" w:sz="2" w:space="0" w:color="auto"/>
              <w:right w:val="single" w:sz="2" w:space="0" w:color="auto"/>
            </w:tcBorders>
            <w:hideMark/>
          </w:tcPr>
          <w:p w14:paraId="64D3F81F" w14:textId="77777777" w:rsidR="008F7918" w:rsidRDefault="008F7918">
            <w:pPr>
              <w:rPr>
                <w:rFonts w:asciiTheme="minorHAnsi" w:hAnsiTheme="minorHAnsi"/>
                <w:color w:val="auto"/>
                <w:sz w:val="20"/>
                <w:szCs w:val="20"/>
              </w:rPr>
            </w:pPr>
          </w:p>
        </w:tc>
        <w:tc>
          <w:tcPr>
            <w:tcW w:w="567" w:type="dxa"/>
            <w:tcBorders>
              <w:top w:val="single" w:sz="2" w:space="0" w:color="auto"/>
              <w:left w:val="single" w:sz="2" w:space="0" w:color="auto"/>
              <w:bottom w:val="single" w:sz="2" w:space="0" w:color="auto"/>
              <w:right w:val="single" w:sz="2" w:space="0" w:color="auto"/>
            </w:tcBorders>
            <w:hideMark/>
          </w:tcPr>
          <w:p w14:paraId="32E2BAB1" w14:textId="77777777" w:rsidR="008F7918" w:rsidRDefault="008F7918">
            <w:pPr>
              <w:rPr>
                <w:rFonts w:asciiTheme="minorHAnsi" w:hAnsiTheme="minorHAnsi"/>
                <w:color w:val="auto"/>
                <w:sz w:val="20"/>
                <w:szCs w:val="20"/>
              </w:rPr>
            </w:pPr>
          </w:p>
        </w:tc>
        <w:tc>
          <w:tcPr>
            <w:tcW w:w="567" w:type="dxa"/>
            <w:tcBorders>
              <w:top w:val="single" w:sz="2" w:space="0" w:color="auto"/>
              <w:left w:val="single" w:sz="2" w:space="0" w:color="auto"/>
              <w:bottom w:val="single" w:sz="2" w:space="0" w:color="auto"/>
              <w:right w:val="single" w:sz="2" w:space="0" w:color="auto"/>
            </w:tcBorders>
            <w:hideMark/>
          </w:tcPr>
          <w:p w14:paraId="3F20F4B0" w14:textId="77777777" w:rsidR="008F7918" w:rsidRDefault="008F7918">
            <w:pPr>
              <w:pStyle w:val="NormalWeb"/>
              <w:rPr>
                <w:sz w:val="18"/>
                <w:szCs w:val="18"/>
              </w:rPr>
            </w:pPr>
            <w:r>
              <w:rPr>
                <w:sz w:val="18"/>
                <w:szCs w:val="18"/>
              </w:rPr>
              <w:t>MMR</w:t>
            </w:r>
          </w:p>
        </w:tc>
        <w:tc>
          <w:tcPr>
            <w:tcW w:w="709" w:type="dxa"/>
            <w:tcBorders>
              <w:top w:val="single" w:sz="2" w:space="0" w:color="auto"/>
              <w:left w:val="single" w:sz="2" w:space="0" w:color="auto"/>
              <w:bottom w:val="single" w:sz="2" w:space="0" w:color="auto"/>
              <w:right w:val="single" w:sz="2" w:space="0" w:color="auto"/>
            </w:tcBorders>
            <w:hideMark/>
          </w:tcPr>
          <w:p w14:paraId="6E57DC5A" w14:textId="77777777" w:rsidR="008F7918" w:rsidRDefault="008F7918">
            <w:pPr>
              <w:rPr>
                <w:sz w:val="18"/>
                <w:szCs w:val="18"/>
              </w:rPr>
            </w:pPr>
          </w:p>
        </w:tc>
        <w:tc>
          <w:tcPr>
            <w:tcW w:w="992" w:type="dxa"/>
            <w:tcBorders>
              <w:top w:val="single" w:sz="2" w:space="0" w:color="auto"/>
              <w:left w:val="single" w:sz="2" w:space="0" w:color="auto"/>
              <w:bottom w:val="single" w:sz="2" w:space="0" w:color="auto"/>
              <w:right w:val="single" w:sz="2" w:space="0" w:color="auto"/>
            </w:tcBorders>
            <w:hideMark/>
          </w:tcPr>
          <w:p w14:paraId="3BAD4F6C" w14:textId="77777777" w:rsidR="008F7918" w:rsidRDefault="008F7918">
            <w:pPr>
              <w:pStyle w:val="NormalWeb"/>
              <w:rPr>
                <w:sz w:val="18"/>
                <w:szCs w:val="18"/>
              </w:rPr>
            </w:pPr>
            <w:proofErr w:type="spellStart"/>
            <w:r>
              <w:rPr>
                <w:sz w:val="18"/>
                <w:szCs w:val="18"/>
              </w:rPr>
              <w:t>MenACWY</w:t>
            </w:r>
            <w:proofErr w:type="spellEnd"/>
          </w:p>
        </w:tc>
        <w:tc>
          <w:tcPr>
            <w:tcW w:w="709" w:type="dxa"/>
            <w:tcBorders>
              <w:top w:val="single" w:sz="2" w:space="0" w:color="auto"/>
              <w:left w:val="single" w:sz="2" w:space="0" w:color="auto"/>
              <w:bottom w:val="single" w:sz="2" w:space="0" w:color="auto"/>
              <w:right w:val="single" w:sz="2" w:space="0" w:color="auto"/>
            </w:tcBorders>
            <w:hideMark/>
          </w:tcPr>
          <w:p w14:paraId="02CCBD47" w14:textId="77777777" w:rsidR="008F7918" w:rsidRDefault="008F7918">
            <w:pPr>
              <w:pStyle w:val="NormalWeb"/>
              <w:rPr>
                <w:sz w:val="18"/>
                <w:szCs w:val="18"/>
              </w:rPr>
            </w:pPr>
            <w:r>
              <w:rPr>
                <w:sz w:val="18"/>
                <w:szCs w:val="18"/>
              </w:rPr>
              <w:t>Hep A</w:t>
            </w:r>
            <w:r>
              <w:rPr>
                <w:sz w:val="18"/>
                <w:szCs w:val="18"/>
                <w:vertAlign w:val="superscript"/>
              </w:rPr>
              <w:t>d</w:t>
            </w:r>
          </w:p>
        </w:tc>
        <w:tc>
          <w:tcPr>
            <w:tcW w:w="850" w:type="dxa"/>
            <w:tcBorders>
              <w:top w:val="single" w:sz="2" w:space="0" w:color="auto"/>
              <w:left w:val="single" w:sz="2" w:space="0" w:color="auto"/>
              <w:bottom w:val="single" w:sz="2" w:space="0" w:color="auto"/>
              <w:right w:val="single" w:sz="2" w:space="0" w:color="auto"/>
            </w:tcBorders>
            <w:hideMark/>
          </w:tcPr>
          <w:p w14:paraId="0385F482" w14:textId="77777777" w:rsidR="008F7918" w:rsidRDefault="008F7918">
            <w:pPr>
              <w:pStyle w:val="NormalWeb"/>
              <w:rPr>
                <w:sz w:val="18"/>
                <w:szCs w:val="18"/>
              </w:rPr>
            </w:pPr>
            <w:r>
              <w:rPr>
                <w:sz w:val="18"/>
                <w:szCs w:val="18"/>
              </w:rPr>
              <w:t>13vPCV</w:t>
            </w:r>
          </w:p>
        </w:tc>
        <w:tc>
          <w:tcPr>
            <w:tcW w:w="851" w:type="dxa"/>
            <w:tcBorders>
              <w:top w:val="single" w:sz="2" w:space="0" w:color="auto"/>
              <w:left w:val="single" w:sz="2" w:space="0" w:color="auto"/>
              <w:bottom w:val="single" w:sz="2" w:space="0" w:color="auto"/>
              <w:right w:val="single" w:sz="2" w:space="0" w:color="auto"/>
            </w:tcBorders>
            <w:hideMark/>
          </w:tcPr>
          <w:p w14:paraId="4501DD0B" w14:textId="77777777" w:rsidR="008F7918" w:rsidRDefault="008F7918">
            <w:pPr>
              <w:rPr>
                <w:sz w:val="18"/>
                <w:szCs w:val="18"/>
              </w:rPr>
            </w:pPr>
          </w:p>
        </w:tc>
        <w:tc>
          <w:tcPr>
            <w:tcW w:w="709" w:type="dxa"/>
            <w:tcBorders>
              <w:top w:val="single" w:sz="2" w:space="0" w:color="auto"/>
              <w:left w:val="single" w:sz="2" w:space="0" w:color="auto"/>
              <w:bottom w:val="single" w:sz="2" w:space="0" w:color="auto"/>
              <w:right w:val="single" w:sz="2" w:space="0" w:color="auto"/>
            </w:tcBorders>
            <w:hideMark/>
          </w:tcPr>
          <w:p w14:paraId="7389DA35" w14:textId="77777777" w:rsidR="008F7918" w:rsidRDefault="008F7918">
            <w:pPr>
              <w:rPr>
                <w:rFonts w:asciiTheme="minorHAnsi" w:hAnsiTheme="minorHAnsi"/>
                <w:color w:val="auto"/>
                <w:sz w:val="20"/>
                <w:szCs w:val="20"/>
              </w:rPr>
            </w:pPr>
          </w:p>
        </w:tc>
        <w:tc>
          <w:tcPr>
            <w:tcW w:w="968" w:type="dxa"/>
            <w:tcBorders>
              <w:top w:val="single" w:sz="2" w:space="0" w:color="auto"/>
              <w:left w:val="single" w:sz="2" w:space="0" w:color="auto"/>
              <w:bottom w:val="single" w:sz="2" w:space="0" w:color="auto"/>
              <w:right w:val="single" w:sz="2" w:space="0" w:color="auto"/>
            </w:tcBorders>
            <w:hideMark/>
          </w:tcPr>
          <w:p w14:paraId="0A851167" w14:textId="77777777" w:rsidR="008F7918" w:rsidRDefault="008F7918">
            <w:pPr>
              <w:pStyle w:val="NormalWeb"/>
              <w:rPr>
                <w:sz w:val="18"/>
                <w:szCs w:val="18"/>
              </w:rPr>
            </w:pPr>
            <w:proofErr w:type="spellStart"/>
            <w:r>
              <w:rPr>
                <w:sz w:val="18"/>
                <w:szCs w:val="18"/>
              </w:rPr>
              <w:t>MenB</w:t>
            </w:r>
            <w:r>
              <w:rPr>
                <w:sz w:val="18"/>
                <w:szCs w:val="18"/>
                <w:vertAlign w:val="superscript"/>
              </w:rPr>
              <w:t>b</w:t>
            </w:r>
            <w:proofErr w:type="spellEnd"/>
          </w:p>
        </w:tc>
      </w:tr>
      <w:tr w:rsidR="008F7918" w14:paraId="6F8D072A" w14:textId="77777777" w:rsidTr="008F7918">
        <w:tc>
          <w:tcPr>
            <w:tcW w:w="1644" w:type="dxa"/>
            <w:tcBorders>
              <w:top w:val="single" w:sz="2" w:space="0" w:color="auto"/>
              <w:left w:val="single" w:sz="2" w:space="0" w:color="auto"/>
              <w:bottom w:val="single" w:sz="2" w:space="0" w:color="auto"/>
              <w:right w:val="single" w:sz="2" w:space="0" w:color="auto"/>
            </w:tcBorders>
            <w:hideMark/>
          </w:tcPr>
          <w:p w14:paraId="5091D4D4" w14:textId="77777777" w:rsidR="008F7918" w:rsidRDefault="008F7918">
            <w:pPr>
              <w:pStyle w:val="NormalWeb"/>
              <w:jc w:val="left"/>
              <w:rPr>
                <w:sz w:val="18"/>
                <w:szCs w:val="18"/>
              </w:rPr>
            </w:pPr>
            <w:r>
              <w:rPr>
                <w:sz w:val="18"/>
                <w:szCs w:val="18"/>
              </w:rPr>
              <w:t>18 months</w:t>
            </w:r>
          </w:p>
        </w:tc>
        <w:tc>
          <w:tcPr>
            <w:tcW w:w="624" w:type="dxa"/>
            <w:tcBorders>
              <w:top w:val="single" w:sz="2" w:space="0" w:color="auto"/>
              <w:left w:val="single" w:sz="2" w:space="0" w:color="auto"/>
              <w:bottom w:val="single" w:sz="2" w:space="0" w:color="auto"/>
              <w:right w:val="single" w:sz="2" w:space="0" w:color="auto"/>
            </w:tcBorders>
            <w:hideMark/>
          </w:tcPr>
          <w:p w14:paraId="059EA7CE" w14:textId="77777777" w:rsidR="008F7918" w:rsidRDefault="008F7918">
            <w:pPr>
              <w:rPr>
                <w:sz w:val="18"/>
                <w:szCs w:val="18"/>
              </w:rPr>
            </w:pPr>
          </w:p>
        </w:tc>
        <w:tc>
          <w:tcPr>
            <w:tcW w:w="709" w:type="dxa"/>
            <w:tcBorders>
              <w:top w:val="single" w:sz="2" w:space="0" w:color="auto"/>
              <w:left w:val="single" w:sz="2" w:space="0" w:color="auto"/>
              <w:bottom w:val="single" w:sz="2" w:space="0" w:color="auto"/>
              <w:right w:val="single" w:sz="2" w:space="0" w:color="auto"/>
            </w:tcBorders>
            <w:hideMark/>
          </w:tcPr>
          <w:p w14:paraId="329834B2" w14:textId="77777777" w:rsidR="008F7918" w:rsidRDefault="008F7918">
            <w:pPr>
              <w:pStyle w:val="NormalWeb"/>
              <w:rPr>
                <w:sz w:val="18"/>
                <w:szCs w:val="18"/>
              </w:rPr>
            </w:pPr>
            <w:proofErr w:type="spellStart"/>
            <w:r>
              <w:rPr>
                <w:sz w:val="18"/>
                <w:szCs w:val="18"/>
              </w:rPr>
              <w:t>DTPa</w:t>
            </w:r>
            <w:proofErr w:type="spellEnd"/>
          </w:p>
        </w:tc>
        <w:tc>
          <w:tcPr>
            <w:tcW w:w="567" w:type="dxa"/>
            <w:tcBorders>
              <w:top w:val="single" w:sz="2" w:space="0" w:color="auto"/>
              <w:left w:val="single" w:sz="2" w:space="0" w:color="auto"/>
              <w:bottom w:val="single" w:sz="2" w:space="0" w:color="auto"/>
              <w:right w:val="single" w:sz="2" w:space="0" w:color="auto"/>
            </w:tcBorders>
            <w:hideMark/>
          </w:tcPr>
          <w:p w14:paraId="142A669C" w14:textId="77777777" w:rsidR="008F7918" w:rsidRDefault="008F7918">
            <w:pPr>
              <w:pStyle w:val="NormalWeb"/>
              <w:rPr>
                <w:sz w:val="18"/>
                <w:szCs w:val="18"/>
              </w:rPr>
            </w:pPr>
            <w:r>
              <w:rPr>
                <w:sz w:val="18"/>
                <w:szCs w:val="18"/>
              </w:rPr>
              <w:t>Hib</w:t>
            </w:r>
          </w:p>
        </w:tc>
        <w:tc>
          <w:tcPr>
            <w:tcW w:w="567" w:type="dxa"/>
            <w:tcBorders>
              <w:top w:val="single" w:sz="2" w:space="0" w:color="auto"/>
              <w:left w:val="single" w:sz="2" w:space="0" w:color="auto"/>
              <w:bottom w:val="single" w:sz="2" w:space="0" w:color="auto"/>
              <w:right w:val="single" w:sz="2" w:space="0" w:color="auto"/>
            </w:tcBorders>
            <w:hideMark/>
          </w:tcPr>
          <w:p w14:paraId="39AF2F43" w14:textId="77777777" w:rsidR="008F7918" w:rsidRDefault="008F7918">
            <w:pPr>
              <w:rPr>
                <w:sz w:val="18"/>
                <w:szCs w:val="18"/>
              </w:rPr>
            </w:pPr>
          </w:p>
        </w:tc>
        <w:tc>
          <w:tcPr>
            <w:tcW w:w="567" w:type="dxa"/>
            <w:tcBorders>
              <w:top w:val="single" w:sz="2" w:space="0" w:color="auto"/>
              <w:left w:val="single" w:sz="2" w:space="0" w:color="auto"/>
              <w:bottom w:val="single" w:sz="2" w:space="0" w:color="auto"/>
              <w:right w:val="single" w:sz="2" w:space="0" w:color="auto"/>
            </w:tcBorders>
            <w:hideMark/>
          </w:tcPr>
          <w:p w14:paraId="10B4E6D9" w14:textId="77777777" w:rsidR="008F7918" w:rsidRDefault="008F7918">
            <w:pPr>
              <w:rPr>
                <w:rFonts w:asciiTheme="minorHAnsi" w:hAnsiTheme="minorHAnsi"/>
                <w:color w:val="auto"/>
                <w:sz w:val="20"/>
                <w:szCs w:val="20"/>
              </w:rPr>
            </w:pPr>
          </w:p>
        </w:tc>
        <w:tc>
          <w:tcPr>
            <w:tcW w:w="709" w:type="dxa"/>
            <w:tcBorders>
              <w:top w:val="single" w:sz="2" w:space="0" w:color="auto"/>
              <w:left w:val="single" w:sz="2" w:space="0" w:color="auto"/>
              <w:bottom w:val="single" w:sz="2" w:space="0" w:color="auto"/>
              <w:right w:val="single" w:sz="2" w:space="0" w:color="auto"/>
            </w:tcBorders>
            <w:hideMark/>
          </w:tcPr>
          <w:p w14:paraId="0708CD94" w14:textId="77777777" w:rsidR="008F7918" w:rsidRDefault="008F7918">
            <w:pPr>
              <w:pStyle w:val="NormalWeb"/>
              <w:rPr>
                <w:sz w:val="18"/>
                <w:szCs w:val="18"/>
              </w:rPr>
            </w:pPr>
            <w:r>
              <w:rPr>
                <w:sz w:val="18"/>
                <w:szCs w:val="18"/>
              </w:rPr>
              <w:t>MMRV</w:t>
            </w:r>
          </w:p>
        </w:tc>
        <w:tc>
          <w:tcPr>
            <w:tcW w:w="992" w:type="dxa"/>
            <w:tcBorders>
              <w:top w:val="single" w:sz="2" w:space="0" w:color="auto"/>
              <w:left w:val="single" w:sz="2" w:space="0" w:color="auto"/>
              <w:bottom w:val="single" w:sz="2" w:space="0" w:color="auto"/>
              <w:right w:val="single" w:sz="2" w:space="0" w:color="auto"/>
            </w:tcBorders>
            <w:hideMark/>
          </w:tcPr>
          <w:p w14:paraId="77C369D3" w14:textId="77777777" w:rsidR="008F7918" w:rsidRDefault="008F7918">
            <w:pPr>
              <w:rPr>
                <w:sz w:val="18"/>
                <w:szCs w:val="18"/>
              </w:rPr>
            </w:pPr>
          </w:p>
        </w:tc>
        <w:tc>
          <w:tcPr>
            <w:tcW w:w="709" w:type="dxa"/>
            <w:tcBorders>
              <w:top w:val="single" w:sz="2" w:space="0" w:color="auto"/>
              <w:left w:val="single" w:sz="2" w:space="0" w:color="auto"/>
              <w:bottom w:val="single" w:sz="2" w:space="0" w:color="auto"/>
              <w:right w:val="single" w:sz="2" w:space="0" w:color="auto"/>
            </w:tcBorders>
            <w:hideMark/>
          </w:tcPr>
          <w:p w14:paraId="1EBFB34C" w14:textId="77777777" w:rsidR="008F7918" w:rsidRDefault="008F7918">
            <w:pPr>
              <w:pStyle w:val="NormalWeb"/>
              <w:rPr>
                <w:sz w:val="18"/>
                <w:szCs w:val="18"/>
              </w:rPr>
            </w:pPr>
            <w:r>
              <w:rPr>
                <w:sz w:val="18"/>
                <w:szCs w:val="18"/>
              </w:rPr>
              <w:t>Hep A</w:t>
            </w:r>
            <w:r>
              <w:rPr>
                <w:sz w:val="18"/>
                <w:szCs w:val="18"/>
                <w:vertAlign w:val="superscript"/>
              </w:rPr>
              <w:t>d</w:t>
            </w:r>
          </w:p>
        </w:tc>
        <w:tc>
          <w:tcPr>
            <w:tcW w:w="850" w:type="dxa"/>
            <w:tcBorders>
              <w:top w:val="single" w:sz="2" w:space="0" w:color="auto"/>
              <w:left w:val="single" w:sz="2" w:space="0" w:color="auto"/>
              <w:bottom w:val="single" w:sz="2" w:space="0" w:color="auto"/>
              <w:right w:val="single" w:sz="2" w:space="0" w:color="auto"/>
            </w:tcBorders>
            <w:hideMark/>
          </w:tcPr>
          <w:p w14:paraId="3B4E36F6" w14:textId="77777777" w:rsidR="008F7918" w:rsidRDefault="008F7918">
            <w:pPr>
              <w:rPr>
                <w:sz w:val="18"/>
                <w:szCs w:val="18"/>
              </w:rPr>
            </w:pPr>
          </w:p>
        </w:tc>
        <w:tc>
          <w:tcPr>
            <w:tcW w:w="851" w:type="dxa"/>
            <w:tcBorders>
              <w:top w:val="single" w:sz="2" w:space="0" w:color="auto"/>
              <w:left w:val="single" w:sz="2" w:space="0" w:color="auto"/>
              <w:bottom w:val="single" w:sz="2" w:space="0" w:color="auto"/>
              <w:right w:val="single" w:sz="2" w:space="0" w:color="auto"/>
            </w:tcBorders>
            <w:hideMark/>
          </w:tcPr>
          <w:p w14:paraId="429F58BA" w14:textId="77777777" w:rsidR="008F7918" w:rsidRDefault="008F7918">
            <w:pPr>
              <w:rPr>
                <w:rFonts w:asciiTheme="minorHAnsi" w:hAnsiTheme="minorHAnsi"/>
                <w:color w:val="auto"/>
                <w:sz w:val="20"/>
                <w:szCs w:val="20"/>
              </w:rPr>
            </w:pPr>
          </w:p>
        </w:tc>
        <w:tc>
          <w:tcPr>
            <w:tcW w:w="709" w:type="dxa"/>
            <w:tcBorders>
              <w:top w:val="single" w:sz="2" w:space="0" w:color="auto"/>
              <w:left w:val="single" w:sz="2" w:space="0" w:color="auto"/>
              <w:bottom w:val="single" w:sz="2" w:space="0" w:color="auto"/>
              <w:right w:val="single" w:sz="2" w:space="0" w:color="auto"/>
            </w:tcBorders>
            <w:hideMark/>
          </w:tcPr>
          <w:p w14:paraId="761BBDD8" w14:textId="77777777" w:rsidR="008F7918" w:rsidRDefault="008F7918">
            <w:pPr>
              <w:rPr>
                <w:rFonts w:asciiTheme="minorHAnsi" w:hAnsiTheme="minorHAnsi"/>
                <w:color w:val="auto"/>
                <w:sz w:val="20"/>
                <w:szCs w:val="20"/>
              </w:rPr>
            </w:pPr>
          </w:p>
        </w:tc>
        <w:tc>
          <w:tcPr>
            <w:tcW w:w="968" w:type="dxa"/>
            <w:tcBorders>
              <w:top w:val="single" w:sz="2" w:space="0" w:color="auto"/>
              <w:left w:val="single" w:sz="2" w:space="0" w:color="auto"/>
              <w:bottom w:val="single" w:sz="2" w:space="0" w:color="auto"/>
              <w:right w:val="single" w:sz="2" w:space="0" w:color="auto"/>
            </w:tcBorders>
            <w:hideMark/>
          </w:tcPr>
          <w:p w14:paraId="214F055A" w14:textId="77777777" w:rsidR="008F7918" w:rsidRDefault="008F7918">
            <w:pPr>
              <w:rPr>
                <w:rFonts w:asciiTheme="minorHAnsi" w:hAnsiTheme="minorHAnsi"/>
                <w:color w:val="auto"/>
                <w:sz w:val="20"/>
                <w:szCs w:val="20"/>
              </w:rPr>
            </w:pPr>
          </w:p>
        </w:tc>
      </w:tr>
      <w:tr w:rsidR="008F7918" w14:paraId="04BD77BD" w14:textId="77777777" w:rsidTr="008F7918">
        <w:trPr>
          <w:cnfStyle w:val="000000010000" w:firstRow="0" w:lastRow="0" w:firstColumn="0" w:lastColumn="0" w:oddVBand="0" w:evenVBand="0" w:oddHBand="0" w:evenHBand="1" w:firstRowFirstColumn="0" w:firstRowLastColumn="0" w:lastRowFirstColumn="0" w:lastRowLastColumn="0"/>
        </w:trPr>
        <w:tc>
          <w:tcPr>
            <w:tcW w:w="1644" w:type="dxa"/>
            <w:tcBorders>
              <w:top w:val="single" w:sz="2" w:space="0" w:color="auto"/>
              <w:left w:val="single" w:sz="2" w:space="0" w:color="auto"/>
              <w:bottom w:val="single" w:sz="2" w:space="0" w:color="auto"/>
              <w:right w:val="single" w:sz="2" w:space="0" w:color="auto"/>
            </w:tcBorders>
            <w:hideMark/>
          </w:tcPr>
          <w:p w14:paraId="1058BC50" w14:textId="77777777" w:rsidR="008F7918" w:rsidRDefault="008F7918">
            <w:pPr>
              <w:pStyle w:val="NormalWeb"/>
              <w:jc w:val="left"/>
              <w:rPr>
                <w:sz w:val="18"/>
                <w:szCs w:val="18"/>
              </w:rPr>
            </w:pPr>
            <w:r>
              <w:rPr>
                <w:sz w:val="18"/>
                <w:szCs w:val="18"/>
              </w:rPr>
              <w:t>24 months</w:t>
            </w:r>
          </w:p>
        </w:tc>
        <w:tc>
          <w:tcPr>
            <w:tcW w:w="624" w:type="dxa"/>
            <w:tcBorders>
              <w:top w:val="single" w:sz="2" w:space="0" w:color="auto"/>
              <w:left w:val="single" w:sz="2" w:space="0" w:color="auto"/>
              <w:bottom w:val="single" w:sz="2" w:space="0" w:color="auto"/>
              <w:right w:val="single" w:sz="2" w:space="0" w:color="auto"/>
            </w:tcBorders>
            <w:hideMark/>
          </w:tcPr>
          <w:p w14:paraId="373D0BD3" w14:textId="77777777" w:rsidR="008F7918" w:rsidRDefault="008F7918">
            <w:pPr>
              <w:rPr>
                <w:sz w:val="18"/>
                <w:szCs w:val="18"/>
              </w:rPr>
            </w:pPr>
          </w:p>
        </w:tc>
        <w:tc>
          <w:tcPr>
            <w:tcW w:w="709" w:type="dxa"/>
            <w:tcBorders>
              <w:top w:val="single" w:sz="2" w:space="0" w:color="auto"/>
              <w:left w:val="single" w:sz="2" w:space="0" w:color="auto"/>
              <w:bottom w:val="single" w:sz="2" w:space="0" w:color="auto"/>
              <w:right w:val="single" w:sz="2" w:space="0" w:color="auto"/>
            </w:tcBorders>
            <w:hideMark/>
          </w:tcPr>
          <w:p w14:paraId="3BFB716C" w14:textId="77777777" w:rsidR="008F7918" w:rsidRDefault="008F7918">
            <w:pPr>
              <w:rPr>
                <w:rFonts w:asciiTheme="minorHAnsi" w:hAnsiTheme="minorHAnsi"/>
                <w:color w:val="auto"/>
                <w:sz w:val="20"/>
                <w:szCs w:val="20"/>
              </w:rPr>
            </w:pPr>
          </w:p>
        </w:tc>
        <w:tc>
          <w:tcPr>
            <w:tcW w:w="567" w:type="dxa"/>
            <w:tcBorders>
              <w:top w:val="single" w:sz="2" w:space="0" w:color="auto"/>
              <w:left w:val="single" w:sz="2" w:space="0" w:color="auto"/>
              <w:bottom w:val="single" w:sz="2" w:space="0" w:color="auto"/>
              <w:right w:val="single" w:sz="2" w:space="0" w:color="auto"/>
            </w:tcBorders>
            <w:hideMark/>
          </w:tcPr>
          <w:p w14:paraId="383B18EC" w14:textId="77777777" w:rsidR="008F7918" w:rsidRDefault="008F7918">
            <w:pPr>
              <w:rPr>
                <w:rFonts w:asciiTheme="minorHAnsi" w:hAnsiTheme="minorHAnsi"/>
                <w:color w:val="auto"/>
                <w:sz w:val="20"/>
                <w:szCs w:val="20"/>
              </w:rPr>
            </w:pPr>
          </w:p>
        </w:tc>
        <w:tc>
          <w:tcPr>
            <w:tcW w:w="567" w:type="dxa"/>
            <w:tcBorders>
              <w:top w:val="single" w:sz="2" w:space="0" w:color="auto"/>
              <w:left w:val="single" w:sz="2" w:space="0" w:color="auto"/>
              <w:bottom w:val="single" w:sz="2" w:space="0" w:color="auto"/>
              <w:right w:val="single" w:sz="2" w:space="0" w:color="auto"/>
            </w:tcBorders>
            <w:hideMark/>
          </w:tcPr>
          <w:p w14:paraId="4E37E3A9" w14:textId="77777777" w:rsidR="008F7918" w:rsidRDefault="008F7918">
            <w:pPr>
              <w:rPr>
                <w:rFonts w:asciiTheme="minorHAnsi" w:hAnsiTheme="minorHAnsi"/>
                <w:color w:val="auto"/>
                <w:sz w:val="20"/>
                <w:szCs w:val="20"/>
              </w:rPr>
            </w:pPr>
          </w:p>
        </w:tc>
        <w:tc>
          <w:tcPr>
            <w:tcW w:w="567" w:type="dxa"/>
            <w:tcBorders>
              <w:top w:val="single" w:sz="2" w:space="0" w:color="auto"/>
              <w:left w:val="single" w:sz="2" w:space="0" w:color="auto"/>
              <w:bottom w:val="single" w:sz="2" w:space="0" w:color="auto"/>
              <w:right w:val="single" w:sz="2" w:space="0" w:color="auto"/>
            </w:tcBorders>
            <w:hideMark/>
          </w:tcPr>
          <w:p w14:paraId="5125A0A3" w14:textId="77777777" w:rsidR="008F7918" w:rsidRDefault="008F7918">
            <w:pPr>
              <w:rPr>
                <w:rFonts w:asciiTheme="minorHAnsi" w:hAnsiTheme="minorHAnsi"/>
                <w:color w:val="auto"/>
                <w:sz w:val="20"/>
                <w:szCs w:val="20"/>
              </w:rPr>
            </w:pPr>
          </w:p>
        </w:tc>
        <w:tc>
          <w:tcPr>
            <w:tcW w:w="709" w:type="dxa"/>
            <w:tcBorders>
              <w:top w:val="single" w:sz="2" w:space="0" w:color="auto"/>
              <w:left w:val="single" w:sz="2" w:space="0" w:color="auto"/>
              <w:bottom w:val="single" w:sz="2" w:space="0" w:color="auto"/>
              <w:right w:val="single" w:sz="2" w:space="0" w:color="auto"/>
            </w:tcBorders>
            <w:hideMark/>
          </w:tcPr>
          <w:p w14:paraId="2B9069AE" w14:textId="77777777" w:rsidR="008F7918" w:rsidRDefault="008F7918">
            <w:pPr>
              <w:rPr>
                <w:rFonts w:asciiTheme="minorHAnsi" w:hAnsiTheme="minorHAnsi"/>
                <w:color w:val="auto"/>
                <w:sz w:val="20"/>
                <w:szCs w:val="20"/>
              </w:rPr>
            </w:pPr>
          </w:p>
        </w:tc>
        <w:tc>
          <w:tcPr>
            <w:tcW w:w="992" w:type="dxa"/>
            <w:tcBorders>
              <w:top w:val="single" w:sz="2" w:space="0" w:color="auto"/>
              <w:left w:val="single" w:sz="2" w:space="0" w:color="auto"/>
              <w:bottom w:val="single" w:sz="2" w:space="0" w:color="auto"/>
              <w:right w:val="single" w:sz="2" w:space="0" w:color="auto"/>
            </w:tcBorders>
            <w:hideMark/>
          </w:tcPr>
          <w:p w14:paraId="5E32F13B" w14:textId="77777777" w:rsidR="008F7918" w:rsidRDefault="008F7918">
            <w:pPr>
              <w:rPr>
                <w:rFonts w:asciiTheme="minorHAnsi" w:hAnsiTheme="minorHAnsi"/>
                <w:color w:val="auto"/>
                <w:sz w:val="20"/>
                <w:szCs w:val="20"/>
              </w:rPr>
            </w:pPr>
          </w:p>
        </w:tc>
        <w:tc>
          <w:tcPr>
            <w:tcW w:w="709" w:type="dxa"/>
            <w:tcBorders>
              <w:top w:val="single" w:sz="2" w:space="0" w:color="auto"/>
              <w:left w:val="single" w:sz="2" w:space="0" w:color="auto"/>
              <w:bottom w:val="single" w:sz="2" w:space="0" w:color="auto"/>
              <w:right w:val="single" w:sz="2" w:space="0" w:color="auto"/>
            </w:tcBorders>
            <w:hideMark/>
          </w:tcPr>
          <w:p w14:paraId="635D470A" w14:textId="77777777" w:rsidR="008F7918" w:rsidRDefault="008F7918">
            <w:pPr>
              <w:rPr>
                <w:rFonts w:asciiTheme="minorHAnsi" w:hAnsiTheme="minorHAnsi"/>
                <w:color w:val="auto"/>
                <w:sz w:val="20"/>
                <w:szCs w:val="20"/>
              </w:rPr>
            </w:pPr>
          </w:p>
        </w:tc>
        <w:tc>
          <w:tcPr>
            <w:tcW w:w="850" w:type="dxa"/>
            <w:tcBorders>
              <w:top w:val="single" w:sz="2" w:space="0" w:color="auto"/>
              <w:left w:val="single" w:sz="2" w:space="0" w:color="auto"/>
              <w:bottom w:val="single" w:sz="2" w:space="0" w:color="auto"/>
              <w:right w:val="single" w:sz="2" w:space="0" w:color="auto"/>
            </w:tcBorders>
            <w:hideMark/>
          </w:tcPr>
          <w:p w14:paraId="0C7B25F9" w14:textId="77777777" w:rsidR="008F7918" w:rsidRDefault="008F7918">
            <w:pPr>
              <w:rPr>
                <w:rFonts w:asciiTheme="minorHAnsi" w:hAnsiTheme="minorHAnsi"/>
                <w:color w:val="auto"/>
                <w:sz w:val="20"/>
                <w:szCs w:val="20"/>
              </w:rPr>
            </w:pPr>
          </w:p>
        </w:tc>
        <w:tc>
          <w:tcPr>
            <w:tcW w:w="851" w:type="dxa"/>
            <w:tcBorders>
              <w:top w:val="single" w:sz="2" w:space="0" w:color="auto"/>
              <w:left w:val="single" w:sz="2" w:space="0" w:color="auto"/>
              <w:bottom w:val="single" w:sz="2" w:space="0" w:color="auto"/>
              <w:right w:val="single" w:sz="2" w:space="0" w:color="auto"/>
            </w:tcBorders>
            <w:hideMark/>
          </w:tcPr>
          <w:p w14:paraId="6B6C850A" w14:textId="77777777" w:rsidR="008F7918" w:rsidRDefault="008F7918">
            <w:pPr>
              <w:rPr>
                <w:rFonts w:asciiTheme="minorHAnsi" w:hAnsiTheme="minorHAnsi"/>
                <w:color w:val="auto"/>
                <w:sz w:val="20"/>
                <w:szCs w:val="20"/>
              </w:rPr>
            </w:pPr>
          </w:p>
        </w:tc>
        <w:tc>
          <w:tcPr>
            <w:tcW w:w="709" w:type="dxa"/>
            <w:tcBorders>
              <w:top w:val="single" w:sz="2" w:space="0" w:color="auto"/>
              <w:left w:val="single" w:sz="2" w:space="0" w:color="auto"/>
              <w:bottom w:val="single" w:sz="2" w:space="0" w:color="auto"/>
              <w:right w:val="single" w:sz="2" w:space="0" w:color="auto"/>
            </w:tcBorders>
            <w:hideMark/>
          </w:tcPr>
          <w:p w14:paraId="3D38CAB1" w14:textId="77777777" w:rsidR="008F7918" w:rsidRDefault="008F7918">
            <w:pPr>
              <w:rPr>
                <w:rFonts w:asciiTheme="minorHAnsi" w:hAnsiTheme="minorHAnsi"/>
                <w:color w:val="auto"/>
                <w:sz w:val="20"/>
                <w:szCs w:val="20"/>
              </w:rPr>
            </w:pPr>
          </w:p>
        </w:tc>
        <w:tc>
          <w:tcPr>
            <w:tcW w:w="968" w:type="dxa"/>
            <w:tcBorders>
              <w:top w:val="single" w:sz="2" w:space="0" w:color="auto"/>
              <w:left w:val="single" w:sz="2" w:space="0" w:color="auto"/>
              <w:bottom w:val="single" w:sz="2" w:space="0" w:color="auto"/>
              <w:right w:val="single" w:sz="2" w:space="0" w:color="auto"/>
            </w:tcBorders>
            <w:hideMark/>
          </w:tcPr>
          <w:p w14:paraId="46C4BE18" w14:textId="77777777" w:rsidR="008F7918" w:rsidRDefault="008F7918">
            <w:pPr>
              <w:rPr>
                <w:rFonts w:asciiTheme="minorHAnsi" w:hAnsiTheme="minorHAnsi"/>
                <w:color w:val="auto"/>
                <w:sz w:val="20"/>
                <w:szCs w:val="20"/>
              </w:rPr>
            </w:pPr>
          </w:p>
        </w:tc>
      </w:tr>
      <w:tr w:rsidR="008F7918" w14:paraId="6B52E49B" w14:textId="77777777" w:rsidTr="008F7918">
        <w:tc>
          <w:tcPr>
            <w:tcW w:w="1644" w:type="dxa"/>
            <w:tcBorders>
              <w:top w:val="single" w:sz="2" w:space="0" w:color="auto"/>
              <w:left w:val="single" w:sz="2" w:space="0" w:color="auto"/>
              <w:bottom w:val="single" w:sz="2" w:space="0" w:color="auto"/>
              <w:right w:val="single" w:sz="2" w:space="0" w:color="auto"/>
            </w:tcBorders>
            <w:hideMark/>
          </w:tcPr>
          <w:p w14:paraId="73A7390A" w14:textId="77777777" w:rsidR="008F7918" w:rsidRDefault="008F7918">
            <w:pPr>
              <w:pStyle w:val="NormalWeb"/>
              <w:jc w:val="left"/>
              <w:rPr>
                <w:sz w:val="18"/>
                <w:szCs w:val="18"/>
              </w:rPr>
            </w:pPr>
            <w:r>
              <w:rPr>
                <w:sz w:val="18"/>
                <w:szCs w:val="18"/>
              </w:rPr>
              <w:t>48 months</w:t>
            </w:r>
          </w:p>
        </w:tc>
        <w:tc>
          <w:tcPr>
            <w:tcW w:w="624" w:type="dxa"/>
            <w:tcBorders>
              <w:top w:val="single" w:sz="2" w:space="0" w:color="auto"/>
              <w:left w:val="single" w:sz="2" w:space="0" w:color="auto"/>
              <w:bottom w:val="single" w:sz="2" w:space="0" w:color="auto"/>
              <w:right w:val="single" w:sz="2" w:space="0" w:color="auto"/>
            </w:tcBorders>
            <w:hideMark/>
          </w:tcPr>
          <w:p w14:paraId="71443B5A" w14:textId="77777777" w:rsidR="008F7918" w:rsidRDefault="008F7918">
            <w:pPr>
              <w:rPr>
                <w:sz w:val="18"/>
                <w:szCs w:val="18"/>
              </w:rPr>
            </w:pPr>
          </w:p>
        </w:tc>
        <w:tc>
          <w:tcPr>
            <w:tcW w:w="709" w:type="dxa"/>
            <w:tcBorders>
              <w:top w:val="single" w:sz="2" w:space="0" w:color="auto"/>
              <w:left w:val="single" w:sz="2" w:space="0" w:color="auto"/>
              <w:bottom w:val="single" w:sz="2" w:space="0" w:color="auto"/>
              <w:right w:val="single" w:sz="2" w:space="0" w:color="auto"/>
            </w:tcBorders>
            <w:hideMark/>
          </w:tcPr>
          <w:p w14:paraId="61A5DC50" w14:textId="77777777" w:rsidR="008F7918" w:rsidRDefault="008F7918">
            <w:pPr>
              <w:pStyle w:val="NormalWeb"/>
              <w:rPr>
                <w:sz w:val="18"/>
                <w:szCs w:val="18"/>
              </w:rPr>
            </w:pPr>
            <w:proofErr w:type="spellStart"/>
            <w:r>
              <w:rPr>
                <w:sz w:val="18"/>
                <w:szCs w:val="18"/>
              </w:rPr>
              <w:t>DTPa</w:t>
            </w:r>
            <w:proofErr w:type="spellEnd"/>
          </w:p>
        </w:tc>
        <w:tc>
          <w:tcPr>
            <w:tcW w:w="567" w:type="dxa"/>
            <w:tcBorders>
              <w:top w:val="single" w:sz="2" w:space="0" w:color="auto"/>
              <w:left w:val="single" w:sz="2" w:space="0" w:color="auto"/>
              <w:bottom w:val="single" w:sz="2" w:space="0" w:color="auto"/>
              <w:right w:val="single" w:sz="2" w:space="0" w:color="auto"/>
            </w:tcBorders>
            <w:hideMark/>
          </w:tcPr>
          <w:p w14:paraId="3301C334" w14:textId="77777777" w:rsidR="008F7918" w:rsidRDefault="008F7918">
            <w:pPr>
              <w:rPr>
                <w:sz w:val="18"/>
                <w:szCs w:val="18"/>
              </w:rPr>
            </w:pPr>
          </w:p>
        </w:tc>
        <w:tc>
          <w:tcPr>
            <w:tcW w:w="567" w:type="dxa"/>
            <w:tcBorders>
              <w:top w:val="single" w:sz="2" w:space="0" w:color="auto"/>
              <w:left w:val="single" w:sz="2" w:space="0" w:color="auto"/>
              <w:bottom w:val="single" w:sz="2" w:space="0" w:color="auto"/>
              <w:right w:val="single" w:sz="2" w:space="0" w:color="auto"/>
            </w:tcBorders>
            <w:hideMark/>
          </w:tcPr>
          <w:p w14:paraId="65AA6912" w14:textId="77777777" w:rsidR="008F7918" w:rsidRDefault="008F7918">
            <w:pPr>
              <w:pStyle w:val="NormalWeb"/>
              <w:rPr>
                <w:sz w:val="18"/>
                <w:szCs w:val="18"/>
              </w:rPr>
            </w:pPr>
            <w:r>
              <w:rPr>
                <w:sz w:val="18"/>
                <w:szCs w:val="18"/>
              </w:rPr>
              <w:t>Polio</w:t>
            </w:r>
          </w:p>
        </w:tc>
        <w:tc>
          <w:tcPr>
            <w:tcW w:w="567" w:type="dxa"/>
            <w:tcBorders>
              <w:top w:val="single" w:sz="2" w:space="0" w:color="auto"/>
              <w:left w:val="single" w:sz="2" w:space="0" w:color="auto"/>
              <w:bottom w:val="single" w:sz="2" w:space="0" w:color="auto"/>
              <w:right w:val="single" w:sz="2" w:space="0" w:color="auto"/>
            </w:tcBorders>
            <w:hideMark/>
          </w:tcPr>
          <w:p w14:paraId="558DC6CE" w14:textId="77777777" w:rsidR="008F7918" w:rsidRDefault="008F7918">
            <w:pPr>
              <w:rPr>
                <w:sz w:val="18"/>
                <w:szCs w:val="18"/>
              </w:rPr>
            </w:pPr>
          </w:p>
        </w:tc>
        <w:tc>
          <w:tcPr>
            <w:tcW w:w="709" w:type="dxa"/>
            <w:tcBorders>
              <w:top w:val="single" w:sz="2" w:space="0" w:color="auto"/>
              <w:left w:val="single" w:sz="2" w:space="0" w:color="auto"/>
              <w:bottom w:val="single" w:sz="2" w:space="0" w:color="auto"/>
              <w:right w:val="single" w:sz="2" w:space="0" w:color="auto"/>
            </w:tcBorders>
            <w:hideMark/>
          </w:tcPr>
          <w:p w14:paraId="3B10C2EC" w14:textId="77777777" w:rsidR="008F7918" w:rsidRDefault="008F7918">
            <w:pPr>
              <w:rPr>
                <w:rFonts w:asciiTheme="minorHAnsi" w:hAnsiTheme="minorHAnsi"/>
                <w:color w:val="auto"/>
                <w:sz w:val="20"/>
                <w:szCs w:val="20"/>
              </w:rPr>
            </w:pPr>
          </w:p>
        </w:tc>
        <w:tc>
          <w:tcPr>
            <w:tcW w:w="992" w:type="dxa"/>
            <w:tcBorders>
              <w:top w:val="single" w:sz="2" w:space="0" w:color="auto"/>
              <w:left w:val="single" w:sz="2" w:space="0" w:color="auto"/>
              <w:bottom w:val="single" w:sz="2" w:space="0" w:color="auto"/>
              <w:right w:val="single" w:sz="2" w:space="0" w:color="auto"/>
            </w:tcBorders>
            <w:hideMark/>
          </w:tcPr>
          <w:p w14:paraId="0D12BBC4" w14:textId="77777777" w:rsidR="008F7918" w:rsidRDefault="008F7918">
            <w:pPr>
              <w:rPr>
                <w:rFonts w:asciiTheme="minorHAnsi" w:hAnsiTheme="minorHAnsi"/>
                <w:color w:val="auto"/>
                <w:sz w:val="20"/>
                <w:szCs w:val="20"/>
              </w:rPr>
            </w:pPr>
          </w:p>
        </w:tc>
        <w:tc>
          <w:tcPr>
            <w:tcW w:w="709" w:type="dxa"/>
            <w:tcBorders>
              <w:top w:val="single" w:sz="2" w:space="0" w:color="auto"/>
              <w:left w:val="single" w:sz="2" w:space="0" w:color="auto"/>
              <w:bottom w:val="single" w:sz="2" w:space="0" w:color="auto"/>
              <w:right w:val="single" w:sz="2" w:space="0" w:color="auto"/>
            </w:tcBorders>
            <w:hideMark/>
          </w:tcPr>
          <w:p w14:paraId="22BA147D" w14:textId="77777777" w:rsidR="008F7918" w:rsidRDefault="008F7918">
            <w:pPr>
              <w:rPr>
                <w:rFonts w:asciiTheme="minorHAnsi" w:hAnsiTheme="minorHAnsi"/>
                <w:color w:val="auto"/>
                <w:sz w:val="20"/>
                <w:szCs w:val="20"/>
              </w:rPr>
            </w:pPr>
          </w:p>
        </w:tc>
        <w:tc>
          <w:tcPr>
            <w:tcW w:w="850" w:type="dxa"/>
            <w:tcBorders>
              <w:top w:val="single" w:sz="2" w:space="0" w:color="auto"/>
              <w:left w:val="single" w:sz="2" w:space="0" w:color="auto"/>
              <w:bottom w:val="single" w:sz="2" w:space="0" w:color="auto"/>
              <w:right w:val="single" w:sz="2" w:space="0" w:color="auto"/>
            </w:tcBorders>
            <w:hideMark/>
          </w:tcPr>
          <w:p w14:paraId="57B0C16C" w14:textId="77777777" w:rsidR="008F7918" w:rsidRDefault="008F7918">
            <w:pPr>
              <w:pStyle w:val="NormalWeb"/>
              <w:rPr>
                <w:sz w:val="18"/>
                <w:szCs w:val="18"/>
              </w:rPr>
            </w:pPr>
            <w:r>
              <w:rPr>
                <w:sz w:val="18"/>
                <w:szCs w:val="18"/>
              </w:rPr>
              <w:t>23vPPV</w:t>
            </w:r>
            <w:r>
              <w:rPr>
                <w:sz w:val="18"/>
                <w:szCs w:val="18"/>
                <w:vertAlign w:val="superscript"/>
              </w:rPr>
              <w:t>e</w:t>
            </w:r>
          </w:p>
        </w:tc>
        <w:tc>
          <w:tcPr>
            <w:tcW w:w="851" w:type="dxa"/>
            <w:tcBorders>
              <w:top w:val="single" w:sz="2" w:space="0" w:color="auto"/>
              <w:left w:val="single" w:sz="2" w:space="0" w:color="auto"/>
              <w:bottom w:val="single" w:sz="2" w:space="0" w:color="auto"/>
              <w:right w:val="single" w:sz="2" w:space="0" w:color="auto"/>
            </w:tcBorders>
            <w:hideMark/>
          </w:tcPr>
          <w:p w14:paraId="32F9270C" w14:textId="77777777" w:rsidR="008F7918" w:rsidRDefault="008F7918">
            <w:pPr>
              <w:rPr>
                <w:sz w:val="18"/>
                <w:szCs w:val="18"/>
              </w:rPr>
            </w:pPr>
          </w:p>
        </w:tc>
        <w:tc>
          <w:tcPr>
            <w:tcW w:w="709" w:type="dxa"/>
            <w:tcBorders>
              <w:top w:val="single" w:sz="2" w:space="0" w:color="auto"/>
              <w:left w:val="single" w:sz="2" w:space="0" w:color="auto"/>
              <w:bottom w:val="single" w:sz="2" w:space="0" w:color="auto"/>
              <w:right w:val="single" w:sz="2" w:space="0" w:color="auto"/>
            </w:tcBorders>
            <w:hideMark/>
          </w:tcPr>
          <w:p w14:paraId="1B5BD6E5" w14:textId="77777777" w:rsidR="008F7918" w:rsidRDefault="008F7918">
            <w:pPr>
              <w:rPr>
                <w:rFonts w:asciiTheme="minorHAnsi" w:hAnsiTheme="minorHAnsi"/>
                <w:color w:val="auto"/>
                <w:sz w:val="20"/>
                <w:szCs w:val="20"/>
              </w:rPr>
            </w:pPr>
          </w:p>
        </w:tc>
        <w:tc>
          <w:tcPr>
            <w:tcW w:w="968" w:type="dxa"/>
            <w:tcBorders>
              <w:top w:val="single" w:sz="2" w:space="0" w:color="auto"/>
              <w:left w:val="single" w:sz="2" w:space="0" w:color="auto"/>
              <w:bottom w:val="single" w:sz="2" w:space="0" w:color="auto"/>
              <w:right w:val="single" w:sz="2" w:space="0" w:color="auto"/>
            </w:tcBorders>
            <w:hideMark/>
          </w:tcPr>
          <w:p w14:paraId="2D4FD95F" w14:textId="77777777" w:rsidR="008F7918" w:rsidRDefault="008F7918">
            <w:pPr>
              <w:rPr>
                <w:rFonts w:asciiTheme="minorHAnsi" w:hAnsiTheme="minorHAnsi"/>
                <w:color w:val="auto"/>
                <w:sz w:val="20"/>
                <w:szCs w:val="20"/>
              </w:rPr>
            </w:pPr>
          </w:p>
        </w:tc>
      </w:tr>
      <w:tr w:rsidR="008F7918" w14:paraId="383F7779" w14:textId="77777777" w:rsidTr="008F7918">
        <w:trPr>
          <w:cnfStyle w:val="000000010000" w:firstRow="0" w:lastRow="0" w:firstColumn="0" w:lastColumn="0" w:oddVBand="0" w:evenVBand="0" w:oddHBand="0" w:evenHBand="1" w:firstRowFirstColumn="0" w:firstRowLastColumn="0" w:lastRowFirstColumn="0" w:lastRowLastColumn="0"/>
        </w:trPr>
        <w:tc>
          <w:tcPr>
            <w:tcW w:w="1644" w:type="dxa"/>
            <w:tcBorders>
              <w:top w:val="single" w:sz="2" w:space="0" w:color="auto"/>
              <w:left w:val="single" w:sz="2" w:space="0" w:color="auto"/>
              <w:bottom w:val="single" w:sz="2" w:space="0" w:color="auto"/>
              <w:right w:val="single" w:sz="2" w:space="0" w:color="auto"/>
            </w:tcBorders>
            <w:hideMark/>
          </w:tcPr>
          <w:p w14:paraId="6618F901" w14:textId="77777777" w:rsidR="008F7918" w:rsidRDefault="008F7918">
            <w:pPr>
              <w:pStyle w:val="NormalWeb"/>
              <w:jc w:val="left"/>
              <w:rPr>
                <w:sz w:val="18"/>
                <w:szCs w:val="18"/>
              </w:rPr>
            </w:pPr>
            <w:r>
              <w:rPr>
                <w:sz w:val="18"/>
                <w:szCs w:val="18"/>
              </w:rPr>
              <w:t>6 months–9 years</w:t>
            </w:r>
          </w:p>
        </w:tc>
        <w:tc>
          <w:tcPr>
            <w:tcW w:w="624" w:type="dxa"/>
            <w:tcBorders>
              <w:top w:val="single" w:sz="2" w:space="0" w:color="auto"/>
              <w:left w:val="single" w:sz="2" w:space="0" w:color="auto"/>
              <w:bottom w:val="single" w:sz="2" w:space="0" w:color="auto"/>
              <w:right w:val="single" w:sz="2" w:space="0" w:color="auto"/>
            </w:tcBorders>
            <w:hideMark/>
          </w:tcPr>
          <w:p w14:paraId="67158E60" w14:textId="77777777" w:rsidR="008F7918" w:rsidRDefault="008F7918">
            <w:pPr>
              <w:rPr>
                <w:sz w:val="18"/>
                <w:szCs w:val="18"/>
              </w:rPr>
            </w:pPr>
          </w:p>
        </w:tc>
        <w:tc>
          <w:tcPr>
            <w:tcW w:w="709" w:type="dxa"/>
            <w:tcBorders>
              <w:top w:val="single" w:sz="2" w:space="0" w:color="auto"/>
              <w:left w:val="single" w:sz="2" w:space="0" w:color="auto"/>
              <w:bottom w:val="single" w:sz="2" w:space="0" w:color="auto"/>
              <w:right w:val="single" w:sz="2" w:space="0" w:color="auto"/>
            </w:tcBorders>
            <w:hideMark/>
          </w:tcPr>
          <w:p w14:paraId="4103F21C" w14:textId="77777777" w:rsidR="008F7918" w:rsidRDefault="008F7918">
            <w:pPr>
              <w:rPr>
                <w:rFonts w:asciiTheme="minorHAnsi" w:hAnsiTheme="minorHAnsi"/>
                <w:color w:val="auto"/>
                <w:sz w:val="20"/>
                <w:szCs w:val="20"/>
              </w:rPr>
            </w:pPr>
          </w:p>
        </w:tc>
        <w:tc>
          <w:tcPr>
            <w:tcW w:w="567" w:type="dxa"/>
            <w:tcBorders>
              <w:top w:val="single" w:sz="2" w:space="0" w:color="auto"/>
              <w:left w:val="single" w:sz="2" w:space="0" w:color="auto"/>
              <w:bottom w:val="single" w:sz="2" w:space="0" w:color="auto"/>
              <w:right w:val="single" w:sz="2" w:space="0" w:color="auto"/>
            </w:tcBorders>
            <w:hideMark/>
          </w:tcPr>
          <w:p w14:paraId="4F6BF1F7" w14:textId="77777777" w:rsidR="008F7918" w:rsidRDefault="008F7918">
            <w:pPr>
              <w:rPr>
                <w:rFonts w:asciiTheme="minorHAnsi" w:hAnsiTheme="minorHAnsi"/>
                <w:color w:val="auto"/>
                <w:sz w:val="20"/>
                <w:szCs w:val="20"/>
              </w:rPr>
            </w:pPr>
          </w:p>
        </w:tc>
        <w:tc>
          <w:tcPr>
            <w:tcW w:w="567" w:type="dxa"/>
            <w:tcBorders>
              <w:top w:val="single" w:sz="2" w:space="0" w:color="auto"/>
              <w:left w:val="single" w:sz="2" w:space="0" w:color="auto"/>
              <w:bottom w:val="single" w:sz="2" w:space="0" w:color="auto"/>
              <w:right w:val="single" w:sz="2" w:space="0" w:color="auto"/>
            </w:tcBorders>
            <w:hideMark/>
          </w:tcPr>
          <w:p w14:paraId="7B2E69BE" w14:textId="77777777" w:rsidR="008F7918" w:rsidRDefault="008F7918">
            <w:pPr>
              <w:rPr>
                <w:rFonts w:asciiTheme="minorHAnsi" w:hAnsiTheme="minorHAnsi"/>
                <w:color w:val="auto"/>
                <w:sz w:val="20"/>
                <w:szCs w:val="20"/>
              </w:rPr>
            </w:pPr>
          </w:p>
        </w:tc>
        <w:tc>
          <w:tcPr>
            <w:tcW w:w="567" w:type="dxa"/>
            <w:tcBorders>
              <w:top w:val="single" w:sz="2" w:space="0" w:color="auto"/>
              <w:left w:val="single" w:sz="2" w:space="0" w:color="auto"/>
              <w:bottom w:val="single" w:sz="2" w:space="0" w:color="auto"/>
              <w:right w:val="single" w:sz="2" w:space="0" w:color="auto"/>
            </w:tcBorders>
            <w:hideMark/>
          </w:tcPr>
          <w:p w14:paraId="3E9B9622" w14:textId="77777777" w:rsidR="008F7918" w:rsidRDefault="008F7918">
            <w:pPr>
              <w:rPr>
                <w:rFonts w:asciiTheme="minorHAnsi" w:hAnsiTheme="minorHAnsi"/>
                <w:color w:val="auto"/>
                <w:sz w:val="20"/>
                <w:szCs w:val="20"/>
              </w:rPr>
            </w:pPr>
          </w:p>
        </w:tc>
        <w:tc>
          <w:tcPr>
            <w:tcW w:w="709" w:type="dxa"/>
            <w:tcBorders>
              <w:top w:val="single" w:sz="2" w:space="0" w:color="auto"/>
              <w:left w:val="single" w:sz="2" w:space="0" w:color="auto"/>
              <w:bottom w:val="single" w:sz="2" w:space="0" w:color="auto"/>
              <w:right w:val="single" w:sz="2" w:space="0" w:color="auto"/>
            </w:tcBorders>
            <w:hideMark/>
          </w:tcPr>
          <w:p w14:paraId="71DB76C8" w14:textId="77777777" w:rsidR="008F7918" w:rsidRDefault="008F7918">
            <w:pPr>
              <w:rPr>
                <w:rFonts w:asciiTheme="minorHAnsi" w:hAnsiTheme="minorHAnsi"/>
                <w:color w:val="auto"/>
                <w:sz w:val="20"/>
                <w:szCs w:val="20"/>
              </w:rPr>
            </w:pPr>
          </w:p>
        </w:tc>
        <w:tc>
          <w:tcPr>
            <w:tcW w:w="992" w:type="dxa"/>
            <w:tcBorders>
              <w:top w:val="single" w:sz="2" w:space="0" w:color="auto"/>
              <w:left w:val="single" w:sz="2" w:space="0" w:color="auto"/>
              <w:bottom w:val="single" w:sz="2" w:space="0" w:color="auto"/>
              <w:right w:val="single" w:sz="2" w:space="0" w:color="auto"/>
            </w:tcBorders>
            <w:hideMark/>
          </w:tcPr>
          <w:p w14:paraId="0B68CE18" w14:textId="77777777" w:rsidR="008F7918" w:rsidRDefault="008F7918">
            <w:pPr>
              <w:rPr>
                <w:rFonts w:asciiTheme="minorHAnsi" w:hAnsiTheme="minorHAnsi"/>
                <w:color w:val="auto"/>
                <w:sz w:val="20"/>
                <w:szCs w:val="20"/>
              </w:rPr>
            </w:pPr>
          </w:p>
        </w:tc>
        <w:tc>
          <w:tcPr>
            <w:tcW w:w="709" w:type="dxa"/>
            <w:tcBorders>
              <w:top w:val="single" w:sz="2" w:space="0" w:color="auto"/>
              <w:left w:val="single" w:sz="2" w:space="0" w:color="auto"/>
              <w:bottom w:val="single" w:sz="2" w:space="0" w:color="auto"/>
              <w:right w:val="single" w:sz="2" w:space="0" w:color="auto"/>
            </w:tcBorders>
            <w:hideMark/>
          </w:tcPr>
          <w:p w14:paraId="4EB736E0" w14:textId="77777777" w:rsidR="008F7918" w:rsidRDefault="008F7918">
            <w:pPr>
              <w:rPr>
                <w:rFonts w:asciiTheme="minorHAnsi" w:hAnsiTheme="minorHAnsi"/>
                <w:color w:val="auto"/>
                <w:sz w:val="20"/>
                <w:szCs w:val="20"/>
              </w:rPr>
            </w:pPr>
          </w:p>
        </w:tc>
        <w:tc>
          <w:tcPr>
            <w:tcW w:w="850" w:type="dxa"/>
            <w:tcBorders>
              <w:top w:val="single" w:sz="2" w:space="0" w:color="auto"/>
              <w:left w:val="single" w:sz="2" w:space="0" w:color="auto"/>
              <w:bottom w:val="single" w:sz="2" w:space="0" w:color="auto"/>
              <w:right w:val="single" w:sz="2" w:space="0" w:color="auto"/>
            </w:tcBorders>
            <w:hideMark/>
          </w:tcPr>
          <w:p w14:paraId="65C10624" w14:textId="77777777" w:rsidR="008F7918" w:rsidRDefault="008F7918">
            <w:pPr>
              <w:rPr>
                <w:rFonts w:asciiTheme="minorHAnsi" w:hAnsiTheme="minorHAnsi"/>
                <w:color w:val="auto"/>
                <w:sz w:val="20"/>
                <w:szCs w:val="20"/>
              </w:rPr>
            </w:pPr>
          </w:p>
        </w:tc>
        <w:tc>
          <w:tcPr>
            <w:tcW w:w="851" w:type="dxa"/>
            <w:tcBorders>
              <w:top w:val="single" w:sz="2" w:space="0" w:color="auto"/>
              <w:left w:val="single" w:sz="2" w:space="0" w:color="auto"/>
              <w:bottom w:val="single" w:sz="2" w:space="0" w:color="auto"/>
              <w:right w:val="single" w:sz="2" w:space="0" w:color="auto"/>
            </w:tcBorders>
            <w:hideMark/>
          </w:tcPr>
          <w:p w14:paraId="391579F5" w14:textId="77777777" w:rsidR="008F7918" w:rsidRDefault="008F7918">
            <w:pPr>
              <w:rPr>
                <w:rFonts w:asciiTheme="minorHAnsi" w:hAnsiTheme="minorHAnsi"/>
                <w:color w:val="auto"/>
                <w:sz w:val="20"/>
                <w:szCs w:val="20"/>
              </w:rPr>
            </w:pPr>
          </w:p>
        </w:tc>
        <w:tc>
          <w:tcPr>
            <w:tcW w:w="709" w:type="dxa"/>
            <w:tcBorders>
              <w:top w:val="single" w:sz="2" w:space="0" w:color="auto"/>
              <w:left w:val="single" w:sz="2" w:space="0" w:color="auto"/>
              <w:bottom w:val="single" w:sz="2" w:space="0" w:color="auto"/>
              <w:right w:val="single" w:sz="2" w:space="0" w:color="auto"/>
            </w:tcBorders>
            <w:hideMark/>
          </w:tcPr>
          <w:p w14:paraId="07F46E8B" w14:textId="77777777" w:rsidR="008F7918" w:rsidRDefault="008F7918">
            <w:pPr>
              <w:pStyle w:val="NormalWeb"/>
              <w:rPr>
                <w:sz w:val="18"/>
                <w:szCs w:val="18"/>
              </w:rPr>
            </w:pPr>
            <w:proofErr w:type="spellStart"/>
            <w:r>
              <w:rPr>
                <w:sz w:val="18"/>
                <w:szCs w:val="18"/>
              </w:rPr>
              <w:t>Flu</w:t>
            </w:r>
            <w:r>
              <w:rPr>
                <w:sz w:val="18"/>
                <w:szCs w:val="18"/>
                <w:vertAlign w:val="superscript"/>
              </w:rPr>
              <w:t>f</w:t>
            </w:r>
            <w:proofErr w:type="spellEnd"/>
          </w:p>
        </w:tc>
        <w:tc>
          <w:tcPr>
            <w:tcW w:w="968" w:type="dxa"/>
            <w:tcBorders>
              <w:top w:val="single" w:sz="2" w:space="0" w:color="auto"/>
              <w:left w:val="single" w:sz="2" w:space="0" w:color="auto"/>
              <w:bottom w:val="single" w:sz="2" w:space="0" w:color="auto"/>
              <w:right w:val="single" w:sz="2" w:space="0" w:color="auto"/>
            </w:tcBorders>
            <w:hideMark/>
          </w:tcPr>
          <w:p w14:paraId="4741895C" w14:textId="77777777" w:rsidR="008F7918" w:rsidRDefault="008F7918">
            <w:pPr>
              <w:rPr>
                <w:sz w:val="18"/>
                <w:szCs w:val="18"/>
              </w:rPr>
            </w:pPr>
          </w:p>
        </w:tc>
      </w:tr>
      <w:tr w:rsidR="008F7918" w14:paraId="299B3612" w14:textId="77777777" w:rsidTr="008F7918">
        <w:tc>
          <w:tcPr>
            <w:tcW w:w="1644" w:type="dxa"/>
            <w:tcBorders>
              <w:top w:val="single" w:sz="2" w:space="0" w:color="auto"/>
              <w:left w:val="single" w:sz="2" w:space="0" w:color="auto"/>
              <w:bottom w:val="single" w:sz="2" w:space="0" w:color="auto"/>
              <w:right w:val="single" w:sz="2" w:space="0" w:color="auto"/>
            </w:tcBorders>
            <w:shd w:val="clear" w:color="auto" w:fill="BBA991"/>
            <w:hideMark/>
          </w:tcPr>
          <w:p w14:paraId="75D729C1" w14:textId="77777777" w:rsidR="008F7918" w:rsidRDefault="008F7918">
            <w:pPr>
              <w:pStyle w:val="NormalWeb"/>
              <w:jc w:val="left"/>
              <w:rPr>
                <w:b/>
                <w:bCs/>
                <w:sz w:val="18"/>
                <w:szCs w:val="18"/>
              </w:rPr>
            </w:pPr>
            <w:r>
              <w:rPr>
                <w:b/>
                <w:bCs/>
                <w:sz w:val="18"/>
                <w:szCs w:val="18"/>
              </w:rPr>
              <w:t>Adolescents</w:t>
            </w:r>
          </w:p>
        </w:tc>
        <w:tc>
          <w:tcPr>
            <w:tcW w:w="8822" w:type="dxa"/>
            <w:gridSpan w:val="12"/>
            <w:tcBorders>
              <w:top w:val="single" w:sz="2" w:space="0" w:color="auto"/>
              <w:left w:val="single" w:sz="2" w:space="0" w:color="auto"/>
              <w:bottom w:val="single" w:sz="2" w:space="0" w:color="auto"/>
              <w:right w:val="single" w:sz="2" w:space="0" w:color="auto"/>
            </w:tcBorders>
            <w:shd w:val="clear" w:color="auto" w:fill="BBA991"/>
            <w:hideMark/>
          </w:tcPr>
          <w:p w14:paraId="5A69D848" w14:textId="77777777" w:rsidR="008F7918" w:rsidRDefault="008F7918">
            <w:pPr>
              <w:rPr>
                <w:b/>
                <w:bCs/>
                <w:sz w:val="18"/>
                <w:szCs w:val="18"/>
              </w:rPr>
            </w:pPr>
          </w:p>
        </w:tc>
      </w:tr>
      <w:tr w:rsidR="008F7918" w14:paraId="439E1259" w14:textId="77777777" w:rsidTr="008F7918">
        <w:trPr>
          <w:cnfStyle w:val="000000010000" w:firstRow="0" w:lastRow="0" w:firstColumn="0" w:lastColumn="0" w:oddVBand="0" w:evenVBand="0" w:oddHBand="0" w:evenHBand="1" w:firstRowFirstColumn="0" w:firstRowLastColumn="0" w:lastRowFirstColumn="0" w:lastRowLastColumn="0"/>
        </w:trPr>
        <w:tc>
          <w:tcPr>
            <w:tcW w:w="1644" w:type="dxa"/>
            <w:tcBorders>
              <w:top w:val="single" w:sz="2" w:space="0" w:color="auto"/>
              <w:left w:val="single" w:sz="2" w:space="0" w:color="auto"/>
              <w:bottom w:val="single" w:sz="2" w:space="0" w:color="auto"/>
              <w:right w:val="single" w:sz="2" w:space="0" w:color="auto"/>
            </w:tcBorders>
            <w:hideMark/>
          </w:tcPr>
          <w:p w14:paraId="42762A4E" w14:textId="77777777" w:rsidR="008F7918" w:rsidRDefault="008F7918">
            <w:pPr>
              <w:pStyle w:val="NormalWeb"/>
              <w:jc w:val="left"/>
              <w:rPr>
                <w:sz w:val="18"/>
                <w:szCs w:val="18"/>
              </w:rPr>
            </w:pPr>
            <w:r>
              <w:rPr>
                <w:sz w:val="18"/>
                <w:szCs w:val="18"/>
              </w:rPr>
              <w:t>12–15 years</w:t>
            </w:r>
          </w:p>
        </w:tc>
        <w:tc>
          <w:tcPr>
            <w:tcW w:w="624" w:type="dxa"/>
            <w:tcBorders>
              <w:top w:val="single" w:sz="2" w:space="0" w:color="auto"/>
              <w:left w:val="single" w:sz="2" w:space="0" w:color="auto"/>
              <w:bottom w:val="single" w:sz="2" w:space="0" w:color="auto"/>
              <w:right w:val="single" w:sz="2" w:space="0" w:color="auto"/>
            </w:tcBorders>
            <w:hideMark/>
          </w:tcPr>
          <w:p w14:paraId="4A41BD0A" w14:textId="77777777" w:rsidR="008F7918" w:rsidRDefault="008F7918">
            <w:pPr>
              <w:rPr>
                <w:sz w:val="18"/>
                <w:szCs w:val="18"/>
              </w:rPr>
            </w:pPr>
          </w:p>
        </w:tc>
        <w:tc>
          <w:tcPr>
            <w:tcW w:w="709" w:type="dxa"/>
            <w:tcBorders>
              <w:top w:val="single" w:sz="2" w:space="0" w:color="auto"/>
              <w:left w:val="single" w:sz="2" w:space="0" w:color="auto"/>
              <w:bottom w:val="single" w:sz="2" w:space="0" w:color="auto"/>
              <w:right w:val="single" w:sz="2" w:space="0" w:color="auto"/>
            </w:tcBorders>
            <w:hideMark/>
          </w:tcPr>
          <w:p w14:paraId="56FE0624" w14:textId="77777777" w:rsidR="008F7918" w:rsidRDefault="008F7918">
            <w:pPr>
              <w:pStyle w:val="NormalWeb"/>
              <w:rPr>
                <w:sz w:val="18"/>
                <w:szCs w:val="18"/>
              </w:rPr>
            </w:pPr>
            <w:proofErr w:type="spellStart"/>
            <w:r>
              <w:rPr>
                <w:sz w:val="18"/>
                <w:szCs w:val="18"/>
              </w:rPr>
              <w:t>dTpa</w:t>
            </w:r>
            <w:proofErr w:type="spellEnd"/>
          </w:p>
        </w:tc>
        <w:tc>
          <w:tcPr>
            <w:tcW w:w="567" w:type="dxa"/>
            <w:tcBorders>
              <w:top w:val="single" w:sz="2" w:space="0" w:color="auto"/>
              <w:left w:val="single" w:sz="2" w:space="0" w:color="auto"/>
              <w:bottom w:val="single" w:sz="2" w:space="0" w:color="auto"/>
              <w:right w:val="single" w:sz="2" w:space="0" w:color="auto"/>
            </w:tcBorders>
            <w:hideMark/>
          </w:tcPr>
          <w:p w14:paraId="6A3E874A" w14:textId="77777777" w:rsidR="008F7918" w:rsidRDefault="008F7918">
            <w:pPr>
              <w:rPr>
                <w:sz w:val="18"/>
                <w:szCs w:val="18"/>
              </w:rPr>
            </w:pPr>
          </w:p>
        </w:tc>
        <w:tc>
          <w:tcPr>
            <w:tcW w:w="567" w:type="dxa"/>
            <w:tcBorders>
              <w:top w:val="single" w:sz="2" w:space="0" w:color="auto"/>
              <w:left w:val="single" w:sz="2" w:space="0" w:color="auto"/>
              <w:bottom w:val="single" w:sz="2" w:space="0" w:color="auto"/>
              <w:right w:val="single" w:sz="2" w:space="0" w:color="auto"/>
            </w:tcBorders>
            <w:hideMark/>
          </w:tcPr>
          <w:p w14:paraId="7BD91784" w14:textId="77777777" w:rsidR="008F7918" w:rsidRDefault="008F7918">
            <w:pPr>
              <w:rPr>
                <w:rFonts w:asciiTheme="minorHAnsi" w:hAnsiTheme="minorHAnsi"/>
                <w:color w:val="auto"/>
                <w:sz w:val="20"/>
                <w:szCs w:val="20"/>
              </w:rPr>
            </w:pPr>
          </w:p>
        </w:tc>
        <w:tc>
          <w:tcPr>
            <w:tcW w:w="567" w:type="dxa"/>
            <w:tcBorders>
              <w:top w:val="single" w:sz="2" w:space="0" w:color="auto"/>
              <w:left w:val="single" w:sz="2" w:space="0" w:color="auto"/>
              <w:bottom w:val="single" w:sz="2" w:space="0" w:color="auto"/>
              <w:right w:val="single" w:sz="2" w:space="0" w:color="auto"/>
            </w:tcBorders>
            <w:hideMark/>
          </w:tcPr>
          <w:p w14:paraId="526829E6" w14:textId="77777777" w:rsidR="008F7918" w:rsidRDefault="008F7918">
            <w:pPr>
              <w:rPr>
                <w:rFonts w:asciiTheme="minorHAnsi" w:hAnsiTheme="minorHAnsi"/>
                <w:color w:val="auto"/>
                <w:sz w:val="20"/>
                <w:szCs w:val="20"/>
              </w:rPr>
            </w:pPr>
          </w:p>
        </w:tc>
        <w:tc>
          <w:tcPr>
            <w:tcW w:w="709" w:type="dxa"/>
            <w:tcBorders>
              <w:top w:val="single" w:sz="2" w:space="0" w:color="auto"/>
              <w:left w:val="single" w:sz="2" w:space="0" w:color="auto"/>
              <w:bottom w:val="single" w:sz="2" w:space="0" w:color="auto"/>
              <w:right w:val="single" w:sz="2" w:space="0" w:color="auto"/>
            </w:tcBorders>
            <w:hideMark/>
          </w:tcPr>
          <w:p w14:paraId="011C3BA5" w14:textId="77777777" w:rsidR="008F7918" w:rsidRDefault="008F7918">
            <w:pPr>
              <w:rPr>
                <w:rFonts w:asciiTheme="minorHAnsi" w:hAnsiTheme="minorHAnsi"/>
                <w:color w:val="auto"/>
                <w:sz w:val="20"/>
                <w:szCs w:val="20"/>
              </w:rPr>
            </w:pPr>
          </w:p>
        </w:tc>
        <w:tc>
          <w:tcPr>
            <w:tcW w:w="992" w:type="dxa"/>
            <w:tcBorders>
              <w:top w:val="single" w:sz="2" w:space="0" w:color="auto"/>
              <w:left w:val="single" w:sz="2" w:space="0" w:color="auto"/>
              <w:bottom w:val="single" w:sz="2" w:space="0" w:color="auto"/>
              <w:right w:val="single" w:sz="2" w:space="0" w:color="auto"/>
            </w:tcBorders>
            <w:hideMark/>
          </w:tcPr>
          <w:p w14:paraId="3328C950" w14:textId="77777777" w:rsidR="008F7918" w:rsidRDefault="008F7918">
            <w:pPr>
              <w:rPr>
                <w:rFonts w:asciiTheme="minorHAnsi" w:hAnsiTheme="minorHAnsi"/>
                <w:color w:val="auto"/>
                <w:sz w:val="20"/>
                <w:szCs w:val="20"/>
              </w:rPr>
            </w:pPr>
          </w:p>
        </w:tc>
        <w:tc>
          <w:tcPr>
            <w:tcW w:w="709" w:type="dxa"/>
            <w:tcBorders>
              <w:top w:val="single" w:sz="2" w:space="0" w:color="auto"/>
              <w:left w:val="single" w:sz="2" w:space="0" w:color="auto"/>
              <w:bottom w:val="single" w:sz="2" w:space="0" w:color="auto"/>
              <w:right w:val="single" w:sz="2" w:space="0" w:color="auto"/>
            </w:tcBorders>
            <w:hideMark/>
          </w:tcPr>
          <w:p w14:paraId="3EBFC786" w14:textId="77777777" w:rsidR="008F7918" w:rsidRDefault="008F7918">
            <w:pPr>
              <w:rPr>
                <w:rFonts w:asciiTheme="minorHAnsi" w:hAnsiTheme="minorHAnsi"/>
                <w:color w:val="auto"/>
                <w:sz w:val="20"/>
                <w:szCs w:val="20"/>
              </w:rPr>
            </w:pPr>
          </w:p>
        </w:tc>
        <w:tc>
          <w:tcPr>
            <w:tcW w:w="850" w:type="dxa"/>
            <w:tcBorders>
              <w:top w:val="single" w:sz="2" w:space="0" w:color="auto"/>
              <w:left w:val="single" w:sz="2" w:space="0" w:color="auto"/>
              <w:bottom w:val="single" w:sz="2" w:space="0" w:color="auto"/>
              <w:right w:val="single" w:sz="2" w:space="0" w:color="auto"/>
            </w:tcBorders>
            <w:hideMark/>
          </w:tcPr>
          <w:p w14:paraId="5E562D44" w14:textId="77777777" w:rsidR="008F7918" w:rsidRDefault="008F7918">
            <w:pPr>
              <w:rPr>
                <w:rFonts w:asciiTheme="minorHAnsi" w:hAnsiTheme="minorHAnsi"/>
                <w:color w:val="auto"/>
                <w:sz w:val="20"/>
                <w:szCs w:val="20"/>
              </w:rPr>
            </w:pPr>
          </w:p>
        </w:tc>
        <w:tc>
          <w:tcPr>
            <w:tcW w:w="851" w:type="dxa"/>
            <w:tcBorders>
              <w:top w:val="single" w:sz="2" w:space="0" w:color="auto"/>
              <w:left w:val="single" w:sz="2" w:space="0" w:color="auto"/>
              <w:bottom w:val="single" w:sz="2" w:space="0" w:color="auto"/>
              <w:right w:val="single" w:sz="2" w:space="0" w:color="auto"/>
            </w:tcBorders>
            <w:hideMark/>
          </w:tcPr>
          <w:p w14:paraId="2B137A19" w14:textId="77777777" w:rsidR="008F7918" w:rsidRDefault="008F7918">
            <w:pPr>
              <w:rPr>
                <w:rFonts w:asciiTheme="minorHAnsi" w:hAnsiTheme="minorHAnsi"/>
                <w:color w:val="auto"/>
                <w:sz w:val="20"/>
                <w:szCs w:val="20"/>
              </w:rPr>
            </w:pPr>
          </w:p>
        </w:tc>
        <w:tc>
          <w:tcPr>
            <w:tcW w:w="709" w:type="dxa"/>
            <w:tcBorders>
              <w:top w:val="single" w:sz="2" w:space="0" w:color="auto"/>
              <w:left w:val="single" w:sz="2" w:space="0" w:color="auto"/>
              <w:bottom w:val="single" w:sz="2" w:space="0" w:color="auto"/>
              <w:right w:val="single" w:sz="2" w:space="0" w:color="auto"/>
            </w:tcBorders>
            <w:hideMark/>
          </w:tcPr>
          <w:p w14:paraId="253FD63E" w14:textId="77777777" w:rsidR="008F7918" w:rsidRDefault="008F7918">
            <w:pPr>
              <w:rPr>
                <w:rFonts w:asciiTheme="minorHAnsi" w:hAnsiTheme="minorHAnsi"/>
                <w:color w:val="auto"/>
                <w:sz w:val="20"/>
                <w:szCs w:val="20"/>
              </w:rPr>
            </w:pPr>
          </w:p>
        </w:tc>
        <w:tc>
          <w:tcPr>
            <w:tcW w:w="968" w:type="dxa"/>
            <w:tcBorders>
              <w:top w:val="single" w:sz="2" w:space="0" w:color="auto"/>
              <w:left w:val="single" w:sz="2" w:space="0" w:color="auto"/>
              <w:bottom w:val="single" w:sz="2" w:space="0" w:color="auto"/>
              <w:right w:val="single" w:sz="2" w:space="0" w:color="auto"/>
            </w:tcBorders>
            <w:hideMark/>
          </w:tcPr>
          <w:p w14:paraId="1D0AD51A" w14:textId="77777777" w:rsidR="008F7918" w:rsidRDefault="008F7918">
            <w:pPr>
              <w:pStyle w:val="NormalWeb"/>
              <w:rPr>
                <w:sz w:val="18"/>
                <w:szCs w:val="18"/>
              </w:rPr>
            </w:pPr>
            <w:r>
              <w:rPr>
                <w:sz w:val="18"/>
                <w:szCs w:val="18"/>
              </w:rPr>
              <w:t>HPV</w:t>
            </w:r>
          </w:p>
        </w:tc>
      </w:tr>
      <w:tr w:rsidR="008F7918" w14:paraId="065BBB67" w14:textId="77777777" w:rsidTr="008F7918">
        <w:tc>
          <w:tcPr>
            <w:tcW w:w="1644" w:type="dxa"/>
            <w:tcBorders>
              <w:top w:val="single" w:sz="2" w:space="0" w:color="auto"/>
              <w:left w:val="single" w:sz="2" w:space="0" w:color="auto"/>
              <w:bottom w:val="single" w:sz="2" w:space="0" w:color="auto"/>
              <w:right w:val="single" w:sz="2" w:space="0" w:color="auto"/>
            </w:tcBorders>
            <w:hideMark/>
          </w:tcPr>
          <w:p w14:paraId="2232BA40" w14:textId="77777777" w:rsidR="008F7918" w:rsidRDefault="008F7918">
            <w:pPr>
              <w:pStyle w:val="NormalWeb"/>
              <w:jc w:val="left"/>
              <w:rPr>
                <w:sz w:val="18"/>
                <w:szCs w:val="18"/>
              </w:rPr>
            </w:pPr>
            <w:r>
              <w:rPr>
                <w:sz w:val="18"/>
                <w:szCs w:val="18"/>
              </w:rPr>
              <w:t>14–19 years</w:t>
            </w:r>
          </w:p>
        </w:tc>
        <w:tc>
          <w:tcPr>
            <w:tcW w:w="624" w:type="dxa"/>
            <w:tcBorders>
              <w:top w:val="single" w:sz="2" w:space="0" w:color="auto"/>
              <w:left w:val="single" w:sz="2" w:space="0" w:color="auto"/>
              <w:bottom w:val="single" w:sz="2" w:space="0" w:color="auto"/>
              <w:right w:val="single" w:sz="2" w:space="0" w:color="auto"/>
            </w:tcBorders>
            <w:hideMark/>
          </w:tcPr>
          <w:p w14:paraId="0F1FDB88" w14:textId="77777777" w:rsidR="008F7918" w:rsidRDefault="008F7918">
            <w:pPr>
              <w:rPr>
                <w:sz w:val="18"/>
                <w:szCs w:val="18"/>
              </w:rPr>
            </w:pPr>
          </w:p>
        </w:tc>
        <w:tc>
          <w:tcPr>
            <w:tcW w:w="709" w:type="dxa"/>
            <w:tcBorders>
              <w:top w:val="single" w:sz="2" w:space="0" w:color="auto"/>
              <w:left w:val="single" w:sz="2" w:space="0" w:color="auto"/>
              <w:bottom w:val="single" w:sz="2" w:space="0" w:color="auto"/>
              <w:right w:val="single" w:sz="2" w:space="0" w:color="auto"/>
            </w:tcBorders>
            <w:hideMark/>
          </w:tcPr>
          <w:p w14:paraId="54359F4F" w14:textId="77777777" w:rsidR="008F7918" w:rsidRDefault="008F7918">
            <w:pPr>
              <w:rPr>
                <w:rFonts w:asciiTheme="minorHAnsi" w:hAnsiTheme="minorHAnsi"/>
                <w:color w:val="auto"/>
                <w:sz w:val="20"/>
                <w:szCs w:val="20"/>
              </w:rPr>
            </w:pPr>
          </w:p>
        </w:tc>
        <w:tc>
          <w:tcPr>
            <w:tcW w:w="567" w:type="dxa"/>
            <w:tcBorders>
              <w:top w:val="single" w:sz="2" w:space="0" w:color="auto"/>
              <w:left w:val="single" w:sz="2" w:space="0" w:color="auto"/>
              <w:bottom w:val="single" w:sz="2" w:space="0" w:color="auto"/>
              <w:right w:val="single" w:sz="2" w:space="0" w:color="auto"/>
            </w:tcBorders>
            <w:hideMark/>
          </w:tcPr>
          <w:p w14:paraId="282D8EAA" w14:textId="77777777" w:rsidR="008F7918" w:rsidRDefault="008F7918">
            <w:pPr>
              <w:rPr>
                <w:rFonts w:asciiTheme="minorHAnsi" w:hAnsiTheme="minorHAnsi"/>
                <w:color w:val="auto"/>
                <w:sz w:val="20"/>
                <w:szCs w:val="20"/>
              </w:rPr>
            </w:pPr>
          </w:p>
        </w:tc>
        <w:tc>
          <w:tcPr>
            <w:tcW w:w="567" w:type="dxa"/>
            <w:tcBorders>
              <w:top w:val="single" w:sz="2" w:space="0" w:color="auto"/>
              <w:left w:val="single" w:sz="2" w:space="0" w:color="auto"/>
              <w:bottom w:val="single" w:sz="2" w:space="0" w:color="auto"/>
              <w:right w:val="single" w:sz="2" w:space="0" w:color="auto"/>
            </w:tcBorders>
            <w:hideMark/>
          </w:tcPr>
          <w:p w14:paraId="76C6D7FC" w14:textId="77777777" w:rsidR="008F7918" w:rsidRDefault="008F7918">
            <w:pPr>
              <w:rPr>
                <w:rFonts w:asciiTheme="minorHAnsi" w:hAnsiTheme="minorHAnsi"/>
                <w:color w:val="auto"/>
                <w:sz w:val="20"/>
                <w:szCs w:val="20"/>
              </w:rPr>
            </w:pPr>
          </w:p>
        </w:tc>
        <w:tc>
          <w:tcPr>
            <w:tcW w:w="567" w:type="dxa"/>
            <w:tcBorders>
              <w:top w:val="single" w:sz="2" w:space="0" w:color="auto"/>
              <w:left w:val="single" w:sz="2" w:space="0" w:color="auto"/>
              <w:bottom w:val="single" w:sz="2" w:space="0" w:color="auto"/>
              <w:right w:val="single" w:sz="2" w:space="0" w:color="auto"/>
            </w:tcBorders>
            <w:hideMark/>
          </w:tcPr>
          <w:p w14:paraId="4558E2A5" w14:textId="77777777" w:rsidR="008F7918" w:rsidRDefault="008F7918">
            <w:pPr>
              <w:rPr>
                <w:rFonts w:asciiTheme="minorHAnsi" w:hAnsiTheme="minorHAnsi"/>
                <w:color w:val="auto"/>
                <w:sz w:val="20"/>
                <w:szCs w:val="20"/>
              </w:rPr>
            </w:pPr>
          </w:p>
        </w:tc>
        <w:tc>
          <w:tcPr>
            <w:tcW w:w="709" w:type="dxa"/>
            <w:tcBorders>
              <w:top w:val="single" w:sz="2" w:space="0" w:color="auto"/>
              <w:left w:val="single" w:sz="2" w:space="0" w:color="auto"/>
              <w:bottom w:val="single" w:sz="2" w:space="0" w:color="auto"/>
              <w:right w:val="single" w:sz="2" w:space="0" w:color="auto"/>
            </w:tcBorders>
            <w:hideMark/>
          </w:tcPr>
          <w:p w14:paraId="7DFBB6C5" w14:textId="77777777" w:rsidR="008F7918" w:rsidRDefault="008F7918">
            <w:pPr>
              <w:rPr>
                <w:rFonts w:asciiTheme="minorHAnsi" w:hAnsiTheme="minorHAnsi"/>
                <w:color w:val="auto"/>
                <w:sz w:val="20"/>
                <w:szCs w:val="20"/>
              </w:rPr>
            </w:pPr>
          </w:p>
        </w:tc>
        <w:tc>
          <w:tcPr>
            <w:tcW w:w="992" w:type="dxa"/>
            <w:tcBorders>
              <w:top w:val="single" w:sz="2" w:space="0" w:color="auto"/>
              <w:left w:val="single" w:sz="2" w:space="0" w:color="auto"/>
              <w:bottom w:val="single" w:sz="2" w:space="0" w:color="auto"/>
              <w:right w:val="single" w:sz="2" w:space="0" w:color="auto"/>
            </w:tcBorders>
            <w:hideMark/>
          </w:tcPr>
          <w:p w14:paraId="3C9F93CF" w14:textId="77777777" w:rsidR="008F7918" w:rsidRDefault="008F7918">
            <w:pPr>
              <w:pStyle w:val="NormalWeb"/>
              <w:rPr>
                <w:sz w:val="18"/>
                <w:szCs w:val="18"/>
              </w:rPr>
            </w:pPr>
            <w:proofErr w:type="spellStart"/>
            <w:r>
              <w:rPr>
                <w:sz w:val="18"/>
                <w:szCs w:val="18"/>
              </w:rPr>
              <w:t>MenACWY</w:t>
            </w:r>
            <w:proofErr w:type="spellEnd"/>
          </w:p>
        </w:tc>
        <w:tc>
          <w:tcPr>
            <w:tcW w:w="709" w:type="dxa"/>
            <w:tcBorders>
              <w:top w:val="single" w:sz="2" w:space="0" w:color="auto"/>
              <w:left w:val="single" w:sz="2" w:space="0" w:color="auto"/>
              <w:bottom w:val="single" w:sz="2" w:space="0" w:color="auto"/>
              <w:right w:val="single" w:sz="2" w:space="0" w:color="auto"/>
            </w:tcBorders>
            <w:hideMark/>
          </w:tcPr>
          <w:p w14:paraId="50F649EF" w14:textId="77777777" w:rsidR="008F7918" w:rsidRDefault="008F7918">
            <w:pPr>
              <w:rPr>
                <w:sz w:val="18"/>
                <w:szCs w:val="18"/>
              </w:rPr>
            </w:pPr>
          </w:p>
        </w:tc>
        <w:tc>
          <w:tcPr>
            <w:tcW w:w="850" w:type="dxa"/>
            <w:tcBorders>
              <w:top w:val="single" w:sz="2" w:space="0" w:color="auto"/>
              <w:left w:val="single" w:sz="2" w:space="0" w:color="auto"/>
              <w:bottom w:val="single" w:sz="2" w:space="0" w:color="auto"/>
              <w:right w:val="single" w:sz="2" w:space="0" w:color="auto"/>
            </w:tcBorders>
            <w:hideMark/>
          </w:tcPr>
          <w:p w14:paraId="137F3895" w14:textId="77777777" w:rsidR="008F7918" w:rsidRDefault="008F7918">
            <w:pPr>
              <w:rPr>
                <w:rFonts w:asciiTheme="minorHAnsi" w:hAnsiTheme="minorHAnsi"/>
                <w:color w:val="auto"/>
                <w:sz w:val="20"/>
                <w:szCs w:val="20"/>
              </w:rPr>
            </w:pPr>
          </w:p>
        </w:tc>
        <w:tc>
          <w:tcPr>
            <w:tcW w:w="851" w:type="dxa"/>
            <w:tcBorders>
              <w:top w:val="single" w:sz="2" w:space="0" w:color="auto"/>
              <w:left w:val="single" w:sz="2" w:space="0" w:color="auto"/>
              <w:bottom w:val="single" w:sz="2" w:space="0" w:color="auto"/>
              <w:right w:val="single" w:sz="2" w:space="0" w:color="auto"/>
            </w:tcBorders>
            <w:hideMark/>
          </w:tcPr>
          <w:p w14:paraId="12AA6F0B" w14:textId="77777777" w:rsidR="008F7918" w:rsidRDefault="008F7918">
            <w:pPr>
              <w:rPr>
                <w:rFonts w:asciiTheme="minorHAnsi" w:hAnsiTheme="minorHAnsi"/>
                <w:color w:val="auto"/>
                <w:sz w:val="20"/>
                <w:szCs w:val="20"/>
              </w:rPr>
            </w:pPr>
          </w:p>
        </w:tc>
        <w:tc>
          <w:tcPr>
            <w:tcW w:w="709" w:type="dxa"/>
            <w:tcBorders>
              <w:top w:val="single" w:sz="2" w:space="0" w:color="auto"/>
              <w:left w:val="single" w:sz="2" w:space="0" w:color="auto"/>
              <w:bottom w:val="single" w:sz="2" w:space="0" w:color="auto"/>
              <w:right w:val="single" w:sz="2" w:space="0" w:color="auto"/>
            </w:tcBorders>
            <w:hideMark/>
          </w:tcPr>
          <w:p w14:paraId="2F72B457" w14:textId="77777777" w:rsidR="008F7918" w:rsidRDefault="008F7918">
            <w:pPr>
              <w:rPr>
                <w:rFonts w:asciiTheme="minorHAnsi" w:hAnsiTheme="minorHAnsi"/>
                <w:color w:val="auto"/>
                <w:sz w:val="20"/>
                <w:szCs w:val="20"/>
              </w:rPr>
            </w:pPr>
          </w:p>
        </w:tc>
        <w:tc>
          <w:tcPr>
            <w:tcW w:w="968" w:type="dxa"/>
            <w:tcBorders>
              <w:top w:val="single" w:sz="2" w:space="0" w:color="auto"/>
              <w:left w:val="single" w:sz="2" w:space="0" w:color="auto"/>
              <w:bottom w:val="single" w:sz="2" w:space="0" w:color="auto"/>
              <w:right w:val="single" w:sz="2" w:space="0" w:color="auto"/>
            </w:tcBorders>
            <w:hideMark/>
          </w:tcPr>
          <w:p w14:paraId="5E7D420C" w14:textId="77777777" w:rsidR="008F7918" w:rsidRDefault="008F7918">
            <w:pPr>
              <w:rPr>
                <w:rFonts w:asciiTheme="minorHAnsi" w:hAnsiTheme="minorHAnsi"/>
                <w:color w:val="auto"/>
                <w:sz w:val="20"/>
                <w:szCs w:val="20"/>
              </w:rPr>
            </w:pPr>
          </w:p>
        </w:tc>
      </w:tr>
      <w:tr w:rsidR="008F7918" w14:paraId="3BB93D5E" w14:textId="77777777" w:rsidTr="008F7918">
        <w:trPr>
          <w:cnfStyle w:val="000000010000" w:firstRow="0" w:lastRow="0" w:firstColumn="0" w:lastColumn="0" w:oddVBand="0" w:evenVBand="0" w:oddHBand="0" w:evenHBand="1" w:firstRowFirstColumn="0" w:firstRowLastColumn="0" w:lastRowFirstColumn="0" w:lastRowLastColumn="0"/>
        </w:trPr>
        <w:tc>
          <w:tcPr>
            <w:tcW w:w="1644" w:type="dxa"/>
            <w:tcBorders>
              <w:top w:val="single" w:sz="2" w:space="0" w:color="auto"/>
              <w:left w:val="single" w:sz="2" w:space="0" w:color="auto"/>
              <w:bottom w:val="single" w:sz="2" w:space="0" w:color="auto"/>
              <w:right w:val="single" w:sz="2" w:space="0" w:color="auto"/>
            </w:tcBorders>
            <w:hideMark/>
          </w:tcPr>
          <w:p w14:paraId="08310742" w14:textId="77777777" w:rsidR="008F7918" w:rsidRDefault="008F7918">
            <w:pPr>
              <w:pStyle w:val="NormalWeb"/>
              <w:jc w:val="left"/>
              <w:rPr>
                <w:sz w:val="18"/>
                <w:szCs w:val="18"/>
              </w:rPr>
            </w:pPr>
            <w:r>
              <w:rPr>
                <w:sz w:val="18"/>
                <w:szCs w:val="18"/>
              </w:rPr>
              <w:t>10–19 years</w:t>
            </w:r>
          </w:p>
        </w:tc>
        <w:tc>
          <w:tcPr>
            <w:tcW w:w="624" w:type="dxa"/>
            <w:tcBorders>
              <w:top w:val="single" w:sz="2" w:space="0" w:color="auto"/>
              <w:left w:val="single" w:sz="2" w:space="0" w:color="auto"/>
              <w:bottom w:val="single" w:sz="2" w:space="0" w:color="auto"/>
              <w:right w:val="single" w:sz="2" w:space="0" w:color="auto"/>
            </w:tcBorders>
            <w:hideMark/>
          </w:tcPr>
          <w:p w14:paraId="5BF0223A" w14:textId="77777777" w:rsidR="008F7918" w:rsidRDefault="008F7918">
            <w:pPr>
              <w:rPr>
                <w:sz w:val="18"/>
                <w:szCs w:val="18"/>
              </w:rPr>
            </w:pPr>
          </w:p>
        </w:tc>
        <w:tc>
          <w:tcPr>
            <w:tcW w:w="709" w:type="dxa"/>
            <w:tcBorders>
              <w:top w:val="single" w:sz="2" w:space="0" w:color="auto"/>
              <w:left w:val="single" w:sz="2" w:space="0" w:color="auto"/>
              <w:bottom w:val="single" w:sz="2" w:space="0" w:color="auto"/>
              <w:right w:val="single" w:sz="2" w:space="0" w:color="auto"/>
            </w:tcBorders>
            <w:hideMark/>
          </w:tcPr>
          <w:p w14:paraId="265DEE34" w14:textId="77777777" w:rsidR="008F7918" w:rsidRDefault="008F7918">
            <w:pPr>
              <w:rPr>
                <w:rFonts w:asciiTheme="minorHAnsi" w:hAnsiTheme="minorHAnsi"/>
                <w:color w:val="auto"/>
                <w:sz w:val="20"/>
                <w:szCs w:val="20"/>
              </w:rPr>
            </w:pPr>
          </w:p>
        </w:tc>
        <w:tc>
          <w:tcPr>
            <w:tcW w:w="567" w:type="dxa"/>
            <w:tcBorders>
              <w:top w:val="single" w:sz="2" w:space="0" w:color="auto"/>
              <w:left w:val="single" w:sz="2" w:space="0" w:color="auto"/>
              <w:bottom w:val="single" w:sz="2" w:space="0" w:color="auto"/>
              <w:right w:val="single" w:sz="2" w:space="0" w:color="auto"/>
            </w:tcBorders>
            <w:hideMark/>
          </w:tcPr>
          <w:p w14:paraId="7C880047" w14:textId="77777777" w:rsidR="008F7918" w:rsidRDefault="008F7918">
            <w:pPr>
              <w:rPr>
                <w:rFonts w:asciiTheme="minorHAnsi" w:hAnsiTheme="minorHAnsi"/>
                <w:color w:val="auto"/>
                <w:sz w:val="20"/>
                <w:szCs w:val="20"/>
              </w:rPr>
            </w:pPr>
          </w:p>
        </w:tc>
        <w:tc>
          <w:tcPr>
            <w:tcW w:w="567" w:type="dxa"/>
            <w:tcBorders>
              <w:top w:val="single" w:sz="2" w:space="0" w:color="auto"/>
              <w:left w:val="single" w:sz="2" w:space="0" w:color="auto"/>
              <w:bottom w:val="single" w:sz="2" w:space="0" w:color="auto"/>
              <w:right w:val="single" w:sz="2" w:space="0" w:color="auto"/>
            </w:tcBorders>
            <w:hideMark/>
          </w:tcPr>
          <w:p w14:paraId="087F9743" w14:textId="77777777" w:rsidR="008F7918" w:rsidRDefault="008F7918">
            <w:pPr>
              <w:rPr>
                <w:rFonts w:asciiTheme="minorHAnsi" w:hAnsiTheme="minorHAnsi"/>
                <w:color w:val="auto"/>
                <w:sz w:val="20"/>
                <w:szCs w:val="20"/>
              </w:rPr>
            </w:pPr>
          </w:p>
        </w:tc>
        <w:tc>
          <w:tcPr>
            <w:tcW w:w="567" w:type="dxa"/>
            <w:tcBorders>
              <w:top w:val="single" w:sz="2" w:space="0" w:color="auto"/>
              <w:left w:val="single" w:sz="2" w:space="0" w:color="auto"/>
              <w:bottom w:val="single" w:sz="2" w:space="0" w:color="auto"/>
              <w:right w:val="single" w:sz="2" w:space="0" w:color="auto"/>
            </w:tcBorders>
            <w:hideMark/>
          </w:tcPr>
          <w:p w14:paraId="21DA955F" w14:textId="77777777" w:rsidR="008F7918" w:rsidRDefault="008F7918">
            <w:pPr>
              <w:rPr>
                <w:rFonts w:asciiTheme="minorHAnsi" w:hAnsiTheme="minorHAnsi"/>
                <w:color w:val="auto"/>
                <w:sz w:val="20"/>
                <w:szCs w:val="20"/>
              </w:rPr>
            </w:pPr>
          </w:p>
        </w:tc>
        <w:tc>
          <w:tcPr>
            <w:tcW w:w="709" w:type="dxa"/>
            <w:tcBorders>
              <w:top w:val="single" w:sz="2" w:space="0" w:color="auto"/>
              <w:left w:val="single" w:sz="2" w:space="0" w:color="auto"/>
              <w:bottom w:val="single" w:sz="2" w:space="0" w:color="auto"/>
              <w:right w:val="single" w:sz="2" w:space="0" w:color="auto"/>
            </w:tcBorders>
            <w:hideMark/>
          </w:tcPr>
          <w:p w14:paraId="59A1218C" w14:textId="77777777" w:rsidR="008F7918" w:rsidRDefault="008F7918">
            <w:pPr>
              <w:rPr>
                <w:rFonts w:asciiTheme="minorHAnsi" w:hAnsiTheme="minorHAnsi"/>
                <w:color w:val="auto"/>
                <w:sz w:val="20"/>
                <w:szCs w:val="20"/>
              </w:rPr>
            </w:pPr>
          </w:p>
        </w:tc>
        <w:tc>
          <w:tcPr>
            <w:tcW w:w="992" w:type="dxa"/>
            <w:tcBorders>
              <w:top w:val="single" w:sz="2" w:space="0" w:color="auto"/>
              <w:left w:val="single" w:sz="2" w:space="0" w:color="auto"/>
              <w:bottom w:val="single" w:sz="2" w:space="0" w:color="auto"/>
              <w:right w:val="single" w:sz="2" w:space="0" w:color="auto"/>
            </w:tcBorders>
            <w:hideMark/>
          </w:tcPr>
          <w:p w14:paraId="1590CF01" w14:textId="77777777" w:rsidR="008F7918" w:rsidRDefault="008F7918">
            <w:pPr>
              <w:rPr>
                <w:rFonts w:asciiTheme="minorHAnsi" w:hAnsiTheme="minorHAnsi"/>
                <w:color w:val="auto"/>
                <w:sz w:val="20"/>
                <w:szCs w:val="20"/>
              </w:rPr>
            </w:pPr>
          </w:p>
        </w:tc>
        <w:tc>
          <w:tcPr>
            <w:tcW w:w="709" w:type="dxa"/>
            <w:tcBorders>
              <w:top w:val="single" w:sz="2" w:space="0" w:color="auto"/>
              <w:left w:val="single" w:sz="2" w:space="0" w:color="auto"/>
              <w:bottom w:val="single" w:sz="2" w:space="0" w:color="auto"/>
              <w:right w:val="single" w:sz="2" w:space="0" w:color="auto"/>
            </w:tcBorders>
            <w:hideMark/>
          </w:tcPr>
          <w:p w14:paraId="6F62165A" w14:textId="77777777" w:rsidR="008F7918" w:rsidRDefault="008F7918">
            <w:pPr>
              <w:rPr>
                <w:rFonts w:asciiTheme="minorHAnsi" w:hAnsiTheme="minorHAnsi"/>
                <w:color w:val="auto"/>
                <w:sz w:val="20"/>
                <w:szCs w:val="20"/>
              </w:rPr>
            </w:pPr>
          </w:p>
        </w:tc>
        <w:tc>
          <w:tcPr>
            <w:tcW w:w="850" w:type="dxa"/>
            <w:tcBorders>
              <w:top w:val="single" w:sz="2" w:space="0" w:color="auto"/>
              <w:left w:val="single" w:sz="2" w:space="0" w:color="auto"/>
              <w:bottom w:val="single" w:sz="2" w:space="0" w:color="auto"/>
              <w:right w:val="single" w:sz="2" w:space="0" w:color="auto"/>
            </w:tcBorders>
            <w:hideMark/>
          </w:tcPr>
          <w:p w14:paraId="2100755B" w14:textId="77777777" w:rsidR="008F7918" w:rsidRDefault="008F7918">
            <w:pPr>
              <w:rPr>
                <w:rFonts w:asciiTheme="minorHAnsi" w:hAnsiTheme="minorHAnsi"/>
                <w:color w:val="auto"/>
                <w:sz w:val="20"/>
                <w:szCs w:val="20"/>
              </w:rPr>
            </w:pPr>
          </w:p>
        </w:tc>
        <w:tc>
          <w:tcPr>
            <w:tcW w:w="851" w:type="dxa"/>
            <w:tcBorders>
              <w:top w:val="single" w:sz="2" w:space="0" w:color="auto"/>
              <w:left w:val="single" w:sz="2" w:space="0" w:color="auto"/>
              <w:bottom w:val="single" w:sz="2" w:space="0" w:color="auto"/>
              <w:right w:val="single" w:sz="2" w:space="0" w:color="auto"/>
            </w:tcBorders>
            <w:hideMark/>
          </w:tcPr>
          <w:p w14:paraId="29A2E4E0" w14:textId="77777777" w:rsidR="008F7918" w:rsidRDefault="008F7918">
            <w:pPr>
              <w:rPr>
                <w:rFonts w:asciiTheme="minorHAnsi" w:hAnsiTheme="minorHAnsi"/>
                <w:color w:val="auto"/>
                <w:sz w:val="20"/>
                <w:szCs w:val="20"/>
              </w:rPr>
            </w:pPr>
          </w:p>
        </w:tc>
        <w:tc>
          <w:tcPr>
            <w:tcW w:w="709" w:type="dxa"/>
            <w:tcBorders>
              <w:top w:val="single" w:sz="2" w:space="0" w:color="auto"/>
              <w:left w:val="single" w:sz="2" w:space="0" w:color="auto"/>
              <w:bottom w:val="single" w:sz="2" w:space="0" w:color="auto"/>
              <w:right w:val="single" w:sz="2" w:space="0" w:color="auto"/>
            </w:tcBorders>
            <w:hideMark/>
          </w:tcPr>
          <w:p w14:paraId="69331D6B" w14:textId="77777777" w:rsidR="008F7918" w:rsidRDefault="008F7918">
            <w:pPr>
              <w:pStyle w:val="NormalWeb"/>
              <w:rPr>
                <w:sz w:val="18"/>
                <w:szCs w:val="18"/>
              </w:rPr>
            </w:pPr>
            <w:proofErr w:type="spellStart"/>
            <w:r>
              <w:rPr>
                <w:sz w:val="18"/>
                <w:szCs w:val="18"/>
              </w:rPr>
              <w:t>Flu</w:t>
            </w:r>
            <w:r>
              <w:rPr>
                <w:sz w:val="18"/>
                <w:szCs w:val="18"/>
                <w:vertAlign w:val="superscript"/>
              </w:rPr>
              <w:t>f</w:t>
            </w:r>
            <w:proofErr w:type="spellEnd"/>
          </w:p>
        </w:tc>
        <w:tc>
          <w:tcPr>
            <w:tcW w:w="968" w:type="dxa"/>
            <w:tcBorders>
              <w:top w:val="single" w:sz="2" w:space="0" w:color="auto"/>
              <w:left w:val="single" w:sz="2" w:space="0" w:color="auto"/>
              <w:bottom w:val="single" w:sz="2" w:space="0" w:color="auto"/>
              <w:right w:val="single" w:sz="2" w:space="0" w:color="auto"/>
            </w:tcBorders>
            <w:hideMark/>
          </w:tcPr>
          <w:p w14:paraId="68FC8CFA" w14:textId="77777777" w:rsidR="008F7918" w:rsidRDefault="008F7918">
            <w:pPr>
              <w:rPr>
                <w:sz w:val="18"/>
                <w:szCs w:val="18"/>
              </w:rPr>
            </w:pPr>
          </w:p>
        </w:tc>
      </w:tr>
      <w:tr w:rsidR="008F7918" w14:paraId="4674001E" w14:textId="77777777" w:rsidTr="008F7918">
        <w:tc>
          <w:tcPr>
            <w:tcW w:w="1644" w:type="dxa"/>
            <w:tcBorders>
              <w:top w:val="single" w:sz="2" w:space="0" w:color="auto"/>
              <w:left w:val="single" w:sz="2" w:space="0" w:color="auto"/>
              <w:bottom w:val="single" w:sz="2" w:space="0" w:color="auto"/>
              <w:right w:val="single" w:sz="2" w:space="0" w:color="auto"/>
            </w:tcBorders>
            <w:shd w:val="clear" w:color="auto" w:fill="BBA991"/>
            <w:hideMark/>
          </w:tcPr>
          <w:p w14:paraId="4C74243A" w14:textId="77777777" w:rsidR="008F7918" w:rsidRDefault="008F7918">
            <w:pPr>
              <w:pStyle w:val="NormalWeb"/>
              <w:jc w:val="left"/>
              <w:rPr>
                <w:b/>
                <w:bCs/>
                <w:sz w:val="18"/>
                <w:szCs w:val="18"/>
              </w:rPr>
            </w:pPr>
            <w:r>
              <w:rPr>
                <w:b/>
                <w:bCs/>
                <w:sz w:val="18"/>
                <w:szCs w:val="18"/>
              </w:rPr>
              <w:t>Adults</w:t>
            </w:r>
          </w:p>
        </w:tc>
        <w:tc>
          <w:tcPr>
            <w:tcW w:w="8822" w:type="dxa"/>
            <w:gridSpan w:val="12"/>
            <w:tcBorders>
              <w:top w:val="single" w:sz="2" w:space="0" w:color="auto"/>
              <w:left w:val="single" w:sz="2" w:space="0" w:color="auto"/>
              <w:bottom w:val="single" w:sz="2" w:space="0" w:color="auto"/>
              <w:right w:val="single" w:sz="2" w:space="0" w:color="auto"/>
            </w:tcBorders>
            <w:shd w:val="clear" w:color="auto" w:fill="BBA991"/>
            <w:hideMark/>
          </w:tcPr>
          <w:p w14:paraId="1E9EA02F" w14:textId="77777777" w:rsidR="008F7918" w:rsidRDefault="008F7918">
            <w:pPr>
              <w:rPr>
                <w:b/>
                <w:bCs/>
                <w:sz w:val="18"/>
                <w:szCs w:val="18"/>
              </w:rPr>
            </w:pPr>
          </w:p>
        </w:tc>
      </w:tr>
      <w:tr w:rsidR="008F7918" w14:paraId="7226325F" w14:textId="77777777" w:rsidTr="008F7918">
        <w:trPr>
          <w:cnfStyle w:val="000000010000" w:firstRow="0" w:lastRow="0" w:firstColumn="0" w:lastColumn="0" w:oddVBand="0" w:evenVBand="0" w:oddHBand="0" w:evenHBand="1" w:firstRowFirstColumn="0" w:firstRowLastColumn="0" w:lastRowFirstColumn="0" w:lastRowLastColumn="0"/>
        </w:trPr>
        <w:tc>
          <w:tcPr>
            <w:tcW w:w="1644" w:type="dxa"/>
            <w:tcBorders>
              <w:top w:val="single" w:sz="2" w:space="0" w:color="auto"/>
              <w:left w:val="single" w:sz="2" w:space="0" w:color="auto"/>
              <w:bottom w:val="single" w:sz="2" w:space="0" w:color="auto"/>
              <w:right w:val="single" w:sz="2" w:space="0" w:color="auto"/>
            </w:tcBorders>
            <w:hideMark/>
          </w:tcPr>
          <w:p w14:paraId="6B355EF4" w14:textId="77777777" w:rsidR="008F7918" w:rsidRDefault="008F7918">
            <w:pPr>
              <w:pStyle w:val="NormalWeb"/>
              <w:jc w:val="left"/>
              <w:rPr>
                <w:sz w:val="18"/>
                <w:szCs w:val="18"/>
              </w:rPr>
            </w:pPr>
            <w:r>
              <w:rPr>
                <w:sz w:val="18"/>
                <w:szCs w:val="18"/>
              </w:rPr>
              <w:t>20–49 years</w:t>
            </w:r>
          </w:p>
        </w:tc>
        <w:tc>
          <w:tcPr>
            <w:tcW w:w="624" w:type="dxa"/>
            <w:tcBorders>
              <w:top w:val="single" w:sz="2" w:space="0" w:color="auto"/>
              <w:left w:val="single" w:sz="2" w:space="0" w:color="auto"/>
              <w:bottom w:val="single" w:sz="2" w:space="0" w:color="auto"/>
              <w:right w:val="single" w:sz="2" w:space="0" w:color="auto"/>
            </w:tcBorders>
            <w:hideMark/>
          </w:tcPr>
          <w:p w14:paraId="7988B198" w14:textId="77777777" w:rsidR="008F7918" w:rsidRDefault="008F7918">
            <w:pPr>
              <w:rPr>
                <w:sz w:val="18"/>
                <w:szCs w:val="18"/>
              </w:rPr>
            </w:pPr>
          </w:p>
        </w:tc>
        <w:tc>
          <w:tcPr>
            <w:tcW w:w="709" w:type="dxa"/>
            <w:tcBorders>
              <w:top w:val="single" w:sz="2" w:space="0" w:color="auto"/>
              <w:left w:val="single" w:sz="2" w:space="0" w:color="auto"/>
              <w:bottom w:val="single" w:sz="2" w:space="0" w:color="auto"/>
              <w:right w:val="single" w:sz="2" w:space="0" w:color="auto"/>
            </w:tcBorders>
            <w:hideMark/>
          </w:tcPr>
          <w:p w14:paraId="0C121746" w14:textId="77777777" w:rsidR="008F7918" w:rsidRDefault="008F7918">
            <w:pPr>
              <w:rPr>
                <w:rFonts w:asciiTheme="minorHAnsi" w:hAnsiTheme="minorHAnsi"/>
                <w:color w:val="auto"/>
                <w:sz w:val="20"/>
                <w:szCs w:val="20"/>
              </w:rPr>
            </w:pPr>
          </w:p>
        </w:tc>
        <w:tc>
          <w:tcPr>
            <w:tcW w:w="567" w:type="dxa"/>
            <w:tcBorders>
              <w:top w:val="single" w:sz="2" w:space="0" w:color="auto"/>
              <w:left w:val="single" w:sz="2" w:space="0" w:color="auto"/>
              <w:bottom w:val="single" w:sz="2" w:space="0" w:color="auto"/>
              <w:right w:val="single" w:sz="2" w:space="0" w:color="auto"/>
            </w:tcBorders>
            <w:hideMark/>
          </w:tcPr>
          <w:p w14:paraId="2D138011" w14:textId="77777777" w:rsidR="008F7918" w:rsidRDefault="008F7918">
            <w:pPr>
              <w:rPr>
                <w:rFonts w:asciiTheme="minorHAnsi" w:hAnsiTheme="minorHAnsi"/>
                <w:color w:val="auto"/>
                <w:sz w:val="20"/>
                <w:szCs w:val="20"/>
              </w:rPr>
            </w:pPr>
          </w:p>
        </w:tc>
        <w:tc>
          <w:tcPr>
            <w:tcW w:w="567" w:type="dxa"/>
            <w:tcBorders>
              <w:top w:val="single" w:sz="2" w:space="0" w:color="auto"/>
              <w:left w:val="single" w:sz="2" w:space="0" w:color="auto"/>
              <w:bottom w:val="single" w:sz="2" w:space="0" w:color="auto"/>
              <w:right w:val="single" w:sz="2" w:space="0" w:color="auto"/>
            </w:tcBorders>
            <w:hideMark/>
          </w:tcPr>
          <w:p w14:paraId="6024E963" w14:textId="77777777" w:rsidR="008F7918" w:rsidRDefault="008F7918">
            <w:pPr>
              <w:rPr>
                <w:rFonts w:asciiTheme="minorHAnsi" w:hAnsiTheme="minorHAnsi"/>
                <w:color w:val="auto"/>
                <w:sz w:val="20"/>
                <w:szCs w:val="20"/>
              </w:rPr>
            </w:pPr>
          </w:p>
        </w:tc>
        <w:tc>
          <w:tcPr>
            <w:tcW w:w="567" w:type="dxa"/>
            <w:tcBorders>
              <w:top w:val="single" w:sz="2" w:space="0" w:color="auto"/>
              <w:left w:val="single" w:sz="2" w:space="0" w:color="auto"/>
              <w:bottom w:val="single" w:sz="2" w:space="0" w:color="auto"/>
              <w:right w:val="single" w:sz="2" w:space="0" w:color="auto"/>
            </w:tcBorders>
            <w:hideMark/>
          </w:tcPr>
          <w:p w14:paraId="031A534F" w14:textId="77777777" w:rsidR="008F7918" w:rsidRDefault="008F7918">
            <w:pPr>
              <w:rPr>
                <w:rFonts w:asciiTheme="minorHAnsi" w:hAnsiTheme="minorHAnsi"/>
                <w:color w:val="auto"/>
                <w:sz w:val="20"/>
                <w:szCs w:val="20"/>
              </w:rPr>
            </w:pPr>
          </w:p>
        </w:tc>
        <w:tc>
          <w:tcPr>
            <w:tcW w:w="709" w:type="dxa"/>
            <w:tcBorders>
              <w:top w:val="single" w:sz="2" w:space="0" w:color="auto"/>
              <w:left w:val="single" w:sz="2" w:space="0" w:color="auto"/>
              <w:bottom w:val="single" w:sz="2" w:space="0" w:color="auto"/>
              <w:right w:val="single" w:sz="2" w:space="0" w:color="auto"/>
            </w:tcBorders>
            <w:hideMark/>
          </w:tcPr>
          <w:p w14:paraId="23FAB719" w14:textId="77777777" w:rsidR="008F7918" w:rsidRDefault="008F7918">
            <w:pPr>
              <w:rPr>
                <w:rFonts w:asciiTheme="minorHAnsi" w:hAnsiTheme="minorHAnsi"/>
                <w:color w:val="auto"/>
                <w:sz w:val="20"/>
                <w:szCs w:val="20"/>
              </w:rPr>
            </w:pPr>
          </w:p>
        </w:tc>
        <w:tc>
          <w:tcPr>
            <w:tcW w:w="992" w:type="dxa"/>
            <w:tcBorders>
              <w:top w:val="single" w:sz="2" w:space="0" w:color="auto"/>
              <w:left w:val="single" w:sz="2" w:space="0" w:color="auto"/>
              <w:bottom w:val="single" w:sz="2" w:space="0" w:color="auto"/>
              <w:right w:val="single" w:sz="2" w:space="0" w:color="auto"/>
            </w:tcBorders>
            <w:hideMark/>
          </w:tcPr>
          <w:p w14:paraId="644EF2CE" w14:textId="77777777" w:rsidR="008F7918" w:rsidRDefault="008F7918">
            <w:pPr>
              <w:rPr>
                <w:rFonts w:asciiTheme="minorHAnsi" w:hAnsiTheme="minorHAnsi"/>
                <w:color w:val="auto"/>
                <w:sz w:val="20"/>
                <w:szCs w:val="20"/>
              </w:rPr>
            </w:pPr>
          </w:p>
        </w:tc>
        <w:tc>
          <w:tcPr>
            <w:tcW w:w="709" w:type="dxa"/>
            <w:tcBorders>
              <w:top w:val="single" w:sz="2" w:space="0" w:color="auto"/>
              <w:left w:val="single" w:sz="2" w:space="0" w:color="auto"/>
              <w:bottom w:val="single" w:sz="2" w:space="0" w:color="auto"/>
              <w:right w:val="single" w:sz="2" w:space="0" w:color="auto"/>
            </w:tcBorders>
            <w:hideMark/>
          </w:tcPr>
          <w:p w14:paraId="43C5A692" w14:textId="77777777" w:rsidR="008F7918" w:rsidRDefault="008F7918">
            <w:pPr>
              <w:rPr>
                <w:rFonts w:asciiTheme="minorHAnsi" w:hAnsiTheme="minorHAnsi"/>
                <w:color w:val="auto"/>
                <w:sz w:val="20"/>
                <w:szCs w:val="20"/>
              </w:rPr>
            </w:pPr>
          </w:p>
        </w:tc>
        <w:tc>
          <w:tcPr>
            <w:tcW w:w="850" w:type="dxa"/>
            <w:tcBorders>
              <w:top w:val="single" w:sz="2" w:space="0" w:color="auto"/>
              <w:left w:val="single" w:sz="2" w:space="0" w:color="auto"/>
              <w:bottom w:val="single" w:sz="2" w:space="0" w:color="auto"/>
              <w:right w:val="single" w:sz="2" w:space="0" w:color="auto"/>
            </w:tcBorders>
            <w:hideMark/>
          </w:tcPr>
          <w:p w14:paraId="109411CC" w14:textId="77777777" w:rsidR="008F7918" w:rsidRDefault="008F7918">
            <w:pPr>
              <w:rPr>
                <w:rFonts w:asciiTheme="minorHAnsi" w:hAnsiTheme="minorHAnsi"/>
                <w:color w:val="auto"/>
                <w:sz w:val="20"/>
                <w:szCs w:val="20"/>
              </w:rPr>
            </w:pPr>
          </w:p>
        </w:tc>
        <w:tc>
          <w:tcPr>
            <w:tcW w:w="851" w:type="dxa"/>
            <w:tcBorders>
              <w:top w:val="single" w:sz="2" w:space="0" w:color="auto"/>
              <w:left w:val="single" w:sz="2" w:space="0" w:color="auto"/>
              <w:bottom w:val="single" w:sz="2" w:space="0" w:color="auto"/>
              <w:right w:val="single" w:sz="2" w:space="0" w:color="auto"/>
            </w:tcBorders>
            <w:hideMark/>
          </w:tcPr>
          <w:p w14:paraId="1B7B8206" w14:textId="77777777" w:rsidR="008F7918" w:rsidRDefault="008F7918">
            <w:pPr>
              <w:rPr>
                <w:rFonts w:asciiTheme="minorHAnsi" w:hAnsiTheme="minorHAnsi"/>
                <w:color w:val="auto"/>
                <w:sz w:val="20"/>
                <w:szCs w:val="20"/>
              </w:rPr>
            </w:pPr>
          </w:p>
        </w:tc>
        <w:tc>
          <w:tcPr>
            <w:tcW w:w="709" w:type="dxa"/>
            <w:tcBorders>
              <w:top w:val="single" w:sz="2" w:space="0" w:color="auto"/>
              <w:left w:val="single" w:sz="2" w:space="0" w:color="auto"/>
              <w:bottom w:val="single" w:sz="2" w:space="0" w:color="auto"/>
              <w:right w:val="single" w:sz="2" w:space="0" w:color="auto"/>
            </w:tcBorders>
            <w:hideMark/>
          </w:tcPr>
          <w:p w14:paraId="6C37DB85" w14:textId="77777777" w:rsidR="008F7918" w:rsidRDefault="008F7918">
            <w:pPr>
              <w:pStyle w:val="NormalWeb"/>
              <w:rPr>
                <w:sz w:val="18"/>
                <w:szCs w:val="18"/>
              </w:rPr>
            </w:pPr>
            <w:proofErr w:type="spellStart"/>
            <w:r>
              <w:rPr>
                <w:sz w:val="18"/>
                <w:szCs w:val="18"/>
              </w:rPr>
              <w:t>Flu</w:t>
            </w:r>
            <w:r>
              <w:rPr>
                <w:sz w:val="18"/>
                <w:szCs w:val="18"/>
                <w:vertAlign w:val="superscript"/>
              </w:rPr>
              <w:t>f</w:t>
            </w:r>
            <w:proofErr w:type="spellEnd"/>
          </w:p>
        </w:tc>
        <w:tc>
          <w:tcPr>
            <w:tcW w:w="968" w:type="dxa"/>
            <w:tcBorders>
              <w:top w:val="single" w:sz="2" w:space="0" w:color="auto"/>
              <w:left w:val="single" w:sz="2" w:space="0" w:color="auto"/>
              <w:bottom w:val="single" w:sz="2" w:space="0" w:color="auto"/>
              <w:right w:val="single" w:sz="2" w:space="0" w:color="auto"/>
            </w:tcBorders>
            <w:hideMark/>
          </w:tcPr>
          <w:p w14:paraId="35ED7820" w14:textId="77777777" w:rsidR="008F7918" w:rsidRDefault="008F7918">
            <w:pPr>
              <w:rPr>
                <w:sz w:val="18"/>
                <w:szCs w:val="18"/>
              </w:rPr>
            </w:pPr>
          </w:p>
        </w:tc>
      </w:tr>
      <w:tr w:rsidR="008F7918" w14:paraId="20ACA639" w14:textId="77777777" w:rsidTr="008F7918">
        <w:tc>
          <w:tcPr>
            <w:tcW w:w="1644" w:type="dxa"/>
            <w:tcBorders>
              <w:top w:val="single" w:sz="2" w:space="0" w:color="auto"/>
              <w:left w:val="single" w:sz="2" w:space="0" w:color="auto"/>
              <w:bottom w:val="single" w:sz="2" w:space="0" w:color="auto"/>
              <w:right w:val="single" w:sz="2" w:space="0" w:color="auto"/>
            </w:tcBorders>
            <w:hideMark/>
          </w:tcPr>
          <w:p w14:paraId="3E67630B" w14:textId="77777777" w:rsidR="008F7918" w:rsidRDefault="008F7918">
            <w:pPr>
              <w:pStyle w:val="NormalWeb"/>
              <w:rPr>
                <w:sz w:val="18"/>
                <w:szCs w:val="18"/>
              </w:rPr>
            </w:pPr>
            <w:r>
              <w:rPr>
                <w:sz w:val="18"/>
                <w:szCs w:val="18"/>
              </w:rPr>
              <w:t>≥ 50 years</w:t>
            </w:r>
          </w:p>
        </w:tc>
        <w:tc>
          <w:tcPr>
            <w:tcW w:w="624" w:type="dxa"/>
            <w:tcBorders>
              <w:top w:val="single" w:sz="2" w:space="0" w:color="auto"/>
              <w:left w:val="single" w:sz="2" w:space="0" w:color="auto"/>
              <w:bottom w:val="single" w:sz="2" w:space="0" w:color="auto"/>
              <w:right w:val="single" w:sz="2" w:space="0" w:color="auto"/>
            </w:tcBorders>
            <w:hideMark/>
          </w:tcPr>
          <w:p w14:paraId="1F4F72A4" w14:textId="77777777" w:rsidR="008F7918" w:rsidRDefault="008F7918">
            <w:pPr>
              <w:rPr>
                <w:sz w:val="18"/>
                <w:szCs w:val="18"/>
              </w:rPr>
            </w:pPr>
          </w:p>
        </w:tc>
        <w:tc>
          <w:tcPr>
            <w:tcW w:w="709" w:type="dxa"/>
            <w:tcBorders>
              <w:top w:val="single" w:sz="2" w:space="0" w:color="auto"/>
              <w:left w:val="single" w:sz="2" w:space="0" w:color="auto"/>
              <w:bottom w:val="single" w:sz="2" w:space="0" w:color="auto"/>
              <w:right w:val="single" w:sz="2" w:space="0" w:color="auto"/>
            </w:tcBorders>
            <w:hideMark/>
          </w:tcPr>
          <w:p w14:paraId="45EDC8A8" w14:textId="77777777" w:rsidR="008F7918" w:rsidRDefault="008F7918">
            <w:pPr>
              <w:rPr>
                <w:rFonts w:asciiTheme="minorHAnsi" w:hAnsiTheme="minorHAnsi"/>
                <w:color w:val="auto"/>
                <w:sz w:val="20"/>
                <w:szCs w:val="20"/>
              </w:rPr>
            </w:pPr>
          </w:p>
        </w:tc>
        <w:tc>
          <w:tcPr>
            <w:tcW w:w="567" w:type="dxa"/>
            <w:tcBorders>
              <w:top w:val="single" w:sz="2" w:space="0" w:color="auto"/>
              <w:left w:val="single" w:sz="2" w:space="0" w:color="auto"/>
              <w:bottom w:val="single" w:sz="2" w:space="0" w:color="auto"/>
              <w:right w:val="single" w:sz="2" w:space="0" w:color="auto"/>
            </w:tcBorders>
            <w:hideMark/>
          </w:tcPr>
          <w:p w14:paraId="4E37AF05" w14:textId="77777777" w:rsidR="008F7918" w:rsidRDefault="008F7918">
            <w:pPr>
              <w:rPr>
                <w:rFonts w:asciiTheme="minorHAnsi" w:hAnsiTheme="minorHAnsi"/>
                <w:color w:val="auto"/>
                <w:sz w:val="20"/>
                <w:szCs w:val="20"/>
              </w:rPr>
            </w:pPr>
          </w:p>
        </w:tc>
        <w:tc>
          <w:tcPr>
            <w:tcW w:w="567" w:type="dxa"/>
            <w:tcBorders>
              <w:top w:val="single" w:sz="2" w:space="0" w:color="auto"/>
              <w:left w:val="single" w:sz="2" w:space="0" w:color="auto"/>
              <w:bottom w:val="single" w:sz="2" w:space="0" w:color="auto"/>
              <w:right w:val="single" w:sz="2" w:space="0" w:color="auto"/>
            </w:tcBorders>
            <w:hideMark/>
          </w:tcPr>
          <w:p w14:paraId="4942326D" w14:textId="77777777" w:rsidR="008F7918" w:rsidRDefault="008F7918">
            <w:pPr>
              <w:rPr>
                <w:rFonts w:asciiTheme="minorHAnsi" w:hAnsiTheme="minorHAnsi"/>
                <w:color w:val="auto"/>
                <w:sz w:val="20"/>
                <w:szCs w:val="20"/>
              </w:rPr>
            </w:pPr>
          </w:p>
        </w:tc>
        <w:tc>
          <w:tcPr>
            <w:tcW w:w="567" w:type="dxa"/>
            <w:tcBorders>
              <w:top w:val="single" w:sz="2" w:space="0" w:color="auto"/>
              <w:left w:val="single" w:sz="2" w:space="0" w:color="auto"/>
              <w:bottom w:val="single" w:sz="2" w:space="0" w:color="auto"/>
              <w:right w:val="single" w:sz="2" w:space="0" w:color="auto"/>
            </w:tcBorders>
            <w:hideMark/>
          </w:tcPr>
          <w:p w14:paraId="0B9550C0" w14:textId="77777777" w:rsidR="008F7918" w:rsidRDefault="008F7918">
            <w:pPr>
              <w:rPr>
                <w:rFonts w:asciiTheme="minorHAnsi" w:hAnsiTheme="minorHAnsi"/>
                <w:color w:val="auto"/>
                <w:sz w:val="20"/>
                <w:szCs w:val="20"/>
              </w:rPr>
            </w:pPr>
          </w:p>
        </w:tc>
        <w:tc>
          <w:tcPr>
            <w:tcW w:w="709" w:type="dxa"/>
            <w:tcBorders>
              <w:top w:val="single" w:sz="2" w:space="0" w:color="auto"/>
              <w:left w:val="single" w:sz="2" w:space="0" w:color="auto"/>
              <w:bottom w:val="single" w:sz="2" w:space="0" w:color="auto"/>
              <w:right w:val="single" w:sz="2" w:space="0" w:color="auto"/>
            </w:tcBorders>
            <w:hideMark/>
          </w:tcPr>
          <w:p w14:paraId="7A477E5C" w14:textId="77777777" w:rsidR="008F7918" w:rsidRDefault="008F7918">
            <w:pPr>
              <w:rPr>
                <w:rFonts w:asciiTheme="minorHAnsi" w:hAnsiTheme="minorHAnsi"/>
                <w:color w:val="auto"/>
                <w:sz w:val="20"/>
                <w:szCs w:val="20"/>
              </w:rPr>
            </w:pPr>
          </w:p>
        </w:tc>
        <w:tc>
          <w:tcPr>
            <w:tcW w:w="992" w:type="dxa"/>
            <w:tcBorders>
              <w:top w:val="single" w:sz="2" w:space="0" w:color="auto"/>
              <w:left w:val="single" w:sz="2" w:space="0" w:color="auto"/>
              <w:bottom w:val="single" w:sz="2" w:space="0" w:color="auto"/>
              <w:right w:val="single" w:sz="2" w:space="0" w:color="auto"/>
            </w:tcBorders>
            <w:hideMark/>
          </w:tcPr>
          <w:p w14:paraId="23C77A7F" w14:textId="77777777" w:rsidR="008F7918" w:rsidRDefault="008F7918">
            <w:pPr>
              <w:rPr>
                <w:rFonts w:asciiTheme="minorHAnsi" w:hAnsiTheme="minorHAnsi"/>
                <w:color w:val="auto"/>
                <w:sz w:val="20"/>
                <w:szCs w:val="20"/>
              </w:rPr>
            </w:pPr>
          </w:p>
        </w:tc>
        <w:tc>
          <w:tcPr>
            <w:tcW w:w="709" w:type="dxa"/>
            <w:tcBorders>
              <w:top w:val="single" w:sz="2" w:space="0" w:color="auto"/>
              <w:left w:val="single" w:sz="2" w:space="0" w:color="auto"/>
              <w:bottom w:val="single" w:sz="2" w:space="0" w:color="auto"/>
              <w:right w:val="single" w:sz="2" w:space="0" w:color="auto"/>
            </w:tcBorders>
            <w:hideMark/>
          </w:tcPr>
          <w:p w14:paraId="36B32358" w14:textId="77777777" w:rsidR="008F7918" w:rsidRDefault="008F7918">
            <w:pPr>
              <w:rPr>
                <w:rFonts w:asciiTheme="minorHAnsi" w:hAnsiTheme="minorHAnsi"/>
                <w:color w:val="auto"/>
                <w:sz w:val="20"/>
                <w:szCs w:val="20"/>
              </w:rPr>
            </w:pPr>
          </w:p>
        </w:tc>
        <w:tc>
          <w:tcPr>
            <w:tcW w:w="850" w:type="dxa"/>
            <w:tcBorders>
              <w:top w:val="single" w:sz="2" w:space="0" w:color="auto"/>
              <w:left w:val="single" w:sz="2" w:space="0" w:color="auto"/>
              <w:bottom w:val="single" w:sz="2" w:space="0" w:color="auto"/>
              <w:right w:val="single" w:sz="2" w:space="0" w:color="auto"/>
            </w:tcBorders>
            <w:hideMark/>
          </w:tcPr>
          <w:p w14:paraId="115FAC35" w14:textId="77777777" w:rsidR="008F7918" w:rsidRDefault="008F7918">
            <w:pPr>
              <w:rPr>
                <w:rFonts w:asciiTheme="minorHAnsi" w:hAnsiTheme="minorHAnsi"/>
                <w:color w:val="auto"/>
                <w:sz w:val="20"/>
                <w:szCs w:val="20"/>
              </w:rPr>
            </w:pPr>
          </w:p>
        </w:tc>
        <w:tc>
          <w:tcPr>
            <w:tcW w:w="851" w:type="dxa"/>
            <w:tcBorders>
              <w:top w:val="single" w:sz="2" w:space="0" w:color="auto"/>
              <w:left w:val="single" w:sz="2" w:space="0" w:color="auto"/>
              <w:bottom w:val="single" w:sz="2" w:space="0" w:color="auto"/>
              <w:right w:val="single" w:sz="2" w:space="0" w:color="auto"/>
            </w:tcBorders>
            <w:hideMark/>
          </w:tcPr>
          <w:p w14:paraId="1E5E1A70" w14:textId="77777777" w:rsidR="008F7918" w:rsidRDefault="008F7918">
            <w:pPr>
              <w:rPr>
                <w:rFonts w:asciiTheme="minorHAnsi" w:hAnsiTheme="minorHAnsi"/>
                <w:color w:val="auto"/>
                <w:sz w:val="20"/>
                <w:szCs w:val="20"/>
              </w:rPr>
            </w:pPr>
          </w:p>
        </w:tc>
        <w:tc>
          <w:tcPr>
            <w:tcW w:w="709" w:type="dxa"/>
            <w:tcBorders>
              <w:top w:val="single" w:sz="2" w:space="0" w:color="auto"/>
              <w:left w:val="single" w:sz="2" w:space="0" w:color="auto"/>
              <w:bottom w:val="single" w:sz="2" w:space="0" w:color="auto"/>
              <w:right w:val="single" w:sz="2" w:space="0" w:color="auto"/>
            </w:tcBorders>
            <w:hideMark/>
          </w:tcPr>
          <w:p w14:paraId="1B290279" w14:textId="77777777" w:rsidR="008F7918" w:rsidRDefault="008F7918">
            <w:pPr>
              <w:pStyle w:val="NormalWeb"/>
              <w:rPr>
                <w:sz w:val="18"/>
                <w:szCs w:val="18"/>
              </w:rPr>
            </w:pPr>
            <w:proofErr w:type="spellStart"/>
            <w:r>
              <w:rPr>
                <w:sz w:val="18"/>
                <w:szCs w:val="18"/>
              </w:rPr>
              <w:t>Flu</w:t>
            </w:r>
            <w:r>
              <w:rPr>
                <w:sz w:val="18"/>
                <w:szCs w:val="18"/>
                <w:vertAlign w:val="superscript"/>
              </w:rPr>
              <w:t>f</w:t>
            </w:r>
            <w:proofErr w:type="spellEnd"/>
          </w:p>
        </w:tc>
        <w:tc>
          <w:tcPr>
            <w:tcW w:w="968" w:type="dxa"/>
            <w:tcBorders>
              <w:top w:val="single" w:sz="2" w:space="0" w:color="auto"/>
              <w:left w:val="single" w:sz="2" w:space="0" w:color="auto"/>
              <w:bottom w:val="single" w:sz="2" w:space="0" w:color="auto"/>
              <w:right w:val="single" w:sz="2" w:space="0" w:color="auto"/>
            </w:tcBorders>
            <w:hideMark/>
          </w:tcPr>
          <w:p w14:paraId="0F508FE3" w14:textId="77777777" w:rsidR="008F7918" w:rsidRDefault="008F7918">
            <w:pPr>
              <w:pStyle w:val="NormalWeb"/>
              <w:rPr>
                <w:sz w:val="18"/>
                <w:szCs w:val="18"/>
              </w:rPr>
            </w:pPr>
            <w:r>
              <w:rPr>
                <w:sz w:val="18"/>
                <w:szCs w:val="18"/>
              </w:rPr>
              <w:t>13vPCV, 23vPPV</w:t>
            </w:r>
            <w:r>
              <w:rPr>
                <w:sz w:val="18"/>
                <w:szCs w:val="18"/>
                <w:vertAlign w:val="superscript"/>
              </w:rPr>
              <w:t>g</w:t>
            </w:r>
          </w:p>
        </w:tc>
      </w:tr>
      <w:tr w:rsidR="008F7918" w14:paraId="3760FDD5" w14:textId="77777777" w:rsidTr="008F7918">
        <w:trPr>
          <w:cnfStyle w:val="000000010000" w:firstRow="0" w:lastRow="0" w:firstColumn="0" w:lastColumn="0" w:oddVBand="0" w:evenVBand="0" w:oddHBand="0" w:evenHBand="1" w:firstRowFirstColumn="0" w:firstRowLastColumn="0" w:lastRowFirstColumn="0" w:lastRowLastColumn="0"/>
        </w:trPr>
        <w:tc>
          <w:tcPr>
            <w:tcW w:w="1644" w:type="dxa"/>
            <w:tcBorders>
              <w:top w:val="single" w:sz="2" w:space="0" w:color="auto"/>
              <w:left w:val="single" w:sz="2" w:space="0" w:color="auto"/>
              <w:bottom w:val="single" w:sz="2" w:space="0" w:color="auto"/>
              <w:right w:val="single" w:sz="2" w:space="0" w:color="auto"/>
            </w:tcBorders>
            <w:hideMark/>
          </w:tcPr>
          <w:p w14:paraId="1A71995F" w14:textId="77777777" w:rsidR="008F7918" w:rsidRDefault="008F7918">
            <w:pPr>
              <w:pStyle w:val="NormalWeb"/>
              <w:rPr>
                <w:sz w:val="18"/>
                <w:szCs w:val="18"/>
              </w:rPr>
            </w:pPr>
            <w:r>
              <w:rPr>
                <w:sz w:val="18"/>
                <w:szCs w:val="18"/>
              </w:rPr>
              <w:t>≥ 65 years</w:t>
            </w:r>
          </w:p>
        </w:tc>
        <w:tc>
          <w:tcPr>
            <w:tcW w:w="624" w:type="dxa"/>
            <w:tcBorders>
              <w:top w:val="single" w:sz="2" w:space="0" w:color="auto"/>
              <w:left w:val="single" w:sz="2" w:space="0" w:color="auto"/>
              <w:bottom w:val="single" w:sz="2" w:space="0" w:color="auto"/>
              <w:right w:val="single" w:sz="2" w:space="0" w:color="auto"/>
            </w:tcBorders>
            <w:hideMark/>
          </w:tcPr>
          <w:p w14:paraId="1315A1FD" w14:textId="77777777" w:rsidR="008F7918" w:rsidRDefault="008F7918">
            <w:pPr>
              <w:rPr>
                <w:sz w:val="18"/>
                <w:szCs w:val="18"/>
              </w:rPr>
            </w:pPr>
          </w:p>
        </w:tc>
        <w:tc>
          <w:tcPr>
            <w:tcW w:w="709" w:type="dxa"/>
            <w:tcBorders>
              <w:top w:val="single" w:sz="2" w:space="0" w:color="auto"/>
              <w:left w:val="single" w:sz="2" w:space="0" w:color="auto"/>
              <w:bottom w:val="single" w:sz="2" w:space="0" w:color="auto"/>
              <w:right w:val="single" w:sz="2" w:space="0" w:color="auto"/>
            </w:tcBorders>
            <w:hideMark/>
          </w:tcPr>
          <w:p w14:paraId="3FF41D89" w14:textId="77777777" w:rsidR="008F7918" w:rsidRDefault="008F7918">
            <w:pPr>
              <w:rPr>
                <w:rFonts w:asciiTheme="minorHAnsi" w:hAnsiTheme="minorHAnsi"/>
                <w:color w:val="auto"/>
                <w:sz w:val="20"/>
                <w:szCs w:val="20"/>
              </w:rPr>
            </w:pPr>
          </w:p>
        </w:tc>
        <w:tc>
          <w:tcPr>
            <w:tcW w:w="567" w:type="dxa"/>
            <w:tcBorders>
              <w:top w:val="single" w:sz="2" w:space="0" w:color="auto"/>
              <w:left w:val="single" w:sz="2" w:space="0" w:color="auto"/>
              <w:bottom w:val="single" w:sz="2" w:space="0" w:color="auto"/>
              <w:right w:val="single" w:sz="2" w:space="0" w:color="auto"/>
            </w:tcBorders>
            <w:hideMark/>
          </w:tcPr>
          <w:p w14:paraId="131DD435" w14:textId="77777777" w:rsidR="008F7918" w:rsidRDefault="008F7918">
            <w:pPr>
              <w:rPr>
                <w:rFonts w:asciiTheme="minorHAnsi" w:hAnsiTheme="minorHAnsi"/>
                <w:color w:val="auto"/>
                <w:sz w:val="20"/>
                <w:szCs w:val="20"/>
              </w:rPr>
            </w:pPr>
          </w:p>
        </w:tc>
        <w:tc>
          <w:tcPr>
            <w:tcW w:w="567" w:type="dxa"/>
            <w:tcBorders>
              <w:top w:val="single" w:sz="2" w:space="0" w:color="auto"/>
              <w:left w:val="single" w:sz="2" w:space="0" w:color="auto"/>
              <w:bottom w:val="single" w:sz="2" w:space="0" w:color="auto"/>
              <w:right w:val="single" w:sz="2" w:space="0" w:color="auto"/>
            </w:tcBorders>
            <w:hideMark/>
          </w:tcPr>
          <w:p w14:paraId="7A62BB02" w14:textId="77777777" w:rsidR="008F7918" w:rsidRDefault="008F7918">
            <w:pPr>
              <w:rPr>
                <w:rFonts w:asciiTheme="minorHAnsi" w:hAnsiTheme="minorHAnsi"/>
                <w:color w:val="auto"/>
                <w:sz w:val="20"/>
                <w:szCs w:val="20"/>
              </w:rPr>
            </w:pPr>
          </w:p>
        </w:tc>
        <w:tc>
          <w:tcPr>
            <w:tcW w:w="567" w:type="dxa"/>
            <w:tcBorders>
              <w:top w:val="single" w:sz="2" w:space="0" w:color="auto"/>
              <w:left w:val="single" w:sz="2" w:space="0" w:color="auto"/>
              <w:bottom w:val="single" w:sz="2" w:space="0" w:color="auto"/>
              <w:right w:val="single" w:sz="2" w:space="0" w:color="auto"/>
            </w:tcBorders>
            <w:hideMark/>
          </w:tcPr>
          <w:p w14:paraId="38AD400D" w14:textId="77777777" w:rsidR="008F7918" w:rsidRDefault="008F7918">
            <w:pPr>
              <w:rPr>
                <w:rFonts w:asciiTheme="minorHAnsi" w:hAnsiTheme="minorHAnsi"/>
                <w:color w:val="auto"/>
                <w:sz w:val="20"/>
                <w:szCs w:val="20"/>
              </w:rPr>
            </w:pPr>
          </w:p>
        </w:tc>
        <w:tc>
          <w:tcPr>
            <w:tcW w:w="709" w:type="dxa"/>
            <w:tcBorders>
              <w:top w:val="single" w:sz="2" w:space="0" w:color="auto"/>
              <w:left w:val="single" w:sz="2" w:space="0" w:color="auto"/>
              <w:bottom w:val="single" w:sz="2" w:space="0" w:color="auto"/>
              <w:right w:val="single" w:sz="2" w:space="0" w:color="auto"/>
            </w:tcBorders>
            <w:hideMark/>
          </w:tcPr>
          <w:p w14:paraId="697F042B" w14:textId="77777777" w:rsidR="008F7918" w:rsidRDefault="008F7918">
            <w:pPr>
              <w:rPr>
                <w:rFonts w:asciiTheme="minorHAnsi" w:hAnsiTheme="minorHAnsi"/>
                <w:color w:val="auto"/>
                <w:sz w:val="20"/>
                <w:szCs w:val="20"/>
              </w:rPr>
            </w:pPr>
          </w:p>
        </w:tc>
        <w:tc>
          <w:tcPr>
            <w:tcW w:w="992" w:type="dxa"/>
            <w:tcBorders>
              <w:top w:val="single" w:sz="2" w:space="0" w:color="auto"/>
              <w:left w:val="single" w:sz="2" w:space="0" w:color="auto"/>
              <w:bottom w:val="single" w:sz="2" w:space="0" w:color="auto"/>
              <w:right w:val="single" w:sz="2" w:space="0" w:color="auto"/>
            </w:tcBorders>
            <w:hideMark/>
          </w:tcPr>
          <w:p w14:paraId="48CFD078" w14:textId="77777777" w:rsidR="008F7918" w:rsidRDefault="008F7918">
            <w:pPr>
              <w:rPr>
                <w:rFonts w:asciiTheme="minorHAnsi" w:hAnsiTheme="minorHAnsi"/>
                <w:color w:val="auto"/>
                <w:sz w:val="20"/>
                <w:szCs w:val="20"/>
              </w:rPr>
            </w:pPr>
          </w:p>
        </w:tc>
        <w:tc>
          <w:tcPr>
            <w:tcW w:w="709" w:type="dxa"/>
            <w:tcBorders>
              <w:top w:val="single" w:sz="2" w:space="0" w:color="auto"/>
              <w:left w:val="single" w:sz="2" w:space="0" w:color="auto"/>
              <w:bottom w:val="single" w:sz="2" w:space="0" w:color="auto"/>
              <w:right w:val="single" w:sz="2" w:space="0" w:color="auto"/>
            </w:tcBorders>
            <w:hideMark/>
          </w:tcPr>
          <w:p w14:paraId="677D662E" w14:textId="77777777" w:rsidR="008F7918" w:rsidRDefault="008F7918">
            <w:pPr>
              <w:rPr>
                <w:rFonts w:asciiTheme="minorHAnsi" w:hAnsiTheme="minorHAnsi"/>
                <w:color w:val="auto"/>
                <w:sz w:val="20"/>
                <w:szCs w:val="20"/>
              </w:rPr>
            </w:pPr>
          </w:p>
        </w:tc>
        <w:tc>
          <w:tcPr>
            <w:tcW w:w="850" w:type="dxa"/>
            <w:tcBorders>
              <w:top w:val="single" w:sz="2" w:space="0" w:color="auto"/>
              <w:left w:val="single" w:sz="2" w:space="0" w:color="auto"/>
              <w:bottom w:val="single" w:sz="2" w:space="0" w:color="auto"/>
              <w:right w:val="single" w:sz="2" w:space="0" w:color="auto"/>
            </w:tcBorders>
            <w:hideMark/>
          </w:tcPr>
          <w:p w14:paraId="50C5E3B4" w14:textId="77777777" w:rsidR="008F7918" w:rsidRDefault="008F7918">
            <w:pPr>
              <w:rPr>
                <w:rFonts w:asciiTheme="minorHAnsi" w:hAnsiTheme="minorHAnsi"/>
                <w:color w:val="auto"/>
                <w:sz w:val="20"/>
                <w:szCs w:val="20"/>
              </w:rPr>
            </w:pPr>
          </w:p>
        </w:tc>
        <w:tc>
          <w:tcPr>
            <w:tcW w:w="851" w:type="dxa"/>
            <w:tcBorders>
              <w:top w:val="single" w:sz="2" w:space="0" w:color="auto"/>
              <w:left w:val="single" w:sz="2" w:space="0" w:color="auto"/>
              <w:bottom w:val="single" w:sz="2" w:space="0" w:color="auto"/>
              <w:right w:val="single" w:sz="2" w:space="0" w:color="auto"/>
            </w:tcBorders>
            <w:hideMark/>
          </w:tcPr>
          <w:p w14:paraId="52BD46EF" w14:textId="77777777" w:rsidR="008F7918" w:rsidRDefault="008F7918">
            <w:pPr>
              <w:rPr>
                <w:rFonts w:asciiTheme="minorHAnsi" w:hAnsiTheme="minorHAnsi"/>
                <w:color w:val="auto"/>
                <w:sz w:val="20"/>
                <w:szCs w:val="20"/>
              </w:rPr>
            </w:pPr>
          </w:p>
        </w:tc>
        <w:tc>
          <w:tcPr>
            <w:tcW w:w="709" w:type="dxa"/>
            <w:tcBorders>
              <w:top w:val="single" w:sz="2" w:space="0" w:color="auto"/>
              <w:left w:val="single" w:sz="2" w:space="0" w:color="auto"/>
              <w:bottom w:val="single" w:sz="2" w:space="0" w:color="auto"/>
              <w:right w:val="single" w:sz="2" w:space="0" w:color="auto"/>
            </w:tcBorders>
            <w:hideMark/>
          </w:tcPr>
          <w:p w14:paraId="425710CC" w14:textId="77777777" w:rsidR="008F7918" w:rsidRDefault="008F7918">
            <w:pPr>
              <w:pStyle w:val="NormalWeb"/>
              <w:rPr>
                <w:sz w:val="18"/>
                <w:szCs w:val="18"/>
              </w:rPr>
            </w:pPr>
            <w:proofErr w:type="spellStart"/>
            <w:r>
              <w:rPr>
                <w:sz w:val="18"/>
                <w:szCs w:val="18"/>
              </w:rPr>
              <w:t>Flu</w:t>
            </w:r>
            <w:r>
              <w:rPr>
                <w:sz w:val="18"/>
                <w:szCs w:val="18"/>
                <w:vertAlign w:val="superscript"/>
              </w:rPr>
              <w:t>f</w:t>
            </w:r>
            <w:proofErr w:type="spellEnd"/>
          </w:p>
        </w:tc>
        <w:tc>
          <w:tcPr>
            <w:tcW w:w="968" w:type="dxa"/>
            <w:tcBorders>
              <w:top w:val="single" w:sz="2" w:space="0" w:color="auto"/>
              <w:left w:val="single" w:sz="2" w:space="0" w:color="auto"/>
              <w:bottom w:val="single" w:sz="2" w:space="0" w:color="auto"/>
              <w:right w:val="single" w:sz="2" w:space="0" w:color="auto"/>
            </w:tcBorders>
            <w:hideMark/>
          </w:tcPr>
          <w:p w14:paraId="212C3103" w14:textId="77777777" w:rsidR="008F7918" w:rsidRDefault="008F7918">
            <w:pPr>
              <w:rPr>
                <w:sz w:val="18"/>
                <w:szCs w:val="18"/>
              </w:rPr>
            </w:pPr>
          </w:p>
        </w:tc>
      </w:tr>
      <w:tr w:rsidR="008F7918" w14:paraId="6F54384B" w14:textId="77777777" w:rsidTr="008F7918">
        <w:tc>
          <w:tcPr>
            <w:tcW w:w="1644" w:type="dxa"/>
            <w:tcBorders>
              <w:top w:val="single" w:sz="2" w:space="0" w:color="auto"/>
              <w:left w:val="single" w:sz="2" w:space="0" w:color="auto"/>
              <w:bottom w:val="single" w:sz="2" w:space="0" w:color="auto"/>
              <w:right w:val="single" w:sz="2" w:space="0" w:color="auto"/>
            </w:tcBorders>
            <w:hideMark/>
          </w:tcPr>
          <w:p w14:paraId="1EF6A1A2" w14:textId="77777777" w:rsidR="008F7918" w:rsidRDefault="008F7918">
            <w:pPr>
              <w:pStyle w:val="NormalWeb"/>
              <w:jc w:val="left"/>
              <w:rPr>
                <w:sz w:val="18"/>
                <w:szCs w:val="18"/>
              </w:rPr>
            </w:pPr>
            <w:r>
              <w:rPr>
                <w:sz w:val="18"/>
                <w:szCs w:val="18"/>
              </w:rPr>
              <w:t>Pregnant women (any age)</w:t>
            </w:r>
          </w:p>
        </w:tc>
        <w:tc>
          <w:tcPr>
            <w:tcW w:w="624" w:type="dxa"/>
            <w:tcBorders>
              <w:top w:val="single" w:sz="2" w:space="0" w:color="auto"/>
              <w:left w:val="single" w:sz="2" w:space="0" w:color="auto"/>
              <w:bottom w:val="single" w:sz="2" w:space="0" w:color="auto"/>
              <w:right w:val="single" w:sz="2" w:space="0" w:color="auto"/>
            </w:tcBorders>
            <w:hideMark/>
          </w:tcPr>
          <w:p w14:paraId="76A381BD" w14:textId="77777777" w:rsidR="008F7918" w:rsidRDefault="008F7918">
            <w:pPr>
              <w:rPr>
                <w:sz w:val="18"/>
                <w:szCs w:val="18"/>
              </w:rPr>
            </w:pPr>
          </w:p>
        </w:tc>
        <w:tc>
          <w:tcPr>
            <w:tcW w:w="709" w:type="dxa"/>
            <w:tcBorders>
              <w:top w:val="single" w:sz="2" w:space="0" w:color="auto"/>
              <w:left w:val="single" w:sz="2" w:space="0" w:color="auto"/>
              <w:bottom w:val="single" w:sz="2" w:space="0" w:color="auto"/>
              <w:right w:val="single" w:sz="2" w:space="0" w:color="auto"/>
            </w:tcBorders>
            <w:hideMark/>
          </w:tcPr>
          <w:p w14:paraId="79B53135" w14:textId="77777777" w:rsidR="008F7918" w:rsidRDefault="008F7918">
            <w:pPr>
              <w:pStyle w:val="NormalWeb"/>
              <w:rPr>
                <w:sz w:val="18"/>
                <w:szCs w:val="18"/>
              </w:rPr>
            </w:pPr>
            <w:proofErr w:type="spellStart"/>
            <w:r>
              <w:rPr>
                <w:sz w:val="18"/>
                <w:szCs w:val="18"/>
              </w:rPr>
              <w:t>dTpa</w:t>
            </w:r>
            <w:r>
              <w:rPr>
                <w:sz w:val="18"/>
                <w:szCs w:val="18"/>
                <w:vertAlign w:val="superscript"/>
              </w:rPr>
              <w:t>h</w:t>
            </w:r>
            <w:proofErr w:type="spellEnd"/>
          </w:p>
        </w:tc>
        <w:tc>
          <w:tcPr>
            <w:tcW w:w="567" w:type="dxa"/>
            <w:tcBorders>
              <w:top w:val="single" w:sz="2" w:space="0" w:color="auto"/>
              <w:left w:val="single" w:sz="2" w:space="0" w:color="auto"/>
              <w:bottom w:val="single" w:sz="2" w:space="0" w:color="auto"/>
              <w:right w:val="single" w:sz="2" w:space="0" w:color="auto"/>
            </w:tcBorders>
            <w:hideMark/>
          </w:tcPr>
          <w:p w14:paraId="372DC0B4" w14:textId="77777777" w:rsidR="008F7918" w:rsidRDefault="008F7918">
            <w:pPr>
              <w:rPr>
                <w:sz w:val="18"/>
                <w:szCs w:val="18"/>
              </w:rPr>
            </w:pPr>
          </w:p>
        </w:tc>
        <w:tc>
          <w:tcPr>
            <w:tcW w:w="567" w:type="dxa"/>
            <w:tcBorders>
              <w:top w:val="single" w:sz="2" w:space="0" w:color="auto"/>
              <w:left w:val="single" w:sz="2" w:space="0" w:color="auto"/>
              <w:bottom w:val="single" w:sz="2" w:space="0" w:color="auto"/>
              <w:right w:val="single" w:sz="2" w:space="0" w:color="auto"/>
            </w:tcBorders>
            <w:hideMark/>
          </w:tcPr>
          <w:p w14:paraId="71469C5E" w14:textId="77777777" w:rsidR="008F7918" w:rsidRDefault="008F7918">
            <w:pPr>
              <w:rPr>
                <w:rFonts w:asciiTheme="minorHAnsi" w:hAnsiTheme="minorHAnsi"/>
                <w:color w:val="auto"/>
                <w:sz w:val="20"/>
                <w:szCs w:val="20"/>
              </w:rPr>
            </w:pPr>
          </w:p>
        </w:tc>
        <w:tc>
          <w:tcPr>
            <w:tcW w:w="567" w:type="dxa"/>
            <w:tcBorders>
              <w:top w:val="single" w:sz="2" w:space="0" w:color="auto"/>
              <w:left w:val="single" w:sz="2" w:space="0" w:color="auto"/>
              <w:bottom w:val="single" w:sz="2" w:space="0" w:color="auto"/>
              <w:right w:val="single" w:sz="2" w:space="0" w:color="auto"/>
            </w:tcBorders>
            <w:hideMark/>
          </w:tcPr>
          <w:p w14:paraId="3CE9C054" w14:textId="77777777" w:rsidR="008F7918" w:rsidRDefault="008F7918">
            <w:pPr>
              <w:rPr>
                <w:rFonts w:asciiTheme="minorHAnsi" w:hAnsiTheme="minorHAnsi"/>
                <w:color w:val="auto"/>
                <w:sz w:val="20"/>
                <w:szCs w:val="20"/>
              </w:rPr>
            </w:pPr>
          </w:p>
        </w:tc>
        <w:tc>
          <w:tcPr>
            <w:tcW w:w="709" w:type="dxa"/>
            <w:tcBorders>
              <w:top w:val="single" w:sz="2" w:space="0" w:color="auto"/>
              <w:left w:val="single" w:sz="2" w:space="0" w:color="auto"/>
              <w:bottom w:val="single" w:sz="2" w:space="0" w:color="auto"/>
              <w:right w:val="single" w:sz="2" w:space="0" w:color="auto"/>
            </w:tcBorders>
            <w:hideMark/>
          </w:tcPr>
          <w:p w14:paraId="6E842BDB" w14:textId="77777777" w:rsidR="008F7918" w:rsidRDefault="008F7918">
            <w:pPr>
              <w:rPr>
                <w:rFonts w:asciiTheme="minorHAnsi" w:hAnsiTheme="minorHAnsi"/>
                <w:color w:val="auto"/>
                <w:sz w:val="20"/>
                <w:szCs w:val="20"/>
              </w:rPr>
            </w:pPr>
          </w:p>
        </w:tc>
        <w:tc>
          <w:tcPr>
            <w:tcW w:w="992" w:type="dxa"/>
            <w:tcBorders>
              <w:top w:val="single" w:sz="2" w:space="0" w:color="auto"/>
              <w:left w:val="single" w:sz="2" w:space="0" w:color="auto"/>
              <w:bottom w:val="single" w:sz="2" w:space="0" w:color="auto"/>
              <w:right w:val="single" w:sz="2" w:space="0" w:color="auto"/>
            </w:tcBorders>
            <w:hideMark/>
          </w:tcPr>
          <w:p w14:paraId="5F936C7D" w14:textId="77777777" w:rsidR="008F7918" w:rsidRDefault="008F7918">
            <w:pPr>
              <w:rPr>
                <w:rFonts w:asciiTheme="minorHAnsi" w:hAnsiTheme="minorHAnsi"/>
                <w:color w:val="auto"/>
                <w:sz w:val="20"/>
                <w:szCs w:val="20"/>
              </w:rPr>
            </w:pPr>
          </w:p>
        </w:tc>
        <w:tc>
          <w:tcPr>
            <w:tcW w:w="709" w:type="dxa"/>
            <w:tcBorders>
              <w:top w:val="single" w:sz="2" w:space="0" w:color="auto"/>
              <w:left w:val="single" w:sz="2" w:space="0" w:color="auto"/>
              <w:bottom w:val="single" w:sz="2" w:space="0" w:color="auto"/>
              <w:right w:val="single" w:sz="2" w:space="0" w:color="auto"/>
            </w:tcBorders>
            <w:hideMark/>
          </w:tcPr>
          <w:p w14:paraId="35B5E209" w14:textId="77777777" w:rsidR="008F7918" w:rsidRDefault="008F7918">
            <w:pPr>
              <w:rPr>
                <w:rFonts w:asciiTheme="minorHAnsi" w:hAnsiTheme="minorHAnsi"/>
                <w:color w:val="auto"/>
                <w:sz w:val="20"/>
                <w:szCs w:val="20"/>
              </w:rPr>
            </w:pPr>
          </w:p>
        </w:tc>
        <w:tc>
          <w:tcPr>
            <w:tcW w:w="850" w:type="dxa"/>
            <w:tcBorders>
              <w:top w:val="single" w:sz="2" w:space="0" w:color="auto"/>
              <w:left w:val="single" w:sz="2" w:space="0" w:color="auto"/>
              <w:bottom w:val="single" w:sz="2" w:space="0" w:color="auto"/>
              <w:right w:val="single" w:sz="2" w:space="0" w:color="auto"/>
            </w:tcBorders>
            <w:hideMark/>
          </w:tcPr>
          <w:p w14:paraId="1DAD38F5" w14:textId="77777777" w:rsidR="008F7918" w:rsidRDefault="008F7918">
            <w:pPr>
              <w:rPr>
                <w:rFonts w:asciiTheme="minorHAnsi" w:hAnsiTheme="minorHAnsi"/>
                <w:color w:val="auto"/>
                <w:sz w:val="20"/>
                <w:szCs w:val="20"/>
              </w:rPr>
            </w:pPr>
          </w:p>
        </w:tc>
        <w:tc>
          <w:tcPr>
            <w:tcW w:w="851" w:type="dxa"/>
            <w:tcBorders>
              <w:top w:val="single" w:sz="2" w:space="0" w:color="auto"/>
              <w:left w:val="single" w:sz="2" w:space="0" w:color="auto"/>
              <w:bottom w:val="single" w:sz="2" w:space="0" w:color="auto"/>
              <w:right w:val="single" w:sz="2" w:space="0" w:color="auto"/>
            </w:tcBorders>
            <w:hideMark/>
          </w:tcPr>
          <w:p w14:paraId="196EBFA3" w14:textId="77777777" w:rsidR="008F7918" w:rsidRDefault="008F7918">
            <w:pPr>
              <w:rPr>
                <w:rFonts w:asciiTheme="minorHAnsi" w:hAnsiTheme="minorHAnsi"/>
                <w:color w:val="auto"/>
                <w:sz w:val="20"/>
                <w:szCs w:val="20"/>
              </w:rPr>
            </w:pPr>
          </w:p>
        </w:tc>
        <w:tc>
          <w:tcPr>
            <w:tcW w:w="709" w:type="dxa"/>
            <w:tcBorders>
              <w:top w:val="single" w:sz="2" w:space="0" w:color="auto"/>
              <w:left w:val="single" w:sz="2" w:space="0" w:color="auto"/>
              <w:bottom w:val="single" w:sz="2" w:space="0" w:color="auto"/>
              <w:right w:val="single" w:sz="2" w:space="0" w:color="auto"/>
            </w:tcBorders>
            <w:hideMark/>
          </w:tcPr>
          <w:p w14:paraId="48BA7F45" w14:textId="77777777" w:rsidR="008F7918" w:rsidRDefault="008F7918">
            <w:pPr>
              <w:pStyle w:val="NormalWeb"/>
              <w:rPr>
                <w:sz w:val="18"/>
                <w:szCs w:val="18"/>
              </w:rPr>
            </w:pPr>
            <w:proofErr w:type="spellStart"/>
            <w:r>
              <w:rPr>
                <w:sz w:val="18"/>
                <w:szCs w:val="18"/>
              </w:rPr>
              <w:t>Flu</w:t>
            </w:r>
            <w:r>
              <w:rPr>
                <w:sz w:val="18"/>
                <w:szCs w:val="18"/>
                <w:vertAlign w:val="superscript"/>
              </w:rPr>
              <w:t>i</w:t>
            </w:r>
            <w:proofErr w:type="spellEnd"/>
          </w:p>
        </w:tc>
        <w:tc>
          <w:tcPr>
            <w:tcW w:w="968" w:type="dxa"/>
            <w:tcBorders>
              <w:top w:val="single" w:sz="2" w:space="0" w:color="auto"/>
              <w:left w:val="single" w:sz="2" w:space="0" w:color="auto"/>
              <w:bottom w:val="single" w:sz="2" w:space="0" w:color="auto"/>
              <w:right w:val="single" w:sz="2" w:space="0" w:color="auto"/>
            </w:tcBorders>
            <w:hideMark/>
          </w:tcPr>
          <w:p w14:paraId="35B1569B" w14:textId="77777777" w:rsidR="008F7918" w:rsidRDefault="008F7918">
            <w:pPr>
              <w:rPr>
                <w:sz w:val="18"/>
                <w:szCs w:val="18"/>
              </w:rPr>
            </w:pPr>
          </w:p>
        </w:tc>
      </w:tr>
      <w:tr w:rsidR="008F7918" w14:paraId="2E33A9A6" w14:textId="77777777" w:rsidTr="008F7918">
        <w:trPr>
          <w:cnfStyle w:val="000000010000" w:firstRow="0" w:lastRow="0" w:firstColumn="0" w:lastColumn="0" w:oddVBand="0" w:evenVBand="0" w:oddHBand="0" w:evenHBand="1" w:firstRowFirstColumn="0" w:firstRowLastColumn="0" w:lastRowFirstColumn="0" w:lastRowLastColumn="0"/>
        </w:trPr>
        <w:tc>
          <w:tcPr>
            <w:tcW w:w="1644" w:type="dxa"/>
            <w:tcBorders>
              <w:top w:val="single" w:sz="2" w:space="0" w:color="auto"/>
              <w:left w:val="single" w:sz="2" w:space="0" w:color="auto"/>
              <w:bottom w:val="single" w:sz="2" w:space="0" w:color="auto"/>
              <w:right w:val="single" w:sz="2" w:space="0" w:color="auto"/>
            </w:tcBorders>
            <w:hideMark/>
          </w:tcPr>
          <w:p w14:paraId="0D009A19" w14:textId="77777777" w:rsidR="008F7918" w:rsidRDefault="008F7918">
            <w:pPr>
              <w:pStyle w:val="NormalWeb"/>
              <w:jc w:val="left"/>
              <w:rPr>
                <w:sz w:val="18"/>
                <w:szCs w:val="18"/>
              </w:rPr>
            </w:pPr>
            <w:r>
              <w:rPr>
                <w:sz w:val="18"/>
                <w:szCs w:val="18"/>
              </w:rPr>
              <w:t>70 years</w:t>
            </w:r>
          </w:p>
        </w:tc>
        <w:tc>
          <w:tcPr>
            <w:tcW w:w="624" w:type="dxa"/>
            <w:tcBorders>
              <w:top w:val="single" w:sz="2" w:space="0" w:color="auto"/>
              <w:left w:val="single" w:sz="2" w:space="0" w:color="auto"/>
              <w:bottom w:val="single" w:sz="2" w:space="0" w:color="auto"/>
              <w:right w:val="single" w:sz="2" w:space="0" w:color="auto"/>
            </w:tcBorders>
            <w:hideMark/>
          </w:tcPr>
          <w:p w14:paraId="6B246681" w14:textId="77777777" w:rsidR="008F7918" w:rsidRDefault="008F7918">
            <w:pPr>
              <w:rPr>
                <w:sz w:val="18"/>
                <w:szCs w:val="18"/>
              </w:rPr>
            </w:pPr>
          </w:p>
        </w:tc>
        <w:tc>
          <w:tcPr>
            <w:tcW w:w="709" w:type="dxa"/>
            <w:tcBorders>
              <w:top w:val="single" w:sz="2" w:space="0" w:color="auto"/>
              <w:left w:val="single" w:sz="2" w:space="0" w:color="auto"/>
              <w:bottom w:val="single" w:sz="2" w:space="0" w:color="auto"/>
              <w:right w:val="single" w:sz="2" w:space="0" w:color="auto"/>
            </w:tcBorders>
            <w:hideMark/>
          </w:tcPr>
          <w:p w14:paraId="6E7D5042" w14:textId="77777777" w:rsidR="008F7918" w:rsidRDefault="008F7918">
            <w:pPr>
              <w:rPr>
                <w:rFonts w:asciiTheme="minorHAnsi" w:hAnsiTheme="minorHAnsi"/>
                <w:color w:val="auto"/>
                <w:sz w:val="20"/>
                <w:szCs w:val="20"/>
              </w:rPr>
            </w:pPr>
          </w:p>
        </w:tc>
        <w:tc>
          <w:tcPr>
            <w:tcW w:w="567" w:type="dxa"/>
            <w:tcBorders>
              <w:top w:val="single" w:sz="2" w:space="0" w:color="auto"/>
              <w:left w:val="single" w:sz="2" w:space="0" w:color="auto"/>
              <w:bottom w:val="single" w:sz="2" w:space="0" w:color="auto"/>
              <w:right w:val="single" w:sz="2" w:space="0" w:color="auto"/>
            </w:tcBorders>
            <w:hideMark/>
          </w:tcPr>
          <w:p w14:paraId="587CD54F" w14:textId="77777777" w:rsidR="008F7918" w:rsidRDefault="008F7918">
            <w:pPr>
              <w:rPr>
                <w:rFonts w:asciiTheme="minorHAnsi" w:hAnsiTheme="minorHAnsi"/>
                <w:color w:val="auto"/>
                <w:sz w:val="20"/>
                <w:szCs w:val="20"/>
              </w:rPr>
            </w:pPr>
          </w:p>
        </w:tc>
        <w:tc>
          <w:tcPr>
            <w:tcW w:w="567" w:type="dxa"/>
            <w:tcBorders>
              <w:top w:val="single" w:sz="2" w:space="0" w:color="auto"/>
              <w:left w:val="single" w:sz="2" w:space="0" w:color="auto"/>
              <w:bottom w:val="single" w:sz="2" w:space="0" w:color="auto"/>
              <w:right w:val="single" w:sz="2" w:space="0" w:color="auto"/>
            </w:tcBorders>
            <w:hideMark/>
          </w:tcPr>
          <w:p w14:paraId="48100FBD" w14:textId="77777777" w:rsidR="008F7918" w:rsidRDefault="008F7918">
            <w:pPr>
              <w:rPr>
                <w:rFonts w:asciiTheme="minorHAnsi" w:hAnsiTheme="minorHAnsi"/>
                <w:color w:val="auto"/>
                <w:sz w:val="20"/>
                <w:szCs w:val="20"/>
              </w:rPr>
            </w:pPr>
          </w:p>
        </w:tc>
        <w:tc>
          <w:tcPr>
            <w:tcW w:w="567" w:type="dxa"/>
            <w:tcBorders>
              <w:top w:val="single" w:sz="2" w:space="0" w:color="auto"/>
              <w:left w:val="single" w:sz="2" w:space="0" w:color="auto"/>
              <w:bottom w:val="single" w:sz="2" w:space="0" w:color="auto"/>
              <w:right w:val="single" w:sz="2" w:space="0" w:color="auto"/>
            </w:tcBorders>
            <w:hideMark/>
          </w:tcPr>
          <w:p w14:paraId="2B38AFE9" w14:textId="77777777" w:rsidR="008F7918" w:rsidRDefault="008F7918">
            <w:pPr>
              <w:rPr>
                <w:rFonts w:asciiTheme="minorHAnsi" w:hAnsiTheme="minorHAnsi"/>
                <w:color w:val="auto"/>
                <w:sz w:val="20"/>
                <w:szCs w:val="20"/>
              </w:rPr>
            </w:pPr>
          </w:p>
        </w:tc>
        <w:tc>
          <w:tcPr>
            <w:tcW w:w="709" w:type="dxa"/>
            <w:tcBorders>
              <w:top w:val="single" w:sz="2" w:space="0" w:color="auto"/>
              <w:left w:val="single" w:sz="2" w:space="0" w:color="auto"/>
              <w:bottom w:val="single" w:sz="2" w:space="0" w:color="auto"/>
              <w:right w:val="single" w:sz="2" w:space="0" w:color="auto"/>
            </w:tcBorders>
            <w:hideMark/>
          </w:tcPr>
          <w:p w14:paraId="38C146DA" w14:textId="77777777" w:rsidR="008F7918" w:rsidRDefault="008F7918">
            <w:pPr>
              <w:pStyle w:val="NormalWeb"/>
              <w:rPr>
                <w:sz w:val="18"/>
                <w:szCs w:val="18"/>
              </w:rPr>
            </w:pPr>
            <w:proofErr w:type="spellStart"/>
            <w:r>
              <w:rPr>
                <w:sz w:val="18"/>
                <w:szCs w:val="18"/>
              </w:rPr>
              <w:t>HZ</w:t>
            </w:r>
            <w:r>
              <w:rPr>
                <w:sz w:val="18"/>
                <w:szCs w:val="18"/>
                <w:vertAlign w:val="superscript"/>
              </w:rPr>
              <w:t>j</w:t>
            </w:r>
            <w:proofErr w:type="spellEnd"/>
          </w:p>
        </w:tc>
        <w:tc>
          <w:tcPr>
            <w:tcW w:w="992" w:type="dxa"/>
            <w:tcBorders>
              <w:top w:val="single" w:sz="2" w:space="0" w:color="auto"/>
              <w:left w:val="single" w:sz="2" w:space="0" w:color="auto"/>
              <w:bottom w:val="single" w:sz="2" w:space="0" w:color="auto"/>
              <w:right w:val="single" w:sz="2" w:space="0" w:color="auto"/>
            </w:tcBorders>
            <w:hideMark/>
          </w:tcPr>
          <w:p w14:paraId="69C7DE6D" w14:textId="77777777" w:rsidR="008F7918" w:rsidRDefault="008F7918">
            <w:pPr>
              <w:rPr>
                <w:sz w:val="18"/>
                <w:szCs w:val="18"/>
              </w:rPr>
            </w:pPr>
          </w:p>
        </w:tc>
        <w:tc>
          <w:tcPr>
            <w:tcW w:w="709" w:type="dxa"/>
            <w:tcBorders>
              <w:top w:val="single" w:sz="2" w:space="0" w:color="auto"/>
              <w:left w:val="single" w:sz="2" w:space="0" w:color="auto"/>
              <w:bottom w:val="single" w:sz="2" w:space="0" w:color="auto"/>
              <w:right w:val="single" w:sz="2" w:space="0" w:color="auto"/>
            </w:tcBorders>
            <w:hideMark/>
          </w:tcPr>
          <w:p w14:paraId="33ACF582" w14:textId="77777777" w:rsidR="008F7918" w:rsidRDefault="008F7918">
            <w:pPr>
              <w:rPr>
                <w:rFonts w:asciiTheme="minorHAnsi" w:hAnsiTheme="minorHAnsi"/>
                <w:color w:val="auto"/>
                <w:sz w:val="20"/>
                <w:szCs w:val="20"/>
              </w:rPr>
            </w:pPr>
          </w:p>
        </w:tc>
        <w:tc>
          <w:tcPr>
            <w:tcW w:w="850" w:type="dxa"/>
            <w:tcBorders>
              <w:top w:val="single" w:sz="2" w:space="0" w:color="auto"/>
              <w:left w:val="single" w:sz="2" w:space="0" w:color="auto"/>
              <w:bottom w:val="single" w:sz="2" w:space="0" w:color="auto"/>
              <w:right w:val="single" w:sz="2" w:space="0" w:color="auto"/>
            </w:tcBorders>
            <w:hideMark/>
          </w:tcPr>
          <w:p w14:paraId="0D534403" w14:textId="77777777" w:rsidR="008F7918" w:rsidRDefault="008F7918">
            <w:pPr>
              <w:rPr>
                <w:rFonts w:asciiTheme="minorHAnsi" w:hAnsiTheme="minorHAnsi"/>
                <w:color w:val="auto"/>
                <w:sz w:val="20"/>
                <w:szCs w:val="20"/>
              </w:rPr>
            </w:pPr>
          </w:p>
        </w:tc>
        <w:tc>
          <w:tcPr>
            <w:tcW w:w="851" w:type="dxa"/>
            <w:tcBorders>
              <w:top w:val="single" w:sz="2" w:space="0" w:color="auto"/>
              <w:left w:val="single" w:sz="2" w:space="0" w:color="auto"/>
              <w:bottom w:val="single" w:sz="2" w:space="0" w:color="auto"/>
              <w:right w:val="single" w:sz="2" w:space="0" w:color="auto"/>
            </w:tcBorders>
            <w:hideMark/>
          </w:tcPr>
          <w:p w14:paraId="4E64DB04" w14:textId="77777777" w:rsidR="008F7918" w:rsidRDefault="008F7918">
            <w:pPr>
              <w:rPr>
                <w:rFonts w:asciiTheme="minorHAnsi" w:hAnsiTheme="minorHAnsi"/>
                <w:color w:val="auto"/>
                <w:sz w:val="20"/>
                <w:szCs w:val="20"/>
              </w:rPr>
            </w:pPr>
          </w:p>
        </w:tc>
        <w:tc>
          <w:tcPr>
            <w:tcW w:w="709" w:type="dxa"/>
            <w:tcBorders>
              <w:top w:val="single" w:sz="2" w:space="0" w:color="auto"/>
              <w:left w:val="single" w:sz="2" w:space="0" w:color="auto"/>
              <w:bottom w:val="single" w:sz="2" w:space="0" w:color="auto"/>
              <w:right w:val="single" w:sz="2" w:space="0" w:color="auto"/>
            </w:tcBorders>
            <w:hideMark/>
          </w:tcPr>
          <w:p w14:paraId="0E32FD93" w14:textId="77777777" w:rsidR="008F7918" w:rsidRDefault="008F7918">
            <w:pPr>
              <w:rPr>
                <w:rFonts w:asciiTheme="minorHAnsi" w:hAnsiTheme="minorHAnsi"/>
                <w:color w:val="auto"/>
                <w:sz w:val="20"/>
                <w:szCs w:val="20"/>
              </w:rPr>
            </w:pPr>
          </w:p>
        </w:tc>
        <w:tc>
          <w:tcPr>
            <w:tcW w:w="968" w:type="dxa"/>
            <w:tcBorders>
              <w:top w:val="single" w:sz="2" w:space="0" w:color="auto"/>
              <w:left w:val="single" w:sz="2" w:space="0" w:color="auto"/>
              <w:bottom w:val="single" w:sz="2" w:space="0" w:color="auto"/>
              <w:right w:val="single" w:sz="2" w:space="0" w:color="auto"/>
            </w:tcBorders>
            <w:hideMark/>
          </w:tcPr>
          <w:p w14:paraId="5536B111" w14:textId="77777777" w:rsidR="008F7918" w:rsidRDefault="008F7918">
            <w:pPr>
              <w:pStyle w:val="NormalWeb"/>
              <w:rPr>
                <w:sz w:val="18"/>
                <w:szCs w:val="18"/>
              </w:rPr>
            </w:pPr>
            <w:r>
              <w:rPr>
                <w:sz w:val="18"/>
                <w:szCs w:val="18"/>
              </w:rPr>
              <w:t>13vPCV</w:t>
            </w:r>
            <w:r>
              <w:rPr>
                <w:sz w:val="18"/>
                <w:szCs w:val="18"/>
                <w:vertAlign w:val="superscript"/>
              </w:rPr>
              <w:t>k</w:t>
            </w:r>
          </w:p>
        </w:tc>
      </w:tr>
    </w:tbl>
    <w:p w14:paraId="0F00224B" w14:textId="77777777" w:rsidR="008F7918" w:rsidRDefault="008F7918" w:rsidP="008F7918">
      <w:pPr>
        <w:pStyle w:val="CDIfootnotes"/>
        <w:rPr>
          <w:lang w:val="en-GB"/>
        </w:rPr>
      </w:pPr>
      <w:r>
        <w:rPr>
          <w:lang w:val="en-GB"/>
        </w:rPr>
        <w:t>a</w:t>
      </w:r>
      <w:r>
        <w:rPr>
          <w:lang w:val="en-GB"/>
        </w:rPr>
        <w:tab/>
        <w:t xml:space="preserve">Hep B: hepatitis B; </w:t>
      </w:r>
      <w:proofErr w:type="spellStart"/>
      <w:r>
        <w:rPr>
          <w:lang w:val="en-GB"/>
        </w:rPr>
        <w:t>DTPa</w:t>
      </w:r>
      <w:proofErr w:type="spellEnd"/>
      <w:r>
        <w:rPr>
          <w:lang w:val="en-GB"/>
        </w:rPr>
        <w:t>: diphtheria–tetanus–pertussis (acellular) – paediatric formulation;</w:t>
      </w:r>
      <w:r>
        <w:rPr>
          <w:lang w:val="en-US"/>
        </w:rPr>
        <w:t xml:space="preserve"> </w:t>
      </w:r>
      <w:r>
        <w:rPr>
          <w:lang w:val="en-GB"/>
        </w:rPr>
        <w:t xml:space="preserve">Hib: </w:t>
      </w:r>
      <w:proofErr w:type="spellStart"/>
      <w:r w:rsidRPr="00A30BDA">
        <w:rPr>
          <w:i/>
          <w:iCs/>
          <w:lang w:val="en-US"/>
        </w:rPr>
        <w:t>Haemophilus</w:t>
      </w:r>
      <w:proofErr w:type="spellEnd"/>
      <w:r w:rsidRPr="00A30BDA">
        <w:rPr>
          <w:i/>
          <w:iCs/>
          <w:lang w:val="en-US"/>
        </w:rPr>
        <w:t xml:space="preserve"> influenzae</w:t>
      </w:r>
      <w:r>
        <w:rPr>
          <w:lang w:val="en-GB"/>
        </w:rPr>
        <w:t xml:space="preserve"> type b; IPV: inactivated polio vaccine; 13vPCV: 13-valent pneumococcal conjugate vaccine; Flu: influenza; MMR: measles-mumps-rubella; </w:t>
      </w:r>
      <w:proofErr w:type="spellStart"/>
      <w:r>
        <w:rPr>
          <w:lang w:val="en-GB"/>
        </w:rPr>
        <w:t>MenACWY</w:t>
      </w:r>
      <w:proofErr w:type="spellEnd"/>
      <w:r>
        <w:rPr>
          <w:lang w:val="en-GB"/>
        </w:rPr>
        <w:t xml:space="preserve">: meningococcal ACWY conjugate vaccine; </w:t>
      </w:r>
      <w:proofErr w:type="spellStart"/>
      <w:r>
        <w:rPr>
          <w:lang w:val="en-GB"/>
        </w:rPr>
        <w:t>MenB</w:t>
      </w:r>
      <w:proofErr w:type="spellEnd"/>
      <w:r>
        <w:rPr>
          <w:lang w:val="en-GB"/>
        </w:rPr>
        <w:t xml:space="preserve">: meningococcal B vaccine; MMR: measles-mumps-rubella-varicella; </w:t>
      </w:r>
      <w:proofErr w:type="spellStart"/>
      <w:r>
        <w:rPr>
          <w:lang w:val="en-GB"/>
        </w:rPr>
        <w:t>dTpa</w:t>
      </w:r>
      <w:proofErr w:type="spellEnd"/>
      <w:r>
        <w:rPr>
          <w:lang w:val="en-GB"/>
        </w:rPr>
        <w:t>: diphtheria–tetanus–pertussis (acellular) – adolescent/adult formulation; HPV: human papilloma virus; 23vPPV: Pneumovax 23 vaccine; HZ: herpes zoster.</w:t>
      </w:r>
    </w:p>
    <w:p w14:paraId="13305AAF" w14:textId="77777777" w:rsidR="008F7918" w:rsidRDefault="008F7918" w:rsidP="008F7918">
      <w:pPr>
        <w:pStyle w:val="CDIfootnotes"/>
        <w:rPr>
          <w:lang w:val="en-GB"/>
        </w:rPr>
      </w:pPr>
      <w:r>
        <w:rPr>
          <w:lang w:val="en-US"/>
        </w:rPr>
        <w:t>b</w:t>
      </w:r>
      <w:r>
        <w:rPr>
          <w:lang w:val="en-US"/>
        </w:rPr>
        <w:tab/>
      </w:r>
      <w:r>
        <w:rPr>
          <w:lang w:val="en-GB"/>
        </w:rPr>
        <w:t>Aboriginal and Torres Strait Islander children only (since July 2020) receive a dose of Meningococcal B vaccine at 2, 4 and 12 months of age, with an additional dose at 6 months of age for those with specific medical risk conditions.</w:t>
      </w:r>
    </w:p>
    <w:p w14:paraId="4113B155" w14:textId="77777777" w:rsidR="008F7918" w:rsidRDefault="008F7918" w:rsidP="008F7918">
      <w:pPr>
        <w:pStyle w:val="CDIfootnotes"/>
        <w:rPr>
          <w:lang w:val="en-GB"/>
        </w:rPr>
      </w:pPr>
      <w:r>
        <w:rPr>
          <w:lang w:val="en-GB"/>
        </w:rPr>
        <w:t>c</w:t>
      </w:r>
      <w:r>
        <w:rPr>
          <w:lang w:val="en-GB"/>
        </w:rPr>
        <w:tab/>
        <w:t>Aboriginal and Torres Strait Islander children living in the Northern Territory, Western Australia, Queensland and South Australia, and children with specified underlying medical conditions that predispose them to invasive pneumococcal disease.</w:t>
      </w:r>
    </w:p>
    <w:p w14:paraId="2B86E7D7" w14:textId="77777777" w:rsidR="008F7918" w:rsidRDefault="008F7918" w:rsidP="008F7918">
      <w:pPr>
        <w:pStyle w:val="CDIfootnotes"/>
        <w:rPr>
          <w:lang w:val="en-GB"/>
        </w:rPr>
      </w:pPr>
      <w:r>
        <w:rPr>
          <w:lang w:val="en-US"/>
        </w:rPr>
        <w:t>d</w:t>
      </w:r>
      <w:r>
        <w:rPr>
          <w:lang w:val="en-US"/>
        </w:rPr>
        <w:tab/>
        <w:t xml:space="preserve">Aboriginal and Torres Strait Islander children – doses at 12 months and 18 months of age in the Northern Territory, Western Australia, </w:t>
      </w:r>
      <w:proofErr w:type="gramStart"/>
      <w:r>
        <w:rPr>
          <w:lang w:val="en-US"/>
        </w:rPr>
        <w:t>Queensland</w:t>
      </w:r>
      <w:proofErr w:type="gramEnd"/>
      <w:r>
        <w:rPr>
          <w:lang w:val="en-US"/>
        </w:rPr>
        <w:t xml:space="preserve"> and South Australia.</w:t>
      </w:r>
    </w:p>
    <w:p w14:paraId="7178F466" w14:textId="77777777" w:rsidR="008F7918" w:rsidRDefault="008F7918" w:rsidP="008F7918">
      <w:pPr>
        <w:pStyle w:val="CDIfootnotes"/>
        <w:rPr>
          <w:lang w:val="en-GB"/>
        </w:rPr>
      </w:pPr>
      <w:r>
        <w:rPr>
          <w:lang w:val="en-US"/>
        </w:rPr>
        <w:t>e</w:t>
      </w:r>
      <w:r>
        <w:rPr>
          <w:lang w:val="en-US"/>
        </w:rPr>
        <w:tab/>
        <w:t xml:space="preserve"> Medically at-risk children.</w:t>
      </w:r>
    </w:p>
    <w:p w14:paraId="4844F054" w14:textId="77777777" w:rsidR="008F7918" w:rsidRDefault="008F7918" w:rsidP="008F7918">
      <w:pPr>
        <w:pStyle w:val="CDIfootnotes"/>
        <w:rPr>
          <w:lang w:val="en-GB"/>
        </w:rPr>
      </w:pPr>
      <w:r>
        <w:rPr>
          <w:lang w:val="en-US"/>
        </w:rPr>
        <w:t>f</w:t>
      </w:r>
      <w:r>
        <w:rPr>
          <w:lang w:val="en-US"/>
        </w:rPr>
        <w:tab/>
        <w:t>Annual vaccination - all Aboriginal and Torres Strait Islander persons aged over 6 months, non-Indigenous adults aged ≥ 65 years.</w:t>
      </w:r>
    </w:p>
    <w:p w14:paraId="17C4A959" w14:textId="77777777" w:rsidR="008F7918" w:rsidRDefault="008F7918" w:rsidP="008F7918">
      <w:pPr>
        <w:pStyle w:val="CDIfootnotes"/>
        <w:rPr>
          <w:lang w:val="en-GB"/>
        </w:rPr>
      </w:pPr>
      <w:r>
        <w:rPr>
          <w:lang w:val="en-US"/>
        </w:rPr>
        <w:t>g</w:t>
      </w:r>
      <w:r>
        <w:rPr>
          <w:lang w:val="en-US"/>
        </w:rPr>
        <w:tab/>
        <w:t>Aboriginal and Torres Strait Islander adults aged ≥ 50 years and all adults aged ≥ 65 years. 13vPCV vaccine replaced 23vPPV vaccine in mid-2020.</w:t>
      </w:r>
    </w:p>
    <w:p w14:paraId="6EA18535" w14:textId="77777777" w:rsidR="008F7918" w:rsidRDefault="008F7918" w:rsidP="008F7918">
      <w:pPr>
        <w:pStyle w:val="CDIfootnotes"/>
        <w:rPr>
          <w:lang w:val="en-GB"/>
        </w:rPr>
      </w:pPr>
      <w:r>
        <w:rPr>
          <w:lang w:val="en-US"/>
        </w:rPr>
        <w:t>h</w:t>
      </w:r>
      <w:r>
        <w:rPr>
          <w:lang w:val="en-US"/>
        </w:rPr>
        <w:tab/>
        <w:t>During the third trimester of pregnancy.</w:t>
      </w:r>
    </w:p>
    <w:p w14:paraId="45804634" w14:textId="77777777" w:rsidR="008F7918" w:rsidRDefault="008F7918" w:rsidP="008F7918">
      <w:pPr>
        <w:pStyle w:val="CDIfootnotes"/>
        <w:rPr>
          <w:lang w:val="en-GB"/>
        </w:rPr>
      </w:pPr>
      <w:proofErr w:type="spellStart"/>
      <w:r>
        <w:rPr>
          <w:lang w:val="en-US"/>
        </w:rPr>
        <w:t>i</w:t>
      </w:r>
      <w:proofErr w:type="spellEnd"/>
      <w:r>
        <w:rPr>
          <w:lang w:val="en-US"/>
        </w:rPr>
        <w:tab/>
      </w:r>
      <w:proofErr w:type="gramStart"/>
      <w:r>
        <w:rPr>
          <w:lang w:val="en-US"/>
        </w:rPr>
        <w:t>At</w:t>
      </w:r>
      <w:proofErr w:type="gramEnd"/>
      <w:r>
        <w:rPr>
          <w:lang w:val="en-US"/>
        </w:rPr>
        <w:t xml:space="preserve"> any stage of pregnancy.</w:t>
      </w:r>
    </w:p>
    <w:p w14:paraId="65120DC8" w14:textId="77777777" w:rsidR="008F7918" w:rsidRDefault="008F7918" w:rsidP="008F7918">
      <w:pPr>
        <w:pStyle w:val="CDIfootnotes"/>
        <w:rPr>
          <w:lang w:val="en-GB"/>
        </w:rPr>
      </w:pPr>
      <w:r>
        <w:rPr>
          <w:lang w:val="en-US"/>
        </w:rPr>
        <w:t>j</w:t>
      </w:r>
      <w:r>
        <w:rPr>
          <w:lang w:val="en-US"/>
        </w:rPr>
        <w:tab/>
        <w:t>A single dose of HZ vaccine is funded for adults aged 70 years (with catch up for 71–</w:t>
      </w:r>
      <w:proofErr w:type="gramStart"/>
      <w:r>
        <w:rPr>
          <w:lang w:val="en-US"/>
        </w:rPr>
        <w:t xml:space="preserve">79 year </w:t>
      </w:r>
      <w:proofErr w:type="spellStart"/>
      <w:r>
        <w:rPr>
          <w:lang w:val="en-US"/>
        </w:rPr>
        <w:t>olds</w:t>
      </w:r>
      <w:proofErr w:type="spellEnd"/>
      <w:proofErr w:type="gramEnd"/>
      <w:r>
        <w:rPr>
          <w:lang w:val="en-US"/>
        </w:rPr>
        <w:t xml:space="preserve"> to 2021) who have not previously received a dose of HZ vaccine.</w:t>
      </w:r>
    </w:p>
    <w:p w14:paraId="00A7AA25" w14:textId="77777777" w:rsidR="008F7918" w:rsidRDefault="008F7918" w:rsidP="008F7918">
      <w:pPr>
        <w:pStyle w:val="CDIfootnotes"/>
        <w:rPr>
          <w:lang w:val="en-GB"/>
        </w:rPr>
      </w:pPr>
      <w:r>
        <w:rPr>
          <w:lang w:val="en-US"/>
        </w:rPr>
        <w:t>k</w:t>
      </w:r>
      <w:r>
        <w:rPr>
          <w:lang w:val="en-US"/>
        </w:rPr>
        <w:tab/>
        <w:t>A 13vPCV vaccine for non-Indigenous elderly adults from mid-2020.</w:t>
      </w:r>
    </w:p>
    <w:p w14:paraId="7D7AF7C5" w14:textId="77777777" w:rsidR="008F7918" w:rsidRPr="008F7918" w:rsidRDefault="008F7918" w:rsidP="008F7918"/>
    <w:p w14:paraId="78D3393A" w14:textId="77777777" w:rsidR="00B12747" w:rsidRDefault="00B12747" w:rsidP="00B12747">
      <w:pPr>
        <w:pStyle w:val="NormalWeb"/>
        <w:rPr>
          <w:lang w:val="en-GB"/>
        </w:rPr>
      </w:pPr>
      <w:r>
        <w:rPr>
          <w:rStyle w:val="Strong"/>
          <w:lang w:val="en-GB"/>
        </w:rPr>
        <w:t>Box A.1: Significant changes in immunisation policy, immunisation incentives and coverage calculation algorithms, Australia, 2016 to 2020</w:t>
      </w:r>
    </w:p>
    <w:p w14:paraId="5A4769CB" w14:textId="39A5ED33" w:rsidR="00B12747" w:rsidRDefault="00B12747" w:rsidP="00B12747">
      <w:pPr>
        <w:rPr>
          <w:lang w:val="en-GB"/>
        </w:rPr>
      </w:pPr>
      <w:r>
        <w:rPr>
          <w:noProof/>
        </w:rPr>
        <w:lastRenderedPageBreak/>
        <mc:AlternateContent>
          <mc:Choice Requires="wps">
            <w:drawing>
              <wp:inline distT="0" distB="0" distL="0" distR="0" wp14:anchorId="5DE3D583" wp14:editId="4743A085">
                <wp:extent cx="6511290" cy="8635365"/>
                <wp:effectExtent l="9525" t="9525" r="13335" b="13335"/>
                <wp:docPr id="29" name="Text Box 29" descr="Box 1 highlights significant changes in immunisation policy and coverage calculation algorithms in Australia from 2016 to 2020. The most significant being meningococcal ACWY conjugate vaccine being funded under NIP for adolescents aged 14 – 16 years delivered through school-based vaccination programs in April 2019 and all children aged 6 months to &lt;5 years being funded for influenza vaccine under NIP in March 202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1290" cy="8635365"/>
                        </a:xfrm>
                        <a:prstGeom prst="rect">
                          <a:avLst/>
                        </a:prstGeom>
                        <a:solidFill>
                          <a:srgbClr val="F7ECDD"/>
                        </a:solidFill>
                        <a:ln w="3175">
                          <a:solidFill>
                            <a:srgbClr val="F7ECDD"/>
                          </a:solidFill>
                          <a:miter lim="800000"/>
                          <a:headEnd/>
                          <a:tailEnd/>
                        </a:ln>
                      </wps:spPr>
                      <wps:txbx>
                        <w:txbxContent>
                          <w:p w14:paraId="79D93008" w14:textId="77777777" w:rsidR="0025691F" w:rsidRDefault="0025691F" w:rsidP="00B12747">
                            <w:pPr>
                              <w:pStyle w:val="NormalWeb"/>
                              <w:rPr>
                                <w:lang w:val="en-GB"/>
                              </w:rPr>
                            </w:pPr>
                            <w:r>
                              <w:rPr>
                                <w:b/>
                                <w:bCs/>
                                <w:lang w:val="en-GB"/>
                              </w:rPr>
                              <w:t>July 2020 –</w:t>
                            </w:r>
                            <w:r>
                              <w:rPr>
                                <w:lang w:val="en-GB"/>
                              </w:rPr>
                              <w:t xml:space="preserve"> Funded schedule expanded for Aboriginal and Torres Strait Islander children living in the NT, SA, Qld and WA from 13vPCV at 2, 4, 6 and 12 months (3+1) to include an additional dose of 23vPPV at 4 years of age and a 2nd dose 5–10 years later.</w:t>
                            </w:r>
                          </w:p>
                          <w:p w14:paraId="1C149AF2" w14:textId="77777777" w:rsidR="0025691F" w:rsidRDefault="0025691F" w:rsidP="00B12747">
                            <w:pPr>
                              <w:pStyle w:val="NormalWeb"/>
                              <w:rPr>
                                <w:lang w:val="en-GB"/>
                              </w:rPr>
                            </w:pPr>
                            <w:r>
                              <w:rPr>
                                <w:lang w:val="en-GB"/>
                              </w:rPr>
                              <w:t>A single dose of 13vPCV is recommended and funded for Indigenous adults at 50 years of age, followed by a dose of 23vPPV 12 months later and a 2nd dose of 23vPPV 5–10 years after that.</w:t>
                            </w:r>
                          </w:p>
                          <w:p w14:paraId="5D88E917" w14:textId="77777777" w:rsidR="0025691F" w:rsidRDefault="0025691F" w:rsidP="00B12747">
                            <w:pPr>
                              <w:pStyle w:val="NormalWeb"/>
                              <w:rPr>
                                <w:lang w:val="en-GB"/>
                              </w:rPr>
                            </w:pPr>
                            <w:r>
                              <w:rPr>
                                <w:lang w:val="en-GB"/>
                              </w:rPr>
                              <w:t>A single dose of 13vPCV is recommended and funded for non-Indigenous adults at 70 years of age, replacing the previously funded dose of 23vPPV at 65 years of age.</w:t>
                            </w:r>
                          </w:p>
                          <w:p w14:paraId="6862F384" w14:textId="77777777" w:rsidR="0025691F" w:rsidRDefault="0025691F" w:rsidP="00B12747">
                            <w:pPr>
                              <w:pStyle w:val="NormalWeb"/>
                              <w:rPr>
                                <w:lang w:val="en-GB"/>
                              </w:rPr>
                            </w:pPr>
                            <w:r>
                              <w:rPr>
                                <w:lang w:val="en-GB"/>
                              </w:rPr>
                              <w:t>Meningococcal B vaccine funded for all Aboriginal and Torres Strait Islander children (age &lt;12 months) and individuals of any age with specified high risk medical conditions. Catch-up available for all Aboriginal and Torres Strait Islander children &lt;2 years of age (up to 23 months) for 3 years - until 30 June 2023.</w:t>
                            </w:r>
                          </w:p>
                          <w:p w14:paraId="3724F8D4" w14:textId="77777777" w:rsidR="0025691F" w:rsidRDefault="0025691F" w:rsidP="00B12747">
                            <w:pPr>
                              <w:pStyle w:val="NormalWeb"/>
                              <w:rPr>
                                <w:lang w:val="en-GB"/>
                              </w:rPr>
                            </w:pPr>
                            <w:r>
                              <w:rPr>
                                <w:b/>
                                <w:bCs/>
                                <w:lang w:val="en-GB"/>
                              </w:rPr>
                              <w:t>March 2020 –</w:t>
                            </w:r>
                            <w:r>
                              <w:rPr>
                                <w:lang w:val="en-GB"/>
                              </w:rPr>
                              <w:t xml:space="preserve"> All children aged 6 months to &lt;5 years funded for influenza vaccine under NIP.</w:t>
                            </w:r>
                          </w:p>
                          <w:p w14:paraId="206AA9BF" w14:textId="77777777" w:rsidR="0025691F" w:rsidRDefault="0025691F" w:rsidP="00B12747">
                            <w:pPr>
                              <w:pStyle w:val="NormalWeb"/>
                              <w:rPr>
                                <w:lang w:val="en-GB"/>
                              </w:rPr>
                            </w:pPr>
                            <w:r>
                              <w:rPr>
                                <w:lang w:val="en-GB"/>
                              </w:rPr>
                              <w:t>First enhanced quadrivalent influenza vaccine (adjuvanted) funded nationally for adults aged 65 years and over.</w:t>
                            </w:r>
                          </w:p>
                          <w:p w14:paraId="36FEB7DD" w14:textId="77777777" w:rsidR="0025691F" w:rsidRDefault="0025691F" w:rsidP="00B12747">
                            <w:pPr>
                              <w:pStyle w:val="NormalWeb"/>
                              <w:rPr>
                                <w:lang w:val="en-GB"/>
                              </w:rPr>
                            </w:pPr>
                            <w:r>
                              <w:rPr>
                                <w:b/>
                                <w:bCs/>
                                <w:lang w:val="en-GB"/>
                              </w:rPr>
                              <w:t>April 2019 –</w:t>
                            </w:r>
                            <w:r>
                              <w:rPr>
                                <w:lang w:val="en-GB"/>
                              </w:rPr>
                              <w:t xml:space="preserve"> Meningococcal ACWY conjugate vaccine funded under NIP for adolescents aged 14 – 16 years delivered through school-based vaccination programs and for adolescents aged 15 – 19 years delivered through primary care providers as part of an ongoing catch-up program.</w:t>
                            </w:r>
                          </w:p>
                          <w:p w14:paraId="64E06AF4" w14:textId="77777777" w:rsidR="0025691F" w:rsidRDefault="0025691F" w:rsidP="00B12747">
                            <w:pPr>
                              <w:pStyle w:val="NormalWeb"/>
                              <w:rPr>
                                <w:lang w:val="en-GB"/>
                              </w:rPr>
                            </w:pPr>
                            <w:r>
                              <w:rPr>
                                <w:b/>
                                <w:bCs/>
                                <w:lang w:val="en-GB"/>
                              </w:rPr>
                              <w:t>March 2019 –</w:t>
                            </w:r>
                            <w:r>
                              <w:rPr>
                                <w:lang w:val="en-GB"/>
                              </w:rPr>
                              <w:t xml:space="preserve"> annual seasonal influenza vaccination funded by NT for all children aged 6 months to &lt;5 years.</w:t>
                            </w:r>
                          </w:p>
                          <w:p w14:paraId="10741266" w14:textId="77777777" w:rsidR="0025691F" w:rsidRDefault="0025691F" w:rsidP="00B12747">
                            <w:pPr>
                              <w:pStyle w:val="NormalWeb"/>
                              <w:rPr>
                                <w:lang w:val="en-GB"/>
                              </w:rPr>
                            </w:pPr>
                            <w:r>
                              <w:rPr>
                                <w:b/>
                                <w:bCs/>
                                <w:lang w:val="en-GB"/>
                              </w:rPr>
                              <w:t>February 2019 –</w:t>
                            </w:r>
                            <w:r>
                              <w:rPr>
                                <w:lang w:val="en-GB"/>
                              </w:rPr>
                              <w:t xml:space="preserve"> Aboriginal and Torres Strait Islander children and adolescents aged 5–14 years of age funded for influenza vaccine under NIP (all Aboriginal and Torres Strait Islander persons aged 6 months and older now eligible for a funded annual influenza vaccine).</w:t>
                            </w:r>
                          </w:p>
                          <w:p w14:paraId="4FF27AEA" w14:textId="77777777" w:rsidR="0025691F" w:rsidRDefault="0025691F" w:rsidP="00B12747">
                            <w:pPr>
                              <w:pStyle w:val="NormalWeb"/>
                              <w:rPr>
                                <w:lang w:val="en-GB"/>
                              </w:rPr>
                            </w:pPr>
                            <w:r>
                              <w:rPr>
                                <w:b/>
                                <w:bCs/>
                                <w:lang w:val="en-GB"/>
                              </w:rPr>
                              <w:t>July 2018 –</w:t>
                            </w:r>
                            <w:r>
                              <w:rPr>
                                <w:lang w:val="en-GB"/>
                              </w:rPr>
                              <w:t xml:space="preserve"> Schedule for routine childhood vaccination with 13vPCV changed from 2, 4 and 6 months of age to 2, 4 and 12 months of age. Vaccination coverage assessment algorithm for ‘fully vaccinated’ at the 12-month milestone amended to require either 2 or 3 doses of 13vPCV. Vaccination coverage assessment algorithm for ‘fully vaccinated’ at the 24-month milestone amended to require 3 doses of 13vPCV.</w:t>
                            </w:r>
                          </w:p>
                          <w:p w14:paraId="24625520" w14:textId="77777777" w:rsidR="0025691F" w:rsidRDefault="0025691F" w:rsidP="00B12747">
                            <w:pPr>
                              <w:pStyle w:val="NormalWeb"/>
                              <w:rPr>
                                <w:lang w:val="en-GB"/>
                              </w:rPr>
                            </w:pPr>
                            <w:r>
                              <w:rPr>
                                <w:lang w:val="en-GB"/>
                              </w:rPr>
                              <w:t>Meningococcal ACWY conjugate vaccine funded for all children at 12 months of age, replacing combined Hib and MenC- containing, with the Hib dose moved to 18 months and given as monovalent Hib vaccine.</w:t>
                            </w:r>
                          </w:p>
                          <w:p w14:paraId="6B68789A" w14:textId="77777777" w:rsidR="0025691F" w:rsidRDefault="0025691F" w:rsidP="00B12747">
                            <w:pPr>
                              <w:pStyle w:val="NormalWeb"/>
                              <w:rPr>
                                <w:lang w:val="en-GB"/>
                              </w:rPr>
                            </w:pPr>
                            <w:r>
                              <w:rPr>
                                <w:b/>
                                <w:bCs/>
                                <w:lang w:val="en-GB"/>
                              </w:rPr>
                              <w:t>May 2018 –</w:t>
                            </w:r>
                            <w:r>
                              <w:rPr>
                                <w:lang w:val="en-GB"/>
                              </w:rPr>
                              <w:t xml:space="preserve"> ACT, NSW, Qld, SA, Tas, Vic: annual seasonal influenza vaccination program funded for all children aged 6 months to &lt;5 years (in place in WA since 2008).</w:t>
                            </w:r>
                          </w:p>
                          <w:p w14:paraId="21E78CD4" w14:textId="77777777" w:rsidR="0025691F" w:rsidRDefault="0025691F" w:rsidP="00B12747">
                            <w:pPr>
                              <w:pStyle w:val="NormalWeb"/>
                              <w:rPr>
                                <w:lang w:val="en-GB"/>
                              </w:rPr>
                            </w:pPr>
                            <w:r>
                              <w:rPr>
                                <w:b/>
                                <w:bCs/>
                                <w:lang w:val="en-GB"/>
                              </w:rPr>
                              <w:t>April 2018 –</w:t>
                            </w:r>
                            <w:r>
                              <w:rPr>
                                <w:lang w:val="en-GB"/>
                              </w:rPr>
                              <w:t xml:space="preserve"> Enhanced trivalent influenza vaccines (high-dose and adjuvanted) funded nationally for all adults aged 65 years and over.</w:t>
                            </w:r>
                          </w:p>
                        </w:txbxContent>
                      </wps:txbx>
                      <wps:bodyPr rot="0" vert="horz" wrap="square" lIns="91440" tIns="45720" rIns="91440" bIns="45720" anchor="t" anchorCtr="0" upright="1">
                        <a:spAutoFit/>
                      </wps:bodyPr>
                    </wps:wsp>
                  </a:graphicData>
                </a:graphic>
              </wp:inline>
            </w:drawing>
          </mc:Choice>
          <mc:Fallback>
            <w:pict>
              <v:shapetype w14:anchorId="5DE3D583" id="_x0000_t202" coordsize="21600,21600" o:spt="202" path="m,l,21600r21600,l21600,xe">
                <v:stroke joinstyle="miter"/>
                <v:path gradientshapeok="t" o:connecttype="rect"/>
              </v:shapetype>
              <v:shape id="Text Box 29" o:spid="_x0000_s1026" type="#_x0000_t202" alt="Box 1 highlights significant changes in immunisation policy and coverage calculation algorithms in Australia from 2016 to 2020. The most significant being meningococcal ACWY conjugate vaccine being funded under NIP for adolescents aged 14 – 16 years delivered through school-based vaccination programs in April 2019 and all children aged 6 months to &lt;5 years being funded for influenza vaccine under NIP in March 2020.&#10;&#10;" style="width:512.7pt;height:67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" fillcolor="#f7ecdd" strokecolor="#f7ecdd" strokeweight=".25pt">
                <v:textbox style="mso-fit-shape-to-text:t">
                  <w:txbxContent>
                    <w:p w14:paraId="79D93008" w14:textId="77777777" w:rsidR="0025691F" w:rsidRDefault="0025691F" w:rsidP="00B12747">
                      <w:pPr>
                        <w:pStyle w:val="NormalWeb"/>
                        <w:rPr>
                          <w:lang w:val="en-GB"/>
                        </w:rPr>
                      </w:pPr>
                      <w:r>
                        <w:rPr>
                          <w:b/>
                          <w:bCs/>
                          <w:lang w:val="en-GB"/>
                        </w:rPr>
                        <w:t>July 2020 –</w:t>
                      </w:r>
                      <w:r>
                        <w:rPr>
                          <w:lang w:val="en-GB"/>
                        </w:rPr>
                        <w:t xml:space="preserve"> Funded schedule expanded for Aboriginal and Torres Strait Islander children living in the NT, SA, Qld and WA from 13vPCV at 2, 4, 6 and 12 months (3+1) to include an additional dose of 23vPPV at 4 years of age and a 2nd dose 5–10 years later.</w:t>
                      </w:r>
                    </w:p>
                    <w:p w14:paraId="1C149AF2" w14:textId="77777777" w:rsidR="0025691F" w:rsidRDefault="0025691F" w:rsidP="00B12747">
                      <w:pPr>
                        <w:pStyle w:val="NormalWeb"/>
                        <w:rPr>
                          <w:lang w:val="en-GB"/>
                        </w:rPr>
                      </w:pPr>
                      <w:r>
                        <w:rPr>
                          <w:lang w:val="en-GB"/>
                        </w:rPr>
                        <w:t>A single dose of 13vPCV is recommended and funded for Indigenous adults at 50 years of age, followed by a dose of 23vPPV 12 months later and a 2nd dose of 23vPPV 5–10 years after that.</w:t>
                      </w:r>
                    </w:p>
                    <w:p w14:paraId="5D88E917" w14:textId="77777777" w:rsidR="0025691F" w:rsidRDefault="0025691F" w:rsidP="00B12747">
                      <w:pPr>
                        <w:pStyle w:val="NormalWeb"/>
                        <w:rPr>
                          <w:lang w:val="en-GB"/>
                        </w:rPr>
                      </w:pPr>
                      <w:r>
                        <w:rPr>
                          <w:lang w:val="en-GB"/>
                        </w:rPr>
                        <w:t>A single dose of 13vPCV is recommended and funded for non-Indigenous adults at 70 years of age, replacing the previously funded dose of 23vPPV at 65 years of age.</w:t>
                      </w:r>
                    </w:p>
                    <w:p w14:paraId="6862F384" w14:textId="77777777" w:rsidR="0025691F" w:rsidRDefault="0025691F" w:rsidP="00B12747">
                      <w:pPr>
                        <w:pStyle w:val="NormalWeb"/>
                        <w:rPr>
                          <w:lang w:val="en-GB"/>
                        </w:rPr>
                      </w:pPr>
                      <w:r>
                        <w:rPr>
                          <w:lang w:val="en-GB"/>
                        </w:rPr>
                        <w:t>Meningococcal B vaccine funded for all Aboriginal and Torres Strait Islander children (age &lt;12 months) and individuals of any age with specified high risk medical conditions. Catch-up available for all Aboriginal and Torres Strait Islander children &lt;2 years of age (up to 23 months) for 3 years - until 30 June 2023.</w:t>
                      </w:r>
                    </w:p>
                    <w:p w14:paraId="3724F8D4" w14:textId="77777777" w:rsidR="0025691F" w:rsidRDefault="0025691F" w:rsidP="00B12747">
                      <w:pPr>
                        <w:pStyle w:val="NormalWeb"/>
                        <w:rPr>
                          <w:lang w:val="en-GB"/>
                        </w:rPr>
                      </w:pPr>
                      <w:r>
                        <w:rPr>
                          <w:b/>
                          <w:bCs/>
                          <w:lang w:val="en-GB"/>
                        </w:rPr>
                        <w:t>March 2020 –</w:t>
                      </w:r>
                      <w:r>
                        <w:rPr>
                          <w:lang w:val="en-GB"/>
                        </w:rPr>
                        <w:t xml:space="preserve"> All children aged 6 months to &lt;5 years funded for influenza vaccine under NIP.</w:t>
                      </w:r>
                    </w:p>
                    <w:p w14:paraId="206AA9BF" w14:textId="77777777" w:rsidR="0025691F" w:rsidRDefault="0025691F" w:rsidP="00B12747">
                      <w:pPr>
                        <w:pStyle w:val="NormalWeb"/>
                        <w:rPr>
                          <w:lang w:val="en-GB"/>
                        </w:rPr>
                      </w:pPr>
                      <w:r>
                        <w:rPr>
                          <w:lang w:val="en-GB"/>
                        </w:rPr>
                        <w:t>First enhanced quadrivalent influenza vaccine (adjuvanted) funded nationally for adults aged 65 years and over.</w:t>
                      </w:r>
                    </w:p>
                    <w:p w14:paraId="36FEB7DD" w14:textId="77777777" w:rsidR="0025691F" w:rsidRDefault="0025691F" w:rsidP="00B12747">
                      <w:pPr>
                        <w:pStyle w:val="NormalWeb"/>
                        <w:rPr>
                          <w:lang w:val="en-GB"/>
                        </w:rPr>
                      </w:pPr>
                      <w:r>
                        <w:rPr>
                          <w:b/>
                          <w:bCs/>
                          <w:lang w:val="en-GB"/>
                        </w:rPr>
                        <w:t>April 2019 –</w:t>
                      </w:r>
                      <w:r>
                        <w:rPr>
                          <w:lang w:val="en-GB"/>
                        </w:rPr>
                        <w:t xml:space="preserve"> Meningococcal ACWY conjugate vaccine funded under NIP for adolescents aged 14 – 16 years delivered through school-based vaccination programs and for adolescents aged 15 – 19 years delivered through primary care providers as part of an ongoing catch-up program.</w:t>
                      </w:r>
                    </w:p>
                    <w:p w14:paraId="64E06AF4" w14:textId="77777777" w:rsidR="0025691F" w:rsidRDefault="0025691F" w:rsidP="00B12747">
                      <w:pPr>
                        <w:pStyle w:val="NormalWeb"/>
                        <w:rPr>
                          <w:lang w:val="en-GB"/>
                        </w:rPr>
                      </w:pPr>
                      <w:r>
                        <w:rPr>
                          <w:b/>
                          <w:bCs/>
                          <w:lang w:val="en-GB"/>
                        </w:rPr>
                        <w:t>March 2019 –</w:t>
                      </w:r>
                      <w:r>
                        <w:rPr>
                          <w:lang w:val="en-GB"/>
                        </w:rPr>
                        <w:t xml:space="preserve"> annual seasonal influenza vaccination funded by NT for all children aged 6 months to &lt;5 years.</w:t>
                      </w:r>
                    </w:p>
                    <w:p w14:paraId="10741266" w14:textId="77777777" w:rsidR="0025691F" w:rsidRDefault="0025691F" w:rsidP="00B12747">
                      <w:pPr>
                        <w:pStyle w:val="NormalWeb"/>
                        <w:rPr>
                          <w:lang w:val="en-GB"/>
                        </w:rPr>
                      </w:pPr>
                      <w:r>
                        <w:rPr>
                          <w:b/>
                          <w:bCs/>
                          <w:lang w:val="en-GB"/>
                        </w:rPr>
                        <w:t>February 2019 –</w:t>
                      </w:r>
                      <w:r>
                        <w:rPr>
                          <w:lang w:val="en-GB"/>
                        </w:rPr>
                        <w:t xml:space="preserve"> Aboriginal and Torres Strait Islander children and adolescents aged 5–14 years of age funded for influenza vaccine under NIP (all Aboriginal and Torres Strait Islander persons aged 6 months and older now eligible for a funded annual influenza vaccine).</w:t>
                      </w:r>
                    </w:p>
                    <w:p w14:paraId="4FF27AEA" w14:textId="77777777" w:rsidR="0025691F" w:rsidRDefault="0025691F" w:rsidP="00B12747">
                      <w:pPr>
                        <w:pStyle w:val="NormalWeb"/>
                        <w:rPr>
                          <w:lang w:val="en-GB"/>
                        </w:rPr>
                      </w:pPr>
                      <w:r>
                        <w:rPr>
                          <w:b/>
                          <w:bCs/>
                          <w:lang w:val="en-GB"/>
                        </w:rPr>
                        <w:t>July 2018 –</w:t>
                      </w:r>
                      <w:r>
                        <w:rPr>
                          <w:lang w:val="en-GB"/>
                        </w:rPr>
                        <w:t xml:space="preserve"> Schedule for routine childhood vaccination with 13vPCV changed from 2, 4 and 6 months of age to 2, 4 and 12 months of age. Vaccination coverage assessment algorithm for ‘fully vaccinated’ at the 12-month milestone amended to require either 2 or 3 doses of 13vPCV. Vaccination coverage assessment algorithm for ‘fully vaccinated’ at the 24-month milestone amended to require 3 doses of 13vPCV.</w:t>
                      </w:r>
                    </w:p>
                    <w:p w14:paraId="24625520" w14:textId="77777777" w:rsidR="0025691F" w:rsidRDefault="0025691F" w:rsidP="00B12747">
                      <w:pPr>
                        <w:pStyle w:val="NormalWeb"/>
                        <w:rPr>
                          <w:lang w:val="en-GB"/>
                        </w:rPr>
                      </w:pPr>
                      <w:r>
                        <w:rPr>
                          <w:lang w:val="en-GB"/>
                        </w:rPr>
                        <w:t>Meningococcal ACWY conjugate vaccine funded for all children at 12 months of age, replacing combined Hib and MenC- containing, with the Hib dose moved to 18 months and given as monovalent Hib vaccine.</w:t>
                      </w:r>
                    </w:p>
                    <w:p w14:paraId="6B68789A" w14:textId="77777777" w:rsidR="0025691F" w:rsidRDefault="0025691F" w:rsidP="00B12747">
                      <w:pPr>
                        <w:pStyle w:val="NormalWeb"/>
                        <w:rPr>
                          <w:lang w:val="en-GB"/>
                        </w:rPr>
                      </w:pPr>
                      <w:r>
                        <w:rPr>
                          <w:b/>
                          <w:bCs/>
                          <w:lang w:val="en-GB"/>
                        </w:rPr>
                        <w:t>May 2018 –</w:t>
                      </w:r>
                      <w:r>
                        <w:rPr>
                          <w:lang w:val="en-GB"/>
                        </w:rPr>
                        <w:t xml:space="preserve"> ACT, NSW, Qld, SA, Tas, Vic: annual seasonal influenza vaccination program funded for all children aged 6 months to &lt;5 years (in place in WA since 2008).</w:t>
                      </w:r>
                    </w:p>
                    <w:p w14:paraId="21E78CD4" w14:textId="77777777" w:rsidR="0025691F" w:rsidRDefault="0025691F" w:rsidP="00B12747">
                      <w:pPr>
                        <w:pStyle w:val="NormalWeb"/>
                        <w:rPr>
                          <w:lang w:val="en-GB"/>
                        </w:rPr>
                      </w:pPr>
                      <w:r>
                        <w:rPr>
                          <w:b/>
                          <w:bCs/>
                          <w:lang w:val="en-GB"/>
                        </w:rPr>
                        <w:t>April 2018 –</w:t>
                      </w:r>
                      <w:r>
                        <w:rPr>
                          <w:lang w:val="en-GB"/>
                        </w:rPr>
                        <w:t xml:space="preserve"> Enhanced trivalent influenza vaccines (high-dose and adjuvanted) funded nationally for all adults aged 65 years and over.</w:t>
                      </w:r>
                    </w:p>
                  </w:txbxContent>
                </v:textbox>
                <w10:anchorlock/>
              </v:shape>
            </w:pict>
          </mc:Fallback>
        </mc:AlternateContent>
      </w:r>
    </w:p>
    <w:p w14:paraId="00B2772D" w14:textId="2DC92438" w:rsidR="00B12747" w:rsidRDefault="00B12747" w:rsidP="00B12747">
      <w:pPr>
        <w:rPr>
          <w:lang w:val="en-GB"/>
        </w:rPr>
      </w:pPr>
      <w:r>
        <w:rPr>
          <w:noProof/>
        </w:rPr>
        <w:lastRenderedPageBreak/>
        <mc:AlternateContent>
          <mc:Choice Requires="wps">
            <w:drawing>
              <wp:inline distT="0" distB="0" distL="0" distR="0" wp14:anchorId="0882DEC1" wp14:editId="16346913">
                <wp:extent cx="6511290" cy="5462270"/>
                <wp:effectExtent l="9525" t="9525" r="13335" b="5080"/>
                <wp:docPr id="28" name="Text Box 28" descr="Box 1 highlights significant changes in immunisation policy and coverage calculation algorithms in Australia from 2016 to 2020. The most significant being meningococcal ACWY conjugate vaccine being funded under NIP for adolescents aged 14 – 16 years delivered through school-based vaccination programs in April 2019 and all children aged 6 months to &lt;5 years being funded for influenza vaccine under NIP in March 202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1290" cy="5462270"/>
                        </a:xfrm>
                        <a:prstGeom prst="rect">
                          <a:avLst/>
                        </a:prstGeom>
                        <a:solidFill>
                          <a:srgbClr val="F7ECDD"/>
                        </a:solidFill>
                        <a:ln w="3175">
                          <a:solidFill>
                            <a:srgbClr val="F7ECDD"/>
                          </a:solidFill>
                          <a:miter lim="800000"/>
                          <a:headEnd/>
                          <a:tailEnd/>
                        </a:ln>
                      </wps:spPr>
                      <wps:txbx>
                        <w:txbxContent>
                          <w:p w14:paraId="1E36BE49" w14:textId="77777777" w:rsidR="0025691F" w:rsidRDefault="0025691F" w:rsidP="00B12747">
                            <w:pPr>
                              <w:pStyle w:val="NormalWeb"/>
                              <w:rPr>
                                <w:lang w:val="en-GB"/>
                              </w:rPr>
                            </w:pPr>
                            <w:r>
                              <w:rPr>
                                <w:b/>
                                <w:bCs/>
                                <w:lang w:val="en-GB"/>
                              </w:rPr>
                              <w:t>February 2018 –</w:t>
                            </w:r>
                            <w:r>
                              <w:rPr>
                                <w:lang w:val="en-GB"/>
                              </w:rPr>
                              <w:t xml:space="preserve"> A 2-dose schedule of 9vHPV vaccine recommended and funded under NIP for female and male adolescents aged 12–14 years, delivered through a school-based program (changed from a 3-dose schedule of 4vHPV vaccine in place since 2007 for females and 2013 for males).</w:t>
                            </w:r>
                          </w:p>
                          <w:p w14:paraId="352EBD7A" w14:textId="77777777" w:rsidR="0025691F" w:rsidRDefault="0025691F" w:rsidP="00B12747">
                            <w:pPr>
                              <w:pStyle w:val="NormalWeb"/>
                              <w:rPr>
                                <w:lang w:val="en-GB"/>
                              </w:rPr>
                            </w:pPr>
                            <w:r>
                              <w:rPr>
                                <w:b/>
                                <w:bCs/>
                                <w:lang w:val="en-GB"/>
                              </w:rPr>
                              <w:t>July 2017 –</w:t>
                            </w:r>
                            <w:r>
                              <w:rPr>
                                <w:lang w:val="en-GB"/>
                              </w:rPr>
                              <w:t xml:space="preserve"> Queensland, South Australia, Victoria and Western Australia changed from 3-dose RotaTeq® rotavirus vaccine schedule to 2-dose Rotarix® schedule.</w:t>
                            </w:r>
                          </w:p>
                          <w:p w14:paraId="5D27CBAF" w14:textId="77777777" w:rsidR="0025691F" w:rsidRDefault="0025691F" w:rsidP="00B12747">
                            <w:pPr>
                              <w:pStyle w:val="NormalWeb"/>
                              <w:rPr>
                                <w:lang w:val="en-GB"/>
                              </w:rPr>
                            </w:pPr>
                            <w:r>
                              <w:rPr>
                                <w:lang w:val="en-GB"/>
                              </w:rPr>
                              <w:t>Coverage for the second dose of MMR-containing vaccine no longer assessed at 60 months of age.</w:t>
                            </w:r>
                          </w:p>
                          <w:p w14:paraId="5ABDD4A9" w14:textId="77777777" w:rsidR="0025691F" w:rsidRDefault="0025691F" w:rsidP="00B12747">
                            <w:pPr>
                              <w:pStyle w:val="NormalWeb"/>
                              <w:rPr>
                                <w:lang w:val="en-GB"/>
                              </w:rPr>
                            </w:pPr>
                            <w:r>
                              <w:rPr>
                                <w:lang w:val="en-GB"/>
                              </w:rPr>
                              <w:t>All individuals aged 10 to 19 years and refugees and humanitarian entrants aged 20 years and over are eligible to receive free catch-up vaccinations through an expansion to the National Immunisation Program (NIP).</w:t>
                            </w:r>
                          </w:p>
                          <w:p w14:paraId="3F943A4D" w14:textId="77777777" w:rsidR="0025691F" w:rsidRDefault="0025691F" w:rsidP="00B12747">
                            <w:pPr>
                              <w:pStyle w:val="NormalWeb"/>
                              <w:rPr>
                                <w:lang w:val="en-GB"/>
                              </w:rPr>
                            </w:pPr>
                            <w:r>
                              <w:rPr>
                                <w:b/>
                                <w:bCs/>
                                <w:lang w:val="en-GB"/>
                              </w:rPr>
                              <w:t>December 2016 –</w:t>
                            </w:r>
                            <w:r>
                              <w:rPr>
                                <w:lang w:val="en-GB"/>
                              </w:rPr>
                              <w:t xml:space="preserve"> Vaccination coverage assessment algorithm for ‘fully vaccinated’ at the 24-month milestone amended to require 4 doses of DTPa-containing vaccine.</w:t>
                            </w:r>
                          </w:p>
                          <w:p w14:paraId="348D6CD2" w14:textId="77777777" w:rsidR="0025691F" w:rsidRDefault="0025691F" w:rsidP="00B12747">
                            <w:pPr>
                              <w:pStyle w:val="NormalWeb"/>
                              <w:rPr>
                                <w:lang w:val="en-GB"/>
                              </w:rPr>
                            </w:pPr>
                            <w:r>
                              <w:rPr>
                                <w:b/>
                                <w:bCs/>
                                <w:lang w:val="en-GB"/>
                              </w:rPr>
                              <w:t>November 2016 –</w:t>
                            </w:r>
                            <w:r>
                              <w:rPr>
                                <w:lang w:val="en-GB"/>
                              </w:rPr>
                              <w:t xml:space="preserve"> National herpes zoster (HZ) vaccination program commenced with a single dose of HZ vaccine at 70 years of age and a five-year catch-up program for people aged 71–79 years.</w:t>
                            </w:r>
                          </w:p>
                          <w:p w14:paraId="30948DC1" w14:textId="77777777" w:rsidR="0025691F" w:rsidRDefault="0025691F" w:rsidP="00B12747">
                            <w:pPr>
                              <w:pStyle w:val="NormalWeb"/>
                              <w:rPr>
                                <w:lang w:val="en-GB"/>
                              </w:rPr>
                            </w:pPr>
                            <w:r>
                              <w:rPr>
                                <w:b/>
                                <w:bCs/>
                                <w:lang w:val="en-GB"/>
                              </w:rPr>
                              <w:t>March 2016 –</w:t>
                            </w:r>
                            <w:r>
                              <w:rPr>
                                <w:lang w:val="en-GB"/>
                              </w:rPr>
                              <w:t xml:space="preserve"> Booster dose of DTPa vaccine funded at 18 months of age.</w:t>
                            </w:r>
                          </w:p>
                          <w:p w14:paraId="4E0EFA4E" w14:textId="77777777" w:rsidR="0025691F" w:rsidRDefault="0025691F" w:rsidP="00B12747">
                            <w:pPr>
                              <w:pStyle w:val="NormalWeb"/>
                              <w:rPr>
                                <w:lang w:val="en-GB"/>
                              </w:rPr>
                            </w:pPr>
                            <w:r>
                              <w:rPr>
                                <w:b/>
                                <w:bCs/>
                                <w:lang w:val="en-GB"/>
                              </w:rPr>
                              <w:t>January 2016 –</w:t>
                            </w:r>
                            <w:r>
                              <w:rPr>
                                <w:lang w:val="en-GB"/>
                              </w:rPr>
                              <w:t xml:space="preserve"> New immunisation requirements for federal government family assistance payments (‘No Jab, No Pay’) come into effect. Only parents of children (aged &lt;20 years, up from &lt;7 years previously) who are ‘fully vaccinated’ or on a recognised catch-up schedule are eligible to receive the Child Care Benefit, Child Care Rebate and/or the Family Tax Benefit Part A end-of-year supplement. Children with medical contraindications or natural immunity for certain diseases continue to be exempt from the requirements; however, objection on non-medical grounds is no longer a valid exemption.</w:t>
                            </w:r>
                          </w:p>
                        </w:txbxContent>
                      </wps:txbx>
                      <wps:bodyPr rot="0" vert="horz" wrap="square" lIns="91440" tIns="45720" rIns="91440" bIns="45720" anchor="t" anchorCtr="0" upright="1">
                        <a:spAutoFit/>
                      </wps:bodyPr>
                    </wps:wsp>
                  </a:graphicData>
                </a:graphic>
              </wp:inline>
            </w:drawing>
          </mc:Choice>
          <mc:Fallback>
            <w:pict>
              <v:shape w14:anchorId="0882DEC1" id="Text Box 28" o:spid="_x0000_s1027" type="#_x0000_t202" alt="Box 1 highlights significant changes in immunisation policy and coverage calculation algorithms in Australia from 2016 to 2020. The most significant being meningococcal ACWY conjugate vaccine being funded under NIP for adolescents aged 14 – 16 years delivered through school-based vaccination programs in April 2019 and all children aged 6 months to &lt;5 years being funded for influenza vaccine under NIP in March 2020.&#10;" style="width:512.7pt;height:43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" fillcolor="#f7ecdd" strokecolor="#f7ecdd" strokeweight=".25pt">
                <v:textbox style="mso-fit-shape-to-text:t">
                  <w:txbxContent>
                    <w:p w14:paraId="1E36BE49" w14:textId="77777777" w:rsidR="0025691F" w:rsidRDefault="0025691F" w:rsidP="00B12747">
                      <w:pPr>
                        <w:pStyle w:val="NormalWeb"/>
                        <w:rPr>
                          <w:lang w:val="en-GB"/>
                        </w:rPr>
                      </w:pPr>
                      <w:r>
                        <w:rPr>
                          <w:b/>
                          <w:bCs/>
                          <w:lang w:val="en-GB"/>
                        </w:rPr>
                        <w:t>February 2018 –</w:t>
                      </w:r>
                      <w:r>
                        <w:rPr>
                          <w:lang w:val="en-GB"/>
                        </w:rPr>
                        <w:t xml:space="preserve"> A 2-dose schedule of 9vHPV vaccine recommended and funded under NIP for female and male adolescents aged 12–14 years, delivered through a school-based program (changed from a 3-dose schedule of 4vHPV vaccine in place since 2007 for females and 2013 for males).</w:t>
                      </w:r>
                    </w:p>
                    <w:p w14:paraId="352EBD7A" w14:textId="77777777" w:rsidR="0025691F" w:rsidRDefault="0025691F" w:rsidP="00B12747">
                      <w:pPr>
                        <w:pStyle w:val="NormalWeb"/>
                        <w:rPr>
                          <w:lang w:val="en-GB"/>
                        </w:rPr>
                      </w:pPr>
                      <w:r>
                        <w:rPr>
                          <w:b/>
                          <w:bCs/>
                          <w:lang w:val="en-GB"/>
                        </w:rPr>
                        <w:t>July 2017 –</w:t>
                      </w:r>
                      <w:r>
                        <w:rPr>
                          <w:lang w:val="en-GB"/>
                        </w:rPr>
                        <w:t xml:space="preserve"> Queensland, South Australia, Victoria and Western Australia changed from 3-dose RotaTeq® rotavirus vaccine schedule to 2-dose Rotarix® schedule.</w:t>
                      </w:r>
                    </w:p>
                    <w:p w14:paraId="5D27CBAF" w14:textId="77777777" w:rsidR="0025691F" w:rsidRDefault="0025691F" w:rsidP="00B12747">
                      <w:pPr>
                        <w:pStyle w:val="NormalWeb"/>
                        <w:rPr>
                          <w:lang w:val="en-GB"/>
                        </w:rPr>
                      </w:pPr>
                      <w:r>
                        <w:rPr>
                          <w:lang w:val="en-GB"/>
                        </w:rPr>
                        <w:t>Coverage for the second dose of MMR-containing vaccine no longer assessed at 60 months of age.</w:t>
                      </w:r>
                    </w:p>
                    <w:p w14:paraId="5ABDD4A9" w14:textId="77777777" w:rsidR="0025691F" w:rsidRDefault="0025691F" w:rsidP="00B12747">
                      <w:pPr>
                        <w:pStyle w:val="NormalWeb"/>
                        <w:rPr>
                          <w:lang w:val="en-GB"/>
                        </w:rPr>
                      </w:pPr>
                      <w:r>
                        <w:rPr>
                          <w:lang w:val="en-GB"/>
                        </w:rPr>
                        <w:t>All individuals aged 10 to 19 years and refugees and humanitarian entrants aged 20 years and over are eligible to receive free catch-up vaccinations through an expansion to the National Immunisation Program (NIP).</w:t>
                      </w:r>
                    </w:p>
                    <w:p w14:paraId="3F943A4D" w14:textId="77777777" w:rsidR="0025691F" w:rsidRDefault="0025691F" w:rsidP="00B12747">
                      <w:pPr>
                        <w:pStyle w:val="NormalWeb"/>
                        <w:rPr>
                          <w:lang w:val="en-GB"/>
                        </w:rPr>
                      </w:pPr>
                      <w:r>
                        <w:rPr>
                          <w:b/>
                          <w:bCs/>
                          <w:lang w:val="en-GB"/>
                        </w:rPr>
                        <w:t>December 2016 –</w:t>
                      </w:r>
                      <w:r>
                        <w:rPr>
                          <w:lang w:val="en-GB"/>
                        </w:rPr>
                        <w:t xml:space="preserve"> Vaccination coverage assessment algorithm for ‘fully vaccinated’ at the 24-month milestone amended to require 4 doses of DTPa-containing vaccine.</w:t>
                      </w:r>
                    </w:p>
                    <w:p w14:paraId="348D6CD2" w14:textId="77777777" w:rsidR="0025691F" w:rsidRDefault="0025691F" w:rsidP="00B12747">
                      <w:pPr>
                        <w:pStyle w:val="NormalWeb"/>
                        <w:rPr>
                          <w:lang w:val="en-GB"/>
                        </w:rPr>
                      </w:pPr>
                      <w:r>
                        <w:rPr>
                          <w:b/>
                          <w:bCs/>
                          <w:lang w:val="en-GB"/>
                        </w:rPr>
                        <w:t>November 2016 –</w:t>
                      </w:r>
                      <w:r>
                        <w:rPr>
                          <w:lang w:val="en-GB"/>
                        </w:rPr>
                        <w:t xml:space="preserve"> National herpes zoster (HZ) vaccination program commenced with a single dose of HZ vaccine at 70 years of age and a five-year catch-up program for people aged 71–79 years.</w:t>
                      </w:r>
                    </w:p>
                    <w:p w14:paraId="30948DC1" w14:textId="77777777" w:rsidR="0025691F" w:rsidRDefault="0025691F" w:rsidP="00B12747">
                      <w:pPr>
                        <w:pStyle w:val="NormalWeb"/>
                        <w:rPr>
                          <w:lang w:val="en-GB"/>
                        </w:rPr>
                      </w:pPr>
                      <w:r>
                        <w:rPr>
                          <w:b/>
                          <w:bCs/>
                          <w:lang w:val="en-GB"/>
                        </w:rPr>
                        <w:t>March 2016 –</w:t>
                      </w:r>
                      <w:r>
                        <w:rPr>
                          <w:lang w:val="en-GB"/>
                        </w:rPr>
                        <w:t xml:space="preserve"> Booster dose of DTPa vaccine funded at 18 months of age.</w:t>
                      </w:r>
                    </w:p>
                    <w:p w14:paraId="4E0EFA4E" w14:textId="77777777" w:rsidR="0025691F" w:rsidRDefault="0025691F" w:rsidP="00B12747">
                      <w:pPr>
                        <w:pStyle w:val="NormalWeb"/>
                        <w:rPr>
                          <w:lang w:val="en-GB"/>
                        </w:rPr>
                      </w:pPr>
                      <w:r>
                        <w:rPr>
                          <w:b/>
                          <w:bCs/>
                          <w:lang w:val="en-GB"/>
                        </w:rPr>
                        <w:t>January 2016 –</w:t>
                      </w:r>
                      <w:r>
                        <w:rPr>
                          <w:lang w:val="en-GB"/>
                        </w:rPr>
                        <w:t xml:space="preserve"> New immunisation requirements for federal government family assistance payments (‘No Jab, No Pay’) come into effect. Only parents of children (aged &lt;20 years, up from &lt;7 years previously) who are ‘fully vaccinated’ or on a recognised catch-up schedule are eligible to receive the Child Care Benefit, Child Care Rebate and/or the Family Tax Benefit Part A end-of-year supplement. Children with medical contraindications or natural immunity for certain diseases continue to be exempt from the requirements; however, objection on non-medical grounds is no longer a valid exemption.</w:t>
                      </w:r>
                    </w:p>
                  </w:txbxContent>
                </v:textbox>
                <w10:anchorlock/>
              </v:shape>
            </w:pict>
          </mc:Fallback>
        </mc:AlternateContent>
      </w:r>
    </w:p>
    <w:p w14:paraId="5992B870" w14:textId="77777777" w:rsidR="00B12747" w:rsidRDefault="00B12747" w:rsidP="00B12747">
      <w:pPr>
        <w:pStyle w:val="CDIfootnotes"/>
        <w:rPr>
          <w:vertAlign w:val="superscript"/>
          <w:lang w:val="en-GB"/>
        </w:rPr>
      </w:pPr>
      <w:r>
        <w:rPr>
          <w:lang w:val="en-GB"/>
        </w:rPr>
        <w:t>Source: NCIRS History of Vaccination</w:t>
      </w:r>
      <w:r>
        <w:rPr>
          <w:vertAlign w:val="superscript"/>
          <w:lang w:val="en-GB"/>
        </w:rPr>
        <w:t>35</w:t>
      </w:r>
    </w:p>
    <w:p w14:paraId="4A19177F" w14:textId="3B797A47" w:rsidR="00443187" w:rsidRDefault="00443187">
      <w:pPr>
        <w:rPr>
          <w:rFonts w:asciiTheme="majorHAnsi" w:eastAsia="Times New Roman" w:hAnsiTheme="majorHAnsi" w:cstheme="majorBidi"/>
          <w:b/>
          <w:bCs/>
          <w:sz w:val="26"/>
          <w:szCs w:val="26"/>
        </w:rPr>
      </w:pPr>
      <w:r>
        <w:rPr>
          <w:rFonts w:eastAsia="Times New Roman"/>
        </w:rPr>
        <w:br w:type="page"/>
      </w:r>
    </w:p>
    <w:p w14:paraId="43639EA2" w14:textId="77777777" w:rsidR="00443187" w:rsidRDefault="00443187" w:rsidP="00443187">
      <w:pPr>
        <w:pStyle w:val="NormalWeb"/>
        <w:rPr>
          <w:lang w:val="en-GB"/>
        </w:rPr>
      </w:pPr>
      <w:r>
        <w:rPr>
          <w:rStyle w:val="Strong"/>
          <w:lang w:val="en-GB"/>
        </w:rPr>
        <w:lastRenderedPageBreak/>
        <w:t>Table A.2: Vaccinations required to be deemed ‘fully vaccinated’ by each assessment milestone</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A2 lists the vaccinations required to be deemed fully vaccinated by each assessment milestone age.  &#10;"/>
      </w:tblPr>
      <w:tblGrid>
        <w:gridCol w:w="4962"/>
        <w:gridCol w:w="5410"/>
      </w:tblGrid>
      <w:tr w:rsidR="00443187" w14:paraId="4875DEE9" w14:textId="77777777" w:rsidTr="00443187">
        <w:trPr>
          <w:cnfStyle w:val="100000000000" w:firstRow="1" w:lastRow="0" w:firstColumn="0" w:lastColumn="0" w:oddVBand="0" w:evenVBand="0" w:oddHBand="0" w:evenHBand="0" w:firstRowFirstColumn="0" w:firstRowLastColumn="0" w:lastRowFirstColumn="0" w:lastRowLastColumn="0"/>
        </w:trPr>
        <w:tc>
          <w:tcPr>
            <w:tcW w:w="4962" w:type="dxa"/>
            <w:tcBorders>
              <w:top w:val="nil"/>
              <w:left w:val="nil"/>
              <w:bottom w:val="nil"/>
            </w:tcBorders>
            <w:hideMark/>
          </w:tcPr>
          <w:p w14:paraId="5FC98963" w14:textId="77777777" w:rsidR="00443187" w:rsidRDefault="00443187">
            <w:pPr>
              <w:pStyle w:val="NormalWeb"/>
              <w:rPr>
                <w:sz w:val="18"/>
                <w:szCs w:val="18"/>
              </w:rPr>
            </w:pPr>
            <w:r>
              <w:rPr>
                <w:sz w:val="18"/>
                <w:szCs w:val="18"/>
              </w:rPr>
              <w:t>Milestone</w:t>
            </w:r>
          </w:p>
        </w:tc>
        <w:tc>
          <w:tcPr>
            <w:tcW w:w="5410" w:type="dxa"/>
            <w:tcBorders>
              <w:top w:val="nil"/>
              <w:bottom w:val="nil"/>
              <w:right w:val="nil"/>
            </w:tcBorders>
            <w:hideMark/>
          </w:tcPr>
          <w:p w14:paraId="51A88151" w14:textId="77777777" w:rsidR="00443187" w:rsidRDefault="00443187">
            <w:pPr>
              <w:pStyle w:val="NormalWeb"/>
              <w:jc w:val="left"/>
              <w:rPr>
                <w:sz w:val="18"/>
                <w:szCs w:val="18"/>
              </w:rPr>
            </w:pPr>
            <w:proofErr w:type="spellStart"/>
            <w:r>
              <w:rPr>
                <w:sz w:val="18"/>
                <w:szCs w:val="18"/>
              </w:rPr>
              <w:t>Vaccinations</w:t>
            </w:r>
            <w:r>
              <w:rPr>
                <w:sz w:val="18"/>
                <w:szCs w:val="18"/>
                <w:vertAlign w:val="superscript"/>
              </w:rPr>
              <w:t>a</w:t>
            </w:r>
            <w:proofErr w:type="spellEnd"/>
          </w:p>
        </w:tc>
      </w:tr>
      <w:tr w:rsidR="00443187" w14:paraId="35870B93" w14:textId="77777777" w:rsidTr="00443187">
        <w:tc>
          <w:tcPr>
            <w:tcW w:w="4962" w:type="dxa"/>
            <w:vAlign w:val="top"/>
            <w:hideMark/>
          </w:tcPr>
          <w:p w14:paraId="6CF56C5B" w14:textId="77777777" w:rsidR="00443187" w:rsidRDefault="00443187">
            <w:pPr>
              <w:pStyle w:val="NormalWeb"/>
              <w:jc w:val="left"/>
              <w:rPr>
                <w:b/>
                <w:bCs/>
                <w:sz w:val="18"/>
                <w:szCs w:val="18"/>
              </w:rPr>
            </w:pPr>
            <w:r>
              <w:rPr>
                <w:b/>
                <w:bCs/>
                <w:sz w:val="18"/>
                <w:szCs w:val="18"/>
              </w:rPr>
              <w:t>9 months/12 months</w:t>
            </w:r>
            <w:r>
              <w:rPr>
                <w:b/>
                <w:bCs/>
                <w:sz w:val="18"/>
                <w:szCs w:val="18"/>
              </w:rPr>
              <w:br/>
            </w:r>
            <w:r>
              <w:rPr>
                <w:sz w:val="18"/>
                <w:szCs w:val="18"/>
              </w:rPr>
              <w:t>(Cohort born 1 January 2019 –31 December 2019)</w:t>
            </w:r>
          </w:p>
        </w:tc>
        <w:tc>
          <w:tcPr>
            <w:tcW w:w="5410" w:type="dxa"/>
            <w:vAlign w:val="top"/>
            <w:hideMark/>
          </w:tcPr>
          <w:p w14:paraId="1E4AC57D" w14:textId="77777777" w:rsidR="00443187" w:rsidRDefault="00443187">
            <w:pPr>
              <w:pStyle w:val="NormalWeb"/>
              <w:jc w:val="left"/>
              <w:rPr>
                <w:sz w:val="18"/>
                <w:szCs w:val="18"/>
              </w:rPr>
            </w:pPr>
            <w:r>
              <w:rPr>
                <w:sz w:val="18"/>
                <w:szCs w:val="18"/>
              </w:rPr>
              <w:t xml:space="preserve">3rd dose </w:t>
            </w:r>
            <w:proofErr w:type="spellStart"/>
            <w:r>
              <w:rPr>
                <w:sz w:val="18"/>
                <w:szCs w:val="18"/>
              </w:rPr>
              <w:t>DTPa</w:t>
            </w:r>
            <w:proofErr w:type="spellEnd"/>
            <w:r>
              <w:rPr>
                <w:sz w:val="18"/>
                <w:szCs w:val="18"/>
              </w:rPr>
              <w:t xml:space="preserve"> (given at 6 months)</w:t>
            </w:r>
            <w:r>
              <w:rPr>
                <w:sz w:val="18"/>
                <w:szCs w:val="18"/>
              </w:rPr>
              <w:br/>
              <w:t>3rd dose polio (given at 6 months)</w:t>
            </w:r>
            <w:r>
              <w:rPr>
                <w:sz w:val="18"/>
                <w:szCs w:val="18"/>
              </w:rPr>
              <w:br/>
              <w:t xml:space="preserve">3rd dose </w:t>
            </w:r>
            <w:proofErr w:type="spellStart"/>
            <w:r>
              <w:rPr>
                <w:sz w:val="18"/>
                <w:szCs w:val="18"/>
              </w:rPr>
              <w:t>HepB</w:t>
            </w:r>
            <w:proofErr w:type="spellEnd"/>
            <w:r>
              <w:rPr>
                <w:sz w:val="18"/>
                <w:szCs w:val="18"/>
              </w:rPr>
              <w:t xml:space="preserve"> (given at 6 months)</w:t>
            </w:r>
            <w:r>
              <w:rPr>
                <w:sz w:val="18"/>
                <w:szCs w:val="18"/>
              </w:rPr>
              <w:br/>
              <w:t>3rd dose Hib (given at 6 months)</w:t>
            </w:r>
            <w:r>
              <w:rPr>
                <w:sz w:val="18"/>
                <w:szCs w:val="18"/>
              </w:rPr>
              <w:br/>
              <w:t>2nd or 3rd dose 13vPCV (given at 4 or 6 months)</w:t>
            </w:r>
          </w:p>
        </w:tc>
      </w:tr>
      <w:tr w:rsidR="00443187" w14:paraId="685372AA" w14:textId="77777777" w:rsidTr="00443187">
        <w:trPr>
          <w:cnfStyle w:val="000000010000" w:firstRow="0" w:lastRow="0" w:firstColumn="0" w:lastColumn="0" w:oddVBand="0" w:evenVBand="0" w:oddHBand="0" w:evenHBand="1" w:firstRowFirstColumn="0" w:firstRowLastColumn="0" w:lastRowFirstColumn="0" w:lastRowLastColumn="0"/>
        </w:trPr>
        <w:tc>
          <w:tcPr>
            <w:tcW w:w="4962" w:type="dxa"/>
            <w:vAlign w:val="top"/>
            <w:hideMark/>
          </w:tcPr>
          <w:p w14:paraId="18D3E4F7" w14:textId="77777777" w:rsidR="00443187" w:rsidRDefault="00443187">
            <w:pPr>
              <w:pStyle w:val="NormalWeb"/>
              <w:jc w:val="left"/>
              <w:rPr>
                <w:b/>
                <w:bCs/>
                <w:sz w:val="18"/>
                <w:szCs w:val="18"/>
              </w:rPr>
            </w:pPr>
            <w:r>
              <w:rPr>
                <w:b/>
                <w:bCs/>
                <w:sz w:val="18"/>
                <w:szCs w:val="18"/>
              </w:rPr>
              <w:t>15 months</w:t>
            </w:r>
            <w:r>
              <w:rPr>
                <w:b/>
                <w:bCs/>
                <w:sz w:val="18"/>
                <w:szCs w:val="18"/>
              </w:rPr>
              <w:br/>
            </w:r>
            <w:r>
              <w:rPr>
                <w:sz w:val="18"/>
                <w:szCs w:val="18"/>
              </w:rPr>
              <w:t>(Cohort born 1 January 2018 –31 December 2018)</w:t>
            </w:r>
          </w:p>
        </w:tc>
        <w:tc>
          <w:tcPr>
            <w:tcW w:w="5410" w:type="dxa"/>
            <w:vAlign w:val="top"/>
            <w:hideMark/>
          </w:tcPr>
          <w:p w14:paraId="1403940D" w14:textId="77777777" w:rsidR="00443187" w:rsidRDefault="00443187">
            <w:pPr>
              <w:pStyle w:val="NormalWeb"/>
              <w:jc w:val="left"/>
              <w:rPr>
                <w:sz w:val="18"/>
                <w:szCs w:val="18"/>
              </w:rPr>
            </w:pPr>
            <w:r>
              <w:rPr>
                <w:sz w:val="18"/>
                <w:szCs w:val="18"/>
              </w:rPr>
              <w:t xml:space="preserve">3rd dose </w:t>
            </w:r>
            <w:proofErr w:type="spellStart"/>
            <w:r>
              <w:rPr>
                <w:sz w:val="18"/>
                <w:szCs w:val="18"/>
              </w:rPr>
              <w:t>DTPa</w:t>
            </w:r>
            <w:proofErr w:type="spellEnd"/>
            <w:r>
              <w:rPr>
                <w:sz w:val="18"/>
                <w:szCs w:val="18"/>
              </w:rPr>
              <w:t xml:space="preserve"> (given at 6 months)</w:t>
            </w:r>
            <w:r>
              <w:rPr>
                <w:sz w:val="18"/>
                <w:szCs w:val="18"/>
              </w:rPr>
              <w:br/>
              <w:t>3rd dose polio (given at 6 months)</w:t>
            </w:r>
            <w:r>
              <w:rPr>
                <w:sz w:val="18"/>
                <w:szCs w:val="18"/>
              </w:rPr>
              <w:br/>
              <w:t xml:space="preserve">3rd dose </w:t>
            </w:r>
            <w:proofErr w:type="spellStart"/>
            <w:r>
              <w:rPr>
                <w:sz w:val="18"/>
                <w:szCs w:val="18"/>
              </w:rPr>
              <w:t>HepB</w:t>
            </w:r>
            <w:proofErr w:type="spellEnd"/>
            <w:r>
              <w:rPr>
                <w:sz w:val="18"/>
                <w:szCs w:val="18"/>
              </w:rPr>
              <w:t xml:space="preserve"> (given at 6 months)</w:t>
            </w:r>
            <w:r>
              <w:rPr>
                <w:sz w:val="18"/>
                <w:szCs w:val="18"/>
              </w:rPr>
              <w:br/>
              <w:t>4th dose Hib (given at 12 months)</w:t>
            </w:r>
            <w:r>
              <w:rPr>
                <w:sz w:val="18"/>
                <w:szCs w:val="18"/>
              </w:rPr>
              <w:br/>
              <w:t>3rd dose 13vPCV (given at 6 or 12 months)</w:t>
            </w:r>
            <w:r>
              <w:rPr>
                <w:sz w:val="18"/>
                <w:szCs w:val="18"/>
              </w:rPr>
              <w:br/>
              <w:t xml:space="preserve">1st dose </w:t>
            </w:r>
            <w:proofErr w:type="spellStart"/>
            <w:r>
              <w:rPr>
                <w:sz w:val="18"/>
                <w:szCs w:val="18"/>
              </w:rPr>
              <w:t>MenC</w:t>
            </w:r>
            <w:proofErr w:type="spellEnd"/>
            <w:r>
              <w:rPr>
                <w:sz w:val="18"/>
                <w:szCs w:val="18"/>
              </w:rPr>
              <w:t xml:space="preserve"> (given at 12 months)</w:t>
            </w:r>
            <w:r>
              <w:rPr>
                <w:sz w:val="18"/>
                <w:szCs w:val="18"/>
              </w:rPr>
              <w:br/>
              <w:t>1st dose MMR (given at 12 months)</w:t>
            </w:r>
          </w:p>
        </w:tc>
      </w:tr>
      <w:tr w:rsidR="00443187" w14:paraId="6B7E8D82" w14:textId="77777777" w:rsidTr="00443187">
        <w:tc>
          <w:tcPr>
            <w:tcW w:w="4962" w:type="dxa"/>
            <w:vAlign w:val="top"/>
            <w:hideMark/>
          </w:tcPr>
          <w:p w14:paraId="6462C995" w14:textId="77777777" w:rsidR="00443187" w:rsidRDefault="00443187">
            <w:pPr>
              <w:pStyle w:val="NormalWeb"/>
              <w:jc w:val="left"/>
              <w:rPr>
                <w:b/>
                <w:bCs/>
                <w:sz w:val="18"/>
                <w:szCs w:val="18"/>
              </w:rPr>
            </w:pPr>
            <w:r>
              <w:rPr>
                <w:b/>
                <w:bCs/>
                <w:sz w:val="18"/>
                <w:szCs w:val="18"/>
              </w:rPr>
              <w:t>21 months/24 months</w:t>
            </w:r>
            <w:r>
              <w:rPr>
                <w:b/>
                <w:bCs/>
                <w:sz w:val="18"/>
                <w:szCs w:val="18"/>
              </w:rPr>
              <w:br/>
            </w:r>
            <w:r>
              <w:rPr>
                <w:sz w:val="18"/>
                <w:szCs w:val="18"/>
              </w:rPr>
              <w:t>(Cohort born 1 January 2019 –31 December 2019)</w:t>
            </w:r>
          </w:p>
        </w:tc>
        <w:tc>
          <w:tcPr>
            <w:tcW w:w="5410" w:type="dxa"/>
            <w:vAlign w:val="top"/>
            <w:hideMark/>
          </w:tcPr>
          <w:p w14:paraId="3CDC5390" w14:textId="77777777" w:rsidR="00443187" w:rsidRDefault="00443187">
            <w:pPr>
              <w:pStyle w:val="NormalWeb"/>
              <w:jc w:val="left"/>
              <w:rPr>
                <w:sz w:val="18"/>
                <w:szCs w:val="18"/>
              </w:rPr>
            </w:pPr>
            <w:r>
              <w:rPr>
                <w:sz w:val="18"/>
                <w:szCs w:val="18"/>
              </w:rPr>
              <w:t xml:space="preserve">4th dose </w:t>
            </w:r>
            <w:proofErr w:type="spellStart"/>
            <w:r>
              <w:rPr>
                <w:sz w:val="18"/>
                <w:szCs w:val="18"/>
              </w:rPr>
              <w:t>DTPa</w:t>
            </w:r>
            <w:proofErr w:type="spellEnd"/>
            <w:r>
              <w:rPr>
                <w:sz w:val="18"/>
                <w:szCs w:val="18"/>
              </w:rPr>
              <w:t xml:space="preserve"> (given at 18 months)</w:t>
            </w:r>
            <w:r>
              <w:rPr>
                <w:sz w:val="18"/>
                <w:szCs w:val="18"/>
              </w:rPr>
              <w:br/>
              <w:t>3rd dose polio (given at 6 months)</w:t>
            </w:r>
            <w:r>
              <w:rPr>
                <w:sz w:val="18"/>
                <w:szCs w:val="18"/>
              </w:rPr>
              <w:br/>
              <w:t xml:space="preserve">3rd dose </w:t>
            </w:r>
            <w:proofErr w:type="spellStart"/>
            <w:r>
              <w:rPr>
                <w:sz w:val="18"/>
                <w:szCs w:val="18"/>
              </w:rPr>
              <w:t>HepB</w:t>
            </w:r>
            <w:proofErr w:type="spellEnd"/>
            <w:r>
              <w:rPr>
                <w:sz w:val="18"/>
                <w:szCs w:val="18"/>
              </w:rPr>
              <w:t xml:space="preserve"> (given at 6 months)</w:t>
            </w:r>
            <w:r>
              <w:rPr>
                <w:sz w:val="18"/>
                <w:szCs w:val="18"/>
              </w:rPr>
              <w:br/>
              <w:t>4th dose Hib (given at 12 or 18 months)</w:t>
            </w:r>
            <w:r>
              <w:rPr>
                <w:sz w:val="18"/>
                <w:szCs w:val="18"/>
              </w:rPr>
              <w:br/>
              <w:t xml:space="preserve">1st dose </w:t>
            </w:r>
            <w:proofErr w:type="spellStart"/>
            <w:r>
              <w:rPr>
                <w:sz w:val="18"/>
                <w:szCs w:val="18"/>
              </w:rPr>
              <w:t>MenC</w:t>
            </w:r>
            <w:proofErr w:type="spellEnd"/>
            <w:r>
              <w:rPr>
                <w:sz w:val="18"/>
                <w:szCs w:val="18"/>
              </w:rPr>
              <w:t xml:space="preserve"> (given at 12 months)</w:t>
            </w:r>
            <w:r>
              <w:rPr>
                <w:sz w:val="18"/>
                <w:szCs w:val="18"/>
              </w:rPr>
              <w:br/>
              <w:t>1st dose varicella (given at 18 months)</w:t>
            </w:r>
            <w:r>
              <w:rPr>
                <w:sz w:val="18"/>
                <w:szCs w:val="18"/>
              </w:rPr>
              <w:br/>
              <w:t>2nd dose MMR (given at 18 months)</w:t>
            </w:r>
            <w:r>
              <w:rPr>
                <w:sz w:val="18"/>
                <w:szCs w:val="18"/>
              </w:rPr>
              <w:br/>
              <w:t>3rd dose 13vPCV (given at 6 or 12 months)</w:t>
            </w:r>
          </w:p>
        </w:tc>
      </w:tr>
      <w:tr w:rsidR="00443187" w14:paraId="46E9A8C1" w14:textId="77777777" w:rsidTr="00443187">
        <w:trPr>
          <w:cnfStyle w:val="000000010000" w:firstRow="0" w:lastRow="0" w:firstColumn="0" w:lastColumn="0" w:oddVBand="0" w:evenVBand="0" w:oddHBand="0" w:evenHBand="1" w:firstRowFirstColumn="0" w:firstRowLastColumn="0" w:lastRowFirstColumn="0" w:lastRowLastColumn="0"/>
        </w:trPr>
        <w:tc>
          <w:tcPr>
            <w:tcW w:w="4962" w:type="dxa"/>
            <w:vAlign w:val="top"/>
            <w:hideMark/>
          </w:tcPr>
          <w:p w14:paraId="71079807" w14:textId="77777777" w:rsidR="00443187" w:rsidRDefault="00443187">
            <w:pPr>
              <w:pStyle w:val="NormalWeb"/>
              <w:jc w:val="left"/>
              <w:rPr>
                <w:b/>
                <w:bCs/>
                <w:sz w:val="18"/>
                <w:szCs w:val="18"/>
              </w:rPr>
            </w:pPr>
            <w:r>
              <w:rPr>
                <w:b/>
                <w:bCs/>
                <w:sz w:val="18"/>
                <w:szCs w:val="18"/>
              </w:rPr>
              <w:t>51 months/60 months</w:t>
            </w:r>
            <w:r>
              <w:rPr>
                <w:b/>
                <w:bCs/>
                <w:sz w:val="18"/>
                <w:szCs w:val="18"/>
              </w:rPr>
              <w:br/>
            </w:r>
            <w:r>
              <w:rPr>
                <w:sz w:val="18"/>
                <w:szCs w:val="18"/>
              </w:rPr>
              <w:t>(Cohort born 1 January 2015 –31 December 2015)</w:t>
            </w:r>
          </w:p>
        </w:tc>
        <w:tc>
          <w:tcPr>
            <w:tcW w:w="5410" w:type="dxa"/>
            <w:vAlign w:val="top"/>
            <w:hideMark/>
          </w:tcPr>
          <w:p w14:paraId="4B6042A6" w14:textId="77777777" w:rsidR="00443187" w:rsidRDefault="00443187">
            <w:pPr>
              <w:pStyle w:val="NormalWeb"/>
              <w:jc w:val="left"/>
              <w:rPr>
                <w:sz w:val="18"/>
                <w:szCs w:val="18"/>
              </w:rPr>
            </w:pPr>
            <w:r>
              <w:rPr>
                <w:sz w:val="18"/>
                <w:szCs w:val="18"/>
              </w:rPr>
              <w:t xml:space="preserve">4th or 5th dose </w:t>
            </w:r>
            <w:proofErr w:type="spellStart"/>
            <w:r>
              <w:rPr>
                <w:sz w:val="18"/>
                <w:szCs w:val="18"/>
              </w:rPr>
              <w:t>DTPa</w:t>
            </w:r>
            <w:proofErr w:type="spellEnd"/>
            <w:r>
              <w:rPr>
                <w:sz w:val="18"/>
                <w:szCs w:val="18"/>
              </w:rPr>
              <w:t xml:space="preserve"> (given at 48 months)</w:t>
            </w:r>
            <w:r>
              <w:rPr>
                <w:sz w:val="18"/>
                <w:szCs w:val="18"/>
              </w:rPr>
              <w:br/>
              <w:t>4th dose polio (given at 48 months)</w:t>
            </w:r>
          </w:p>
        </w:tc>
      </w:tr>
    </w:tbl>
    <w:p w14:paraId="0CFBD4C6" w14:textId="77777777" w:rsidR="00443187" w:rsidRDefault="00443187" w:rsidP="00443187">
      <w:pPr>
        <w:pStyle w:val="CDIfootnotes"/>
        <w:rPr>
          <w:lang w:val="en-GB"/>
        </w:rPr>
      </w:pPr>
      <w:r>
        <w:rPr>
          <w:lang w:val="en-GB"/>
        </w:rPr>
        <w:t>a</w:t>
      </w:r>
      <w:r>
        <w:rPr>
          <w:lang w:val="en-GB"/>
        </w:rPr>
        <w:tab/>
      </w:r>
      <w:proofErr w:type="spellStart"/>
      <w:r>
        <w:rPr>
          <w:lang w:val="en-GB"/>
        </w:rPr>
        <w:t>DTPa</w:t>
      </w:r>
      <w:proofErr w:type="spellEnd"/>
      <w:r>
        <w:rPr>
          <w:lang w:val="en-GB"/>
        </w:rPr>
        <w:t xml:space="preserve">: diphtheria-tetanus-pertussis (acellular) paediatric formulation; Hep B: hepatitis B; Hib: </w:t>
      </w:r>
      <w:r w:rsidRPr="00C576CF">
        <w:rPr>
          <w:i/>
          <w:iCs/>
          <w:lang w:val="en-GB"/>
        </w:rPr>
        <w:t>Haemophilus influenzae</w:t>
      </w:r>
      <w:r>
        <w:rPr>
          <w:lang w:val="en-GB"/>
        </w:rPr>
        <w:t xml:space="preserve"> type b; 13vPCV: 13-valent pneumococcal conjugate vaccine; </w:t>
      </w:r>
      <w:proofErr w:type="spellStart"/>
      <w:r>
        <w:rPr>
          <w:lang w:val="en-GB"/>
        </w:rPr>
        <w:t>MenC</w:t>
      </w:r>
      <w:proofErr w:type="spellEnd"/>
      <w:r>
        <w:rPr>
          <w:lang w:val="en-GB"/>
        </w:rPr>
        <w:t xml:space="preserve">: </w:t>
      </w:r>
      <w:proofErr w:type="spellStart"/>
      <w:r>
        <w:rPr>
          <w:lang w:val="en-GB"/>
        </w:rPr>
        <w:t>menigococcal</w:t>
      </w:r>
      <w:proofErr w:type="spellEnd"/>
      <w:r>
        <w:rPr>
          <w:lang w:val="en-GB"/>
        </w:rPr>
        <w:t xml:space="preserve"> C-containing vaccine; MMR: measles-mumps-rubella.</w:t>
      </w:r>
    </w:p>
    <w:p w14:paraId="3E54DA0C" w14:textId="77777777" w:rsidR="00B12747" w:rsidRDefault="00B12747" w:rsidP="00FD4A14">
      <w:pPr>
        <w:pStyle w:val="Heading2"/>
        <w:rPr>
          <w:rFonts w:eastAsia="Times New Roman"/>
        </w:rPr>
      </w:pPr>
    </w:p>
    <w:p w14:paraId="1156A1FD" w14:textId="02AD36B9" w:rsidR="002B4EF6" w:rsidRDefault="002B4EF6" w:rsidP="00FD4A14">
      <w:pPr>
        <w:pStyle w:val="Heading2"/>
        <w:rPr>
          <w:rFonts w:eastAsia="Times New Roman"/>
        </w:rPr>
      </w:pPr>
      <w:r>
        <w:rPr>
          <w:rFonts w:eastAsia="Times New Roman"/>
        </w:rPr>
        <w:t xml:space="preserve">Detailed methods </w:t>
      </w:r>
    </w:p>
    <w:p w14:paraId="439121BB" w14:textId="77777777" w:rsidR="002B4EF6" w:rsidRDefault="002B4EF6" w:rsidP="00FD4A14">
      <w:pPr>
        <w:pStyle w:val="Heading3"/>
        <w:rPr>
          <w:rFonts w:eastAsia="Times New Roman"/>
        </w:rPr>
      </w:pPr>
      <w:r>
        <w:rPr>
          <w:rFonts w:eastAsia="Times New Roman"/>
        </w:rPr>
        <w:t xml:space="preserve">The Australian Immunisation Register </w:t>
      </w:r>
    </w:p>
    <w:p w14:paraId="31C7CCF7" w14:textId="77777777" w:rsidR="002B4EF6" w:rsidRDefault="002B4EF6" w:rsidP="00FD4A14">
      <w:r>
        <w:t>The Australian Childhood Immunisation Register (ACIR) was established on 1 January 1996 by incorporating demographic data from Medicare on all enrolled children aged under 7 years.</w:t>
      </w:r>
      <w:r>
        <w:rPr>
          <w:vertAlign w:val="superscript"/>
        </w:rPr>
        <w:t>36</w:t>
      </w:r>
      <w:r>
        <w:t xml:space="preserve"> On 30 September 2016, the ACIR expanded to become the Australian Immunisation Register (AIR), to collect data on vaccinations given from birth to death.</w:t>
      </w:r>
      <w:r>
        <w:rPr>
          <w:vertAlign w:val="superscript"/>
        </w:rPr>
        <w:t>37</w:t>
      </w:r>
      <w:r>
        <w:t xml:space="preserve"> All people registered with Medicare are automatically added to AIR. Participation in AIR is ‘opt-out’ and so constitutes a </w:t>
      </w:r>
      <w:proofErr w:type="gramStart"/>
      <w:r>
        <w:t>nearly-complete</w:t>
      </w:r>
      <w:proofErr w:type="gramEnd"/>
      <w:r>
        <w:t xml:space="preserve"> population register for Australian residents.</w:t>
      </w:r>
      <w:r>
        <w:rPr>
          <w:vertAlign w:val="superscript"/>
        </w:rPr>
        <w:t>36</w:t>
      </w:r>
      <w:r>
        <w:t xml:space="preserve"> Individuals not enrolled in Medicare can also be added to AIR via a supplementary number. Data are transferred to AIR when a recognised immunisation provider supplies details of an eligible vaccination. This occurs via medical practice management software, through direct data entry on the AIR website or by submitting paper encounter or history forms. High levels of reporting to AIR for child vaccinations are maintained by a system of incentive payments for immunisation providers and carers. These have been discussed in detail elsewhere.</w:t>
      </w:r>
      <w:r>
        <w:rPr>
          <w:vertAlign w:val="superscript"/>
        </w:rPr>
        <w:t>1,7</w:t>
      </w:r>
      <w:r>
        <w:t xml:space="preserve"> </w:t>
      </w:r>
    </w:p>
    <w:p w14:paraId="590EE4E3" w14:textId="77777777" w:rsidR="002B4EF6" w:rsidRPr="00FD4A14" w:rsidRDefault="002B4EF6" w:rsidP="00FD4A14">
      <w:pPr>
        <w:pStyle w:val="Heading2"/>
      </w:pPr>
      <w:r w:rsidRPr="00FD4A14">
        <w:t xml:space="preserve">Indigenous status </w:t>
      </w:r>
    </w:p>
    <w:p w14:paraId="2B6FCB68" w14:textId="77777777" w:rsidR="002B4EF6" w:rsidRDefault="002B4EF6" w:rsidP="00FD4A14">
      <w:r>
        <w:t xml:space="preserve">Aboriginal and Torres Strait Islander status on AIR is recorded as ‘Indigenous’, ‘non-Indigenous’ or ‘unknown’. For this report, individuals whose Indigenous status was not specified (1.3% of persons on the AIR) were classified as non-Indigenous for the purposes of analysis. While Indigenous status is available in AIR, other parameters such as country of birth, </w:t>
      </w:r>
      <w:proofErr w:type="gramStart"/>
      <w:r>
        <w:t>ethnicity</w:t>
      </w:r>
      <w:proofErr w:type="gramEnd"/>
      <w:r>
        <w:t xml:space="preserve"> and medical conditions (including pregnancy) are not. </w:t>
      </w:r>
    </w:p>
    <w:p w14:paraId="6763E5CE" w14:textId="77777777" w:rsidR="00CD3CEE" w:rsidRDefault="00CD3CEE">
      <w:pPr>
        <w:rPr>
          <w:rFonts w:asciiTheme="majorHAnsi" w:eastAsiaTheme="majorEastAsia" w:hAnsiTheme="majorHAnsi" w:cstheme="majorBidi"/>
          <w:b/>
          <w:bCs/>
          <w:sz w:val="26"/>
          <w:szCs w:val="26"/>
        </w:rPr>
      </w:pPr>
      <w:r>
        <w:br w:type="page"/>
      </w:r>
    </w:p>
    <w:p w14:paraId="7ADB20AE" w14:textId="39D6255B" w:rsidR="002B4EF6" w:rsidRPr="00FD4A14" w:rsidRDefault="002B4EF6" w:rsidP="00FD4A14">
      <w:pPr>
        <w:pStyle w:val="Heading2"/>
      </w:pPr>
      <w:r w:rsidRPr="00FD4A14">
        <w:lastRenderedPageBreak/>
        <w:t xml:space="preserve">Provider type and reporting mechanism to AIR </w:t>
      </w:r>
    </w:p>
    <w:p w14:paraId="4381B37D" w14:textId="77777777" w:rsidR="002B4EF6" w:rsidRDefault="002B4EF6" w:rsidP="00FD4A14">
      <w:r>
        <w:t xml:space="preserve">The proportion of vaccinations given to children aged under 7 years and to persons of all ages and reported on the AIR in Australia during 2020 was calculated by provider type, reporting mechanism, and by jurisdiction. </w:t>
      </w:r>
    </w:p>
    <w:p w14:paraId="61CF9B0C" w14:textId="77777777" w:rsidR="002B4EF6" w:rsidRPr="00FD4A14" w:rsidRDefault="002B4EF6" w:rsidP="00FD4A14">
      <w:pPr>
        <w:pStyle w:val="Heading2"/>
      </w:pPr>
      <w:r w:rsidRPr="00FD4A14">
        <w:t xml:space="preserve">Coverage estimates – children </w:t>
      </w:r>
    </w:p>
    <w:p w14:paraId="747C16FD" w14:textId="77777777" w:rsidR="002B4EF6" w:rsidRDefault="002B4EF6" w:rsidP="00FD4A14">
      <w:r>
        <w:t xml:space="preserve">This report details national vaccination coverage using AIR data as </w:t>
      </w:r>
      <w:proofErr w:type="gramStart"/>
      <w:r>
        <w:t>at</w:t>
      </w:r>
      <w:proofErr w:type="gramEnd"/>
      <w:r>
        <w:t xml:space="preserve"> 31 March 2021. The cohort method has been used for calculating coverage at the population level (national and state/territory) since the ACIR’s inception.</w:t>
      </w:r>
      <w:r>
        <w:rPr>
          <w:vertAlign w:val="superscript"/>
        </w:rPr>
        <w:t>38</w:t>
      </w:r>
      <w:r>
        <w:t xml:space="preserve"> Cohort vaccination status was assessed at 12 months of age (for vaccines due at 6 months), 24 months of age (for vaccines due at 6, 12 and 18 months), and 60 months of age (for vaccines due at 48 months). A minimum three-month lag period was allowed for late notification of vaccinations to AIR, but only vaccines given on or before a child’s first, second or fifth birthday, respectively, were included in coverage calculations.</w:t>
      </w:r>
      <w:r>
        <w:rPr>
          <w:vertAlign w:val="superscript"/>
        </w:rPr>
        <w:t>38</w:t>
      </w:r>
      <w:r>
        <w:t xml:space="preserve"> If a child’s records indicated receipt of the last dose of a vaccine that required more than one dose to complete the series, it was assumed that earlier vaccines in the sequence had been given. This assumption has been shown to be valid in the past.</w:t>
      </w:r>
      <w:r>
        <w:rPr>
          <w:vertAlign w:val="superscript"/>
        </w:rPr>
        <w:t xml:space="preserve">39,40 </w:t>
      </w:r>
    </w:p>
    <w:p w14:paraId="578ADCDF" w14:textId="77777777" w:rsidR="002B4EF6" w:rsidRDefault="002B4EF6" w:rsidP="00FD4A14">
      <w:r>
        <w:t xml:space="preserve">For most analyses in this report, 12month-wide cohorts were used: children born between 1 January 2019 and 31 December 2019 for the 12-month milestone; between 1 January 2018 and 31 December 2018 for the 24-month milestone; and between 1 January 2015 and 31 December 2015 for the 60-month milestone. However, to assess ‘fully vaccinated’ trends over time, we used three-month-wide birth cohorts, with children aged 12–14 months for the 12-month assessment age, children aged 24–26 months for the 24month assessment age and children aged 60–62 months for the 60-month assessment age. </w:t>
      </w:r>
    </w:p>
    <w:p w14:paraId="054845AF" w14:textId="77777777" w:rsidR="002B4EF6" w:rsidRDefault="002B4EF6" w:rsidP="00FD4A14">
      <w:r>
        <w:t xml:space="preserve">The proportion of children ‘fully vaccinated’ was calculated using the number of children completely vaccinated with the vaccines of interest by the designated age as the numerator and the total number of children registered on AIR in the relevant age cohort as the denominator. Definitions of ‘fully </w:t>
      </w:r>
      <w:proofErr w:type="gramStart"/>
      <w:r>
        <w:t>vaccinated‘ coverage</w:t>
      </w:r>
      <w:proofErr w:type="gramEnd"/>
      <w:r>
        <w:t xml:space="preserve"> are provided in Table A.2; the definitions for the 12-, 24- and 60-month milestones have been developed by the Australian Government Department of Health for the purpose of standardised reporting. However, vaccination coverage estimates in this report may differ slightly from estimates published elsewhere that are calculated using rolling annualised quarterly coverage data. </w:t>
      </w:r>
    </w:p>
    <w:p w14:paraId="40A608EA" w14:textId="77777777" w:rsidR="002B4EF6" w:rsidRDefault="002B4EF6" w:rsidP="00FD4A14">
      <w:r>
        <w:t xml:space="preserve">Vaccination coverage estimates were also calculated for individual NIP vaccines/antigens, including the three NIP vaccines given in early childhood but not routinely reported on and not part of ‘fully vaccinated’ calculations at 12, 24 and 60 months of age. These are a second dose of rotavirus vaccine by 12 months of age; a second dose of hepatitis A vaccine in Indigenous children by 30 months of age; and a fourth dose of 13vPCV in Indigenous children by 30 months of age. The proportion of children vaccinated with the relevant vaccine/antigen and dose was calculated using the number of children vaccinated with the relevant vaccine/dose by the designated age as the numerator and the total number of children registered on AIR in the relevant age cohort as the denominator. </w:t>
      </w:r>
    </w:p>
    <w:p w14:paraId="3CB0D7A5" w14:textId="77777777" w:rsidR="002B4EF6" w:rsidRDefault="002B4EF6" w:rsidP="00FD4A14">
      <w:r>
        <w:t>Influenza vaccination coverage for children aged 6–59 months and 5–9 years was calculated by dividing the number of children in the relevant age group with at least one dose of influenza vaccine recorded on AIR in the calendar year of interest (</w:t>
      </w:r>
      <w:proofErr w:type="spellStart"/>
      <w:r>
        <w:t>i.e</w:t>
      </w:r>
      <w:proofErr w:type="spellEnd"/>
      <w:r>
        <w:t xml:space="preserve"> 2019 or 2020) by the total number of children in the age group registered on AIR in the year of interest, by Indigenous status and jurisdiction. </w:t>
      </w:r>
    </w:p>
    <w:p w14:paraId="674D983A" w14:textId="77777777" w:rsidR="002B4EF6" w:rsidRPr="00FD4A14" w:rsidRDefault="002B4EF6" w:rsidP="00FD4A14">
      <w:pPr>
        <w:pStyle w:val="Heading2"/>
      </w:pPr>
      <w:r w:rsidRPr="00FD4A14">
        <w:t xml:space="preserve">Timeliness of vaccination </w:t>
      </w:r>
    </w:p>
    <w:p w14:paraId="26D5C742" w14:textId="77777777" w:rsidR="002B4EF6" w:rsidRDefault="002B4EF6" w:rsidP="00FD4A14">
      <w:r>
        <w:t xml:space="preserve">On-time vaccination was defined as receipt of a scheduled vaccine dose within 30 days of the recommended age. For example, a child who received the first dose of </w:t>
      </w:r>
      <w:proofErr w:type="spellStart"/>
      <w:r>
        <w:t>DTPa</w:t>
      </w:r>
      <w:proofErr w:type="spellEnd"/>
      <w:r>
        <w:t xml:space="preserve"> vaccine (due by 60 days of age under the NIP but recommended from as early as 6 weeks of age) when they were more than 90 days of age was classified as late for that dose. On-time vaccination was measured in 12-month birth cohorts, with children included in the analysis assessed at up to 3 years after doses were due, to allow time for very late vaccinations to be assessed. Therefore, cohorts assessed for timeliness are not the same as those assessed for coverage milestones. The interval between doses was not </w:t>
      </w:r>
      <w:r>
        <w:lastRenderedPageBreak/>
        <w:t xml:space="preserve">evaluated. Timeliness of different vaccines and doses was compared by plotting the cumulative percentage receiving each vaccine dose by age in months. </w:t>
      </w:r>
    </w:p>
    <w:p w14:paraId="7249EED0" w14:textId="77777777" w:rsidR="002B4EF6" w:rsidRDefault="002B4EF6" w:rsidP="00FD4A14">
      <w:r>
        <w:t xml:space="preserve">‘Fully vaccinated’ coverage estimates were also assessed at 3 months after last vaccine dose due, that is, earlier than the standard assessment milestones to capture aspects of timeliness, by remoteness and socioeconomic status of area of residence. The definitions of ‘fully vaccinated’ coverage used are provided in Table A.2. </w:t>
      </w:r>
    </w:p>
    <w:p w14:paraId="195B987A" w14:textId="77777777" w:rsidR="002B4EF6" w:rsidRPr="00FD4A14" w:rsidRDefault="002B4EF6" w:rsidP="00FD4A14">
      <w:pPr>
        <w:pStyle w:val="Heading2"/>
      </w:pPr>
      <w:r w:rsidRPr="00FD4A14">
        <w:t xml:space="preserve">Remoteness status </w:t>
      </w:r>
    </w:p>
    <w:p w14:paraId="69F53DFC" w14:textId="77777777" w:rsidR="002B4EF6" w:rsidRDefault="002B4EF6" w:rsidP="00FD4A14">
      <w:r>
        <w:t>The area of residence of children was defined as ‘major cities’, ‘inner regional’, ‘outer regional’, ‘remote’ and ‘very remote’ using the Accessibility/Remoteness Index of Australia (ARIA++).</w:t>
      </w:r>
      <w:r>
        <w:rPr>
          <w:vertAlign w:val="superscript"/>
        </w:rPr>
        <w:t>41</w:t>
      </w:r>
      <w:r>
        <w:t xml:space="preserve"> ARIA++ is a continuous varying index with values ranging from 0 (high accessibility) to 15 (high remoteness), and is based on road distance measurements from over 12,000 populated localities to the nearest Service Centres in five categories based on population size. For analysis in this report, we combined the two ‘regional’ categories (‘inner regional’ and ‘outer regional’) into one category and the two ‘remote’ categories (‘remote’ and ‘very remote’) into one category. ARIA accessibility/remoteness categories were assigned to each child using their current recorded postcode on AIR. </w:t>
      </w:r>
    </w:p>
    <w:p w14:paraId="0057D932" w14:textId="77777777" w:rsidR="002B4EF6" w:rsidRPr="00FD4A14" w:rsidRDefault="002B4EF6" w:rsidP="00FD4A14">
      <w:pPr>
        <w:pStyle w:val="Heading2"/>
      </w:pPr>
      <w:r w:rsidRPr="00FD4A14">
        <w:t xml:space="preserve">Socio-economic status </w:t>
      </w:r>
    </w:p>
    <w:p w14:paraId="4534152D" w14:textId="77777777" w:rsidR="002B4EF6" w:rsidRDefault="002B4EF6" w:rsidP="00FD4A14">
      <w:r>
        <w:t>Vaccination coverage and timeliness were assessed by socio-economic status using the Australian Bureau of Statistics (ABS) Socio Economic Indexes for Areas (SEIFA) Index of Economic Resources.</w:t>
      </w:r>
      <w:r>
        <w:rPr>
          <w:vertAlign w:val="superscript"/>
        </w:rPr>
        <w:t>42</w:t>
      </w:r>
      <w:r>
        <w:t xml:space="preserve"> The SEIFA index category was assigned for </w:t>
      </w:r>
      <w:proofErr w:type="gramStart"/>
      <w:r>
        <w:t>each individual</w:t>
      </w:r>
      <w:proofErr w:type="gramEnd"/>
      <w:r>
        <w:t xml:space="preserve"> using their recorded postcode of residence on AIR. For this analysis, we compared vaccination coverage for children living in postcodes classified as being in the top quintile of all postcodes </w:t>
      </w:r>
      <w:proofErr w:type="gramStart"/>
      <w:r>
        <w:t>with regard to</w:t>
      </w:r>
      <w:proofErr w:type="gramEnd"/>
      <w:r>
        <w:t xml:space="preserve"> economic resources with vaccination coverage for children living in postcodes classified as being in the bottom quintile of postcodes with regard to economic resources. </w:t>
      </w:r>
    </w:p>
    <w:p w14:paraId="7A1D3A29" w14:textId="77777777" w:rsidR="002B4EF6" w:rsidRPr="00FD4A14" w:rsidRDefault="002B4EF6" w:rsidP="00FD4A14">
      <w:pPr>
        <w:pStyle w:val="Heading2"/>
      </w:pPr>
      <w:r w:rsidRPr="00FD4A14">
        <w:t xml:space="preserve">Small area analysis </w:t>
      </w:r>
    </w:p>
    <w:p w14:paraId="4E4D24D0" w14:textId="77777777" w:rsidR="002B4EF6" w:rsidRPr="00FD4A14" w:rsidRDefault="002B4EF6" w:rsidP="00FD4A14">
      <w:pPr>
        <w:pStyle w:val="Heading3"/>
      </w:pPr>
      <w:r w:rsidRPr="00FD4A14">
        <w:t xml:space="preserve">SA3 </w:t>
      </w:r>
    </w:p>
    <w:p w14:paraId="008A2B63" w14:textId="77777777" w:rsidR="002B4EF6" w:rsidRDefault="002B4EF6" w:rsidP="00FD4A14">
      <w:r>
        <w:t>Analysis of coverage was undertaken at small area level using the ABS-defined Statistical Area 3 (SA3),</w:t>
      </w:r>
      <w:r>
        <w:rPr>
          <w:vertAlign w:val="superscript"/>
        </w:rPr>
        <w:t>43</w:t>
      </w:r>
      <w:r>
        <w:t xml:space="preserve"> chosen because each is small enough to show differences within jurisdictions but not so small as to render maps unreadable. For both privacy and precision reasons, SA3s with denominators of less than 26 children were not included in any small area analysis. Maps were created using version 15 of the MapInfo mapping software</w:t>
      </w:r>
      <w:r>
        <w:rPr>
          <w:vertAlign w:val="superscript"/>
        </w:rPr>
        <w:t>44</w:t>
      </w:r>
      <w:r>
        <w:t xml:space="preserve"> and the ABS Census Boundary Information. As postcode is the only geographical indicator available from AIR, the ABS </w:t>
      </w:r>
      <w:r w:rsidRPr="002024C9">
        <w:rPr>
          <w:rStyle w:val="Emphasis"/>
          <w:b w:val="0"/>
          <w:bCs w:val="0"/>
        </w:rPr>
        <w:t>Postal Area to SA3 Concordance 2016</w:t>
      </w:r>
      <w:r>
        <w:t xml:space="preserve"> was used to match AIR postcodes to SA3s.</w:t>
      </w:r>
      <w:r>
        <w:rPr>
          <w:vertAlign w:val="superscript"/>
        </w:rPr>
        <w:t>45</w:t>
      </w:r>
      <w:r>
        <w:t xml:space="preserve"> </w:t>
      </w:r>
    </w:p>
    <w:p w14:paraId="4FAF370D" w14:textId="77777777" w:rsidR="002B4EF6" w:rsidRPr="00FD4A14" w:rsidRDefault="002B4EF6" w:rsidP="00FD4A14">
      <w:pPr>
        <w:pStyle w:val="Heading3"/>
      </w:pPr>
      <w:r w:rsidRPr="00FD4A14">
        <w:t xml:space="preserve">PHN </w:t>
      </w:r>
    </w:p>
    <w:p w14:paraId="0FDFCF82" w14:textId="77777777" w:rsidR="002B4EF6" w:rsidRDefault="002B4EF6" w:rsidP="00FD4A14">
      <w:r>
        <w:t xml:space="preserve">Analysis of coverage was also undertaken at Public Health Network (PHN) level. PHNs are organisations that work to improve coordination of healthcare in their area, with the boundaries defined by the Australian Government Department of Health. There are 31 PHNs in Australia. </w:t>
      </w:r>
    </w:p>
    <w:p w14:paraId="18286EBE" w14:textId="77777777" w:rsidR="002B4EF6" w:rsidRPr="00FD4A14" w:rsidRDefault="002B4EF6" w:rsidP="00FD4A14">
      <w:pPr>
        <w:pStyle w:val="Heading2"/>
      </w:pPr>
      <w:r w:rsidRPr="00FD4A14">
        <w:t xml:space="preserve">Coverage estimates – adolescents </w:t>
      </w:r>
    </w:p>
    <w:p w14:paraId="622D318F" w14:textId="77777777" w:rsidR="002B4EF6" w:rsidRDefault="002B4EF6" w:rsidP="00FD4A14">
      <w:r>
        <w:t>The World Health Organization recommends assessing HPV coverage at 15 years of age for the purpose of comparison internationally and over time. As HPV vaccination in Australia is delivered routinely in early high school, usually around the age of 12–13 years, all adolescents have had the opportunity to complete the vaccination course by age 15 years. HPV vaccination coverage was calculated using the number of 15-year-old adolescents in 2020 and in 2019 (</w:t>
      </w:r>
      <w:proofErr w:type="spellStart"/>
      <w:r>
        <w:t>i.e</w:t>
      </w:r>
      <w:proofErr w:type="spellEnd"/>
      <w:r>
        <w:t xml:space="preserve"> those born in 2005 and in 2004 respectively) recorded on the AIR to have received dose 1, dose 2 and/or dose 3 of the HPV vaccine by 31 December 2020 and 31 December 2019, respectively as the numerator, and the total number of Medicare-registered adolescents in the cohorts aged 15 years in 2020 and 2019 in AIR as the denominators. The 2019 </w:t>
      </w:r>
      <w:proofErr w:type="spellStart"/>
      <w:r>
        <w:t>fiftyeen</w:t>
      </w:r>
      <w:proofErr w:type="spellEnd"/>
      <w:r>
        <w:t xml:space="preserve">-year-old cohort (those born in 2004) was the first cohort to include some students eligible for the two-dose schedule after the change from a three-dose schedule in 2018. The outcome of interest in this cohort is completion of a clinically valid course (either two or three doses). As all individuals in the 2020 cohort </w:t>
      </w:r>
      <w:r>
        <w:lastRenderedPageBreak/>
        <w:t xml:space="preserve">(and the 2019 cohort) were under 15 years of age at dose 1, course completion was defined as receipt of two doses if dose 2 was given following a minimum interval of five months after dose 1 or receipt of three doses if dose 2 was given less than five months after dose 1. The percentage of eligible adolescents in the population completing the vaccination course (course completion) is therefore a different measure to population coverage with either dose 2 or dose 3. HPV vaccination coverage and course completion analysis was undertaken by year, gender, Indigenous </w:t>
      </w:r>
      <w:proofErr w:type="gramStart"/>
      <w:r>
        <w:t>status</w:t>
      </w:r>
      <w:proofErr w:type="gramEnd"/>
      <w:r>
        <w:t xml:space="preserve"> and jurisdiction. </w:t>
      </w:r>
    </w:p>
    <w:p w14:paraId="7AD3202D" w14:textId="77777777" w:rsidR="002B4EF6" w:rsidRDefault="002B4EF6" w:rsidP="00FD4A14">
      <w:r>
        <w:t xml:space="preserve">Adolescent </w:t>
      </w:r>
      <w:proofErr w:type="spellStart"/>
      <w:r>
        <w:t>dTpa</w:t>
      </w:r>
      <w:proofErr w:type="spellEnd"/>
      <w:r>
        <w:t xml:space="preserve"> vaccination coverage was also calculated, using the number of 15-year-olds in 2020 and in 2019 (i.e. those born in 2005 and in 2004 respectively) recorded on the AIR to have received a booster dose of </w:t>
      </w:r>
      <w:proofErr w:type="spellStart"/>
      <w:r>
        <w:t>dTpa</w:t>
      </w:r>
      <w:proofErr w:type="spellEnd"/>
      <w:r>
        <w:t xml:space="preserve"> vaccine by 31 December 2019 and 31 December 2020, respectively as the numerator, and the total number of Medicare-registered adolescents in the cohorts aged 15 years in 2019 and 2020 in AIR as the denominators. Analysis was undertaken by Indigenous status, </w:t>
      </w:r>
      <w:proofErr w:type="gramStart"/>
      <w:r>
        <w:t>year</w:t>
      </w:r>
      <w:proofErr w:type="gramEnd"/>
      <w:r>
        <w:t xml:space="preserve"> and jurisdiction. </w:t>
      </w:r>
    </w:p>
    <w:p w14:paraId="10864766" w14:textId="77777777" w:rsidR="002B4EF6" w:rsidRDefault="002B4EF6" w:rsidP="00FD4A14">
      <w:r>
        <w:t xml:space="preserve">Adolescent meningococcal ACWY vaccination coverage was calculated using the number of </w:t>
      </w:r>
      <w:proofErr w:type="gramStart"/>
      <w:r>
        <w:t>17-year old</w:t>
      </w:r>
      <w:proofErr w:type="gramEnd"/>
      <w:r>
        <w:t xml:space="preserve"> adolescents in 2020 (i.e. those born in 2003) recorded on the AIR to have received a booster dose of meningococcal ACWY vaccine by 31 December 2020, as the numerator, and the total number of Medicare-registered adolescents in the cohorts aged 17 years in 2020 in AIR as the denominators. Analysis was undertaken by Indigenous status, </w:t>
      </w:r>
      <w:proofErr w:type="gramStart"/>
      <w:r>
        <w:t>year</w:t>
      </w:r>
      <w:proofErr w:type="gramEnd"/>
      <w:r>
        <w:t xml:space="preserve"> and jurisdiction. </w:t>
      </w:r>
    </w:p>
    <w:p w14:paraId="0A6DE102" w14:textId="77777777" w:rsidR="002B4EF6" w:rsidRDefault="002B4EF6" w:rsidP="00FD4A14">
      <w:r>
        <w:t xml:space="preserve">In addition to adolescent coverage of HPV, </w:t>
      </w:r>
      <w:proofErr w:type="spellStart"/>
      <w:r>
        <w:t>dTpa</w:t>
      </w:r>
      <w:proofErr w:type="spellEnd"/>
      <w:r>
        <w:t xml:space="preserve"> and meningococcal ACWY vaccines, the number of these vaccinations given during 2020 to adolescents aged 11–14 years (for HPV and </w:t>
      </w:r>
      <w:proofErr w:type="spellStart"/>
      <w:r>
        <w:t>dTpa</w:t>
      </w:r>
      <w:proofErr w:type="spellEnd"/>
      <w:r>
        <w:t xml:space="preserve">) and aged 14–18 years (for meningococcal ACWY) was determined by gender (HPV and </w:t>
      </w:r>
      <w:proofErr w:type="spellStart"/>
      <w:r>
        <w:t>dTpa</w:t>
      </w:r>
      <w:proofErr w:type="spellEnd"/>
      <w:r>
        <w:t xml:space="preserve"> only), Indigenous status, age group (meningococcal ACWY only), jurisdiction (HPV and </w:t>
      </w:r>
      <w:proofErr w:type="spellStart"/>
      <w:r>
        <w:t>dTpa</w:t>
      </w:r>
      <w:proofErr w:type="spellEnd"/>
      <w:r>
        <w:t xml:space="preserve"> only) and provider type (meningococcal ACWY only). The number of these vaccinations given during 2020 was then compared to the number of vaccinations given in 2019. Additionally, for the adolescents aged less than 15 years who received a first dose of HPV in 2019 or 2020, the proportion who also received the second dose in the same calendar year was calculated and compared. </w:t>
      </w:r>
    </w:p>
    <w:p w14:paraId="345DD21C" w14:textId="77777777" w:rsidR="002B4EF6" w:rsidRDefault="002B4EF6" w:rsidP="00FD4A14">
      <w:r>
        <w:t>Influenza vaccination coverage estimates, for adolescents aged 10–14 years and 15–19 years, were calculated by dividing the number of adolescents in the relevant age group with at least one dose of influenza vaccine recorded on AIR in the calendar year of interest (</w:t>
      </w:r>
      <w:proofErr w:type="spellStart"/>
      <w:r>
        <w:t>i.e</w:t>
      </w:r>
      <w:proofErr w:type="spellEnd"/>
      <w:r>
        <w:t xml:space="preserve"> 2019 or 2020) by the total number of adolescents in the 10–14 years and 15–19 years age groups registered on AIR in the year of interest, by Indigenous status and jurisdiction. </w:t>
      </w:r>
    </w:p>
    <w:p w14:paraId="0E52417C" w14:textId="77777777" w:rsidR="002B4EF6" w:rsidRPr="00FD4A14" w:rsidRDefault="002B4EF6" w:rsidP="00FD4A14">
      <w:pPr>
        <w:pStyle w:val="Heading2"/>
      </w:pPr>
      <w:r w:rsidRPr="00FD4A14">
        <w:t xml:space="preserve">Coverage estimates – adults </w:t>
      </w:r>
    </w:p>
    <w:p w14:paraId="04A6E633" w14:textId="77777777" w:rsidR="002B4EF6" w:rsidRDefault="002B4EF6" w:rsidP="00FD4A14">
      <w:r>
        <w:t xml:space="preserve">Adult zoster vaccination coverage was calculated using the number of </w:t>
      </w:r>
      <w:proofErr w:type="gramStart"/>
      <w:r>
        <w:t xml:space="preserve">70 year </w:t>
      </w:r>
      <w:proofErr w:type="spellStart"/>
      <w:r>
        <w:t>olds</w:t>
      </w:r>
      <w:proofErr w:type="spellEnd"/>
      <w:proofErr w:type="gramEnd"/>
      <w:r>
        <w:t xml:space="preserve"> in 2019 and in 2020 recorded on the AIR to have received a dose of zoster vaccine by 31 December 2019 and 31 December 2020, respectively as the numerator, and the total number of Medicare-registered adults of age 70 years in the cohorts in 2019 and 2020 in AIR as the denominators. Analysis was undertaken by Indigenous status, </w:t>
      </w:r>
      <w:proofErr w:type="gramStart"/>
      <w:r>
        <w:t>year</w:t>
      </w:r>
      <w:proofErr w:type="gramEnd"/>
      <w:r>
        <w:t xml:space="preserve"> and jurisdiction. </w:t>
      </w:r>
    </w:p>
    <w:p w14:paraId="11D9F631" w14:textId="2BA803FF" w:rsidR="00D8753A" w:rsidRDefault="002B4EF6" w:rsidP="00FD4A14">
      <w:r>
        <w:t>Influenza vaccination coverage for adults aged 20–49 years, 50–64 years, 65–74 years and 75+ years was calculated by dividing the number of adults in the relevant age group with at least one dose of influenza vaccine recorded on AIR in the calendar year of interest (i.e. 2019 or 2020) by the total number of adults in the relevant age group registered on AIR in the year of interest, by Indigenous status and jurisdiction.</w:t>
      </w:r>
    </w:p>
    <w:p w14:paraId="67AE2AD8" w14:textId="77777777" w:rsidR="00D8753A" w:rsidRDefault="00D8753A">
      <w:r>
        <w:br w:type="page"/>
      </w:r>
    </w:p>
    <w:p w14:paraId="79E93B11" w14:textId="77777777" w:rsidR="00D8753A" w:rsidRDefault="00D8753A" w:rsidP="00D8753A">
      <w:pPr>
        <w:pStyle w:val="NormalWeb"/>
        <w:rPr>
          <w:lang w:val="en-GB"/>
        </w:rPr>
      </w:pPr>
      <w:r>
        <w:rPr>
          <w:rStyle w:val="Strong"/>
          <w:lang w:val="en-GB"/>
        </w:rPr>
        <w:lastRenderedPageBreak/>
        <w:t xml:space="preserve">Figure A.1: Trends in ‘fully vaccinated’ coverage estimates by </w:t>
      </w:r>
      <w:proofErr w:type="spellStart"/>
      <w:proofErr w:type="gramStart"/>
      <w:r>
        <w:rPr>
          <w:rStyle w:val="Strong"/>
          <w:lang w:val="en-GB"/>
        </w:rPr>
        <w:t>quarter,</w:t>
      </w:r>
      <w:r>
        <w:rPr>
          <w:rStyle w:val="Strong"/>
          <w:vertAlign w:val="superscript"/>
          <w:lang w:val="en-GB"/>
        </w:rPr>
        <w:t>a</w:t>
      </w:r>
      <w:proofErr w:type="spellEnd"/>
      <w:proofErr w:type="gramEnd"/>
      <w:r>
        <w:rPr>
          <w:rStyle w:val="Strong"/>
          <w:lang w:val="en-GB"/>
        </w:rPr>
        <w:t xml:space="preserve"> Australia, 2011 to 2020</w:t>
      </w:r>
      <w:r>
        <w:rPr>
          <w:rStyle w:val="Strong"/>
          <w:vertAlign w:val="superscript"/>
          <w:lang w:val="en-GB"/>
        </w:rPr>
        <w:t>b,c</w:t>
      </w:r>
    </w:p>
    <w:p w14:paraId="038BF9CF" w14:textId="72DC2524" w:rsidR="00D8753A" w:rsidRDefault="00DF5A44" w:rsidP="00160856">
      <w:pPr>
        <w:pStyle w:val="NormalWeb"/>
        <w:jc w:val="center"/>
        <w:rPr>
          <w:lang w:val="en-GB"/>
        </w:rPr>
      </w:pPr>
      <w:r>
        <w:rPr>
          <w:noProof/>
        </w:rPr>
        <w:drawing>
          <wp:inline distT="0" distB="0" distL="0" distR="0" wp14:anchorId="0289CCB2" wp14:editId="60791029">
            <wp:extent cx="6117348" cy="4608585"/>
            <wp:effectExtent l="0" t="0" r="0" b="1905"/>
            <wp:docPr id="43" name="Picture 43" descr="Figure A1 shows trends in ‘fully immunised’ childhood vaccination coverage in Australia, assessed at 12 months, 24 months, and at 60 months of age, from 2011-2020. There is a clear trend of increasing vaccination coverage over time for all age groups assessed, however, coverage at 24 months of age did decrease in the last quarter of 2016 due to a coverage algorithm change at the end of 2016."/>
            <wp:cNvGraphicFramePr/>
            <a:graphic xmlns:a="http://schemas.openxmlformats.org/drawingml/2006/main">
              <a:graphicData uri="http://schemas.openxmlformats.org/drawingml/2006/picture">
                <pic:pic xmlns:pic="http://schemas.openxmlformats.org/drawingml/2006/picture">
                  <pic:nvPicPr>
                    <pic:cNvPr id="25" name="Picture 25" descr="Figure A1 shows trends in ‘fully immunised’ childhood vaccination coverage in Australia, assessed at 12 months, 24 months, and at 60 months of age, from 2011-2020. There is a clear trend of increasing vaccination coverage over time for all age groups assessed, however, coverage at 24 months of age did decrease in the last quarter of 2016 due to a coverage algorithm change at the end of 2016."/>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6117348" cy="4608585"/>
                    </a:xfrm>
                    <a:prstGeom prst="rect">
                      <a:avLst/>
                    </a:prstGeom>
                  </pic:spPr>
                </pic:pic>
              </a:graphicData>
            </a:graphic>
          </wp:inline>
        </w:drawing>
      </w:r>
    </w:p>
    <w:p w14:paraId="2BFB2CC7" w14:textId="77777777" w:rsidR="00D8753A" w:rsidRDefault="00D8753A" w:rsidP="00D8753A">
      <w:pPr>
        <w:pStyle w:val="CDIfootnotes"/>
        <w:rPr>
          <w:lang w:val="en-GB"/>
        </w:rPr>
      </w:pPr>
      <w:r>
        <w:rPr>
          <w:lang w:val="en-GB"/>
        </w:rPr>
        <w:t>a</w:t>
      </w:r>
      <w:r>
        <w:rPr>
          <w:lang w:val="en-GB"/>
        </w:rPr>
        <w:tab/>
      </w:r>
      <w:proofErr w:type="gramStart"/>
      <w:r>
        <w:rPr>
          <w:lang w:val="en-GB"/>
        </w:rPr>
        <w:t>By</w:t>
      </w:r>
      <w:proofErr w:type="gramEnd"/>
      <w:r>
        <w:rPr>
          <w:lang w:val="en-GB"/>
        </w:rPr>
        <w:t xml:space="preserve"> three-month birth cohorts born between 1 January 2010 and 31 December 2019. Coverage assessment date was 12, 24 or 60 months after the last birth date of each cohort. Vaccination coverage estimates are calculated by quarter and may differ slightly from estimates published elsewhere using rolling annualised data.</w:t>
      </w:r>
    </w:p>
    <w:p w14:paraId="5DF19912" w14:textId="77777777" w:rsidR="00D8753A" w:rsidRDefault="00D8753A" w:rsidP="00D8753A">
      <w:pPr>
        <w:pStyle w:val="CDIfootnotes"/>
        <w:rPr>
          <w:lang w:val="en-GB"/>
        </w:rPr>
      </w:pPr>
      <w:r>
        <w:rPr>
          <w:lang w:val="en-GB"/>
        </w:rPr>
        <w:t>b</w:t>
      </w:r>
      <w:r>
        <w:rPr>
          <w:lang w:val="en-GB"/>
        </w:rPr>
        <w:tab/>
        <w:t xml:space="preserve">Source: Australian Immunisation Register, data as </w:t>
      </w:r>
      <w:proofErr w:type="gramStart"/>
      <w:r>
        <w:rPr>
          <w:lang w:val="en-GB"/>
        </w:rPr>
        <w:t>at</w:t>
      </w:r>
      <w:proofErr w:type="gramEnd"/>
      <w:r>
        <w:rPr>
          <w:lang w:val="en-GB"/>
        </w:rPr>
        <w:t xml:space="preserve"> 31 March 2021.</w:t>
      </w:r>
    </w:p>
    <w:p w14:paraId="188A2C05" w14:textId="77777777" w:rsidR="00D8753A" w:rsidRDefault="00D8753A" w:rsidP="00D8753A">
      <w:pPr>
        <w:pStyle w:val="CDIfootnotes"/>
        <w:rPr>
          <w:lang w:val="en-GB"/>
        </w:rPr>
      </w:pPr>
      <w:r>
        <w:rPr>
          <w:lang w:val="en-GB"/>
        </w:rPr>
        <w:t>c</w:t>
      </w:r>
      <w:r>
        <w:rPr>
          <w:lang w:val="en-GB"/>
        </w:rPr>
        <w:tab/>
        <w:t xml:space="preserve">MMR2: second dose of MMR vaccine; </w:t>
      </w:r>
      <w:proofErr w:type="spellStart"/>
      <w:r>
        <w:rPr>
          <w:lang w:val="en-GB"/>
        </w:rPr>
        <w:t>MenC</w:t>
      </w:r>
      <w:proofErr w:type="spellEnd"/>
      <w:r>
        <w:rPr>
          <w:lang w:val="en-GB"/>
        </w:rPr>
        <w:t xml:space="preserve">: meningococcal C-containing; </w:t>
      </w:r>
      <w:proofErr w:type="spellStart"/>
      <w:r>
        <w:rPr>
          <w:lang w:val="en-GB"/>
        </w:rPr>
        <w:t>DTPa</w:t>
      </w:r>
      <w:proofErr w:type="spellEnd"/>
      <w:r>
        <w:rPr>
          <w:lang w:val="en-GB"/>
        </w:rPr>
        <w:t>: diphtheria-tetanus-acellular pertussis.</w:t>
      </w:r>
    </w:p>
    <w:p w14:paraId="07C7858D" w14:textId="77777777" w:rsidR="00D8753A" w:rsidRDefault="00D8753A" w:rsidP="00D8753A">
      <w:pPr>
        <w:pStyle w:val="CDIfootnotes"/>
        <w:rPr>
          <w:lang w:val="en-GB"/>
        </w:rPr>
      </w:pPr>
      <w:r>
        <w:rPr>
          <w:lang w:val="en-GB"/>
        </w:rPr>
        <w:t>d</w:t>
      </w:r>
      <w:r>
        <w:rPr>
          <w:lang w:val="en-GB"/>
        </w:rPr>
        <w:tab/>
        <w:t>Coverage algorithm before 1 July 2013.</w:t>
      </w:r>
    </w:p>
    <w:p w14:paraId="0C5B1B83" w14:textId="77777777" w:rsidR="00D8753A" w:rsidRDefault="00D8753A" w:rsidP="00D8753A">
      <w:pPr>
        <w:pStyle w:val="CDIfootnotes"/>
        <w:rPr>
          <w:lang w:val="en-GB"/>
        </w:rPr>
      </w:pPr>
      <w:r>
        <w:rPr>
          <w:lang w:val="en-GB"/>
        </w:rPr>
        <w:t>e</w:t>
      </w:r>
      <w:r>
        <w:rPr>
          <w:lang w:val="en-GB"/>
        </w:rPr>
        <w:tab/>
        <w:t>Coverage algorithm from 1 July 2013.</w:t>
      </w:r>
    </w:p>
    <w:p w14:paraId="1E3B274A" w14:textId="77777777" w:rsidR="00D8753A" w:rsidRDefault="00D8753A" w:rsidP="00D8753A">
      <w:pPr>
        <w:pStyle w:val="CDIfootnotes"/>
        <w:rPr>
          <w:lang w:val="en-GB"/>
        </w:rPr>
      </w:pPr>
      <w:r>
        <w:rPr>
          <w:lang w:val="en-GB"/>
        </w:rPr>
        <w:t>f</w:t>
      </w:r>
      <w:r>
        <w:rPr>
          <w:lang w:val="en-GB"/>
        </w:rPr>
        <w:tab/>
        <w:t>Coverage algorithm before 1 July 2014.</w:t>
      </w:r>
    </w:p>
    <w:p w14:paraId="5E5F0C49" w14:textId="77777777" w:rsidR="00D8753A" w:rsidRDefault="00D8753A" w:rsidP="00D8753A">
      <w:pPr>
        <w:pStyle w:val="CDIfootnotes"/>
        <w:rPr>
          <w:lang w:val="en-GB"/>
        </w:rPr>
      </w:pPr>
      <w:r>
        <w:rPr>
          <w:lang w:val="en-GB"/>
        </w:rPr>
        <w:t>g</w:t>
      </w:r>
      <w:r>
        <w:rPr>
          <w:lang w:val="en-GB"/>
        </w:rPr>
        <w:tab/>
        <w:t>Coverage algorithm from 1 July 2014.</w:t>
      </w:r>
    </w:p>
    <w:p w14:paraId="42348DB1" w14:textId="77777777" w:rsidR="00DF5A44" w:rsidRDefault="00DF5A44">
      <w:pPr>
        <w:rPr>
          <w:rStyle w:val="Strong"/>
          <w:lang w:val="en-GB"/>
        </w:rPr>
      </w:pPr>
      <w:r>
        <w:rPr>
          <w:rStyle w:val="Strong"/>
          <w:lang w:val="en-GB"/>
        </w:rPr>
        <w:br w:type="page"/>
      </w:r>
    </w:p>
    <w:p w14:paraId="7F673484" w14:textId="312060F6" w:rsidR="00D8753A" w:rsidRDefault="00D8753A" w:rsidP="00D8753A">
      <w:pPr>
        <w:pStyle w:val="NormalWeb"/>
        <w:rPr>
          <w:lang w:val="en-GB"/>
        </w:rPr>
      </w:pPr>
      <w:r>
        <w:rPr>
          <w:rStyle w:val="Strong"/>
          <w:lang w:val="en-GB"/>
        </w:rPr>
        <w:lastRenderedPageBreak/>
        <w:t>Figure A.2: Trends in vaccination coverage estimates at 12 months of age, by vaccine/</w:t>
      </w:r>
      <w:proofErr w:type="spellStart"/>
      <w:r>
        <w:rPr>
          <w:rStyle w:val="Strong"/>
          <w:lang w:val="en-GB"/>
        </w:rPr>
        <w:t>antigen</w:t>
      </w:r>
      <w:r>
        <w:rPr>
          <w:rStyle w:val="Strong"/>
          <w:vertAlign w:val="superscript"/>
          <w:lang w:val="en-GB"/>
        </w:rPr>
        <w:t>a</w:t>
      </w:r>
      <w:proofErr w:type="spellEnd"/>
      <w:r>
        <w:rPr>
          <w:rStyle w:val="Strong"/>
          <w:lang w:val="en-GB"/>
        </w:rPr>
        <w:t xml:space="preserve"> and </w:t>
      </w:r>
      <w:proofErr w:type="spellStart"/>
      <w:proofErr w:type="gramStart"/>
      <w:r>
        <w:rPr>
          <w:rStyle w:val="Strong"/>
          <w:lang w:val="en-GB"/>
        </w:rPr>
        <w:t>quarter,</w:t>
      </w:r>
      <w:r>
        <w:rPr>
          <w:rStyle w:val="Strong"/>
          <w:vertAlign w:val="superscript"/>
          <w:lang w:val="en-GB"/>
        </w:rPr>
        <w:t>b</w:t>
      </w:r>
      <w:proofErr w:type="spellEnd"/>
      <w:proofErr w:type="gramEnd"/>
      <w:r>
        <w:rPr>
          <w:rStyle w:val="Strong"/>
          <w:lang w:val="en-GB"/>
        </w:rPr>
        <w:t xml:space="preserve"> Australia, 2011 to 2020</w:t>
      </w:r>
      <w:r>
        <w:rPr>
          <w:rStyle w:val="Strong"/>
          <w:vertAlign w:val="superscript"/>
          <w:lang w:val="en-GB"/>
        </w:rPr>
        <w:t>c,d</w:t>
      </w:r>
    </w:p>
    <w:p w14:paraId="3556B0A7" w14:textId="6B0FD518" w:rsidR="00D8753A" w:rsidRDefault="00DF5A44" w:rsidP="00160856">
      <w:pPr>
        <w:pStyle w:val="NormalWeb"/>
        <w:jc w:val="center"/>
        <w:rPr>
          <w:lang w:val="en-GB"/>
        </w:rPr>
      </w:pPr>
      <w:r>
        <w:rPr>
          <w:noProof/>
        </w:rPr>
        <w:drawing>
          <wp:inline distT="0" distB="0" distL="0" distR="0" wp14:anchorId="596EDD39" wp14:editId="1F6DCE23">
            <wp:extent cx="6117348" cy="4224537"/>
            <wp:effectExtent l="0" t="0" r="0" b="5080"/>
            <wp:docPr id="44" name="Picture 44" descr="Figure A2 shows trends in vaccination coverage estimates for individual vaccines at 12 months of age from 2011-2020. DTPa, polio, Hib and hepatitis B coverage at 12 months of age remained relatively stable from 2011 to 2012 and then decreased slightly during 2013 but increased to their highest ever levels of up to 95% during 2018-2020. Coverage for 13vPCV is similar to those for DTPa and polio until it rose above them in mid-2018 due to a 13vPCV schedule change. Rotavirus vaccine coverage began to rise in early 2015 to almost 87.5% in late 2016 but then increased dramatically in 2018 increasing to its highest recorded level of 92.6% in September 2020."/>
            <wp:cNvGraphicFramePr/>
            <a:graphic xmlns:a="http://schemas.openxmlformats.org/drawingml/2006/main">
              <a:graphicData uri="http://schemas.openxmlformats.org/drawingml/2006/picture">
                <pic:pic xmlns:pic="http://schemas.openxmlformats.org/drawingml/2006/picture">
                  <pic:nvPicPr>
                    <pic:cNvPr id="26" name="Picture 26" descr="Figure A2 shows trends in vaccination coverage estimates for individual vaccines at 12 months of age from 2011-2020. DTPa, polio, Hib and hepatitis B coverage at 12 months of age remained relatively stable from 2011 to 2012 and then decreased slightly during 2013 but increased to their highest ever levels of up to 95% during 2018-2020. Coverage for 13vPCV is similar to those for DTPa and polio until it rose above them in mid-2018 due to a 13vPCV schedule change. Rotavirus vaccine coverage began to rise in early 2015 to almost 87.5% in late 2016 but then increased dramatically in 2018 increasing to its highest recorded level of 92.6% in September 2020."/>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6117348" cy="4224537"/>
                    </a:xfrm>
                    <a:prstGeom prst="rect">
                      <a:avLst/>
                    </a:prstGeom>
                  </pic:spPr>
                </pic:pic>
              </a:graphicData>
            </a:graphic>
          </wp:inline>
        </w:drawing>
      </w:r>
    </w:p>
    <w:p w14:paraId="59C3C484" w14:textId="77777777" w:rsidR="00D8753A" w:rsidRDefault="00D8753A" w:rsidP="00D8753A">
      <w:pPr>
        <w:pStyle w:val="CDIfootnotes"/>
        <w:rPr>
          <w:lang w:val="en-GB"/>
        </w:rPr>
      </w:pPr>
      <w:r>
        <w:rPr>
          <w:lang w:val="en-GB"/>
        </w:rPr>
        <w:t>a</w:t>
      </w:r>
      <w:r>
        <w:rPr>
          <w:lang w:val="en-GB"/>
        </w:rPr>
        <w:tab/>
        <w:t xml:space="preserve">Third dose of </w:t>
      </w:r>
      <w:proofErr w:type="spellStart"/>
      <w:r>
        <w:rPr>
          <w:lang w:val="en-GB"/>
        </w:rPr>
        <w:t>DTPa</w:t>
      </w:r>
      <w:proofErr w:type="spellEnd"/>
      <w:r>
        <w:rPr>
          <w:lang w:val="en-GB"/>
        </w:rPr>
        <w:t xml:space="preserve"> vaccine, polio vaccine and 13vPCV, second or third dose of Hib and rotavirus vaccines, and third dose of hepatitis B vaccine.</w:t>
      </w:r>
    </w:p>
    <w:p w14:paraId="4656F197" w14:textId="77777777" w:rsidR="00D8753A" w:rsidRDefault="00D8753A" w:rsidP="00D8753A">
      <w:pPr>
        <w:pStyle w:val="CDIfootnotes"/>
        <w:rPr>
          <w:lang w:val="en-GB"/>
        </w:rPr>
      </w:pPr>
      <w:r>
        <w:rPr>
          <w:lang w:val="en-GB"/>
        </w:rPr>
        <w:t>b</w:t>
      </w:r>
      <w:r>
        <w:rPr>
          <w:lang w:val="en-GB"/>
        </w:rPr>
        <w:tab/>
      </w:r>
      <w:proofErr w:type="gramStart"/>
      <w:r>
        <w:rPr>
          <w:lang w:val="en-GB"/>
        </w:rPr>
        <w:t>By</w:t>
      </w:r>
      <w:proofErr w:type="gramEnd"/>
      <w:r>
        <w:rPr>
          <w:lang w:val="en-GB"/>
        </w:rPr>
        <w:t xml:space="preserve"> three-month birth cohorts born between 1 January 2010 and 31 December 2019. Coverage assessment date was 12 months after the last birth date of each cohort. Vaccination coverage estimates are calculated by quarter and may differ slightly from estimates published elsewhere using rolling annualised data.</w:t>
      </w:r>
    </w:p>
    <w:p w14:paraId="107F0E71" w14:textId="77777777" w:rsidR="00D8753A" w:rsidRDefault="00D8753A" w:rsidP="00D8753A">
      <w:pPr>
        <w:pStyle w:val="CDIfootnotes"/>
        <w:rPr>
          <w:lang w:val="en-GB"/>
        </w:rPr>
      </w:pPr>
      <w:r>
        <w:rPr>
          <w:lang w:val="en-GB"/>
        </w:rPr>
        <w:t>c</w:t>
      </w:r>
      <w:r>
        <w:rPr>
          <w:lang w:val="en-GB"/>
        </w:rPr>
        <w:tab/>
        <w:t xml:space="preserve">Source: Australian Immunisation Register, data as </w:t>
      </w:r>
      <w:proofErr w:type="gramStart"/>
      <w:r>
        <w:rPr>
          <w:lang w:val="en-GB"/>
        </w:rPr>
        <w:t>at</w:t>
      </w:r>
      <w:proofErr w:type="gramEnd"/>
      <w:r>
        <w:rPr>
          <w:lang w:val="en-GB"/>
        </w:rPr>
        <w:t xml:space="preserve"> 31 March 2021.</w:t>
      </w:r>
    </w:p>
    <w:p w14:paraId="7559BDB2" w14:textId="77777777" w:rsidR="00D8753A" w:rsidRDefault="00D8753A" w:rsidP="00D8753A">
      <w:pPr>
        <w:pStyle w:val="CDIfootnotes"/>
        <w:rPr>
          <w:lang w:val="en-GB"/>
        </w:rPr>
      </w:pPr>
      <w:r>
        <w:rPr>
          <w:lang w:val="en-GB"/>
        </w:rPr>
        <w:t>d</w:t>
      </w:r>
      <w:r>
        <w:rPr>
          <w:lang w:val="en-GB"/>
        </w:rPr>
        <w:tab/>
      </w:r>
      <w:proofErr w:type="spellStart"/>
      <w:r>
        <w:rPr>
          <w:lang w:val="en-GB"/>
        </w:rPr>
        <w:t>DTPa</w:t>
      </w:r>
      <w:proofErr w:type="spellEnd"/>
      <w:r>
        <w:rPr>
          <w:lang w:val="en-GB"/>
        </w:rPr>
        <w:t xml:space="preserve">: diphtheria-tetanus-acellular pertussis; Hib: </w:t>
      </w:r>
      <w:r w:rsidRPr="00A30BDA">
        <w:rPr>
          <w:i/>
          <w:iCs/>
          <w:lang w:val="en-GB"/>
        </w:rPr>
        <w:t>Haemophilus influenzae</w:t>
      </w:r>
      <w:r>
        <w:rPr>
          <w:lang w:val="en-GB"/>
        </w:rPr>
        <w:t xml:space="preserve"> type b; Hep B: hepatitis B; 13vPCV: pneumococcal conjugate vaccine.</w:t>
      </w:r>
    </w:p>
    <w:p w14:paraId="53C54547" w14:textId="77777777" w:rsidR="00DF5A44" w:rsidRDefault="00DF5A44">
      <w:pPr>
        <w:rPr>
          <w:rStyle w:val="Strong"/>
          <w:lang w:val="en-GB"/>
        </w:rPr>
      </w:pPr>
      <w:r>
        <w:rPr>
          <w:rStyle w:val="Strong"/>
          <w:lang w:val="en-GB"/>
        </w:rPr>
        <w:br w:type="page"/>
      </w:r>
    </w:p>
    <w:p w14:paraId="0ECF3BCB" w14:textId="64B6CC37" w:rsidR="00D8753A" w:rsidRDefault="00D8753A" w:rsidP="00D8753A">
      <w:pPr>
        <w:pStyle w:val="NormalWeb"/>
        <w:rPr>
          <w:lang w:val="en-GB"/>
        </w:rPr>
      </w:pPr>
      <w:r>
        <w:rPr>
          <w:rStyle w:val="Strong"/>
          <w:lang w:val="en-GB"/>
        </w:rPr>
        <w:lastRenderedPageBreak/>
        <w:t>Figure A.3: Trends in vaccination coverage estimates at 24 months of age by vaccine/antigen* and quarter, Australia, 2011 to 2020</w:t>
      </w:r>
    </w:p>
    <w:p w14:paraId="3F35A467" w14:textId="5AF0B66C" w:rsidR="00D8753A" w:rsidRDefault="00DF5A44" w:rsidP="00160856">
      <w:pPr>
        <w:pStyle w:val="NormalWeb"/>
        <w:jc w:val="center"/>
        <w:rPr>
          <w:lang w:val="en-GB"/>
        </w:rPr>
      </w:pPr>
      <w:r>
        <w:rPr>
          <w:noProof/>
        </w:rPr>
        <w:drawing>
          <wp:inline distT="0" distB="0" distL="0" distR="0" wp14:anchorId="5F9330F6" wp14:editId="5289D501">
            <wp:extent cx="6126492" cy="4191009"/>
            <wp:effectExtent l="0" t="0" r="7620" b="0"/>
            <wp:docPr id="45" name="Picture 45" descr="Figure A3 shows trends in vaccination coverage estimates for individual vaccines at 24 months of age from 2011-2020. Since 2013, coverage was lowest for MMR, Hib and meningococcal C vaccines, the only vaccines that have a 12-month dose used in calculations. At the end of 2016, coverage for DTPa-containing vaccine decreased considerably after the 18-month booster dose was added to the NIP. Coverage for MMRV vaccine remains below all other vaccines measured at 24 months of age, at 90.1% in December 2020."/>
            <wp:cNvGraphicFramePr/>
            <a:graphic xmlns:a="http://schemas.openxmlformats.org/drawingml/2006/main">
              <a:graphicData uri="http://schemas.openxmlformats.org/drawingml/2006/picture">
                <pic:pic xmlns:pic="http://schemas.openxmlformats.org/drawingml/2006/picture">
                  <pic:nvPicPr>
                    <pic:cNvPr id="27" name="Picture 27" descr="Figure A3 shows trends in vaccination coverage estimates for individual vaccines at 24 months of age from 2011-2020. Since 2013, coverage was lowest for MMR, Hib and meningococcal C vaccines, the only vaccines that have a 12-month dose used in calculations. At the end of 2016, coverage for DTPa-containing vaccine decreased considerably after the 18-month booster dose was added to the NIP. Coverage for MMRV vaccine remains below all other vaccines measured at 24 months of age, at 90.1% in December 2020."/>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6126492" cy="4191009"/>
                    </a:xfrm>
                    <a:prstGeom prst="rect">
                      <a:avLst/>
                    </a:prstGeom>
                  </pic:spPr>
                </pic:pic>
              </a:graphicData>
            </a:graphic>
          </wp:inline>
        </w:drawing>
      </w:r>
    </w:p>
    <w:p w14:paraId="07F0CC1A" w14:textId="77777777" w:rsidR="00D8753A" w:rsidRDefault="00D8753A" w:rsidP="00D8753A">
      <w:pPr>
        <w:pStyle w:val="CDIfootnotes"/>
        <w:rPr>
          <w:lang w:val="en-GB"/>
        </w:rPr>
      </w:pPr>
      <w:r>
        <w:rPr>
          <w:lang w:val="en-GB"/>
        </w:rPr>
        <w:t>a</w:t>
      </w:r>
      <w:r>
        <w:rPr>
          <w:lang w:val="en-GB"/>
        </w:rPr>
        <w:tab/>
        <w:t xml:space="preserve">Fourth dose of </w:t>
      </w:r>
      <w:proofErr w:type="spellStart"/>
      <w:r>
        <w:rPr>
          <w:lang w:val="en-GB"/>
        </w:rPr>
        <w:t>DTPa</w:t>
      </w:r>
      <w:proofErr w:type="spellEnd"/>
      <w:r>
        <w:rPr>
          <w:lang w:val="en-GB"/>
        </w:rPr>
        <w:t xml:space="preserve"> (from October 2016), third dose of polio, third or fourth dose of Hib, third dose of hepatitis B, a dose of varicella, second dose of MMR (from September 2014), and first dose of </w:t>
      </w:r>
      <w:proofErr w:type="spellStart"/>
      <w:r>
        <w:rPr>
          <w:lang w:val="en-GB"/>
        </w:rPr>
        <w:t>MenC</w:t>
      </w:r>
      <w:proofErr w:type="spellEnd"/>
      <w:r>
        <w:rPr>
          <w:lang w:val="en-GB"/>
        </w:rPr>
        <w:t xml:space="preserve"> (</w:t>
      </w:r>
      <w:proofErr w:type="spellStart"/>
      <w:r>
        <w:rPr>
          <w:lang w:val="en-GB"/>
        </w:rPr>
        <w:t>MenACWY</w:t>
      </w:r>
      <w:proofErr w:type="spellEnd"/>
      <w:r>
        <w:rPr>
          <w:lang w:val="en-GB"/>
        </w:rPr>
        <w:t xml:space="preserve"> from July 2018).</w:t>
      </w:r>
    </w:p>
    <w:p w14:paraId="3BD2BC44" w14:textId="77777777" w:rsidR="00D8753A" w:rsidRDefault="00D8753A" w:rsidP="00D8753A">
      <w:pPr>
        <w:pStyle w:val="CDIfootnotes"/>
        <w:rPr>
          <w:lang w:val="en-GB"/>
        </w:rPr>
      </w:pPr>
      <w:r>
        <w:rPr>
          <w:lang w:val="en-GB"/>
        </w:rPr>
        <w:t>b</w:t>
      </w:r>
      <w:r>
        <w:rPr>
          <w:lang w:val="en-GB"/>
        </w:rPr>
        <w:tab/>
      </w:r>
      <w:proofErr w:type="gramStart"/>
      <w:r>
        <w:rPr>
          <w:lang w:val="en-GB"/>
        </w:rPr>
        <w:t>By</w:t>
      </w:r>
      <w:proofErr w:type="gramEnd"/>
      <w:r>
        <w:rPr>
          <w:lang w:val="en-GB"/>
        </w:rPr>
        <w:t xml:space="preserve"> three-month birth cohorts born between 1 January 2009 and 31 December 2018. Coverage assessment date was 24 months after the last birth date of each cohort. Vaccination coverage estimates are calculated by quarter and may differ slightly from estimates published elsewhere using rolling annualised data.</w:t>
      </w:r>
    </w:p>
    <w:p w14:paraId="1E8D46BC" w14:textId="77777777" w:rsidR="00D8753A" w:rsidRDefault="00D8753A" w:rsidP="00D8753A">
      <w:pPr>
        <w:pStyle w:val="CDIfootnotes"/>
        <w:rPr>
          <w:lang w:val="en-GB"/>
        </w:rPr>
      </w:pPr>
      <w:r>
        <w:rPr>
          <w:lang w:val="en-GB"/>
        </w:rPr>
        <w:t>c</w:t>
      </w:r>
      <w:r>
        <w:rPr>
          <w:lang w:val="en-GB"/>
        </w:rPr>
        <w:tab/>
        <w:t xml:space="preserve">Source: Australian Immunisation Register, data as </w:t>
      </w:r>
      <w:proofErr w:type="gramStart"/>
      <w:r>
        <w:rPr>
          <w:lang w:val="en-GB"/>
        </w:rPr>
        <w:t>at</w:t>
      </w:r>
      <w:proofErr w:type="gramEnd"/>
      <w:r>
        <w:rPr>
          <w:lang w:val="en-GB"/>
        </w:rPr>
        <w:t xml:space="preserve"> 31 March 2021.</w:t>
      </w:r>
    </w:p>
    <w:p w14:paraId="2CDF5F75" w14:textId="77777777" w:rsidR="00D8753A" w:rsidRDefault="00D8753A" w:rsidP="00D8753A">
      <w:pPr>
        <w:pStyle w:val="CDIfootnotes"/>
        <w:rPr>
          <w:lang w:val="en-GB"/>
        </w:rPr>
      </w:pPr>
      <w:r>
        <w:rPr>
          <w:lang w:val="en-GB"/>
        </w:rPr>
        <w:t>d</w:t>
      </w:r>
      <w:r>
        <w:rPr>
          <w:lang w:val="en-GB"/>
        </w:rPr>
        <w:tab/>
      </w:r>
      <w:proofErr w:type="spellStart"/>
      <w:r>
        <w:rPr>
          <w:lang w:val="en-GB"/>
        </w:rPr>
        <w:t>DTPa</w:t>
      </w:r>
      <w:proofErr w:type="spellEnd"/>
      <w:r>
        <w:rPr>
          <w:lang w:val="en-GB"/>
        </w:rPr>
        <w:t xml:space="preserve">: diphtheria-tetanus-acellular pertussis; Hib: </w:t>
      </w:r>
      <w:r w:rsidRPr="00A30BDA">
        <w:rPr>
          <w:i/>
          <w:iCs/>
          <w:lang w:val="en-GB"/>
        </w:rPr>
        <w:t>Haemophilus influenzae</w:t>
      </w:r>
      <w:r>
        <w:rPr>
          <w:lang w:val="en-GB"/>
        </w:rPr>
        <w:t xml:space="preserve"> type b; Hep B: hepatitis B; MMR: measles-mumps-rubella; </w:t>
      </w:r>
      <w:proofErr w:type="spellStart"/>
      <w:r>
        <w:rPr>
          <w:lang w:val="en-GB"/>
        </w:rPr>
        <w:t>MenC</w:t>
      </w:r>
      <w:proofErr w:type="spellEnd"/>
      <w:r>
        <w:rPr>
          <w:lang w:val="en-GB"/>
        </w:rPr>
        <w:t>: meningococcal C-containing; MMRV: measles-mumps-rubella-varicella; 13vPCV: pneumococcal conjugate vaccine.</w:t>
      </w:r>
    </w:p>
    <w:p w14:paraId="6B55B272" w14:textId="77777777" w:rsidR="009B3B71" w:rsidRDefault="009B3B71">
      <w:pPr>
        <w:rPr>
          <w:rStyle w:val="Strong"/>
          <w:lang w:val="en-GB"/>
        </w:rPr>
      </w:pPr>
      <w:r>
        <w:rPr>
          <w:rStyle w:val="Strong"/>
          <w:lang w:val="en-GB"/>
        </w:rPr>
        <w:br w:type="page"/>
      </w:r>
    </w:p>
    <w:p w14:paraId="105DD815" w14:textId="1D1936BD" w:rsidR="00D8753A" w:rsidRDefault="00D8753A" w:rsidP="00D8753A">
      <w:pPr>
        <w:pStyle w:val="NormalWeb"/>
        <w:rPr>
          <w:lang w:val="en-GB"/>
        </w:rPr>
      </w:pPr>
      <w:r>
        <w:rPr>
          <w:rStyle w:val="Strong"/>
          <w:lang w:val="en-GB"/>
        </w:rPr>
        <w:lastRenderedPageBreak/>
        <w:t>Figure A.4: Trends in vaccination coverage estimates at 60 months of age by vaccine/</w:t>
      </w:r>
      <w:proofErr w:type="spellStart"/>
      <w:r>
        <w:rPr>
          <w:rStyle w:val="Strong"/>
          <w:lang w:val="en-GB"/>
        </w:rPr>
        <w:t>antigen</w:t>
      </w:r>
      <w:r>
        <w:rPr>
          <w:rStyle w:val="Strong"/>
          <w:vertAlign w:val="superscript"/>
          <w:lang w:val="en-GB"/>
        </w:rPr>
        <w:t>a</w:t>
      </w:r>
      <w:proofErr w:type="spellEnd"/>
      <w:r>
        <w:rPr>
          <w:rStyle w:val="Strong"/>
          <w:lang w:val="en-GB"/>
        </w:rPr>
        <w:t xml:space="preserve"> and </w:t>
      </w:r>
      <w:proofErr w:type="spellStart"/>
      <w:proofErr w:type="gramStart"/>
      <w:r>
        <w:rPr>
          <w:rStyle w:val="Strong"/>
          <w:lang w:val="en-GB"/>
        </w:rPr>
        <w:t>quarter,</w:t>
      </w:r>
      <w:r>
        <w:rPr>
          <w:rStyle w:val="Strong"/>
          <w:vertAlign w:val="superscript"/>
          <w:lang w:val="en-GB"/>
        </w:rPr>
        <w:t>b</w:t>
      </w:r>
      <w:proofErr w:type="spellEnd"/>
      <w:proofErr w:type="gramEnd"/>
      <w:r>
        <w:rPr>
          <w:rStyle w:val="Strong"/>
          <w:lang w:val="en-GB"/>
        </w:rPr>
        <w:t xml:space="preserve"> Australia, 2011 to 2020</w:t>
      </w:r>
      <w:r>
        <w:rPr>
          <w:rStyle w:val="Strong"/>
          <w:vertAlign w:val="superscript"/>
          <w:lang w:val="en-GB"/>
        </w:rPr>
        <w:t>c,d</w:t>
      </w:r>
    </w:p>
    <w:p w14:paraId="7B376987" w14:textId="1415B360" w:rsidR="00D8753A" w:rsidRDefault="009B3B71" w:rsidP="00160856">
      <w:pPr>
        <w:pStyle w:val="NormalWeb"/>
        <w:jc w:val="center"/>
        <w:rPr>
          <w:lang w:val="en-GB"/>
        </w:rPr>
      </w:pPr>
      <w:r>
        <w:rPr>
          <w:noProof/>
        </w:rPr>
        <w:drawing>
          <wp:inline distT="0" distB="0" distL="0" distR="0" wp14:anchorId="1F8F19FB" wp14:editId="0CBD5B5D">
            <wp:extent cx="6126492" cy="4127000"/>
            <wp:effectExtent l="0" t="0" r="7620" b="6985"/>
            <wp:docPr id="46" name="Picture 46" descr="Figure A4 shows trends in vaccination coverage estimates for individual vaccines at 60 months of age from 2011-2020. Coverage for all vaccines steadily increased over the 10-year period, and reached over 95.4% for all individual vaccines in late 2020."/>
            <wp:cNvGraphicFramePr/>
            <a:graphic xmlns:a="http://schemas.openxmlformats.org/drawingml/2006/main">
              <a:graphicData uri="http://schemas.openxmlformats.org/drawingml/2006/picture">
                <pic:pic xmlns:pic="http://schemas.openxmlformats.org/drawingml/2006/picture">
                  <pic:nvPicPr>
                    <pic:cNvPr id="28" name="Picture 28" descr="Figure A4 shows trends in vaccination coverage estimates for individual vaccines at 60 months of age from 2011-2020. Coverage for all vaccines steadily increased over the 10-year period, and reached over 95.4% for all individual vaccines in late 2020."/>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6126492" cy="4127000"/>
                    </a:xfrm>
                    <a:prstGeom prst="rect">
                      <a:avLst/>
                    </a:prstGeom>
                  </pic:spPr>
                </pic:pic>
              </a:graphicData>
            </a:graphic>
          </wp:inline>
        </w:drawing>
      </w:r>
    </w:p>
    <w:p w14:paraId="17D86053" w14:textId="77777777" w:rsidR="00D8753A" w:rsidRDefault="00D8753A" w:rsidP="00D8753A">
      <w:pPr>
        <w:pStyle w:val="CDIfootnotes"/>
        <w:rPr>
          <w:lang w:val="en-GB"/>
        </w:rPr>
      </w:pPr>
      <w:r>
        <w:rPr>
          <w:lang w:val="en-GB"/>
        </w:rPr>
        <w:t>a</w:t>
      </w:r>
      <w:r>
        <w:rPr>
          <w:lang w:val="en-GB"/>
        </w:rPr>
        <w:tab/>
        <w:t xml:space="preserve">Fourth or fifth dose of </w:t>
      </w:r>
      <w:proofErr w:type="spellStart"/>
      <w:r>
        <w:rPr>
          <w:lang w:val="en-GB"/>
        </w:rPr>
        <w:t>DTPa</w:t>
      </w:r>
      <w:proofErr w:type="spellEnd"/>
      <w:r>
        <w:rPr>
          <w:lang w:val="en-GB"/>
        </w:rPr>
        <w:t xml:space="preserve"> and fourth dose of polio, second dose of MMR (up until June 2017).</w:t>
      </w:r>
    </w:p>
    <w:p w14:paraId="62F4026D" w14:textId="77777777" w:rsidR="00D8753A" w:rsidRDefault="00D8753A" w:rsidP="00D8753A">
      <w:pPr>
        <w:pStyle w:val="CDIfootnotes"/>
        <w:rPr>
          <w:lang w:val="en-GB"/>
        </w:rPr>
      </w:pPr>
      <w:r>
        <w:rPr>
          <w:lang w:val="en-GB"/>
        </w:rPr>
        <w:t>b</w:t>
      </w:r>
      <w:r>
        <w:rPr>
          <w:lang w:val="en-GB"/>
        </w:rPr>
        <w:tab/>
      </w:r>
      <w:proofErr w:type="gramStart"/>
      <w:r>
        <w:rPr>
          <w:lang w:val="en-GB"/>
        </w:rPr>
        <w:t>By</w:t>
      </w:r>
      <w:proofErr w:type="gramEnd"/>
      <w:r>
        <w:rPr>
          <w:lang w:val="en-GB"/>
        </w:rPr>
        <w:t xml:space="preserve"> three-month birth cohorts born between 1 January 2006 and 31 December 2015. Coverage assessment date was 60 months after the last birth date of each cohort. Vaccination coverage estimates are calculated by quarter and may differ slightly from estimates published elsewhere using rolling annualised data.</w:t>
      </w:r>
    </w:p>
    <w:p w14:paraId="460E0B3B" w14:textId="77777777" w:rsidR="00D8753A" w:rsidRDefault="00D8753A" w:rsidP="00D8753A">
      <w:pPr>
        <w:pStyle w:val="CDIfootnotes"/>
        <w:rPr>
          <w:lang w:val="en-GB"/>
        </w:rPr>
      </w:pPr>
      <w:r>
        <w:rPr>
          <w:lang w:val="en-GB"/>
        </w:rPr>
        <w:t>c</w:t>
      </w:r>
      <w:r>
        <w:rPr>
          <w:lang w:val="en-GB"/>
        </w:rPr>
        <w:tab/>
        <w:t xml:space="preserve">Source: Australian Immunisation Register, data as </w:t>
      </w:r>
      <w:proofErr w:type="gramStart"/>
      <w:r>
        <w:rPr>
          <w:lang w:val="en-GB"/>
        </w:rPr>
        <w:t>at</w:t>
      </w:r>
      <w:proofErr w:type="gramEnd"/>
      <w:r>
        <w:rPr>
          <w:lang w:val="en-GB"/>
        </w:rPr>
        <w:t xml:space="preserve"> 31 March 2021.</w:t>
      </w:r>
    </w:p>
    <w:p w14:paraId="23D1A509" w14:textId="77777777" w:rsidR="00D8753A" w:rsidRDefault="00D8753A" w:rsidP="00D8753A">
      <w:pPr>
        <w:pStyle w:val="CDIfootnotes"/>
        <w:rPr>
          <w:lang w:val="en-GB"/>
        </w:rPr>
      </w:pPr>
      <w:r>
        <w:rPr>
          <w:lang w:val="en-GB"/>
        </w:rPr>
        <w:t>d</w:t>
      </w:r>
      <w:r>
        <w:rPr>
          <w:lang w:val="en-GB"/>
        </w:rPr>
        <w:tab/>
      </w:r>
      <w:proofErr w:type="spellStart"/>
      <w:r>
        <w:rPr>
          <w:lang w:val="en-GB"/>
        </w:rPr>
        <w:t>DTPa</w:t>
      </w:r>
      <w:proofErr w:type="spellEnd"/>
      <w:r>
        <w:rPr>
          <w:lang w:val="en-GB"/>
        </w:rPr>
        <w:t>: diphtheria-tetanus-acellular pertussis; MMR: measles-mumps-rubella.</w:t>
      </w:r>
    </w:p>
    <w:p w14:paraId="7FFAF63F" w14:textId="77777777" w:rsidR="009B3B71" w:rsidRDefault="009B3B71">
      <w:pPr>
        <w:rPr>
          <w:rStyle w:val="Strong"/>
          <w:lang w:val="en-GB"/>
        </w:rPr>
      </w:pPr>
      <w:r>
        <w:rPr>
          <w:rStyle w:val="Strong"/>
          <w:lang w:val="en-GB"/>
        </w:rPr>
        <w:br w:type="page"/>
      </w:r>
    </w:p>
    <w:p w14:paraId="3CB51280" w14:textId="5DC23F15" w:rsidR="00D8753A" w:rsidRDefault="00D8753A" w:rsidP="00D8753A">
      <w:pPr>
        <w:pStyle w:val="NormalWeb"/>
        <w:rPr>
          <w:lang w:val="en-GB"/>
        </w:rPr>
      </w:pPr>
      <w:r>
        <w:rPr>
          <w:rStyle w:val="Strong"/>
          <w:lang w:val="en-GB"/>
        </w:rPr>
        <w:lastRenderedPageBreak/>
        <w:t>Figure A.5: Trends in ‘fully vaccinated’ coverage at 12 months of age by Indigenous status and quarter, Australia, 2011 to 2020</w:t>
      </w:r>
      <w:proofErr w:type="gramStart"/>
      <w:r>
        <w:rPr>
          <w:rStyle w:val="Strong"/>
          <w:vertAlign w:val="superscript"/>
          <w:lang w:val="en-GB"/>
        </w:rPr>
        <w:t>a,b</w:t>
      </w:r>
      <w:proofErr w:type="gramEnd"/>
    </w:p>
    <w:p w14:paraId="0993963D" w14:textId="430A6B68" w:rsidR="00D8753A" w:rsidRDefault="009B3B71" w:rsidP="00160856">
      <w:pPr>
        <w:pStyle w:val="NormalWeb"/>
        <w:jc w:val="center"/>
        <w:rPr>
          <w:lang w:val="en-GB"/>
        </w:rPr>
      </w:pPr>
      <w:r>
        <w:rPr>
          <w:noProof/>
        </w:rPr>
        <w:drawing>
          <wp:inline distT="0" distB="0" distL="0" distR="0" wp14:anchorId="01C74722" wp14:editId="5766A3A6">
            <wp:extent cx="5733300" cy="4056896"/>
            <wp:effectExtent l="0" t="0" r="1270" b="1270"/>
            <wp:docPr id="47" name="Picture 47" descr="Figure A5 compares ‘fully immunised’ vaccination coverage at 12 months of age for Indigenous children compared to non-Indigenous children. From 2011, coverage for Indigenous children tracked well below coverage for non-Indigenous children. However, from mid-2013 the gap in coverage has progressively decreased, from 6.7 percentage points in March 2013 to 1.8 percentage points in December 2020."/>
            <wp:cNvGraphicFramePr/>
            <a:graphic xmlns:a="http://schemas.openxmlformats.org/drawingml/2006/main">
              <a:graphicData uri="http://schemas.openxmlformats.org/drawingml/2006/picture">
                <pic:pic xmlns:pic="http://schemas.openxmlformats.org/drawingml/2006/picture">
                  <pic:nvPicPr>
                    <pic:cNvPr id="29" name="Picture 29" descr="Figure A5 compares ‘fully immunised’ vaccination coverage at 12 months of age for Indigenous children compared to non-Indigenous children. From 2011, coverage for Indigenous children tracked well below coverage for non-Indigenous children. However, from mid-2013 the gap in coverage has progressively decreased, from 6.7 percentage points in March 2013 to 1.8 percentage points in December 2020."/>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5733300" cy="4056896"/>
                    </a:xfrm>
                    <a:prstGeom prst="rect">
                      <a:avLst/>
                    </a:prstGeom>
                  </pic:spPr>
                </pic:pic>
              </a:graphicData>
            </a:graphic>
          </wp:inline>
        </w:drawing>
      </w:r>
    </w:p>
    <w:p w14:paraId="7DF75E8D" w14:textId="77777777" w:rsidR="00D8753A" w:rsidRDefault="00D8753A" w:rsidP="00D8753A">
      <w:pPr>
        <w:pStyle w:val="CDIfootnotes"/>
        <w:rPr>
          <w:lang w:val="en-GB"/>
        </w:rPr>
      </w:pPr>
      <w:r>
        <w:rPr>
          <w:lang w:val="en-GB"/>
        </w:rPr>
        <w:t>a</w:t>
      </w:r>
      <w:r>
        <w:rPr>
          <w:lang w:val="en-GB"/>
        </w:rPr>
        <w:tab/>
        <w:t xml:space="preserve">Source: Australian Immunisation Register, data as </w:t>
      </w:r>
      <w:proofErr w:type="gramStart"/>
      <w:r>
        <w:rPr>
          <w:lang w:val="en-GB"/>
        </w:rPr>
        <w:t>at</w:t>
      </w:r>
      <w:proofErr w:type="gramEnd"/>
      <w:r>
        <w:rPr>
          <w:lang w:val="en-GB"/>
        </w:rPr>
        <w:t xml:space="preserve"> 31 March 2021.</w:t>
      </w:r>
    </w:p>
    <w:p w14:paraId="15F33080" w14:textId="77777777" w:rsidR="00D8753A" w:rsidRDefault="00D8753A" w:rsidP="00D8753A">
      <w:pPr>
        <w:pStyle w:val="CDIfootnotes"/>
        <w:rPr>
          <w:lang w:val="en-GB"/>
        </w:rPr>
      </w:pPr>
      <w:r>
        <w:rPr>
          <w:lang w:val="en-GB"/>
        </w:rPr>
        <w:t>b</w:t>
      </w:r>
      <w:r>
        <w:rPr>
          <w:lang w:val="en-GB"/>
        </w:rPr>
        <w:tab/>
        <w:t>Vaccination coverage estimates are calculated using three-month wide birth cohorts by quarter and may differ slightly from estimates published elsewhere using rolling annualised data.</w:t>
      </w:r>
    </w:p>
    <w:p w14:paraId="2D9859EB" w14:textId="77777777" w:rsidR="00D8753A" w:rsidRDefault="00D8753A" w:rsidP="00D8753A">
      <w:pPr>
        <w:pStyle w:val="CDIfootnotes"/>
        <w:rPr>
          <w:lang w:val="en-GB"/>
        </w:rPr>
      </w:pPr>
      <w:r>
        <w:rPr>
          <w:lang w:val="en-GB"/>
        </w:rPr>
        <w:t>c</w:t>
      </w:r>
      <w:r>
        <w:rPr>
          <w:lang w:val="en-GB"/>
        </w:rPr>
        <w:tab/>
        <w:t>Coverage algorithm before 1 July 2013.</w:t>
      </w:r>
    </w:p>
    <w:p w14:paraId="48BE67C9" w14:textId="77777777" w:rsidR="00D8753A" w:rsidRDefault="00D8753A" w:rsidP="00D8753A">
      <w:pPr>
        <w:pStyle w:val="CDIfootnotes"/>
        <w:rPr>
          <w:lang w:val="en-GB"/>
        </w:rPr>
      </w:pPr>
      <w:r>
        <w:rPr>
          <w:lang w:val="en-GB"/>
        </w:rPr>
        <w:t>d</w:t>
      </w:r>
      <w:r>
        <w:rPr>
          <w:lang w:val="en-GB"/>
        </w:rPr>
        <w:tab/>
        <w:t>Coverage algorithm from 1 July 2013.</w:t>
      </w:r>
    </w:p>
    <w:p w14:paraId="1B58D6EB" w14:textId="77777777" w:rsidR="009B3B71" w:rsidRDefault="009B3B71">
      <w:pPr>
        <w:rPr>
          <w:rStyle w:val="Strong"/>
          <w:lang w:val="en-GB"/>
        </w:rPr>
      </w:pPr>
      <w:r>
        <w:rPr>
          <w:rStyle w:val="Strong"/>
          <w:lang w:val="en-GB"/>
        </w:rPr>
        <w:br w:type="page"/>
      </w:r>
    </w:p>
    <w:p w14:paraId="4BA05493" w14:textId="67CF6B6B" w:rsidR="00D8753A" w:rsidRDefault="00D8753A" w:rsidP="00D8753A">
      <w:pPr>
        <w:pStyle w:val="NormalWeb"/>
        <w:rPr>
          <w:lang w:val="en-GB"/>
        </w:rPr>
      </w:pPr>
      <w:r>
        <w:rPr>
          <w:rStyle w:val="Strong"/>
          <w:lang w:val="en-GB"/>
        </w:rPr>
        <w:lastRenderedPageBreak/>
        <w:t>Figure A.6: Trends in ‘fully vaccinated’ coverage at 24 months of age by Indigenous status and quarter, Australia, 2011 to 2020</w:t>
      </w:r>
      <w:proofErr w:type="gramStart"/>
      <w:r>
        <w:rPr>
          <w:rStyle w:val="Strong"/>
          <w:vertAlign w:val="superscript"/>
          <w:lang w:val="en-GB"/>
        </w:rPr>
        <w:t>a,b</w:t>
      </w:r>
      <w:proofErr w:type="gramEnd"/>
    </w:p>
    <w:p w14:paraId="60D95AF9" w14:textId="554630AB" w:rsidR="00D8753A" w:rsidRDefault="009B3B71" w:rsidP="00160856">
      <w:pPr>
        <w:jc w:val="center"/>
        <w:rPr>
          <w:rFonts w:eastAsia="Times New Roman"/>
          <w:lang w:val="en-GB"/>
        </w:rPr>
      </w:pPr>
      <w:r>
        <w:rPr>
          <w:noProof/>
        </w:rPr>
        <w:drawing>
          <wp:inline distT="0" distB="0" distL="0" distR="0" wp14:anchorId="00C6053D" wp14:editId="166C51CE">
            <wp:extent cx="6114300" cy="4032512"/>
            <wp:effectExtent l="0" t="0" r="0" b="6350"/>
            <wp:docPr id="30" name="Picture 30" descr="Figure A6 compares ‘fully immunised’ vaccination coverage at 24 months of age for Indigenous children compared to non-Indigenous children. Following the amendment of the 24-month coverage algorithm in 2014 to include a 2nd dose of MMR vaccine, one dose of meningococcal C vaccine, and one dose of varicella vaccine, coverage had been considerably lower for Indigenous children until 2020 when the gap narrowed significantly, and was only 0.4 of a percentage point lower in December 2020."/>
            <wp:cNvGraphicFramePr/>
            <a:graphic xmlns:a="http://schemas.openxmlformats.org/drawingml/2006/main">
              <a:graphicData uri="http://schemas.openxmlformats.org/drawingml/2006/picture">
                <pic:pic xmlns:pic="http://schemas.openxmlformats.org/drawingml/2006/picture">
                  <pic:nvPicPr>
                    <pic:cNvPr id="30" name="Picture 30" descr="Figure A6 compares ‘fully immunised’ vaccination coverage at 24 months of age for Indigenous children compared to non-Indigenous children. Following the amendment of the 24-month coverage algorithm in 2014 to include a 2nd dose of MMR vaccine, one dose of meningococcal C vaccine, and one dose of varicella vaccine, coverage had been considerably lower for Indigenous children until 2020 when the gap narrowed significantly, and was only 0.4 of a percentage point lower in December 2020."/>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6114300" cy="4032512"/>
                    </a:xfrm>
                    <a:prstGeom prst="rect">
                      <a:avLst/>
                    </a:prstGeom>
                  </pic:spPr>
                </pic:pic>
              </a:graphicData>
            </a:graphic>
          </wp:inline>
        </w:drawing>
      </w:r>
    </w:p>
    <w:p w14:paraId="0D83FEEB" w14:textId="77777777" w:rsidR="00D8753A" w:rsidRDefault="00D8753A" w:rsidP="00D8753A">
      <w:pPr>
        <w:pStyle w:val="CDIfootnotes"/>
        <w:rPr>
          <w:lang w:val="en-GB"/>
        </w:rPr>
      </w:pPr>
      <w:r>
        <w:rPr>
          <w:lang w:val="en-GB"/>
        </w:rPr>
        <w:t>a</w:t>
      </w:r>
      <w:r>
        <w:rPr>
          <w:lang w:val="en-GB"/>
        </w:rPr>
        <w:tab/>
        <w:t xml:space="preserve">Source: Australian Immunisation Register, data as </w:t>
      </w:r>
      <w:proofErr w:type="gramStart"/>
      <w:r>
        <w:rPr>
          <w:lang w:val="en-GB"/>
        </w:rPr>
        <w:t>at</w:t>
      </w:r>
      <w:proofErr w:type="gramEnd"/>
      <w:r>
        <w:rPr>
          <w:lang w:val="en-GB"/>
        </w:rPr>
        <w:t xml:space="preserve"> 31 March 2021.</w:t>
      </w:r>
    </w:p>
    <w:p w14:paraId="1BD72589" w14:textId="77777777" w:rsidR="00D8753A" w:rsidRDefault="00D8753A" w:rsidP="00D8753A">
      <w:pPr>
        <w:pStyle w:val="CDIfootnotes"/>
        <w:rPr>
          <w:lang w:val="en-GB"/>
        </w:rPr>
      </w:pPr>
      <w:r>
        <w:rPr>
          <w:lang w:val="en-GB"/>
        </w:rPr>
        <w:t>b</w:t>
      </w:r>
      <w:r>
        <w:rPr>
          <w:lang w:val="en-GB"/>
        </w:rPr>
        <w:tab/>
        <w:t>Vaccination coverage estimates are calculated using three-month wide birth cohorts by quarter and may differ slightly from estimates published elsewhere using rolling annualised data.</w:t>
      </w:r>
    </w:p>
    <w:p w14:paraId="27C7BA09" w14:textId="77777777" w:rsidR="00D8753A" w:rsidRDefault="00D8753A" w:rsidP="00D8753A">
      <w:pPr>
        <w:pStyle w:val="CDIfootnotes"/>
        <w:rPr>
          <w:lang w:val="en-GB"/>
        </w:rPr>
      </w:pPr>
      <w:r>
        <w:rPr>
          <w:lang w:val="en-GB"/>
        </w:rPr>
        <w:t>c</w:t>
      </w:r>
      <w:r>
        <w:rPr>
          <w:lang w:val="en-GB"/>
        </w:rPr>
        <w:tab/>
        <w:t>Coverage algorithm before 1 July 2014.</w:t>
      </w:r>
    </w:p>
    <w:p w14:paraId="3438A6C3" w14:textId="77777777" w:rsidR="00D8753A" w:rsidRDefault="00D8753A" w:rsidP="00D8753A">
      <w:pPr>
        <w:pStyle w:val="CDIfootnotes"/>
        <w:rPr>
          <w:lang w:val="en-GB"/>
        </w:rPr>
      </w:pPr>
      <w:r>
        <w:rPr>
          <w:lang w:val="en-GB"/>
        </w:rPr>
        <w:t>d</w:t>
      </w:r>
      <w:r>
        <w:rPr>
          <w:lang w:val="en-GB"/>
        </w:rPr>
        <w:tab/>
        <w:t>Coverage algorithm from 1 July 2014.</w:t>
      </w:r>
    </w:p>
    <w:p w14:paraId="71A5333A" w14:textId="77777777" w:rsidR="009B3B71" w:rsidRDefault="009B3B71">
      <w:pPr>
        <w:rPr>
          <w:rStyle w:val="Strong"/>
          <w:lang w:val="en-GB"/>
        </w:rPr>
      </w:pPr>
      <w:r>
        <w:rPr>
          <w:rStyle w:val="Strong"/>
          <w:lang w:val="en-GB"/>
        </w:rPr>
        <w:br w:type="page"/>
      </w:r>
    </w:p>
    <w:p w14:paraId="7C626938" w14:textId="0EC9E00E" w:rsidR="00D8753A" w:rsidRDefault="00D8753A" w:rsidP="00D8753A">
      <w:pPr>
        <w:pStyle w:val="NormalWeb"/>
        <w:rPr>
          <w:lang w:val="en-GB"/>
        </w:rPr>
      </w:pPr>
      <w:r>
        <w:rPr>
          <w:rStyle w:val="Strong"/>
          <w:lang w:val="en-GB"/>
        </w:rPr>
        <w:lastRenderedPageBreak/>
        <w:t>Figure A.7: Trends in ‘fully vaccinated’ coverage at 60 months of age by Indigenous status and quarter, Australia, 2011 to 2020</w:t>
      </w:r>
      <w:proofErr w:type="gramStart"/>
      <w:r>
        <w:rPr>
          <w:rStyle w:val="Strong"/>
          <w:vertAlign w:val="superscript"/>
          <w:lang w:val="en-GB"/>
        </w:rPr>
        <w:t>a,b</w:t>
      </w:r>
      <w:proofErr w:type="gramEnd"/>
    </w:p>
    <w:p w14:paraId="666B7623" w14:textId="24E345E1" w:rsidR="00D8753A" w:rsidRDefault="009B3B71" w:rsidP="00160856">
      <w:pPr>
        <w:pStyle w:val="NormalWeb"/>
        <w:jc w:val="center"/>
        <w:rPr>
          <w:lang w:val="en-GB"/>
        </w:rPr>
      </w:pPr>
      <w:r>
        <w:rPr>
          <w:noProof/>
        </w:rPr>
        <w:drawing>
          <wp:inline distT="0" distB="0" distL="0" distR="0" wp14:anchorId="3DFC80DC" wp14:editId="548AF75E">
            <wp:extent cx="6108204" cy="4230633"/>
            <wp:effectExtent l="0" t="0" r="6985" b="0"/>
            <wp:docPr id="48" name="Picture 48" descr="Figure A7 compares ‘fully immunised’ vaccination coverage at 60 months of age for Indigenous children compared to non-Indigenous children. From 2011 to mid-2012 coverage for Indigenous children tracked several percentage points below coverage for non-Indigenous children. However, from late 2012 onwards, coverage for Indigenous children has been higher than for non-Indigenous children, reaching 1.7 percentage points higher in December 2020."/>
            <wp:cNvGraphicFramePr/>
            <a:graphic xmlns:a="http://schemas.openxmlformats.org/drawingml/2006/main">
              <a:graphicData uri="http://schemas.openxmlformats.org/drawingml/2006/picture">
                <pic:pic xmlns:pic="http://schemas.openxmlformats.org/drawingml/2006/picture">
                  <pic:nvPicPr>
                    <pic:cNvPr id="31" name="Picture 31" descr="Figure A7 compares ‘fully immunised’ vaccination coverage at 60 months of age for Indigenous children compared to non-Indigenous children. From 2011 to mid-2012 coverage for Indigenous children tracked several percentage points below coverage for non-Indigenous children. However, from late 2012 onwards, coverage for Indigenous children has been higher than for non-Indigenous children, reaching 1.7 percentage points higher in December 2020."/>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6108204" cy="4230633"/>
                    </a:xfrm>
                    <a:prstGeom prst="rect">
                      <a:avLst/>
                    </a:prstGeom>
                  </pic:spPr>
                </pic:pic>
              </a:graphicData>
            </a:graphic>
          </wp:inline>
        </w:drawing>
      </w:r>
    </w:p>
    <w:p w14:paraId="43A01307" w14:textId="77777777" w:rsidR="00D8753A" w:rsidRDefault="00D8753A" w:rsidP="00D8753A">
      <w:pPr>
        <w:pStyle w:val="CDIfootnotes"/>
        <w:rPr>
          <w:lang w:val="en-GB"/>
        </w:rPr>
      </w:pPr>
      <w:r>
        <w:rPr>
          <w:lang w:val="en-GB"/>
        </w:rPr>
        <w:t>a</w:t>
      </w:r>
      <w:r>
        <w:rPr>
          <w:lang w:val="en-GB"/>
        </w:rPr>
        <w:tab/>
        <w:t xml:space="preserve">Source: Australian Immunisation Register, data as </w:t>
      </w:r>
      <w:proofErr w:type="gramStart"/>
      <w:r>
        <w:rPr>
          <w:lang w:val="en-GB"/>
        </w:rPr>
        <w:t>at</w:t>
      </w:r>
      <w:proofErr w:type="gramEnd"/>
      <w:r>
        <w:rPr>
          <w:lang w:val="en-GB"/>
        </w:rPr>
        <w:t xml:space="preserve"> 31 March 2021.</w:t>
      </w:r>
    </w:p>
    <w:p w14:paraId="6F06C61D" w14:textId="77777777" w:rsidR="00D8753A" w:rsidRDefault="00D8753A" w:rsidP="00D8753A">
      <w:pPr>
        <w:pStyle w:val="CDIfootnotes"/>
        <w:rPr>
          <w:lang w:val="en-GB"/>
        </w:rPr>
      </w:pPr>
      <w:r>
        <w:rPr>
          <w:lang w:val="en-GB"/>
        </w:rPr>
        <w:t>b</w:t>
      </w:r>
      <w:r>
        <w:rPr>
          <w:lang w:val="en-GB"/>
        </w:rPr>
        <w:tab/>
        <w:t>Vaccination coverage estimates are calculated using three-month wide birth cohorts by quarter and may differ slightly from estimates published elsewhere using rolling annualised data.</w:t>
      </w:r>
    </w:p>
    <w:p w14:paraId="3141F27B" w14:textId="77777777" w:rsidR="009B3B71" w:rsidRDefault="009B3B71">
      <w:pPr>
        <w:rPr>
          <w:rStyle w:val="Strong"/>
          <w:lang w:val="en-GB"/>
        </w:rPr>
      </w:pPr>
      <w:r>
        <w:rPr>
          <w:rStyle w:val="Strong"/>
          <w:lang w:val="en-GB"/>
        </w:rPr>
        <w:br w:type="page"/>
      </w:r>
    </w:p>
    <w:p w14:paraId="71EB26D1" w14:textId="72473826" w:rsidR="00D8753A" w:rsidRDefault="00D8753A" w:rsidP="00D8753A">
      <w:pPr>
        <w:pStyle w:val="NormalWeb"/>
        <w:rPr>
          <w:lang w:val="en-GB"/>
        </w:rPr>
      </w:pPr>
      <w:r>
        <w:rPr>
          <w:rStyle w:val="Strong"/>
          <w:lang w:val="en-GB"/>
        </w:rPr>
        <w:lastRenderedPageBreak/>
        <w:t xml:space="preserve">Figure A.8: Trends in coverage estimates for hepatitis A </w:t>
      </w:r>
      <w:proofErr w:type="spellStart"/>
      <w:r>
        <w:rPr>
          <w:rStyle w:val="Strong"/>
          <w:lang w:val="en-GB"/>
        </w:rPr>
        <w:t>vaccine</w:t>
      </w:r>
      <w:r>
        <w:rPr>
          <w:rStyle w:val="Strong"/>
          <w:vertAlign w:val="superscript"/>
          <w:lang w:val="en-GB"/>
        </w:rPr>
        <w:t>a</w:t>
      </w:r>
      <w:proofErr w:type="spellEnd"/>
      <w:r>
        <w:rPr>
          <w:rStyle w:val="Strong"/>
          <w:lang w:val="en-GB"/>
        </w:rPr>
        <w:t xml:space="preserve"> for Indigenous children by jurisdiction, </w:t>
      </w:r>
      <w:proofErr w:type="spellStart"/>
      <w:proofErr w:type="gramStart"/>
      <w:r>
        <w:rPr>
          <w:rStyle w:val="Strong"/>
          <w:lang w:val="en-GB"/>
        </w:rPr>
        <w:t>Australia,</w:t>
      </w:r>
      <w:r>
        <w:rPr>
          <w:rStyle w:val="Strong"/>
          <w:vertAlign w:val="superscript"/>
          <w:lang w:val="en-GB"/>
        </w:rPr>
        <w:t>b</w:t>
      </w:r>
      <w:proofErr w:type="spellEnd"/>
      <w:proofErr w:type="gramEnd"/>
      <w:r>
        <w:rPr>
          <w:rStyle w:val="Strong"/>
          <w:lang w:val="en-GB"/>
        </w:rPr>
        <w:t xml:space="preserve"> 2011 to 2020</w:t>
      </w:r>
      <w:r>
        <w:rPr>
          <w:rStyle w:val="Strong"/>
          <w:vertAlign w:val="superscript"/>
          <w:lang w:val="en-GB"/>
        </w:rPr>
        <w:t>c,d</w:t>
      </w:r>
    </w:p>
    <w:p w14:paraId="653D097F" w14:textId="375B9E35" w:rsidR="00D8753A" w:rsidRDefault="009B3B71" w:rsidP="00160856">
      <w:pPr>
        <w:pStyle w:val="NormalWeb"/>
        <w:jc w:val="center"/>
        <w:rPr>
          <w:lang w:val="en-GB"/>
        </w:rPr>
      </w:pPr>
      <w:r>
        <w:rPr>
          <w:noProof/>
        </w:rPr>
        <w:drawing>
          <wp:inline distT="0" distB="0" distL="0" distR="0" wp14:anchorId="50D13058" wp14:editId="7240BF71">
            <wp:extent cx="6123444" cy="4255017"/>
            <wp:effectExtent l="0" t="0" r="0" b="0"/>
            <wp:docPr id="49" name="Picture 49" descr="Figure A8 shows trends in coverage estimates for hepatitis A vaccine for Indigenous children by jurisdiction from 2011 to 2020. Between March 2011 and December 2013, coverage of 2 doses of hepatitis A vaccine for Indigenous children by 30 months of age in Western Australia and the Northern Territory and 36 months of age in Queensland and South Australia increased from 30.5% to 60.1%. By the latter half of 2014, coverage increased to 62.9%, with all four jurisdictions assessing 2 doses at 30 months of age from July 2013. Further increases in coverage were seen in 2016-2018, with coverage plateauing during 2020 and reaching 72.7% across the Northern Territory, Queensland, South Australia and Western Australia in December 2020."/>
            <wp:cNvGraphicFramePr/>
            <a:graphic xmlns:a="http://schemas.openxmlformats.org/drawingml/2006/main">
              <a:graphicData uri="http://schemas.openxmlformats.org/drawingml/2006/picture">
                <pic:pic xmlns:pic="http://schemas.openxmlformats.org/drawingml/2006/picture">
                  <pic:nvPicPr>
                    <pic:cNvPr id="32" name="Picture 32" descr="Figure A8 shows trends in coverage estimates for hepatitis A vaccine for Indigenous children by jurisdiction from 2011 to 2020. Between March 2011 and December 2013, coverage of 2 doses of hepatitis A vaccine for Indigenous children by 30 months of age in Western Australia and the Northern Territory and 36 months of age in Queensland and South Australia increased from 30.5% to 60.1%. By the latter half of 2014, coverage increased to 62.9%, with all four jurisdictions assessing 2 doses at 30 months of age from July 2013. Further increases in coverage were seen in 2016-2018, with coverage plateauing during 2020 and reaching 72.7% across the Northern Territory, Queensland, South Australia and Western Australia in December 2020."/>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6123444" cy="4255017"/>
                    </a:xfrm>
                    <a:prstGeom prst="rect">
                      <a:avLst/>
                    </a:prstGeom>
                  </pic:spPr>
                </pic:pic>
              </a:graphicData>
            </a:graphic>
          </wp:inline>
        </w:drawing>
      </w:r>
    </w:p>
    <w:p w14:paraId="71A24ACA" w14:textId="77777777" w:rsidR="00D8753A" w:rsidRDefault="00D8753A" w:rsidP="00D8753A">
      <w:pPr>
        <w:pStyle w:val="CDIfootnotes"/>
      </w:pPr>
      <w:proofErr w:type="gramStart"/>
      <w:r>
        <w:t>a</w:t>
      </w:r>
      <w:proofErr w:type="gramEnd"/>
      <w:r>
        <w:tab/>
        <w:t>18-month dose assessed at 30 months of age in all four jurisdictions.</w:t>
      </w:r>
    </w:p>
    <w:p w14:paraId="7A1C18AC" w14:textId="77777777" w:rsidR="00D8753A" w:rsidRDefault="00D8753A" w:rsidP="00D8753A">
      <w:pPr>
        <w:pStyle w:val="CDIfootnotes"/>
      </w:pPr>
      <w:r>
        <w:t>b</w:t>
      </w:r>
      <w:r>
        <w:tab/>
        <w:t xml:space="preserve">Northern Territory (NT), Queensland (Qld), South Australia (SA) and Western Australia (WA) </w:t>
      </w:r>
      <w:proofErr w:type="gramStart"/>
      <w:r>
        <w:t>only;</w:t>
      </w:r>
      <w:proofErr w:type="gramEnd"/>
    </w:p>
    <w:p w14:paraId="22EB70E7" w14:textId="77777777" w:rsidR="00D8753A" w:rsidRDefault="00D8753A" w:rsidP="00D8753A">
      <w:pPr>
        <w:pStyle w:val="CDIfootnotes"/>
      </w:pPr>
      <w:r>
        <w:t>Aust. = Australia.</w:t>
      </w:r>
    </w:p>
    <w:p w14:paraId="3D570F7B" w14:textId="77777777" w:rsidR="00D8753A" w:rsidRDefault="00D8753A" w:rsidP="00D8753A">
      <w:pPr>
        <w:pStyle w:val="CDIfootnotes"/>
      </w:pPr>
      <w:r>
        <w:t>c</w:t>
      </w:r>
      <w:r>
        <w:tab/>
        <w:t xml:space="preserve">Source: Australian Immunisation Register, data as </w:t>
      </w:r>
      <w:proofErr w:type="gramStart"/>
      <w:r>
        <w:t>at</w:t>
      </w:r>
      <w:proofErr w:type="gramEnd"/>
      <w:r>
        <w:t xml:space="preserve"> 31 March 2021.</w:t>
      </w:r>
    </w:p>
    <w:p w14:paraId="4FF9B90D" w14:textId="77777777" w:rsidR="00D8753A" w:rsidRDefault="00D8753A" w:rsidP="00D8753A">
      <w:pPr>
        <w:pStyle w:val="CDIfootnotes"/>
      </w:pPr>
      <w:r>
        <w:t>d</w:t>
      </w:r>
      <w:r>
        <w:tab/>
        <w:t>Vaccination coverage estimates are calculated using three-month wide birth cohorts by quarter.</w:t>
      </w:r>
    </w:p>
    <w:p w14:paraId="092CD450" w14:textId="77777777" w:rsidR="00DB33D8" w:rsidRDefault="00DB33D8">
      <w:pPr>
        <w:rPr>
          <w:rStyle w:val="Strong"/>
          <w:lang w:val="en-GB"/>
        </w:rPr>
      </w:pPr>
      <w:r>
        <w:rPr>
          <w:rStyle w:val="Strong"/>
          <w:lang w:val="en-GB"/>
        </w:rPr>
        <w:br w:type="page"/>
      </w:r>
    </w:p>
    <w:p w14:paraId="3A3CF99F" w14:textId="015A7EBC" w:rsidR="00D8753A" w:rsidRDefault="00D8753A" w:rsidP="00D8753A">
      <w:pPr>
        <w:pStyle w:val="NormalWeb"/>
        <w:rPr>
          <w:lang w:val="en-GB"/>
        </w:rPr>
      </w:pPr>
      <w:r>
        <w:rPr>
          <w:rStyle w:val="Strong"/>
          <w:lang w:val="en-GB"/>
        </w:rPr>
        <w:lastRenderedPageBreak/>
        <w:t xml:space="preserve">Figure A.9: Trends in coverage estimates for pneumococcal </w:t>
      </w:r>
      <w:proofErr w:type="spellStart"/>
      <w:proofErr w:type="gramStart"/>
      <w:r>
        <w:rPr>
          <w:rStyle w:val="Strong"/>
          <w:lang w:val="en-GB"/>
        </w:rPr>
        <w:t>vaccine</w:t>
      </w:r>
      <w:r>
        <w:rPr>
          <w:rStyle w:val="Strong"/>
          <w:vertAlign w:val="superscript"/>
          <w:lang w:val="en-GB"/>
        </w:rPr>
        <w:t>a,b</w:t>
      </w:r>
      <w:proofErr w:type="spellEnd"/>
      <w:proofErr w:type="gramEnd"/>
      <w:r>
        <w:rPr>
          <w:rStyle w:val="Strong"/>
          <w:lang w:val="en-GB"/>
        </w:rPr>
        <w:t xml:space="preserve"> for Indigenous children by </w:t>
      </w:r>
      <w:proofErr w:type="spellStart"/>
      <w:r>
        <w:rPr>
          <w:rStyle w:val="Strong"/>
          <w:lang w:val="en-GB"/>
        </w:rPr>
        <w:t>jurisdiction,</w:t>
      </w:r>
      <w:r>
        <w:rPr>
          <w:rStyle w:val="Strong"/>
          <w:vertAlign w:val="superscript"/>
          <w:lang w:val="en-GB"/>
        </w:rPr>
        <w:t>c</w:t>
      </w:r>
      <w:proofErr w:type="spellEnd"/>
      <w:r>
        <w:rPr>
          <w:rStyle w:val="Strong"/>
          <w:vertAlign w:val="superscript"/>
          <w:lang w:val="en-GB"/>
        </w:rPr>
        <w:t xml:space="preserve"> </w:t>
      </w:r>
      <w:r>
        <w:rPr>
          <w:rStyle w:val="Strong"/>
          <w:lang w:val="en-GB"/>
        </w:rPr>
        <w:t>Australia, 2011 to 2020</w:t>
      </w:r>
      <w:r>
        <w:rPr>
          <w:rStyle w:val="Strong"/>
          <w:vertAlign w:val="superscript"/>
          <w:lang w:val="en-GB"/>
        </w:rPr>
        <w:t>d,e</w:t>
      </w:r>
    </w:p>
    <w:p w14:paraId="504110B1" w14:textId="48F7DDCF" w:rsidR="00D8753A" w:rsidRDefault="00DB33D8" w:rsidP="00160856">
      <w:pPr>
        <w:pStyle w:val="NormalWeb"/>
        <w:jc w:val="center"/>
        <w:rPr>
          <w:lang w:val="en-GB"/>
        </w:rPr>
      </w:pPr>
      <w:r>
        <w:rPr>
          <w:noProof/>
        </w:rPr>
        <w:drawing>
          <wp:inline distT="0" distB="0" distL="0" distR="0" wp14:anchorId="68051F0B" wp14:editId="38FD3A47">
            <wp:extent cx="6114300" cy="4258065"/>
            <wp:effectExtent l="0" t="0" r="1270" b="9525"/>
            <wp:docPr id="33" name="Picture 33" descr="Figure A9 shows trends in coverage estimates for pneumococcal vaccine for Indigenous children by jurisdiction from 2011 to 2020. Coverage gradually increased from 60.2% in March 2011 to 63.4% in December 2011. In 2012 coverage increased by 15 percentage points following the 13vPCV catch-up campaign that took place that year. However, coverage fell by 14 percentage points during 2013 but increased by 11 percentage points to 71% by the end of 2015. At the end of 2020 there was a large variation between jurisdictions in coverage for the booster dose of pneumococcal conjugate vaccine, from a low of 63.5% in South Australia to a high of 90.3% in the Northern Territory."/>
            <wp:cNvGraphicFramePr/>
            <a:graphic xmlns:a="http://schemas.openxmlformats.org/drawingml/2006/main">
              <a:graphicData uri="http://schemas.openxmlformats.org/drawingml/2006/picture">
                <pic:pic xmlns:pic="http://schemas.openxmlformats.org/drawingml/2006/picture">
                  <pic:nvPicPr>
                    <pic:cNvPr id="33" name="Picture 33" descr="Figure A9 shows trends in coverage estimates for pneumococcal vaccine for Indigenous children by jurisdiction from 2011 to 2020. Coverage gradually increased from 60.2% in March 2011 to 63.4% in December 2011. In 2012 coverage increased by 15 percentage points following the 13vPCV catch-up campaign that took place that year. However, coverage fell by 14 percentage points during 2013 but increased by 11 percentage points to 71% by the end of 2015. At the end of 2020 there was a large variation between jurisdictions in coverage for the booster dose of pneumococcal conjugate vaccine, from a low of 63.5% in South Australia to a high of 90.3% in the Northern Territory."/>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6114300" cy="4258065"/>
                    </a:xfrm>
                    <a:prstGeom prst="rect">
                      <a:avLst/>
                    </a:prstGeom>
                  </pic:spPr>
                </pic:pic>
              </a:graphicData>
            </a:graphic>
          </wp:inline>
        </w:drawing>
      </w:r>
    </w:p>
    <w:p w14:paraId="6B2A3E86" w14:textId="77777777" w:rsidR="00D8753A" w:rsidRDefault="00D8753A" w:rsidP="00D8753A">
      <w:pPr>
        <w:pStyle w:val="CDIfootnotes"/>
        <w:rPr>
          <w:lang w:val="en-GB"/>
        </w:rPr>
      </w:pPr>
      <w:r>
        <w:rPr>
          <w:lang w:val="en-GB"/>
        </w:rPr>
        <w:t>a</w:t>
      </w:r>
      <w:r>
        <w:rPr>
          <w:lang w:val="en-GB"/>
        </w:rPr>
        <w:tab/>
        <w:t>12-month booster dose assessed at 30 months of age in all four jurisdictions.</w:t>
      </w:r>
    </w:p>
    <w:p w14:paraId="4EAD8DEB" w14:textId="77777777" w:rsidR="00D8753A" w:rsidRDefault="00D8753A" w:rsidP="00D8753A">
      <w:pPr>
        <w:pStyle w:val="CDIfootnotes"/>
        <w:rPr>
          <w:lang w:val="en-GB"/>
        </w:rPr>
      </w:pPr>
      <w:r>
        <w:rPr>
          <w:lang w:val="en-GB"/>
        </w:rPr>
        <w:t>b</w:t>
      </w:r>
      <w:r>
        <w:rPr>
          <w:lang w:val="en-GB"/>
        </w:rPr>
        <w:tab/>
        <w:t>13vPCV = 13-valent pneumococcal conjugate vaccine.</w:t>
      </w:r>
    </w:p>
    <w:p w14:paraId="732A584B" w14:textId="77777777" w:rsidR="00D8753A" w:rsidRDefault="00D8753A" w:rsidP="00D8753A">
      <w:pPr>
        <w:pStyle w:val="CDIfootnotes"/>
        <w:rPr>
          <w:lang w:val="en-GB"/>
        </w:rPr>
      </w:pPr>
      <w:r>
        <w:rPr>
          <w:lang w:val="en-GB"/>
        </w:rPr>
        <w:t>c</w:t>
      </w:r>
      <w:r>
        <w:rPr>
          <w:lang w:val="en-GB"/>
        </w:rPr>
        <w:tab/>
        <w:t>Northern Territory (NT), Queensland (Qld), South Australia (SA) and Western Australia (WA) only; Aust. = Australia.</w:t>
      </w:r>
    </w:p>
    <w:p w14:paraId="3A8A32FA" w14:textId="77777777" w:rsidR="00D8753A" w:rsidRDefault="00D8753A" w:rsidP="00D8753A">
      <w:pPr>
        <w:pStyle w:val="CDIfootnotes"/>
        <w:rPr>
          <w:lang w:val="en-GB"/>
        </w:rPr>
      </w:pPr>
      <w:r>
        <w:rPr>
          <w:lang w:val="en-GB"/>
        </w:rPr>
        <w:t>d</w:t>
      </w:r>
      <w:r>
        <w:rPr>
          <w:lang w:val="en-GB"/>
        </w:rPr>
        <w:tab/>
        <w:t xml:space="preserve">Source: Australian Immunisation Register, data as </w:t>
      </w:r>
      <w:proofErr w:type="gramStart"/>
      <w:r>
        <w:rPr>
          <w:lang w:val="en-GB"/>
        </w:rPr>
        <w:t>at</w:t>
      </w:r>
      <w:proofErr w:type="gramEnd"/>
      <w:r>
        <w:rPr>
          <w:lang w:val="en-GB"/>
        </w:rPr>
        <w:t xml:space="preserve"> 31 March 2021.</w:t>
      </w:r>
    </w:p>
    <w:p w14:paraId="62D272DD" w14:textId="77777777" w:rsidR="00D8753A" w:rsidRDefault="00D8753A" w:rsidP="00D8753A">
      <w:pPr>
        <w:pStyle w:val="CDIfootnotes"/>
        <w:rPr>
          <w:lang w:val="en-GB"/>
        </w:rPr>
      </w:pPr>
      <w:r>
        <w:rPr>
          <w:lang w:val="en-GB"/>
        </w:rPr>
        <w:t>e</w:t>
      </w:r>
      <w:r>
        <w:rPr>
          <w:lang w:val="en-GB"/>
        </w:rPr>
        <w:tab/>
        <w:t>Vaccination coverage estimates are calculated using three-month wide birth cohorts by quarter.</w:t>
      </w:r>
    </w:p>
    <w:p w14:paraId="458C7EC1" w14:textId="77777777" w:rsidR="00DB33D8" w:rsidRDefault="00DB33D8">
      <w:pPr>
        <w:rPr>
          <w:rStyle w:val="Strong"/>
          <w:lang w:val="en-GB"/>
        </w:rPr>
      </w:pPr>
      <w:r>
        <w:rPr>
          <w:rStyle w:val="Strong"/>
          <w:lang w:val="en-GB"/>
        </w:rPr>
        <w:br w:type="page"/>
      </w:r>
    </w:p>
    <w:p w14:paraId="3E8D8484" w14:textId="69643D31" w:rsidR="00D8753A" w:rsidRDefault="00D8753A" w:rsidP="00D8753A">
      <w:pPr>
        <w:pStyle w:val="NormalWeb"/>
        <w:rPr>
          <w:lang w:val="en-GB"/>
        </w:rPr>
      </w:pPr>
      <w:r>
        <w:rPr>
          <w:rStyle w:val="Strong"/>
          <w:lang w:val="en-GB"/>
        </w:rPr>
        <w:lastRenderedPageBreak/>
        <w:t>Figure A.10: Proportion of vaccinations given to all persons by provider type and jurisdiction, Australia, 2020</w:t>
      </w:r>
      <w:r>
        <w:rPr>
          <w:rStyle w:val="Strong"/>
          <w:vertAlign w:val="superscript"/>
          <w:lang w:val="en-GB"/>
        </w:rPr>
        <w:t>a</w:t>
      </w:r>
    </w:p>
    <w:p w14:paraId="56219BEF" w14:textId="59032052" w:rsidR="00D8753A" w:rsidRDefault="00DB33D8" w:rsidP="00160856">
      <w:pPr>
        <w:pStyle w:val="NormalWeb"/>
        <w:jc w:val="center"/>
        <w:rPr>
          <w:lang w:val="en-GB"/>
        </w:rPr>
      </w:pPr>
      <w:r>
        <w:rPr>
          <w:noProof/>
        </w:rPr>
        <w:drawing>
          <wp:inline distT="0" distB="0" distL="0" distR="0" wp14:anchorId="67FBCB45" wp14:editId="65B182BE">
            <wp:extent cx="6111252" cy="4169672"/>
            <wp:effectExtent l="0" t="0" r="3810" b="2540"/>
            <wp:docPr id="34" name="Picture 34" descr="igure A.10 is a bar chart showing the proportion of vaccinations delivered in 2020 within each jurisdiction by the following provider types: general practitioner (GP); local government/council clinic; community health service; pharmacy; hospital; and Indigenous health service. Nationwide and within each jurisdiction except the Northern Territory, GPs account for a clear majority of vaccinations delivered in 2020, ranging from 69.5% in the Australian Capital Territory to 80.9% in Queensland, with local government/council clinics generally the second most prominent provider. Within the Northern Territory, although GPs still delivered the largest proportion of vaccinations (33.7%) by any catergory, large proportions of vaccines were also delivered by community health services (24.6% and Indigenous health services (23.3%). Nationwide, 77.4% of vaccinations were given by GPs, 11.4% by local government/council clinics, and 5.8% by pharmacies."/>
            <wp:cNvGraphicFramePr/>
            <a:graphic xmlns:a="http://schemas.openxmlformats.org/drawingml/2006/main">
              <a:graphicData uri="http://schemas.openxmlformats.org/drawingml/2006/picture">
                <pic:pic xmlns:pic="http://schemas.openxmlformats.org/drawingml/2006/picture">
                  <pic:nvPicPr>
                    <pic:cNvPr id="34" name="Picture 34" descr="igure A.10 is a bar chart showing the proportion of vaccinations delivered in 2020 within each jurisdiction by the following provider types: general practitioner (GP); local government/council clinic; community health service; pharmacy; hospital; and Indigenous health service. Nationwide and within each jurisdiction except the Northern Territory, GPs account for a clear majority of vaccinations delivered in 2020, ranging from 69.5% in the Australian Capital Territory to 80.9% in Queensland, with local government/council clinics generally the second most prominent provider. Within the Northern Territory, although GPs still delivered the largest proportion of vaccinations (33.7%) by any catergory, large proportions of vaccines were also delivered by community health services (24.6% and Indigenous health services (23.3%). Nationwide, 77.4% of vaccinations were given by GPs, 11.4% by local government/council clinics, and 5.8% by pharmacies."/>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6111252" cy="4169672"/>
                    </a:xfrm>
                    <a:prstGeom prst="rect">
                      <a:avLst/>
                    </a:prstGeom>
                  </pic:spPr>
                </pic:pic>
              </a:graphicData>
            </a:graphic>
          </wp:inline>
        </w:drawing>
      </w:r>
    </w:p>
    <w:p w14:paraId="626813D0" w14:textId="77777777" w:rsidR="00D8753A" w:rsidRDefault="00D8753A" w:rsidP="00D8753A">
      <w:pPr>
        <w:pStyle w:val="CDIfootnotes"/>
        <w:rPr>
          <w:lang w:val="en-GB"/>
        </w:rPr>
      </w:pPr>
      <w:r>
        <w:rPr>
          <w:lang w:val="en-GB"/>
        </w:rPr>
        <w:t>a</w:t>
      </w:r>
      <w:r>
        <w:rPr>
          <w:lang w:val="en-GB"/>
        </w:rPr>
        <w:tab/>
        <w:t xml:space="preserve">Source: Australian Immunisation Register, data as </w:t>
      </w:r>
      <w:proofErr w:type="gramStart"/>
      <w:r>
        <w:rPr>
          <w:lang w:val="en-GB"/>
        </w:rPr>
        <w:t>at</w:t>
      </w:r>
      <w:proofErr w:type="gramEnd"/>
      <w:r>
        <w:rPr>
          <w:lang w:val="en-GB"/>
        </w:rPr>
        <w:t xml:space="preserve"> 31 March 2021.</w:t>
      </w:r>
    </w:p>
    <w:p w14:paraId="4DCCF34B" w14:textId="77777777" w:rsidR="00D8753A" w:rsidRDefault="00D8753A" w:rsidP="00D8753A">
      <w:pPr>
        <w:pStyle w:val="CDIfootnotes"/>
        <w:rPr>
          <w:lang w:val="en-GB"/>
        </w:rPr>
      </w:pPr>
      <w:r>
        <w:rPr>
          <w:lang w:val="en-GB"/>
        </w:rPr>
        <w:t>b</w:t>
      </w:r>
      <w:r>
        <w:rPr>
          <w:lang w:val="en-GB"/>
        </w:rPr>
        <w:tab/>
        <w:t>Includes public health units and state/territory health departments.</w:t>
      </w:r>
    </w:p>
    <w:p w14:paraId="4A9E7131" w14:textId="77777777" w:rsidR="00D8753A" w:rsidRDefault="00D8753A" w:rsidP="00D8753A">
      <w:pPr>
        <w:rPr>
          <w:rStyle w:val="Strong"/>
        </w:rPr>
      </w:pPr>
      <w:r>
        <w:rPr>
          <w:b/>
          <w:bCs/>
          <w:lang w:val="en-GB"/>
        </w:rPr>
        <w:br w:type="page"/>
      </w:r>
    </w:p>
    <w:p w14:paraId="3B6942B0" w14:textId="77777777" w:rsidR="00D8753A" w:rsidRDefault="00D8753A" w:rsidP="00D8753A">
      <w:pPr>
        <w:spacing w:after="0"/>
        <w:rPr>
          <w:rStyle w:val="Strong"/>
          <w:lang w:val="en-GB"/>
        </w:rPr>
        <w:sectPr w:rsidR="00D8753A">
          <w:footerReference w:type="default" r:id="rId43"/>
          <w:footnotePr>
            <w:numFmt w:val="lowerRoman"/>
          </w:footnotePr>
          <w:pgSz w:w="11906" w:h="16838"/>
          <w:pgMar w:top="720" w:right="720" w:bottom="1134" w:left="720" w:header="709" w:footer="284" w:gutter="0"/>
          <w:cols w:space="720"/>
        </w:sectPr>
      </w:pPr>
    </w:p>
    <w:p w14:paraId="50302444" w14:textId="77777777" w:rsidR="00D8753A" w:rsidRDefault="00D8753A" w:rsidP="00D8753A">
      <w:pPr>
        <w:pStyle w:val="NormalWeb"/>
      </w:pPr>
      <w:r>
        <w:rPr>
          <w:rStyle w:val="Strong"/>
          <w:lang w:val="en-GB"/>
        </w:rPr>
        <w:lastRenderedPageBreak/>
        <w:t xml:space="preserve">Table A.3: Recorded coverage of seasonal influenza </w:t>
      </w:r>
      <w:proofErr w:type="spellStart"/>
      <w:r>
        <w:rPr>
          <w:rStyle w:val="Strong"/>
          <w:lang w:val="en-GB"/>
        </w:rPr>
        <w:t>vaccine</w:t>
      </w:r>
      <w:r>
        <w:rPr>
          <w:rStyle w:val="Strong"/>
          <w:vertAlign w:val="superscript"/>
          <w:lang w:val="en-GB"/>
        </w:rPr>
        <w:t>a</w:t>
      </w:r>
      <w:proofErr w:type="spellEnd"/>
      <w:r>
        <w:rPr>
          <w:rStyle w:val="Strong"/>
          <w:lang w:val="en-GB"/>
        </w:rPr>
        <w:t xml:space="preserve"> by age group, jurisdictions, Indigenous </w:t>
      </w:r>
      <w:proofErr w:type="gramStart"/>
      <w:r>
        <w:rPr>
          <w:rStyle w:val="Strong"/>
          <w:lang w:val="en-GB"/>
        </w:rPr>
        <w:t>persons</w:t>
      </w:r>
      <w:proofErr w:type="gramEnd"/>
      <w:r>
        <w:rPr>
          <w:rStyle w:val="Strong"/>
          <w:lang w:val="en-GB"/>
        </w:rPr>
        <w:t xml:space="preserve"> and all persons, 2020, </w:t>
      </w:r>
      <w:proofErr w:type="spellStart"/>
      <w:r>
        <w:rPr>
          <w:rStyle w:val="Strong"/>
          <w:lang w:val="en-GB"/>
        </w:rPr>
        <w:t>Australia</w:t>
      </w:r>
      <w:r>
        <w:rPr>
          <w:rStyle w:val="Strong"/>
          <w:vertAlign w:val="superscript"/>
          <w:lang w:val="en-GB"/>
        </w:rPr>
        <w:t>b</w:t>
      </w:r>
      <w:proofErr w:type="spellEnd"/>
    </w:p>
    <w:tbl>
      <w:tblPr>
        <w:tblStyle w:val="CDI-StandardTable"/>
        <w:tblW w:w="14947" w:type="dxa"/>
        <w:tblCellMar>
          <w:top w:w="113" w:type="dxa"/>
          <w:left w:w="113" w:type="dxa"/>
          <w:bottom w:w="113" w:type="dxa"/>
          <w:right w:w="113" w:type="dxa"/>
        </w:tblCellMar>
        <w:tblLook w:val="04A0" w:firstRow="1" w:lastRow="0" w:firstColumn="1" w:lastColumn="0" w:noHBand="0" w:noVBand="1"/>
        <w:tblDescription w:val="Table A3 presents recorded coverage of seasonal influenza vaccine by age group, State / Territory, Indigenous persons and all persons in 2020 for Australia.&#10;"/>
      </w:tblPr>
      <w:tblGrid>
        <w:gridCol w:w="1311"/>
        <w:gridCol w:w="548"/>
        <w:gridCol w:w="1114"/>
        <w:gridCol w:w="664"/>
        <w:gridCol w:w="1050"/>
        <w:gridCol w:w="660"/>
        <w:gridCol w:w="1050"/>
        <w:gridCol w:w="72"/>
        <w:gridCol w:w="588"/>
        <w:gridCol w:w="1050"/>
        <w:gridCol w:w="660"/>
        <w:gridCol w:w="1050"/>
        <w:gridCol w:w="660"/>
        <w:gridCol w:w="1050"/>
        <w:gridCol w:w="660"/>
        <w:gridCol w:w="1050"/>
        <w:gridCol w:w="660"/>
        <w:gridCol w:w="1050"/>
      </w:tblGrid>
      <w:tr w:rsidR="00D8753A" w14:paraId="65E1DC83" w14:textId="77777777" w:rsidTr="00D8753A">
        <w:trPr>
          <w:cnfStyle w:val="100000000000" w:firstRow="1" w:lastRow="0" w:firstColumn="0" w:lastColumn="0" w:oddVBand="0" w:evenVBand="0" w:oddHBand="0" w:evenHBand="0" w:firstRowFirstColumn="0" w:firstRowLastColumn="0" w:lastRowFirstColumn="0" w:lastRowLastColumn="0"/>
          <w:tblHeader/>
        </w:trPr>
        <w:tc>
          <w:tcPr>
            <w:tcW w:w="1418" w:type="dxa"/>
            <w:vMerge w:val="restart"/>
            <w:tcBorders>
              <w:top w:val="nil"/>
              <w:left w:val="nil"/>
              <w:bottom w:val="nil"/>
            </w:tcBorders>
            <w:hideMark/>
          </w:tcPr>
          <w:p w14:paraId="61EC25BC" w14:textId="77777777" w:rsidR="00D8753A" w:rsidRDefault="00D8753A">
            <w:pPr>
              <w:pStyle w:val="NormalWeb"/>
              <w:rPr>
                <w:sz w:val="18"/>
                <w:szCs w:val="18"/>
              </w:rPr>
            </w:pPr>
            <w:r>
              <w:rPr>
                <w:sz w:val="18"/>
                <w:szCs w:val="18"/>
              </w:rPr>
              <w:t>Age group</w:t>
            </w:r>
          </w:p>
        </w:tc>
        <w:tc>
          <w:tcPr>
            <w:tcW w:w="13529" w:type="dxa"/>
            <w:gridSpan w:val="17"/>
            <w:tcBorders>
              <w:top w:val="nil"/>
              <w:right w:val="nil"/>
            </w:tcBorders>
            <w:hideMark/>
          </w:tcPr>
          <w:p w14:paraId="3B707FC1" w14:textId="77777777" w:rsidR="00D8753A" w:rsidRDefault="00D8753A">
            <w:pPr>
              <w:pStyle w:val="NormalWeb"/>
              <w:rPr>
                <w:sz w:val="18"/>
                <w:szCs w:val="18"/>
              </w:rPr>
            </w:pPr>
            <w:proofErr w:type="spellStart"/>
            <w:r>
              <w:rPr>
                <w:sz w:val="18"/>
                <w:szCs w:val="18"/>
              </w:rPr>
              <w:t>Jurisdiction</w:t>
            </w:r>
            <w:r>
              <w:rPr>
                <w:sz w:val="18"/>
                <w:szCs w:val="18"/>
                <w:vertAlign w:val="superscript"/>
              </w:rPr>
              <w:t>c</w:t>
            </w:r>
            <w:proofErr w:type="spellEnd"/>
          </w:p>
        </w:tc>
      </w:tr>
      <w:tr w:rsidR="00D8753A" w14:paraId="6B4C0C18" w14:textId="77777777" w:rsidTr="00D8753A">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nil"/>
              <w:left w:val="nil"/>
              <w:bottom w:val="nil"/>
            </w:tcBorders>
            <w:hideMark/>
          </w:tcPr>
          <w:p w14:paraId="24D57FC8" w14:textId="77777777" w:rsidR="00D8753A" w:rsidRDefault="00D8753A">
            <w:pPr>
              <w:rPr>
                <w:sz w:val="18"/>
                <w:szCs w:val="18"/>
              </w:rPr>
            </w:pPr>
          </w:p>
        </w:tc>
        <w:tc>
          <w:tcPr>
            <w:tcW w:w="1427" w:type="dxa"/>
            <w:gridSpan w:val="2"/>
            <w:hideMark/>
          </w:tcPr>
          <w:p w14:paraId="2D93EE9A" w14:textId="77777777" w:rsidR="00D8753A" w:rsidRDefault="00D8753A">
            <w:pPr>
              <w:pStyle w:val="NormalWeb"/>
              <w:rPr>
                <w:sz w:val="18"/>
                <w:szCs w:val="18"/>
              </w:rPr>
            </w:pPr>
            <w:r>
              <w:rPr>
                <w:sz w:val="18"/>
                <w:szCs w:val="18"/>
              </w:rPr>
              <w:t>ACT</w:t>
            </w:r>
          </w:p>
        </w:tc>
        <w:tc>
          <w:tcPr>
            <w:tcW w:w="1734" w:type="dxa"/>
            <w:gridSpan w:val="2"/>
            <w:hideMark/>
          </w:tcPr>
          <w:p w14:paraId="1F3566B5" w14:textId="77777777" w:rsidR="00D8753A" w:rsidRDefault="00D8753A">
            <w:pPr>
              <w:pStyle w:val="NormalWeb"/>
              <w:rPr>
                <w:sz w:val="18"/>
                <w:szCs w:val="18"/>
              </w:rPr>
            </w:pPr>
            <w:r>
              <w:rPr>
                <w:sz w:val="18"/>
                <w:szCs w:val="18"/>
              </w:rPr>
              <w:t>NSW</w:t>
            </w:r>
          </w:p>
        </w:tc>
        <w:tc>
          <w:tcPr>
            <w:tcW w:w="1800" w:type="dxa"/>
            <w:gridSpan w:val="3"/>
            <w:hideMark/>
          </w:tcPr>
          <w:p w14:paraId="5EB202A5" w14:textId="77777777" w:rsidR="00D8753A" w:rsidRDefault="00D8753A">
            <w:pPr>
              <w:pStyle w:val="NormalWeb"/>
              <w:rPr>
                <w:sz w:val="18"/>
                <w:szCs w:val="18"/>
              </w:rPr>
            </w:pPr>
            <w:r>
              <w:rPr>
                <w:sz w:val="18"/>
                <w:szCs w:val="18"/>
              </w:rPr>
              <w:t>NT</w:t>
            </w:r>
          </w:p>
        </w:tc>
        <w:tc>
          <w:tcPr>
            <w:tcW w:w="1656" w:type="dxa"/>
            <w:gridSpan w:val="2"/>
            <w:hideMark/>
          </w:tcPr>
          <w:p w14:paraId="6E1C6C6C" w14:textId="77777777" w:rsidR="00D8753A" w:rsidRDefault="00D8753A">
            <w:pPr>
              <w:pStyle w:val="NormalWeb"/>
              <w:rPr>
                <w:sz w:val="18"/>
                <w:szCs w:val="18"/>
              </w:rPr>
            </w:pPr>
            <w:r>
              <w:rPr>
                <w:sz w:val="18"/>
                <w:szCs w:val="18"/>
              </w:rPr>
              <w:t>Qld</w:t>
            </w:r>
          </w:p>
        </w:tc>
        <w:tc>
          <w:tcPr>
            <w:tcW w:w="1728" w:type="dxa"/>
            <w:gridSpan w:val="2"/>
            <w:hideMark/>
          </w:tcPr>
          <w:p w14:paraId="53786E6F" w14:textId="77777777" w:rsidR="00D8753A" w:rsidRDefault="00D8753A">
            <w:pPr>
              <w:pStyle w:val="NormalWeb"/>
              <w:rPr>
                <w:sz w:val="18"/>
                <w:szCs w:val="18"/>
              </w:rPr>
            </w:pPr>
            <w:r>
              <w:rPr>
                <w:sz w:val="18"/>
                <w:szCs w:val="18"/>
              </w:rPr>
              <w:t>SA</w:t>
            </w:r>
          </w:p>
        </w:tc>
        <w:tc>
          <w:tcPr>
            <w:tcW w:w="1728" w:type="dxa"/>
            <w:gridSpan w:val="2"/>
            <w:hideMark/>
          </w:tcPr>
          <w:p w14:paraId="4E317443" w14:textId="77777777" w:rsidR="00D8753A" w:rsidRDefault="00D8753A">
            <w:pPr>
              <w:pStyle w:val="NormalWeb"/>
              <w:rPr>
                <w:sz w:val="18"/>
                <w:szCs w:val="18"/>
              </w:rPr>
            </w:pPr>
            <w:r>
              <w:rPr>
                <w:sz w:val="18"/>
                <w:szCs w:val="18"/>
              </w:rPr>
              <w:t>Tas.</w:t>
            </w:r>
          </w:p>
        </w:tc>
        <w:tc>
          <w:tcPr>
            <w:tcW w:w="1728" w:type="dxa"/>
            <w:gridSpan w:val="2"/>
            <w:hideMark/>
          </w:tcPr>
          <w:p w14:paraId="5A46034F" w14:textId="77777777" w:rsidR="00D8753A" w:rsidRDefault="00D8753A">
            <w:pPr>
              <w:pStyle w:val="NormalWeb"/>
              <w:rPr>
                <w:sz w:val="18"/>
                <w:szCs w:val="18"/>
              </w:rPr>
            </w:pPr>
            <w:r>
              <w:rPr>
                <w:sz w:val="18"/>
                <w:szCs w:val="18"/>
              </w:rPr>
              <w:t>Vic.</w:t>
            </w:r>
          </w:p>
        </w:tc>
        <w:tc>
          <w:tcPr>
            <w:tcW w:w="1728" w:type="dxa"/>
            <w:gridSpan w:val="2"/>
            <w:tcBorders>
              <w:right w:val="nil"/>
            </w:tcBorders>
            <w:hideMark/>
          </w:tcPr>
          <w:p w14:paraId="4AF9C6CA" w14:textId="77777777" w:rsidR="00D8753A" w:rsidRDefault="00D8753A">
            <w:pPr>
              <w:pStyle w:val="NormalWeb"/>
              <w:rPr>
                <w:sz w:val="18"/>
                <w:szCs w:val="18"/>
              </w:rPr>
            </w:pPr>
            <w:r>
              <w:rPr>
                <w:sz w:val="18"/>
                <w:szCs w:val="18"/>
              </w:rPr>
              <w:t>WA</w:t>
            </w:r>
          </w:p>
        </w:tc>
      </w:tr>
      <w:tr w:rsidR="00D8753A" w14:paraId="65CA1B14" w14:textId="77777777" w:rsidTr="00D8753A">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nil"/>
              <w:left w:val="nil"/>
              <w:bottom w:val="nil"/>
            </w:tcBorders>
            <w:hideMark/>
          </w:tcPr>
          <w:p w14:paraId="5F78F751" w14:textId="77777777" w:rsidR="00D8753A" w:rsidRDefault="00D8753A">
            <w:pPr>
              <w:rPr>
                <w:sz w:val="18"/>
                <w:szCs w:val="18"/>
              </w:rPr>
            </w:pPr>
          </w:p>
        </w:tc>
        <w:tc>
          <w:tcPr>
            <w:tcW w:w="313" w:type="dxa"/>
            <w:tcBorders>
              <w:bottom w:val="nil"/>
            </w:tcBorders>
            <w:hideMark/>
          </w:tcPr>
          <w:p w14:paraId="3EB4CF58" w14:textId="77777777" w:rsidR="00D8753A" w:rsidRDefault="00D8753A">
            <w:pPr>
              <w:pStyle w:val="NormalWeb"/>
              <w:rPr>
                <w:sz w:val="18"/>
                <w:szCs w:val="18"/>
              </w:rPr>
            </w:pPr>
            <w:r>
              <w:rPr>
                <w:sz w:val="18"/>
                <w:szCs w:val="18"/>
              </w:rPr>
              <w:t>All</w:t>
            </w:r>
          </w:p>
        </w:tc>
        <w:tc>
          <w:tcPr>
            <w:tcW w:w="1114" w:type="dxa"/>
            <w:tcBorders>
              <w:bottom w:val="nil"/>
            </w:tcBorders>
            <w:hideMark/>
          </w:tcPr>
          <w:p w14:paraId="3983328B" w14:textId="77777777" w:rsidR="00D8753A" w:rsidRDefault="00D8753A">
            <w:pPr>
              <w:pStyle w:val="NormalWeb"/>
              <w:rPr>
                <w:sz w:val="18"/>
                <w:szCs w:val="18"/>
              </w:rPr>
            </w:pPr>
            <w:proofErr w:type="spellStart"/>
            <w:r>
              <w:rPr>
                <w:sz w:val="18"/>
                <w:szCs w:val="18"/>
              </w:rPr>
              <w:t>Indigenous</w:t>
            </w:r>
            <w:r>
              <w:rPr>
                <w:sz w:val="18"/>
                <w:szCs w:val="18"/>
                <w:vertAlign w:val="superscript"/>
              </w:rPr>
              <w:t>d</w:t>
            </w:r>
            <w:proofErr w:type="spellEnd"/>
          </w:p>
        </w:tc>
        <w:tc>
          <w:tcPr>
            <w:tcW w:w="684" w:type="dxa"/>
            <w:tcBorders>
              <w:bottom w:val="nil"/>
            </w:tcBorders>
            <w:hideMark/>
          </w:tcPr>
          <w:p w14:paraId="7936D496" w14:textId="77777777" w:rsidR="00D8753A" w:rsidRDefault="00D8753A">
            <w:pPr>
              <w:pStyle w:val="NormalWeb"/>
              <w:rPr>
                <w:sz w:val="18"/>
                <w:szCs w:val="18"/>
              </w:rPr>
            </w:pPr>
            <w:r>
              <w:rPr>
                <w:sz w:val="18"/>
                <w:szCs w:val="18"/>
              </w:rPr>
              <w:t>All</w:t>
            </w:r>
          </w:p>
        </w:tc>
        <w:tc>
          <w:tcPr>
            <w:tcW w:w="1050" w:type="dxa"/>
            <w:tcBorders>
              <w:bottom w:val="nil"/>
            </w:tcBorders>
            <w:hideMark/>
          </w:tcPr>
          <w:p w14:paraId="47867361" w14:textId="77777777" w:rsidR="00D8753A" w:rsidRDefault="00D8753A">
            <w:pPr>
              <w:pStyle w:val="NormalWeb"/>
              <w:rPr>
                <w:sz w:val="18"/>
                <w:szCs w:val="18"/>
              </w:rPr>
            </w:pPr>
            <w:r>
              <w:rPr>
                <w:sz w:val="18"/>
                <w:szCs w:val="18"/>
              </w:rPr>
              <w:t>Indigenous</w:t>
            </w:r>
          </w:p>
        </w:tc>
        <w:tc>
          <w:tcPr>
            <w:tcW w:w="678" w:type="dxa"/>
            <w:tcBorders>
              <w:bottom w:val="nil"/>
            </w:tcBorders>
            <w:hideMark/>
          </w:tcPr>
          <w:p w14:paraId="0C0537DE" w14:textId="77777777" w:rsidR="00D8753A" w:rsidRDefault="00D8753A">
            <w:pPr>
              <w:pStyle w:val="NormalWeb"/>
              <w:rPr>
                <w:sz w:val="18"/>
                <w:szCs w:val="18"/>
              </w:rPr>
            </w:pPr>
            <w:r>
              <w:rPr>
                <w:sz w:val="18"/>
                <w:szCs w:val="18"/>
              </w:rPr>
              <w:t>All</w:t>
            </w:r>
          </w:p>
        </w:tc>
        <w:tc>
          <w:tcPr>
            <w:tcW w:w="1050" w:type="dxa"/>
            <w:tcBorders>
              <w:bottom w:val="nil"/>
            </w:tcBorders>
            <w:hideMark/>
          </w:tcPr>
          <w:p w14:paraId="3F3CFB24" w14:textId="77777777" w:rsidR="00D8753A" w:rsidRDefault="00D8753A">
            <w:pPr>
              <w:pStyle w:val="NormalWeb"/>
              <w:rPr>
                <w:sz w:val="18"/>
                <w:szCs w:val="18"/>
              </w:rPr>
            </w:pPr>
            <w:r>
              <w:rPr>
                <w:sz w:val="18"/>
                <w:szCs w:val="18"/>
              </w:rPr>
              <w:t>Indigenous</w:t>
            </w:r>
          </w:p>
        </w:tc>
        <w:tc>
          <w:tcPr>
            <w:tcW w:w="678" w:type="dxa"/>
            <w:gridSpan w:val="2"/>
            <w:tcBorders>
              <w:bottom w:val="nil"/>
            </w:tcBorders>
            <w:hideMark/>
          </w:tcPr>
          <w:p w14:paraId="217B7676" w14:textId="77777777" w:rsidR="00D8753A" w:rsidRDefault="00D8753A">
            <w:pPr>
              <w:pStyle w:val="NormalWeb"/>
              <w:rPr>
                <w:sz w:val="18"/>
                <w:szCs w:val="18"/>
              </w:rPr>
            </w:pPr>
            <w:r>
              <w:rPr>
                <w:sz w:val="18"/>
                <w:szCs w:val="18"/>
              </w:rPr>
              <w:t>All</w:t>
            </w:r>
          </w:p>
        </w:tc>
        <w:tc>
          <w:tcPr>
            <w:tcW w:w="1050" w:type="dxa"/>
            <w:tcBorders>
              <w:bottom w:val="nil"/>
            </w:tcBorders>
            <w:hideMark/>
          </w:tcPr>
          <w:p w14:paraId="187C534D" w14:textId="77777777" w:rsidR="00D8753A" w:rsidRDefault="00D8753A">
            <w:pPr>
              <w:pStyle w:val="NormalWeb"/>
              <w:rPr>
                <w:sz w:val="18"/>
                <w:szCs w:val="18"/>
              </w:rPr>
            </w:pPr>
            <w:r>
              <w:rPr>
                <w:sz w:val="18"/>
                <w:szCs w:val="18"/>
              </w:rPr>
              <w:t>Indigenous</w:t>
            </w:r>
          </w:p>
        </w:tc>
        <w:tc>
          <w:tcPr>
            <w:tcW w:w="678" w:type="dxa"/>
            <w:tcBorders>
              <w:bottom w:val="nil"/>
            </w:tcBorders>
            <w:hideMark/>
          </w:tcPr>
          <w:p w14:paraId="749480EB" w14:textId="77777777" w:rsidR="00D8753A" w:rsidRDefault="00D8753A">
            <w:pPr>
              <w:pStyle w:val="NormalWeb"/>
              <w:rPr>
                <w:sz w:val="18"/>
                <w:szCs w:val="18"/>
              </w:rPr>
            </w:pPr>
            <w:r>
              <w:rPr>
                <w:sz w:val="18"/>
                <w:szCs w:val="18"/>
              </w:rPr>
              <w:t>All</w:t>
            </w:r>
          </w:p>
        </w:tc>
        <w:tc>
          <w:tcPr>
            <w:tcW w:w="1050" w:type="dxa"/>
            <w:tcBorders>
              <w:bottom w:val="nil"/>
            </w:tcBorders>
            <w:hideMark/>
          </w:tcPr>
          <w:p w14:paraId="0022B04F" w14:textId="77777777" w:rsidR="00D8753A" w:rsidRDefault="00D8753A">
            <w:pPr>
              <w:pStyle w:val="NormalWeb"/>
              <w:rPr>
                <w:sz w:val="18"/>
                <w:szCs w:val="18"/>
              </w:rPr>
            </w:pPr>
            <w:r>
              <w:rPr>
                <w:sz w:val="18"/>
                <w:szCs w:val="18"/>
              </w:rPr>
              <w:t>Indigenous</w:t>
            </w:r>
          </w:p>
        </w:tc>
        <w:tc>
          <w:tcPr>
            <w:tcW w:w="678" w:type="dxa"/>
            <w:tcBorders>
              <w:bottom w:val="nil"/>
            </w:tcBorders>
            <w:hideMark/>
          </w:tcPr>
          <w:p w14:paraId="4DD280C5" w14:textId="77777777" w:rsidR="00D8753A" w:rsidRDefault="00D8753A">
            <w:pPr>
              <w:pStyle w:val="NormalWeb"/>
              <w:rPr>
                <w:sz w:val="18"/>
                <w:szCs w:val="18"/>
              </w:rPr>
            </w:pPr>
            <w:r>
              <w:rPr>
                <w:sz w:val="18"/>
                <w:szCs w:val="18"/>
              </w:rPr>
              <w:t>All</w:t>
            </w:r>
          </w:p>
        </w:tc>
        <w:tc>
          <w:tcPr>
            <w:tcW w:w="1050" w:type="dxa"/>
            <w:tcBorders>
              <w:bottom w:val="nil"/>
            </w:tcBorders>
            <w:hideMark/>
          </w:tcPr>
          <w:p w14:paraId="1FA2D6A5" w14:textId="77777777" w:rsidR="00D8753A" w:rsidRDefault="00D8753A">
            <w:pPr>
              <w:pStyle w:val="NormalWeb"/>
              <w:rPr>
                <w:sz w:val="18"/>
                <w:szCs w:val="18"/>
              </w:rPr>
            </w:pPr>
            <w:r>
              <w:rPr>
                <w:sz w:val="18"/>
                <w:szCs w:val="18"/>
              </w:rPr>
              <w:t>Indigenous</w:t>
            </w:r>
          </w:p>
        </w:tc>
        <w:tc>
          <w:tcPr>
            <w:tcW w:w="678" w:type="dxa"/>
            <w:tcBorders>
              <w:bottom w:val="nil"/>
            </w:tcBorders>
            <w:hideMark/>
          </w:tcPr>
          <w:p w14:paraId="451127F8" w14:textId="77777777" w:rsidR="00D8753A" w:rsidRDefault="00D8753A">
            <w:pPr>
              <w:pStyle w:val="NormalWeb"/>
              <w:rPr>
                <w:sz w:val="18"/>
                <w:szCs w:val="18"/>
              </w:rPr>
            </w:pPr>
            <w:r>
              <w:rPr>
                <w:sz w:val="18"/>
                <w:szCs w:val="18"/>
              </w:rPr>
              <w:t>All</w:t>
            </w:r>
          </w:p>
        </w:tc>
        <w:tc>
          <w:tcPr>
            <w:tcW w:w="1050" w:type="dxa"/>
            <w:tcBorders>
              <w:bottom w:val="nil"/>
            </w:tcBorders>
            <w:hideMark/>
          </w:tcPr>
          <w:p w14:paraId="3E373F7E" w14:textId="77777777" w:rsidR="00D8753A" w:rsidRDefault="00D8753A">
            <w:pPr>
              <w:pStyle w:val="NormalWeb"/>
              <w:rPr>
                <w:sz w:val="18"/>
                <w:szCs w:val="18"/>
              </w:rPr>
            </w:pPr>
            <w:r>
              <w:rPr>
                <w:sz w:val="18"/>
                <w:szCs w:val="18"/>
              </w:rPr>
              <w:t>Indigenous</w:t>
            </w:r>
          </w:p>
        </w:tc>
        <w:tc>
          <w:tcPr>
            <w:tcW w:w="678" w:type="dxa"/>
            <w:tcBorders>
              <w:bottom w:val="nil"/>
            </w:tcBorders>
            <w:hideMark/>
          </w:tcPr>
          <w:p w14:paraId="688B9BEA" w14:textId="77777777" w:rsidR="00D8753A" w:rsidRDefault="00D8753A">
            <w:pPr>
              <w:pStyle w:val="NormalWeb"/>
              <w:rPr>
                <w:sz w:val="18"/>
                <w:szCs w:val="18"/>
              </w:rPr>
            </w:pPr>
            <w:r>
              <w:rPr>
                <w:sz w:val="18"/>
                <w:szCs w:val="18"/>
              </w:rPr>
              <w:t>All</w:t>
            </w:r>
          </w:p>
        </w:tc>
        <w:tc>
          <w:tcPr>
            <w:tcW w:w="1050" w:type="dxa"/>
            <w:tcBorders>
              <w:bottom w:val="nil"/>
              <w:right w:val="nil"/>
            </w:tcBorders>
            <w:hideMark/>
          </w:tcPr>
          <w:p w14:paraId="4EE9435D" w14:textId="77777777" w:rsidR="00D8753A" w:rsidRDefault="00D8753A">
            <w:pPr>
              <w:pStyle w:val="NormalWeb"/>
              <w:rPr>
                <w:sz w:val="18"/>
                <w:szCs w:val="18"/>
              </w:rPr>
            </w:pPr>
            <w:r>
              <w:rPr>
                <w:sz w:val="18"/>
                <w:szCs w:val="18"/>
              </w:rPr>
              <w:t>Indigenous</w:t>
            </w:r>
          </w:p>
        </w:tc>
      </w:tr>
      <w:tr w:rsidR="00D8753A" w14:paraId="56D9EF11" w14:textId="77777777" w:rsidTr="00D8753A">
        <w:tc>
          <w:tcPr>
            <w:tcW w:w="1418" w:type="dxa"/>
            <w:hideMark/>
          </w:tcPr>
          <w:p w14:paraId="157DB55F" w14:textId="77777777" w:rsidR="00D8753A" w:rsidRDefault="00D8753A">
            <w:pPr>
              <w:pStyle w:val="NormalWeb"/>
              <w:rPr>
                <w:sz w:val="18"/>
                <w:szCs w:val="18"/>
              </w:rPr>
            </w:pPr>
            <w:r>
              <w:rPr>
                <w:sz w:val="18"/>
                <w:szCs w:val="18"/>
              </w:rPr>
              <w:t xml:space="preserve">6–59 </w:t>
            </w:r>
            <w:proofErr w:type="spellStart"/>
            <w:r>
              <w:rPr>
                <w:sz w:val="18"/>
                <w:szCs w:val="18"/>
              </w:rPr>
              <w:t>mo</w:t>
            </w:r>
            <w:proofErr w:type="spellEnd"/>
          </w:p>
        </w:tc>
        <w:tc>
          <w:tcPr>
            <w:tcW w:w="313" w:type="dxa"/>
            <w:hideMark/>
          </w:tcPr>
          <w:p w14:paraId="12A3AE98" w14:textId="77777777" w:rsidR="00D8753A" w:rsidRDefault="00D8753A">
            <w:pPr>
              <w:pStyle w:val="NormalWeb"/>
              <w:rPr>
                <w:sz w:val="18"/>
                <w:szCs w:val="18"/>
              </w:rPr>
            </w:pPr>
            <w:r>
              <w:rPr>
                <w:sz w:val="18"/>
                <w:szCs w:val="18"/>
              </w:rPr>
              <w:t>63.0</w:t>
            </w:r>
          </w:p>
        </w:tc>
        <w:tc>
          <w:tcPr>
            <w:tcW w:w="1114" w:type="dxa"/>
            <w:hideMark/>
          </w:tcPr>
          <w:p w14:paraId="2C6DAFB9" w14:textId="77777777" w:rsidR="00D8753A" w:rsidRDefault="00D8753A">
            <w:pPr>
              <w:pStyle w:val="NormalWeb"/>
              <w:rPr>
                <w:sz w:val="18"/>
                <w:szCs w:val="18"/>
              </w:rPr>
            </w:pPr>
            <w:r>
              <w:rPr>
                <w:sz w:val="18"/>
                <w:szCs w:val="18"/>
              </w:rPr>
              <w:t>53.6</w:t>
            </w:r>
          </w:p>
        </w:tc>
        <w:tc>
          <w:tcPr>
            <w:tcW w:w="684" w:type="dxa"/>
            <w:hideMark/>
          </w:tcPr>
          <w:p w14:paraId="06FB1005" w14:textId="77777777" w:rsidR="00D8753A" w:rsidRDefault="00D8753A">
            <w:pPr>
              <w:pStyle w:val="NormalWeb"/>
              <w:rPr>
                <w:sz w:val="18"/>
                <w:szCs w:val="18"/>
              </w:rPr>
            </w:pPr>
            <w:r>
              <w:rPr>
                <w:sz w:val="18"/>
                <w:szCs w:val="18"/>
              </w:rPr>
              <w:t>41.3</w:t>
            </w:r>
          </w:p>
        </w:tc>
        <w:tc>
          <w:tcPr>
            <w:tcW w:w="1050" w:type="dxa"/>
            <w:hideMark/>
          </w:tcPr>
          <w:p w14:paraId="68A2520D" w14:textId="77777777" w:rsidR="00D8753A" w:rsidRDefault="00D8753A">
            <w:pPr>
              <w:pStyle w:val="NormalWeb"/>
              <w:rPr>
                <w:sz w:val="18"/>
                <w:szCs w:val="18"/>
              </w:rPr>
            </w:pPr>
            <w:r>
              <w:rPr>
                <w:sz w:val="18"/>
                <w:szCs w:val="18"/>
              </w:rPr>
              <w:t>38.7</w:t>
            </w:r>
          </w:p>
        </w:tc>
        <w:tc>
          <w:tcPr>
            <w:tcW w:w="678" w:type="dxa"/>
            <w:hideMark/>
          </w:tcPr>
          <w:p w14:paraId="3632AC71" w14:textId="77777777" w:rsidR="00D8753A" w:rsidRDefault="00D8753A">
            <w:pPr>
              <w:pStyle w:val="NormalWeb"/>
              <w:rPr>
                <w:sz w:val="18"/>
                <w:szCs w:val="18"/>
              </w:rPr>
            </w:pPr>
            <w:r>
              <w:rPr>
                <w:sz w:val="18"/>
                <w:szCs w:val="18"/>
              </w:rPr>
              <w:t>58.8</w:t>
            </w:r>
          </w:p>
        </w:tc>
        <w:tc>
          <w:tcPr>
            <w:tcW w:w="1050" w:type="dxa"/>
            <w:hideMark/>
          </w:tcPr>
          <w:p w14:paraId="510E3E38" w14:textId="77777777" w:rsidR="00D8753A" w:rsidRDefault="00D8753A">
            <w:pPr>
              <w:pStyle w:val="NormalWeb"/>
              <w:rPr>
                <w:sz w:val="18"/>
                <w:szCs w:val="18"/>
              </w:rPr>
            </w:pPr>
            <w:r>
              <w:rPr>
                <w:sz w:val="18"/>
                <w:szCs w:val="18"/>
              </w:rPr>
              <w:t>71.0</w:t>
            </w:r>
          </w:p>
        </w:tc>
        <w:tc>
          <w:tcPr>
            <w:tcW w:w="678" w:type="dxa"/>
            <w:gridSpan w:val="2"/>
            <w:hideMark/>
          </w:tcPr>
          <w:p w14:paraId="2A75DC03" w14:textId="77777777" w:rsidR="00D8753A" w:rsidRDefault="00D8753A">
            <w:pPr>
              <w:pStyle w:val="NormalWeb"/>
              <w:rPr>
                <w:sz w:val="18"/>
                <w:szCs w:val="18"/>
              </w:rPr>
            </w:pPr>
            <w:r>
              <w:rPr>
                <w:sz w:val="18"/>
                <w:szCs w:val="18"/>
              </w:rPr>
              <w:t>40.5</w:t>
            </w:r>
          </w:p>
        </w:tc>
        <w:tc>
          <w:tcPr>
            <w:tcW w:w="1050" w:type="dxa"/>
            <w:hideMark/>
          </w:tcPr>
          <w:p w14:paraId="068627A0" w14:textId="77777777" w:rsidR="00D8753A" w:rsidRDefault="00D8753A">
            <w:pPr>
              <w:pStyle w:val="NormalWeb"/>
              <w:rPr>
                <w:sz w:val="18"/>
                <w:szCs w:val="18"/>
              </w:rPr>
            </w:pPr>
            <w:r>
              <w:rPr>
                <w:sz w:val="18"/>
                <w:szCs w:val="18"/>
              </w:rPr>
              <w:t>39.1</w:t>
            </w:r>
          </w:p>
        </w:tc>
        <w:tc>
          <w:tcPr>
            <w:tcW w:w="678" w:type="dxa"/>
            <w:hideMark/>
          </w:tcPr>
          <w:p w14:paraId="63AAD201" w14:textId="77777777" w:rsidR="00D8753A" w:rsidRDefault="00D8753A">
            <w:pPr>
              <w:pStyle w:val="NormalWeb"/>
              <w:rPr>
                <w:sz w:val="18"/>
                <w:szCs w:val="18"/>
              </w:rPr>
            </w:pPr>
            <w:r>
              <w:rPr>
                <w:sz w:val="18"/>
                <w:szCs w:val="18"/>
              </w:rPr>
              <w:t>49.5</w:t>
            </w:r>
          </w:p>
        </w:tc>
        <w:tc>
          <w:tcPr>
            <w:tcW w:w="1050" w:type="dxa"/>
            <w:hideMark/>
          </w:tcPr>
          <w:p w14:paraId="2B476900" w14:textId="77777777" w:rsidR="00D8753A" w:rsidRDefault="00D8753A">
            <w:pPr>
              <w:pStyle w:val="NormalWeb"/>
              <w:rPr>
                <w:sz w:val="18"/>
                <w:szCs w:val="18"/>
              </w:rPr>
            </w:pPr>
            <w:r>
              <w:rPr>
                <w:sz w:val="18"/>
                <w:szCs w:val="18"/>
              </w:rPr>
              <w:t>43.3</w:t>
            </w:r>
          </w:p>
        </w:tc>
        <w:tc>
          <w:tcPr>
            <w:tcW w:w="678" w:type="dxa"/>
            <w:hideMark/>
          </w:tcPr>
          <w:p w14:paraId="6D93E968" w14:textId="77777777" w:rsidR="00D8753A" w:rsidRDefault="00D8753A">
            <w:pPr>
              <w:pStyle w:val="NormalWeb"/>
              <w:rPr>
                <w:sz w:val="18"/>
                <w:szCs w:val="18"/>
              </w:rPr>
            </w:pPr>
            <w:r>
              <w:rPr>
                <w:sz w:val="18"/>
                <w:szCs w:val="18"/>
              </w:rPr>
              <w:t>43.8</w:t>
            </w:r>
          </w:p>
        </w:tc>
        <w:tc>
          <w:tcPr>
            <w:tcW w:w="1050" w:type="dxa"/>
            <w:hideMark/>
          </w:tcPr>
          <w:p w14:paraId="5E6E34C3" w14:textId="77777777" w:rsidR="00D8753A" w:rsidRDefault="00D8753A">
            <w:pPr>
              <w:pStyle w:val="NormalWeb"/>
              <w:rPr>
                <w:sz w:val="18"/>
                <w:szCs w:val="18"/>
              </w:rPr>
            </w:pPr>
            <w:r>
              <w:rPr>
                <w:sz w:val="18"/>
                <w:szCs w:val="18"/>
              </w:rPr>
              <w:t>43.3</w:t>
            </w:r>
          </w:p>
        </w:tc>
        <w:tc>
          <w:tcPr>
            <w:tcW w:w="678" w:type="dxa"/>
            <w:hideMark/>
          </w:tcPr>
          <w:p w14:paraId="44EB11F4" w14:textId="77777777" w:rsidR="00D8753A" w:rsidRDefault="00D8753A">
            <w:pPr>
              <w:pStyle w:val="NormalWeb"/>
              <w:rPr>
                <w:sz w:val="18"/>
                <w:szCs w:val="18"/>
              </w:rPr>
            </w:pPr>
            <w:r>
              <w:rPr>
                <w:sz w:val="18"/>
                <w:szCs w:val="18"/>
              </w:rPr>
              <w:t>49.0</w:t>
            </w:r>
          </w:p>
        </w:tc>
        <w:tc>
          <w:tcPr>
            <w:tcW w:w="1050" w:type="dxa"/>
            <w:hideMark/>
          </w:tcPr>
          <w:p w14:paraId="091C93D0" w14:textId="77777777" w:rsidR="00D8753A" w:rsidRDefault="00D8753A">
            <w:pPr>
              <w:pStyle w:val="NormalWeb"/>
              <w:rPr>
                <w:sz w:val="18"/>
                <w:szCs w:val="18"/>
              </w:rPr>
            </w:pPr>
            <w:r>
              <w:rPr>
                <w:sz w:val="18"/>
                <w:szCs w:val="18"/>
              </w:rPr>
              <w:t>49.1</w:t>
            </w:r>
          </w:p>
        </w:tc>
        <w:tc>
          <w:tcPr>
            <w:tcW w:w="678" w:type="dxa"/>
            <w:hideMark/>
          </w:tcPr>
          <w:p w14:paraId="285F41B2" w14:textId="77777777" w:rsidR="00D8753A" w:rsidRDefault="00D8753A">
            <w:pPr>
              <w:pStyle w:val="NormalWeb"/>
              <w:rPr>
                <w:sz w:val="18"/>
                <w:szCs w:val="18"/>
              </w:rPr>
            </w:pPr>
            <w:r>
              <w:rPr>
                <w:sz w:val="18"/>
                <w:szCs w:val="18"/>
              </w:rPr>
              <w:t>49.9</w:t>
            </w:r>
          </w:p>
        </w:tc>
        <w:tc>
          <w:tcPr>
            <w:tcW w:w="1050" w:type="dxa"/>
            <w:hideMark/>
          </w:tcPr>
          <w:p w14:paraId="696806CE" w14:textId="77777777" w:rsidR="00D8753A" w:rsidRDefault="00D8753A">
            <w:pPr>
              <w:pStyle w:val="NormalWeb"/>
              <w:rPr>
                <w:sz w:val="18"/>
                <w:szCs w:val="18"/>
              </w:rPr>
            </w:pPr>
            <w:r>
              <w:rPr>
                <w:sz w:val="18"/>
                <w:szCs w:val="18"/>
              </w:rPr>
              <w:t>45.1</w:t>
            </w:r>
          </w:p>
        </w:tc>
      </w:tr>
      <w:tr w:rsidR="00D8753A" w14:paraId="7680FB8C" w14:textId="77777777" w:rsidTr="00D8753A">
        <w:trPr>
          <w:cnfStyle w:val="000000010000" w:firstRow="0" w:lastRow="0" w:firstColumn="0" w:lastColumn="0" w:oddVBand="0" w:evenVBand="0" w:oddHBand="0" w:evenHBand="1" w:firstRowFirstColumn="0" w:firstRowLastColumn="0" w:lastRowFirstColumn="0" w:lastRowLastColumn="0"/>
        </w:trPr>
        <w:tc>
          <w:tcPr>
            <w:tcW w:w="1418" w:type="dxa"/>
            <w:hideMark/>
          </w:tcPr>
          <w:p w14:paraId="01B53E0A" w14:textId="77777777" w:rsidR="00D8753A" w:rsidRDefault="00D8753A">
            <w:pPr>
              <w:pStyle w:val="NormalWeb"/>
              <w:rPr>
                <w:sz w:val="18"/>
                <w:szCs w:val="18"/>
              </w:rPr>
            </w:pPr>
            <w:r>
              <w:rPr>
                <w:sz w:val="18"/>
                <w:szCs w:val="18"/>
              </w:rPr>
              <w:t xml:space="preserve">5–9 </w:t>
            </w:r>
            <w:proofErr w:type="spellStart"/>
            <w:r>
              <w:rPr>
                <w:sz w:val="18"/>
                <w:szCs w:val="18"/>
              </w:rPr>
              <w:t>yr</w:t>
            </w:r>
            <w:proofErr w:type="spellEnd"/>
          </w:p>
        </w:tc>
        <w:tc>
          <w:tcPr>
            <w:tcW w:w="313" w:type="dxa"/>
            <w:hideMark/>
          </w:tcPr>
          <w:p w14:paraId="2119B776" w14:textId="77777777" w:rsidR="00D8753A" w:rsidRDefault="00D8753A">
            <w:pPr>
              <w:pStyle w:val="NormalWeb"/>
              <w:rPr>
                <w:sz w:val="18"/>
                <w:szCs w:val="18"/>
              </w:rPr>
            </w:pPr>
            <w:r>
              <w:rPr>
                <w:sz w:val="18"/>
                <w:szCs w:val="18"/>
              </w:rPr>
              <w:t>37.5</w:t>
            </w:r>
          </w:p>
        </w:tc>
        <w:tc>
          <w:tcPr>
            <w:tcW w:w="1114" w:type="dxa"/>
            <w:hideMark/>
          </w:tcPr>
          <w:p w14:paraId="729FFBB0" w14:textId="77777777" w:rsidR="00D8753A" w:rsidRDefault="00D8753A">
            <w:pPr>
              <w:pStyle w:val="NormalWeb"/>
              <w:rPr>
                <w:sz w:val="18"/>
                <w:szCs w:val="18"/>
              </w:rPr>
            </w:pPr>
            <w:r>
              <w:rPr>
                <w:sz w:val="18"/>
                <w:szCs w:val="18"/>
              </w:rPr>
              <w:t>38.5</w:t>
            </w:r>
          </w:p>
        </w:tc>
        <w:tc>
          <w:tcPr>
            <w:tcW w:w="684" w:type="dxa"/>
            <w:hideMark/>
          </w:tcPr>
          <w:p w14:paraId="7E878D43" w14:textId="77777777" w:rsidR="00D8753A" w:rsidRDefault="00D8753A">
            <w:pPr>
              <w:pStyle w:val="NormalWeb"/>
              <w:rPr>
                <w:sz w:val="18"/>
                <w:szCs w:val="18"/>
              </w:rPr>
            </w:pPr>
            <w:r>
              <w:rPr>
                <w:sz w:val="18"/>
                <w:szCs w:val="18"/>
              </w:rPr>
              <w:t>27.1</w:t>
            </w:r>
          </w:p>
        </w:tc>
        <w:tc>
          <w:tcPr>
            <w:tcW w:w="1050" w:type="dxa"/>
            <w:hideMark/>
          </w:tcPr>
          <w:p w14:paraId="31434D22" w14:textId="77777777" w:rsidR="00D8753A" w:rsidRDefault="00D8753A">
            <w:pPr>
              <w:pStyle w:val="NormalWeb"/>
              <w:rPr>
                <w:sz w:val="18"/>
                <w:szCs w:val="18"/>
              </w:rPr>
            </w:pPr>
            <w:r>
              <w:rPr>
                <w:sz w:val="18"/>
                <w:szCs w:val="18"/>
              </w:rPr>
              <w:t>32.7</w:t>
            </w:r>
          </w:p>
        </w:tc>
        <w:tc>
          <w:tcPr>
            <w:tcW w:w="678" w:type="dxa"/>
            <w:hideMark/>
          </w:tcPr>
          <w:p w14:paraId="7DF2ECB0" w14:textId="77777777" w:rsidR="00D8753A" w:rsidRDefault="00D8753A">
            <w:pPr>
              <w:pStyle w:val="NormalWeb"/>
              <w:rPr>
                <w:sz w:val="18"/>
                <w:szCs w:val="18"/>
              </w:rPr>
            </w:pPr>
            <w:r>
              <w:rPr>
                <w:sz w:val="18"/>
                <w:szCs w:val="18"/>
              </w:rPr>
              <w:t>28.9</w:t>
            </w:r>
          </w:p>
        </w:tc>
        <w:tc>
          <w:tcPr>
            <w:tcW w:w="1050" w:type="dxa"/>
            <w:hideMark/>
          </w:tcPr>
          <w:p w14:paraId="6B6F05E2" w14:textId="77777777" w:rsidR="00D8753A" w:rsidRDefault="00D8753A">
            <w:pPr>
              <w:pStyle w:val="NormalWeb"/>
              <w:rPr>
                <w:sz w:val="18"/>
                <w:szCs w:val="18"/>
              </w:rPr>
            </w:pPr>
            <w:r>
              <w:rPr>
                <w:sz w:val="18"/>
                <w:szCs w:val="18"/>
              </w:rPr>
              <w:t>46.3</w:t>
            </w:r>
          </w:p>
        </w:tc>
        <w:tc>
          <w:tcPr>
            <w:tcW w:w="678" w:type="dxa"/>
            <w:gridSpan w:val="2"/>
            <w:hideMark/>
          </w:tcPr>
          <w:p w14:paraId="1D41A950" w14:textId="77777777" w:rsidR="00D8753A" w:rsidRDefault="00D8753A">
            <w:pPr>
              <w:pStyle w:val="NormalWeb"/>
              <w:rPr>
                <w:sz w:val="18"/>
                <w:szCs w:val="18"/>
              </w:rPr>
            </w:pPr>
            <w:r>
              <w:rPr>
                <w:sz w:val="18"/>
                <w:szCs w:val="18"/>
              </w:rPr>
              <w:t>25.7</w:t>
            </w:r>
          </w:p>
        </w:tc>
        <w:tc>
          <w:tcPr>
            <w:tcW w:w="1050" w:type="dxa"/>
            <w:hideMark/>
          </w:tcPr>
          <w:p w14:paraId="7B091F6D" w14:textId="77777777" w:rsidR="00D8753A" w:rsidRDefault="00D8753A">
            <w:pPr>
              <w:pStyle w:val="NormalWeb"/>
              <w:rPr>
                <w:sz w:val="18"/>
                <w:szCs w:val="18"/>
              </w:rPr>
            </w:pPr>
            <w:r>
              <w:rPr>
                <w:sz w:val="18"/>
                <w:szCs w:val="18"/>
              </w:rPr>
              <w:t>30.5</w:t>
            </w:r>
          </w:p>
        </w:tc>
        <w:tc>
          <w:tcPr>
            <w:tcW w:w="678" w:type="dxa"/>
            <w:hideMark/>
          </w:tcPr>
          <w:p w14:paraId="28078FBC" w14:textId="77777777" w:rsidR="00D8753A" w:rsidRDefault="00D8753A">
            <w:pPr>
              <w:pStyle w:val="NormalWeb"/>
              <w:rPr>
                <w:sz w:val="18"/>
                <w:szCs w:val="18"/>
              </w:rPr>
            </w:pPr>
            <w:r>
              <w:rPr>
                <w:sz w:val="18"/>
                <w:szCs w:val="18"/>
              </w:rPr>
              <w:t>32.5</w:t>
            </w:r>
          </w:p>
        </w:tc>
        <w:tc>
          <w:tcPr>
            <w:tcW w:w="1050" w:type="dxa"/>
            <w:hideMark/>
          </w:tcPr>
          <w:p w14:paraId="4521F1F1" w14:textId="77777777" w:rsidR="00D8753A" w:rsidRDefault="00D8753A">
            <w:pPr>
              <w:pStyle w:val="NormalWeb"/>
              <w:rPr>
                <w:sz w:val="18"/>
                <w:szCs w:val="18"/>
              </w:rPr>
            </w:pPr>
            <w:r>
              <w:rPr>
                <w:sz w:val="18"/>
                <w:szCs w:val="18"/>
              </w:rPr>
              <w:t>35.3</w:t>
            </w:r>
          </w:p>
        </w:tc>
        <w:tc>
          <w:tcPr>
            <w:tcW w:w="678" w:type="dxa"/>
            <w:hideMark/>
          </w:tcPr>
          <w:p w14:paraId="424B91CD" w14:textId="77777777" w:rsidR="00D8753A" w:rsidRDefault="00D8753A">
            <w:pPr>
              <w:pStyle w:val="NormalWeb"/>
              <w:rPr>
                <w:sz w:val="18"/>
                <w:szCs w:val="18"/>
              </w:rPr>
            </w:pPr>
            <w:r>
              <w:rPr>
                <w:sz w:val="18"/>
                <w:szCs w:val="18"/>
              </w:rPr>
              <w:t>26.6</w:t>
            </w:r>
          </w:p>
        </w:tc>
        <w:tc>
          <w:tcPr>
            <w:tcW w:w="1050" w:type="dxa"/>
            <w:hideMark/>
          </w:tcPr>
          <w:p w14:paraId="68254AD9" w14:textId="77777777" w:rsidR="00D8753A" w:rsidRDefault="00D8753A">
            <w:pPr>
              <w:pStyle w:val="NormalWeb"/>
              <w:rPr>
                <w:sz w:val="18"/>
                <w:szCs w:val="18"/>
              </w:rPr>
            </w:pPr>
            <w:r>
              <w:rPr>
                <w:sz w:val="18"/>
                <w:szCs w:val="18"/>
              </w:rPr>
              <w:t>34.3</w:t>
            </w:r>
          </w:p>
        </w:tc>
        <w:tc>
          <w:tcPr>
            <w:tcW w:w="678" w:type="dxa"/>
            <w:hideMark/>
          </w:tcPr>
          <w:p w14:paraId="79B55DD1" w14:textId="77777777" w:rsidR="00D8753A" w:rsidRDefault="00D8753A">
            <w:pPr>
              <w:pStyle w:val="NormalWeb"/>
              <w:rPr>
                <w:sz w:val="18"/>
                <w:szCs w:val="18"/>
              </w:rPr>
            </w:pPr>
            <w:r>
              <w:rPr>
                <w:sz w:val="18"/>
                <w:szCs w:val="18"/>
              </w:rPr>
              <w:t>31.8</w:t>
            </w:r>
          </w:p>
        </w:tc>
        <w:tc>
          <w:tcPr>
            <w:tcW w:w="1050" w:type="dxa"/>
            <w:hideMark/>
          </w:tcPr>
          <w:p w14:paraId="3DDD05D9" w14:textId="77777777" w:rsidR="00D8753A" w:rsidRDefault="00D8753A">
            <w:pPr>
              <w:pStyle w:val="NormalWeb"/>
              <w:rPr>
                <w:sz w:val="18"/>
                <w:szCs w:val="18"/>
              </w:rPr>
            </w:pPr>
            <w:r>
              <w:rPr>
                <w:sz w:val="18"/>
                <w:szCs w:val="18"/>
              </w:rPr>
              <w:t>40.4</w:t>
            </w:r>
          </w:p>
        </w:tc>
        <w:tc>
          <w:tcPr>
            <w:tcW w:w="678" w:type="dxa"/>
            <w:hideMark/>
          </w:tcPr>
          <w:p w14:paraId="63363776" w14:textId="77777777" w:rsidR="00D8753A" w:rsidRDefault="00D8753A">
            <w:pPr>
              <w:pStyle w:val="NormalWeb"/>
              <w:rPr>
                <w:sz w:val="18"/>
                <w:szCs w:val="18"/>
              </w:rPr>
            </w:pPr>
            <w:r>
              <w:rPr>
                <w:sz w:val="18"/>
                <w:szCs w:val="18"/>
              </w:rPr>
              <w:t>38.2</w:t>
            </w:r>
          </w:p>
        </w:tc>
        <w:tc>
          <w:tcPr>
            <w:tcW w:w="1050" w:type="dxa"/>
            <w:hideMark/>
          </w:tcPr>
          <w:p w14:paraId="31FA9DB5" w14:textId="77777777" w:rsidR="00D8753A" w:rsidRDefault="00D8753A">
            <w:pPr>
              <w:pStyle w:val="NormalWeb"/>
              <w:rPr>
                <w:sz w:val="18"/>
                <w:szCs w:val="18"/>
              </w:rPr>
            </w:pPr>
            <w:r>
              <w:rPr>
                <w:sz w:val="18"/>
                <w:szCs w:val="18"/>
              </w:rPr>
              <w:t>37.9</w:t>
            </w:r>
          </w:p>
        </w:tc>
      </w:tr>
      <w:tr w:rsidR="00D8753A" w14:paraId="586FBA15" w14:textId="77777777" w:rsidTr="00D8753A">
        <w:tc>
          <w:tcPr>
            <w:tcW w:w="1418" w:type="dxa"/>
            <w:hideMark/>
          </w:tcPr>
          <w:p w14:paraId="4D3F1F0C" w14:textId="77777777" w:rsidR="00D8753A" w:rsidRDefault="00D8753A">
            <w:pPr>
              <w:pStyle w:val="NormalWeb"/>
              <w:rPr>
                <w:sz w:val="18"/>
                <w:szCs w:val="18"/>
              </w:rPr>
            </w:pPr>
            <w:r>
              <w:rPr>
                <w:sz w:val="18"/>
                <w:szCs w:val="18"/>
              </w:rPr>
              <w:t xml:space="preserve">10–14 </w:t>
            </w:r>
            <w:proofErr w:type="spellStart"/>
            <w:r>
              <w:rPr>
                <w:sz w:val="18"/>
                <w:szCs w:val="18"/>
              </w:rPr>
              <w:t>yr</w:t>
            </w:r>
            <w:proofErr w:type="spellEnd"/>
          </w:p>
        </w:tc>
        <w:tc>
          <w:tcPr>
            <w:tcW w:w="313" w:type="dxa"/>
            <w:hideMark/>
          </w:tcPr>
          <w:p w14:paraId="0996EC80" w14:textId="77777777" w:rsidR="00D8753A" w:rsidRDefault="00D8753A">
            <w:pPr>
              <w:pStyle w:val="NormalWeb"/>
              <w:rPr>
                <w:sz w:val="18"/>
                <w:szCs w:val="18"/>
              </w:rPr>
            </w:pPr>
            <w:r>
              <w:rPr>
                <w:sz w:val="18"/>
                <w:szCs w:val="18"/>
              </w:rPr>
              <w:t>31.0</w:t>
            </w:r>
          </w:p>
        </w:tc>
        <w:tc>
          <w:tcPr>
            <w:tcW w:w="1114" w:type="dxa"/>
            <w:hideMark/>
          </w:tcPr>
          <w:p w14:paraId="7DFB9581" w14:textId="77777777" w:rsidR="00D8753A" w:rsidRDefault="00D8753A">
            <w:pPr>
              <w:pStyle w:val="NormalWeb"/>
              <w:rPr>
                <w:sz w:val="18"/>
                <w:szCs w:val="18"/>
              </w:rPr>
            </w:pPr>
            <w:r>
              <w:rPr>
                <w:sz w:val="18"/>
                <w:szCs w:val="18"/>
              </w:rPr>
              <w:t>36.1</w:t>
            </w:r>
          </w:p>
        </w:tc>
        <w:tc>
          <w:tcPr>
            <w:tcW w:w="684" w:type="dxa"/>
            <w:hideMark/>
          </w:tcPr>
          <w:p w14:paraId="37A3801B" w14:textId="77777777" w:rsidR="00D8753A" w:rsidRDefault="00D8753A">
            <w:pPr>
              <w:pStyle w:val="NormalWeb"/>
              <w:rPr>
                <w:sz w:val="18"/>
                <w:szCs w:val="18"/>
              </w:rPr>
            </w:pPr>
            <w:r>
              <w:rPr>
                <w:sz w:val="18"/>
                <w:szCs w:val="18"/>
              </w:rPr>
              <w:t>22.9</w:t>
            </w:r>
          </w:p>
        </w:tc>
        <w:tc>
          <w:tcPr>
            <w:tcW w:w="1050" w:type="dxa"/>
            <w:hideMark/>
          </w:tcPr>
          <w:p w14:paraId="16766A99" w14:textId="77777777" w:rsidR="00D8753A" w:rsidRDefault="00D8753A">
            <w:pPr>
              <w:pStyle w:val="NormalWeb"/>
              <w:rPr>
                <w:sz w:val="18"/>
                <w:szCs w:val="18"/>
              </w:rPr>
            </w:pPr>
            <w:r>
              <w:rPr>
                <w:sz w:val="18"/>
                <w:szCs w:val="18"/>
              </w:rPr>
              <w:t>29.3</w:t>
            </w:r>
          </w:p>
        </w:tc>
        <w:tc>
          <w:tcPr>
            <w:tcW w:w="678" w:type="dxa"/>
            <w:hideMark/>
          </w:tcPr>
          <w:p w14:paraId="57E41A71" w14:textId="77777777" w:rsidR="00D8753A" w:rsidRDefault="00D8753A">
            <w:pPr>
              <w:pStyle w:val="NormalWeb"/>
              <w:rPr>
                <w:sz w:val="18"/>
                <w:szCs w:val="18"/>
              </w:rPr>
            </w:pPr>
            <w:r>
              <w:rPr>
                <w:sz w:val="18"/>
                <w:szCs w:val="18"/>
              </w:rPr>
              <w:t>26.6</w:t>
            </w:r>
          </w:p>
        </w:tc>
        <w:tc>
          <w:tcPr>
            <w:tcW w:w="1050" w:type="dxa"/>
            <w:hideMark/>
          </w:tcPr>
          <w:p w14:paraId="64D736FE" w14:textId="77777777" w:rsidR="00D8753A" w:rsidRDefault="00D8753A">
            <w:pPr>
              <w:pStyle w:val="NormalWeb"/>
              <w:rPr>
                <w:sz w:val="18"/>
                <w:szCs w:val="18"/>
              </w:rPr>
            </w:pPr>
            <w:r>
              <w:rPr>
                <w:sz w:val="18"/>
                <w:szCs w:val="18"/>
              </w:rPr>
              <w:t>43.3</w:t>
            </w:r>
          </w:p>
        </w:tc>
        <w:tc>
          <w:tcPr>
            <w:tcW w:w="678" w:type="dxa"/>
            <w:gridSpan w:val="2"/>
            <w:hideMark/>
          </w:tcPr>
          <w:p w14:paraId="2F65953A" w14:textId="77777777" w:rsidR="00D8753A" w:rsidRDefault="00D8753A">
            <w:pPr>
              <w:pStyle w:val="NormalWeb"/>
              <w:rPr>
                <w:sz w:val="18"/>
                <w:szCs w:val="18"/>
              </w:rPr>
            </w:pPr>
            <w:r>
              <w:rPr>
                <w:sz w:val="18"/>
                <w:szCs w:val="18"/>
              </w:rPr>
              <w:t>22.2</w:t>
            </w:r>
          </w:p>
        </w:tc>
        <w:tc>
          <w:tcPr>
            <w:tcW w:w="1050" w:type="dxa"/>
            <w:hideMark/>
          </w:tcPr>
          <w:p w14:paraId="671A9B93" w14:textId="77777777" w:rsidR="00D8753A" w:rsidRDefault="00D8753A">
            <w:pPr>
              <w:pStyle w:val="NormalWeb"/>
              <w:rPr>
                <w:sz w:val="18"/>
                <w:szCs w:val="18"/>
              </w:rPr>
            </w:pPr>
            <w:r>
              <w:rPr>
                <w:sz w:val="18"/>
                <w:szCs w:val="18"/>
              </w:rPr>
              <w:t>30.1</w:t>
            </w:r>
          </w:p>
        </w:tc>
        <w:tc>
          <w:tcPr>
            <w:tcW w:w="678" w:type="dxa"/>
            <w:hideMark/>
          </w:tcPr>
          <w:p w14:paraId="02CF3783" w14:textId="77777777" w:rsidR="00D8753A" w:rsidRDefault="00D8753A">
            <w:pPr>
              <w:pStyle w:val="NormalWeb"/>
              <w:rPr>
                <w:sz w:val="18"/>
                <w:szCs w:val="18"/>
              </w:rPr>
            </w:pPr>
            <w:r>
              <w:rPr>
                <w:sz w:val="18"/>
                <w:szCs w:val="18"/>
              </w:rPr>
              <w:t>28.1</w:t>
            </w:r>
          </w:p>
        </w:tc>
        <w:tc>
          <w:tcPr>
            <w:tcW w:w="1050" w:type="dxa"/>
            <w:hideMark/>
          </w:tcPr>
          <w:p w14:paraId="62915FA6" w14:textId="77777777" w:rsidR="00D8753A" w:rsidRDefault="00D8753A">
            <w:pPr>
              <w:pStyle w:val="NormalWeb"/>
              <w:rPr>
                <w:sz w:val="18"/>
                <w:szCs w:val="18"/>
              </w:rPr>
            </w:pPr>
            <w:r>
              <w:rPr>
                <w:sz w:val="18"/>
                <w:szCs w:val="18"/>
              </w:rPr>
              <w:t>33.6</w:t>
            </w:r>
          </w:p>
        </w:tc>
        <w:tc>
          <w:tcPr>
            <w:tcW w:w="678" w:type="dxa"/>
            <w:hideMark/>
          </w:tcPr>
          <w:p w14:paraId="7E0F52F2" w14:textId="77777777" w:rsidR="00D8753A" w:rsidRDefault="00D8753A">
            <w:pPr>
              <w:pStyle w:val="NormalWeb"/>
              <w:rPr>
                <w:sz w:val="18"/>
                <w:szCs w:val="18"/>
              </w:rPr>
            </w:pPr>
            <w:r>
              <w:rPr>
                <w:sz w:val="18"/>
                <w:szCs w:val="18"/>
              </w:rPr>
              <w:t>25.4</w:t>
            </w:r>
          </w:p>
        </w:tc>
        <w:tc>
          <w:tcPr>
            <w:tcW w:w="1050" w:type="dxa"/>
            <w:hideMark/>
          </w:tcPr>
          <w:p w14:paraId="2CEE177C" w14:textId="77777777" w:rsidR="00D8753A" w:rsidRDefault="00D8753A">
            <w:pPr>
              <w:pStyle w:val="NormalWeb"/>
              <w:rPr>
                <w:sz w:val="18"/>
                <w:szCs w:val="18"/>
              </w:rPr>
            </w:pPr>
            <w:r>
              <w:rPr>
                <w:sz w:val="18"/>
                <w:szCs w:val="18"/>
              </w:rPr>
              <w:t>31.5</w:t>
            </w:r>
          </w:p>
        </w:tc>
        <w:tc>
          <w:tcPr>
            <w:tcW w:w="678" w:type="dxa"/>
            <w:hideMark/>
          </w:tcPr>
          <w:p w14:paraId="4507B668" w14:textId="77777777" w:rsidR="00D8753A" w:rsidRDefault="00D8753A">
            <w:pPr>
              <w:pStyle w:val="NormalWeb"/>
              <w:rPr>
                <w:sz w:val="18"/>
                <w:szCs w:val="18"/>
              </w:rPr>
            </w:pPr>
            <w:r>
              <w:rPr>
                <w:sz w:val="18"/>
                <w:szCs w:val="18"/>
              </w:rPr>
              <w:t>26.8</w:t>
            </w:r>
          </w:p>
        </w:tc>
        <w:tc>
          <w:tcPr>
            <w:tcW w:w="1050" w:type="dxa"/>
            <w:hideMark/>
          </w:tcPr>
          <w:p w14:paraId="53ED7CC3" w14:textId="77777777" w:rsidR="00D8753A" w:rsidRDefault="00D8753A">
            <w:pPr>
              <w:pStyle w:val="NormalWeb"/>
              <w:rPr>
                <w:sz w:val="18"/>
                <w:szCs w:val="18"/>
              </w:rPr>
            </w:pPr>
            <w:r>
              <w:rPr>
                <w:sz w:val="18"/>
                <w:szCs w:val="18"/>
              </w:rPr>
              <w:t>38.1</w:t>
            </w:r>
          </w:p>
        </w:tc>
        <w:tc>
          <w:tcPr>
            <w:tcW w:w="678" w:type="dxa"/>
            <w:hideMark/>
          </w:tcPr>
          <w:p w14:paraId="58D81B88" w14:textId="77777777" w:rsidR="00D8753A" w:rsidRDefault="00D8753A">
            <w:pPr>
              <w:pStyle w:val="NormalWeb"/>
              <w:rPr>
                <w:sz w:val="18"/>
                <w:szCs w:val="18"/>
              </w:rPr>
            </w:pPr>
            <w:r>
              <w:rPr>
                <w:sz w:val="18"/>
                <w:szCs w:val="18"/>
              </w:rPr>
              <w:t>31.9</w:t>
            </w:r>
          </w:p>
        </w:tc>
        <w:tc>
          <w:tcPr>
            <w:tcW w:w="1050" w:type="dxa"/>
            <w:hideMark/>
          </w:tcPr>
          <w:p w14:paraId="75A51050" w14:textId="77777777" w:rsidR="00D8753A" w:rsidRDefault="00D8753A">
            <w:pPr>
              <w:pStyle w:val="NormalWeb"/>
              <w:rPr>
                <w:sz w:val="18"/>
                <w:szCs w:val="18"/>
              </w:rPr>
            </w:pPr>
            <w:r>
              <w:rPr>
                <w:sz w:val="18"/>
                <w:szCs w:val="18"/>
              </w:rPr>
              <w:t>34.7</w:t>
            </w:r>
          </w:p>
        </w:tc>
      </w:tr>
      <w:tr w:rsidR="00D8753A" w14:paraId="1E49A461" w14:textId="77777777" w:rsidTr="00D8753A">
        <w:trPr>
          <w:cnfStyle w:val="000000010000" w:firstRow="0" w:lastRow="0" w:firstColumn="0" w:lastColumn="0" w:oddVBand="0" w:evenVBand="0" w:oddHBand="0" w:evenHBand="1" w:firstRowFirstColumn="0" w:firstRowLastColumn="0" w:lastRowFirstColumn="0" w:lastRowLastColumn="0"/>
        </w:trPr>
        <w:tc>
          <w:tcPr>
            <w:tcW w:w="1418" w:type="dxa"/>
            <w:hideMark/>
          </w:tcPr>
          <w:p w14:paraId="51429C8E" w14:textId="77777777" w:rsidR="00D8753A" w:rsidRDefault="00D8753A">
            <w:pPr>
              <w:pStyle w:val="NormalWeb"/>
              <w:rPr>
                <w:sz w:val="18"/>
                <w:szCs w:val="18"/>
              </w:rPr>
            </w:pPr>
            <w:r>
              <w:rPr>
                <w:sz w:val="18"/>
                <w:szCs w:val="18"/>
              </w:rPr>
              <w:t xml:space="preserve">15–19 </w:t>
            </w:r>
            <w:proofErr w:type="spellStart"/>
            <w:r>
              <w:rPr>
                <w:sz w:val="18"/>
                <w:szCs w:val="18"/>
              </w:rPr>
              <w:t>yr</w:t>
            </w:r>
            <w:proofErr w:type="spellEnd"/>
          </w:p>
        </w:tc>
        <w:tc>
          <w:tcPr>
            <w:tcW w:w="313" w:type="dxa"/>
            <w:hideMark/>
          </w:tcPr>
          <w:p w14:paraId="037CE721" w14:textId="77777777" w:rsidR="00D8753A" w:rsidRDefault="00D8753A">
            <w:pPr>
              <w:pStyle w:val="NormalWeb"/>
              <w:rPr>
                <w:sz w:val="18"/>
                <w:szCs w:val="18"/>
              </w:rPr>
            </w:pPr>
            <w:r>
              <w:rPr>
                <w:sz w:val="18"/>
                <w:szCs w:val="18"/>
              </w:rPr>
              <w:t>27.2</w:t>
            </w:r>
          </w:p>
        </w:tc>
        <w:tc>
          <w:tcPr>
            <w:tcW w:w="1114" w:type="dxa"/>
            <w:hideMark/>
          </w:tcPr>
          <w:p w14:paraId="69BB93E9" w14:textId="77777777" w:rsidR="00D8753A" w:rsidRDefault="00D8753A">
            <w:pPr>
              <w:pStyle w:val="NormalWeb"/>
              <w:rPr>
                <w:sz w:val="18"/>
                <w:szCs w:val="18"/>
              </w:rPr>
            </w:pPr>
            <w:r>
              <w:rPr>
                <w:sz w:val="18"/>
                <w:szCs w:val="18"/>
              </w:rPr>
              <w:t>29.8</w:t>
            </w:r>
          </w:p>
        </w:tc>
        <w:tc>
          <w:tcPr>
            <w:tcW w:w="684" w:type="dxa"/>
            <w:hideMark/>
          </w:tcPr>
          <w:p w14:paraId="5C2630F4" w14:textId="77777777" w:rsidR="00D8753A" w:rsidRDefault="00D8753A">
            <w:pPr>
              <w:pStyle w:val="NormalWeb"/>
              <w:rPr>
                <w:sz w:val="18"/>
                <w:szCs w:val="18"/>
              </w:rPr>
            </w:pPr>
            <w:r>
              <w:rPr>
                <w:sz w:val="18"/>
                <w:szCs w:val="18"/>
              </w:rPr>
              <w:t>20.8</w:t>
            </w:r>
          </w:p>
        </w:tc>
        <w:tc>
          <w:tcPr>
            <w:tcW w:w="1050" w:type="dxa"/>
            <w:hideMark/>
          </w:tcPr>
          <w:p w14:paraId="4030DC47" w14:textId="77777777" w:rsidR="00D8753A" w:rsidRDefault="00D8753A">
            <w:pPr>
              <w:pStyle w:val="NormalWeb"/>
              <w:rPr>
                <w:sz w:val="18"/>
                <w:szCs w:val="18"/>
              </w:rPr>
            </w:pPr>
            <w:r>
              <w:rPr>
                <w:sz w:val="18"/>
                <w:szCs w:val="18"/>
              </w:rPr>
              <w:t>28.1</w:t>
            </w:r>
          </w:p>
        </w:tc>
        <w:tc>
          <w:tcPr>
            <w:tcW w:w="678" w:type="dxa"/>
            <w:hideMark/>
          </w:tcPr>
          <w:p w14:paraId="2D7F6F41" w14:textId="77777777" w:rsidR="00D8753A" w:rsidRDefault="00D8753A">
            <w:pPr>
              <w:pStyle w:val="NormalWeb"/>
              <w:rPr>
                <w:sz w:val="18"/>
                <w:szCs w:val="18"/>
              </w:rPr>
            </w:pPr>
            <w:r>
              <w:rPr>
                <w:sz w:val="18"/>
                <w:szCs w:val="18"/>
              </w:rPr>
              <w:t>27.6</w:t>
            </w:r>
          </w:p>
        </w:tc>
        <w:tc>
          <w:tcPr>
            <w:tcW w:w="1050" w:type="dxa"/>
            <w:hideMark/>
          </w:tcPr>
          <w:p w14:paraId="0CDBD3D4" w14:textId="77777777" w:rsidR="00D8753A" w:rsidRDefault="00D8753A">
            <w:pPr>
              <w:pStyle w:val="NormalWeb"/>
              <w:rPr>
                <w:sz w:val="18"/>
                <w:szCs w:val="18"/>
              </w:rPr>
            </w:pPr>
            <w:r>
              <w:rPr>
                <w:sz w:val="18"/>
                <w:szCs w:val="18"/>
              </w:rPr>
              <w:t>44.9</w:t>
            </w:r>
          </w:p>
        </w:tc>
        <w:tc>
          <w:tcPr>
            <w:tcW w:w="678" w:type="dxa"/>
            <w:gridSpan w:val="2"/>
            <w:hideMark/>
          </w:tcPr>
          <w:p w14:paraId="685A1CDE" w14:textId="77777777" w:rsidR="00D8753A" w:rsidRDefault="00D8753A">
            <w:pPr>
              <w:pStyle w:val="NormalWeb"/>
              <w:rPr>
                <w:sz w:val="18"/>
                <w:szCs w:val="18"/>
              </w:rPr>
            </w:pPr>
            <w:r>
              <w:rPr>
                <w:sz w:val="18"/>
                <w:szCs w:val="18"/>
              </w:rPr>
              <w:t>20.6</w:t>
            </w:r>
          </w:p>
        </w:tc>
        <w:tc>
          <w:tcPr>
            <w:tcW w:w="1050" w:type="dxa"/>
            <w:hideMark/>
          </w:tcPr>
          <w:p w14:paraId="64125AF8" w14:textId="77777777" w:rsidR="00D8753A" w:rsidRDefault="00D8753A">
            <w:pPr>
              <w:pStyle w:val="NormalWeb"/>
              <w:rPr>
                <w:sz w:val="18"/>
                <w:szCs w:val="18"/>
              </w:rPr>
            </w:pPr>
            <w:r>
              <w:rPr>
                <w:sz w:val="18"/>
                <w:szCs w:val="18"/>
              </w:rPr>
              <w:t>29.5</w:t>
            </w:r>
          </w:p>
        </w:tc>
        <w:tc>
          <w:tcPr>
            <w:tcW w:w="678" w:type="dxa"/>
            <w:hideMark/>
          </w:tcPr>
          <w:p w14:paraId="2F38D2A2" w14:textId="77777777" w:rsidR="00D8753A" w:rsidRDefault="00D8753A">
            <w:pPr>
              <w:pStyle w:val="NormalWeb"/>
              <w:rPr>
                <w:sz w:val="18"/>
                <w:szCs w:val="18"/>
              </w:rPr>
            </w:pPr>
            <w:r>
              <w:rPr>
                <w:sz w:val="18"/>
                <w:szCs w:val="18"/>
              </w:rPr>
              <w:t>25.2</w:t>
            </w:r>
          </w:p>
        </w:tc>
        <w:tc>
          <w:tcPr>
            <w:tcW w:w="1050" w:type="dxa"/>
            <w:hideMark/>
          </w:tcPr>
          <w:p w14:paraId="31F551F7" w14:textId="77777777" w:rsidR="00D8753A" w:rsidRDefault="00D8753A">
            <w:pPr>
              <w:pStyle w:val="NormalWeb"/>
              <w:rPr>
                <w:sz w:val="18"/>
                <w:szCs w:val="18"/>
              </w:rPr>
            </w:pPr>
            <w:r>
              <w:rPr>
                <w:sz w:val="18"/>
                <w:szCs w:val="18"/>
              </w:rPr>
              <w:t>29.7</w:t>
            </w:r>
          </w:p>
        </w:tc>
        <w:tc>
          <w:tcPr>
            <w:tcW w:w="678" w:type="dxa"/>
            <w:hideMark/>
          </w:tcPr>
          <w:p w14:paraId="2B5644A7" w14:textId="77777777" w:rsidR="00D8753A" w:rsidRDefault="00D8753A">
            <w:pPr>
              <w:pStyle w:val="NormalWeb"/>
              <w:rPr>
                <w:sz w:val="18"/>
                <w:szCs w:val="18"/>
              </w:rPr>
            </w:pPr>
            <w:r>
              <w:rPr>
                <w:sz w:val="18"/>
                <w:szCs w:val="18"/>
              </w:rPr>
              <w:t>23.9</w:t>
            </w:r>
          </w:p>
        </w:tc>
        <w:tc>
          <w:tcPr>
            <w:tcW w:w="1050" w:type="dxa"/>
            <w:hideMark/>
          </w:tcPr>
          <w:p w14:paraId="27947EEE" w14:textId="77777777" w:rsidR="00D8753A" w:rsidRDefault="00D8753A">
            <w:pPr>
              <w:pStyle w:val="NormalWeb"/>
              <w:rPr>
                <w:sz w:val="18"/>
                <w:szCs w:val="18"/>
              </w:rPr>
            </w:pPr>
            <w:r>
              <w:rPr>
                <w:sz w:val="18"/>
                <w:szCs w:val="18"/>
              </w:rPr>
              <w:t>33.8</w:t>
            </w:r>
          </w:p>
        </w:tc>
        <w:tc>
          <w:tcPr>
            <w:tcW w:w="678" w:type="dxa"/>
            <w:hideMark/>
          </w:tcPr>
          <w:p w14:paraId="06D63626" w14:textId="77777777" w:rsidR="00D8753A" w:rsidRDefault="00D8753A">
            <w:pPr>
              <w:pStyle w:val="NormalWeb"/>
              <w:rPr>
                <w:sz w:val="18"/>
                <w:szCs w:val="18"/>
              </w:rPr>
            </w:pPr>
            <w:r>
              <w:rPr>
                <w:sz w:val="18"/>
                <w:szCs w:val="18"/>
              </w:rPr>
              <w:t>24.1</w:t>
            </w:r>
          </w:p>
        </w:tc>
        <w:tc>
          <w:tcPr>
            <w:tcW w:w="1050" w:type="dxa"/>
            <w:hideMark/>
          </w:tcPr>
          <w:p w14:paraId="62E8006E" w14:textId="77777777" w:rsidR="00D8753A" w:rsidRDefault="00D8753A">
            <w:pPr>
              <w:pStyle w:val="NormalWeb"/>
              <w:rPr>
                <w:sz w:val="18"/>
                <w:szCs w:val="18"/>
              </w:rPr>
            </w:pPr>
            <w:r>
              <w:rPr>
                <w:sz w:val="18"/>
                <w:szCs w:val="18"/>
              </w:rPr>
              <w:t>34.3</w:t>
            </w:r>
          </w:p>
        </w:tc>
        <w:tc>
          <w:tcPr>
            <w:tcW w:w="678" w:type="dxa"/>
            <w:hideMark/>
          </w:tcPr>
          <w:p w14:paraId="796577BD" w14:textId="77777777" w:rsidR="00D8753A" w:rsidRDefault="00D8753A">
            <w:pPr>
              <w:pStyle w:val="NormalWeb"/>
              <w:rPr>
                <w:sz w:val="18"/>
                <w:szCs w:val="18"/>
              </w:rPr>
            </w:pPr>
            <w:r>
              <w:rPr>
                <w:sz w:val="18"/>
                <w:szCs w:val="18"/>
              </w:rPr>
              <w:t>26.7</w:t>
            </w:r>
          </w:p>
        </w:tc>
        <w:tc>
          <w:tcPr>
            <w:tcW w:w="1050" w:type="dxa"/>
            <w:hideMark/>
          </w:tcPr>
          <w:p w14:paraId="44AF908F" w14:textId="77777777" w:rsidR="00D8753A" w:rsidRDefault="00D8753A">
            <w:pPr>
              <w:pStyle w:val="NormalWeb"/>
              <w:rPr>
                <w:sz w:val="18"/>
                <w:szCs w:val="18"/>
              </w:rPr>
            </w:pPr>
            <w:r>
              <w:rPr>
                <w:sz w:val="18"/>
                <w:szCs w:val="18"/>
              </w:rPr>
              <w:t>32.4</w:t>
            </w:r>
          </w:p>
        </w:tc>
      </w:tr>
      <w:tr w:rsidR="00D8753A" w14:paraId="1150C158" w14:textId="77777777" w:rsidTr="00D8753A">
        <w:tc>
          <w:tcPr>
            <w:tcW w:w="1418" w:type="dxa"/>
            <w:hideMark/>
          </w:tcPr>
          <w:p w14:paraId="0A33DC55" w14:textId="77777777" w:rsidR="00D8753A" w:rsidRDefault="00D8753A">
            <w:pPr>
              <w:pStyle w:val="NormalWeb"/>
              <w:rPr>
                <w:sz w:val="18"/>
                <w:szCs w:val="18"/>
              </w:rPr>
            </w:pPr>
            <w:r>
              <w:rPr>
                <w:sz w:val="18"/>
                <w:szCs w:val="18"/>
              </w:rPr>
              <w:t xml:space="preserve">20–49 </w:t>
            </w:r>
            <w:proofErr w:type="spellStart"/>
            <w:r>
              <w:rPr>
                <w:sz w:val="18"/>
                <w:szCs w:val="18"/>
              </w:rPr>
              <w:t>yr</w:t>
            </w:r>
            <w:proofErr w:type="spellEnd"/>
          </w:p>
        </w:tc>
        <w:tc>
          <w:tcPr>
            <w:tcW w:w="313" w:type="dxa"/>
            <w:hideMark/>
          </w:tcPr>
          <w:p w14:paraId="02985A1C" w14:textId="77777777" w:rsidR="00D8753A" w:rsidRDefault="00D8753A">
            <w:pPr>
              <w:pStyle w:val="NormalWeb"/>
              <w:rPr>
                <w:sz w:val="18"/>
                <w:szCs w:val="18"/>
              </w:rPr>
            </w:pPr>
            <w:r>
              <w:rPr>
                <w:sz w:val="18"/>
                <w:szCs w:val="18"/>
              </w:rPr>
              <w:t>23.9</w:t>
            </w:r>
          </w:p>
        </w:tc>
        <w:tc>
          <w:tcPr>
            <w:tcW w:w="1114" w:type="dxa"/>
            <w:hideMark/>
          </w:tcPr>
          <w:p w14:paraId="29C5A49D" w14:textId="77777777" w:rsidR="00D8753A" w:rsidRDefault="00D8753A">
            <w:pPr>
              <w:pStyle w:val="NormalWeb"/>
              <w:rPr>
                <w:sz w:val="18"/>
                <w:szCs w:val="18"/>
              </w:rPr>
            </w:pPr>
            <w:r>
              <w:rPr>
                <w:sz w:val="18"/>
                <w:szCs w:val="18"/>
              </w:rPr>
              <w:t>31.8</w:t>
            </w:r>
          </w:p>
        </w:tc>
        <w:tc>
          <w:tcPr>
            <w:tcW w:w="684" w:type="dxa"/>
            <w:hideMark/>
          </w:tcPr>
          <w:p w14:paraId="1E48D69C" w14:textId="77777777" w:rsidR="00D8753A" w:rsidRDefault="00D8753A">
            <w:pPr>
              <w:pStyle w:val="NormalWeb"/>
              <w:rPr>
                <w:sz w:val="18"/>
                <w:szCs w:val="18"/>
              </w:rPr>
            </w:pPr>
            <w:r>
              <w:rPr>
                <w:sz w:val="18"/>
                <w:szCs w:val="18"/>
              </w:rPr>
              <w:t>22.2</w:t>
            </w:r>
          </w:p>
        </w:tc>
        <w:tc>
          <w:tcPr>
            <w:tcW w:w="1050" w:type="dxa"/>
            <w:hideMark/>
          </w:tcPr>
          <w:p w14:paraId="6B5DD24C" w14:textId="77777777" w:rsidR="00D8753A" w:rsidRDefault="00D8753A">
            <w:pPr>
              <w:pStyle w:val="NormalWeb"/>
              <w:rPr>
                <w:sz w:val="18"/>
                <w:szCs w:val="18"/>
              </w:rPr>
            </w:pPr>
            <w:r>
              <w:rPr>
                <w:sz w:val="18"/>
                <w:szCs w:val="18"/>
              </w:rPr>
              <w:t>31.5</w:t>
            </w:r>
          </w:p>
        </w:tc>
        <w:tc>
          <w:tcPr>
            <w:tcW w:w="678" w:type="dxa"/>
            <w:hideMark/>
          </w:tcPr>
          <w:p w14:paraId="09598D39" w14:textId="77777777" w:rsidR="00D8753A" w:rsidRDefault="00D8753A">
            <w:pPr>
              <w:pStyle w:val="NormalWeb"/>
              <w:rPr>
                <w:sz w:val="18"/>
                <w:szCs w:val="18"/>
              </w:rPr>
            </w:pPr>
            <w:r>
              <w:rPr>
                <w:sz w:val="18"/>
                <w:szCs w:val="18"/>
              </w:rPr>
              <w:t>25.9</w:t>
            </w:r>
          </w:p>
        </w:tc>
        <w:tc>
          <w:tcPr>
            <w:tcW w:w="1050" w:type="dxa"/>
            <w:hideMark/>
          </w:tcPr>
          <w:p w14:paraId="4B8B6E7E" w14:textId="77777777" w:rsidR="00D8753A" w:rsidRDefault="00D8753A">
            <w:pPr>
              <w:pStyle w:val="NormalWeb"/>
              <w:rPr>
                <w:sz w:val="18"/>
                <w:szCs w:val="18"/>
              </w:rPr>
            </w:pPr>
            <w:r>
              <w:rPr>
                <w:sz w:val="18"/>
                <w:szCs w:val="18"/>
              </w:rPr>
              <w:t>54.2</w:t>
            </w:r>
          </w:p>
        </w:tc>
        <w:tc>
          <w:tcPr>
            <w:tcW w:w="678" w:type="dxa"/>
            <w:gridSpan w:val="2"/>
            <w:hideMark/>
          </w:tcPr>
          <w:p w14:paraId="3F1AA6C0" w14:textId="77777777" w:rsidR="00D8753A" w:rsidRDefault="00D8753A">
            <w:pPr>
              <w:pStyle w:val="NormalWeb"/>
              <w:rPr>
                <w:sz w:val="18"/>
                <w:szCs w:val="18"/>
              </w:rPr>
            </w:pPr>
            <w:r>
              <w:rPr>
                <w:sz w:val="18"/>
                <w:szCs w:val="18"/>
              </w:rPr>
              <w:t>21.1</w:t>
            </w:r>
          </w:p>
        </w:tc>
        <w:tc>
          <w:tcPr>
            <w:tcW w:w="1050" w:type="dxa"/>
            <w:hideMark/>
          </w:tcPr>
          <w:p w14:paraId="7C7BD875" w14:textId="77777777" w:rsidR="00D8753A" w:rsidRDefault="00D8753A">
            <w:pPr>
              <w:pStyle w:val="NormalWeb"/>
              <w:rPr>
                <w:sz w:val="18"/>
                <w:szCs w:val="18"/>
              </w:rPr>
            </w:pPr>
            <w:r>
              <w:rPr>
                <w:sz w:val="18"/>
                <w:szCs w:val="18"/>
              </w:rPr>
              <w:t>30.9</w:t>
            </w:r>
          </w:p>
        </w:tc>
        <w:tc>
          <w:tcPr>
            <w:tcW w:w="678" w:type="dxa"/>
            <w:hideMark/>
          </w:tcPr>
          <w:p w14:paraId="362BF000" w14:textId="77777777" w:rsidR="00D8753A" w:rsidRDefault="00D8753A">
            <w:pPr>
              <w:pStyle w:val="NormalWeb"/>
              <w:rPr>
                <w:sz w:val="18"/>
                <w:szCs w:val="18"/>
              </w:rPr>
            </w:pPr>
            <w:r>
              <w:rPr>
                <w:sz w:val="18"/>
                <w:szCs w:val="18"/>
              </w:rPr>
              <w:t>26.0</w:t>
            </w:r>
          </w:p>
        </w:tc>
        <w:tc>
          <w:tcPr>
            <w:tcW w:w="1050" w:type="dxa"/>
            <w:hideMark/>
          </w:tcPr>
          <w:p w14:paraId="4EA2EE44" w14:textId="77777777" w:rsidR="00D8753A" w:rsidRDefault="00D8753A">
            <w:pPr>
              <w:pStyle w:val="NormalWeb"/>
              <w:rPr>
                <w:sz w:val="18"/>
                <w:szCs w:val="18"/>
              </w:rPr>
            </w:pPr>
            <w:r>
              <w:rPr>
                <w:sz w:val="18"/>
                <w:szCs w:val="18"/>
              </w:rPr>
              <w:t>32.3</w:t>
            </w:r>
          </w:p>
        </w:tc>
        <w:tc>
          <w:tcPr>
            <w:tcW w:w="678" w:type="dxa"/>
            <w:hideMark/>
          </w:tcPr>
          <w:p w14:paraId="5B9B7E5E" w14:textId="77777777" w:rsidR="00D8753A" w:rsidRDefault="00D8753A">
            <w:pPr>
              <w:pStyle w:val="NormalWeb"/>
              <w:rPr>
                <w:sz w:val="18"/>
                <w:szCs w:val="18"/>
              </w:rPr>
            </w:pPr>
            <w:r>
              <w:rPr>
                <w:sz w:val="18"/>
                <w:szCs w:val="18"/>
              </w:rPr>
              <w:t>27.2</w:t>
            </w:r>
          </w:p>
        </w:tc>
        <w:tc>
          <w:tcPr>
            <w:tcW w:w="1050" w:type="dxa"/>
            <w:hideMark/>
          </w:tcPr>
          <w:p w14:paraId="774BC9EA" w14:textId="77777777" w:rsidR="00D8753A" w:rsidRDefault="00D8753A">
            <w:pPr>
              <w:pStyle w:val="NormalWeb"/>
              <w:rPr>
                <w:sz w:val="18"/>
                <w:szCs w:val="18"/>
              </w:rPr>
            </w:pPr>
            <w:r>
              <w:rPr>
                <w:sz w:val="18"/>
                <w:szCs w:val="18"/>
              </w:rPr>
              <w:t>36.7</w:t>
            </w:r>
          </w:p>
        </w:tc>
        <w:tc>
          <w:tcPr>
            <w:tcW w:w="678" w:type="dxa"/>
            <w:hideMark/>
          </w:tcPr>
          <w:p w14:paraId="318E1A2F" w14:textId="77777777" w:rsidR="00D8753A" w:rsidRDefault="00D8753A">
            <w:pPr>
              <w:pStyle w:val="NormalWeb"/>
              <w:rPr>
                <w:sz w:val="18"/>
                <w:szCs w:val="18"/>
              </w:rPr>
            </w:pPr>
            <w:r>
              <w:rPr>
                <w:sz w:val="18"/>
                <w:szCs w:val="18"/>
              </w:rPr>
              <w:t>24.6</w:t>
            </w:r>
          </w:p>
        </w:tc>
        <w:tc>
          <w:tcPr>
            <w:tcW w:w="1050" w:type="dxa"/>
            <w:hideMark/>
          </w:tcPr>
          <w:p w14:paraId="338F4070" w14:textId="77777777" w:rsidR="00D8753A" w:rsidRDefault="00D8753A">
            <w:pPr>
              <w:pStyle w:val="NormalWeb"/>
              <w:rPr>
                <w:sz w:val="18"/>
                <w:szCs w:val="18"/>
              </w:rPr>
            </w:pPr>
            <w:r>
              <w:rPr>
                <w:sz w:val="18"/>
                <w:szCs w:val="18"/>
              </w:rPr>
              <w:t>35.1</w:t>
            </w:r>
          </w:p>
        </w:tc>
        <w:tc>
          <w:tcPr>
            <w:tcW w:w="678" w:type="dxa"/>
            <w:hideMark/>
          </w:tcPr>
          <w:p w14:paraId="19A7C77B" w14:textId="77777777" w:rsidR="00D8753A" w:rsidRDefault="00D8753A">
            <w:pPr>
              <w:pStyle w:val="NormalWeb"/>
              <w:rPr>
                <w:sz w:val="18"/>
                <w:szCs w:val="18"/>
              </w:rPr>
            </w:pPr>
            <w:r>
              <w:rPr>
                <w:sz w:val="18"/>
                <w:szCs w:val="18"/>
              </w:rPr>
              <w:t>25.8</w:t>
            </w:r>
          </w:p>
        </w:tc>
        <w:tc>
          <w:tcPr>
            <w:tcW w:w="1050" w:type="dxa"/>
            <w:hideMark/>
          </w:tcPr>
          <w:p w14:paraId="549C7567" w14:textId="77777777" w:rsidR="00D8753A" w:rsidRDefault="00D8753A">
            <w:pPr>
              <w:pStyle w:val="NormalWeb"/>
              <w:rPr>
                <w:sz w:val="18"/>
                <w:szCs w:val="18"/>
              </w:rPr>
            </w:pPr>
            <w:r>
              <w:rPr>
                <w:sz w:val="18"/>
                <w:szCs w:val="18"/>
              </w:rPr>
              <w:t>33.1</w:t>
            </w:r>
          </w:p>
        </w:tc>
      </w:tr>
      <w:tr w:rsidR="00D8753A" w14:paraId="00C3EF25" w14:textId="77777777" w:rsidTr="00D8753A">
        <w:trPr>
          <w:cnfStyle w:val="000000010000" w:firstRow="0" w:lastRow="0" w:firstColumn="0" w:lastColumn="0" w:oddVBand="0" w:evenVBand="0" w:oddHBand="0" w:evenHBand="1" w:firstRowFirstColumn="0" w:firstRowLastColumn="0" w:lastRowFirstColumn="0" w:lastRowLastColumn="0"/>
        </w:trPr>
        <w:tc>
          <w:tcPr>
            <w:tcW w:w="1418" w:type="dxa"/>
            <w:hideMark/>
          </w:tcPr>
          <w:p w14:paraId="62160709" w14:textId="77777777" w:rsidR="00D8753A" w:rsidRDefault="00D8753A">
            <w:pPr>
              <w:pStyle w:val="NormalWeb"/>
              <w:rPr>
                <w:sz w:val="18"/>
                <w:szCs w:val="18"/>
              </w:rPr>
            </w:pPr>
            <w:r>
              <w:rPr>
                <w:sz w:val="18"/>
                <w:szCs w:val="18"/>
              </w:rPr>
              <w:t xml:space="preserve">50–64 </w:t>
            </w:r>
            <w:proofErr w:type="spellStart"/>
            <w:r>
              <w:rPr>
                <w:sz w:val="18"/>
                <w:szCs w:val="18"/>
              </w:rPr>
              <w:t>yr</w:t>
            </w:r>
            <w:proofErr w:type="spellEnd"/>
          </w:p>
        </w:tc>
        <w:tc>
          <w:tcPr>
            <w:tcW w:w="313" w:type="dxa"/>
            <w:hideMark/>
          </w:tcPr>
          <w:p w14:paraId="0218DBB6" w14:textId="77777777" w:rsidR="00D8753A" w:rsidRDefault="00D8753A">
            <w:pPr>
              <w:pStyle w:val="NormalWeb"/>
              <w:rPr>
                <w:sz w:val="18"/>
                <w:szCs w:val="18"/>
              </w:rPr>
            </w:pPr>
            <w:r>
              <w:rPr>
                <w:sz w:val="18"/>
                <w:szCs w:val="18"/>
              </w:rPr>
              <w:t>36.3</w:t>
            </w:r>
          </w:p>
        </w:tc>
        <w:tc>
          <w:tcPr>
            <w:tcW w:w="1114" w:type="dxa"/>
            <w:hideMark/>
          </w:tcPr>
          <w:p w14:paraId="0EB176C3" w14:textId="77777777" w:rsidR="00D8753A" w:rsidRDefault="00D8753A">
            <w:pPr>
              <w:pStyle w:val="NormalWeb"/>
              <w:rPr>
                <w:sz w:val="18"/>
                <w:szCs w:val="18"/>
              </w:rPr>
            </w:pPr>
            <w:r>
              <w:rPr>
                <w:sz w:val="18"/>
                <w:szCs w:val="18"/>
              </w:rPr>
              <w:t>56.6</w:t>
            </w:r>
          </w:p>
        </w:tc>
        <w:tc>
          <w:tcPr>
            <w:tcW w:w="684" w:type="dxa"/>
            <w:hideMark/>
          </w:tcPr>
          <w:p w14:paraId="4925DFAC" w14:textId="77777777" w:rsidR="00D8753A" w:rsidRDefault="00D8753A">
            <w:pPr>
              <w:pStyle w:val="NormalWeb"/>
              <w:rPr>
                <w:sz w:val="18"/>
                <w:szCs w:val="18"/>
              </w:rPr>
            </w:pPr>
            <w:r>
              <w:rPr>
                <w:sz w:val="18"/>
                <w:szCs w:val="18"/>
              </w:rPr>
              <w:t>34.2</w:t>
            </w:r>
          </w:p>
        </w:tc>
        <w:tc>
          <w:tcPr>
            <w:tcW w:w="1050" w:type="dxa"/>
            <w:hideMark/>
          </w:tcPr>
          <w:p w14:paraId="4D02A93E" w14:textId="77777777" w:rsidR="00D8753A" w:rsidRDefault="00D8753A">
            <w:pPr>
              <w:pStyle w:val="NormalWeb"/>
              <w:rPr>
                <w:sz w:val="18"/>
                <w:szCs w:val="18"/>
              </w:rPr>
            </w:pPr>
            <w:r>
              <w:rPr>
                <w:sz w:val="18"/>
                <w:szCs w:val="18"/>
              </w:rPr>
              <w:t>57.4</w:t>
            </w:r>
          </w:p>
        </w:tc>
        <w:tc>
          <w:tcPr>
            <w:tcW w:w="678" w:type="dxa"/>
            <w:hideMark/>
          </w:tcPr>
          <w:p w14:paraId="7A238E9B" w14:textId="77777777" w:rsidR="00D8753A" w:rsidRDefault="00D8753A">
            <w:pPr>
              <w:pStyle w:val="NormalWeb"/>
              <w:rPr>
                <w:sz w:val="18"/>
                <w:szCs w:val="18"/>
              </w:rPr>
            </w:pPr>
            <w:r>
              <w:rPr>
                <w:sz w:val="18"/>
                <w:szCs w:val="18"/>
              </w:rPr>
              <w:t>30.0</w:t>
            </w:r>
          </w:p>
        </w:tc>
        <w:tc>
          <w:tcPr>
            <w:tcW w:w="1050" w:type="dxa"/>
            <w:hideMark/>
          </w:tcPr>
          <w:p w14:paraId="4122BD68" w14:textId="77777777" w:rsidR="00D8753A" w:rsidRDefault="00D8753A">
            <w:pPr>
              <w:pStyle w:val="NormalWeb"/>
              <w:rPr>
                <w:sz w:val="18"/>
                <w:szCs w:val="18"/>
              </w:rPr>
            </w:pPr>
            <w:r>
              <w:rPr>
                <w:sz w:val="18"/>
                <w:szCs w:val="18"/>
              </w:rPr>
              <w:t>68.3</w:t>
            </w:r>
          </w:p>
        </w:tc>
        <w:tc>
          <w:tcPr>
            <w:tcW w:w="678" w:type="dxa"/>
            <w:gridSpan w:val="2"/>
            <w:hideMark/>
          </w:tcPr>
          <w:p w14:paraId="6CC9043D" w14:textId="77777777" w:rsidR="00D8753A" w:rsidRDefault="00D8753A">
            <w:pPr>
              <w:pStyle w:val="NormalWeb"/>
              <w:rPr>
                <w:sz w:val="18"/>
                <w:szCs w:val="18"/>
              </w:rPr>
            </w:pPr>
            <w:r>
              <w:rPr>
                <w:sz w:val="18"/>
                <w:szCs w:val="18"/>
              </w:rPr>
              <w:t>34.0</w:t>
            </w:r>
          </w:p>
        </w:tc>
        <w:tc>
          <w:tcPr>
            <w:tcW w:w="1050" w:type="dxa"/>
            <w:hideMark/>
          </w:tcPr>
          <w:p w14:paraId="76B4809B" w14:textId="77777777" w:rsidR="00D8753A" w:rsidRDefault="00D8753A">
            <w:pPr>
              <w:pStyle w:val="NormalWeb"/>
              <w:rPr>
                <w:sz w:val="18"/>
                <w:szCs w:val="18"/>
              </w:rPr>
            </w:pPr>
            <w:r>
              <w:rPr>
                <w:sz w:val="18"/>
                <w:szCs w:val="18"/>
              </w:rPr>
              <w:t>57.1</w:t>
            </w:r>
          </w:p>
        </w:tc>
        <w:tc>
          <w:tcPr>
            <w:tcW w:w="678" w:type="dxa"/>
            <w:hideMark/>
          </w:tcPr>
          <w:p w14:paraId="05B6C29B" w14:textId="77777777" w:rsidR="00D8753A" w:rsidRDefault="00D8753A">
            <w:pPr>
              <w:pStyle w:val="NormalWeb"/>
              <w:rPr>
                <w:sz w:val="18"/>
                <w:szCs w:val="18"/>
              </w:rPr>
            </w:pPr>
            <w:r>
              <w:rPr>
                <w:sz w:val="18"/>
                <w:szCs w:val="18"/>
              </w:rPr>
              <w:t>38.3</w:t>
            </w:r>
          </w:p>
        </w:tc>
        <w:tc>
          <w:tcPr>
            <w:tcW w:w="1050" w:type="dxa"/>
            <w:hideMark/>
          </w:tcPr>
          <w:p w14:paraId="4F54775E" w14:textId="77777777" w:rsidR="00D8753A" w:rsidRDefault="00D8753A">
            <w:pPr>
              <w:pStyle w:val="NormalWeb"/>
              <w:rPr>
                <w:sz w:val="18"/>
                <w:szCs w:val="18"/>
              </w:rPr>
            </w:pPr>
            <w:r>
              <w:rPr>
                <w:sz w:val="18"/>
                <w:szCs w:val="18"/>
              </w:rPr>
              <w:t>56.0</w:t>
            </w:r>
          </w:p>
        </w:tc>
        <w:tc>
          <w:tcPr>
            <w:tcW w:w="678" w:type="dxa"/>
            <w:hideMark/>
          </w:tcPr>
          <w:p w14:paraId="767440CA" w14:textId="77777777" w:rsidR="00D8753A" w:rsidRDefault="00D8753A">
            <w:pPr>
              <w:pStyle w:val="NormalWeb"/>
              <w:rPr>
                <w:sz w:val="18"/>
                <w:szCs w:val="18"/>
              </w:rPr>
            </w:pPr>
            <w:r>
              <w:rPr>
                <w:sz w:val="18"/>
                <w:szCs w:val="18"/>
              </w:rPr>
              <w:t>43.4</w:t>
            </w:r>
          </w:p>
        </w:tc>
        <w:tc>
          <w:tcPr>
            <w:tcW w:w="1050" w:type="dxa"/>
            <w:hideMark/>
          </w:tcPr>
          <w:p w14:paraId="64E677F2" w14:textId="77777777" w:rsidR="00D8753A" w:rsidRDefault="00D8753A">
            <w:pPr>
              <w:pStyle w:val="NormalWeb"/>
              <w:rPr>
                <w:sz w:val="18"/>
                <w:szCs w:val="18"/>
              </w:rPr>
            </w:pPr>
            <w:r>
              <w:rPr>
                <w:sz w:val="18"/>
                <w:szCs w:val="18"/>
              </w:rPr>
              <w:t>64.7</w:t>
            </w:r>
          </w:p>
        </w:tc>
        <w:tc>
          <w:tcPr>
            <w:tcW w:w="678" w:type="dxa"/>
            <w:hideMark/>
          </w:tcPr>
          <w:p w14:paraId="789474C6" w14:textId="77777777" w:rsidR="00D8753A" w:rsidRDefault="00D8753A">
            <w:pPr>
              <w:pStyle w:val="NormalWeb"/>
              <w:rPr>
                <w:sz w:val="18"/>
                <w:szCs w:val="18"/>
              </w:rPr>
            </w:pPr>
            <w:r>
              <w:rPr>
                <w:sz w:val="18"/>
                <w:szCs w:val="18"/>
              </w:rPr>
              <w:t>36.6</w:t>
            </w:r>
          </w:p>
        </w:tc>
        <w:tc>
          <w:tcPr>
            <w:tcW w:w="1050" w:type="dxa"/>
            <w:hideMark/>
          </w:tcPr>
          <w:p w14:paraId="7250C56A" w14:textId="77777777" w:rsidR="00D8753A" w:rsidRDefault="00D8753A">
            <w:pPr>
              <w:pStyle w:val="NormalWeb"/>
              <w:rPr>
                <w:sz w:val="18"/>
                <w:szCs w:val="18"/>
              </w:rPr>
            </w:pPr>
            <w:r>
              <w:rPr>
                <w:sz w:val="18"/>
                <w:szCs w:val="18"/>
              </w:rPr>
              <w:t>56.1</w:t>
            </w:r>
          </w:p>
        </w:tc>
        <w:tc>
          <w:tcPr>
            <w:tcW w:w="678" w:type="dxa"/>
            <w:hideMark/>
          </w:tcPr>
          <w:p w14:paraId="1FB26C85" w14:textId="77777777" w:rsidR="00D8753A" w:rsidRDefault="00D8753A">
            <w:pPr>
              <w:pStyle w:val="NormalWeb"/>
              <w:rPr>
                <w:sz w:val="18"/>
                <w:szCs w:val="18"/>
              </w:rPr>
            </w:pPr>
            <w:r>
              <w:rPr>
                <w:sz w:val="18"/>
                <w:szCs w:val="18"/>
              </w:rPr>
              <w:t>39.2</w:t>
            </w:r>
          </w:p>
        </w:tc>
        <w:tc>
          <w:tcPr>
            <w:tcW w:w="1050" w:type="dxa"/>
            <w:hideMark/>
          </w:tcPr>
          <w:p w14:paraId="1AF9EB48" w14:textId="77777777" w:rsidR="00D8753A" w:rsidRDefault="00D8753A">
            <w:pPr>
              <w:pStyle w:val="NormalWeb"/>
              <w:rPr>
                <w:sz w:val="18"/>
                <w:szCs w:val="18"/>
              </w:rPr>
            </w:pPr>
            <w:r>
              <w:rPr>
                <w:sz w:val="18"/>
                <w:szCs w:val="18"/>
              </w:rPr>
              <w:t>55.3</w:t>
            </w:r>
          </w:p>
        </w:tc>
      </w:tr>
      <w:tr w:rsidR="00D8753A" w14:paraId="2B331077" w14:textId="77777777" w:rsidTr="00D8753A">
        <w:tc>
          <w:tcPr>
            <w:tcW w:w="1418" w:type="dxa"/>
            <w:hideMark/>
          </w:tcPr>
          <w:p w14:paraId="77BA0494" w14:textId="77777777" w:rsidR="00D8753A" w:rsidRDefault="00D8753A">
            <w:pPr>
              <w:pStyle w:val="NormalWeb"/>
              <w:rPr>
                <w:sz w:val="18"/>
                <w:szCs w:val="18"/>
              </w:rPr>
            </w:pPr>
            <w:r>
              <w:rPr>
                <w:sz w:val="18"/>
                <w:szCs w:val="18"/>
              </w:rPr>
              <w:t xml:space="preserve">65–74 </w:t>
            </w:r>
            <w:proofErr w:type="spellStart"/>
            <w:r>
              <w:rPr>
                <w:sz w:val="18"/>
                <w:szCs w:val="18"/>
              </w:rPr>
              <w:t>yr</w:t>
            </w:r>
            <w:proofErr w:type="spellEnd"/>
          </w:p>
        </w:tc>
        <w:tc>
          <w:tcPr>
            <w:tcW w:w="313" w:type="dxa"/>
            <w:hideMark/>
          </w:tcPr>
          <w:p w14:paraId="364E8D11" w14:textId="77777777" w:rsidR="00D8753A" w:rsidRDefault="00D8753A">
            <w:pPr>
              <w:pStyle w:val="NormalWeb"/>
              <w:rPr>
                <w:sz w:val="18"/>
                <w:szCs w:val="18"/>
              </w:rPr>
            </w:pPr>
            <w:r>
              <w:rPr>
                <w:sz w:val="18"/>
                <w:szCs w:val="18"/>
              </w:rPr>
              <w:t>67.0</w:t>
            </w:r>
          </w:p>
        </w:tc>
        <w:tc>
          <w:tcPr>
            <w:tcW w:w="1114" w:type="dxa"/>
            <w:hideMark/>
          </w:tcPr>
          <w:p w14:paraId="7E868862" w14:textId="77777777" w:rsidR="00D8753A" w:rsidRDefault="00D8753A">
            <w:pPr>
              <w:pStyle w:val="NormalWeb"/>
              <w:rPr>
                <w:sz w:val="18"/>
                <w:szCs w:val="18"/>
              </w:rPr>
            </w:pPr>
            <w:r>
              <w:rPr>
                <w:sz w:val="18"/>
                <w:szCs w:val="18"/>
              </w:rPr>
              <w:t>76.3</w:t>
            </w:r>
          </w:p>
        </w:tc>
        <w:tc>
          <w:tcPr>
            <w:tcW w:w="684" w:type="dxa"/>
            <w:hideMark/>
          </w:tcPr>
          <w:p w14:paraId="0A2B152F" w14:textId="77777777" w:rsidR="00D8753A" w:rsidRDefault="00D8753A">
            <w:pPr>
              <w:pStyle w:val="NormalWeb"/>
              <w:rPr>
                <w:sz w:val="18"/>
                <w:szCs w:val="18"/>
              </w:rPr>
            </w:pPr>
            <w:r>
              <w:rPr>
                <w:sz w:val="18"/>
                <w:szCs w:val="18"/>
              </w:rPr>
              <w:t>60.5</w:t>
            </w:r>
          </w:p>
        </w:tc>
        <w:tc>
          <w:tcPr>
            <w:tcW w:w="1050" w:type="dxa"/>
            <w:hideMark/>
          </w:tcPr>
          <w:p w14:paraId="31D87009" w14:textId="77777777" w:rsidR="00D8753A" w:rsidRDefault="00D8753A">
            <w:pPr>
              <w:pStyle w:val="NormalWeb"/>
              <w:rPr>
                <w:sz w:val="18"/>
                <w:szCs w:val="18"/>
              </w:rPr>
            </w:pPr>
            <w:r>
              <w:rPr>
                <w:sz w:val="18"/>
                <w:szCs w:val="18"/>
              </w:rPr>
              <w:t>78.3</w:t>
            </w:r>
          </w:p>
        </w:tc>
        <w:tc>
          <w:tcPr>
            <w:tcW w:w="678" w:type="dxa"/>
            <w:hideMark/>
          </w:tcPr>
          <w:p w14:paraId="574ED971" w14:textId="77777777" w:rsidR="00D8753A" w:rsidRDefault="00D8753A">
            <w:pPr>
              <w:pStyle w:val="NormalWeb"/>
              <w:rPr>
                <w:sz w:val="18"/>
                <w:szCs w:val="18"/>
              </w:rPr>
            </w:pPr>
            <w:r>
              <w:rPr>
                <w:sz w:val="18"/>
                <w:szCs w:val="18"/>
              </w:rPr>
              <w:t>46.1</w:t>
            </w:r>
          </w:p>
        </w:tc>
        <w:tc>
          <w:tcPr>
            <w:tcW w:w="1050" w:type="dxa"/>
            <w:hideMark/>
          </w:tcPr>
          <w:p w14:paraId="06F8AB88" w14:textId="77777777" w:rsidR="00D8753A" w:rsidRDefault="00D8753A">
            <w:pPr>
              <w:pStyle w:val="NormalWeb"/>
              <w:rPr>
                <w:sz w:val="18"/>
                <w:szCs w:val="18"/>
              </w:rPr>
            </w:pPr>
            <w:r>
              <w:rPr>
                <w:sz w:val="18"/>
                <w:szCs w:val="18"/>
              </w:rPr>
              <w:t>78.7</w:t>
            </w:r>
          </w:p>
        </w:tc>
        <w:tc>
          <w:tcPr>
            <w:tcW w:w="678" w:type="dxa"/>
            <w:gridSpan w:val="2"/>
            <w:hideMark/>
          </w:tcPr>
          <w:p w14:paraId="0CD92DF7" w14:textId="77777777" w:rsidR="00D8753A" w:rsidRDefault="00D8753A">
            <w:pPr>
              <w:pStyle w:val="NormalWeb"/>
              <w:rPr>
                <w:sz w:val="18"/>
                <w:szCs w:val="18"/>
              </w:rPr>
            </w:pPr>
            <w:r>
              <w:rPr>
                <w:sz w:val="18"/>
                <w:szCs w:val="18"/>
              </w:rPr>
              <w:t>66.0</w:t>
            </w:r>
          </w:p>
        </w:tc>
        <w:tc>
          <w:tcPr>
            <w:tcW w:w="1050" w:type="dxa"/>
            <w:hideMark/>
          </w:tcPr>
          <w:p w14:paraId="02C520FF" w14:textId="77777777" w:rsidR="00D8753A" w:rsidRDefault="00D8753A">
            <w:pPr>
              <w:pStyle w:val="NormalWeb"/>
              <w:rPr>
                <w:sz w:val="18"/>
                <w:szCs w:val="18"/>
              </w:rPr>
            </w:pPr>
            <w:r>
              <w:rPr>
                <w:sz w:val="18"/>
                <w:szCs w:val="18"/>
              </w:rPr>
              <w:t>79.9</w:t>
            </w:r>
          </w:p>
        </w:tc>
        <w:tc>
          <w:tcPr>
            <w:tcW w:w="678" w:type="dxa"/>
            <w:hideMark/>
          </w:tcPr>
          <w:p w14:paraId="5F8F75F5" w14:textId="77777777" w:rsidR="00D8753A" w:rsidRDefault="00D8753A">
            <w:pPr>
              <w:pStyle w:val="NormalWeb"/>
              <w:rPr>
                <w:sz w:val="18"/>
                <w:szCs w:val="18"/>
              </w:rPr>
            </w:pPr>
            <w:r>
              <w:rPr>
                <w:sz w:val="18"/>
                <w:szCs w:val="18"/>
              </w:rPr>
              <w:t>66.5</w:t>
            </w:r>
          </w:p>
        </w:tc>
        <w:tc>
          <w:tcPr>
            <w:tcW w:w="1050" w:type="dxa"/>
            <w:hideMark/>
          </w:tcPr>
          <w:p w14:paraId="1DAD0F00" w14:textId="77777777" w:rsidR="00D8753A" w:rsidRDefault="00D8753A">
            <w:pPr>
              <w:pStyle w:val="NormalWeb"/>
              <w:rPr>
                <w:sz w:val="18"/>
                <w:szCs w:val="18"/>
              </w:rPr>
            </w:pPr>
            <w:r>
              <w:rPr>
                <w:sz w:val="18"/>
                <w:szCs w:val="18"/>
              </w:rPr>
              <w:t>75.3</w:t>
            </w:r>
          </w:p>
        </w:tc>
        <w:tc>
          <w:tcPr>
            <w:tcW w:w="678" w:type="dxa"/>
            <w:hideMark/>
          </w:tcPr>
          <w:p w14:paraId="13253910" w14:textId="77777777" w:rsidR="00D8753A" w:rsidRDefault="00D8753A">
            <w:pPr>
              <w:pStyle w:val="NormalWeb"/>
              <w:rPr>
                <w:sz w:val="18"/>
                <w:szCs w:val="18"/>
              </w:rPr>
            </w:pPr>
            <w:r>
              <w:rPr>
                <w:sz w:val="18"/>
                <w:szCs w:val="18"/>
              </w:rPr>
              <w:t>70.8</w:t>
            </w:r>
          </w:p>
        </w:tc>
        <w:tc>
          <w:tcPr>
            <w:tcW w:w="1050" w:type="dxa"/>
            <w:hideMark/>
          </w:tcPr>
          <w:p w14:paraId="160AC7EC" w14:textId="77777777" w:rsidR="00D8753A" w:rsidRDefault="00D8753A">
            <w:pPr>
              <w:pStyle w:val="NormalWeb"/>
              <w:rPr>
                <w:sz w:val="18"/>
                <w:szCs w:val="18"/>
              </w:rPr>
            </w:pPr>
            <w:r>
              <w:rPr>
                <w:sz w:val="18"/>
                <w:szCs w:val="18"/>
              </w:rPr>
              <w:t>85.2</w:t>
            </w:r>
          </w:p>
        </w:tc>
        <w:tc>
          <w:tcPr>
            <w:tcW w:w="678" w:type="dxa"/>
            <w:hideMark/>
          </w:tcPr>
          <w:p w14:paraId="36A4698C" w14:textId="77777777" w:rsidR="00D8753A" w:rsidRDefault="00D8753A">
            <w:pPr>
              <w:pStyle w:val="NormalWeb"/>
              <w:rPr>
                <w:sz w:val="18"/>
                <w:szCs w:val="18"/>
              </w:rPr>
            </w:pPr>
            <w:r>
              <w:rPr>
                <w:sz w:val="18"/>
                <w:szCs w:val="18"/>
              </w:rPr>
              <w:t>62.8</w:t>
            </w:r>
          </w:p>
        </w:tc>
        <w:tc>
          <w:tcPr>
            <w:tcW w:w="1050" w:type="dxa"/>
            <w:hideMark/>
          </w:tcPr>
          <w:p w14:paraId="5C71FE45" w14:textId="77777777" w:rsidR="00D8753A" w:rsidRDefault="00D8753A">
            <w:pPr>
              <w:pStyle w:val="NormalWeb"/>
              <w:rPr>
                <w:sz w:val="18"/>
                <w:szCs w:val="18"/>
              </w:rPr>
            </w:pPr>
            <w:r>
              <w:rPr>
                <w:sz w:val="18"/>
                <w:szCs w:val="18"/>
              </w:rPr>
              <w:t>73.1</w:t>
            </w:r>
          </w:p>
        </w:tc>
        <w:tc>
          <w:tcPr>
            <w:tcW w:w="678" w:type="dxa"/>
            <w:hideMark/>
          </w:tcPr>
          <w:p w14:paraId="1C3471D0" w14:textId="77777777" w:rsidR="00D8753A" w:rsidRDefault="00D8753A">
            <w:pPr>
              <w:pStyle w:val="NormalWeb"/>
              <w:rPr>
                <w:sz w:val="18"/>
                <w:szCs w:val="18"/>
              </w:rPr>
            </w:pPr>
            <w:r>
              <w:rPr>
                <w:sz w:val="18"/>
                <w:szCs w:val="18"/>
              </w:rPr>
              <w:t>67.6</w:t>
            </w:r>
          </w:p>
        </w:tc>
        <w:tc>
          <w:tcPr>
            <w:tcW w:w="1050" w:type="dxa"/>
            <w:hideMark/>
          </w:tcPr>
          <w:p w14:paraId="22FEFCC0" w14:textId="77777777" w:rsidR="00D8753A" w:rsidRDefault="00D8753A">
            <w:pPr>
              <w:pStyle w:val="NormalWeb"/>
              <w:rPr>
                <w:sz w:val="18"/>
                <w:szCs w:val="18"/>
              </w:rPr>
            </w:pPr>
            <w:r>
              <w:rPr>
                <w:sz w:val="18"/>
                <w:szCs w:val="18"/>
              </w:rPr>
              <w:t>77.3</w:t>
            </w:r>
          </w:p>
        </w:tc>
      </w:tr>
      <w:tr w:rsidR="00D8753A" w14:paraId="2A1474CB" w14:textId="77777777" w:rsidTr="00D8753A">
        <w:trPr>
          <w:cnfStyle w:val="000000010000" w:firstRow="0" w:lastRow="0" w:firstColumn="0" w:lastColumn="0" w:oddVBand="0" w:evenVBand="0" w:oddHBand="0" w:evenHBand="1" w:firstRowFirstColumn="0" w:firstRowLastColumn="0" w:lastRowFirstColumn="0" w:lastRowLastColumn="0"/>
        </w:trPr>
        <w:tc>
          <w:tcPr>
            <w:tcW w:w="1418" w:type="dxa"/>
            <w:tcBorders>
              <w:top w:val="nil"/>
              <w:left w:val="nil"/>
              <w:bottom w:val="single" w:sz="2" w:space="0" w:color="auto"/>
              <w:right w:val="nil"/>
            </w:tcBorders>
            <w:hideMark/>
          </w:tcPr>
          <w:p w14:paraId="610B8057" w14:textId="77777777" w:rsidR="00D8753A" w:rsidRDefault="00D8753A">
            <w:pPr>
              <w:pStyle w:val="NormalWeb"/>
              <w:rPr>
                <w:sz w:val="18"/>
                <w:szCs w:val="18"/>
              </w:rPr>
            </w:pPr>
            <w:r>
              <w:rPr>
                <w:sz w:val="18"/>
                <w:szCs w:val="18"/>
              </w:rPr>
              <w:t xml:space="preserve">75+ </w:t>
            </w:r>
            <w:proofErr w:type="spellStart"/>
            <w:r>
              <w:rPr>
                <w:sz w:val="18"/>
                <w:szCs w:val="18"/>
              </w:rPr>
              <w:t>yr</w:t>
            </w:r>
            <w:proofErr w:type="spellEnd"/>
          </w:p>
        </w:tc>
        <w:tc>
          <w:tcPr>
            <w:tcW w:w="313" w:type="dxa"/>
            <w:tcBorders>
              <w:top w:val="nil"/>
              <w:left w:val="nil"/>
              <w:bottom w:val="single" w:sz="2" w:space="0" w:color="auto"/>
              <w:right w:val="nil"/>
            </w:tcBorders>
            <w:hideMark/>
          </w:tcPr>
          <w:p w14:paraId="11478504" w14:textId="77777777" w:rsidR="00D8753A" w:rsidRDefault="00D8753A">
            <w:pPr>
              <w:pStyle w:val="NormalWeb"/>
              <w:rPr>
                <w:sz w:val="18"/>
                <w:szCs w:val="18"/>
              </w:rPr>
            </w:pPr>
            <w:r>
              <w:rPr>
                <w:sz w:val="18"/>
                <w:szCs w:val="18"/>
              </w:rPr>
              <w:t>74.1</w:t>
            </w:r>
          </w:p>
        </w:tc>
        <w:tc>
          <w:tcPr>
            <w:tcW w:w="1114" w:type="dxa"/>
            <w:tcBorders>
              <w:top w:val="nil"/>
              <w:left w:val="nil"/>
              <w:bottom w:val="single" w:sz="2" w:space="0" w:color="auto"/>
              <w:right w:val="nil"/>
            </w:tcBorders>
            <w:hideMark/>
          </w:tcPr>
          <w:p w14:paraId="7FC6A425" w14:textId="77777777" w:rsidR="00D8753A" w:rsidRDefault="00D8753A">
            <w:pPr>
              <w:pStyle w:val="NormalWeb"/>
              <w:rPr>
                <w:sz w:val="18"/>
                <w:szCs w:val="18"/>
              </w:rPr>
            </w:pPr>
            <w:r>
              <w:rPr>
                <w:sz w:val="18"/>
                <w:szCs w:val="18"/>
              </w:rPr>
              <w:t>81.7</w:t>
            </w:r>
          </w:p>
        </w:tc>
        <w:tc>
          <w:tcPr>
            <w:tcW w:w="684" w:type="dxa"/>
            <w:tcBorders>
              <w:top w:val="nil"/>
              <w:left w:val="nil"/>
              <w:bottom w:val="single" w:sz="2" w:space="0" w:color="auto"/>
              <w:right w:val="nil"/>
            </w:tcBorders>
            <w:hideMark/>
          </w:tcPr>
          <w:p w14:paraId="02941A67" w14:textId="77777777" w:rsidR="00D8753A" w:rsidRDefault="00D8753A">
            <w:pPr>
              <w:pStyle w:val="NormalWeb"/>
              <w:rPr>
                <w:sz w:val="18"/>
                <w:szCs w:val="18"/>
              </w:rPr>
            </w:pPr>
            <w:r>
              <w:rPr>
                <w:sz w:val="18"/>
                <w:szCs w:val="18"/>
              </w:rPr>
              <w:t>66.1</w:t>
            </w:r>
          </w:p>
        </w:tc>
        <w:tc>
          <w:tcPr>
            <w:tcW w:w="1050" w:type="dxa"/>
            <w:tcBorders>
              <w:top w:val="nil"/>
              <w:left w:val="nil"/>
              <w:bottom w:val="single" w:sz="2" w:space="0" w:color="auto"/>
              <w:right w:val="nil"/>
            </w:tcBorders>
            <w:hideMark/>
          </w:tcPr>
          <w:p w14:paraId="06C597BF" w14:textId="77777777" w:rsidR="00D8753A" w:rsidRDefault="00D8753A">
            <w:pPr>
              <w:pStyle w:val="NormalWeb"/>
              <w:rPr>
                <w:sz w:val="18"/>
                <w:szCs w:val="18"/>
              </w:rPr>
            </w:pPr>
            <w:r>
              <w:rPr>
                <w:sz w:val="18"/>
                <w:szCs w:val="18"/>
              </w:rPr>
              <w:t>86.4</w:t>
            </w:r>
          </w:p>
        </w:tc>
        <w:tc>
          <w:tcPr>
            <w:tcW w:w="678" w:type="dxa"/>
            <w:tcBorders>
              <w:top w:val="nil"/>
              <w:left w:val="nil"/>
              <w:bottom w:val="single" w:sz="2" w:space="0" w:color="auto"/>
              <w:right w:val="nil"/>
            </w:tcBorders>
            <w:hideMark/>
          </w:tcPr>
          <w:p w14:paraId="655B21F3" w14:textId="77777777" w:rsidR="00D8753A" w:rsidRDefault="00D8753A">
            <w:pPr>
              <w:pStyle w:val="NormalWeb"/>
              <w:rPr>
                <w:sz w:val="18"/>
                <w:szCs w:val="18"/>
              </w:rPr>
            </w:pPr>
            <w:r>
              <w:rPr>
                <w:sz w:val="18"/>
                <w:szCs w:val="18"/>
              </w:rPr>
              <w:t>43.6</w:t>
            </w:r>
          </w:p>
        </w:tc>
        <w:tc>
          <w:tcPr>
            <w:tcW w:w="1050" w:type="dxa"/>
            <w:tcBorders>
              <w:top w:val="nil"/>
              <w:left w:val="nil"/>
              <w:bottom w:val="single" w:sz="2" w:space="0" w:color="auto"/>
              <w:right w:val="nil"/>
            </w:tcBorders>
            <w:hideMark/>
          </w:tcPr>
          <w:p w14:paraId="74325483" w14:textId="77777777" w:rsidR="00D8753A" w:rsidRDefault="00D8753A">
            <w:pPr>
              <w:pStyle w:val="NormalWeb"/>
              <w:rPr>
                <w:sz w:val="18"/>
                <w:szCs w:val="18"/>
              </w:rPr>
            </w:pPr>
            <w:r>
              <w:rPr>
                <w:sz w:val="18"/>
                <w:szCs w:val="18"/>
              </w:rPr>
              <w:t>71.0</w:t>
            </w:r>
          </w:p>
        </w:tc>
        <w:tc>
          <w:tcPr>
            <w:tcW w:w="678" w:type="dxa"/>
            <w:gridSpan w:val="2"/>
            <w:tcBorders>
              <w:top w:val="nil"/>
              <w:left w:val="nil"/>
              <w:bottom w:val="single" w:sz="2" w:space="0" w:color="auto"/>
              <w:right w:val="nil"/>
            </w:tcBorders>
            <w:hideMark/>
          </w:tcPr>
          <w:p w14:paraId="49E11010" w14:textId="77777777" w:rsidR="00D8753A" w:rsidRDefault="00D8753A">
            <w:pPr>
              <w:pStyle w:val="NormalWeb"/>
              <w:rPr>
                <w:sz w:val="18"/>
                <w:szCs w:val="18"/>
              </w:rPr>
            </w:pPr>
            <w:r>
              <w:rPr>
                <w:sz w:val="18"/>
                <w:szCs w:val="18"/>
              </w:rPr>
              <w:t>74.4</w:t>
            </w:r>
          </w:p>
        </w:tc>
        <w:tc>
          <w:tcPr>
            <w:tcW w:w="1050" w:type="dxa"/>
            <w:tcBorders>
              <w:top w:val="nil"/>
              <w:left w:val="nil"/>
              <w:bottom w:val="single" w:sz="2" w:space="0" w:color="auto"/>
              <w:right w:val="nil"/>
            </w:tcBorders>
            <w:hideMark/>
          </w:tcPr>
          <w:p w14:paraId="5A3213FF" w14:textId="77777777" w:rsidR="00D8753A" w:rsidRDefault="00D8753A">
            <w:pPr>
              <w:pStyle w:val="NormalWeb"/>
              <w:rPr>
                <w:sz w:val="18"/>
                <w:szCs w:val="18"/>
              </w:rPr>
            </w:pPr>
            <w:r>
              <w:rPr>
                <w:sz w:val="18"/>
                <w:szCs w:val="18"/>
              </w:rPr>
              <w:t>83.1</w:t>
            </w:r>
          </w:p>
        </w:tc>
        <w:tc>
          <w:tcPr>
            <w:tcW w:w="678" w:type="dxa"/>
            <w:tcBorders>
              <w:top w:val="nil"/>
              <w:left w:val="nil"/>
              <w:bottom w:val="single" w:sz="2" w:space="0" w:color="auto"/>
              <w:right w:val="nil"/>
            </w:tcBorders>
            <w:hideMark/>
          </w:tcPr>
          <w:p w14:paraId="4E3603D7" w14:textId="77777777" w:rsidR="00D8753A" w:rsidRDefault="00D8753A">
            <w:pPr>
              <w:pStyle w:val="NormalWeb"/>
              <w:rPr>
                <w:sz w:val="18"/>
                <w:szCs w:val="18"/>
              </w:rPr>
            </w:pPr>
            <w:r>
              <w:rPr>
                <w:sz w:val="18"/>
                <w:szCs w:val="18"/>
              </w:rPr>
              <w:t>72.7</w:t>
            </w:r>
          </w:p>
        </w:tc>
        <w:tc>
          <w:tcPr>
            <w:tcW w:w="1050" w:type="dxa"/>
            <w:tcBorders>
              <w:top w:val="nil"/>
              <w:left w:val="nil"/>
              <w:bottom w:val="single" w:sz="2" w:space="0" w:color="auto"/>
              <w:right w:val="nil"/>
            </w:tcBorders>
            <w:hideMark/>
          </w:tcPr>
          <w:p w14:paraId="093E1FA8" w14:textId="77777777" w:rsidR="00D8753A" w:rsidRDefault="00D8753A">
            <w:pPr>
              <w:pStyle w:val="NormalWeb"/>
              <w:rPr>
                <w:sz w:val="18"/>
                <w:szCs w:val="18"/>
              </w:rPr>
            </w:pPr>
            <w:r>
              <w:rPr>
                <w:sz w:val="18"/>
                <w:szCs w:val="18"/>
              </w:rPr>
              <w:t>75.5</w:t>
            </w:r>
          </w:p>
        </w:tc>
        <w:tc>
          <w:tcPr>
            <w:tcW w:w="678" w:type="dxa"/>
            <w:tcBorders>
              <w:top w:val="nil"/>
              <w:left w:val="nil"/>
              <w:bottom w:val="single" w:sz="2" w:space="0" w:color="auto"/>
              <w:right w:val="nil"/>
            </w:tcBorders>
            <w:hideMark/>
          </w:tcPr>
          <w:p w14:paraId="2F512DA0" w14:textId="77777777" w:rsidR="00D8753A" w:rsidRDefault="00D8753A">
            <w:pPr>
              <w:pStyle w:val="NormalWeb"/>
              <w:rPr>
                <w:sz w:val="18"/>
                <w:szCs w:val="18"/>
              </w:rPr>
            </w:pPr>
            <w:r>
              <w:rPr>
                <w:sz w:val="18"/>
                <w:szCs w:val="18"/>
              </w:rPr>
              <w:t>79.6</w:t>
            </w:r>
          </w:p>
        </w:tc>
        <w:tc>
          <w:tcPr>
            <w:tcW w:w="1050" w:type="dxa"/>
            <w:tcBorders>
              <w:top w:val="nil"/>
              <w:left w:val="nil"/>
              <w:bottom w:val="single" w:sz="2" w:space="0" w:color="auto"/>
              <w:right w:val="nil"/>
            </w:tcBorders>
            <w:hideMark/>
          </w:tcPr>
          <w:p w14:paraId="58501270" w14:textId="77777777" w:rsidR="00D8753A" w:rsidRDefault="00D8753A">
            <w:pPr>
              <w:pStyle w:val="NormalWeb"/>
              <w:rPr>
                <w:sz w:val="18"/>
                <w:szCs w:val="18"/>
              </w:rPr>
            </w:pPr>
            <w:r>
              <w:rPr>
                <w:sz w:val="18"/>
                <w:szCs w:val="18"/>
              </w:rPr>
              <w:t>95.5</w:t>
            </w:r>
          </w:p>
        </w:tc>
        <w:tc>
          <w:tcPr>
            <w:tcW w:w="678" w:type="dxa"/>
            <w:tcBorders>
              <w:top w:val="nil"/>
              <w:left w:val="nil"/>
              <w:bottom w:val="single" w:sz="2" w:space="0" w:color="auto"/>
              <w:right w:val="nil"/>
            </w:tcBorders>
            <w:hideMark/>
          </w:tcPr>
          <w:p w14:paraId="12E03F30" w14:textId="77777777" w:rsidR="00D8753A" w:rsidRDefault="00D8753A">
            <w:pPr>
              <w:pStyle w:val="NormalWeb"/>
              <w:rPr>
                <w:sz w:val="18"/>
                <w:szCs w:val="18"/>
              </w:rPr>
            </w:pPr>
            <w:r>
              <w:rPr>
                <w:sz w:val="18"/>
                <w:szCs w:val="18"/>
              </w:rPr>
              <w:t>67.6</w:t>
            </w:r>
          </w:p>
        </w:tc>
        <w:tc>
          <w:tcPr>
            <w:tcW w:w="1050" w:type="dxa"/>
            <w:tcBorders>
              <w:top w:val="nil"/>
              <w:left w:val="nil"/>
              <w:bottom w:val="single" w:sz="2" w:space="0" w:color="auto"/>
              <w:right w:val="nil"/>
            </w:tcBorders>
            <w:hideMark/>
          </w:tcPr>
          <w:p w14:paraId="3FE4C883" w14:textId="77777777" w:rsidR="00D8753A" w:rsidRDefault="00D8753A">
            <w:pPr>
              <w:pStyle w:val="NormalWeb"/>
              <w:rPr>
                <w:sz w:val="18"/>
                <w:szCs w:val="18"/>
              </w:rPr>
            </w:pPr>
            <w:r>
              <w:rPr>
                <w:sz w:val="18"/>
                <w:szCs w:val="18"/>
              </w:rPr>
              <w:t>77.0</w:t>
            </w:r>
          </w:p>
        </w:tc>
        <w:tc>
          <w:tcPr>
            <w:tcW w:w="678" w:type="dxa"/>
            <w:tcBorders>
              <w:top w:val="nil"/>
              <w:left w:val="nil"/>
              <w:bottom w:val="single" w:sz="2" w:space="0" w:color="auto"/>
              <w:right w:val="nil"/>
            </w:tcBorders>
            <w:hideMark/>
          </w:tcPr>
          <w:p w14:paraId="46ED2CA5" w14:textId="77777777" w:rsidR="00D8753A" w:rsidRDefault="00D8753A">
            <w:pPr>
              <w:pStyle w:val="NormalWeb"/>
              <w:rPr>
                <w:sz w:val="18"/>
                <w:szCs w:val="18"/>
              </w:rPr>
            </w:pPr>
            <w:r>
              <w:rPr>
                <w:sz w:val="18"/>
                <w:szCs w:val="18"/>
              </w:rPr>
              <w:t>76.0</w:t>
            </w:r>
          </w:p>
        </w:tc>
        <w:tc>
          <w:tcPr>
            <w:tcW w:w="1050" w:type="dxa"/>
            <w:tcBorders>
              <w:top w:val="nil"/>
              <w:left w:val="nil"/>
              <w:bottom w:val="single" w:sz="2" w:space="0" w:color="auto"/>
              <w:right w:val="nil"/>
            </w:tcBorders>
            <w:hideMark/>
          </w:tcPr>
          <w:p w14:paraId="13D694BB" w14:textId="77777777" w:rsidR="00D8753A" w:rsidRDefault="00D8753A">
            <w:pPr>
              <w:pStyle w:val="NormalWeb"/>
              <w:rPr>
                <w:sz w:val="18"/>
                <w:szCs w:val="18"/>
              </w:rPr>
            </w:pPr>
            <w:r>
              <w:rPr>
                <w:sz w:val="18"/>
                <w:szCs w:val="18"/>
              </w:rPr>
              <w:t>76.4</w:t>
            </w:r>
          </w:p>
        </w:tc>
      </w:tr>
      <w:tr w:rsidR="00170A79" w14:paraId="0A300203" w14:textId="77777777" w:rsidTr="00D8753A">
        <w:tc>
          <w:tcPr>
            <w:tcW w:w="1418" w:type="dxa"/>
            <w:tcBorders>
              <w:top w:val="single" w:sz="2" w:space="0" w:color="auto"/>
              <w:left w:val="nil"/>
              <w:bottom w:val="single" w:sz="2" w:space="0" w:color="auto"/>
              <w:right w:val="nil"/>
            </w:tcBorders>
            <w:shd w:val="clear" w:color="auto" w:fill="F7ECDD"/>
            <w:hideMark/>
          </w:tcPr>
          <w:p w14:paraId="6DD165B0" w14:textId="77777777" w:rsidR="00D8753A" w:rsidRDefault="00D8753A">
            <w:pPr>
              <w:pStyle w:val="NormalWeb"/>
              <w:rPr>
                <w:b/>
                <w:bCs/>
                <w:sz w:val="18"/>
                <w:szCs w:val="18"/>
              </w:rPr>
            </w:pPr>
            <w:r>
              <w:rPr>
                <w:b/>
                <w:bCs/>
                <w:sz w:val="18"/>
                <w:szCs w:val="18"/>
              </w:rPr>
              <w:t xml:space="preserve">Total (≥ 6 </w:t>
            </w:r>
            <w:proofErr w:type="spellStart"/>
            <w:r>
              <w:rPr>
                <w:b/>
                <w:bCs/>
                <w:sz w:val="18"/>
                <w:szCs w:val="18"/>
              </w:rPr>
              <w:t>mo</w:t>
            </w:r>
            <w:proofErr w:type="spellEnd"/>
            <w:r>
              <w:rPr>
                <w:b/>
                <w:bCs/>
                <w:sz w:val="18"/>
                <w:szCs w:val="18"/>
              </w:rPr>
              <w:t>)</w:t>
            </w:r>
          </w:p>
        </w:tc>
        <w:tc>
          <w:tcPr>
            <w:tcW w:w="313" w:type="dxa"/>
            <w:tcBorders>
              <w:top w:val="single" w:sz="2" w:space="0" w:color="auto"/>
              <w:left w:val="nil"/>
              <w:bottom w:val="single" w:sz="2" w:space="0" w:color="auto"/>
              <w:right w:val="nil"/>
            </w:tcBorders>
            <w:shd w:val="clear" w:color="auto" w:fill="F7ECDD"/>
            <w:hideMark/>
          </w:tcPr>
          <w:p w14:paraId="1536F7E4" w14:textId="77777777" w:rsidR="00D8753A" w:rsidRDefault="00D8753A">
            <w:pPr>
              <w:pStyle w:val="NormalWeb"/>
              <w:rPr>
                <w:b/>
                <w:bCs/>
                <w:sz w:val="18"/>
                <w:szCs w:val="18"/>
              </w:rPr>
            </w:pPr>
            <w:r>
              <w:rPr>
                <w:b/>
                <w:bCs/>
                <w:sz w:val="18"/>
                <w:szCs w:val="18"/>
              </w:rPr>
              <w:t>35.8</w:t>
            </w:r>
          </w:p>
        </w:tc>
        <w:tc>
          <w:tcPr>
            <w:tcW w:w="1114" w:type="dxa"/>
            <w:tcBorders>
              <w:top w:val="single" w:sz="2" w:space="0" w:color="auto"/>
              <w:left w:val="nil"/>
              <w:bottom w:val="single" w:sz="2" w:space="0" w:color="auto"/>
              <w:right w:val="nil"/>
            </w:tcBorders>
            <w:shd w:val="clear" w:color="auto" w:fill="F7ECDD"/>
            <w:hideMark/>
          </w:tcPr>
          <w:p w14:paraId="78D0AF7B" w14:textId="77777777" w:rsidR="00D8753A" w:rsidRDefault="00D8753A">
            <w:pPr>
              <w:pStyle w:val="NormalWeb"/>
              <w:rPr>
                <w:b/>
                <w:bCs/>
                <w:sz w:val="18"/>
                <w:szCs w:val="18"/>
              </w:rPr>
            </w:pPr>
            <w:r>
              <w:rPr>
                <w:b/>
                <w:bCs/>
                <w:sz w:val="18"/>
                <w:szCs w:val="18"/>
              </w:rPr>
              <w:t>39.9</w:t>
            </w:r>
          </w:p>
        </w:tc>
        <w:tc>
          <w:tcPr>
            <w:tcW w:w="684" w:type="dxa"/>
            <w:tcBorders>
              <w:top w:val="single" w:sz="2" w:space="0" w:color="auto"/>
              <w:left w:val="nil"/>
              <w:bottom w:val="single" w:sz="2" w:space="0" w:color="auto"/>
              <w:right w:val="nil"/>
            </w:tcBorders>
            <w:shd w:val="clear" w:color="auto" w:fill="F7ECDD"/>
            <w:hideMark/>
          </w:tcPr>
          <w:p w14:paraId="78E8F0B9" w14:textId="77777777" w:rsidR="00D8753A" w:rsidRDefault="00D8753A">
            <w:pPr>
              <w:pStyle w:val="NormalWeb"/>
              <w:rPr>
                <w:b/>
                <w:bCs/>
                <w:sz w:val="18"/>
                <w:szCs w:val="18"/>
              </w:rPr>
            </w:pPr>
            <w:r>
              <w:rPr>
                <w:b/>
                <w:bCs/>
                <w:sz w:val="18"/>
                <w:szCs w:val="18"/>
              </w:rPr>
              <w:t>32.5</w:t>
            </w:r>
          </w:p>
        </w:tc>
        <w:tc>
          <w:tcPr>
            <w:tcW w:w="1050" w:type="dxa"/>
            <w:tcBorders>
              <w:top w:val="single" w:sz="2" w:space="0" w:color="auto"/>
              <w:left w:val="nil"/>
              <w:bottom w:val="single" w:sz="2" w:space="0" w:color="auto"/>
              <w:right w:val="nil"/>
            </w:tcBorders>
            <w:shd w:val="clear" w:color="auto" w:fill="F7ECDD"/>
            <w:hideMark/>
          </w:tcPr>
          <w:p w14:paraId="1B67F0E8" w14:textId="77777777" w:rsidR="00D8753A" w:rsidRDefault="00D8753A">
            <w:pPr>
              <w:pStyle w:val="NormalWeb"/>
              <w:rPr>
                <w:b/>
                <w:bCs/>
                <w:sz w:val="18"/>
                <w:szCs w:val="18"/>
              </w:rPr>
            </w:pPr>
            <w:r>
              <w:rPr>
                <w:b/>
                <w:bCs/>
                <w:sz w:val="18"/>
                <w:szCs w:val="18"/>
              </w:rPr>
              <w:t>37.8</w:t>
            </w:r>
          </w:p>
        </w:tc>
        <w:tc>
          <w:tcPr>
            <w:tcW w:w="678" w:type="dxa"/>
            <w:tcBorders>
              <w:top w:val="single" w:sz="2" w:space="0" w:color="auto"/>
              <w:left w:val="nil"/>
              <w:bottom w:val="single" w:sz="2" w:space="0" w:color="auto"/>
              <w:right w:val="nil"/>
            </w:tcBorders>
            <w:shd w:val="clear" w:color="auto" w:fill="F7ECDD"/>
            <w:hideMark/>
          </w:tcPr>
          <w:p w14:paraId="7D91A5F5" w14:textId="77777777" w:rsidR="00D8753A" w:rsidRDefault="00D8753A">
            <w:pPr>
              <w:pStyle w:val="NormalWeb"/>
              <w:rPr>
                <w:b/>
                <w:bCs/>
                <w:sz w:val="18"/>
                <w:szCs w:val="18"/>
              </w:rPr>
            </w:pPr>
            <w:r>
              <w:rPr>
                <w:b/>
                <w:bCs/>
                <w:sz w:val="18"/>
                <w:szCs w:val="18"/>
              </w:rPr>
              <w:t>30.9</w:t>
            </w:r>
          </w:p>
        </w:tc>
        <w:tc>
          <w:tcPr>
            <w:tcW w:w="1050" w:type="dxa"/>
            <w:tcBorders>
              <w:top w:val="single" w:sz="2" w:space="0" w:color="auto"/>
              <w:left w:val="nil"/>
              <w:bottom w:val="single" w:sz="2" w:space="0" w:color="auto"/>
              <w:right w:val="nil"/>
            </w:tcBorders>
            <w:shd w:val="clear" w:color="auto" w:fill="F7ECDD"/>
            <w:hideMark/>
          </w:tcPr>
          <w:p w14:paraId="57989240" w14:textId="77777777" w:rsidR="00D8753A" w:rsidRDefault="00D8753A">
            <w:pPr>
              <w:pStyle w:val="NormalWeb"/>
              <w:rPr>
                <w:b/>
                <w:bCs/>
                <w:sz w:val="18"/>
                <w:szCs w:val="18"/>
              </w:rPr>
            </w:pPr>
            <w:r>
              <w:rPr>
                <w:b/>
                <w:bCs/>
                <w:sz w:val="18"/>
                <w:szCs w:val="18"/>
              </w:rPr>
              <w:t>55.5</w:t>
            </w:r>
          </w:p>
        </w:tc>
        <w:tc>
          <w:tcPr>
            <w:tcW w:w="678" w:type="dxa"/>
            <w:gridSpan w:val="2"/>
            <w:tcBorders>
              <w:top w:val="single" w:sz="2" w:space="0" w:color="auto"/>
              <w:left w:val="nil"/>
              <w:bottom w:val="single" w:sz="2" w:space="0" w:color="auto"/>
              <w:right w:val="nil"/>
            </w:tcBorders>
            <w:shd w:val="clear" w:color="auto" w:fill="F7ECDD"/>
            <w:hideMark/>
          </w:tcPr>
          <w:p w14:paraId="132F90F9" w14:textId="77777777" w:rsidR="00D8753A" w:rsidRDefault="00D8753A">
            <w:pPr>
              <w:pStyle w:val="NormalWeb"/>
              <w:rPr>
                <w:b/>
                <w:bCs/>
                <w:sz w:val="18"/>
                <w:szCs w:val="18"/>
              </w:rPr>
            </w:pPr>
            <w:r>
              <w:rPr>
                <w:b/>
                <w:bCs/>
                <w:sz w:val="18"/>
                <w:szCs w:val="18"/>
              </w:rPr>
              <w:t>32.3</w:t>
            </w:r>
          </w:p>
        </w:tc>
        <w:tc>
          <w:tcPr>
            <w:tcW w:w="1050" w:type="dxa"/>
            <w:tcBorders>
              <w:top w:val="single" w:sz="2" w:space="0" w:color="auto"/>
              <w:left w:val="nil"/>
              <w:bottom w:val="single" w:sz="2" w:space="0" w:color="auto"/>
              <w:right w:val="nil"/>
            </w:tcBorders>
            <w:shd w:val="clear" w:color="auto" w:fill="F7ECDD"/>
            <w:hideMark/>
          </w:tcPr>
          <w:p w14:paraId="22D94D44" w14:textId="77777777" w:rsidR="00D8753A" w:rsidRDefault="00D8753A">
            <w:pPr>
              <w:pStyle w:val="NormalWeb"/>
              <w:rPr>
                <w:b/>
                <w:bCs/>
                <w:sz w:val="18"/>
                <w:szCs w:val="18"/>
              </w:rPr>
            </w:pPr>
            <w:r>
              <w:rPr>
                <w:b/>
                <w:bCs/>
                <w:sz w:val="18"/>
                <w:szCs w:val="18"/>
              </w:rPr>
              <w:t>36.7</w:t>
            </w:r>
          </w:p>
        </w:tc>
        <w:tc>
          <w:tcPr>
            <w:tcW w:w="678" w:type="dxa"/>
            <w:tcBorders>
              <w:top w:val="single" w:sz="2" w:space="0" w:color="auto"/>
              <w:left w:val="nil"/>
              <w:bottom w:val="single" w:sz="2" w:space="0" w:color="auto"/>
              <w:right w:val="nil"/>
            </w:tcBorders>
            <w:shd w:val="clear" w:color="auto" w:fill="F7ECDD"/>
            <w:hideMark/>
          </w:tcPr>
          <w:p w14:paraId="0575F503" w14:textId="77777777" w:rsidR="00D8753A" w:rsidRDefault="00D8753A">
            <w:pPr>
              <w:pStyle w:val="NormalWeb"/>
              <w:rPr>
                <w:b/>
                <w:bCs/>
                <w:sz w:val="18"/>
                <w:szCs w:val="18"/>
              </w:rPr>
            </w:pPr>
            <w:r>
              <w:rPr>
                <w:b/>
                <w:bCs/>
                <w:sz w:val="18"/>
                <w:szCs w:val="18"/>
              </w:rPr>
              <w:t>38.0</w:t>
            </w:r>
          </w:p>
        </w:tc>
        <w:tc>
          <w:tcPr>
            <w:tcW w:w="1050" w:type="dxa"/>
            <w:tcBorders>
              <w:top w:val="single" w:sz="2" w:space="0" w:color="auto"/>
              <w:left w:val="nil"/>
              <w:bottom w:val="single" w:sz="2" w:space="0" w:color="auto"/>
              <w:right w:val="nil"/>
            </w:tcBorders>
            <w:shd w:val="clear" w:color="auto" w:fill="F7ECDD"/>
            <w:hideMark/>
          </w:tcPr>
          <w:p w14:paraId="19451643" w14:textId="77777777" w:rsidR="00D8753A" w:rsidRDefault="00D8753A">
            <w:pPr>
              <w:pStyle w:val="NormalWeb"/>
              <w:rPr>
                <w:b/>
                <w:bCs/>
                <w:sz w:val="18"/>
                <w:szCs w:val="18"/>
              </w:rPr>
            </w:pPr>
            <w:r>
              <w:rPr>
                <w:b/>
                <w:bCs/>
                <w:sz w:val="18"/>
                <w:szCs w:val="18"/>
              </w:rPr>
              <w:t>38.6</w:t>
            </w:r>
          </w:p>
        </w:tc>
        <w:tc>
          <w:tcPr>
            <w:tcW w:w="678" w:type="dxa"/>
            <w:tcBorders>
              <w:top w:val="single" w:sz="2" w:space="0" w:color="auto"/>
              <w:left w:val="nil"/>
              <w:bottom w:val="single" w:sz="2" w:space="0" w:color="auto"/>
              <w:right w:val="nil"/>
            </w:tcBorders>
            <w:shd w:val="clear" w:color="auto" w:fill="F7ECDD"/>
            <w:hideMark/>
          </w:tcPr>
          <w:p w14:paraId="0A73B53A" w14:textId="77777777" w:rsidR="00D8753A" w:rsidRDefault="00D8753A">
            <w:pPr>
              <w:pStyle w:val="NormalWeb"/>
              <w:rPr>
                <w:b/>
                <w:bCs/>
                <w:sz w:val="18"/>
                <w:szCs w:val="18"/>
              </w:rPr>
            </w:pPr>
            <w:r>
              <w:rPr>
                <w:b/>
                <w:bCs/>
                <w:sz w:val="18"/>
                <w:szCs w:val="18"/>
              </w:rPr>
              <w:t>40.0</w:t>
            </w:r>
          </w:p>
        </w:tc>
        <w:tc>
          <w:tcPr>
            <w:tcW w:w="1050" w:type="dxa"/>
            <w:tcBorders>
              <w:top w:val="single" w:sz="2" w:space="0" w:color="auto"/>
              <w:left w:val="nil"/>
              <w:bottom w:val="single" w:sz="2" w:space="0" w:color="auto"/>
              <w:right w:val="nil"/>
            </w:tcBorders>
            <w:shd w:val="clear" w:color="auto" w:fill="F7ECDD"/>
            <w:hideMark/>
          </w:tcPr>
          <w:p w14:paraId="13FC1DFB" w14:textId="77777777" w:rsidR="00D8753A" w:rsidRDefault="00D8753A">
            <w:pPr>
              <w:pStyle w:val="NormalWeb"/>
              <w:rPr>
                <w:b/>
                <w:bCs/>
                <w:sz w:val="18"/>
                <w:szCs w:val="18"/>
              </w:rPr>
            </w:pPr>
            <w:r>
              <w:rPr>
                <w:b/>
                <w:bCs/>
                <w:sz w:val="18"/>
                <w:szCs w:val="18"/>
              </w:rPr>
              <w:t>43.2</w:t>
            </w:r>
          </w:p>
        </w:tc>
        <w:tc>
          <w:tcPr>
            <w:tcW w:w="678" w:type="dxa"/>
            <w:tcBorders>
              <w:top w:val="single" w:sz="2" w:space="0" w:color="auto"/>
              <w:left w:val="nil"/>
              <w:bottom w:val="single" w:sz="2" w:space="0" w:color="auto"/>
              <w:right w:val="nil"/>
            </w:tcBorders>
            <w:shd w:val="clear" w:color="auto" w:fill="F7ECDD"/>
            <w:hideMark/>
          </w:tcPr>
          <w:p w14:paraId="4A16EA98" w14:textId="77777777" w:rsidR="00D8753A" w:rsidRDefault="00D8753A">
            <w:pPr>
              <w:pStyle w:val="NormalWeb"/>
              <w:rPr>
                <w:b/>
                <w:bCs/>
                <w:sz w:val="18"/>
                <w:szCs w:val="18"/>
              </w:rPr>
            </w:pPr>
            <w:r>
              <w:rPr>
                <w:b/>
                <w:bCs/>
                <w:sz w:val="18"/>
                <w:szCs w:val="18"/>
              </w:rPr>
              <w:t>35.0</w:t>
            </w:r>
          </w:p>
        </w:tc>
        <w:tc>
          <w:tcPr>
            <w:tcW w:w="1050" w:type="dxa"/>
            <w:tcBorders>
              <w:top w:val="single" w:sz="2" w:space="0" w:color="auto"/>
              <w:left w:val="nil"/>
              <w:bottom w:val="single" w:sz="2" w:space="0" w:color="auto"/>
              <w:right w:val="nil"/>
            </w:tcBorders>
            <w:shd w:val="clear" w:color="auto" w:fill="F7ECDD"/>
            <w:hideMark/>
          </w:tcPr>
          <w:p w14:paraId="6C329CD6" w14:textId="77777777" w:rsidR="00D8753A" w:rsidRDefault="00D8753A">
            <w:pPr>
              <w:pStyle w:val="NormalWeb"/>
              <w:rPr>
                <w:b/>
                <w:bCs/>
                <w:sz w:val="18"/>
                <w:szCs w:val="18"/>
              </w:rPr>
            </w:pPr>
            <w:r>
              <w:rPr>
                <w:b/>
                <w:bCs/>
                <w:sz w:val="18"/>
                <w:szCs w:val="18"/>
              </w:rPr>
              <w:t>47.6</w:t>
            </w:r>
          </w:p>
        </w:tc>
        <w:tc>
          <w:tcPr>
            <w:tcW w:w="678" w:type="dxa"/>
            <w:tcBorders>
              <w:top w:val="single" w:sz="2" w:space="0" w:color="auto"/>
              <w:left w:val="nil"/>
              <w:bottom w:val="single" w:sz="2" w:space="0" w:color="auto"/>
              <w:right w:val="nil"/>
            </w:tcBorders>
            <w:shd w:val="clear" w:color="auto" w:fill="F7ECDD"/>
            <w:hideMark/>
          </w:tcPr>
          <w:p w14:paraId="6CB7B2DA" w14:textId="77777777" w:rsidR="00D8753A" w:rsidRDefault="00D8753A">
            <w:pPr>
              <w:pStyle w:val="NormalWeb"/>
              <w:rPr>
                <w:b/>
                <w:bCs/>
                <w:sz w:val="18"/>
                <w:szCs w:val="18"/>
              </w:rPr>
            </w:pPr>
            <w:r>
              <w:rPr>
                <w:b/>
                <w:bCs/>
                <w:sz w:val="18"/>
                <w:szCs w:val="18"/>
              </w:rPr>
              <w:t>37.5</w:t>
            </w:r>
          </w:p>
        </w:tc>
        <w:tc>
          <w:tcPr>
            <w:tcW w:w="1050" w:type="dxa"/>
            <w:tcBorders>
              <w:top w:val="single" w:sz="2" w:space="0" w:color="auto"/>
              <w:left w:val="nil"/>
              <w:bottom w:val="single" w:sz="2" w:space="0" w:color="auto"/>
              <w:right w:val="nil"/>
            </w:tcBorders>
            <w:shd w:val="clear" w:color="auto" w:fill="F7ECDD"/>
            <w:hideMark/>
          </w:tcPr>
          <w:p w14:paraId="5E5551CD" w14:textId="77777777" w:rsidR="00D8753A" w:rsidRDefault="00D8753A">
            <w:pPr>
              <w:pStyle w:val="NormalWeb"/>
              <w:rPr>
                <w:b/>
                <w:bCs/>
                <w:sz w:val="18"/>
                <w:szCs w:val="18"/>
              </w:rPr>
            </w:pPr>
            <w:r>
              <w:rPr>
                <w:b/>
                <w:bCs/>
                <w:sz w:val="18"/>
                <w:szCs w:val="18"/>
              </w:rPr>
              <w:t>39.2</w:t>
            </w:r>
          </w:p>
        </w:tc>
      </w:tr>
    </w:tbl>
    <w:p w14:paraId="6EC9ED13" w14:textId="77777777" w:rsidR="00D8753A" w:rsidRDefault="00D8753A" w:rsidP="00D8753A">
      <w:pPr>
        <w:pStyle w:val="CDIfootnotes"/>
        <w:rPr>
          <w:lang w:val="en-GB"/>
        </w:rPr>
      </w:pPr>
      <w:proofErr w:type="spellStart"/>
      <w:r>
        <w:rPr>
          <w:lang w:val="en-GB"/>
        </w:rPr>
        <w:t>a</w:t>
      </w:r>
      <w:proofErr w:type="spellEnd"/>
      <w:r>
        <w:rPr>
          <w:lang w:val="en-GB"/>
        </w:rPr>
        <w:tab/>
      </w:r>
      <w:proofErr w:type="gramStart"/>
      <w:r>
        <w:rPr>
          <w:lang w:val="en-GB"/>
        </w:rPr>
        <w:t>At</w:t>
      </w:r>
      <w:proofErr w:type="gramEnd"/>
      <w:r>
        <w:rPr>
          <w:lang w:val="en-GB"/>
        </w:rPr>
        <w:t xml:space="preserve"> </w:t>
      </w:r>
      <w:proofErr w:type="spellStart"/>
      <w:r>
        <w:rPr>
          <w:lang w:val="en-GB"/>
        </w:rPr>
        <w:t>lease</w:t>
      </w:r>
      <w:proofErr w:type="spellEnd"/>
      <w:r>
        <w:rPr>
          <w:lang w:val="en-GB"/>
        </w:rPr>
        <w:t xml:space="preserve"> one dose of any influenza vaccine.</w:t>
      </w:r>
    </w:p>
    <w:p w14:paraId="5398F6C0" w14:textId="77777777" w:rsidR="00D8753A" w:rsidRDefault="00D8753A" w:rsidP="00D8753A">
      <w:pPr>
        <w:pStyle w:val="CDIfootnotes"/>
        <w:rPr>
          <w:lang w:val="en-GB"/>
        </w:rPr>
      </w:pPr>
      <w:r>
        <w:rPr>
          <w:lang w:val="en-GB"/>
        </w:rPr>
        <w:t>b</w:t>
      </w:r>
      <w:r>
        <w:rPr>
          <w:lang w:val="en-GB"/>
        </w:rPr>
        <w:tab/>
        <w:t xml:space="preserve">Source: Australian Immunisation Register, data as </w:t>
      </w:r>
      <w:proofErr w:type="gramStart"/>
      <w:r>
        <w:rPr>
          <w:lang w:val="en-GB"/>
        </w:rPr>
        <w:t>at</w:t>
      </w:r>
      <w:proofErr w:type="gramEnd"/>
      <w:r>
        <w:rPr>
          <w:lang w:val="en-GB"/>
        </w:rPr>
        <w:t xml:space="preserve"> 31 March 2021.</w:t>
      </w:r>
    </w:p>
    <w:p w14:paraId="2E3EFF8A" w14:textId="77777777" w:rsidR="00D8753A" w:rsidRDefault="00D8753A" w:rsidP="00D8753A">
      <w:pPr>
        <w:pStyle w:val="CDIfootnotes"/>
        <w:rPr>
          <w:lang w:val="en-GB"/>
        </w:rPr>
      </w:pPr>
      <w:r>
        <w:rPr>
          <w:lang w:val="en-GB"/>
        </w:rPr>
        <w:t>c</w:t>
      </w:r>
      <w:r>
        <w:rPr>
          <w:lang w:val="en-GB"/>
        </w:rPr>
        <w:tab/>
        <w:t>ACT: Australian Capital Territory; NSW: New South Wales; NT: Northern Territory; Qld: Queensland; SA: South Australia; Tas.: Tasmania; Vic.: Victoria; WA: Western Australia.</w:t>
      </w:r>
    </w:p>
    <w:p w14:paraId="41DE182A" w14:textId="77777777" w:rsidR="00D8753A" w:rsidRDefault="00D8753A" w:rsidP="00D8753A">
      <w:pPr>
        <w:pStyle w:val="CDIfootnotes"/>
        <w:rPr>
          <w:lang w:val="en-GB"/>
        </w:rPr>
      </w:pPr>
      <w:r>
        <w:rPr>
          <w:lang w:val="en-GB"/>
        </w:rPr>
        <w:t>d</w:t>
      </w:r>
      <w:r>
        <w:rPr>
          <w:lang w:val="en-GB"/>
        </w:rPr>
        <w:tab/>
        <w:t>Indigenous persons.</w:t>
      </w:r>
    </w:p>
    <w:p w14:paraId="0051E498" w14:textId="77777777" w:rsidR="00D8753A" w:rsidRDefault="00D8753A" w:rsidP="00D8753A">
      <w:pPr>
        <w:rPr>
          <w:rStyle w:val="Strong"/>
        </w:rPr>
      </w:pPr>
      <w:r>
        <w:rPr>
          <w:b/>
          <w:bCs/>
          <w:lang w:val="en-GB"/>
        </w:rPr>
        <w:br w:type="page"/>
      </w:r>
    </w:p>
    <w:p w14:paraId="60BB4CD2" w14:textId="77777777" w:rsidR="00D8753A" w:rsidRDefault="00D8753A" w:rsidP="00D8753A">
      <w:pPr>
        <w:pStyle w:val="NormalWeb"/>
      </w:pPr>
      <w:r>
        <w:rPr>
          <w:rStyle w:val="Strong"/>
          <w:lang w:val="en-GB"/>
        </w:rPr>
        <w:lastRenderedPageBreak/>
        <w:t xml:space="preserve">Table A.4: ‘Fully vaccinated’ coverage estimates assessed at standard age milestones (12, 24 and 60 months) and earlier (9, 15, 21, 51 months) </w:t>
      </w:r>
      <w:proofErr w:type="spellStart"/>
      <w:proofErr w:type="gramStart"/>
      <w:r>
        <w:rPr>
          <w:rStyle w:val="Strong"/>
          <w:lang w:val="en-GB"/>
        </w:rPr>
        <w:t>milestones,</w:t>
      </w:r>
      <w:r>
        <w:rPr>
          <w:rStyle w:val="Strong"/>
          <w:vertAlign w:val="superscript"/>
          <w:lang w:val="en-GB"/>
        </w:rPr>
        <w:t>a</w:t>
      </w:r>
      <w:proofErr w:type="spellEnd"/>
      <w:proofErr w:type="gramEnd"/>
      <w:r>
        <w:rPr>
          <w:rStyle w:val="Strong"/>
          <w:lang w:val="en-GB"/>
        </w:rPr>
        <w:t xml:space="preserve"> by primary health network (PHN), 2020</w:t>
      </w:r>
      <w:r>
        <w:rPr>
          <w:rStyle w:val="Strong"/>
          <w:vertAlign w:val="superscript"/>
          <w:lang w:val="en-GB"/>
        </w:rPr>
        <w:t>b</w:t>
      </w:r>
    </w:p>
    <w:tbl>
      <w:tblPr>
        <w:tblStyle w:val="CDI-StandardTable"/>
        <w:tblW w:w="0" w:type="auto"/>
        <w:tblCellMar>
          <w:left w:w="170" w:type="dxa"/>
          <w:right w:w="170" w:type="dxa"/>
        </w:tblCellMar>
        <w:tblLook w:val="04A0" w:firstRow="1" w:lastRow="0" w:firstColumn="1" w:lastColumn="0" w:noHBand="0" w:noVBand="1"/>
        <w:tblDescription w:val="Table A4 presents ‘fully vaccinated’ coverage estimates at the age milestones of 12 months, 24 months and 60 months, and at earlier (9, 15, 21, 51) milestones, by Primary Health Network (PHN), 2020. During 2020, ‘fully vaccinated’ coverage varies by PHN across Australia.&#10;"/>
      </w:tblPr>
      <w:tblGrid>
        <w:gridCol w:w="4111"/>
        <w:gridCol w:w="1252"/>
        <w:gridCol w:w="1603"/>
        <w:gridCol w:w="1604"/>
        <w:gridCol w:w="1603"/>
        <w:gridCol w:w="1604"/>
        <w:gridCol w:w="1603"/>
        <w:gridCol w:w="1604"/>
      </w:tblGrid>
      <w:tr w:rsidR="00D8753A" w14:paraId="43C54537" w14:textId="77777777" w:rsidTr="0091636A">
        <w:trPr>
          <w:cnfStyle w:val="100000000000" w:firstRow="1" w:lastRow="0" w:firstColumn="0" w:lastColumn="0" w:oddVBand="0" w:evenVBand="0" w:oddHBand="0" w:evenHBand="0" w:firstRowFirstColumn="0" w:firstRowLastColumn="0" w:lastRowFirstColumn="0" w:lastRowLastColumn="0"/>
        </w:trPr>
        <w:tc>
          <w:tcPr>
            <w:tcW w:w="4111" w:type="dxa"/>
            <w:tcBorders>
              <w:top w:val="nil"/>
              <w:left w:val="nil"/>
              <w:bottom w:val="nil"/>
            </w:tcBorders>
            <w:hideMark/>
          </w:tcPr>
          <w:p w14:paraId="0C7EF793" w14:textId="77777777" w:rsidR="00D8753A" w:rsidRDefault="00D8753A">
            <w:pPr>
              <w:pStyle w:val="NormalWeb"/>
              <w:jc w:val="left"/>
              <w:rPr>
                <w:sz w:val="18"/>
                <w:szCs w:val="18"/>
              </w:rPr>
            </w:pPr>
            <w:r>
              <w:rPr>
                <w:sz w:val="18"/>
                <w:szCs w:val="18"/>
              </w:rPr>
              <w:t>PHN</w:t>
            </w:r>
          </w:p>
        </w:tc>
        <w:tc>
          <w:tcPr>
            <w:tcW w:w="1252" w:type="dxa"/>
            <w:tcBorders>
              <w:top w:val="nil"/>
              <w:bottom w:val="nil"/>
            </w:tcBorders>
            <w:hideMark/>
          </w:tcPr>
          <w:p w14:paraId="7DEC77BF" w14:textId="77777777" w:rsidR="00D8753A" w:rsidRDefault="00D8753A">
            <w:pPr>
              <w:pStyle w:val="NormalWeb"/>
              <w:rPr>
                <w:sz w:val="18"/>
                <w:szCs w:val="18"/>
              </w:rPr>
            </w:pPr>
            <w:r>
              <w:rPr>
                <w:sz w:val="18"/>
                <w:szCs w:val="18"/>
              </w:rPr>
              <w:t xml:space="preserve">9 </w:t>
            </w:r>
            <w:proofErr w:type="spellStart"/>
            <w:r>
              <w:rPr>
                <w:sz w:val="18"/>
                <w:szCs w:val="18"/>
              </w:rPr>
              <w:t>mo</w:t>
            </w:r>
            <w:proofErr w:type="spellEnd"/>
            <w:r>
              <w:rPr>
                <w:sz w:val="18"/>
                <w:szCs w:val="18"/>
              </w:rPr>
              <w:t xml:space="preserve"> (</w:t>
            </w:r>
            <w:proofErr w:type="gramStart"/>
            <w:r>
              <w:rPr>
                <w:sz w:val="18"/>
                <w:szCs w:val="18"/>
              </w:rPr>
              <w:t>%)</w:t>
            </w:r>
            <w:r>
              <w:rPr>
                <w:sz w:val="18"/>
                <w:szCs w:val="18"/>
                <w:vertAlign w:val="superscript"/>
              </w:rPr>
              <w:t>c</w:t>
            </w:r>
            <w:proofErr w:type="gramEnd"/>
          </w:p>
        </w:tc>
        <w:tc>
          <w:tcPr>
            <w:tcW w:w="1603" w:type="dxa"/>
            <w:tcBorders>
              <w:top w:val="nil"/>
              <w:bottom w:val="nil"/>
            </w:tcBorders>
            <w:hideMark/>
          </w:tcPr>
          <w:p w14:paraId="73BAE72D" w14:textId="77777777" w:rsidR="00D8753A" w:rsidRDefault="00D8753A">
            <w:pPr>
              <w:pStyle w:val="NormalWeb"/>
              <w:rPr>
                <w:sz w:val="18"/>
                <w:szCs w:val="18"/>
              </w:rPr>
            </w:pPr>
            <w:r>
              <w:rPr>
                <w:sz w:val="18"/>
                <w:szCs w:val="18"/>
              </w:rPr>
              <w:t xml:space="preserve">12 </w:t>
            </w:r>
            <w:proofErr w:type="spellStart"/>
            <w:r>
              <w:rPr>
                <w:sz w:val="18"/>
                <w:szCs w:val="18"/>
              </w:rPr>
              <w:t>mo</w:t>
            </w:r>
            <w:proofErr w:type="spellEnd"/>
            <w:r>
              <w:rPr>
                <w:sz w:val="18"/>
                <w:szCs w:val="18"/>
              </w:rPr>
              <w:t xml:space="preserve"> (</w:t>
            </w:r>
            <w:proofErr w:type="gramStart"/>
            <w:r>
              <w:rPr>
                <w:sz w:val="18"/>
                <w:szCs w:val="18"/>
              </w:rPr>
              <w:t>%)</w:t>
            </w:r>
            <w:r>
              <w:rPr>
                <w:sz w:val="18"/>
                <w:szCs w:val="18"/>
                <w:vertAlign w:val="superscript"/>
              </w:rPr>
              <w:t>c</w:t>
            </w:r>
            <w:proofErr w:type="gramEnd"/>
          </w:p>
        </w:tc>
        <w:tc>
          <w:tcPr>
            <w:tcW w:w="1604" w:type="dxa"/>
            <w:tcBorders>
              <w:top w:val="nil"/>
              <w:bottom w:val="nil"/>
            </w:tcBorders>
            <w:hideMark/>
          </w:tcPr>
          <w:p w14:paraId="64438EE0" w14:textId="77777777" w:rsidR="00D8753A" w:rsidRDefault="00D8753A">
            <w:pPr>
              <w:pStyle w:val="NormalWeb"/>
              <w:rPr>
                <w:sz w:val="18"/>
                <w:szCs w:val="18"/>
              </w:rPr>
            </w:pPr>
            <w:r>
              <w:rPr>
                <w:sz w:val="18"/>
                <w:szCs w:val="18"/>
              </w:rPr>
              <w:t xml:space="preserve">15 </w:t>
            </w:r>
            <w:proofErr w:type="spellStart"/>
            <w:r>
              <w:rPr>
                <w:sz w:val="18"/>
                <w:szCs w:val="18"/>
              </w:rPr>
              <w:t>mo</w:t>
            </w:r>
            <w:proofErr w:type="spellEnd"/>
            <w:r>
              <w:rPr>
                <w:sz w:val="18"/>
                <w:szCs w:val="18"/>
              </w:rPr>
              <w:t xml:space="preserve"> (</w:t>
            </w:r>
            <w:proofErr w:type="gramStart"/>
            <w:r>
              <w:rPr>
                <w:sz w:val="18"/>
                <w:szCs w:val="18"/>
              </w:rPr>
              <w:t>%)</w:t>
            </w:r>
            <w:r>
              <w:rPr>
                <w:sz w:val="18"/>
                <w:szCs w:val="18"/>
                <w:vertAlign w:val="superscript"/>
              </w:rPr>
              <w:t>d</w:t>
            </w:r>
            <w:proofErr w:type="gramEnd"/>
          </w:p>
        </w:tc>
        <w:tc>
          <w:tcPr>
            <w:tcW w:w="1603" w:type="dxa"/>
            <w:tcBorders>
              <w:top w:val="nil"/>
              <w:bottom w:val="nil"/>
            </w:tcBorders>
            <w:hideMark/>
          </w:tcPr>
          <w:p w14:paraId="0ECD0603" w14:textId="77777777" w:rsidR="00D8753A" w:rsidRDefault="00D8753A">
            <w:pPr>
              <w:pStyle w:val="NormalWeb"/>
              <w:rPr>
                <w:sz w:val="18"/>
                <w:szCs w:val="18"/>
              </w:rPr>
            </w:pPr>
            <w:r>
              <w:rPr>
                <w:sz w:val="18"/>
                <w:szCs w:val="18"/>
              </w:rPr>
              <w:t xml:space="preserve">21 </w:t>
            </w:r>
            <w:proofErr w:type="spellStart"/>
            <w:r>
              <w:rPr>
                <w:sz w:val="18"/>
                <w:szCs w:val="18"/>
              </w:rPr>
              <w:t>mo</w:t>
            </w:r>
            <w:proofErr w:type="spellEnd"/>
            <w:r>
              <w:rPr>
                <w:sz w:val="18"/>
                <w:szCs w:val="18"/>
              </w:rPr>
              <w:t xml:space="preserve"> (</w:t>
            </w:r>
            <w:proofErr w:type="gramStart"/>
            <w:r>
              <w:rPr>
                <w:sz w:val="18"/>
                <w:szCs w:val="18"/>
              </w:rPr>
              <w:t>%)</w:t>
            </w:r>
            <w:r>
              <w:rPr>
                <w:sz w:val="18"/>
                <w:szCs w:val="18"/>
                <w:vertAlign w:val="superscript"/>
              </w:rPr>
              <w:t>d</w:t>
            </w:r>
            <w:proofErr w:type="gramEnd"/>
          </w:p>
        </w:tc>
        <w:tc>
          <w:tcPr>
            <w:tcW w:w="1604" w:type="dxa"/>
            <w:tcBorders>
              <w:top w:val="nil"/>
              <w:bottom w:val="nil"/>
            </w:tcBorders>
            <w:hideMark/>
          </w:tcPr>
          <w:p w14:paraId="6A6C6460" w14:textId="77777777" w:rsidR="00D8753A" w:rsidRDefault="00D8753A">
            <w:pPr>
              <w:pStyle w:val="NormalWeb"/>
              <w:rPr>
                <w:sz w:val="18"/>
                <w:szCs w:val="18"/>
              </w:rPr>
            </w:pPr>
            <w:r>
              <w:rPr>
                <w:sz w:val="18"/>
                <w:szCs w:val="18"/>
              </w:rPr>
              <w:t xml:space="preserve">24 </w:t>
            </w:r>
            <w:proofErr w:type="spellStart"/>
            <w:r>
              <w:rPr>
                <w:sz w:val="18"/>
                <w:szCs w:val="18"/>
              </w:rPr>
              <w:t>mo</w:t>
            </w:r>
            <w:proofErr w:type="spellEnd"/>
            <w:r>
              <w:rPr>
                <w:sz w:val="18"/>
                <w:szCs w:val="18"/>
              </w:rPr>
              <w:t xml:space="preserve"> (</w:t>
            </w:r>
            <w:proofErr w:type="gramStart"/>
            <w:r>
              <w:rPr>
                <w:sz w:val="18"/>
                <w:szCs w:val="18"/>
              </w:rPr>
              <w:t>%)</w:t>
            </w:r>
            <w:r>
              <w:rPr>
                <w:sz w:val="18"/>
                <w:szCs w:val="18"/>
                <w:vertAlign w:val="superscript"/>
              </w:rPr>
              <w:t>d</w:t>
            </w:r>
            <w:proofErr w:type="gramEnd"/>
          </w:p>
        </w:tc>
        <w:tc>
          <w:tcPr>
            <w:tcW w:w="1603" w:type="dxa"/>
            <w:tcBorders>
              <w:top w:val="nil"/>
              <w:bottom w:val="nil"/>
            </w:tcBorders>
            <w:hideMark/>
          </w:tcPr>
          <w:p w14:paraId="5B53950F" w14:textId="77777777" w:rsidR="00D8753A" w:rsidRDefault="00D8753A">
            <w:pPr>
              <w:pStyle w:val="NormalWeb"/>
              <w:rPr>
                <w:sz w:val="18"/>
                <w:szCs w:val="18"/>
              </w:rPr>
            </w:pPr>
            <w:r>
              <w:rPr>
                <w:sz w:val="18"/>
                <w:szCs w:val="18"/>
              </w:rPr>
              <w:t xml:space="preserve">51 </w:t>
            </w:r>
            <w:proofErr w:type="spellStart"/>
            <w:r>
              <w:rPr>
                <w:sz w:val="18"/>
                <w:szCs w:val="18"/>
              </w:rPr>
              <w:t>mo</w:t>
            </w:r>
            <w:proofErr w:type="spellEnd"/>
            <w:r>
              <w:rPr>
                <w:sz w:val="18"/>
                <w:szCs w:val="18"/>
              </w:rPr>
              <w:t xml:space="preserve"> (</w:t>
            </w:r>
            <w:proofErr w:type="gramStart"/>
            <w:r>
              <w:rPr>
                <w:sz w:val="18"/>
                <w:szCs w:val="18"/>
              </w:rPr>
              <w:t>%)</w:t>
            </w:r>
            <w:r>
              <w:rPr>
                <w:sz w:val="18"/>
                <w:szCs w:val="18"/>
                <w:vertAlign w:val="superscript"/>
              </w:rPr>
              <w:t>e</w:t>
            </w:r>
            <w:proofErr w:type="gramEnd"/>
          </w:p>
        </w:tc>
        <w:tc>
          <w:tcPr>
            <w:tcW w:w="1604" w:type="dxa"/>
            <w:tcBorders>
              <w:top w:val="nil"/>
              <w:bottom w:val="nil"/>
              <w:right w:val="nil"/>
            </w:tcBorders>
            <w:hideMark/>
          </w:tcPr>
          <w:p w14:paraId="308A46A7" w14:textId="77777777" w:rsidR="00D8753A" w:rsidRDefault="00D8753A">
            <w:pPr>
              <w:pStyle w:val="NormalWeb"/>
              <w:rPr>
                <w:sz w:val="18"/>
                <w:szCs w:val="18"/>
              </w:rPr>
            </w:pPr>
            <w:r>
              <w:rPr>
                <w:sz w:val="18"/>
                <w:szCs w:val="18"/>
              </w:rPr>
              <w:t xml:space="preserve">60 </w:t>
            </w:r>
            <w:proofErr w:type="spellStart"/>
            <w:r>
              <w:rPr>
                <w:sz w:val="18"/>
                <w:szCs w:val="18"/>
              </w:rPr>
              <w:t>mo</w:t>
            </w:r>
            <w:proofErr w:type="spellEnd"/>
            <w:r>
              <w:rPr>
                <w:sz w:val="18"/>
                <w:szCs w:val="18"/>
              </w:rPr>
              <w:t xml:space="preserve"> (</w:t>
            </w:r>
            <w:proofErr w:type="gramStart"/>
            <w:r>
              <w:rPr>
                <w:sz w:val="18"/>
                <w:szCs w:val="18"/>
              </w:rPr>
              <w:t>%)</w:t>
            </w:r>
            <w:r>
              <w:rPr>
                <w:sz w:val="18"/>
                <w:szCs w:val="18"/>
                <w:vertAlign w:val="superscript"/>
              </w:rPr>
              <w:t>e</w:t>
            </w:r>
            <w:proofErr w:type="gramEnd"/>
          </w:p>
        </w:tc>
      </w:tr>
      <w:tr w:rsidR="00D8753A" w14:paraId="07D839CF" w14:textId="77777777" w:rsidTr="0091636A">
        <w:tc>
          <w:tcPr>
            <w:tcW w:w="4111" w:type="dxa"/>
            <w:hideMark/>
          </w:tcPr>
          <w:p w14:paraId="01FD32F0" w14:textId="77777777" w:rsidR="00D8753A" w:rsidRDefault="00D8753A">
            <w:pPr>
              <w:pStyle w:val="NormalWeb"/>
              <w:jc w:val="left"/>
              <w:rPr>
                <w:sz w:val="18"/>
                <w:szCs w:val="18"/>
              </w:rPr>
            </w:pPr>
            <w:r>
              <w:rPr>
                <w:sz w:val="18"/>
                <w:szCs w:val="18"/>
              </w:rPr>
              <w:t>Western NSW</w:t>
            </w:r>
          </w:p>
        </w:tc>
        <w:tc>
          <w:tcPr>
            <w:tcW w:w="1252" w:type="dxa"/>
            <w:hideMark/>
          </w:tcPr>
          <w:p w14:paraId="6997E080" w14:textId="77777777" w:rsidR="00D8753A" w:rsidRDefault="00D8753A">
            <w:pPr>
              <w:pStyle w:val="NormalWeb"/>
              <w:rPr>
                <w:sz w:val="18"/>
                <w:szCs w:val="18"/>
              </w:rPr>
            </w:pPr>
            <w:r>
              <w:rPr>
                <w:sz w:val="18"/>
                <w:szCs w:val="18"/>
              </w:rPr>
              <w:t>94.3</w:t>
            </w:r>
          </w:p>
        </w:tc>
        <w:tc>
          <w:tcPr>
            <w:tcW w:w="1603" w:type="dxa"/>
            <w:hideMark/>
          </w:tcPr>
          <w:p w14:paraId="028C7B01" w14:textId="77777777" w:rsidR="00D8753A" w:rsidRDefault="00D8753A">
            <w:pPr>
              <w:pStyle w:val="NormalWeb"/>
              <w:rPr>
                <w:sz w:val="18"/>
                <w:szCs w:val="18"/>
              </w:rPr>
            </w:pPr>
            <w:r>
              <w:rPr>
                <w:sz w:val="18"/>
                <w:szCs w:val="18"/>
              </w:rPr>
              <w:t>96.9</w:t>
            </w:r>
          </w:p>
        </w:tc>
        <w:tc>
          <w:tcPr>
            <w:tcW w:w="1604" w:type="dxa"/>
            <w:hideMark/>
          </w:tcPr>
          <w:p w14:paraId="62577A14" w14:textId="77777777" w:rsidR="00D8753A" w:rsidRDefault="00D8753A">
            <w:pPr>
              <w:pStyle w:val="NormalWeb"/>
              <w:rPr>
                <w:sz w:val="18"/>
                <w:szCs w:val="18"/>
              </w:rPr>
            </w:pPr>
            <w:r>
              <w:rPr>
                <w:sz w:val="18"/>
                <w:szCs w:val="18"/>
              </w:rPr>
              <w:t>92.8</w:t>
            </w:r>
          </w:p>
        </w:tc>
        <w:tc>
          <w:tcPr>
            <w:tcW w:w="1603" w:type="dxa"/>
            <w:hideMark/>
          </w:tcPr>
          <w:p w14:paraId="50F32B42" w14:textId="77777777" w:rsidR="00D8753A" w:rsidRDefault="00D8753A">
            <w:pPr>
              <w:pStyle w:val="NormalWeb"/>
              <w:rPr>
                <w:sz w:val="18"/>
                <w:szCs w:val="18"/>
              </w:rPr>
            </w:pPr>
            <w:r>
              <w:rPr>
                <w:sz w:val="18"/>
                <w:szCs w:val="18"/>
              </w:rPr>
              <w:t>90.8</w:t>
            </w:r>
          </w:p>
        </w:tc>
        <w:tc>
          <w:tcPr>
            <w:tcW w:w="1604" w:type="dxa"/>
            <w:hideMark/>
          </w:tcPr>
          <w:p w14:paraId="1BCF533A" w14:textId="77777777" w:rsidR="00D8753A" w:rsidRDefault="00D8753A">
            <w:pPr>
              <w:pStyle w:val="NormalWeb"/>
              <w:rPr>
                <w:sz w:val="18"/>
                <w:szCs w:val="18"/>
              </w:rPr>
            </w:pPr>
            <w:r>
              <w:rPr>
                <w:sz w:val="18"/>
                <w:szCs w:val="18"/>
              </w:rPr>
              <w:t>94.1</w:t>
            </w:r>
          </w:p>
        </w:tc>
        <w:tc>
          <w:tcPr>
            <w:tcW w:w="1603" w:type="dxa"/>
            <w:hideMark/>
          </w:tcPr>
          <w:p w14:paraId="7BB8A026" w14:textId="77777777" w:rsidR="00D8753A" w:rsidRDefault="00D8753A">
            <w:pPr>
              <w:pStyle w:val="NormalWeb"/>
              <w:rPr>
                <w:sz w:val="18"/>
                <w:szCs w:val="18"/>
              </w:rPr>
            </w:pPr>
            <w:r>
              <w:rPr>
                <w:sz w:val="18"/>
                <w:szCs w:val="18"/>
              </w:rPr>
              <w:t>90.4</w:t>
            </w:r>
          </w:p>
        </w:tc>
        <w:tc>
          <w:tcPr>
            <w:tcW w:w="1604" w:type="dxa"/>
            <w:hideMark/>
          </w:tcPr>
          <w:p w14:paraId="74E4C7F7" w14:textId="77777777" w:rsidR="00D8753A" w:rsidRDefault="00D8753A">
            <w:pPr>
              <w:pStyle w:val="NormalWeb"/>
              <w:rPr>
                <w:sz w:val="18"/>
                <w:szCs w:val="18"/>
              </w:rPr>
            </w:pPr>
            <w:r>
              <w:rPr>
                <w:sz w:val="18"/>
                <w:szCs w:val="18"/>
              </w:rPr>
              <w:t>97.6</w:t>
            </w:r>
          </w:p>
        </w:tc>
      </w:tr>
      <w:tr w:rsidR="00D8753A" w14:paraId="16CE6B8B" w14:textId="77777777" w:rsidTr="0091636A">
        <w:trPr>
          <w:cnfStyle w:val="000000010000" w:firstRow="0" w:lastRow="0" w:firstColumn="0" w:lastColumn="0" w:oddVBand="0" w:evenVBand="0" w:oddHBand="0" w:evenHBand="1" w:firstRowFirstColumn="0" w:firstRowLastColumn="0" w:lastRowFirstColumn="0" w:lastRowLastColumn="0"/>
        </w:trPr>
        <w:tc>
          <w:tcPr>
            <w:tcW w:w="4111" w:type="dxa"/>
            <w:hideMark/>
          </w:tcPr>
          <w:p w14:paraId="0D2E5D0B" w14:textId="77777777" w:rsidR="00D8753A" w:rsidRDefault="00D8753A">
            <w:pPr>
              <w:pStyle w:val="NormalWeb"/>
              <w:jc w:val="left"/>
              <w:rPr>
                <w:sz w:val="18"/>
                <w:szCs w:val="18"/>
              </w:rPr>
            </w:pPr>
            <w:r>
              <w:rPr>
                <w:sz w:val="18"/>
                <w:szCs w:val="18"/>
              </w:rPr>
              <w:t>Murrumbidgee</w:t>
            </w:r>
          </w:p>
        </w:tc>
        <w:tc>
          <w:tcPr>
            <w:tcW w:w="1252" w:type="dxa"/>
            <w:hideMark/>
          </w:tcPr>
          <w:p w14:paraId="46B4343B" w14:textId="77777777" w:rsidR="00D8753A" w:rsidRDefault="00D8753A">
            <w:pPr>
              <w:pStyle w:val="NormalWeb"/>
              <w:rPr>
                <w:sz w:val="18"/>
                <w:szCs w:val="18"/>
              </w:rPr>
            </w:pPr>
            <w:r>
              <w:rPr>
                <w:sz w:val="18"/>
                <w:szCs w:val="18"/>
              </w:rPr>
              <w:t>93.6</w:t>
            </w:r>
          </w:p>
        </w:tc>
        <w:tc>
          <w:tcPr>
            <w:tcW w:w="1603" w:type="dxa"/>
            <w:hideMark/>
          </w:tcPr>
          <w:p w14:paraId="0A448EFB" w14:textId="77777777" w:rsidR="00D8753A" w:rsidRDefault="00D8753A">
            <w:pPr>
              <w:pStyle w:val="NormalWeb"/>
              <w:rPr>
                <w:sz w:val="18"/>
                <w:szCs w:val="18"/>
              </w:rPr>
            </w:pPr>
            <w:r>
              <w:rPr>
                <w:sz w:val="18"/>
                <w:szCs w:val="18"/>
              </w:rPr>
              <w:t>96.2</w:t>
            </w:r>
          </w:p>
        </w:tc>
        <w:tc>
          <w:tcPr>
            <w:tcW w:w="1604" w:type="dxa"/>
            <w:hideMark/>
          </w:tcPr>
          <w:p w14:paraId="032DFAF8" w14:textId="77777777" w:rsidR="00D8753A" w:rsidRDefault="00D8753A">
            <w:pPr>
              <w:pStyle w:val="NormalWeb"/>
              <w:rPr>
                <w:sz w:val="18"/>
                <w:szCs w:val="18"/>
              </w:rPr>
            </w:pPr>
            <w:r>
              <w:rPr>
                <w:sz w:val="18"/>
                <w:szCs w:val="18"/>
              </w:rPr>
              <w:t>92.7</w:t>
            </w:r>
          </w:p>
        </w:tc>
        <w:tc>
          <w:tcPr>
            <w:tcW w:w="1603" w:type="dxa"/>
            <w:hideMark/>
          </w:tcPr>
          <w:p w14:paraId="1601B006" w14:textId="77777777" w:rsidR="00D8753A" w:rsidRDefault="00D8753A">
            <w:pPr>
              <w:pStyle w:val="NormalWeb"/>
              <w:rPr>
                <w:sz w:val="18"/>
                <w:szCs w:val="18"/>
              </w:rPr>
            </w:pPr>
            <w:r>
              <w:rPr>
                <w:sz w:val="18"/>
                <w:szCs w:val="18"/>
              </w:rPr>
              <w:t>90.9</w:t>
            </w:r>
          </w:p>
        </w:tc>
        <w:tc>
          <w:tcPr>
            <w:tcW w:w="1604" w:type="dxa"/>
            <w:hideMark/>
          </w:tcPr>
          <w:p w14:paraId="59CA84F0" w14:textId="77777777" w:rsidR="00D8753A" w:rsidRDefault="00D8753A">
            <w:pPr>
              <w:pStyle w:val="NormalWeb"/>
              <w:rPr>
                <w:sz w:val="18"/>
                <w:szCs w:val="18"/>
              </w:rPr>
            </w:pPr>
            <w:r>
              <w:rPr>
                <w:sz w:val="18"/>
                <w:szCs w:val="18"/>
              </w:rPr>
              <w:t>93.5</w:t>
            </w:r>
          </w:p>
        </w:tc>
        <w:tc>
          <w:tcPr>
            <w:tcW w:w="1603" w:type="dxa"/>
            <w:hideMark/>
          </w:tcPr>
          <w:p w14:paraId="495AC2DA" w14:textId="77777777" w:rsidR="00D8753A" w:rsidRDefault="00D8753A">
            <w:pPr>
              <w:pStyle w:val="NormalWeb"/>
              <w:rPr>
                <w:sz w:val="18"/>
                <w:szCs w:val="18"/>
              </w:rPr>
            </w:pPr>
            <w:r>
              <w:rPr>
                <w:sz w:val="18"/>
                <w:szCs w:val="18"/>
              </w:rPr>
              <w:t>92.0</w:t>
            </w:r>
          </w:p>
        </w:tc>
        <w:tc>
          <w:tcPr>
            <w:tcW w:w="1604" w:type="dxa"/>
            <w:hideMark/>
          </w:tcPr>
          <w:p w14:paraId="39F212F7" w14:textId="77777777" w:rsidR="00D8753A" w:rsidRDefault="00D8753A">
            <w:pPr>
              <w:pStyle w:val="NormalWeb"/>
              <w:rPr>
                <w:sz w:val="18"/>
                <w:szCs w:val="18"/>
              </w:rPr>
            </w:pPr>
            <w:r>
              <w:rPr>
                <w:sz w:val="18"/>
                <w:szCs w:val="18"/>
              </w:rPr>
              <w:t>97.2</w:t>
            </w:r>
          </w:p>
        </w:tc>
      </w:tr>
      <w:tr w:rsidR="00D8753A" w14:paraId="711F6475" w14:textId="77777777" w:rsidTr="0091636A">
        <w:tc>
          <w:tcPr>
            <w:tcW w:w="4111" w:type="dxa"/>
            <w:hideMark/>
          </w:tcPr>
          <w:p w14:paraId="080076DC" w14:textId="77777777" w:rsidR="00D8753A" w:rsidRDefault="00D8753A">
            <w:pPr>
              <w:pStyle w:val="NormalWeb"/>
              <w:jc w:val="left"/>
              <w:rPr>
                <w:sz w:val="18"/>
                <w:szCs w:val="18"/>
              </w:rPr>
            </w:pPr>
            <w:r>
              <w:rPr>
                <w:sz w:val="18"/>
                <w:szCs w:val="18"/>
              </w:rPr>
              <w:t>Western Victoria</w:t>
            </w:r>
          </w:p>
        </w:tc>
        <w:tc>
          <w:tcPr>
            <w:tcW w:w="1252" w:type="dxa"/>
            <w:hideMark/>
          </w:tcPr>
          <w:p w14:paraId="14DC94B7" w14:textId="77777777" w:rsidR="00D8753A" w:rsidRDefault="00D8753A">
            <w:pPr>
              <w:pStyle w:val="NormalWeb"/>
              <w:rPr>
                <w:sz w:val="18"/>
                <w:szCs w:val="18"/>
              </w:rPr>
            </w:pPr>
            <w:r>
              <w:rPr>
                <w:sz w:val="18"/>
                <w:szCs w:val="18"/>
              </w:rPr>
              <w:t>93.7</w:t>
            </w:r>
          </w:p>
        </w:tc>
        <w:tc>
          <w:tcPr>
            <w:tcW w:w="1603" w:type="dxa"/>
            <w:hideMark/>
          </w:tcPr>
          <w:p w14:paraId="6D41EC32" w14:textId="77777777" w:rsidR="00D8753A" w:rsidRDefault="00D8753A">
            <w:pPr>
              <w:pStyle w:val="NormalWeb"/>
              <w:rPr>
                <w:sz w:val="18"/>
                <w:szCs w:val="18"/>
              </w:rPr>
            </w:pPr>
            <w:r>
              <w:rPr>
                <w:sz w:val="18"/>
                <w:szCs w:val="18"/>
              </w:rPr>
              <w:t>96.3</w:t>
            </w:r>
          </w:p>
        </w:tc>
        <w:tc>
          <w:tcPr>
            <w:tcW w:w="1604" w:type="dxa"/>
            <w:hideMark/>
          </w:tcPr>
          <w:p w14:paraId="150F3174" w14:textId="77777777" w:rsidR="00D8753A" w:rsidRDefault="00D8753A">
            <w:pPr>
              <w:pStyle w:val="NormalWeb"/>
              <w:rPr>
                <w:sz w:val="18"/>
                <w:szCs w:val="18"/>
              </w:rPr>
            </w:pPr>
            <w:r>
              <w:rPr>
                <w:sz w:val="18"/>
                <w:szCs w:val="18"/>
              </w:rPr>
              <w:t>93.1</w:t>
            </w:r>
          </w:p>
        </w:tc>
        <w:tc>
          <w:tcPr>
            <w:tcW w:w="1603" w:type="dxa"/>
            <w:hideMark/>
          </w:tcPr>
          <w:p w14:paraId="02E8E937" w14:textId="77777777" w:rsidR="00D8753A" w:rsidRDefault="00D8753A">
            <w:pPr>
              <w:pStyle w:val="NormalWeb"/>
              <w:rPr>
                <w:sz w:val="18"/>
                <w:szCs w:val="18"/>
              </w:rPr>
            </w:pPr>
            <w:r>
              <w:rPr>
                <w:sz w:val="18"/>
                <w:szCs w:val="18"/>
              </w:rPr>
              <w:t>92.0</w:t>
            </w:r>
          </w:p>
        </w:tc>
        <w:tc>
          <w:tcPr>
            <w:tcW w:w="1604" w:type="dxa"/>
            <w:hideMark/>
          </w:tcPr>
          <w:p w14:paraId="3C478DB1" w14:textId="77777777" w:rsidR="00D8753A" w:rsidRDefault="00D8753A">
            <w:pPr>
              <w:pStyle w:val="NormalWeb"/>
              <w:rPr>
                <w:sz w:val="18"/>
                <w:szCs w:val="18"/>
              </w:rPr>
            </w:pPr>
            <w:r>
              <w:rPr>
                <w:sz w:val="18"/>
                <w:szCs w:val="18"/>
              </w:rPr>
              <w:t>94.8</w:t>
            </w:r>
          </w:p>
        </w:tc>
        <w:tc>
          <w:tcPr>
            <w:tcW w:w="1603" w:type="dxa"/>
            <w:hideMark/>
          </w:tcPr>
          <w:p w14:paraId="20138750" w14:textId="77777777" w:rsidR="00D8753A" w:rsidRDefault="00D8753A">
            <w:pPr>
              <w:pStyle w:val="NormalWeb"/>
              <w:rPr>
                <w:sz w:val="18"/>
                <w:szCs w:val="18"/>
              </w:rPr>
            </w:pPr>
            <w:r>
              <w:rPr>
                <w:sz w:val="18"/>
                <w:szCs w:val="18"/>
              </w:rPr>
              <w:t>91.3</w:t>
            </w:r>
          </w:p>
        </w:tc>
        <w:tc>
          <w:tcPr>
            <w:tcW w:w="1604" w:type="dxa"/>
            <w:hideMark/>
          </w:tcPr>
          <w:p w14:paraId="283AC189" w14:textId="77777777" w:rsidR="00D8753A" w:rsidRDefault="00D8753A">
            <w:pPr>
              <w:pStyle w:val="NormalWeb"/>
              <w:rPr>
                <w:sz w:val="18"/>
                <w:szCs w:val="18"/>
              </w:rPr>
            </w:pPr>
            <w:r>
              <w:rPr>
                <w:sz w:val="18"/>
                <w:szCs w:val="18"/>
              </w:rPr>
              <w:t>97.1</w:t>
            </w:r>
          </w:p>
        </w:tc>
      </w:tr>
      <w:tr w:rsidR="00D8753A" w14:paraId="27C9B1DB" w14:textId="77777777" w:rsidTr="0091636A">
        <w:trPr>
          <w:cnfStyle w:val="000000010000" w:firstRow="0" w:lastRow="0" w:firstColumn="0" w:lastColumn="0" w:oddVBand="0" w:evenVBand="0" w:oddHBand="0" w:evenHBand="1" w:firstRowFirstColumn="0" w:firstRowLastColumn="0" w:lastRowFirstColumn="0" w:lastRowLastColumn="0"/>
        </w:trPr>
        <w:tc>
          <w:tcPr>
            <w:tcW w:w="4111" w:type="dxa"/>
            <w:hideMark/>
          </w:tcPr>
          <w:p w14:paraId="5C5DC57A" w14:textId="77777777" w:rsidR="00D8753A" w:rsidRDefault="00D8753A">
            <w:pPr>
              <w:pStyle w:val="NormalWeb"/>
              <w:jc w:val="left"/>
              <w:rPr>
                <w:sz w:val="18"/>
                <w:szCs w:val="18"/>
              </w:rPr>
            </w:pPr>
            <w:r>
              <w:rPr>
                <w:sz w:val="18"/>
                <w:szCs w:val="18"/>
              </w:rPr>
              <w:t>Gippsland</w:t>
            </w:r>
          </w:p>
        </w:tc>
        <w:tc>
          <w:tcPr>
            <w:tcW w:w="1252" w:type="dxa"/>
            <w:hideMark/>
          </w:tcPr>
          <w:p w14:paraId="146DC598" w14:textId="77777777" w:rsidR="00D8753A" w:rsidRDefault="00D8753A">
            <w:pPr>
              <w:pStyle w:val="NormalWeb"/>
              <w:rPr>
                <w:sz w:val="18"/>
                <w:szCs w:val="18"/>
              </w:rPr>
            </w:pPr>
            <w:r>
              <w:rPr>
                <w:sz w:val="18"/>
                <w:szCs w:val="18"/>
              </w:rPr>
              <w:t>92.7</w:t>
            </w:r>
          </w:p>
        </w:tc>
        <w:tc>
          <w:tcPr>
            <w:tcW w:w="1603" w:type="dxa"/>
            <w:hideMark/>
          </w:tcPr>
          <w:p w14:paraId="52421DC0" w14:textId="77777777" w:rsidR="00D8753A" w:rsidRDefault="00D8753A">
            <w:pPr>
              <w:pStyle w:val="NormalWeb"/>
              <w:rPr>
                <w:sz w:val="18"/>
                <w:szCs w:val="18"/>
              </w:rPr>
            </w:pPr>
            <w:r>
              <w:rPr>
                <w:sz w:val="18"/>
                <w:szCs w:val="18"/>
              </w:rPr>
              <w:t>95.4</w:t>
            </w:r>
          </w:p>
        </w:tc>
        <w:tc>
          <w:tcPr>
            <w:tcW w:w="1604" w:type="dxa"/>
            <w:hideMark/>
          </w:tcPr>
          <w:p w14:paraId="4D7C3E2B" w14:textId="77777777" w:rsidR="00D8753A" w:rsidRDefault="00D8753A">
            <w:pPr>
              <w:pStyle w:val="NormalWeb"/>
              <w:rPr>
                <w:sz w:val="18"/>
                <w:szCs w:val="18"/>
              </w:rPr>
            </w:pPr>
            <w:r>
              <w:rPr>
                <w:sz w:val="18"/>
                <w:szCs w:val="18"/>
              </w:rPr>
              <w:t>92.3</w:t>
            </w:r>
          </w:p>
        </w:tc>
        <w:tc>
          <w:tcPr>
            <w:tcW w:w="1603" w:type="dxa"/>
            <w:hideMark/>
          </w:tcPr>
          <w:p w14:paraId="3269D548" w14:textId="77777777" w:rsidR="00D8753A" w:rsidRDefault="00D8753A">
            <w:pPr>
              <w:pStyle w:val="NormalWeb"/>
              <w:rPr>
                <w:sz w:val="18"/>
                <w:szCs w:val="18"/>
              </w:rPr>
            </w:pPr>
            <w:r>
              <w:rPr>
                <w:sz w:val="18"/>
                <w:szCs w:val="18"/>
              </w:rPr>
              <w:t>90.7</w:t>
            </w:r>
          </w:p>
        </w:tc>
        <w:tc>
          <w:tcPr>
            <w:tcW w:w="1604" w:type="dxa"/>
            <w:hideMark/>
          </w:tcPr>
          <w:p w14:paraId="212806F2" w14:textId="77777777" w:rsidR="00D8753A" w:rsidRDefault="00D8753A">
            <w:pPr>
              <w:pStyle w:val="NormalWeb"/>
              <w:rPr>
                <w:sz w:val="18"/>
                <w:szCs w:val="18"/>
              </w:rPr>
            </w:pPr>
            <w:r>
              <w:rPr>
                <w:sz w:val="18"/>
                <w:szCs w:val="18"/>
              </w:rPr>
              <w:t>94.1</w:t>
            </w:r>
          </w:p>
        </w:tc>
        <w:tc>
          <w:tcPr>
            <w:tcW w:w="1603" w:type="dxa"/>
            <w:hideMark/>
          </w:tcPr>
          <w:p w14:paraId="179F38F3" w14:textId="77777777" w:rsidR="00D8753A" w:rsidRDefault="00D8753A">
            <w:pPr>
              <w:pStyle w:val="NormalWeb"/>
              <w:rPr>
                <w:sz w:val="18"/>
                <w:szCs w:val="18"/>
              </w:rPr>
            </w:pPr>
            <w:r>
              <w:rPr>
                <w:sz w:val="18"/>
                <w:szCs w:val="18"/>
              </w:rPr>
              <w:t>91.1</w:t>
            </w:r>
          </w:p>
        </w:tc>
        <w:tc>
          <w:tcPr>
            <w:tcW w:w="1604" w:type="dxa"/>
            <w:hideMark/>
          </w:tcPr>
          <w:p w14:paraId="52587D3F" w14:textId="77777777" w:rsidR="00D8753A" w:rsidRDefault="00D8753A">
            <w:pPr>
              <w:pStyle w:val="NormalWeb"/>
              <w:rPr>
                <w:sz w:val="18"/>
                <w:szCs w:val="18"/>
              </w:rPr>
            </w:pPr>
            <w:r>
              <w:rPr>
                <w:sz w:val="18"/>
                <w:szCs w:val="18"/>
              </w:rPr>
              <w:t>96.9</w:t>
            </w:r>
          </w:p>
        </w:tc>
      </w:tr>
      <w:tr w:rsidR="00D8753A" w14:paraId="14BED185" w14:textId="77777777" w:rsidTr="0091636A">
        <w:tc>
          <w:tcPr>
            <w:tcW w:w="4111" w:type="dxa"/>
            <w:hideMark/>
          </w:tcPr>
          <w:p w14:paraId="7FB8DB79" w14:textId="77777777" w:rsidR="00D8753A" w:rsidRDefault="00D8753A">
            <w:pPr>
              <w:pStyle w:val="NormalWeb"/>
              <w:jc w:val="left"/>
              <w:rPr>
                <w:sz w:val="18"/>
                <w:szCs w:val="18"/>
              </w:rPr>
            </w:pPr>
            <w:r>
              <w:rPr>
                <w:sz w:val="18"/>
                <w:szCs w:val="18"/>
              </w:rPr>
              <w:t>Murray</w:t>
            </w:r>
          </w:p>
        </w:tc>
        <w:tc>
          <w:tcPr>
            <w:tcW w:w="1252" w:type="dxa"/>
            <w:hideMark/>
          </w:tcPr>
          <w:p w14:paraId="71C8A4A5" w14:textId="77777777" w:rsidR="00D8753A" w:rsidRDefault="00D8753A">
            <w:pPr>
              <w:pStyle w:val="NormalWeb"/>
              <w:rPr>
                <w:sz w:val="18"/>
                <w:szCs w:val="18"/>
              </w:rPr>
            </w:pPr>
            <w:r>
              <w:rPr>
                <w:sz w:val="18"/>
                <w:szCs w:val="18"/>
              </w:rPr>
              <w:t>92.5</w:t>
            </w:r>
          </w:p>
        </w:tc>
        <w:tc>
          <w:tcPr>
            <w:tcW w:w="1603" w:type="dxa"/>
            <w:hideMark/>
          </w:tcPr>
          <w:p w14:paraId="3961392A" w14:textId="77777777" w:rsidR="00D8753A" w:rsidRDefault="00D8753A">
            <w:pPr>
              <w:pStyle w:val="NormalWeb"/>
              <w:rPr>
                <w:sz w:val="18"/>
                <w:szCs w:val="18"/>
              </w:rPr>
            </w:pPr>
            <w:r>
              <w:rPr>
                <w:sz w:val="18"/>
                <w:szCs w:val="18"/>
              </w:rPr>
              <w:t>95.9</w:t>
            </w:r>
          </w:p>
        </w:tc>
        <w:tc>
          <w:tcPr>
            <w:tcW w:w="1604" w:type="dxa"/>
            <w:hideMark/>
          </w:tcPr>
          <w:p w14:paraId="61DAD766" w14:textId="77777777" w:rsidR="00D8753A" w:rsidRDefault="00D8753A">
            <w:pPr>
              <w:pStyle w:val="NormalWeb"/>
              <w:rPr>
                <w:sz w:val="18"/>
                <w:szCs w:val="18"/>
              </w:rPr>
            </w:pPr>
            <w:r>
              <w:rPr>
                <w:sz w:val="18"/>
                <w:szCs w:val="18"/>
              </w:rPr>
              <w:t>92.1</w:t>
            </w:r>
          </w:p>
        </w:tc>
        <w:tc>
          <w:tcPr>
            <w:tcW w:w="1603" w:type="dxa"/>
            <w:hideMark/>
          </w:tcPr>
          <w:p w14:paraId="23864769" w14:textId="77777777" w:rsidR="00D8753A" w:rsidRDefault="00D8753A">
            <w:pPr>
              <w:pStyle w:val="NormalWeb"/>
              <w:rPr>
                <w:sz w:val="18"/>
                <w:szCs w:val="18"/>
              </w:rPr>
            </w:pPr>
            <w:r>
              <w:rPr>
                <w:sz w:val="18"/>
                <w:szCs w:val="18"/>
              </w:rPr>
              <w:t>90.5</w:t>
            </w:r>
          </w:p>
        </w:tc>
        <w:tc>
          <w:tcPr>
            <w:tcW w:w="1604" w:type="dxa"/>
            <w:hideMark/>
          </w:tcPr>
          <w:p w14:paraId="716E5B70" w14:textId="77777777" w:rsidR="00D8753A" w:rsidRDefault="00D8753A">
            <w:pPr>
              <w:pStyle w:val="NormalWeb"/>
              <w:rPr>
                <w:sz w:val="18"/>
                <w:szCs w:val="18"/>
              </w:rPr>
            </w:pPr>
            <w:r>
              <w:rPr>
                <w:sz w:val="18"/>
                <w:szCs w:val="18"/>
              </w:rPr>
              <w:t>93.8</w:t>
            </w:r>
          </w:p>
        </w:tc>
        <w:tc>
          <w:tcPr>
            <w:tcW w:w="1603" w:type="dxa"/>
            <w:hideMark/>
          </w:tcPr>
          <w:p w14:paraId="31B6BECA" w14:textId="77777777" w:rsidR="00D8753A" w:rsidRDefault="00D8753A">
            <w:pPr>
              <w:pStyle w:val="NormalWeb"/>
              <w:rPr>
                <w:sz w:val="18"/>
                <w:szCs w:val="18"/>
              </w:rPr>
            </w:pPr>
            <w:r>
              <w:rPr>
                <w:sz w:val="18"/>
                <w:szCs w:val="18"/>
              </w:rPr>
              <w:t>89.9</w:t>
            </w:r>
          </w:p>
        </w:tc>
        <w:tc>
          <w:tcPr>
            <w:tcW w:w="1604" w:type="dxa"/>
            <w:hideMark/>
          </w:tcPr>
          <w:p w14:paraId="4AC222D3" w14:textId="77777777" w:rsidR="00D8753A" w:rsidRDefault="00D8753A">
            <w:pPr>
              <w:pStyle w:val="NormalWeb"/>
              <w:rPr>
                <w:sz w:val="18"/>
                <w:szCs w:val="18"/>
              </w:rPr>
            </w:pPr>
            <w:r>
              <w:rPr>
                <w:sz w:val="18"/>
                <w:szCs w:val="18"/>
              </w:rPr>
              <w:t>96.5</w:t>
            </w:r>
          </w:p>
        </w:tc>
      </w:tr>
      <w:tr w:rsidR="00D8753A" w14:paraId="42068A05" w14:textId="77777777" w:rsidTr="0091636A">
        <w:trPr>
          <w:cnfStyle w:val="000000010000" w:firstRow="0" w:lastRow="0" w:firstColumn="0" w:lastColumn="0" w:oddVBand="0" w:evenVBand="0" w:oddHBand="0" w:evenHBand="1" w:firstRowFirstColumn="0" w:firstRowLastColumn="0" w:lastRowFirstColumn="0" w:lastRowLastColumn="0"/>
        </w:trPr>
        <w:tc>
          <w:tcPr>
            <w:tcW w:w="4111" w:type="dxa"/>
            <w:hideMark/>
          </w:tcPr>
          <w:p w14:paraId="77789F20" w14:textId="77777777" w:rsidR="00D8753A" w:rsidRDefault="00D8753A">
            <w:pPr>
              <w:pStyle w:val="NormalWeb"/>
              <w:jc w:val="left"/>
              <w:rPr>
                <w:sz w:val="18"/>
                <w:szCs w:val="18"/>
              </w:rPr>
            </w:pPr>
            <w:r>
              <w:rPr>
                <w:sz w:val="18"/>
                <w:szCs w:val="18"/>
              </w:rPr>
              <w:t>Hunter New England and Central Coast</w:t>
            </w:r>
          </w:p>
        </w:tc>
        <w:tc>
          <w:tcPr>
            <w:tcW w:w="1252" w:type="dxa"/>
            <w:hideMark/>
          </w:tcPr>
          <w:p w14:paraId="697D7739" w14:textId="77777777" w:rsidR="00D8753A" w:rsidRDefault="00D8753A">
            <w:pPr>
              <w:pStyle w:val="NormalWeb"/>
              <w:rPr>
                <w:sz w:val="18"/>
                <w:szCs w:val="18"/>
              </w:rPr>
            </w:pPr>
            <w:r>
              <w:rPr>
                <w:sz w:val="18"/>
                <w:szCs w:val="18"/>
              </w:rPr>
              <w:t>93.5</w:t>
            </w:r>
          </w:p>
        </w:tc>
        <w:tc>
          <w:tcPr>
            <w:tcW w:w="1603" w:type="dxa"/>
            <w:hideMark/>
          </w:tcPr>
          <w:p w14:paraId="0D53B56E" w14:textId="77777777" w:rsidR="00D8753A" w:rsidRDefault="00D8753A">
            <w:pPr>
              <w:pStyle w:val="NormalWeb"/>
              <w:rPr>
                <w:sz w:val="18"/>
                <w:szCs w:val="18"/>
              </w:rPr>
            </w:pPr>
            <w:r>
              <w:rPr>
                <w:sz w:val="18"/>
                <w:szCs w:val="18"/>
              </w:rPr>
              <w:t>96.0</w:t>
            </w:r>
          </w:p>
        </w:tc>
        <w:tc>
          <w:tcPr>
            <w:tcW w:w="1604" w:type="dxa"/>
            <w:hideMark/>
          </w:tcPr>
          <w:p w14:paraId="5F63E9C4" w14:textId="77777777" w:rsidR="00D8753A" w:rsidRDefault="00D8753A">
            <w:pPr>
              <w:pStyle w:val="NormalWeb"/>
              <w:rPr>
                <w:sz w:val="18"/>
                <w:szCs w:val="18"/>
              </w:rPr>
            </w:pPr>
            <w:r>
              <w:rPr>
                <w:sz w:val="18"/>
                <w:szCs w:val="18"/>
              </w:rPr>
              <w:t>92.9</w:t>
            </w:r>
          </w:p>
        </w:tc>
        <w:tc>
          <w:tcPr>
            <w:tcW w:w="1603" w:type="dxa"/>
            <w:hideMark/>
          </w:tcPr>
          <w:p w14:paraId="170BF5DF" w14:textId="77777777" w:rsidR="00D8753A" w:rsidRDefault="00D8753A">
            <w:pPr>
              <w:pStyle w:val="NormalWeb"/>
              <w:rPr>
                <w:sz w:val="18"/>
                <w:szCs w:val="18"/>
              </w:rPr>
            </w:pPr>
            <w:r>
              <w:rPr>
                <w:sz w:val="18"/>
                <w:szCs w:val="18"/>
              </w:rPr>
              <w:t>91.2</w:t>
            </w:r>
          </w:p>
        </w:tc>
        <w:tc>
          <w:tcPr>
            <w:tcW w:w="1604" w:type="dxa"/>
            <w:hideMark/>
          </w:tcPr>
          <w:p w14:paraId="40E4348B" w14:textId="77777777" w:rsidR="00D8753A" w:rsidRDefault="00D8753A">
            <w:pPr>
              <w:pStyle w:val="NormalWeb"/>
              <w:rPr>
                <w:sz w:val="18"/>
                <w:szCs w:val="18"/>
              </w:rPr>
            </w:pPr>
            <w:r>
              <w:rPr>
                <w:sz w:val="18"/>
                <w:szCs w:val="18"/>
              </w:rPr>
              <w:t>94.1</w:t>
            </w:r>
          </w:p>
        </w:tc>
        <w:tc>
          <w:tcPr>
            <w:tcW w:w="1603" w:type="dxa"/>
            <w:hideMark/>
          </w:tcPr>
          <w:p w14:paraId="0DC08BBF" w14:textId="77777777" w:rsidR="00D8753A" w:rsidRDefault="00D8753A">
            <w:pPr>
              <w:pStyle w:val="NormalWeb"/>
              <w:rPr>
                <w:sz w:val="18"/>
                <w:szCs w:val="18"/>
              </w:rPr>
            </w:pPr>
            <w:r>
              <w:rPr>
                <w:sz w:val="18"/>
                <w:szCs w:val="18"/>
              </w:rPr>
              <w:t>89.4</w:t>
            </w:r>
          </w:p>
        </w:tc>
        <w:tc>
          <w:tcPr>
            <w:tcW w:w="1604" w:type="dxa"/>
            <w:hideMark/>
          </w:tcPr>
          <w:p w14:paraId="2EBDCA4C" w14:textId="77777777" w:rsidR="00D8753A" w:rsidRDefault="00D8753A">
            <w:pPr>
              <w:pStyle w:val="NormalWeb"/>
              <w:rPr>
                <w:sz w:val="18"/>
                <w:szCs w:val="18"/>
              </w:rPr>
            </w:pPr>
            <w:r>
              <w:rPr>
                <w:sz w:val="18"/>
                <w:szCs w:val="18"/>
              </w:rPr>
              <w:t>96.4</w:t>
            </w:r>
          </w:p>
        </w:tc>
      </w:tr>
      <w:tr w:rsidR="00D8753A" w14:paraId="5C4CBF19" w14:textId="77777777" w:rsidTr="0091636A">
        <w:tc>
          <w:tcPr>
            <w:tcW w:w="4111" w:type="dxa"/>
            <w:hideMark/>
          </w:tcPr>
          <w:p w14:paraId="0FE9B571" w14:textId="77777777" w:rsidR="00D8753A" w:rsidRDefault="00D8753A">
            <w:pPr>
              <w:pStyle w:val="NormalWeb"/>
              <w:jc w:val="left"/>
              <w:rPr>
                <w:sz w:val="18"/>
                <w:szCs w:val="18"/>
              </w:rPr>
            </w:pPr>
            <w:r>
              <w:rPr>
                <w:sz w:val="18"/>
                <w:szCs w:val="18"/>
              </w:rPr>
              <w:t>South Eastern NSW</w:t>
            </w:r>
          </w:p>
        </w:tc>
        <w:tc>
          <w:tcPr>
            <w:tcW w:w="1252" w:type="dxa"/>
            <w:hideMark/>
          </w:tcPr>
          <w:p w14:paraId="13E25871" w14:textId="77777777" w:rsidR="00D8753A" w:rsidRDefault="00D8753A">
            <w:pPr>
              <w:pStyle w:val="NormalWeb"/>
              <w:rPr>
                <w:sz w:val="18"/>
                <w:szCs w:val="18"/>
              </w:rPr>
            </w:pPr>
            <w:r>
              <w:rPr>
                <w:sz w:val="18"/>
                <w:szCs w:val="18"/>
              </w:rPr>
              <w:t>93.6</w:t>
            </w:r>
          </w:p>
        </w:tc>
        <w:tc>
          <w:tcPr>
            <w:tcW w:w="1603" w:type="dxa"/>
            <w:hideMark/>
          </w:tcPr>
          <w:p w14:paraId="6D6796DA" w14:textId="77777777" w:rsidR="00D8753A" w:rsidRDefault="00D8753A">
            <w:pPr>
              <w:pStyle w:val="NormalWeb"/>
              <w:rPr>
                <w:sz w:val="18"/>
                <w:szCs w:val="18"/>
              </w:rPr>
            </w:pPr>
            <w:r>
              <w:rPr>
                <w:sz w:val="18"/>
                <w:szCs w:val="18"/>
              </w:rPr>
              <w:t>95.5</w:t>
            </w:r>
          </w:p>
        </w:tc>
        <w:tc>
          <w:tcPr>
            <w:tcW w:w="1604" w:type="dxa"/>
            <w:hideMark/>
          </w:tcPr>
          <w:p w14:paraId="3A13250D" w14:textId="77777777" w:rsidR="00D8753A" w:rsidRDefault="00D8753A">
            <w:pPr>
              <w:pStyle w:val="NormalWeb"/>
              <w:rPr>
                <w:sz w:val="18"/>
                <w:szCs w:val="18"/>
              </w:rPr>
            </w:pPr>
            <w:r>
              <w:rPr>
                <w:sz w:val="18"/>
                <w:szCs w:val="18"/>
              </w:rPr>
              <w:t>91.9</w:t>
            </w:r>
          </w:p>
        </w:tc>
        <w:tc>
          <w:tcPr>
            <w:tcW w:w="1603" w:type="dxa"/>
            <w:hideMark/>
          </w:tcPr>
          <w:p w14:paraId="0B81474E" w14:textId="77777777" w:rsidR="00D8753A" w:rsidRDefault="00D8753A">
            <w:pPr>
              <w:pStyle w:val="NormalWeb"/>
              <w:rPr>
                <w:sz w:val="18"/>
                <w:szCs w:val="18"/>
              </w:rPr>
            </w:pPr>
            <w:r>
              <w:rPr>
                <w:sz w:val="18"/>
                <w:szCs w:val="18"/>
              </w:rPr>
              <w:t>90.7</w:t>
            </w:r>
          </w:p>
        </w:tc>
        <w:tc>
          <w:tcPr>
            <w:tcW w:w="1604" w:type="dxa"/>
            <w:hideMark/>
          </w:tcPr>
          <w:p w14:paraId="79993E2B" w14:textId="77777777" w:rsidR="00D8753A" w:rsidRDefault="00D8753A">
            <w:pPr>
              <w:pStyle w:val="NormalWeb"/>
              <w:rPr>
                <w:sz w:val="18"/>
                <w:szCs w:val="18"/>
              </w:rPr>
            </w:pPr>
            <w:r>
              <w:rPr>
                <w:sz w:val="18"/>
                <w:szCs w:val="18"/>
              </w:rPr>
              <w:t>93.6</w:t>
            </w:r>
          </w:p>
        </w:tc>
        <w:tc>
          <w:tcPr>
            <w:tcW w:w="1603" w:type="dxa"/>
            <w:hideMark/>
          </w:tcPr>
          <w:p w14:paraId="06F2F8BA" w14:textId="77777777" w:rsidR="00D8753A" w:rsidRDefault="00D8753A">
            <w:pPr>
              <w:pStyle w:val="NormalWeb"/>
              <w:rPr>
                <w:sz w:val="18"/>
                <w:szCs w:val="18"/>
              </w:rPr>
            </w:pPr>
            <w:r>
              <w:rPr>
                <w:sz w:val="18"/>
                <w:szCs w:val="18"/>
              </w:rPr>
              <w:t>89.5</w:t>
            </w:r>
          </w:p>
        </w:tc>
        <w:tc>
          <w:tcPr>
            <w:tcW w:w="1604" w:type="dxa"/>
            <w:hideMark/>
          </w:tcPr>
          <w:p w14:paraId="323CA9D9" w14:textId="77777777" w:rsidR="00D8753A" w:rsidRDefault="00D8753A">
            <w:pPr>
              <w:pStyle w:val="NormalWeb"/>
              <w:rPr>
                <w:sz w:val="18"/>
                <w:szCs w:val="18"/>
              </w:rPr>
            </w:pPr>
            <w:r>
              <w:rPr>
                <w:sz w:val="18"/>
                <w:szCs w:val="18"/>
              </w:rPr>
              <w:t>96.2</w:t>
            </w:r>
          </w:p>
        </w:tc>
      </w:tr>
      <w:tr w:rsidR="00D8753A" w14:paraId="3DCF2688" w14:textId="77777777" w:rsidTr="0091636A">
        <w:trPr>
          <w:cnfStyle w:val="000000010000" w:firstRow="0" w:lastRow="0" w:firstColumn="0" w:lastColumn="0" w:oddVBand="0" w:evenVBand="0" w:oddHBand="0" w:evenHBand="1" w:firstRowFirstColumn="0" w:firstRowLastColumn="0" w:lastRowFirstColumn="0" w:lastRowLastColumn="0"/>
        </w:trPr>
        <w:tc>
          <w:tcPr>
            <w:tcW w:w="4111" w:type="dxa"/>
            <w:hideMark/>
          </w:tcPr>
          <w:p w14:paraId="074C170D" w14:textId="77777777" w:rsidR="00D8753A" w:rsidRDefault="00D8753A">
            <w:pPr>
              <w:pStyle w:val="NormalWeb"/>
              <w:jc w:val="left"/>
              <w:rPr>
                <w:sz w:val="18"/>
                <w:szCs w:val="18"/>
              </w:rPr>
            </w:pPr>
            <w:r>
              <w:rPr>
                <w:sz w:val="18"/>
                <w:szCs w:val="18"/>
              </w:rPr>
              <w:t>Nepean Blue Mountains</w:t>
            </w:r>
          </w:p>
        </w:tc>
        <w:tc>
          <w:tcPr>
            <w:tcW w:w="1252" w:type="dxa"/>
            <w:hideMark/>
          </w:tcPr>
          <w:p w14:paraId="0D1CEF98" w14:textId="77777777" w:rsidR="00D8753A" w:rsidRDefault="00D8753A">
            <w:pPr>
              <w:pStyle w:val="NormalWeb"/>
              <w:rPr>
                <w:sz w:val="18"/>
                <w:szCs w:val="18"/>
              </w:rPr>
            </w:pPr>
            <w:r>
              <w:rPr>
                <w:sz w:val="18"/>
                <w:szCs w:val="18"/>
              </w:rPr>
              <w:t>93.7</w:t>
            </w:r>
          </w:p>
        </w:tc>
        <w:tc>
          <w:tcPr>
            <w:tcW w:w="1603" w:type="dxa"/>
            <w:hideMark/>
          </w:tcPr>
          <w:p w14:paraId="2A205198" w14:textId="77777777" w:rsidR="00D8753A" w:rsidRDefault="00D8753A">
            <w:pPr>
              <w:pStyle w:val="NormalWeb"/>
              <w:rPr>
                <w:sz w:val="18"/>
                <w:szCs w:val="18"/>
              </w:rPr>
            </w:pPr>
            <w:r>
              <w:rPr>
                <w:sz w:val="18"/>
                <w:szCs w:val="18"/>
              </w:rPr>
              <w:t>95.9</w:t>
            </w:r>
          </w:p>
        </w:tc>
        <w:tc>
          <w:tcPr>
            <w:tcW w:w="1604" w:type="dxa"/>
            <w:hideMark/>
          </w:tcPr>
          <w:p w14:paraId="34E6F09D" w14:textId="77777777" w:rsidR="00D8753A" w:rsidRDefault="00D8753A">
            <w:pPr>
              <w:pStyle w:val="NormalWeb"/>
              <w:rPr>
                <w:sz w:val="18"/>
                <w:szCs w:val="18"/>
              </w:rPr>
            </w:pPr>
            <w:r>
              <w:rPr>
                <w:sz w:val="18"/>
                <w:szCs w:val="18"/>
              </w:rPr>
              <w:t>92.6</w:t>
            </w:r>
          </w:p>
        </w:tc>
        <w:tc>
          <w:tcPr>
            <w:tcW w:w="1603" w:type="dxa"/>
            <w:hideMark/>
          </w:tcPr>
          <w:p w14:paraId="1AA979F3" w14:textId="77777777" w:rsidR="00D8753A" w:rsidRDefault="00D8753A">
            <w:pPr>
              <w:pStyle w:val="NormalWeb"/>
              <w:rPr>
                <w:sz w:val="18"/>
                <w:szCs w:val="18"/>
              </w:rPr>
            </w:pPr>
            <w:r>
              <w:rPr>
                <w:sz w:val="18"/>
                <w:szCs w:val="18"/>
              </w:rPr>
              <w:t>91.1</w:t>
            </w:r>
          </w:p>
        </w:tc>
        <w:tc>
          <w:tcPr>
            <w:tcW w:w="1604" w:type="dxa"/>
            <w:hideMark/>
          </w:tcPr>
          <w:p w14:paraId="72B81A9E" w14:textId="77777777" w:rsidR="00D8753A" w:rsidRDefault="00D8753A">
            <w:pPr>
              <w:pStyle w:val="NormalWeb"/>
              <w:rPr>
                <w:sz w:val="18"/>
                <w:szCs w:val="18"/>
              </w:rPr>
            </w:pPr>
            <w:r>
              <w:rPr>
                <w:sz w:val="18"/>
                <w:szCs w:val="18"/>
              </w:rPr>
              <w:t>93.7</w:t>
            </w:r>
          </w:p>
        </w:tc>
        <w:tc>
          <w:tcPr>
            <w:tcW w:w="1603" w:type="dxa"/>
            <w:hideMark/>
          </w:tcPr>
          <w:p w14:paraId="1BE21A35" w14:textId="77777777" w:rsidR="00D8753A" w:rsidRDefault="00D8753A">
            <w:pPr>
              <w:pStyle w:val="NormalWeb"/>
              <w:rPr>
                <w:sz w:val="18"/>
                <w:szCs w:val="18"/>
              </w:rPr>
            </w:pPr>
            <w:r>
              <w:rPr>
                <w:sz w:val="18"/>
                <w:szCs w:val="18"/>
              </w:rPr>
              <w:t>89.0</w:t>
            </w:r>
          </w:p>
        </w:tc>
        <w:tc>
          <w:tcPr>
            <w:tcW w:w="1604" w:type="dxa"/>
            <w:hideMark/>
          </w:tcPr>
          <w:p w14:paraId="4C143201" w14:textId="77777777" w:rsidR="00D8753A" w:rsidRDefault="00D8753A">
            <w:pPr>
              <w:pStyle w:val="NormalWeb"/>
              <w:rPr>
                <w:sz w:val="18"/>
                <w:szCs w:val="18"/>
              </w:rPr>
            </w:pPr>
            <w:r>
              <w:rPr>
                <w:sz w:val="18"/>
                <w:szCs w:val="18"/>
              </w:rPr>
              <w:t>96.1</w:t>
            </w:r>
          </w:p>
        </w:tc>
      </w:tr>
      <w:tr w:rsidR="00D8753A" w14:paraId="1C0CABB7" w14:textId="77777777" w:rsidTr="0091636A">
        <w:tc>
          <w:tcPr>
            <w:tcW w:w="4111" w:type="dxa"/>
            <w:hideMark/>
          </w:tcPr>
          <w:p w14:paraId="4F0604E6" w14:textId="77777777" w:rsidR="00D8753A" w:rsidRDefault="00D8753A">
            <w:pPr>
              <w:pStyle w:val="NormalWeb"/>
              <w:jc w:val="left"/>
              <w:rPr>
                <w:sz w:val="18"/>
                <w:szCs w:val="18"/>
              </w:rPr>
            </w:pPr>
            <w:r>
              <w:rPr>
                <w:sz w:val="18"/>
                <w:szCs w:val="18"/>
              </w:rPr>
              <w:t>Eastern Melbourne</w:t>
            </w:r>
          </w:p>
        </w:tc>
        <w:tc>
          <w:tcPr>
            <w:tcW w:w="1252" w:type="dxa"/>
            <w:hideMark/>
          </w:tcPr>
          <w:p w14:paraId="34F6CF0F" w14:textId="77777777" w:rsidR="00D8753A" w:rsidRDefault="00D8753A">
            <w:pPr>
              <w:pStyle w:val="NormalWeb"/>
              <w:rPr>
                <w:sz w:val="18"/>
                <w:szCs w:val="18"/>
              </w:rPr>
            </w:pPr>
            <w:r>
              <w:rPr>
                <w:sz w:val="18"/>
                <w:szCs w:val="18"/>
              </w:rPr>
              <w:t>93.0</w:t>
            </w:r>
          </w:p>
        </w:tc>
        <w:tc>
          <w:tcPr>
            <w:tcW w:w="1603" w:type="dxa"/>
            <w:hideMark/>
          </w:tcPr>
          <w:p w14:paraId="7B7254AD" w14:textId="77777777" w:rsidR="00D8753A" w:rsidRDefault="00D8753A">
            <w:pPr>
              <w:pStyle w:val="NormalWeb"/>
              <w:rPr>
                <w:sz w:val="18"/>
                <w:szCs w:val="18"/>
              </w:rPr>
            </w:pPr>
            <w:r>
              <w:rPr>
                <w:sz w:val="18"/>
                <w:szCs w:val="18"/>
              </w:rPr>
              <w:t>95.5</w:t>
            </w:r>
          </w:p>
        </w:tc>
        <w:tc>
          <w:tcPr>
            <w:tcW w:w="1604" w:type="dxa"/>
            <w:hideMark/>
          </w:tcPr>
          <w:p w14:paraId="6C277611" w14:textId="77777777" w:rsidR="00D8753A" w:rsidRDefault="00D8753A">
            <w:pPr>
              <w:pStyle w:val="NormalWeb"/>
              <w:rPr>
                <w:sz w:val="18"/>
                <w:szCs w:val="18"/>
              </w:rPr>
            </w:pPr>
            <w:r>
              <w:rPr>
                <w:sz w:val="18"/>
                <w:szCs w:val="18"/>
              </w:rPr>
              <w:t>92.0</w:t>
            </w:r>
          </w:p>
        </w:tc>
        <w:tc>
          <w:tcPr>
            <w:tcW w:w="1603" w:type="dxa"/>
            <w:hideMark/>
          </w:tcPr>
          <w:p w14:paraId="40E968E1" w14:textId="77777777" w:rsidR="00D8753A" w:rsidRDefault="00D8753A">
            <w:pPr>
              <w:pStyle w:val="NormalWeb"/>
              <w:rPr>
                <w:sz w:val="18"/>
                <w:szCs w:val="18"/>
              </w:rPr>
            </w:pPr>
            <w:r>
              <w:rPr>
                <w:sz w:val="18"/>
                <w:szCs w:val="18"/>
              </w:rPr>
              <w:t>90.5</w:t>
            </w:r>
          </w:p>
        </w:tc>
        <w:tc>
          <w:tcPr>
            <w:tcW w:w="1604" w:type="dxa"/>
            <w:hideMark/>
          </w:tcPr>
          <w:p w14:paraId="55695F92" w14:textId="77777777" w:rsidR="00D8753A" w:rsidRDefault="00D8753A">
            <w:pPr>
              <w:pStyle w:val="NormalWeb"/>
              <w:rPr>
                <w:sz w:val="18"/>
                <w:szCs w:val="18"/>
              </w:rPr>
            </w:pPr>
            <w:r>
              <w:rPr>
                <w:sz w:val="18"/>
                <w:szCs w:val="18"/>
              </w:rPr>
              <w:t>92.8</w:t>
            </w:r>
          </w:p>
        </w:tc>
        <w:tc>
          <w:tcPr>
            <w:tcW w:w="1603" w:type="dxa"/>
            <w:hideMark/>
          </w:tcPr>
          <w:p w14:paraId="46844A17" w14:textId="77777777" w:rsidR="00D8753A" w:rsidRDefault="00D8753A">
            <w:pPr>
              <w:pStyle w:val="NormalWeb"/>
              <w:rPr>
                <w:sz w:val="18"/>
                <w:szCs w:val="18"/>
              </w:rPr>
            </w:pPr>
            <w:r>
              <w:rPr>
                <w:sz w:val="18"/>
                <w:szCs w:val="18"/>
              </w:rPr>
              <w:t>90.9</w:t>
            </w:r>
          </w:p>
        </w:tc>
        <w:tc>
          <w:tcPr>
            <w:tcW w:w="1604" w:type="dxa"/>
            <w:hideMark/>
          </w:tcPr>
          <w:p w14:paraId="5C1B3D54" w14:textId="77777777" w:rsidR="00D8753A" w:rsidRDefault="00D8753A">
            <w:pPr>
              <w:pStyle w:val="NormalWeb"/>
              <w:rPr>
                <w:sz w:val="18"/>
                <w:szCs w:val="18"/>
              </w:rPr>
            </w:pPr>
            <w:r>
              <w:rPr>
                <w:sz w:val="18"/>
                <w:szCs w:val="18"/>
              </w:rPr>
              <w:t>96.0</w:t>
            </w:r>
          </w:p>
        </w:tc>
      </w:tr>
      <w:tr w:rsidR="00D8753A" w14:paraId="0AD6EE97" w14:textId="77777777" w:rsidTr="0091636A">
        <w:trPr>
          <w:cnfStyle w:val="000000010000" w:firstRow="0" w:lastRow="0" w:firstColumn="0" w:lastColumn="0" w:oddVBand="0" w:evenVBand="0" w:oddHBand="0" w:evenHBand="1" w:firstRowFirstColumn="0" w:firstRowLastColumn="0" w:lastRowFirstColumn="0" w:lastRowLastColumn="0"/>
        </w:trPr>
        <w:tc>
          <w:tcPr>
            <w:tcW w:w="4111" w:type="dxa"/>
            <w:hideMark/>
          </w:tcPr>
          <w:p w14:paraId="2D244A0C" w14:textId="77777777" w:rsidR="00D8753A" w:rsidRDefault="00D8753A">
            <w:pPr>
              <w:pStyle w:val="NormalWeb"/>
              <w:jc w:val="left"/>
              <w:rPr>
                <w:sz w:val="18"/>
                <w:szCs w:val="18"/>
              </w:rPr>
            </w:pPr>
            <w:r>
              <w:rPr>
                <w:sz w:val="18"/>
                <w:szCs w:val="18"/>
              </w:rPr>
              <w:t>Australian Capital Territory</w:t>
            </w:r>
          </w:p>
        </w:tc>
        <w:tc>
          <w:tcPr>
            <w:tcW w:w="1252" w:type="dxa"/>
            <w:hideMark/>
          </w:tcPr>
          <w:p w14:paraId="64397B89" w14:textId="77777777" w:rsidR="00D8753A" w:rsidRDefault="00D8753A">
            <w:pPr>
              <w:pStyle w:val="NormalWeb"/>
              <w:rPr>
                <w:sz w:val="18"/>
                <w:szCs w:val="18"/>
              </w:rPr>
            </w:pPr>
            <w:r>
              <w:rPr>
                <w:sz w:val="18"/>
                <w:szCs w:val="18"/>
              </w:rPr>
              <w:t>94.8</w:t>
            </w:r>
          </w:p>
        </w:tc>
        <w:tc>
          <w:tcPr>
            <w:tcW w:w="1603" w:type="dxa"/>
            <w:hideMark/>
          </w:tcPr>
          <w:p w14:paraId="0C45140F" w14:textId="77777777" w:rsidR="00D8753A" w:rsidRDefault="00D8753A">
            <w:pPr>
              <w:pStyle w:val="NormalWeb"/>
              <w:rPr>
                <w:sz w:val="18"/>
                <w:szCs w:val="18"/>
              </w:rPr>
            </w:pPr>
            <w:r>
              <w:rPr>
                <w:sz w:val="18"/>
                <w:szCs w:val="18"/>
              </w:rPr>
              <w:t>96.5</w:t>
            </w:r>
          </w:p>
        </w:tc>
        <w:tc>
          <w:tcPr>
            <w:tcW w:w="1604" w:type="dxa"/>
            <w:hideMark/>
          </w:tcPr>
          <w:p w14:paraId="511F3C65" w14:textId="77777777" w:rsidR="00D8753A" w:rsidRDefault="00D8753A">
            <w:pPr>
              <w:pStyle w:val="NormalWeb"/>
              <w:rPr>
                <w:sz w:val="18"/>
                <w:szCs w:val="18"/>
              </w:rPr>
            </w:pPr>
            <w:r>
              <w:rPr>
                <w:sz w:val="18"/>
                <w:szCs w:val="18"/>
              </w:rPr>
              <w:t>92.9</w:t>
            </w:r>
          </w:p>
        </w:tc>
        <w:tc>
          <w:tcPr>
            <w:tcW w:w="1603" w:type="dxa"/>
            <w:hideMark/>
          </w:tcPr>
          <w:p w14:paraId="365CCA54" w14:textId="77777777" w:rsidR="00D8753A" w:rsidRDefault="00D8753A">
            <w:pPr>
              <w:pStyle w:val="NormalWeb"/>
              <w:rPr>
                <w:sz w:val="18"/>
                <w:szCs w:val="18"/>
              </w:rPr>
            </w:pPr>
            <w:r>
              <w:rPr>
                <w:sz w:val="18"/>
                <w:szCs w:val="18"/>
              </w:rPr>
              <w:t>91.6</w:t>
            </w:r>
          </w:p>
        </w:tc>
        <w:tc>
          <w:tcPr>
            <w:tcW w:w="1604" w:type="dxa"/>
            <w:hideMark/>
          </w:tcPr>
          <w:p w14:paraId="20CAD7FA" w14:textId="77777777" w:rsidR="00D8753A" w:rsidRDefault="00D8753A">
            <w:pPr>
              <w:pStyle w:val="NormalWeb"/>
              <w:rPr>
                <w:sz w:val="18"/>
                <w:szCs w:val="18"/>
              </w:rPr>
            </w:pPr>
            <w:r>
              <w:rPr>
                <w:sz w:val="18"/>
                <w:szCs w:val="18"/>
              </w:rPr>
              <w:t>93.6</w:t>
            </w:r>
          </w:p>
        </w:tc>
        <w:tc>
          <w:tcPr>
            <w:tcW w:w="1603" w:type="dxa"/>
            <w:hideMark/>
          </w:tcPr>
          <w:p w14:paraId="20CC5509" w14:textId="77777777" w:rsidR="00D8753A" w:rsidRDefault="00D8753A">
            <w:pPr>
              <w:pStyle w:val="NormalWeb"/>
              <w:rPr>
                <w:sz w:val="18"/>
                <w:szCs w:val="18"/>
              </w:rPr>
            </w:pPr>
            <w:r>
              <w:rPr>
                <w:sz w:val="18"/>
                <w:szCs w:val="18"/>
              </w:rPr>
              <w:t>90.4</w:t>
            </w:r>
          </w:p>
        </w:tc>
        <w:tc>
          <w:tcPr>
            <w:tcW w:w="1604" w:type="dxa"/>
            <w:hideMark/>
          </w:tcPr>
          <w:p w14:paraId="59E6EB1F" w14:textId="77777777" w:rsidR="00D8753A" w:rsidRDefault="00D8753A">
            <w:pPr>
              <w:pStyle w:val="NormalWeb"/>
              <w:rPr>
                <w:sz w:val="18"/>
                <w:szCs w:val="18"/>
              </w:rPr>
            </w:pPr>
            <w:r>
              <w:rPr>
                <w:sz w:val="18"/>
                <w:szCs w:val="18"/>
              </w:rPr>
              <w:t>95.9</w:t>
            </w:r>
          </w:p>
        </w:tc>
      </w:tr>
      <w:tr w:rsidR="00D8753A" w14:paraId="09E4F307" w14:textId="77777777" w:rsidTr="0091636A">
        <w:tc>
          <w:tcPr>
            <w:tcW w:w="4111" w:type="dxa"/>
            <w:hideMark/>
          </w:tcPr>
          <w:p w14:paraId="728BC0AA" w14:textId="77777777" w:rsidR="00D8753A" w:rsidRDefault="00D8753A">
            <w:pPr>
              <w:pStyle w:val="NormalWeb"/>
              <w:jc w:val="left"/>
              <w:rPr>
                <w:sz w:val="18"/>
                <w:szCs w:val="18"/>
              </w:rPr>
            </w:pPr>
            <w:r>
              <w:rPr>
                <w:sz w:val="18"/>
                <w:szCs w:val="18"/>
              </w:rPr>
              <w:t>Western Queensland</w:t>
            </w:r>
          </w:p>
        </w:tc>
        <w:tc>
          <w:tcPr>
            <w:tcW w:w="1252" w:type="dxa"/>
            <w:hideMark/>
          </w:tcPr>
          <w:p w14:paraId="766B213B" w14:textId="77777777" w:rsidR="00D8753A" w:rsidRDefault="00D8753A">
            <w:pPr>
              <w:pStyle w:val="NormalWeb"/>
              <w:rPr>
                <w:sz w:val="18"/>
                <w:szCs w:val="18"/>
              </w:rPr>
            </w:pPr>
            <w:r>
              <w:rPr>
                <w:sz w:val="18"/>
                <w:szCs w:val="18"/>
              </w:rPr>
              <w:t>89.7</w:t>
            </w:r>
          </w:p>
        </w:tc>
        <w:tc>
          <w:tcPr>
            <w:tcW w:w="1603" w:type="dxa"/>
            <w:hideMark/>
          </w:tcPr>
          <w:p w14:paraId="06E6CECC" w14:textId="77777777" w:rsidR="00D8753A" w:rsidRDefault="00D8753A">
            <w:pPr>
              <w:pStyle w:val="NormalWeb"/>
              <w:rPr>
                <w:sz w:val="18"/>
                <w:szCs w:val="18"/>
              </w:rPr>
            </w:pPr>
            <w:r>
              <w:rPr>
                <w:sz w:val="18"/>
                <w:szCs w:val="18"/>
              </w:rPr>
              <w:t>94.9</w:t>
            </w:r>
          </w:p>
        </w:tc>
        <w:tc>
          <w:tcPr>
            <w:tcW w:w="1604" w:type="dxa"/>
            <w:hideMark/>
          </w:tcPr>
          <w:p w14:paraId="5F980D0C" w14:textId="77777777" w:rsidR="00D8753A" w:rsidRDefault="00D8753A">
            <w:pPr>
              <w:pStyle w:val="NormalWeb"/>
              <w:rPr>
                <w:sz w:val="18"/>
                <w:szCs w:val="18"/>
              </w:rPr>
            </w:pPr>
            <w:r>
              <w:rPr>
                <w:sz w:val="18"/>
                <w:szCs w:val="18"/>
              </w:rPr>
              <w:t>88.5</w:t>
            </w:r>
          </w:p>
        </w:tc>
        <w:tc>
          <w:tcPr>
            <w:tcW w:w="1603" w:type="dxa"/>
            <w:hideMark/>
          </w:tcPr>
          <w:p w14:paraId="67397440" w14:textId="77777777" w:rsidR="00D8753A" w:rsidRDefault="00D8753A">
            <w:pPr>
              <w:pStyle w:val="NormalWeb"/>
              <w:rPr>
                <w:sz w:val="18"/>
                <w:szCs w:val="18"/>
              </w:rPr>
            </w:pPr>
            <w:r>
              <w:rPr>
                <w:sz w:val="18"/>
                <w:szCs w:val="18"/>
              </w:rPr>
              <w:t>83.2</w:t>
            </w:r>
          </w:p>
        </w:tc>
        <w:tc>
          <w:tcPr>
            <w:tcW w:w="1604" w:type="dxa"/>
            <w:hideMark/>
          </w:tcPr>
          <w:p w14:paraId="222DB4DC" w14:textId="77777777" w:rsidR="00D8753A" w:rsidRDefault="00D8753A">
            <w:pPr>
              <w:pStyle w:val="NormalWeb"/>
              <w:rPr>
                <w:sz w:val="18"/>
                <w:szCs w:val="18"/>
              </w:rPr>
            </w:pPr>
            <w:r>
              <w:rPr>
                <w:sz w:val="18"/>
                <w:szCs w:val="18"/>
              </w:rPr>
              <w:t>89.9</w:t>
            </w:r>
          </w:p>
        </w:tc>
        <w:tc>
          <w:tcPr>
            <w:tcW w:w="1603" w:type="dxa"/>
            <w:hideMark/>
          </w:tcPr>
          <w:p w14:paraId="4E802E31" w14:textId="77777777" w:rsidR="00D8753A" w:rsidRDefault="00D8753A">
            <w:pPr>
              <w:pStyle w:val="NormalWeb"/>
              <w:rPr>
                <w:sz w:val="18"/>
                <w:szCs w:val="18"/>
              </w:rPr>
            </w:pPr>
            <w:r>
              <w:rPr>
                <w:sz w:val="18"/>
                <w:szCs w:val="18"/>
              </w:rPr>
              <w:t>85.6</w:t>
            </w:r>
          </w:p>
        </w:tc>
        <w:tc>
          <w:tcPr>
            <w:tcW w:w="1604" w:type="dxa"/>
            <w:hideMark/>
          </w:tcPr>
          <w:p w14:paraId="2678F893" w14:textId="77777777" w:rsidR="00D8753A" w:rsidRDefault="00D8753A">
            <w:pPr>
              <w:pStyle w:val="NormalWeb"/>
              <w:rPr>
                <w:sz w:val="18"/>
                <w:szCs w:val="18"/>
              </w:rPr>
            </w:pPr>
            <w:r>
              <w:rPr>
                <w:sz w:val="18"/>
                <w:szCs w:val="18"/>
              </w:rPr>
              <w:t>95.9</w:t>
            </w:r>
          </w:p>
        </w:tc>
      </w:tr>
      <w:tr w:rsidR="00D8753A" w14:paraId="48CF8C7D" w14:textId="77777777" w:rsidTr="0091636A">
        <w:trPr>
          <w:cnfStyle w:val="000000010000" w:firstRow="0" w:lastRow="0" w:firstColumn="0" w:lastColumn="0" w:oddVBand="0" w:evenVBand="0" w:oddHBand="0" w:evenHBand="1" w:firstRowFirstColumn="0" w:firstRowLastColumn="0" w:lastRowFirstColumn="0" w:lastRowLastColumn="0"/>
        </w:trPr>
        <w:tc>
          <w:tcPr>
            <w:tcW w:w="4111" w:type="dxa"/>
            <w:hideMark/>
          </w:tcPr>
          <w:p w14:paraId="2F4BFBEE" w14:textId="77777777" w:rsidR="00D8753A" w:rsidRDefault="00D8753A">
            <w:pPr>
              <w:pStyle w:val="NormalWeb"/>
              <w:jc w:val="left"/>
              <w:rPr>
                <w:sz w:val="18"/>
                <w:szCs w:val="18"/>
              </w:rPr>
            </w:pPr>
            <w:r>
              <w:rPr>
                <w:sz w:val="18"/>
                <w:szCs w:val="18"/>
              </w:rPr>
              <w:t>Northern Queensland</w:t>
            </w:r>
          </w:p>
        </w:tc>
        <w:tc>
          <w:tcPr>
            <w:tcW w:w="1252" w:type="dxa"/>
            <w:hideMark/>
          </w:tcPr>
          <w:p w14:paraId="110CAFA2" w14:textId="77777777" w:rsidR="00D8753A" w:rsidRDefault="00D8753A">
            <w:pPr>
              <w:pStyle w:val="NormalWeb"/>
              <w:rPr>
                <w:sz w:val="18"/>
                <w:szCs w:val="18"/>
              </w:rPr>
            </w:pPr>
            <w:r>
              <w:rPr>
                <w:sz w:val="18"/>
                <w:szCs w:val="18"/>
              </w:rPr>
              <w:t>90.6</w:t>
            </w:r>
          </w:p>
        </w:tc>
        <w:tc>
          <w:tcPr>
            <w:tcW w:w="1603" w:type="dxa"/>
            <w:hideMark/>
          </w:tcPr>
          <w:p w14:paraId="2EBA88FC" w14:textId="77777777" w:rsidR="00D8753A" w:rsidRDefault="00D8753A">
            <w:pPr>
              <w:pStyle w:val="NormalWeb"/>
              <w:rPr>
                <w:sz w:val="18"/>
                <w:szCs w:val="18"/>
              </w:rPr>
            </w:pPr>
            <w:r>
              <w:rPr>
                <w:sz w:val="18"/>
                <w:szCs w:val="18"/>
              </w:rPr>
              <w:t>94.9</w:t>
            </w:r>
          </w:p>
        </w:tc>
        <w:tc>
          <w:tcPr>
            <w:tcW w:w="1604" w:type="dxa"/>
            <w:hideMark/>
          </w:tcPr>
          <w:p w14:paraId="4525E8B0" w14:textId="77777777" w:rsidR="00D8753A" w:rsidRDefault="00D8753A">
            <w:pPr>
              <w:pStyle w:val="NormalWeb"/>
              <w:rPr>
                <w:sz w:val="18"/>
                <w:szCs w:val="18"/>
              </w:rPr>
            </w:pPr>
            <w:r>
              <w:rPr>
                <w:sz w:val="18"/>
                <w:szCs w:val="18"/>
              </w:rPr>
              <w:t>91.0</w:t>
            </w:r>
          </w:p>
        </w:tc>
        <w:tc>
          <w:tcPr>
            <w:tcW w:w="1603" w:type="dxa"/>
            <w:hideMark/>
          </w:tcPr>
          <w:p w14:paraId="5A5C8A2B" w14:textId="77777777" w:rsidR="00D8753A" w:rsidRDefault="00D8753A">
            <w:pPr>
              <w:pStyle w:val="NormalWeb"/>
              <w:rPr>
                <w:sz w:val="18"/>
                <w:szCs w:val="18"/>
              </w:rPr>
            </w:pPr>
            <w:r>
              <w:rPr>
                <w:sz w:val="18"/>
                <w:szCs w:val="18"/>
              </w:rPr>
              <w:t>88.9</w:t>
            </w:r>
          </w:p>
        </w:tc>
        <w:tc>
          <w:tcPr>
            <w:tcW w:w="1604" w:type="dxa"/>
            <w:hideMark/>
          </w:tcPr>
          <w:p w14:paraId="2B2D727B" w14:textId="77777777" w:rsidR="00D8753A" w:rsidRDefault="00D8753A">
            <w:pPr>
              <w:pStyle w:val="NormalWeb"/>
              <w:rPr>
                <w:sz w:val="18"/>
                <w:szCs w:val="18"/>
              </w:rPr>
            </w:pPr>
            <w:r>
              <w:rPr>
                <w:sz w:val="18"/>
                <w:szCs w:val="18"/>
              </w:rPr>
              <w:t>92.9</w:t>
            </w:r>
          </w:p>
        </w:tc>
        <w:tc>
          <w:tcPr>
            <w:tcW w:w="1603" w:type="dxa"/>
            <w:hideMark/>
          </w:tcPr>
          <w:p w14:paraId="098DB0E1" w14:textId="77777777" w:rsidR="00D8753A" w:rsidRDefault="00D8753A">
            <w:pPr>
              <w:pStyle w:val="NormalWeb"/>
              <w:rPr>
                <w:sz w:val="18"/>
                <w:szCs w:val="18"/>
              </w:rPr>
            </w:pPr>
            <w:r>
              <w:rPr>
                <w:sz w:val="18"/>
                <w:szCs w:val="18"/>
              </w:rPr>
              <w:t>87.5</w:t>
            </w:r>
          </w:p>
        </w:tc>
        <w:tc>
          <w:tcPr>
            <w:tcW w:w="1604" w:type="dxa"/>
            <w:hideMark/>
          </w:tcPr>
          <w:p w14:paraId="1BC75333" w14:textId="77777777" w:rsidR="00D8753A" w:rsidRDefault="00D8753A">
            <w:pPr>
              <w:pStyle w:val="NormalWeb"/>
              <w:rPr>
                <w:sz w:val="18"/>
                <w:szCs w:val="18"/>
              </w:rPr>
            </w:pPr>
            <w:r>
              <w:rPr>
                <w:sz w:val="18"/>
                <w:szCs w:val="18"/>
              </w:rPr>
              <w:t>95.8</w:t>
            </w:r>
          </w:p>
        </w:tc>
      </w:tr>
      <w:tr w:rsidR="00D8753A" w14:paraId="0710FC06" w14:textId="77777777" w:rsidTr="0091636A">
        <w:tc>
          <w:tcPr>
            <w:tcW w:w="4111" w:type="dxa"/>
            <w:hideMark/>
          </w:tcPr>
          <w:p w14:paraId="5D4D83C1" w14:textId="77777777" w:rsidR="00D8753A" w:rsidRDefault="00D8753A">
            <w:pPr>
              <w:pStyle w:val="NormalWeb"/>
              <w:jc w:val="left"/>
              <w:rPr>
                <w:sz w:val="18"/>
                <w:szCs w:val="18"/>
              </w:rPr>
            </w:pPr>
            <w:r>
              <w:rPr>
                <w:sz w:val="18"/>
                <w:szCs w:val="18"/>
              </w:rPr>
              <w:t>South Western Sydney</w:t>
            </w:r>
          </w:p>
        </w:tc>
        <w:tc>
          <w:tcPr>
            <w:tcW w:w="1252" w:type="dxa"/>
            <w:hideMark/>
          </w:tcPr>
          <w:p w14:paraId="01C475FC" w14:textId="77777777" w:rsidR="00D8753A" w:rsidRDefault="00D8753A">
            <w:pPr>
              <w:pStyle w:val="NormalWeb"/>
              <w:rPr>
                <w:sz w:val="18"/>
                <w:szCs w:val="18"/>
              </w:rPr>
            </w:pPr>
            <w:r>
              <w:rPr>
                <w:sz w:val="18"/>
                <w:szCs w:val="18"/>
              </w:rPr>
              <w:t>91.3</w:t>
            </w:r>
          </w:p>
        </w:tc>
        <w:tc>
          <w:tcPr>
            <w:tcW w:w="1603" w:type="dxa"/>
            <w:hideMark/>
          </w:tcPr>
          <w:p w14:paraId="68EEE31E" w14:textId="77777777" w:rsidR="00D8753A" w:rsidRDefault="00D8753A">
            <w:pPr>
              <w:pStyle w:val="NormalWeb"/>
              <w:rPr>
                <w:sz w:val="18"/>
                <w:szCs w:val="18"/>
              </w:rPr>
            </w:pPr>
            <w:r>
              <w:rPr>
                <w:sz w:val="18"/>
                <w:szCs w:val="18"/>
              </w:rPr>
              <w:t>94.2</w:t>
            </w:r>
          </w:p>
        </w:tc>
        <w:tc>
          <w:tcPr>
            <w:tcW w:w="1604" w:type="dxa"/>
            <w:hideMark/>
          </w:tcPr>
          <w:p w14:paraId="2F8BD3F0" w14:textId="77777777" w:rsidR="00D8753A" w:rsidRDefault="00D8753A">
            <w:pPr>
              <w:pStyle w:val="NormalWeb"/>
              <w:rPr>
                <w:sz w:val="18"/>
                <w:szCs w:val="18"/>
              </w:rPr>
            </w:pPr>
            <w:r>
              <w:rPr>
                <w:sz w:val="18"/>
                <w:szCs w:val="18"/>
              </w:rPr>
              <w:t>89.4</w:t>
            </w:r>
          </w:p>
        </w:tc>
        <w:tc>
          <w:tcPr>
            <w:tcW w:w="1603" w:type="dxa"/>
            <w:hideMark/>
          </w:tcPr>
          <w:p w14:paraId="224E6718" w14:textId="77777777" w:rsidR="00D8753A" w:rsidRDefault="00D8753A">
            <w:pPr>
              <w:pStyle w:val="NormalWeb"/>
              <w:rPr>
                <w:sz w:val="18"/>
                <w:szCs w:val="18"/>
              </w:rPr>
            </w:pPr>
            <w:r>
              <w:rPr>
                <w:sz w:val="18"/>
                <w:szCs w:val="18"/>
              </w:rPr>
              <w:t>88.4</w:t>
            </w:r>
          </w:p>
        </w:tc>
        <w:tc>
          <w:tcPr>
            <w:tcW w:w="1604" w:type="dxa"/>
            <w:hideMark/>
          </w:tcPr>
          <w:p w14:paraId="34D5D372" w14:textId="77777777" w:rsidR="00D8753A" w:rsidRDefault="00D8753A">
            <w:pPr>
              <w:pStyle w:val="NormalWeb"/>
              <w:rPr>
                <w:sz w:val="18"/>
                <w:szCs w:val="18"/>
              </w:rPr>
            </w:pPr>
            <w:r>
              <w:rPr>
                <w:sz w:val="18"/>
                <w:szCs w:val="18"/>
              </w:rPr>
              <w:t>91.6</w:t>
            </w:r>
          </w:p>
        </w:tc>
        <w:tc>
          <w:tcPr>
            <w:tcW w:w="1603" w:type="dxa"/>
            <w:hideMark/>
          </w:tcPr>
          <w:p w14:paraId="0A1D7A15" w14:textId="77777777" w:rsidR="00D8753A" w:rsidRDefault="00D8753A">
            <w:pPr>
              <w:pStyle w:val="NormalWeb"/>
              <w:rPr>
                <w:sz w:val="18"/>
                <w:szCs w:val="18"/>
              </w:rPr>
            </w:pPr>
            <w:r>
              <w:rPr>
                <w:sz w:val="18"/>
                <w:szCs w:val="18"/>
              </w:rPr>
              <w:t>88.5</w:t>
            </w:r>
          </w:p>
        </w:tc>
        <w:tc>
          <w:tcPr>
            <w:tcW w:w="1604" w:type="dxa"/>
            <w:hideMark/>
          </w:tcPr>
          <w:p w14:paraId="27E13DEA" w14:textId="77777777" w:rsidR="00D8753A" w:rsidRDefault="00D8753A">
            <w:pPr>
              <w:pStyle w:val="NormalWeb"/>
              <w:rPr>
                <w:sz w:val="18"/>
                <w:szCs w:val="18"/>
              </w:rPr>
            </w:pPr>
            <w:r>
              <w:rPr>
                <w:sz w:val="18"/>
                <w:szCs w:val="18"/>
              </w:rPr>
              <w:t>95.7</w:t>
            </w:r>
          </w:p>
        </w:tc>
      </w:tr>
      <w:tr w:rsidR="00D8753A" w14:paraId="4848DE74" w14:textId="77777777" w:rsidTr="0091636A">
        <w:trPr>
          <w:cnfStyle w:val="000000010000" w:firstRow="0" w:lastRow="0" w:firstColumn="0" w:lastColumn="0" w:oddVBand="0" w:evenVBand="0" w:oddHBand="0" w:evenHBand="1" w:firstRowFirstColumn="0" w:firstRowLastColumn="0" w:lastRowFirstColumn="0" w:lastRowLastColumn="0"/>
        </w:trPr>
        <w:tc>
          <w:tcPr>
            <w:tcW w:w="4111" w:type="dxa"/>
            <w:hideMark/>
          </w:tcPr>
          <w:p w14:paraId="31A126A1" w14:textId="77777777" w:rsidR="00D8753A" w:rsidRDefault="00D8753A">
            <w:pPr>
              <w:pStyle w:val="NormalWeb"/>
              <w:jc w:val="left"/>
              <w:rPr>
                <w:sz w:val="18"/>
                <w:szCs w:val="18"/>
              </w:rPr>
            </w:pPr>
            <w:r>
              <w:rPr>
                <w:sz w:val="18"/>
                <w:szCs w:val="18"/>
              </w:rPr>
              <w:t>Country SA</w:t>
            </w:r>
          </w:p>
        </w:tc>
        <w:tc>
          <w:tcPr>
            <w:tcW w:w="1252" w:type="dxa"/>
            <w:hideMark/>
          </w:tcPr>
          <w:p w14:paraId="0E53CE06" w14:textId="77777777" w:rsidR="00D8753A" w:rsidRDefault="00D8753A">
            <w:pPr>
              <w:pStyle w:val="NormalWeb"/>
              <w:rPr>
                <w:sz w:val="18"/>
                <w:szCs w:val="18"/>
              </w:rPr>
            </w:pPr>
            <w:r>
              <w:rPr>
                <w:sz w:val="18"/>
                <w:szCs w:val="18"/>
              </w:rPr>
              <w:t>90.9</w:t>
            </w:r>
          </w:p>
        </w:tc>
        <w:tc>
          <w:tcPr>
            <w:tcW w:w="1603" w:type="dxa"/>
            <w:hideMark/>
          </w:tcPr>
          <w:p w14:paraId="4013865C" w14:textId="77777777" w:rsidR="00D8753A" w:rsidRDefault="00D8753A">
            <w:pPr>
              <w:pStyle w:val="NormalWeb"/>
              <w:rPr>
                <w:sz w:val="18"/>
                <w:szCs w:val="18"/>
              </w:rPr>
            </w:pPr>
            <w:r>
              <w:rPr>
                <w:sz w:val="18"/>
                <w:szCs w:val="18"/>
              </w:rPr>
              <w:t>94.3</w:t>
            </w:r>
          </w:p>
        </w:tc>
        <w:tc>
          <w:tcPr>
            <w:tcW w:w="1604" w:type="dxa"/>
            <w:hideMark/>
          </w:tcPr>
          <w:p w14:paraId="48164A84" w14:textId="77777777" w:rsidR="00D8753A" w:rsidRDefault="00D8753A">
            <w:pPr>
              <w:pStyle w:val="NormalWeb"/>
              <w:rPr>
                <w:sz w:val="18"/>
                <w:szCs w:val="18"/>
              </w:rPr>
            </w:pPr>
            <w:r>
              <w:rPr>
                <w:sz w:val="18"/>
                <w:szCs w:val="18"/>
              </w:rPr>
              <w:t>89.8</w:t>
            </w:r>
          </w:p>
        </w:tc>
        <w:tc>
          <w:tcPr>
            <w:tcW w:w="1603" w:type="dxa"/>
            <w:hideMark/>
          </w:tcPr>
          <w:p w14:paraId="1A3594A7" w14:textId="77777777" w:rsidR="00D8753A" w:rsidRDefault="00D8753A">
            <w:pPr>
              <w:pStyle w:val="NormalWeb"/>
              <w:rPr>
                <w:sz w:val="18"/>
                <w:szCs w:val="18"/>
              </w:rPr>
            </w:pPr>
            <w:r>
              <w:rPr>
                <w:sz w:val="18"/>
                <w:szCs w:val="18"/>
              </w:rPr>
              <w:t>88.0</w:t>
            </w:r>
          </w:p>
        </w:tc>
        <w:tc>
          <w:tcPr>
            <w:tcW w:w="1604" w:type="dxa"/>
            <w:hideMark/>
          </w:tcPr>
          <w:p w14:paraId="14949753" w14:textId="77777777" w:rsidR="00D8753A" w:rsidRDefault="00D8753A">
            <w:pPr>
              <w:pStyle w:val="NormalWeb"/>
              <w:rPr>
                <w:sz w:val="18"/>
                <w:szCs w:val="18"/>
              </w:rPr>
            </w:pPr>
            <w:r>
              <w:rPr>
                <w:sz w:val="18"/>
                <w:szCs w:val="18"/>
              </w:rPr>
              <w:t>92.1</w:t>
            </w:r>
          </w:p>
        </w:tc>
        <w:tc>
          <w:tcPr>
            <w:tcW w:w="1603" w:type="dxa"/>
            <w:hideMark/>
          </w:tcPr>
          <w:p w14:paraId="237DF7A9" w14:textId="77777777" w:rsidR="00D8753A" w:rsidRDefault="00D8753A">
            <w:pPr>
              <w:pStyle w:val="NormalWeb"/>
              <w:rPr>
                <w:sz w:val="18"/>
                <w:szCs w:val="18"/>
              </w:rPr>
            </w:pPr>
            <w:r>
              <w:rPr>
                <w:sz w:val="18"/>
                <w:szCs w:val="18"/>
              </w:rPr>
              <w:t>86.9</w:t>
            </w:r>
          </w:p>
        </w:tc>
        <w:tc>
          <w:tcPr>
            <w:tcW w:w="1604" w:type="dxa"/>
            <w:hideMark/>
          </w:tcPr>
          <w:p w14:paraId="3292E430" w14:textId="77777777" w:rsidR="00D8753A" w:rsidRDefault="00D8753A">
            <w:pPr>
              <w:pStyle w:val="NormalWeb"/>
              <w:rPr>
                <w:sz w:val="18"/>
                <w:szCs w:val="18"/>
              </w:rPr>
            </w:pPr>
            <w:r>
              <w:rPr>
                <w:sz w:val="18"/>
                <w:szCs w:val="18"/>
              </w:rPr>
              <w:t>95.4</w:t>
            </w:r>
          </w:p>
        </w:tc>
      </w:tr>
      <w:tr w:rsidR="00D8753A" w14:paraId="6CAD8CE5" w14:textId="77777777" w:rsidTr="0091636A">
        <w:tc>
          <w:tcPr>
            <w:tcW w:w="4111" w:type="dxa"/>
            <w:hideMark/>
          </w:tcPr>
          <w:p w14:paraId="2E8AD9E4" w14:textId="77777777" w:rsidR="00D8753A" w:rsidRDefault="00D8753A">
            <w:pPr>
              <w:pStyle w:val="NormalWeb"/>
              <w:jc w:val="left"/>
              <w:rPr>
                <w:sz w:val="18"/>
                <w:szCs w:val="18"/>
              </w:rPr>
            </w:pPr>
            <w:r>
              <w:rPr>
                <w:sz w:val="18"/>
                <w:szCs w:val="18"/>
              </w:rPr>
              <w:t>North Western Melbourne</w:t>
            </w:r>
          </w:p>
        </w:tc>
        <w:tc>
          <w:tcPr>
            <w:tcW w:w="1252" w:type="dxa"/>
            <w:hideMark/>
          </w:tcPr>
          <w:p w14:paraId="1FD5B9D3" w14:textId="77777777" w:rsidR="00D8753A" w:rsidRDefault="00D8753A">
            <w:pPr>
              <w:pStyle w:val="NormalWeb"/>
              <w:rPr>
                <w:sz w:val="18"/>
                <w:szCs w:val="18"/>
              </w:rPr>
            </w:pPr>
            <w:r>
              <w:rPr>
                <w:sz w:val="18"/>
                <w:szCs w:val="18"/>
              </w:rPr>
              <w:t>91.6</w:t>
            </w:r>
          </w:p>
        </w:tc>
        <w:tc>
          <w:tcPr>
            <w:tcW w:w="1603" w:type="dxa"/>
            <w:hideMark/>
          </w:tcPr>
          <w:p w14:paraId="65469DC1" w14:textId="77777777" w:rsidR="00D8753A" w:rsidRDefault="00D8753A">
            <w:pPr>
              <w:pStyle w:val="NormalWeb"/>
              <w:rPr>
                <w:sz w:val="18"/>
                <w:szCs w:val="18"/>
              </w:rPr>
            </w:pPr>
            <w:r>
              <w:rPr>
                <w:sz w:val="18"/>
                <w:szCs w:val="18"/>
              </w:rPr>
              <w:t>94.7</w:t>
            </w:r>
          </w:p>
        </w:tc>
        <w:tc>
          <w:tcPr>
            <w:tcW w:w="1604" w:type="dxa"/>
            <w:hideMark/>
          </w:tcPr>
          <w:p w14:paraId="611EE79A" w14:textId="77777777" w:rsidR="00D8753A" w:rsidRDefault="00D8753A">
            <w:pPr>
              <w:pStyle w:val="NormalWeb"/>
              <w:rPr>
                <w:sz w:val="18"/>
                <w:szCs w:val="18"/>
              </w:rPr>
            </w:pPr>
            <w:r>
              <w:rPr>
                <w:sz w:val="18"/>
                <w:szCs w:val="18"/>
              </w:rPr>
              <w:t>90.4</w:t>
            </w:r>
          </w:p>
        </w:tc>
        <w:tc>
          <w:tcPr>
            <w:tcW w:w="1603" w:type="dxa"/>
            <w:hideMark/>
          </w:tcPr>
          <w:p w14:paraId="79A7EDC3" w14:textId="77777777" w:rsidR="00D8753A" w:rsidRDefault="00D8753A">
            <w:pPr>
              <w:pStyle w:val="NormalWeb"/>
              <w:rPr>
                <w:sz w:val="18"/>
                <w:szCs w:val="18"/>
              </w:rPr>
            </w:pPr>
            <w:r>
              <w:rPr>
                <w:sz w:val="18"/>
                <w:szCs w:val="18"/>
              </w:rPr>
              <w:t>88.8</w:t>
            </w:r>
          </w:p>
        </w:tc>
        <w:tc>
          <w:tcPr>
            <w:tcW w:w="1604" w:type="dxa"/>
            <w:hideMark/>
          </w:tcPr>
          <w:p w14:paraId="3A59447B" w14:textId="77777777" w:rsidR="00D8753A" w:rsidRDefault="00D8753A">
            <w:pPr>
              <w:pStyle w:val="NormalWeb"/>
              <w:rPr>
                <w:sz w:val="18"/>
                <w:szCs w:val="18"/>
              </w:rPr>
            </w:pPr>
            <w:r>
              <w:rPr>
                <w:sz w:val="18"/>
                <w:szCs w:val="18"/>
              </w:rPr>
              <w:t>91.5</w:t>
            </w:r>
          </w:p>
        </w:tc>
        <w:tc>
          <w:tcPr>
            <w:tcW w:w="1603" w:type="dxa"/>
            <w:hideMark/>
          </w:tcPr>
          <w:p w14:paraId="0DA4F93B" w14:textId="77777777" w:rsidR="00D8753A" w:rsidRDefault="00D8753A">
            <w:pPr>
              <w:pStyle w:val="NormalWeb"/>
              <w:rPr>
                <w:sz w:val="18"/>
                <w:szCs w:val="18"/>
              </w:rPr>
            </w:pPr>
            <w:r>
              <w:rPr>
                <w:sz w:val="18"/>
                <w:szCs w:val="18"/>
              </w:rPr>
              <w:t>90.1</w:t>
            </w:r>
          </w:p>
        </w:tc>
        <w:tc>
          <w:tcPr>
            <w:tcW w:w="1604" w:type="dxa"/>
            <w:hideMark/>
          </w:tcPr>
          <w:p w14:paraId="0CF9F80C" w14:textId="77777777" w:rsidR="00D8753A" w:rsidRDefault="00D8753A">
            <w:pPr>
              <w:pStyle w:val="NormalWeb"/>
              <w:rPr>
                <w:sz w:val="18"/>
                <w:szCs w:val="18"/>
              </w:rPr>
            </w:pPr>
            <w:r>
              <w:rPr>
                <w:sz w:val="18"/>
                <w:szCs w:val="18"/>
              </w:rPr>
              <w:t>95.4</w:t>
            </w:r>
          </w:p>
        </w:tc>
      </w:tr>
      <w:tr w:rsidR="00D8753A" w14:paraId="6A5FEAC1" w14:textId="77777777" w:rsidTr="0091636A">
        <w:trPr>
          <w:cnfStyle w:val="000000010000" w:firstRow="0" w:lastRow="0" w:firstColumn="0" w:lastColumn="0" w:oddVBand="0" w:evenVBand="0" w:oddHBand="0" w:evenHBand="1" w:firstRowFirstColumn="0" w:firstRowLastColumn="0" w:lastRowFirstColumn="0" w:lastRowLastColumn="0"/>
        </w:trPr>
        <w:tc>
          <w:tcPr>
            <w:tcW w:w="4111" w:type="dxa"/>
            <w:hideMark/>
          </w:tcPr>
          <w:p w14:paraId="5903114B" w14:textId="77777777" w:rsidR="00D8753A" w:rsidRDefault="00D8753A">
            <w:pPr>
              <w:pStyle w:val="NormalWeb"/>
              <w:jc w:val="left"/>
              <w:rPr>
                <w:sz w:val="18"/>
                <w:szCs w:val="18"/>
              </w:rPr>
            </w:pPr>
            <w:r>
              <w:rPr>
                <w:sz w:val="18"/>
                <w:szCs w:val="18"/>
              </w:rPr>
              <w:t>South Eastern Melbourne</w:t>
            </w:r>
          </w:p>
        </w:tc>
        <w:tc>
          <w:tcPr>
            <w:tcW w:w="1252" w:type="dxa"/>
            <w:hideMark/>
          </w:tcPr>
          <w:p w14:paraId="65BB5DDC" w14:textId="77777777" w:rsidR="00D8753A" w:rsidRDefault="00D8753A">
            <w:pPr>
              <w:pStyle w:val="NormalWeb"/>
              <w:rPr>
                <w:sz w:val="18"/>
                <w:szCs w:val="18"/>
              </w:rPr>
            </w:pPr>
            <w:r>
              <w:rPr>
                <w:sz w:val="18"/>
                <w:szCs w:val="18"/>
              </w:rPr>
              <w:t>92.0</w:t>
            </w:r>
          </w:p>
        </w:tc>
        <w:tc>
          <w:tcPr>
            <w:tcW w:w="1603" w:type="dxa"/>
            <w:hideMark/>
          </w:tcPr>
          <w:p w14:paraId="600CA52D" w14:textId="77777777" w:rsidR="00D8753A" w:rsidRDefault="00D8753A">
            <w:pPr>
              <w:pStyle w:val="NormalWeb"/>
              <w:rPr>
                <w:sz w:val="18"/>
                <w:szCs w:val="18"/>
              </w:rPr>
            </w:pPr>
            <w:r>
              <w:rPr>
                <w:sz w:val="18"/>
                <w:szCs w:val="18"/>
              </w:rPr>
              <w:t>94.9</w:t>
            </w:r>
          </w:p>
        </w:tc>
        <w:tc>
          <w:tcPr>
            <w:tcW w:w="1604" w:type="dxa"/>
            <w:hideMark/>
          </w:tcPr>
          <w:p w14:paraId="60298A89" w14:textId="77777777" w:rsidR="00D8753A" w:rsidRDefault="00D8753A">
            <w:pPr>
              <w:pStyle w:val="NormalWeb"/>
              <w:rPr>
                <w:sz w:val="18"/>
                <w:szCs w:val="18"/>
              </w:rPr>
            </w:pPr>
            <w:r>
              <w:rPr>
                <w:sz w:val="18"/>
                <w:szCs w:val="18"/>
              </w:rPr>
              <w:t>91.9</w:t>
            </w:r>
          </w:p>
        </w:tc>
        <w:tc>
          <w:tcPr>
            <w:tcW w:w="1603" w:type="dxa"/>
            <w:hideMark/>
          </w:tcPr>
          <w:p w14:paraId="34B485C8" w14:textId="77777777" w:rsidR="00D8753A" w:rsidRDefault="00D8753A">
            <w:pPr>
              <w:pStyle w:val="NormalWeb"/>
              <w:rPr>
                <w:sz w:val="18"/>
                <w:szCs w:val="18"/>
              </w:rPr>
            </w:pPr>
            <w:r>
              <w:rPr>
                <w:sz w:val="18"/>
                <w:szCs w:val="18"/>
              </w:rPr>
              <w:t>90.1</w:t>
            </w:r>
          </w:p>
        </w:tc>
        <w:tc>
          <w:tcPr>
            <w:tcW w:w="1604" w:type="dxa"/>
            <w:hideMark/>
          </w:tcPr>
          <w:p w14:paraId="0C7D2599" w14:textId="77777777" w:rsidR="00D8753A" w:rsidRDefault="00D8753A">
            <w:pPr>
              <w:pStyle w:val="NormalWeb"/>
              <w:rPr>
                <w:sz w:val="18"/>
                <w:szCs w:val="18"/>
              </w:rPr>
            </w:pPr>
            <w:r>
              <w:rPr>
                <w:sz w:val="18"/>
                <w:szCs w:val="18"/>
              </w:rPr>
              <w:t>92.7</w:t>
            </w:r>
          </w:p>
        </w:tc>
        <w:tc>
          <w:tcPr>
            <w:tcW w:w="1603" w:type="dxa"/>
            <w:hideMark/>
          </w:tcPr>
          <w:p w14:paraId="38180D30" w14:textId="77777777" w:rsidR="00D8753A" w:rsidRDefault="00D8753A">
            <w:pPr>
              <w:pStyle w:val="NormalWeb"/>
              <w:rPr>
                <w:sz w:val="18"/>
                <w:szCs w:val="18"/>
              </w:rPr>
            </w:pPr>
            <w:r>
              <w:rPr>
                <w:sz w:val="18"/>
                <w:szCs w:val="18"/>
              </w:rPr>
              <w:t>89.5</w:t>
            </w:r>
          </w:p>
        </w:tc>
        <w:tc>
          <w:tcPr>
            <w:tcW w:w="1604" w:type="dxa"/>
            <w:hideMark/>
          </w:tcPr>
          <w:p w14:paraId="0DBEC388" w14:textId="77777777" w:rsidR="00D8753A" w:rsidRDefault="00D8753A">
            <w:pPr>
              <w:pStyle w:val="NormalWeb"/>
              <w:rPr>
                <w:sz w:val="18"/>
                <w:szCs w:val="18"/>
              </w:rPr>
            </w:pPr>
            <w:r>
              <w:rPr>
                <w:sz w:val="18"/>
                <w:szCs w:val="18"/>
              </w:rPr>
              <w:t>95.3</w:t>
            </w:r>
          </w:p>
        </w:tc>
      </w:tr>
      <w:tr w:rsidR="00D8753A" w14:paraId="4D841726" w14:textId="77777777" w:rsidTr="0091636A">
        <w:tc>
          <w:tcPr>
            <w:tcW w:w="4111" w:type="dxa"/>
            <w:hideMark/>
          </w:tcPr>
          <w:p w14:paraId="7CBDF0B6" w14:textId="77777777" w:rsidR="00D8753A" w:rsidRDefault="00D8753A">
            <w:pPr>
              <w:pStyle w:val="NormalWeb"/>
              <w:jc w:val="left"/>
              <w:rPr>
                <w:sz w:val="18"/>
                <w:szCs w:val="18"/>
              </w:rPr>
            </w:pPr>
            <w:r>
              <w:rPr>
                <w:sz w:val="18"/>
                <w:szCs w:val="18"/>
              </w:rPr>
              <w:t>Adelaide</w:t>
            </w:r>
          </w:p>
        </w:tc>
        <w:tc>
          <w:tcPr>
            <w:tcW w:w="1252" w:type="dxa"/>
            <w:hideMark/>
          </w:tcPr>
          <w:p w14:paraId="1DC866F6" w14:textId="77777777" w:rsidR="00D8753A" w:rsidRDefault="00D8753A">
            <w:pPr>
              <w:pStyle w:val="NormalWeb"/>
              <w:rPr>
                <w:sz w:val="18"/>
                <w:szCs w:val="18"/>
              </w:rPr>
            </w:pPr>
            <w:r>
              <w:rPr>
                <w:sz w:val="18"/>
                <w:szCs w:val="18"/>
              </w:rPr>
              <w:t>92.3</w:t>
            </w:r>
          </w:p>
        </w:tc>
        <w:tc>
          <w:tcPr>
            <w:tcW w:w="1603" w:type="dxa"/>
            <w:hideMark/>
          </w:tcPr>
          <w:p w14:paraId="2C22B420" w14:textId="77777777" w:rsidR="00D8753A" w:rsidRDefault="00D8753A">
            <w:pPr>
              <w:pStyle w:val="NormalWeb"/>
              <w:rPr>
                <w:sz w:val="18"/>
                <w:szCs w:val="18"/>
              </w:rPr>
            </w:pPr>
            <w:r>
              <w:rPr>
                <w:sz w:val="18"/>
                <w:szCs w:val="18"/>
              </w:rPr>
              <w:t>95.2</w:t>
            </w:r>
          </w:p>
        </w:tc>
        <w:tc>
          <w:tcPr>
            <w:tcW w:w="1604" w:type="dxa"/>
            <w:hideMark/>
          </w:tcPr>
          <w:p w14:paraId="4A64F169" w14:textId="77777777" w:rsidR="00D8753A" w:rsidRDefault="00D8753A">
            <w:pPr>
              <w:pStyle w:val="NormalWeb"/>
              <w:rPr>
                <w:sz w:val="18"/>
                <w:szCs w:val="18"/>
              </w:rPr>
            </w:pPr>
            <w:r>
              <w:rPr>
                <w:sz w:val="18"/>
                <w:szCs w:val="18"/>
              </w:rPr>
              <w:t>90.8</w:t>
            </w:r>
          </w:p>
        </w:tc>
        <w:tc>
          <w:tcPr>
            <w:tcW w:w="1603" w:type="dxa"/>
            <w:hideMark/>
          </w:tcPr>
          <w:p w14:paraId="1D8E356B" w14:textId="77777777" w:rsidR="00D8753A" w:rsidRDefault="00D8753A">
            <w:pPr>
              <w:pStyle w:val="NormalWeb"/>
              <w:rPr>
                <w:sz w:val="18"/>
                <w:szCs w:val="18"/>
              </w:rPr>
            </w:pPr>
            <w:r>
              <w:rPr>
                <w:sz w:val="18"/>
                <w:szCs w:val="18"/>
              </w:rPr>
              <w:t>89.4</w:t>
            </w:r>
          </w:p>
        </w:tc>
        <w:tc>
          <w:tcPr>
            <w:tcW w:w="1604" w:type="dxa"/>
            <w:hideMark/>
          </w:tcPr>
          <w:p w14:paraId="73A40F67" w14:textId="77777777" w:rsidR="00D8753A" w:rsidRDefault="00D8753A">
            <w:pPr>
              <w:pStyle w:val="NormalWeb"/>
              <w:rPr>
                <w:sz w:val="18"/>
                <w:szCs w:val="18"/>
              </w:rPr>
            </w:pPr>
            <w:r>
              <w:rPr>
                <w:sz w:val="18"/>
                <w:szCs w:val="18"/>
              </w:rPr>
              <w:t>92.6</w:t>
            </w:r>
          </w:p>
        </w:tc>
        <w:tc>
          <w:tcPr>
            <w:tcW w:w="1603" w:type="dxa"/>
            <w:hideMark/>
          </w:tcPr>
          <w:p w14:paraId="77EFD1D5" w14:textId="77777777" w:rsidR="00D8753A" w:rsidRDefault="00D8753A">
            <w:pPr>
              <w:pStyle w:val="NormalWeb"/>
              <w:rPr>
                <w:sz w:val="18"/>
                <w:szCs w:val="18"/>
              </w:rPr>
            </w:pPr>
            <w:r>
              <w:rPr>
                <w:sz w:val="18"/>
                <w:szCs w:val="18"/>
              </w:rPr>
              <w:t>87.1</w:t>
            </w:r>
          </w:p>
        </w:tc>
        <w:tc>
          <w:tcPr>
            <w:tcW w:w="1604" w:type="dxa"/>
            <w:hideMark/>
          </w:tcPr>
          <w:p w14:paraId="4651DC7A" w14:textId="77777777" w:rsidR="00D8753A" w:rsidRDefault="00D8753A">
            <w:pPr>
              <w:pStyle w:val="NormalWeb"/>
              <w:rPr>
                <w:sz w:val="18"/>
                <w:szCs w:val="18"/>
              </w:rPr>
            </w:pPr>
            <w:r>
              <w:rPr>
                <w:sz w:val="18"/>
                <w:szCs w:val="18"/>
              </w:rPr>
              <w:t>95.2</w:t>
            </w:r>
          </w:p>
        </w:tc>
      </w:tr>
      <w:tr w:rsidR="00D8753A" w14:paraId="1A8C6FBF" w14:textId="77777777" w:rsidTr="0091636A">
        <w:trPr>
          <w:cnfStyle w:val="000000010000" w:firstRow="0" w:lastRow="0" w:firstColumn="0" w:lastColumn="0" w:oddVBand="0" w:evenVBand="0" w:oddHBand="0" w:evenHBand="1" w:firstRowFirstColumn="0" w:firstRowLastColumn="0" w:lastRowFirstColumn="0" w:lastRowLastColumn="0"/>
        </w:trPr>
        <w:tc>
          <w:tcPr>
            <w:tcW w:w="4111" w:type="dxa"/>
            <w:hideMark/>
          </w:tcPr>
          <w:p w14:paraId="5F78FD0C" w14:textId="77777777" w:rsidR="00D8753A" w:rsidRDefault="00D8753A">
            <w:pPr>
              <w:pStyle w:val="NormalWeb"/>
              <w:jc w:val="left"/>
              <w:rPr>
                <w:sz w:val="18"/>
                <w:szCs w:val="18"/>
              </w:rPr>
            </w:pPr>
            <w:r>
              <w:rPr>
                <w:sz w:val="18"/>
                <w:szCs w:val="18"/>
              </w:rPr>
              <w:t>Darling Downs and West Moreton</w:t>
            </w:r>
          </w:p>
        </w:tc>
        <w:tc>
          <w:tcPr>
            <w:tcW w:w="1252" w:type="dxa"/>
            <w:hideMark/>
          </w:tcPr>
          <w:p w14:paraId="3F9092F2" w14:textId="77777777" w:rsidR="00D8753A" w:rsidRDefault="00D8753A">
            <w:pPr>
              <w:pStyle w:val="NormalWeb"/>
              <w:rPr>
                <w:sz w:val="18"/>
                <w:szCs w:val="18"/>
              </w:rPr>
            </w:pPr>
            <w:r>
              <w:rPr>
                <w:sz w:val="18"/>
                <w:szCs w:val="18"/>
              </w:rPr>
              <w:t>91.6</w:t>
            </w:r>
          </w:p>
        </w:tc>
        <w:tc>
          <w:tcPr>
            <w:tcW w:w="1603" w:type="dxa"/>
            <w:hideMark/>
          </w:tcPr>
          <w:p w14:paraId="286222BC" w14:textId="77777777" w:rsidR="00D8753A" w:rsidRDefault="00D8753A">
            <w:pPr>
              <w:pStyle w:val="NormalWeb"/>
              <w:rPr>
                <w:sz w:val="18"/>
                <w:szCs w:val="18"/>
              </w:rPr>
            </w:pPr>
            <w:r>
              <w:rPr>
                <w:sz w:val="18"/>
                <w:szCs w:val="18"/>
              </w:rPr>
              <w:t>94.9</w:t>
            </w:r>
          </w:p>
        </w:tc>
        <w:tc>
          <w:tcPr>
            <w:tcW w:w="1604" w:type="dxa"/>
            <w:hideMark/>
          </w:tcPr>
          <w:p w14:paraId="57DB5173" w14:textId="77777777" w:rsidR="00D8753A" w:rsidRDefault="00D8753A">
            <w:pPr>
              <w:pStyle w:val="NormalWeb"/>
              <w:rPr>
                <w:sz w:val="18"/>
                <w:szCs w:val="18"/>
              </w:rPr>
            </w:pPr>
            <w:r>
              <w:rPr>
                <w:sz w:val="18"/>
                <w:szCs w:val="18"/>
              </w:rPr>
              <w:t>91.2</w:t>
            </w:r>
          </w:p>
        </w:tc>
        <w:tc>
          <w:tcPr>
            <w:tcW w:w="1603" w:type="dxa"/>
            <w:hideMark/>
          </w:tcPr>
          <w:p w14:paraId="13D089BD" w14:textId="77777777" w:rsidR="00D8753A" w:rsidRDefault="00D8753A">
            <w:pPr>
              <w:pStyle w:val="NormalWeb"/>
              <w:rPr>
                <w:sz w:val="18"/>
                <w:szCs w:val="18"/>
              </w:rPr>
            </w:pPr>
            <w:r>
              <w:rPr>
                <w:sz w:val="18"/>
                <w:szCs w:val="18"/>
              </w:rPr>
              <w:t>89.4</w:t>
            </w:r>
          </w:p>
        </w:tc>
        <w:tc>
          <w:tcPr>
            <w:tcW w:w="1604" w:type="dxa"/>
            <w:hideMark/>
          </w:tcPr>
          <w:p w14:paraId="4240CCC9" w14:textId="77777777" w:rsidR="00D8753A" w:rsidRDefault="00D8753A">
            <w:pPr>
              <w:pStyle w:val="NormalWeb"/>
              <w:rPr>
                <w:sz w:val="18"/>
                <w:szCs w:val="18"/>
              </w:rPr>
            </w:pPr>
            <w:r>
              <w:rPr>
                <w:sz w:val="18"/>
                <w:szCs w:val="18"/>
              </w:rPr>
              <w:t>93.1</w:t>
            </w:r>
          </w:p>
        </w:tc>
        <w:tc>
          <w:tcPr>
            <w:tcW w:w="1603" w:type="dxa"/>
            <w:hideMark/>
          </w:tcPr>
          <w:p w14:paraId="4AFD0C8B" w14:textId="77777777" w:rsidR="00D8753A" w:rsidRDefault="00D8753A">
            <w:pPr>
              <w:pStyle w:val="NormalWeb"/>
              <w:rPr>
                <w:sz w:val="18"/>
                <w:szCs w:val="18"/>
              </w:rPr>
            </w:pPr>
            <w:r>
              <w:rPr>
                <w:sz w:val="18"/>
                <w:szCs w:val="18"/>
              </w:rPr>
              <w:t>88.7</w:t>
            </w:r>
          </w:p>
        </w:tc>
        <w:tc>
          <w:tcPr>
            <w:tcW w:w="1604" w:type="dxa"/>
            <w:hideMark/>
          </w:tcPr>
          <w:p w14:paraId="68D6FBF2" w14:textId="77777777" w:rsidR="00D8753A" w:rsidRDefault="00D8753A">
            <w:pPr>
              <w:pStyle w:val="NormalWeb"/>
              <w:rPr>
                <w:sz w:val="18"/>
                <w:szCs w:val="18"/>
              </w:rPr>
            </w:pPr>
            <w:r>
              <w:rPr>
                <w:sz w:val="18"/>
                <w:szCs w:val="18"/>
              </w:rPr>
              <w:t>95.0</w:t>
            </w:r>
          </w:p>
        </w:tc>
      </w:tr>
      <w:tr w:rsidR="00D8753A" w14:paraId="7A99ABD5" w14:textId="77777777" w:rsidTr="0091636A">
        <w:tc>
          <w:tcPr>
            <w:tcW w:w="4111" w:type="dxa"/>
            <w:hideMark/>
          </w:tcPr>
          <w:p w14:paraId="18A7BD65" w14:textId="77777777" w:rsidR="00D8753A" w:rsidRDefault="00D8753A">
            <w:pPr>
              <w:pStyle w:val="NormalWeb"/>
              <w:jc w:val="left"/>
              <w:rPr>
                <w:sz w:val="18"/>
                <w:szCs w:val="18"/>
              </w:rPr>
            </w:pPr>
            <w:r>
              <w:rPr>
                <w:sz w:val="18"/>
                <w:szCs w:val="18"/>
              </w:rPr>
              <w:t>Western Sydney</w:t>
            </w:r>
          </w:p>
        </w:tc>
        <w:tc>
          <w:tcPr>
            <w:tcW w:w="1252" w:type="dxa"/>
            <w:hideMark/>
          </w:tcPr>
          <w:p w14:paraId="76197858" w14:textId="77777777" w:rsidR="00D8753A" w:rsidRDefault="00D8753A">
            <w:pPr>
              <w:pStyle w:val="NormalWeb"/>
              <w:rPr>
                <w:sz w:val="18"/>
                <w:szCs w:val="18"/>
              </w:rPr>
            </w:pPr>
            <w:r>
              <w:rPr>
                <w:sz w:val="18"/>
                <w:szCs w:val="18"/>
              </w:rPr>
              <w:t>91.6</w:t>
            </w:r>
          </w:p>
        </w:tc>
        <w:tc>
          <w:tcPr>
            <w:tcW w:w="1603" w:type="dxa"/>
            <w:hideMark/>
          </w:tcPr>
          <w:p w14:paraId="4A2AD210" w14:textId="77777777" w:rsidR="00D8753A" w:rsidRDefault="00D8753A">
            <w:pPr>
              <w:pStyle w:val="NormalWeb"/>
              <w:rPr>
                <w:sz w:val="18"/>
                <w:szCs w:val="18"/>
              </w:rPr>
            </w:pPr>
            <w:r>
              <w:rPr>
                <w:sz w:val="18"/>
                <w:szCs w:val="18"/>
              </w:rPr>
              <w:t>94.1</w:t>
            </w:r>
          </w:p>
        </w:tc>
        <w:tc>
          <w:tcPr>
            <w:tcW w:w="1604" w:type="dxa"/>
            <w:hideMark/>
          </w:tcPr>
          <w:p w14:paraId="67C980A8" w14:textId="77777777" w:rsidR="00D8753A" w:rsidRDefault="00D8753A">
            <w:pPr>
              <w:pStyle w:val="NormalWeb"/>
              <w:rPr>
                <w:sz w:val="18"/>
                <w:szCs w:val="18"/>
              </w:rPr>
            </w:pPr>
            <w:r>
              <w:rPr>
                <w:sz w:val="18"/>
                <w:szCs w:val="18"/>
              </w:rPr>
              <w:t>89.7</w:t>
            </w:r>
          </w:p>
        </w:tc>
        <w:tc>
          <w:tcPr>
            <w:tcW w:w="1603" w:type="dxa"/>
            <w:hideMark/>
          </w:tcPr>
          <w:p w14:paraId="3859ACDC" w14:textId="77777777" w:rsidR="00D8753A" w:rsidRDefault="00D8753A">
            <w:pPr>
              <w:pStyle w:val="NormalWeb"/>
              <w:rPr>
                <w:sz w:val="18"/>
                <w:szCs w:val="18"/>
              </w:rPr>
            </w:pPr>
            <w:r>
              <w:rPr>
                <w:sz w:val="18"/>
                <w:szCs w:val="18"/>
              </w:rPr>
              <w:t>88.3</w:t>
            </w:r>
          </w:p>
        </w:tc>
        <w:tc>
          <w:tcPr>
            <w:tcW w:w="1604" w:type="dxa"/>
            <w:hideMark/>
          </w:tcPr>
          <w:p w14:paraId="6349491D" w14:textId="77777777" w:rsidR="00D8753A" w:rsidRDefault="00D8753A">
            <w:pPr>
              <w:pStyle w:val="NormalWeb"/>
              <w:rPr>
                <w:sz w:val="18"/>
                <w:szCs w:val="18"/>
              </w:rPr>
            </w:pPr>
            <w:r>
              <w:rPr>
                <w:sz w:val="18"/>
                <w:szCs w:val="18"/>
              </w:rPr>
              <w:t>91.3</w:t>
            </w:r>
          </w:p>
        </w:tc>
        <w:tc>
          <w:tcPr>
            <w:tcW w:w="1603" w:type="dxa"/>
            <w:hideMark/>
          </w:tcPr>
          <w:p w14:paraId="0D86CB89" w14:textId="77777777" w:rsidR="00D8753A" w:rsidRDefault="00D8753A">
            <w:pPr>
              <w:pStyle w:val="NormalWeb"/>
              <w:rPr>
                <w:sz w:val="18"/>
                <w:szCs w:val="18"/>
              </w:rPr>
            </w:pPr>
            <w:r>
              <w:rPr>
                <w:sz w:val="18"/>
                <w:szCs w:val="18"/>
              </w:rPr>
              <w:t>88.4</w:t>
            </w:r>
          </w:p>
        </w:tc>
        <w:tc>
          <w:tcPr>
            <w:tcW w:w="1604" w:type="dxa"/>
            <w:hideMark/>
          </w:tcPr>
          <w:p w14:paraId="073AECC3" w14:textId="77777777" w:rsidR="00D8753A" w:rsidRDefault="00D8753A">
            <w:pPr>
              <w:pStyle w:val="NormalWeb"/>
              <w:rPr>
                <w:sz w:val="18"/>
                <w:szCs w:val="18"/>
              </w:rPr>
            </w:pPr>
            <w:r>
              <w:rPr>
                <w:sz w:val="18"/>
                <w:szCs w:val="18"/>
              </w:rPr>
              <w:t>94.9</w:t>
            </w:r>
          </w:p>
        </w:tc>
      </w:tr>
      <w:tr w:rsidR="00D8753A" w14:paraId="6C35D68D" w14:textId="77777777" w:rsidTr="0091636A">
        <w:trPr>
          <w:cnfStyle w:val="000000010000" w:firstRow="0" w:lastRow="0" w:firstColumn="0" w:lastColumn="0" w:oddVBand="0" w:evenVBand="0" w:oddHBand="0" w:evenHBand="1" w:firstRowFirstColumn="0" w:firstRowLastColumn="0" w:lastRowFirstColumn="0" w:lastRowLastColumn="0"/>
        </w:trPr>
        <w:tc>
          <w:tcPr>
            <w:tcW w:w="4111" w:type="dxa"/>
            <w:hideMark/>
          </w:tcPr>
          <w:p w14:paraId="74621704" w14:textId="77777777" w:rsidR="00D8753A" w:rsidRDefault="00D8753A">
            <w:pPr>
              <w:pStyle w:val="NormalWeb"/>
              <w:jc w:val="left"/>
              <w:rPr>
                <w:sz w:val="18"/>
                <w:szCs w:val="18"/>
              </w:rPr>
            </w:pPr>
            <w:r>
              <w:rPr>
                <w:sz w:val="18"/>
                <w:szCs w:val="18"/>
              </w:rPr>
              <w:t>Tasmania</w:t>
            </w:r>
          </w:p>
        </w:tc>
        <w:tc>
          <w:tcPr>
            <w:tcW w:w="1252" w:type="dxa"/>
            <w:hideMark/>
          </w:tcPr>
          <w:p w14:paraId="7219F268" w14:textId="77777777" w:rsidR="00D8753A" w:rsidRDefault="00D8753A">
            <w:pPr>
              <w:pStyle w:val="NormalWeb"/>
              <w:rPr>
                <w:sz w:val="18"/>
                <w:szCs w:val="18"/>
              </w:rPr>
            </w:pPr>
            <w:r>
              <w:rPr>
                <w:sz w:val="18"/>
                <w:szCs w:val="18"/>
              </w:rPr>
              <w:t>92.7</w:t>
            </w:r>
          </w:p>
        </w:tc>
        <w:tc>
          <w:tcPr>
            <w:tcW w:w="1603" w:type="dxa"/>
            <w:hideMark/>
          </w:tcPr>
          <w:p w14:paraId="687566A8" w14:textId="77777777" w:rsidR="00D8753A" w:rsidRDefault="00D8753A">
            <w:pPr>
              <w:pStyle w:val="NormalWeb"/>
              <w:rPr>
                <w:sz w:val="18"/>
                <w:szCs w:val="18"/>
              </w:rPr>
            </w:pPr>
            <w:r>
              <w:rPr>
                <w:sz w:val="18"/>
                <w:szCs w:val="18"/>
              </w:rPr>
              <w:t>95.4</w:t>
            </w:r>
          </w:p>
        </w:tc>
        <w:tc>
          <w:tcPr>
            <w:tcW w:w="1604" w:type="dxa"/>
            <w:hideMark/>
          </w:tcPr>
          <w:p w14:paraId="7AF02401" w14:textId="77777777" w:rsidR="00D8753A" w:rsidRDefault="00D8753A">
            <w:pPr>
              <w:pStyle w:val="NormalWeb"/>
              <w:rPr>
                <w:sz w:val="18"/>
                <w:szCs w:val="18"/>
              </w:rPr>
            </w:pPr>
            <w:r>
              <w:rPr>
                <w:sz w:val="18"/>
                <w:szCs w:val="18"/>
              </w:rPr>
              <w:t>89.1</w:t>
            </w:r>
          </w:p>
        </w:tc>
        <w:tc>
          <w:tcPr>
            <w:tcW w:w="1603" w:type="dxa"/>
            <w:hideMark/>
          </w:tcPr>
          <w:p w14:paraId="69A2268F" w14:textId="77777777" w:rsidR="00D8753A" w:rsidRDefault="00D8753A">
            <w:pPr>
              <w:pStyle w:val="NormalWeb"/>
              <w:rPr>
                <w:sz w:val="18"/>
                <w:szCs w:val="18"/>
              </w:rPr>
            </w:pPr>
            <w:r>
              <w:rPr>
                <w:sz w:val="18"/>
                <w:szCs w:val="18"/>
              </w:rPr>
              <w:t>87.5</w:t>
            </w:r>
          </w:p>
        </w:tc>
        <w:tc>
          <w:tcPr>
            <w:tcW w:w="1604" w:type="dxa"/>
            <w:hideMark/>
          </w:tcPr>
          <w:p w14:paraId="0CAE20E2" w14:textId="77777777" w:rsidR="00D8753A" w:rsidRDefault="00D8753A">
            <w:pPr>
              <w:pStyle w:val="NormalWeb"/>
              <w:rPr>
                <w:sz w:val="18"/>
                <w:szCs w:val="18"/>
              </w:rPr>
            </w:pPr>
            <w:r>
              <w:rPr>
                <w:sz w:val="18"/>
                <w:szCs w:val="18"/>
              </w:rPr>
              <w:t>90.5</w:t>
            </w:r>
          </w:p>
        </w:tc>
        <w:tc>
          <w:tcPr>
            <w:tcW w:w="1603" w:type="dxa"/>
            <w:hideMark/>
          </w:tcPr>
          <w:p w14:paraId="0F3024EB" w14:textId="77777777" w:rsidR="00D8753A" w:rsidRDefault="00D8753A">
            <w:pPr>
              <w:pStyle w:val="NormalWeb"/>
              <w:rPr>
                <w:sz w:val="18"/>
                <w:szCs w:val="18"/>
              </w:rPr>
            </w:pPr>
            <w:r>
              <w:rPr>
                <w:sz w:val="18"/>
                <w:szCs w:val="18"/>
              </w:rPr>
              <w:t>87.7</w:t>
            </w:r>
          </w:p>
        </w:tc>
        <w:tc>
          <w:tcPr>
            <w:tcW w:w="1604" w:type="dxa"/>
            <w:hideMark/>
          </w:tcPr>
          <w:p w14:paraId="4505024B" w14:textId="77777777" w:rsidR="00D8753A" w:rsidRDefault="00D8753A">
            <w:pPr>
              <w:pStyle w:val="NormalWeb"/>
              <w:rPr>
                <w:sz w:val="18"/>
                <w:szCs w:val="18"/>
              </w:rPr>
            </w:pPr>
            <w:r>
              <w:rPr>
                <w:sz w:val="18"/>
                <w:szCs w:val="18"/>
              </w:rPr>
              <w:t>94.8</w:t>
            </w:r>
          </w:p>
        </w:tc>
      </w:tr>
      <w:tr w:rsidR="00D8753A" w14:paraId="1DFFE1F0" w14:textId="77777777" w:rsidTr="0091636A">
        <w:tc>
          <w:tcPr>
            <w:tcW w:w="4111" w:type="dxa"/>
            <w:hideMark/>
          </w:tcPr>
          <w:p w14:paraId="6874E139" w14:textId="77777777" w:rsidR="00D8753A" w:rsidRDefault="00D8753A">
            <w:pPr>
              <w:pStyle w:val="NormalWeb"/>
              <w:jc w:val="left"/>
              <w:rPr>
                <w:sz w:val="18"/>
                <w:szCs w:val="18"/>
              </w:rPr>
            </w:pPr>
            <w:r>
              <w:rPr>
                <w:sz w:val="18"/>
                <w:szCs w:val="18"/>
              </w:rPr>
              <w:t>Brisbane North</w:t>
            </w:r>
          </w:p>
        </w:tc>
        <w:tc>
          <w:tcPr>
            <w:tcW w:w="1252" w:type="dxa"/>
            <w:hideMark/>
          </w:tcPr>
          <w:p w14:paraId="66F1273D" w14:textId="77777777" w:rsidR="00D8753A" w:rsidRDefault="00D8753A">
            <w:pPr>
              <w:pStyle w:val="NormalWeb"/>
              <w:rPr>
                <w:sz w:val="18"/>
                <w:szCs w:val="18"/>
              </w:rPr>
            </w:pPr>
            <w:r>
              <w:rPr>
                <w:sz w:val="18"/>
                <w:szCs w:val="18"/>
              </w:rPr>
              <w:t>93.4</w:t>
            </w:r>
          </w:p>
        </w:tc>
        <w:tc>
          <w:tcPr>
            <w:tcW w:w="1603" w:type="dxa"/>
            <w:hideMark/>
          </w:tcPr>
          <w:p w14:paraId="4C7B3FB4" w14:textId="77777777" w:rsidR="00D8753A" w:rsidRDefault="00D8753A">
            <w:pPr>
              <w:pStyle w:val="NormalWeb"/>
              <w:rPr>
                <w:sz w:val="18"/>
                <w:szCs w:val="18"/>
              </w:rPr>
            </w:pPr>
            <w:r>
              <w:rPr>
                <w:sz w:val="18"/>
                <w:szCs w:val="18"/>
              </w:rPr>
              <w:t>95.7</w:t>
            </w:r>
          </w:p>
        </w:tc>
        <w:tc>
          <w:tcPr>
            <w:tcW w:w="1604" w:type="dxa"/>
            <w:hideMark/>
          </w:tcPr>
          <w:p w14:paraId="2F47AF7D" w14:textId="77777777" w:rsidR="00D8753A" w:rsidRDefault="00D8753A">
            <w:pPr>
              <w:pStyle w:val="NormalWeb"/>
              <w:rPr>
                <w:sz w:val="18"/>
                <w:szCs w:val="18"/>
              </w:rPr>
            </w:pPr>
            <w:r>
              <w:rPr>
                <w:sz w:val="18"/>
                <w:szCs w:val="18"/>
              </w:rPr>
              <w:t>91.7</w:t>
            </w:r>
          </w:p>
        </w:tc>
        <w:tc>
          <w:tcPr>
            <w:tcW w:w="1603" w:type="dxa"/>
            <w:hideMark/>
          </w:tcPr>
          <w:p w14:paraId="6C2412BE" w14:textId="77777777" w:rsidR="00D8753A" w:rsidRDefault="00D8753A">
            <w:pPr>
              <w:pStyle w:val="NormalWeb"/>
              <w:rPr>
                <w:sz w:val="18"/>
                <w:szCs w:val="18"/>
              </w:rPr>
            </w:pPr>
            <w:r>
              <w:rPr>
                <w:sz w:val="18"/>
                <w:szCs w:val="18"/>
              </w:rPr>
              <w:t>90.1</w:t>
            </w:r>
          </w:p>
        </w:tc>
        <w:tc>
          <w:tcPr>
            <w:tcW w:w="1604" w:type="dxa"/>
            <w:hideMark/>
          </w:tcPr>
          <w:p w14:paraId="3EEFF60A" w14:textId="77777777" w:rsidR="00D8753A" w:rsidRDefault="00D8753A">
            <w:pPr>
              <w:pStyle w:val="NormalWeb"/>
              <w:rPr>
                <w:sz w:val="18"/>
                <w:szCs w:val="18"/>
              </w:rPr>
            </w:pPr>
            <w:r>
              <w:rPr>
                <w:sz w:val="18"/>
                <w:szCs w:val="18"/>
              </w:rPr>
              <w:t>93.1</w:t>
            </w:r>
          </w:p>
        </w:tc>
        <w:tc>
          <w:tcPr>
            <w:tcW w:w="1603" w:type="dxa"/>
            <w:hideMark/>
          </w:tcPr>
          <w:p w14:paraId="16BEB095" w14:textId="77777777" w:rsidR="00D8753A" w:rsidRDefault="00D8753A">
            <w:pPr>
              <w:pStyle w:val="NormalWeb"/>
              <w:rPr>
                <w:sz w:val="18"/>
                <w:szCs w:val="18"/>
              </w:rPr>
            </w:pPr>
            <w:r>
              <w:rPr>
                <w:sz w:val="18"/>
                <w:szCs w:val="18"/>
              </w:rPr>
              <w:t>88.3</w:t>
            </w:r>
          </w:p>
        </w:tc>
        <w:tc>
          <w:tcPr>
            <w:tcW w:w="1604" w:type="dxa"/>
            <w:hideMark/>
          </w:tcPr>
          <w:p w14:paraId="2C88FA87" w14:textId="77777777" w:rsidR="00D8753A" w:rsidRDefault="00D8753A">
            <w:pPr>
              <w:pStyle w:val="NormalWeb"/>
              <w:rPr>
                <w:sz w:val="18"/>
                <w:szCs w:val="18"/>
              </w:rPr>
            </w:pPr>
            <w:r>
              <w:rPr>
                <w:sz w:val="18"/>
                <w:szCs w:val="18"/>
              </w:rPr>
              <w:t>94.6</w:t>
            </w:r>
          </w:p>
        </w:tc>
      </w:tr>
      <w:tr w:rsidR="00D8753A" w14:paraId="68C849CD" w14:textId="77777777" w:rsidTr="0091636A">
        <w:trPr>
          <w:cnfStyle w:val="000000010000" w:firstRow="0" w:lastRow="0" w:firstColumn="0" w:lastColumn="0" w:oddVBand="0" w:evenVBand="0" w:oddHBand="0" w:evenHBand="1" w:firstRowFirstColumn="0" w:firstRowLastColumn="0" w:lastRowFirstColumn="0" w:lastRowLastColumn="0"/>
        </w:trPr>
        <w:tc>
          <w:tcPr>
            <w:tcW w:w="4111" w:type="dxa"/>
            <w:hideMark/>
          </w:tcPr>
          <w:p w14:paraId="7C8B864E" w14:textId="77777777" w:rsidR="00D8753A" w:rsidRDefault="00D8753A">
            <w:pPr>
              <w:pStyle w:val="NormalWeb"/>
              <w:jc w:val="left"/>
              <w:rPr>
                <w:sz w:val="18"/>
                <w:szCs w:val="18"/>
              </w:rPr>
            </w:pPr>
            <w:r>
              <w:rPr>
                <w:sz w:val="18"/>
                <w:szCs w:val="18"/>
              </w:rPr>
              <w:t>Country WA</w:t>
            </w:r>
          </w:p>
        </w:tc>
        <w:tc>
          <w:tcPr>
            <w:tcW w:w="1252" w:type="dxa"/>
            <w:hideMark/>
          </w:tcPr>
          <w:p w14:paraId="0FAC618A" w14:textId="77777777" w:rsidR="00D8753A" w:rsidRDefault="00D8753A">
            <w:pPr>
              <w:pStyle w:val="NormalWeb"/>
              <w:rPr>
                <w:sz w:val="18"/>
                <w:szCs w:val="18"/>
              </w:rPr>
            </w:pPr>
            <w:r>
              <w:rPr>
                <w:sz w:val="18"/>
                <w:szCs w:val="18"/>
              </w:rPr>
              <w:t>88.9</w:t>
            </w:r>
          </w:p>
        </w:tc>
        <w:tc>
          <w:tcPr>
            <w:tcW w:w="1603" w:type="dxa"/>
            <w:hideMark/>
          </w:tcPr>
          <w:p w14:paraId="6326A0B4" w14:textId="77777777" w:rsidR="00D8753A" w:rsidRDefault="00D8753A">
            <w:pPr>
              <w:pStyle w:val="NormalWeb"/>
              <w:rPr>
                <w:sz w:val="18"/>
                <w:szCs w:val="18"/>
              </w:rPr>
            </w:pPr>
            <w:r>
              <w:rPr>
                <w:sz w:val="18"/>
                <w:szCs w:val="18"/>
              </w:rPr>
              <w:t>93.3</w:t>
            </w:r>
          </w:p>
        </w:tc>
        <w:tc>
          <w:tcPr>
            <w:tcW w:w="1604" w:type="dxa"/>
            <w:hideMark/>
          </w:tcPr>
          <w:p w14:paraId="5BF014B9" w14:textId="77777777" w:rsidR="00D8753A" w:rsidRDefault="00D8753A">
            <w:pPr>
              <w:pStyle w:val="NormalWeb"/>
              <w:rPr>
                <w:sz w:val="18"/>
                <w:szCs w:val="18"/>
              </w:rPr>
            </w:pPr>
            <w:r>
              <w:rPr>
                <w:sz w:val="18"/>
                <w:szCs w:val="18"/>
              </w:rPr>
              <w:t>87.4</w:t>
            </w:r>
          </w:p>
        </w:tc>
        <w:tc>
          <w:tcPr>
            <w:tcW w:w="1603" w:type="dxa"/>
            <w:hideMark/>
          </w:tcPr>
          <w:p w14:paraId="2457D64C" w14:textId="77777777" w:rsidR="00D8753A" w:rsidRDefault="00D8753A">
            <w:pPr>
              <w:pStyle w:val="NormalWeb"/>
              <w:rPr>
                <w:sz w:val="18"/>
                <w:szCs w:val="18"/>
              </w:rPr>
            </w:pPr>
            <w:r>
              <w:rPr>
                <w:sz w:val="18"/>
                <w:szCs w:val="18"/>
              </w:rPr>
              <w:t>84.9</w:t>
            </w:r>
          </w:p>
        </w:tc>
        <w:tc>
          <w:tcPr>
            <w:tcW w:w="1604" w:type="dxa"/>
            <w:hideMark/>
          </w:tcPr>
          <w:p w14:paraId="58C4FA53" w14:textId="77777777" w:rsidR="00D8753A" w:rsidRDefault="00D8753A">
            <w:pPr>
              <w:pStyle w:val="NormalWeb"/>
              <w:rPr>
                <w:sz w:val="18"/>
                <w:szCs w:val="18"/>
              </w:rPr>
            </w:pPr>
            <w:r>
              <w:rPr>
                <w:sz w:val="18"/>
                <w:szCs w:val="18"/>
              </w:rPr>
              <w:t>89.6</w:t>
            </w:r>
          </w:p>
        </w:tc>
        <w:tc>
          <w:tcPr>
            <w:tcW w:w="1603" w:type="dxa"/>
            <w:hideMark/>
          </w:tcPr>
          <w:p w14:paraId="17C41E64" w14:textId="77777777" w:rsidR="00D8753A" w:rsidRDefault="00D8753A">
            <w:pPr>
              <w:pStyle w:val="NormalWeb"/>
              <w:rPr>
                <w:sz w:val="18"/>
                <w:szCs w:val="18"/>
              </w:rPr>
            </w:pPr>
            <w:r>
              <w:rPr>
                <w:sz w:val="18"/>
                <w:szCs w:val="18"/>
              </w:rPr>
              <w:t>83.7</w:t>
            </w:r>
          </w:p>
        </w:tc>
        <w:tc>
          <w:tcPr>
            <w:tcW w:w="1604" w:type="dxa"/>
            <w:hideMark/>
          </w:tcPr>
          <w:p w14:paraId="59CEACCE" w14:textId="77777777" w:rsidR="00D8753A" w:rsidRDefault="00D8753A">
            <w:pPr>
              <w:pStyle w:val="NormalWeb"/>
              <w:rPr>
                <w:sz w:val="18"/>
                <w:szCs w:val="18"/>
              </w:rPr>
            </w:pPr>
            <w:r>
              <w:rPr>
                <w:sz w:val="18"/>
                <w:szCs w:val="18"/>
              </w:rPr>
              <w:t>94.0</w:t>
            </w:r>
          </w:p>
        </w:tc>
      </w:tr>
      <w:tr w:rsidR="00D8753A" w14:paraId="0815DA96" w14:textId="77777777" w:rsidTr="0091636A">
        <w:tc>
          <w:tcPr>
            <w:tcW w:w="4111" w:type="dxa"/>
            <w:hideMark/>
          </w:tcPr>
          <w:p w14:paraId="66C43E0C" w14:textId="77777777" w:rsidR="00D8753A" w:rsidRDefault="00D8753A">
            <w:pPr>
              <w:pStyle w:val="NormalWeb"/>
              <w:jc w:val="left"/>
              <w:rPr>
                <w:sz w:val="18"/>
                <w:szCs w:val="18"/>
              </w:rPr>
            </w:pPr>
            <w:r>
              <w:rPr>
                <w:sz w:val="18"/>
                <w:szCs w:val="18"/>
              </w:rPr>
              <w:t>Brisbane South</w:t>
            </w:r>
          </w:p>
        </w:tc>
        <w:tc>
          <w:tcPr>
            <w:tcW w:w="1252" w:type="dxa"/>
            <w:hideMark/>
          </w:tcPr>
          <w:p w14:paraId="118D46E0" w14:textId="77777777" w:rsidR="00D8753A" w:rsidRDefault="00D8753A">
            <w:pPr>
              <w:pStyle w:val="NormalWeb"/>
              <w:rPr>
                <w:sz w:val="18"/>
                <w:szCs w:val="18"/>
              </w:rPr>
            </w:pPr>
            <w:r>
              <w:rPr>
                <w:sz w:val="18"/>
                <w:szCs w:val="18"/>
              </w:rPr>
              <w:t>91.9</w:t>
            </w:r>
          </w:p>
        </w:tc>
        <w:tc>
          <w:tcPr>
            <w:tcW w:w="1603" w:type="dxa"/>
            <w:hideMark/>
          </w:tcPr>
          <w:p w14:paraId="73E4C428" w14:textId="77777777" w:rsidR="00D8753A" w:rsidRDefault="00D8753A">
            <w:pPr>
              <w:pStyle w:val="NormalWeb"/>
              <w:rPr>
                <w:sz w:val="18"/>
                <w:szCs w:val="18"/>
              </w:rPr>
            </w:pPr>
            <w:r>
              <w:rPr>
                <w:sz w:val="18"/>
                <w:szCs w:val="18"/>
              </w:rPr>
              <w:t>94.8</w:t>
            </w:r>
          </w:p>
        </w:tc>
        <w:tc>
          <w:tcPr>
            <w:tcW w:w="1604" w:type="dxa"/>
            <w:hideMark/>
          </w:tcPr>
          <w:p w14:paraId="2A4628FF" w14:textId="77777777" w:rsidR="00D8753A" w:rsidRDefault="00D8753A">
            <w:pPr>
              <w:pStyle w:val="NormalWeb"/>
              <w:rPr>
                <w:sz w:val="18"/>
                <w:szCs w:val="18"/>
              </w:rPr>
            </w:pPr>
            <w:r>
              <w:rPr>
                <w:sz w:val="18"/>
                <w:szCs w:val="18"/>
              </w:rPr>
              <w:t>90.6</w:t>
            </w:r>
          </w:p>
        </w:tc>
        <w:tc>
          <w:tcPr>
            <w:tcW w:w="1603" w:type="dxa"/>
            <w:hideMark/>
          </w:tcPr>
          <w:p w14:paraId="609F78DB" w14:textId="77777777" w:rsidR="00D8753A" w:rsidRDefault="00D8753A">
            <w:pPr>
              <w:pStyle w:val="NormalWeb"/>
              <w:rPr>
                <w:sz w:val="18"/>
                <w:szCs w:val="18"/>
              </w:rPr>
            </w:pPr>
            <w:r>
              <w:rPr>
                <w:sz w:val="18"/>
                <w:szCs w:val="18"/>
              </w:rPr>
              <w:t>89.0</w:t>
            </w:r>
          </w:p>
        </w:tc>
        <w:tc>
          <w:tcPr>
            <w:tcW w:w="1604" w:type="dxa"/>
            <w:hideMark/>
          </w:tcPr>
          <w:p w14:paraId="60EC4891" w14:textId="77777777" w:rsidR="00D8753A" w:rsidRDefault="00D8753A">
            <w:pPr>
              <w:pStyle w:val="NormalWeb"/>
              <w:rPr>
                <w:sz w:val="18"/>
                <w:szCs w:val="18"/>
              </w:rPr>
            </w:pPr>
            <w:r>
              <w:rPr>
                <w:sz w:val="18"/>
                <w:szCs w:val="18"/>
              </w:rPr>
              <w:t>92.2</w:t>
            </w:r>
          </w:p>
        </w:tc>
        <w:tc>
          <w:tcPr>
            <w:tcW w:w="1603" w:type="dxa"/>
            <w:hideMark/>
          </w:tcPr>
          <w:p w14:paraId="63A8C8CD" w14:textId="77777777" w:rsidR="00D8753A" w:rsidRDefault="00D8753A">
            <w:pPr>
              <w:pStyle w:val="NormalWeb"/>
              <w:rPr>
                <w:sz w:val="18"/>
                <w:szCs w:val="18"/>
              </w:rPr>
            </w:pPr>
            <w:r>
              <w:rPr>
                <w:sz w:val="18"/>
                <w:szCs w:val="18"/>
              </w:rPr>
              <w:t>86.3</w:t>
            </w:r>
          </w:p>
        </w:tc>
        <w:tc>
          <w:tcPr>
            <w:tcW w:w="1604" w:type="dxa"/>
            <w:hideMark/>
          </w:tcPr>
          <w:p w14:paraId="5D2C506A" w14:textId="77777777" w:rsidR="00D8753A" w:rsidRDefault="00D8753A">
            <w:pPr>
              <w:pStyle w:val="NormalWeb"/>
              <w:rPr>
                <w:sz w:val="18"/>
                <w:szCs w:val="18"/>
              </w:rPr>
            </w:pPr>
            <w:r>
              <w:rPr>
                <w:sz w:val="18"/>
                <w:szCs w:val="18"/>
              </w:rPr>
              <w:t>93.9</w:t>
            </w:r>
          </w:p>
        </w:tc>
      </w:tr>
      <w:tr w:rsidR="00D8753A" w14:paraId="0ACCB677" w14:textId="77777777" w:rsidTr="0091636A">
        <w:trPr>
          <w:cnfStyle w:val="000000010000" w:firstRow="0" w:lastRow="0" w:firstColumn="0" w:lastColumn="0" w:oddVBand="0" w:evenVBand="0" w:oddHBand="0" w:evenHBand="1" w:firstRowFirstColumn="0" w:firstRowLastColumn="0" w:lastRowFirstColumn="0" w:lastRowLastColumn="0"/>
        </w:trPr>
        <w:tc>
          <w:tcPr>
            <w:tcW w:w="4111" w:type="dxa"/>
            <w:hideMark/>
          </w:tcPr>
          <w:p w14:paraId="496F6B6F" w14:textId="77777777" w:rsidR="00D8753A" w:rsidRDefault="00D8753A">
            <w:pPr>
              <w:pStyle w:val="NormalWeb"/>
              <w:jc w:val="left"/>
              <w:rPr>
                <w:sz w:val="18"/>
                <w:szCs w:val="18"/>
              </w:rPr>
            </w:pPr>
            <w:r>
              <w:rPr>
                <w:sz w:val="18"/>
                <w:szCs w:val="18"/>
              </w:rPr>
              <w:t>Northern Sydney</w:t>
            </w:r>
          </w:p>
        </w:tc>
        <w:tc>
          <w:tcPr>
            <w:tcW w:w="1252" w:type="dxa"/>
            <w:hideMark/>
          </w:tcPr>
          <w:p w14:paraId="52794AFA" w14:textId="77777777" w:rsidR="00D8753A" w:rsidRDefault="00D8753A">
            <w:pPr>
              <w:pStyle w:val="NormalWeb"/>
              <w:rPr>
                <w:sz w:val="18"/>
                <w:szCs w:val="18"/>
              </w:rPr>
            </w:pPr>
            <w:r>
              <w:rPr>
                <w:sz w:val="18"/>
                <w:szCs w:val="18"/>
              </w:rPr>
              <w:t>93.7</w:t>
            </w:r>
          </w:p>
        </w:tc>
        <w:tc>
          <w:tcPr>
            <w:tcW w:w="1603" w:type="dxa"/>
            <w:hideMark/>
          </w:tcPr>
          <w:p w14:paraId="123E47DE" w14:textId="77777777" w:rsidR="00D8753A" w:rsidRDefault="00D8753A">
            <w:pPr>
              <w:pStyle w:val="NormalWeb"/>
              <w:rPr>
                <w:sz w:val="18"/>
                <w:szCs w:val="18"/>
              </w:rPr>
            </w:pPr>
            <w:r>
              <w:rPr>
                <w:sz w:val="18"/>
                <w:szCs w:val="18"/>
              </w:rPr>
              <w:t>95.3</w:t>
            </w:r>
          </w:p>
        </w:tc>
        <w:tc>
          <w:tcPr>
            <w:tcW w:w="1604" w:type="dxa"/>
            <w:hideMark/>
          </w:tcPr>
          <w:p w14:paraId="7A57CA77" w14:textId="77777777" w:rsidR="00D8753A" w:rsidRDefault="00D8753A">
            <w:pPr>
              <w:pStyle w:val="NormalWeb"/>
              <w:rPr>
                <w:sz w:val="18"/>
                <w:szCs w:val="18"/>
              </w:rPr>
            </w:pPr>
            <w:r>
              <w:rPr>
                <w:sz w:val="18"/>
                <w:szCs w:val="18"/>
              </w:rPr>
              <w:t>91.0</w:t>
            </w:r>
          </w:p>
        </w:tc>
        <w:tc>
          <w:tcPr>
            <w:tcW w:w="1603" w:type="dxa"/>
            <w:hideMark/>
          </w:tcPr>
          <w:p w14:paraId="14FF27A0" w14:textId="77777777" w:rsidR="00D8753A" w:rsidRDefault="00D8753A">
            <w:pPr>
              <w:pStyle w:val="NormalWeb"/>
              <w:rPr>
                <w:sz w:val="18"/>
                <w:szCs w:val="18"/>
              </w:rPr>
            </w:pPr>
            <w:r>
              <w:rPr>
                <w:sz w:val="18"/>
                <w:szCs w:val="18"/>
              </w:rPr>
              <w:t>89.5</w:t>
            </w:r>
          </w:p>
        </w:tc>
        <w:tc>
          <w:tcPr>
            <w:tcW w:w="1604" w:type="dxa"/>
            <w:hideMark/>
          </w:tcPr>
          <w:p w14:paraId="1B9FEA49" w14:textId="77777777" w:rsidR="00D8753A" w:rsidRDefault="00D8753A">
            <w:pPr>
              <w:pStyle w:val="NormalWeb"/>
              <w:rPr>
                <w:sz w:val="18"/>
                <w:szCs w:val="18"/>
              </w:rPr>
            </w:pPr>
            <w:r>
              <w:rPr>
                <w:sz w:val="18"/>
                <w:szCs w:val="18"/>
              </w:rPr>
              <w:t>91.7</w:t>
            </w:r>
          </w:p>
        </w:tc>
        <w:tc>
          <w:tcPr>
            <w:tcW w:w="1603" w:type="dxa"/>
            <w:hideMark/>
          </w:tcPr>
          <w:p w14:paraId="60EBBF18" w14:textId="77777777" w:rsidR="00D8753A" w:rsidRDefault="00D8753A">
            <w:pPr>
              <w:pStyle w:val="NormalWeb"/>
              <w:rPr>
                <w:sz w:val="18"/>
                <w:szCs w:val="18"/>
              </w:rPr>
            </w:pPr>
            <w:r>
              <w:rPr>
                <w:sz w:val="18"/>
                <w:szCs w:val="18"/>
              </w:rPr>
              <w:t>88.1</w:t>
            </w:r>
          </w:p>
        </w:tc>
        <w:tc>
          <w:tcPr>
            <w:tcW w:w="1604" w:type="dxa"/>
            <w:hideMark/>
          </w:tcPr>
          <w:p w14:paraId="4F0EEDFC" w14:textId="77777777" w:rsidR="00D8753A" w:rsidRDefault="00D8753A">
            <w:pPr>
              <w:pStyle w:val="NormalWeb"/>
              <w:rPr>
                <w:sz w:val="18"/>
                <w:szCs w:val="18"/>
              </w:rPr>
            </w:pPr>
            <w:r>
              <w:rPr>
                <w:sz w:val="18"/>
                <w:szCs w:val="18"/>
              </w:rPr>
              <w:t>93.8</w:t>
            </w:r>
          </w:p>
        </w:tc>
      </w:tr>
      <w:tr w:rsidR="00D8753A" w14:paraId="4FBAF77E" w14:textId="77777777" w:rsidTr="0091636A">
        <w:tc>
          <w:tcPr>
            <w:tcW w:w="4111" w:type="dxa"/>
            <w:hideMark/>
          </w:tcPr>
          <w:p w14:paraId="6A80A581" w14:textId="77777777" w:rsidR="00D8753A" w:rsidRDefault="00D8753A">
            <w:pPr>
              <w:pStyle w:val="NormalWeb"/>
              <w:jc w:val="left"/>
              <w:rPr>
                <w:sz w:val="18"/>
                <w:szCs w:val="18"/>
              </w:rPr>
            </w:pPr>
            <w:r>
              <w:rPr>
                <w:sz w:val="18"/>
                <w:szCs w:val="18"/>
              </w:rPr>
              <w:t>Northern Territory</w:t>
            </w:r>
          </w:p>
        </w:tc>
        <w:tc>
          <w:tcPr>
            <w:tcW w:w="1252" w:type="dxa"/>
            <w:hideMark/>
          </w:tcPr>
          <w:p w14:paraId="645A417E" w14:textId="77777777" w:rsidR="00D8753A" w:rsidRDefault="00D8753A">
            <w:pPr>
              <w:pStyle w:val="NormalWeb"/>
              <w:rPr>
                <w:sz w:val="18"/>
                <w:szCs w:val="18"/>
              </w:rPr>
            </w:pPr>
            <w:r>
              <w:rPr>
                <w:sz w:val="18"/>
                <w:szCs w:val="18"/>
              </w:rPr>
              <w:t>91.0</w:t>
            </w:r>
          </w:p>
        </w:tc>
        <w:tc>
          <w:tcPr>
            <w:tcW w:w="1603" w:type="dxa"/>
            <w:hideMark/>
          </w:tcPr>
          <w:p w14:paraId="758F73BC" w14:textId="77777777" w:rsidR="00D8753A" w:rsidRDefault="00D8753A">
            <w:pPr>
              <w:pStyle w:val="NormalWeb"/>
              <w:rPr>
                <w:sz w:val="18"/>
                <w:szCs w:val="18"/>
              </w:rPr>
            </w:pPr>
            <w:r>
              <w:rPr>
                <w:sz w:val="18"/>
                <w:szCs w:val="18"/>
              </w:rPr>
              <w:t>95.2</w:t>
            </w:r>
          </w:p>
        </w:tc>
        <w:tc>
          <w:tcPr>
            <w:tcW w:w="1604" w:type="dxa"/>
            <w:hideMark/>
          </w:tcPr>
          <w:p w14:paraId="1B57E1E5" w14:textId="77777777" w:rsidR="00D8753A" w:rsidRDefault="00D8753A">
            <w:pPr>
              <w:pStyle w:val="NormalWeb"/>
              <w:rPr>
                <w:sz w:val="18"/>
                <w:szCs w:val="18"/>
              </w:rPr>
            </w:pPr>
            <w:r>
              <w:rPr>
                <w:sz w:val="18"/>
                <w:szCs w:val="18"/>
              </w:rPr>
              <w:t>88.8</w:t>
            </w:r>
          </w:p>
        </w:tc>
        <w:tc>
          <w:tcPr>
            <w:tcW w:w="1603" w:type="dxa"/>
            <w:hideMark/>
          </w:tcPr>
          <w:p w14:paraId="1581C591" w14:textId="77777777" w:rsidR="00D8753A" w:rsidRDefault="00D8753A">
            <w:pPr>
              <w:pStyle w:val="NormalWeb"/>
              <w:rPr>
                <w:sz w:val="18"/>
                <w:szCs w:val="18"/>
              </w:rPr>
            </w:pPr>
            <w:r>
              <w:rPr>
                <w:sz w:val="18"/>
                <w:szCs w:val="18"/>
              </w:rPr>
              <w:t>85.6</w:t>
            </w:r>
          </w:p>
        </w:tc>
        <w:tc>
          <w:tcPr>
            <w:tcW w:w="1604" w:type="dxa"/>
            <w:hideMark/>
          </w:tcPr>
          <w:p w14:paraId="2E850812" w14:textId="77777777" w:rsidR="00D8753A" w:rsidRDefault="00D8753A">
            <w:pPr>
              <w:pStyle w:val="NormalWeb"/>
              <w:rPr>
                <w:sz w:val="18"/>
                <w:szCs w:val="18"/>
              </w:rPr>
            </w:pPr>
            <w:r>
              <w:rPr>
                <w:sz w:val="18"/>
                <w:szCs w:val="18"/>
              </w:rPr>
              <w:t>90.9</w:t>
            </w:r>
          </w:p>
        </w:tc>
        <w:tc>
          <w:tcPr>
            <w:tcW w:w="1603" w:type="dxa"/>
            <w:hideMark/>
          </w:tcPr>
          <w:p w14:paraId="40935D73" w14:textId="77777777" w:rsidR="00D8753A" w:rsidRDefault="00D8753A">
            <w:pPr>
              <w:pStyle w:val="NormalWeb"/>
              <w:rPr>
                <w:sz w:val="18"/>
                <w:szCs w:val="18"/>
              </w:rPr>
            </w:pPr>
            <w:r>
              <w:rPr>
                <w:sz w:val="18"/>
                <w:szCs w:val="18"/>
              </w:rPr>
              <w:t>82.5</w:t>
            </w:r>
          </w:p>
        </w:tc>
        <w:tc>
          <w:tcPr>
            <w:tcW w:w="1604" w:type="dxa"/>
            <w:hideMark/>
          </w:tcPr>
          <w:p w14:paraId="7074E67B" w14:textId="77777777" w:rsidR="00D8753A" w:rsidRDefault="00D8753A">
            <w:pPr>
              <w:pStyle w:val="NormalWeb"/>
              <w:rPr>
                <w:sz w:val="18"/>
                <w:szCs w:val="18"/>
              </w:rPr>
            </w:pPr>
            <w:r>
              <w:rPr>
                <w:sz w:val="18"/>
                <w:szCs w:val="18"/>
              </w:rPr>
              <w:t>93.6</w:t>
            </w:r>
          </w:p>
        </w:tc>
      </w:tr>
      <w:tr w:rsidR="00D8753A" w14:paraId="3B6B4B4A" w14:textId="77777777" w:rsidTr="0091636A">
        <w:trPr>
          <w:cnfStyle w:val="000000010000" w:firstRow="0" w:lastRow="0" w:firstColumn="0" w:lastColumn="0" w:oddVBand="0" w:evenVBand="0" w:oddHBand="0" w:evenHBand="1" w:firstRowFirstColumn="0" w:firstRowLastColumn="0" w:lastRowFirstColumn="0" w:lastRowLastColumn="0"/>
        </w:trPr>
        <w:tc>
          <w:tcPr>
            <w:tcW w:w="4111" w:type="dxa"/>
            <w:hideMark/>
          </w:tcPr>
          <w:p w14:paraId="52B56B86" w14:textId="77777777" w:rsidR="00D8753A" w:rsidRDefault="00D8753A">
            <w:pPr>
              <w:pStyle w:val="NormalWeb"/>
              <w:jc w:val="left"/>
              <w:rPr>
                <w:sz w:val="18"/>
                <w:szCs w:val="18"/>
              </w:rPr>
            </w:pPr>
            <w:r>
              <w:rPr>
                <w:sz w:val="18"/>
                <w:szCs w:val="18"/>
              </w:rPr>
              <w:t>Perth North</w:t>
            </w:r>
          </w:p>
        </w:tc>
        <w:tc>
          <w:tcPr>
            <w:tcW w:w="1252" w:type="dxa"/>
            <w:hideMark/>
          </w:tcPr>
          <w:p w14:paraId="14EAC9DA" w14:textId="77777777" w:rsidR="00D8753A" w:rsidRDefault="00D8753A">
            <w:pPr>
              <w:pStyle w:val="NormalWeb"/>
              <w:rPr>
                <w:sz w:val="18"/>
                <w:szCs w:val="18"/>
              </w:rPr>
            </w:pPr>
            <w:r>
              <w:rPr>
                <w:sz w:val="18"/>
                <w:szCs w:val="18"/>
              </w:rPr>
              <w:t>91.5</w:t>
            </w:r>
          </w:p>
        </w:tc>
        <w:tc>
          <w:tcPr>
            <w:tcW w:w="1603" w:type="dxa"/>
            <w:hideMark/>
          </w:tcPr>
          <w:p w14:paraId="0E4E5F54" w14:textId="77777777" w:rsidR="00D8753A" w:rsidRDefault="00D8753A">
            <w:pPr>
              <w:pStyle w:val="NormalWeb"/>
              <w:rPr>
                <w:sz w:val="18"/>
                <w:szCs w:val="18"/>
              </w:rPr>
            </w:pPr>
            <w:r>
              <w:rPr>
                <w:sz w:val="18"/>
                <w:szCs w:val="18"/>
              </w:rPr>
              <w:t>94.3</w:t>
            </w:r>
          </w:p>
        </w:tc>
        <w:tc>
          <w:tcPr>
            <w:tcW w:w="1604" w:type="dxa"/>
            <w:hideMark/>
          </w:tcPr>
          <w:p w14:paraId="6FABD6A8" w14:textId="77777777" w:rsidR="00D8753A" w:rsidRDefault="00D8753A">
            <w:pPr>
              <w:pStyle w:val="NormalWeb"/>
              <w:rPr>
                <w:sz w:val="18"/>
                <w:szCs w:val="18"/>
              </w:rPr>
            </w:pPr>
            <w:r>
              <w:rPr>
                <w:sz w:val="18"/>
                <w:szCs w:val="18"/>
              </w:rPr>
              <w:t>90.5</w:t>
            </w:r>
          </w:p>
        </w:tc>
        <w:tc>
          <w:tcPr>
            <w:tcW w:w="1603" w:type="dxa"/>
            <w:hideMark/>
          </w:tcPr>
          <w:p w14:paraId="2E56CD43" w14:textId="77777777" w:rsidR="00D8753A" w:rsidRDefault="00D8753A">
            <w:pPr>
              <w:pStyle w:val="NormalWeb"/>
              <w:rPr>
                <w:sz w:val="18"/>
                <w:szCs w:val="18"/>
              </w:rPr>
            </w:pPr>
            <w:r>
              <w:rPr>
                <w:sz w:val="18"/>
                <w:szCs w:val="18"/>
              </w:rPr>
              <w:t>88.3</w:t>
            </w:r>
          </w:p>
        </w:tc>
        <w:tc>
          <w:tcPr>
            <w:tcW w:w="1604" w:type="dxa"/>
            <w:hideMark/>
          </w:tcPr>
          <w:p w14:paraId="530D6246" w14:textId="77777777" w:rsidR="00D8753A" w:rsidRDefault="00D8753A">
            <w:pPr>
              <w:pStyle w:val="NormalWeb"/>
              <w:rPr>
                <w:sz w:val="18"/>
                <w:szCs w:val="18"/>
              </w:rPr>
            </w:pPr>
            <w:r>
              <w:rPr>
                <w:sz w:val="18"/>
                <w:szCs w:val="18"/>
              </w:rPr>
              <w:t>91.7</w:t>
            </w:r>
          </w:p>
        </w:tc>
        <w:tc>
          <w:tcPr>
            <w:tcW w:w="1603" w:type="dxa"/>
            <w:hideMark/>
          </w:tcPr>
          <w:p w14:paraId="437FF697" w14:textId="77777777" w:rsidR="00D8753A" w:rsidRDefault="00D8753A">
            <w:pPr>
              <w:pStyle w:val="NormalWeb"/>
              <w:rPr>
                <w:sz w:val="18"/>
                <w:szCs w:val="18"/>
              </w:rPr>
            </w:pPr>
            <w:r>
              <w:rPr>
                <w:sz w:val="18"/>
                <w:szCs w:val="18"/>
              </w:rPr>
              <w:t>85.9</w:t>
            </w:r>
          </w:p>
        </w:tc>
        <w:tc>
          <w:tcPr>
            <w:tcW w:w="1604" w:type="dxa"/>
            <w:hideMark/>
          </w:tcPr>
          <w:p w14:paraId="1F23CC8F" w14:textId="77777777" w:rsidR="00D8753A" w:rsidRDefault="00D8753A">
            <w:pPr>
              <w:pStyle w:val="NormalWeb"/>
              <w:rPr>
                <w:sz w:val="18"/>
                <w:szCs w:val="18"/>
              </w:rPr>
            </w:pPr>
            <w:r>
              <w:rPr>
                <w:sz w:val="18"/>
                <w:szCs w:val="18"/>
              </w:rPr>
              <w:t>93.6</w:t>
            </w:r>
          </w:p>
        </w:tc>
      </w:tr>
      <w:tr w:rsidR="00D8753A" w14:paraId="4239CED9" w14:textId="77777777" w:rsidTr="0091636A">
        <w:tc>
          <w:tcPr>
            <w:tcW w:w="4111" w:type="dxa"/>
            <w:hideMark/>
          </w:tcPr>
          <w:p w14:paraId="1E341859" w14:textId="77777777" w:rsidR="00D8753A" w:rsidRDefault="00D8753A">
            <w:pPr>
              <w:pStyle w:val="NormalWeb"/>
              <w:jc w:val="left"/>
              <w:rPr>
                <w:sz w:val="18"/>
                <w:szCs w:val="18"/>
              </w:rPr>
            </w:pPr>
            <w:r>
              <w:rPr>
                <w:sz w:val="18"/>
                <w:szCs w:val="18"/>
              </w:rPr>
              <w:t>Perth South</w:t>
            </w:r>
          </w:p>
        </w:tc>
        <w:tc>
          <w:tcPr>
            <w:tcW w:w="1252" w:type="dxa"/>
            <w:hideMark/>
          </w:tcPr>
          <w:p w14:paraId="4F96C63A" w14:textId="77777777" w:rsidR="00D8753A" w:rsidRDefault="00D8753A">
            <w:pPr>
              <w:pStyle w:val="NormalWeb"/>
              <w:rPr>
                <w:sz w:val="18"/>
                <w:szCs w:val="18"/>
              </w:rPr>
            </w:pPr>
            <w:r>
              <w:rPr>
                <w:sz w:val="18"/>
                <w:szCs w:val="18"/>
              </w:rPr>
              <w:t>91.0</w:t>
            </w:r>
          </w:p>
        </w:tc>
        <w:tc>
          <w:tcPr>
            <w:tcW w:w="1603" w:type="dxa"/>
            <w:hideMark/>
          </w:tcPr>
          <w:p w14:paraId="663F8C3D" w14:textId="77777777" w:rsidR="00D8753A" w:rsidRDefault="00D8753A">
            <w:pPr>
              <w:pStyle w:val="NormalWeb"/>
              <w:rPr>
                <w:sz w:val="18"/>
                <w:szCs w:val="18"/>
              </w:rPr>
            </w:pPr>
            <w:r>
              <w:rPr>
                <w:sz w:val="18"/>
                <w:szCs w:val="18"/>
              </w:rPr>
              <w:t>94.5</w:t>
            </w:r>
          </w:p>
        </w:tc>
        <w:tc>
          <w:tcPr>
            <w:tcW w:w="1604" w:type="dxa"/>
            <w:hideMark/>
          </w:tcPr>
          <w:p w14:paraId="2EF3F2F4" w14:textId="77777777" w:rsidR="00D8753A" w:rsidRDefault="00D8753A">
            <w:pPr>
              <w:pStyle w:val="NormalWeb"/>
              <w:rPr>
                <w:sz w:val="18"/>
                <w:szCs w:val="18"/>
              </w:rPr>
            </w:pPr>
            <w:r>
              <w:rPr>
                <w:sz w:val="18"/>
                <w:szCs w:val="18"/>
              </w:rPr>
              <w:t>89.9</w:t>
            </w:r>
          </w:p>
        </w:tc>
        <w:tc>
          <w:tcPr>
            <w:tcW w:w="1603" w:type="dxa"/>
            <w:hideMark/>
          </w:tcPr>
          <w:p w14:paraId="5FBC389B" w14:textId="77777777" w:rsidR="00D8753A" w:rsidRDefault="00D8753A">
            <w:pPr>
              <w:pStyle w:val="NormalWeb"/>
              <w:rPr>
                <w:sz w:val="18"/>
                <w:szCs w:val="18"/>
              </w:rPr>
            </w:pPr>
            <w:r>
              <w:rPr>
                <w:sz w:val="18"/>
                <w:szCs w:val="18"/>
              </w:rPr>
              <w:t>88.0</w:t>
            </w:r>
          </w:p>
        </w:tc>
        <w:tc>
          <w:tcPr>
            <w:tcW w:w="1604" w:type="dxa"/>
            <w:hideMark/>
          </w:tcPr>
          <w:p w14:paraId="52D47477" w14:textId="77777777" w:rsidR="00D8753A" w:rsidRDefault="00D8753A">
            <w:pPr>
              <w:pStyle w:val="NormalWeb"/>
              <w:rPr>
                <w:sz w:val="18"/>
                <w:szCs w:val="18"/>
              </w:rPr>
            </w:pPr>
            <w:r>
              <w:rPr>
                <w:sz w:val="18"/>
                <w:szCs w:val="18"/>
              </w:rPr>
              <w:t>91.7</w:t>
            </w:r>
          </w:p>
        </w:tc>
        <w:tc>
          <w:tcPr>
            <w:tcW w:w="1603" w:type="dxa"/>
            <w:hideMark/>
          </w:tcPr>
          <w:p w14:paraId="3B84D11F" w14:textId="77777777" w:rsidR="00D8753A" w:rsidRDefault="00D8753A">
            <w:pPr>
              <w:pStyle w:val="NormalWeb"/>
              <w:rPr>
                <w:sz w:val="18"/>
                <w:szCs w:val="18"/>
              </w:rPr>
            </w:pPr>
            <w:r>
              <w:rPr>
                <w:sz w:val="18"/>
                <w:szCs w:val="18"/>
              </w:rPr>
              <w:t>85.6</w:t>
            </w:r>
          </w:p>
        </w:tc>
        <w:tc>
          <w:tcPr>
            <w:tcW w:w="1604" w:type="dxa"/>
            <w:hideMark/>
          </w:tcPr>
          <w:p w14:paraId="71576E92" w14:textId="77777777" w:rsidR="00D8753A" w:rsidRDefault="00D8753A">
            <w:pPr>
              <w:pStyle w:val="NormalWeb"/>
              <w:rPr>
                <w:sz w:val="18"/>
                <w:szCs w:val="18"/>
              </w:rPr>
            </w:pPr>
            <w:r>
              <w:rPr>
                <w:sz w:val="18"/>
                <w:szCs w:val="18"/>
              </w:rPr>
              <w:t>93.6</w:t>
            </w:r>
          </w:p>
        </w:tc>
      </w:tr>
      <w:tr w:rsidR="00D8753A" w14:paraId="43D2FEB4" w14:textId="77777777" w:rsidTr="0091636A">
        <w:trPr>
          <w:cnfStyle w:val="000000010000" w:firstRow="0" w:lastRow="0" w:firstColumn="0" w:lastColumn="0" w:oddVBand="0" w:evenVBand="0" w:oddHBand="0" w:evenHBand="1" w:firstRowFirstColumn="0" w:firstRowLastColumn="0" w:lastRowFirstColumn="0" w:lastRowLastColumn="0"/>
        </w:trPr>
        <w:tc>
          <w:tcPr>
            <w:tcW w:w="4111" w:type="dxa"/>
            <w:hideMark/>
          </w:tcPr>
          <w:p w14:paraId="3EC145C1" w14:textId="77777777" w:rsidR="00D8753A" w:rsidRDefault="00D8753A">
            <w:pPr>
              <w:pStyle w:val="NormalWeb"/>
              <w:jc w:val="left"/>
              <w:rPr>
                <w:sz w:val="18"/>
                <w:szCs w:val="18"/>
              </w:rPr>
            </w:pPr>
            <w:r>
              <w:rPr>
                <w:sz w:val="18"/>
                <w:szCs w:val="18"/>
              </w:rPr>
              <w:lastRenderedPageBreak/>
              <w:t>Central Queensland, Wide Bay, Sunshine Coast</w:t>
            </w:r>
          </w:p>
        </w:tc>
        <w:tc>
          <w:tcPr>
            <w:tcW w:w="1252" w:type="dxa"/>
            <w:hideMark/>
          </w:tcPr>
          <w:p w14:paraId="179DDEAC" w14:textId="77777777" w:rsidR="00D8753A" w:rsidRDefault="00D8753A">
            <w:pPr>
              <w:pStyle w:val="NormalWeb"/>
              <w:rPr>
                <w:sz w:val="18"/>
                <w:szCs w:val="18"/>
              </w:rPr>
            </w:pPr>
            <w:r>
              <w:rPr>
                <w:sz w:val="18"/>
                <w:szCs w:val="18"/>
              </w:rPr>
              <w:t>90.6</w:t>
            </w:r>
          </w:p>
        </w:tc>
        <w:tc>
          <w:tcPr>
            <w:tcW w:w="1603" w:type="dxa"/>
            <w:hideMark/>
          </w:tcPr>
          <w:p w14:paraId="1E7432FF" w14:textId="77777777" w:rsidR="00D8753A" w:rsidRDefault="00D8753A">
            <w:pPr>
              <w:pStyle w:val="NormalWeb"/>
              <w:rPr>
                <w:sz w:val="18"/>
                <w:szCs w:val="18"/>
              </w:rPr>
            </w:pPr>
            <w:r>
              <w:rPr>
                <w:sz w:val="18"/>
                <w:szCs w:val="18"/>
              </w:rPr>
              <w:t>93.6</w:t>
            </w:r>
          </w:p>
        </w:tc>
        <w:tc>
          <w:tcPr>
            <w:tcW w:w="1604" w:type="dxa"/>
            <w:hideMark/>
          </w:tcPr>
          <w:p w14:paraId="6AD51130" w14:textId="77777777" w:rsidR="00D8753A" w:rsidRDefault="00D8753A">
            <w:pPr>
              <w:pStyle w:val="NormalWeb"/>
              <w:rPr>
                <w:sz w:val="18"/>
                <w:szCs w:val="18"/>
              </w:rPr>
            </w:pPr>
            <w:r>
              <w:rPr>
                <w:sz w:val="18"/>
                <w:szCs w:val="18"/>
              </w:rPr>
              <w:t>89.1</w:t>
            </w:r>
          </w:p>
        </w:tc>
        <w:tc>
          <w:tcPr>
            <w:tcW w:w="1603" w:type="dxa"/>
            <w:hideMark/>
          </w:tcPr>
          <w:p w14:paraId="0B015341" w14:textId="77777777" w:rsidR="00D8753A" w:rsidRDefault="00D8753A">
            <w:pPr>
              <w:pStyle w:val="NormalWeb"/>
              <w:rPr>
                <w:sz w:val="18"/>
                <w:szCs w:val="18"/>
              </w:rPr>
            </w:pPr>
            <w:r>
              <w:rPr>
                <w:sz w:val="18"/>
                <w:szCs w:val="18"/>
              </w:rPr>
              <w:t>87.3</w:t>
            </w:r>
          </w:p>
        </w:tc>
        <w:tc>
          <w:tcPr>
            <w:tcW w:w="1604" w:type="dxa"/>
            <w:hideMark/>
          </w:tcPr>
          <w:p w14:paraId="4CE39EFB" w14:textId="77777777" w:rsidR="00D8753A" w:rsidRDefault="00D8753A">
            <w:pPr>
              <w:pStyle w:val="NormalWeb"/>
              <w:rPr>
                <w:sz w:val="18"/>
                <w:szCs w:val="18"/>
              </w:rPr>
            </w:pPr>
            <w:r>
              <w:rPr>
                <w:sz w:val="18"/>
                <w:szCs w:val="18"/>
              </w:rPr>
              <w:t>90.4</w:t>
            </w:r>
          </w:p>
        </w:tc>
        <w:tc>
          <w:tcPr>
            <w:tcW w:w="1603" w:type="dxa"/>
            <w:hideMark/>
          </w:tcPr>
          <w:p w14:paraId="5356F021" w14:textId="77777777" w:rsidR="00D8753A" w:rsidRDefault="00D8753A">
            <w:pPr>
              <w:pStyle w:val="NormalWeb"/>
              <w:rPr>
                <w:sz w:val="18"/>
                <w:szCs w:val="18"/>
              </w:rPr>
            </w:pPr>
            <w:r>
              <w:rPr>
                <w:sz w:val="18"/>
                <w:szCs w:val="18"/>
              </w:rPr>
              <w:t>86.0</w:t>
            </w:r>
          </w:p>
        </w:tc>
        <w:tc>
          <w:tcPr>
            <w:tcW w:w="1604" w:type="dxa"/>
            <w:hideMark/>
          </w:tcPr>
          <w:p w14:paraId="4946FFE0" w14:textId="77777777" w:rsidR="00D8753A" w:rsidRDefault="00D8753A">
            <w:pPr>
              <w:pStyle w:val="NormalWeb"/>
              <w:rPr>
                <w:sz w:val="18"/>
                <w:szCs w:val="18"/>
              </w:rPr>
            </w:pPr>
            <w:r>
              <w:rPr>
                <w:sz w:val="18"/>
                <w:szCs w:val="18"/>
              </w:rPr>
              <w:t>93.5</w:t>
            </w:r>
          </w:p>
        </w:tc>
      </w:tr>
      <w:tr w:rsidR="00D8753A" w14:paraId="6AE5DA07" w14:textId="77777777" w:rsidTr="0091636A">
        <w:tc>
          <w:tcPr>
            <w:tcW w:w="4111" w:type="dxa"/>
            <w:hideMark/>
          </w:tcPr>
          <w:p w14:paraId="1082206D" w14:textId="77777777" w:rsidR="00D8753A" w:rsidRDefault="00D8753A">
            <w:pPr>
              <w:pStyle w:val="NormalWeb"/>
              <w:jc w:val="left"/>
              <w:rPr>
                <w:sz w:val="18"/>
                <w:szCs w:val="18"/>
              </w:rPr>
            </w:pPr>
            <w:r>
              <w:rPr>
                <w:sz w:val="18"/>
                <w:szCs w:val="18"/>
              </w:rPr>
              <w:t>Gold Coast</w:t>
            </w:r>
          </w:p>
        </w:tc>
        <w:tc>
          <w:tcPr>
            <w:tcW w:w="1252" w:type="dxa"/>
            <w:hideMark/>
          </w:tcPr>
          <w:p w14:paraId="6B22B1B0" w14:textId="77777777" w:rsidR="00D8753A" w:rsidRDefault="00D8753A">
            <w:pPr>
              <w:pStyle w:val="NormalWeb"/>
              <w:rPr>
                <w:sz w:val="18"/>
                <w:szCs w:val="18"/>
              </w:rPr>
            </w:pPr>
            <w:r>
              <w:rPr>
                <w:sz w:val="18"/>
                <w:szCs w:val="18"/>
              </w:rPr>
              <w:t>89.4</w:t>
            </w:r>
          </w:p>
        </w:tc>
        <w:tc>
          <w:tcPr>
            <w:tcW w:w="1603" w:type="dxa"/>
            <w:hideMark/>
          </w:tcPr>
          <w:p w14:paraId="2D07A0B4" w14:textId="77777777" w:rsidR="00D8753A" w:rsidRDefault="00D8753A">
            <w:pPr>
              <w:pStyle w:val="NormalWeb"/>
              <w:rPr>
                <w:sz w:val="18"/>
                <w:szCs w:val="18"/>
              </w:rPr>
            </w:pPr>
            <w:r>
              <w:rPr>
                <w:sz w:val="18"/>
                <w:szCs w:val="18"/>
              </w:rPr>
              <w:t>92.2</w:t>
            </w:r>
          </w:p>
        </w:tc>
        <w:tc>
          <w:tcPr>
            <w:tcW w:w="1604" w:type="dxa"/>
            <w:hideMark/>
          </w:tcPr>
          <w:p w14:paraId="18ACE54C" w14:textId="77777777" w:rsidR="00D8753A" w:rsidRDefault="00D8753A">
            <w:pPr>
              <w:pStyle w:val="NormalWeb"/>
              <w:rPr>
                <w:sz w:val="18"/>
                <w:szCs w:val="18"/>
              </w:rPr>
            </w:pPr>
            <w:r>
              <w:rPr>
                <w:sz w:val="18"/>
                <w:szCs w:val="18"/>
              </w:rPr>
              <w:t>88.0</w:t>
            </w:r>
          </w:p>
        </w:tc>
        <w:tc>
          <w:tcPr>
            <w:tcW w:w="1603" w:type="dxa"/>
            <w:hideMark/>
          </w:tcPr>
          <w:p w14:paraId="3BE54829" w14:textId="77777777" w:rsidR="00D8753A" w:rsidRDefault="00D8753A">
            <w:pPr>
              <w:pStyle w:val="NormalWeb"/>
              <w:rPr>
                <w:sz w:val="18"/>
                <w:szCs w:val="18"/>
              </w:rPr>
            </w:pPr>
            <w:r>
              <w:rPr>
                <w:sz w:val="18"/>
                <w:szCs w:val="18"/>
              </w:rPr>
              <w:t>86.4</w:t>
            </w:r>
          </w:p>
        </w:tc>
        <w:tc>
          <w:tcPr>
            <w:tcW w:w="1604" w:type="dxa"/>
            <w:hideMark/>
          </w:tcPr>
          <w:p w14:paraId="660E2588" w14:textId="77777777" w:rsidR="00D8753A" w:rsidRDefault="00D8753A">
            <w:pPr>
              <w:pStyle w:val="NormalWeb"/>
              <w:rPr>
                <w:sz w:val="18"/>
                <w:szCs w:val="18"/>
              </w:rPr>
            </w:pPr>
            <w:r>
              <w:rPr>
                <w:sz w:val="18"/>
                <w:szCs w:val="18"/>
              </w:rPr>
              <w:t>90.1</w:t>
            </w:r>
          </w:p>
        </w:tc>
        <w:tc>
          <w:tcPr>
            <w:tcW w:w="1603" w:type="dxa"/>
            <w:hideMark/>
          </w:tcPr>
          <w:p w14:paraId="47C2CE0A" w14:textId="77777777" w:rsidR="00D8753A" w:rsidRDefault="00D8753A">
            <w:pPr>
              <w:pStyle w:val="NormalWeb"/>
              <w:rPr>
                <w:sz w:val="18"/>
                <w:szCs w:val="18"/>
              </w:rPr>
            </w:pPr>
            <w:r>
              <w:rPr>
                <w:sz w:val="18"/>
                <w:szCs w:val="18"/>
              </w:rPr>
              <w:t>85.1</w:t>
            </w:r>
          </w:p>
        </w:tc>
        <w:tc>
          <w:tcPr>
            <w:tcW w:w="1604" w:type="dxa"/>
            <w:hideMark/>
          </w:tcPr>
          <w:p w14:paraId="1767243C" w14:textId="77777777" w:rsidR="00D8753A" w:rsidRDefault="00D8753A">
            <w:pPr>
              <w:pStyle w:val="NormalWeb"/>
              <w:rPr>
                <w:sz w:val="18"/>
                <w:szCs w:val="18"/>
              </w:rPr>
            </w:pPr>
            <w:r>
              <w:rPr>
                <w:sz w:val="18"/>
                <w:szCs w:val="18"/>
              </w:rPr>
              <w:t>92.3</w:t>
            </w:r>
          </w:p>
        </w:tc>
      </w:tr>
      <w:tr w:rsidR="00D8753A" w14:paraId="69D72477" w14:textId="77777777" w:rsidTr="0091636A">
        <w:trPr>
          <w:cnfStyle w:val="000000010000" w:firstRow="0" w:lastRow="0" w:firstColumn="0" w:lastColumn="0" w:oddVBand="0" w:evenVBand="0" w:oddHBand="0" w:evenHBand="1" w:firstRowFirstColumn="0" w:firstRowLastColumn="0" w:lastRowFirstColumn="0" w:lastRowLastColumn="0"/>
        </w:trPr>
        <w:tc>
          <w:tcPr>
            <w:tcW w:w="4111" w:type="dxa"/>
            <w:hideMark/>
          </w:tcPr>
          <w:p w14:paraId="0EEA1C48" w14:textId="77777777" w:rsidR="00D8753A" w:rsidRDefault="00D8753A">
            <w:pPr>
              <w:pStyle w:val="NormalWeb"/>
              <w:jc w:val="left"/>
              <w:rPr>
                <w:sz w:val="18"/>
                <w:szCs w:val="18"/>
              </w:rPr>
            </w:pPr>
            <w:r>
              <w:rPr>
                <w:sz w:val="18"/>
                <w:szCs w:val="18"/>
              </w:rPr>
              <w:t>Central and Eastern Sydney</w:t>
            </w:r>
          </w:p>
        </w:tc>
        <w:tc>
          <w:tcPr>
            <w:tcW w:w="1252" w:type="dxa"/>
            <w:hideMark/>
          </w:tcPr>
          <w:p w14:paraId="464BB2A0" w14:textId="77777777" w:rsidR="00D8753A" w:rsidRDefault="00D8753A">
            <w:pPr>
              <w:pStyle w:val="NormalWeb"/>
              <w:rPr>
                <w:sz w:val="18"/>
                <w:szCs w:val="18"/>
              </w:rPr>
            </w:pPr>
            <w:r>
              <w:rPr>
                <w:sz w:val="18"/>
                <w:szCs w:val="18"/>
              </w:rPr>
              <w:t>93.0</w:t>
            </w:r>
          </w:p>
        </w:tc>
        <w:tc>
          <w:tcPr>
            <w:tcW w:w="1603" w:type="dxa"/>
            <w:hideMark/>
          </w:tcPr>
          <w:p w14:paraId="61106E01" w14:textId="77777777" w:rsidR="00D8753A" w:rsidRDefault="00D8753A">
            <w:pPr>
              <w:pStyle w:val="NormalWeb"/>
              <w:rPr>
                <w:sz w:val="18"/>
                <w:szCs w:val="18"/>
              </w:rPr>
            </w:pPr>
            <w:r>
              <w:rPr>
                <w:sz w:val="18"/>
                <w:szCs w:val="18"/>
              </w:rPr>
              <w:t>94.8</w:t>
            </w:r>
          </w:p>
        </w:tc>
        <w:tc>
          <w:tcPr>
            <w:tcW w:w="1604" w:type="dxa"/>
            <w:hideMark/>
          </w:tcPr>
          <w:p w14:paraId="4E58F9F3" w14:textId="77777777" w:rsidR="00D8753A" w:rsidRDefault="00D8753A">
            <w:pPr>
              <w:pStyle w:val="NormalWeb"/>
              <w:rPr>
                <w:sz w:val="18"/>
                <w:szCs w:val="18"/>
              </w:rPr>
            </w:pPr>
            <w:r>
              <w:rPr>
                <w:sz w:val="18"/>
                <w:szCs w:val="18"/>
              </w:rPr>
              <w:t>89.8</w:t>
            </w:r>
          </w:p>
        </w:tc>
        <w:tc>
          <w:tcPr>
            <w:tcW w:w="1603" w:type="dxa"/>
            <w:hideMark/>
          </w:tcPr>
          <w:p w14:paraId="4679B419" w14:textId="77777777" w:rsidR="00D8753A" w:rsidRDefault="00D8753A">
            <w:pPr>
              <w:pStyle w:val="NormalWeb"/>
              <w:rPr>
                <w:sz w:val="18"/>
                <w:szCs w:val="18"/>
              </w:rPr>
            </w:pPr>
            <w:r>
              <w:rPr>
                <w:sz w:val="18"/>
                <w:szCs w:val="18"/>
              </w:rPr>
              <w:t>88.1</w:t>
            </w:r>
          </w:p>
        </w:tc>
        <w:tc>
          <w:tcPr>
            <w:tcW w:w="1604" w:type="dxa"/>
            <w:hideMark/>
          </w:tcPr>
          <w:p w14:paraId="45FEEE3C" w14:textId="77777777" w:rsidR="00D8753A" w:rsidRDefault="00D8753A">
            <w:pPr>
              <w:pStyle w:val="NormalWeb"/>
              <w:rPr>
                <w:sz w:val="18"/>
                <w:szCs w:val="18"/>
              </w:rPr>
            </w:pPr>
            <w:r>
              <w:rPr>
                <w:sz w:val="18"/>
                <w:szCs w:val="18"/>
              </w:rPr>
              <w:t>90.4</w:t>
            </w:r>
          </w:p>
        </w:tc>
        <w:tc>
          <w:tcPr>
            <w:tcW w:w="1603" w:type="dxa"/>
            <w:hideMark/>
          </w:tcPr>
          <w:p w14:paraId="600654C1" w14:textId="77777777" w:rsidR="00D8753A" w:rsidRDefault="00D8753A">
            <w:pPr>
              <w:pStyle w:val="NormalWeb"/>
              <w:rPr>
                <w:sz w:val="18"/>
                <w:szCs w:val="18"/>
              </w:rPr>
            </w:pPr>
            <w:r>
              <w:rPr>
                <w:sz w:val="18"/>
                <w:szCs w:val="18"/>
              </w:rPr>
              <w:t>85.8</w:t>
            </w:r>
          </w:p>
        </w:tc>
        <w:tc>
          <w:tcPr>
            <w:tcW w:w="1604" w:type="dxa"/>
            <w:hideMark/>
          </w:tcPr>
          <w:p w14:paraId="6DEE4B99" w14:textId="77777777" w:rsidR="00D8753A" w:rsidRDefault="00D8753A">
            <w:pPr>
              <w:pStyle w:val="NormalWeb"/>
              <w:rPr>
                <w:sz w:val="18"/>
                <w:szCs w:val="18"/>
              </w:rPr>
            </w:pPr>
            <w:r>
              <w:rPr>
                <w:sz w:val="18"/>
                <w:szCs w:val="18"/>
              </w:rPr>
              <w:t>92.2</w:t>
            </w:r>
          </w:p>
        </w:tc>
      </w:tr>
      <w:tr w:rsidR="00D8753A" w14:paraId="4D08423B" w14:textId="77777777" w:rsidTr="0091636A">
        <w:tc>
          <w:tcPr>
            <w:tcW w:w="4111" w:type="dxa"/>
            <w:tcBorders>
              <w:top w:val="nil"/>
              <w:left w:val="nil"/>
              <w:bottom w:val="single" w:sz="2" w:space="0" w:color="auto"/>
              <w:right w:val="nil"/>
            </w:tcBorders>
            <w:hideMark/>
          </w:tcPr>
          <w:p w14:paraId="7D9EDB0B" w14:textId="77777777" w:rsidR="00D8753A" w:rsidRDefault="00D8753A">
            <w:pPr>
              <w:pStyle w:val="NormalWeb"/>
              <w:jc w:val="left"/>
              <w:rPr>
                <w:sz w:val="18"/>
                <w:szCs w:val="18"/>
              </w:rPr>
            </w:pPr>
            <w:r>
              <w:rPr>
                <w:sz w:val="18"/>
                <w:szCs w:val="18"/>
              </w:rPr>
              <w:t>North Coast</w:t>
            </w:r>
          </w:p>
        </w:tc>
        <w:tc>
          <w:tcPr>
            <w:tcW w:w="1252" w:type="dxa"/>
            <w:tcBorders>
              <w:top w:val="nil"/>
              <w:left w:val="nil"/>
              <w:bottom w:val="single" w:sz="2" w:space="0" w:color="auto"/>
              <w:right w:val="nil"/>
            </w:tcBorders>
            <w:hideMark/>
          </w:tcPr>
          <w:p w14:paraId="524631D3" w14:textId="77777777" w:rsidR="00D8753A" w:rsidRDefault="00D8753A">
            <w:pPr>
              <w:pStyle w:val="NormalWeb"/>
              <w:rPr>
                <w:sz w:val="18"/>
                <w:szCs w:val="18"/>
              </w:rPr>
            </w:pPr>
            <w:r>
              <w:rPr>
                <w:sz w:val="18"/>
                <w:szCs w:val="18"/>
              </w:rPr>
              <w:t>86.9</w:t>
            </w:r>
          </w:p>
        </w:tc>
        <w:tc>
          <w:tcPr>
            <w:tcW w:w="1603" w:type="dxa"/>
            <w:tcBorders>
              <w:top w:val="nil"/>
              <w:left w:val="nil"/>
              <w:bottom w:val="single" w:sz="2" w:space="0" w:color="auto"/>
              <w:right w:val="nil"/>
            </w:tcBorders>
            <w:hideMark/>
          </w:tcPr>
          <w:p w14:paraId="69F25D2B" w14:textId="77777777" w:rsidR="00D8753A" w:rsidRDefault="00D8753A">
            <w:pPr>
              <w:pStyle w:val="NormalWeb"/>
              <w:rPr>
                <w:sz w:val="18"/>
                <w:szCs w:val="18"/>
              </w:rPr>
            </w:pPr>
            <w:r>
              <w:rPr>
                <w:sz w:val="18"/>
                <w:szCs w:val="18"/>
              </w:rPr>
              <w:t>90.1</w:t>
            </w:r>
          </w:p>
        </w:tc>
        <w:tc>
          <w:tcPr>
            <w:tcW w:w="1604" w:type="dxa"/>
            <w:tcBorders>
              <w:top w:val="nil"/>
              <w:left w:val="nil"/>
              <w:bottom w:val="single" w:sz="2" w:space="0" w:color="auto"/>
              <w:right w:val="nil"/>
            </w:tcBorders>
            <w:hideMark/>
          </w:tcPr>
          <w:p w14:paraId="11ED1B95" w14:textId="77777777" w:rsidR="00D8753A" w:rsidRDefault="00D8753A">
            <w:pPr>
              <w:pStyle w:val="NormalWeb"/>
              <w:rPr>
                <w:sz w:val="18"/>
                <w:szCs w:val="18"/>
              </w:rPr>
            </w:pPr>
            <w:r>
              <w:rPr>
                <w:sz w:val="18"/>
                <w:szCs w:val="18"/>
              </w:rPr>
              <w:t>86.2</w:t>
            </w:r>
          </w:p>
        </w:tc>
        <w:tc>
          <w:tcPr>
            <w:tcW w:w="1603" w:type="dxa"/>
            <w:tcBorders>
              <w:top w:val="nil"/>
              <w:left w:val="nil"/>
              <w:bottom w:val="single" w:sz="2" w:space="0" w:color="auto"/>
              <w:right w:val="nil"/>
            </w:tcBorders>
            <w:hideMark/>
          </w:tcPr>
          <w:p w14:paraId="5047D841" w14:textId="77777777" w:rsidR="00D8753A" w:rsidRDefault="00D8753A">
            <w:pPr>
              <w:pStyle w:val="NormalWeb"/>
              <w:rPr>
                <w:sz w:val="18"/>
                <w:szCs w:val="18"/>
              </w:rPr>
            </w:pPr>
            <w:r>
              <w:rPr>
                <w:sz w:val="18"/>
                <w:szCs w:val="18"/>
              </w:rPr>
              <w:t>84.3</w:t>
            </w:r>
          </w:p>
        </w:tc>
        <w:tc>
          <w:tcPr>
            <w:tcW w:w="1604" w:type="dxa"/>
            <w:tcBorders>
              <w:top w:val="nil"/>
              <w:left w:val="nil"/>
              <w:bottom w:val="single" w:sz="2" w:space="0" w:color="auto"/>
              <w:right w:val="nil"/>
            </w:tcBorders>
            <w:hideMark/>
          </w:tcPr>
          <w:p w14:paraId="6F400722" w14:textId="77777777" w:rsidR="00D8753A" w:rsidRDefault="00D8753A">
            <w:pPr>
              <w:pStyle w:val="NormalWeb"/>
              <w:rPr>
                <w:sz w:val="18"/>
                <w:szCs w:val="18"/>
              </w:rPr>
            </w:pPr>
            <w:r>
              <w:rPr>
                <w:sz w:val="18"/>
                <w:szCs w:val="18"/>
              </w:rPr>
              <w:t>87.8</w:t>
            </w:r>
          </w:p>
        </w:tc>
        <w:tc>
          <w:tcPr>
            <w:tcW w:w="1603" w:type="dxa"/>
            <w:tcBorders>
              <w:top w:val="nil"/>
              <w:left w:val="nil"/>
              <w:bottom w:val="single" w:sz="2" w:space="0" w:color="auto"/>
              <w:right w:val="nil"/>
            </w:tcBorders>
            <w:hideMark/>
          </w:tcPr>
          <w:p w14:paraId="065E952C" w14:textId="77777777" w:rsidR="00D8753A" w:rsidRDefault="00D8753A">
            <w:pPr>
              <w:pStyle w:val="NormalWeb"/>
              <w:rPr>
                <w:sz w:val="18"/>
                <w:szCs w:val="18"/>
              </w:rPr>
            </w:pPr>
            <w:r>
              <w:rPr>
                <w:sz w:val="18"/>
                <w:szCs w:val="18"/>
              </w:rPr>
              <w:t>83.3</w:t>
            </w:r>
          </w:p>
        </w:tc>
        <w:tc>
          <w:tcPr>
            <w:tcW w:w="1604" w:type="dxa"/>
            <w:tcBorders>
              <w:top w:val="nil"/>
              <w:left w:val="nil"/>
              <w:bottom w:val="single" w:sz="2" w:space="0" w:color="auto"/>
              <w:right w:val="nil"/>
            </w:tcBorders>
            <w:hideMark/>
          </w:tcPr>
          <w:p w14:paraId="758D6929" w14:textId="77777777" w:rsidR="00D8753A" w:rsidRDefault="00D8753A">
            <w:pPr>
              <w:pStyle w:val="NormalWeb"/>
              <w:rPr>
                <w:sz w:val="18"/>
                <w:szCs w:val="18"/>
              </w:rPr>
            </w:pPr>
            <w:r>
              <w:rPr>
                <w:sz w:val="18"/>
                <w:szCs w:val="18"/>
              </w:rPr>
              <w:t>91.0</w:t>
            </w:r>
          </w:p>
        </w:tc>
      </w:tr>
    </w:tbl>
    <w:p w14:paraId="50E1A07B" w14:textId="77777777" w:rsidR="00D8753A" w:rsidRDefault="00D8753A" w:rsidP="00D8753A">
      <w:pPr>
        <w:pStyle w:val="CDIfootnotes"/>
        <w:rPr>
          <w:lang w:val="en-GB"/>
        </w:rPr>
      </w:pPr>
      <w:proofErr w:type="spellStart"/>
      <w:r>
        <w:rPr>
          <w:lang w:val="en-GB"/>
        </w:rPr>
        <w:t>a</w:t>
      </w:r>
      <w:proofErr w:type="spellEnd"/>
      <w:r>
        <w:rPr>
          <w:lang w:val="en-GB"/>
        </w:rPr>
        <w:tab/>
      </w:r>
      <w:proofErr w:type="gramStart"/>
      <w:r>
        <w:rPr>
          <w:lang w:val="en-GB"/>
        </w:rPr>
        <w:t>The</w:t>
      </w:r>
      <w:proofErr w:type="gramEnd"/>
      <w:r>
        <w:rPr>
          <w:lang w:val="en-GB"/>
        </w:rPr>
        <w:t xml:space="preserve"> coverage algorithm used for the 9/21/51 month milestones is the same as for the 12/24/60 month milestones, respectively; the algorithm used for 15 months is the same as that for 24 months but excludes doses due at 18 months. For further detail of algorithms, refer to Appendix Table A.2.</w:t>
      </w:r>
    </w:p>
    <w:p w14:paraId="7AD680B9" w14:textId="77777777" w:rsidR="00D8753A" w:rsidRDefault="00D8753A" w:rsidP="00D8753A">
      <w:pPr>
        <w:pStyle w:val="CDIfootnotes"/>
        <w:rPr>
          <w:lang w:val="en-GB"/>
        </w:rPr>
      </w:pPr>
      <w:r>
        <w:rPr>
          <w:lang w:val="en-GB"/>
        </w:rPr>
        <w:t>b</w:t>
      </w:r>
      <w:r>
        <w:rPr>
          <w:lang w:val="en-GB"/>
        </w:rPr>
        <w:tab/>
        <w:t>Data sorted by the ‘&lt; 60 months’ column (highest to lowest).</w:t>
      </w:r>
    </w:p>
    <w:p w14:paraId="12152495" w14:textId="77777777" w:rsidR="00D8753A" w:rsidRDefault="00D8753A" w:rsidP="00D8753A">
      <w:pPr>
        <w:pStyle w:val="CDIfootnotes"/>
        <w:rPr>
          <w:lang w:val="en-GB"/>
        </w:rPr>
      </w:pPr>
      <w:r>
        <w:rPr>
          <w:lang w:val="en-GB"/>
        </w:rPr>
        <w:t>c</w:t>
      </w:r>
      <w:r>
        <w:rPr>
          <w:lang w:val="en-GB"/>
        </w:rPr>
        <w:tab/>
        <w:t>Cohort born 1 January 2019 – 31 December 2019.</w:t>
      </w:r>
    </w:p>
    <w:p w14:paraId="502926D8" w14:textId="77777777" w:rsidR="00D8753A" w:rsidRDefault="00D8753A" w:rsidP="00D8753A">
      <w:pPr>
        <w:pStyle w:val="CDIfootnotes"/>
        <w:rPr>
          <w:lang w:val="en-GB"/>
        </w:rPr>
      </w:pPr>
      <w:r>
        <w:rPr>
          <w:lang w:val="en-GB"/>
        </w:rPr>
        <w:t>d</w:t>
      </w:r>
      <w:r>
        <w:rPr>
          <w:lang w:val="en-GB"/>
        </w:rPr>
        <w:tab/>
        <w:t>Cohort born 1 January 2018 – 31 December 2018.</w:t>
      </w:r>
    </w:p>
    <w:p w14:paraId="5C63B42C" w14:textId="72CB8830" w:rsidR="00D8753A" w:rsidRDefault="00D8753A" w:rsidP="0091636A">
      <w:pPr>
        <w:pStyle w:val="CDIfootnotes"/>
        <w:rPr>
          <w:lang w:val="en-GB"/>
        </w:rPr>
        <w:sectPr w:rsidR="00D8753A">
          <w:footnotePr>
            <w:numFmt w:val="lowerRoman"/>
          </w:footnotePr>
          <w:pgSz w:w="16838" w:h="11906" w:orient="landscape"/>
          <w:pgMar w:top="720" w:right="720" w:bottom="720" w:left="1134" w:header="709" w:footer="284" w:gutter="0"/>
          <w:cols w:space="720"/>
        </w:sectPr>
      </w:pPr>
      <w:r>
        <w:rPr>
          <w:lang w:val="en-GB"/>
        </w:rPr>
        <w:t>e</w:t>
      </w:r>
      <w:r>
        <w:rPr>
          <w:lang w:val="en-GB"/>
        </w:rPr>
        <w:tab/>
        <w:t>Cohort born 1 January 2015– 31 December 2015.</w:t>
      </w:r>
    </w:p>
    <w:p w14:paraId="20B8D91E"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6E6E1C34"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113CDB99" w14:textId="77777777" w:rsidR="000A5F42" w:rsidRPr="000606CC" w:rsidRDefault="000A5F42" w:rsidP="000A5F42">
      <w:pPr>
        <w:pStyle w:val="NoSpacing"/>
        <w:rPr>
          <w:rStyle w:val="URI"/>
          <w:rFonts w:cstheme="minorHAnsi"/>
          <w:sz w:val="20"/>
          <w:szCs w:val="18"/>
        </w:rPr>
      </w:pPr>
    </w:p>
    <w:p w14:paraId="66C134DA" w14:textId="2EDF0FD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w:t>
      </w:r>
      <w:r w:rsidR="002024C9" w:rsidRPr="002024C9">
        <w:rPr>
          <w:rStyle w:val="Strong"/>
          <w:rFonts w:cs="Calibri"/>
          <w:b w:val="0"/>
          <w:bCs w:val="0"/>
          <w:sz w:val="20"/>
          <w:szCs w:val="18"/>
        </w:rPr>
        <w:t>Department of Health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1D1578D9" w14:textId="77777777" w:rsidR="000A5F42" w:rsidRPr="000606CC" w:rsidRDefault="000A5F42" w:rsidP="000A5F42">
      <w:pPr>
        <w:pStyle w:val="NoSpacing"/>
        <w:rPr>
          <w:rStyle w:val="Strong"/>
          <w:rFonts w:cstheme="minorHAnsi"/>
          <w:sz w:val="20"/>
          <w:szCs w:val="18"/>
        </w:rPr>
      </w:pPr>
    </w:p>
    <w:p w14:paraId="5BC9D4A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68EFF0D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57F86B8F"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704330E7"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5CB7F398" w14:textId="77777777" w:rsidR="000A5F42" w:rsidRPr="000606CC" w:rsidRDefault="000A5F42" w:rsidP="000A5F42">
      <w:pPr>
        <w:pStyle w:val="NoSpacing"/>
        <w:rPr>
          <w:rStyle w:val="Strong"/>
          <w:rFonts w:cstheme="minorHAnsi"/>
          <w:sz w:val="20"/>
          <w:szCs w:val="18"/>
        </w:rPr>
      </w:pPr>
    </w:p>
    <w:p w14:paraId="1808FACB" w14:textId="56D24CD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44"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B89F8CB" w14:textId="77777777" w:rsidR="000A5F42" w:rsidRPr="000606CC" w:rsidRDefault="000A5F42" w:rsidP="000A5F42">
      <w:pPr>
        <w:pStyle w:val="NoSpacing"/>
        <w:rPr>
          <w:rStyle w:val="Strong"/>
          <w:rFonts w:cstheme="minorHAnsi"/>
          <w:sz w:val="20"/>
          <w:szCs w:val="18"/>
        </w:rPr>
      </w:pPr>
    </w:p>
    <w:p w14:paraId="671A3C51" w14:textId="1340847B"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 xml:space="preserve">Office of Health Protection and Response, Australian Government </w:t>
      </w:r>
      <w:r w:rsidR="006C5EA5" w:rsidRPr="006C5EA5">
        <w:rPr>
          <w:rFonts w:cstheme="minorHAnsi"/>
          <w:sz w:val="20"/>
          <w:szCs w:val="18"/>
        </w:rPr>
        <w:t>Department of Health and Aged Care</w:t>
      </w:r>
      <w:r w:rsidR="00E54BBD" w:rsidRPr="00E54BBD">
        <w:rPr>
          <w:rFonts w:cstheme="minorHAnsi"/>
          <w:sz w:val="20"/>
          <w:szCs w:val="18"/>
        </w:rPr>
        <w:t>, GPO Box 9848, (MDP 6) CANBERRA ACT 2601</w:t>
      </w:r>
    </w:p>
    <w:p w14:paraId="7488CE95" w14:textId="77777777" w:rsidR="000A5F42" w:rsidRPr="000606CC" w:rsidRDefault="000A5F42" w:rsidP="000A5F42">
      <w:pPr>
        <w:pStyle w:val="NoSpacing"/>
        <w:rPr>
          <w:rStyle w:val="Strong"/>
          <w:rFonts w:cstheme="minorHAnsi"/>
          <w:sz w:val="20"/>
          <w:szCs w:val="18"/>
        </w:rPr>
      </w:pPr>
    </w:p>
    <w:p w14:paraId="3F6A1E31" w14:textId="4C1A0BD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45"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65152593" w14:textId="77777777" w:rsidR="000A5F42" w:rsidRPr="000606CC" w:rsidRDefault="000A5F42" w:rsidP="000A5F42">
      <w:pPr>
        <w:pStyle w:val="NoSpacing"/>
        <w:rPr>
          <w:rStyle w:val="Strong"/>
          <w:rFonts w:cstheme="minorHAnsi"/>
          <w:sz w:val="20"/>
          <w:szCs w:val="18"/>
        </w:rPr>
      </w:pPr>
    </w:p>
    <w:p w14:paraId="774F6831" w14:textId="38D1B8BF"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46"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3C5D204E" w14:textId="70D7A3DE"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47" w:history="1">
        <w:r w:rsidRPr="000606CC">
          <w:rPr>
            <w:rStyle w:val="Hyperlink"/>
            <w:rFonts w:cstheme="minorHAnsi"/>
            <w:sz w:val="20"/>
            <w:szCs w:val="18"/>
          </w:rPr>
          <w:t>cdi.editor@health.gov.au</w:t>
        </w:r>
      </w:hyperlink>
      <w:r w:rsidRPr="000606CC">
        <w:rPr>
          <w:rFonts w:cstheme="minorHAnsi"/>
          <w:sz w:val="20"/>
          <w:szCs w:val="18"/>
        </w:rPr>
        <w:t>.</w:t>
      </w:r>
    </w:p>
    <w:p w14:paraId="5BAD1797" w14:textId="77777777" w:rsidR="000A5F42" w:rsidRPr="000606CC" w:rsidRDefault="000A5F42" w:rsidP="000A5F42">
      <w:pPr>
        <w:pStyle w:val="NoSpacing"/>
        <w:pBdr>
          <w:bottom w:val="single" w:sz="6" w:space="1" w:color="auto"/>
        </w:pBdr>
        <w:rPr>
          <w:rStyle w:val="Strong"/>
          <w:rFonts w:cstheme="minorHAnsi"/>
          <w:sz w:val="12"/>
          <w:szCs w:val="18"/>
        </w:rPr>
      </w:pPr>
    </w:p>
    <w:p w14:paraId="1A6EF218" w14:textId="77777777" w:rsidR="000A5F42" w:rsidRPr="000606CC" w:rsidRDefault="000A5F42" w:rsidP="000A5F42">
      <w:pPr>
        <w:pStyle w:val="NoSpacing"/>
        <w:rPr>
          <w:rFonts w:cstheme="minorHAnsi"/>
          <w:sz w:val="20"/>
          <w:szCs w:val="18"/>
        </w:rPr>
      </w:pPr>
    </w:p>
    <w:p w14:paraId="2D4A4E53"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16AB8432" w14:textId="77777777" w:rsidR="000A5F42" w:rsidRPr="000606CC" w:rsidRDefault="000A5F42" w:rsidP="000A5F42">
      <w:pPr>
        <w:pStyle w:val="NoSpacing"/>
        <w:rPr>
          <w:rFonts w:cstheme="minorHAnsi"/>
          <w:sz w:val="20"/>
          <w:szCs w:val="18"/>
        </w:rPr>
      </w:pPr>
    </w:p>
    <w:p w14:paraId="4CFB34ED"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5C2A3BDE" w14:textId="3076A701"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7C213D">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D36906" w:rsidRPr="00D36906">
        <w:rPr>
          <w:rFonts w:cstheme="minorHAnsi"/>
          <w:sz w:val="20"/>
          <w:szCs w:val="18"/>
        </w:rPr>
        <w:t>Department of Health and Aged Care</w:t>
      </w:r>
    </w:p>
    <w:p w14:paraId="5B479055" w14:textId="1DB62A4E"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48"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379012A" w14:textId="77777777" w:rsidR="000A5F42" w:rsidRPr="000606CC" w:rsidRDefault="000A5F42" w:rsidP="000A5F42">
      <w:pPr>
        <w:pStyle w:val="NoSpacing"/>
        <w:rPr>
          <w:rFonts w:cstheme="minorHAnsi"/>
          <w:sz w:val="20"/>
          <w:szCs w:val="18"/>
        </w:rPr>
      </w:pPr>
    </w:p>
    <w:p w14:paraId="342EA4D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7C778EBE" w14:textId="10E0F643"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49"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11AC14C6" w14:textId="65858D8B"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w:t>
      </w:r>
      <w:r w:rsidR="00CA72A0">
        <w:rPr>
          <w:rFonts w:cstheme="minorHAnsi"/>
          <w:sz w:val="20"/>
          <w:szCs w:val="18"/>
        </w:rPr>
        <w:t xml:space="preserve"> </w:t>
      </w:r>
      <w:r w:rsidR="00CA72A0" w:rsidRPr="006C5EA5">
        <w:rPr>
          <w:rFonts w:cstheme="minorHAnsi"/>
          <w:sz w:val="20"/>
          <w:szCs w:val="18"/>
        </w:rPr>
        <w:t>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11A5AC4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1BCDCF3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19270A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9F7A48F" w14:textId="77777777" w:rsidR="000A5F42" w:rsidRPr="000606CC" w:rsidRDefault="000A5F42" w:rsidP="000A5F42">
      <w:pPr>
        <w:pStyle w:val="NoSpacing"/>
        <w:rPr>
          <w:rStyle w:val="Strong"/>
          <w:rFonts w:cstheme="minorHAnsi"/>
          <w:sz w:val="20"/>
          <w:szCs w:val="18"/>
        </w:rPr>
      </w:pPr>
    </w:p>
    <w:p w14:paraId="1C70D426" w14:textId="7A17A44C"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E91490" w:rsidRPr="00E91490">
        <w:rPr>
          <w:rFonts w:cstheme="minorHAnsi"/>
          <w:sz w:val="20"/>
          <w:szCs w:val="18"/>
        </w:rPr>
        <w:t>Department of Health and Aged Care</w:t>
      </w:r>
      <w:r w:rsidR="00E91490">
        <w:rPr>
          <w:rFonts w:cstheme="minorHAnsi"/>
          <w:sz w:val="20"/>
          <w:szCs w:val="18"/>
        </w:rPr>
        <w:t xml:space="preserve"> </w:t>
      </w:r>
      <w:r w:rsidRPr="000606CC">
        <w:rPr>
          <w:rFonts w:cstheme="minorHAnsi"/>
          <w:sz w:val="20"/>
          <w:szCs w:val="18"/>
        </w:rPr>
        <w:t>or the Communicable Diseases Network Australia. Data may be subject to</w:t>
      </w:r>
      <w:r w:rsidR="00CA72A0">
        <w:rPr>
          <w:rFonts w:cstheme="minorHAnsi"/>
          <w:sz w:val="20"/>
          <w:szCs w:val="18"/>
        </w:rPr>
        <w:t> </w:t>
      </w:r>
      <w:r w:rsidRPr="000606CC">
        <w:rPr>
          <w:rFonts w:cstheme="minorHAnsi"/>
          <w:sz w:val="20"/>
          <w:szCs w:val="18"/>
        </w:rPr>
        <w:t>revision.</w:t>
      </w:r>
    </w:p>
    <w:p w14:paraId="2F87733F" w14:textId="77777777" w:rsidR="000A5F42" w:rsidRPr="000606CC" w:rsidRDefault="000A5F42" w:rsidP="000A5F42">
      <w:pPr>
        <w:pStyle w:val="NoSpacing"/>
        <w:rPr>
          <w:rStyle w:val="Strong"/>
          <w:rFonts w:cstheme="minorHAnsi"/>
          <w:sz w:val="20"/>
          <w:szCs w:val="18"/>
        </w:rPr>
      </w:pPr>
    </w:p>
    <w:p w14:paraId="7A5D0FA0" w14:textId="3D94C2D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E91490" w:rsidRPr="00E91490">
        <w:rPr>
          <w:rFonts w:cstheme="minorHAnsi"/>
          <w:sz w:val="20"/>
          <w:szCs w:val="18"/>
        </w:rPr>
        <w:t>Department of Health and Aged Care</w:t>
      </w:r>
      <w:r w:rsidRPr="000606CC">
        <w:rPr>
          <w:rFonts w:cstheme="minorHAnsi"/>
          <w:sz w:val="20"/>
          <w:szCs w:val="18"/>
        </w:rPr>
        <w:t xml:space="preserve">, GPO Box 9848, Canberra ACT 2601, or via e-mail to: </w:t>
      </w:r>
      <w:hyperlink r:id="rId50"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5F2D61DD" w14:textId="77777777" w:rsidR="000A5F42" w:rsidRPr="000606CC" w:rsidRDefault="000A5F42" w:rsidP="000A5F42">
      <w:pPr>
        <w:pStyle w:val="NoSpacing"/>
        <w:rPr>
          <w:rStyle w:val="URI"/>
          <w:rFonts w:cstheme="minorHAnsi"/>
          <w:sz w:val="20"/>
          <w:szCs w:val="18"/>
        </w:rPr>
      </w:pPr>
    </w:p>
    <w:p w14:paraId="6B10351F" w14:textId="490CE427"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51"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52"/>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85EE3" w14:textId="77777777" w:rsidR="0025691F" w:rsidRDefault="0025691F" w:rsidP="00E54DBA">
      <w:r>
        <w:separator/>
      </w:r>
    </w:p>
    <w:p w14:paraId="20FD1457" w14:textId="77777777" w:rsidR="0025691F" w:rsidRDefault="0025691F"/>
    <w:p w14:paraId="28021A69" w14:textId="77777777" w:rsidR="0025691F" w:rsidRDefault="0025691F" w:rsidP="008714B0"/>
  </w:endnote>
  <w:endnote w:type="continuationSeparator" w:id="0">
    <w:p w14:paraId="0AD6B669" w14:textId="77777777" w:rsidR="0025691F" w:rsidRDefault="0025691F" w:rsidP="00E54DBA">
      <w:r>
        <w:continuationSeparator/>
      </w:r>
    </w:p>
    <w:p w14:paraId="6A208D9E" w14:textId="77777777" w:rsidR="0025691F" w:rsidRDefault="0025691F"/>
    <w:p w14:paraId="7DE5DE6E" w14:textId="77777777" w:rsidR="0025691F" w:rsidRDefault="0025691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21CC3" w14:textId="1C023984" w:rsidR="002E3FA1" w:rsidRPr="002E3FA1" w:rsidRDefault="002E3FA1" w:rsidP="002E3FA1">
    <w:pPr>
      <w:pBdr>
        <w:top w:val="single" w:sz="4" w:space="1" w:color="auto"/>
      </w:pBdr>
      <w:tabs>
        <w:tab w:val="center" w:pos="4513"/>
        <w:tab w:val="right" w:pos="9026"/>
      </w:tabs>
      <w:rPr>
        <w:sz w:val="18"/>
      </w:rPr>
    </w:pPr>
    <w:r w:rsidRPr="002E3FA1">
      <w:rPr>
        <w:sz w:val="18"/>
      </w:rPr>
      <w:fldChar w:fldCharType="begin"/>
    </w:r>
    <w:r w:rsidRPr="002E3FA1">
      <w:rPr>
        <w:sz w:val="18"/>
      </w:rPr>
      <w:instrText xml:space="preserve"> PAGE   \* MERGEFORMAT </w:instrText>
    </w:r>
    <w:r w:rsidRPr="002E3FA1">
      <w:rPr>
        <w:sz w:val="18"/>
      </w:rPr>
      <w:fldChar w:fldCharType="separate"/>
    </w:r>
    <w:r w:rsidRPr="002E3FA1">
      <w:rPr>
        <w:sz w:val="18"/>
      </w:rPr>
      <w:t>1</w:t>
    </w:r>
    <w:r w:rsidRPr="002E3FA1">
      <w:rPr>
        <w:noProof/>
        <w:sz w:val="18"/>
      </w:rPr>
      <w:fldChar w:fldCharType="end"/>
    </w:r>
    <w:r w:rsidRPr="002E3FA1">
      <w:rPr>
        <w:noProof/>
        <w:sz w:val="18"/>
      </w:rPr>
      <w:t xml:space="preserve"> of </w:t>
    </w:r>
    <w:r w:rsidRPr="002E3FA1">
      <w:rPr>
        <w:noProof/>
        <w:sz w:val="18"/>
      </w:rPr>
      <w:fldChar w:fldCharType="begin"/>
    </w:r>
    <w:r w:rsidRPr="002E3FA1">
      <w:rPr>
        <w:noProof/>
        <w:sz w:val="18"/>
      </w:rPr>
      <w:instrText xml:space="preserve"> NUMPAGES \* MERGEFORMAT </w:instrText>
    </w:r>
    <w:r w:rsidRPr="002E3FA1">
      <w:rPr>
        <w:noProof/>
        <w:sz w:val="18"/>
      </w:rPr>
      <w:fldChar w:fldCharType="separate"/>
    </w:r>
    <w:r w:rsidRPr="002E3FA1">
      <w:rPr>
        <w:noProof/>
        <w:sz w:val="18"/>
      </w:rPr>
      <w:t>22</w:t>
    </w:r>
    <w:r w:rsidRPr="002E3FA1">
      <w:rPr>
        <w:noProof/>
        <w:sz w:val="18"/>
      </w:rPr>
      <w:fldChar w:fldCharType="end"/>
    </w:r>
    <w:r w:rsidRPr="002E3FA1">
      <w:rPr>
        <w:noProof/>
        <w:sz w:val="18"/>
      </w:rPr>
      <w:t xml:space="preserve"> </w:t>
    </w:r>
    <w:r w:rsidRPr="002E3FA1">
      <w:rPr>
        <w:noProof/>
        <w:sz w:val="18"/>
      </w:rPr>
      <w:ptab w:relativeTo="margin" w:alignment="center" w:leader="none"/>
    </w:r>
    <w:r w:rsidRPr="002E3FA1">
      <w:rPr>
        <w:sz w:val="18"/>
      </w:rPr>
      <w:t xml:space="preserve"> </w:t>
    </w:r>
    <w:proofErr w:type="spellStart"/>
    <w:r w:rsidRPr="002E3FA1">
      <w:rPr>
        <w:i/>
        <w:sz w:val="18"/>
      </w:rPr>
      <w:t>Commun</w:t>
    </w:r>
    <w:proofErr w:type="spellEnd"/>
    <w:r w:rsidRPr="002E3FA1">
      <w:rPr>
        <w:i/>
        <w:sz w:val="18"/>
      </w:rPr>
      <w:t xml:space="preserve"> Dis </w:t>
    </w:r>
    <w:proofErr w:type="spellStart"/>
    <w:r w:rsidRPr="002E3FA1">
      <w:rPr>
        <w:i/>
        <w:sz w:val="18"/>
      </w:rPr>
      <w:t>Intell</w:t>
    </w:r>
    <w:proofErr w:type="spellEnd"/>
    <w:r w:rsidRPr="002E3FA1">
      <w:rPr>
        <w:i/>
        <w:sz w:val="18"/>
      </w:rPr>
      <w:t xml:space="preserve"> (2018)</w:t>
    </w:r>
    <w:r w:rsidRPr="002E3FA1">
      <w:rPr>
        <w:sz w:val="18"/>
      </w:rPr>
      <w:t xml:space="preserve"> </w:t>
    </w:r>
    <w:r w:rsidRPr="002E3FA1">
      <w:rPr>
        <w:sz w:val="18"/>
      </w:rPr>
      <w:fldChar w:fldCharType="begin"/>
    </w:r>
    <w:r w:rsidRPr="002E3FA1">
      <w:rPr>
        <w:sz w:val="18"/>
      </w:rPr>
      <w:instrText xml:space="preserve"> DOCPROPERTY  Year  \* MERGEFORMAT </w:instrText>
    </w:r>
    <w:r w:rsidRPr="002E3FA1">
      <w:rPr>
        <w:sz w:val="18"/>
      </w:rPr>
      <w:fldChar w:fldCharType="separate"/>
    </w:r>
    <w:r w:rsidRPr="002E3FA1">
      <w:rPr>
        <w:sz w:val="18"/>
      </w:rPr>
      <w:t>2022</w:t>
    </w:r>
    <w:r w:rsidRPr="002E3FA1">
      <w:rPr>
        <w:sz w:val="18"/>
      </w:rPr>
      <w:fldChar w:fldCharType="end"/>
    </w:r>
    <w:r w:rsidRPr="002E3FA1">
      <w:rPr>
        <w:sz w:val="18"/>
      </w:rPr>
      <w:t xml:space="preserve"> </w:t>
    </w:r>
    <w:r w:rsidRPr="002E3FA1">
      <w:rPr>
        <w:sz w:val="18"/>
      </w:rPr>
      <w:fldChar w:fldCharType="begin"/>
    </w:r>
    <w:r w:rsidRPr="002E3FA1">
      <w:rPr>
        <w:sz w:val="18"/>
      </w:rPr>
      <w:instrText xml:space="preserve"> DOCPROPERTY  Vol  \* MERGEFORMAT </w:instrText>
    </w:r>
    <w:r w:rsidRPr="002E3FA1">
      <w:rPr>
        <w:sz w:val="18"/>
      </w:rPr>
      <w:fldChar w:fldCharType="separate"/>
    </w:r>
    <w:r w:rsidRPr="002E3FA1">
      <w:rPr>
        <w:sz w:val="18"/>
      </w:rPr>
      <w:t>46</w:t>
    </w:r>
    <w:r w:rsidRPr="002E3FA1">
      <w:rPr>
        <w:sz w:val="18"/>
      </w:rPr>
      <w:fldChar w:fldCharType="end"/>
    </w:r>
    <w:r w:rsidRPr="002E3FA1">
      <w:rPr>
        <w:sz w:val="18"/>
      </w:rPr>
      <w:t xml:space="preserve"> </w:t>
    </w:r>
    <w:r w:rsidRPr="002E3FA1">
      <w:rPr>
        <w:sz w:val="18"/>
      </w:rPr>
      <w:fldChar w:fldCharType="begin"/>
    </w:r>
    <w:r w:rsidRPr="002E3FA1">
      <w:rPr>
        <w:sz w:val="18"/>
      </w:rPr>
      <w:instrText xml:space="preserve"> DOCPROPERTY  DOI  \* MERGEFORMAT </w:instrText>
    </w:r>
    <w:r w:rsidRPr="002E3FA1">
      <w:rPr>
        <w:sz w:val="18"/>
      </w:rPr>
      <w:fldChar w:fldCharType="separate"/>
    </w:r>
    <w:r w:rsidR="008D14BF">
      <w:rPr>
        <w:sz w:val="18"/>
      </w:rPr>
      <w:t>https://doi.org/10.33321/cdi.2022.46.60</w:t>
    </w:r>
    <w:r w:rsidRPr="002E3FA1">
      <w:rPr>
        <w:sz w:val="18"/>
      </w:rPr>
      <w:fldChar w:fldCharType="end"/>
    </w:r>
    <w:r w:rsidRPr="002E3FA1">
      <w:rPr>
        <w:sz w:val="18"/>
      </w:rPr>
      <w:t xml:space="preserve"> </w:t>
    </w:r>
    <w:proofErr w:type="spellStart"/>
    <w:r w:rsidRPr="002E3FA1">
      <w:rPr>
        <w:sz w:val="18"/>
      </w:rPr>
      <w:t>Epub</w:t>
    </w:r>
    <w:proofErr w:type="spellEnd"/>
    <w:r w:rsidRPr="002E3FA1">
      <w:rPr>
        <w:sz w:val="18"/>
      </w:rPr>
      <w:t xml:space="preserve"> </w:t>
    </w:r>
    <w:r w:rsidRPr="002E3FA1">
      <w:rPr>
        <w:sz w:val="18"/>
      </w:rPr>
      <w:fldChar w:fldCharType="begin"/>
    </w:r>
    <w:r w:rsidRPr="002E3FA1">
      <w:rPr>
        <w:sz w:val="18"/>
      </w:rPr>
      <w:instrText xml:space="preserve"> DOCPROPERTY  ePubDate  \* MERGEFORMAT </w:instrText>
    </w:r>
    <w:r w:rsidRPr="002E3FA1">
      <w:rPr>
        <w:sz w:val="18"/>
      </w:rPr>
      <w:fldChar w:fldCharType="separate"/>
    </w:r>
    <w:r w:rsidR="008D14BF">
      <w:rPr>
        <w:sz w:val="18"/>
      </w:rPr>
      <w:t>26/09/2022</w:t>
    </w:r>
    <w:r w:rsidRPr="002E3FA1">
      <w:rPr>
        <w:sz w:val="18"/>
      </w:rPr>
      <w:fldChar w:fldCharType="end"/>
    </w:r>
    <w:r w:rsidRPr="002E3FA1">
      <w:rPr>
        <w:sz w:val="18"/>
      </w:rPr>
      <w:ptab w:relativeTo="margin" w:alignment="right" w:leader="none"/>
    </w:r>
    <w:r w:rsidRPr="002E3FA1">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504F7" w14:textId="77777777" w:rsidR="0025691F" w:rsidRPr="00B91FB5" w:rsidRDefault="0025691F" w:rsidP="00B91FB5">
      <w:pPr>
        <w:spacing w:after="0" w:line="240" w:lineRule="auto"/>
        <w:rPr>
          <w:sz w:val="18"/>
          <w:szCs w:val="18"/>
        </w:rPr>
      </w:pPr>
      <w:r w:rsidRPr="00B91FB5">
        <w:rPr>
          <w:sz w:val="18"/>
          <w:szCs w:val="18"/>
        </w:rPr>
        <w:separator/>
      </w:r>
    </w:p>
  </w:footnote>
  <w:footnote w:type="continuationSeparator" w:id="0">
    <w:p w14:paraId="24B9440A" w14:textId="77777777" w:rsidR="0025691F" w:rsidRDefault="0025691F" w:rsidP="00E54DBA">
      <w:r>
        <w:continuationSeparator/>
      </w:r>
    </w:p>
  </w:footnote>
  <w:footnote w:type="continuationNotice" w:id="1">
    <w:p w14:paraId="6375EED8" w14:textId="77777777" w:rsidR="0025691F" w:rsidRPr="00224EFF" w:rsidRDefault="0025691F" w:rsidP="00224EFF">
      <w:pPr>
        <w:pStyle w:val="Footer"/>
      </w:pPr>
    </w:p>
  </w:footnote>
  <w:footnote w:id="2">
    <w:p w14:paraId="7406D414" w14:textId="614623E9" w:rsidR="0025691F" w:rsidRDefault="0025691F" w:rsidP="0025691F">
      <w:pPr>
        <w:pStyle w:val="FootnoteText"/>
      </w:pPr>
      <w:r>
        <w:rPr>
          <w:rStyle w:val="FootnoteReference"/>
        </w:rPr>
        <w:footnoteRef/>
      </w:r>
      <w:r>
        <w:t xml:space="preserve"> NB: coverage estimates in this report may differ slightly from estimates published elsewhere that are calculated using rolling annualised quarterly coverage data.</w:t>
      </w:r>
    </w:p>
  </w:footnote>
  <w:footnote w:id="3">
    <w:p w14:paraId="5C457E7F" w14:textId="1305CFCD" w:rsidR="0025691F" w:rsidRDefault="0025691F">
      <w:pPr>
        <w:pStyle w:val="FootnoteText"/>
      </w:pPr>
      <w:r>
        <w:rPr>
          <w:rStyle w:val="FootnoteReference"/>
        </w:rPr>
        <w:footnoteRef/>
      </w:r>
      <w:r>
        <w:t xml:space="preserve"> </w:t>
      </w:r>
      <w:r w:rsidRPr="0025691F">
        <w:t>NB: coverage estimates in this report may differ slightly from estimates published elsewhere that are calculated using rolling annualised quarterly coverage data.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9E65F" w14:textId="77777777" w:rsidR="0025691F" w:rsidRPr="000A5F42" w:rsidRDefault="0025691F" w:rsidP="000A5F42">
    <w:pPr>
      <w:pStyle w:val="Header"/>
      <w:jc w:val="center"/>
      <w:rPr>
        <w:b/>
      </w:rPr>
    </w:pPr>
    <w:r w:rsidRPr="00E810C5">
      <w:rPr>
        <w:rFonts w:cs="Myriad Pro"/>
        <w:noProof/>
        <w:color w:val="211D1E"/>
        <w:sz w:val="16"/>
      </w:rPr>
      <w:drawing>
        <wp:inline distT="0" distB="0" distL="0" distR="0" wp14:anchorId="485EC84D" wp14:editId="593BB040">
          <wp:extent cx="2304288" cy="693021"/>
          <wp:effectExtent l="0" t="0" r="1270" b="0"/>
          <wp:docPr id="1" name="Picture 1" descr="Australian Government - Department of Health and Aged Ca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10;"/>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320217" cy="69781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ADE202E"/>
    <w:multiLevelType w:val="hybridMultilevel"/>
    <w:tmpl w:val="02A84A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37216B9"/>
    <w:multiLevelType w:val="multilevel"/>
    <w:tmpl w:val="E9D2C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C947F3"/>
    <w:multiLevelType w:val="hybridMultilevel"/>
    <w:tmpl w:val="02A84A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DAF7783"/>
    <w:multiLevelType w:val="multilevel"/>
    <w:tmpl w:val="4350B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4"/>
  </w:num>
  <w:num w:numId="4">
    <w:abstractNumId w:val="0"/>
  </w:num>
  <w:num w:numId="5">
    <w:abstractNumId w:val="7"/>
  </w:num>
  <w:num w:numId="6">
    <w:abstractNumId w:val="8"/>
  </w:num>
  <w:num w:numId="7">
    <w:abstractNumId w:val="9"/>
  </w:num>
  <w:num w:numId="8">
    <w:abstractNumId w:val="5"/>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noPunctuationKerning/>
  <w:characterSpacingControl w:val="doNotCompress"/>
  <w:hdrShapeDefaults>
    <o:shapedefaults v:ext="edit" spidmax="16385"/>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13D"/>
    <w:rsid w:val="00000B5B"/>
    <w:rsid w:val="00001611"/>
    <w:rsid w:val="000104A8"/>
    <w:rsid w:val="0001246E"/>
    <w:rsid w:val="000124B1"/>
    <w:rsid w:val="00016FE6"/>
    <w:rsid w:val="00031064"/>
    <w:rsid w:val="00031692"/>
    <w:rsid w:val="00032531"/>
    <w:rsid w:val="000325A0"/>
    <w:rsid w:val="00033E0B"/>
    <w:rsid w:val="000471BF"/>
    <w:rsid w:val="00047B68"/>
    <w:rsid w:val="00052600"/>
    <w:rsid w:val="0005643C"/>
    <w:rsid w:val="0006264A"/>
    <w:rsid w:val="00073D77"/>
    <w:rsid w:val="00081655"/>
    <w:rsid w:val="000828C2"/>
    <w:rsid w:val="0008493D"/>
    <w:rsid w:val="000864E0"/>
    <w:rsid w:val="000969B3"/>
    <w:rsid w:val="000A5F42"/>
    <w:rsid w:val="000D4B4D"/>
    <w:rsid w:val="00113D58"/>
    <w:rsid w:val="001200CB"/>
    <w:rsid w:val="001378A3"/>
    <w:rsid w:val="00155582"/>
    <w:rsid w:val="00160856"/>
    <w:rsid w:val="00161590"/>
    <w:rsid w:val="00170A79"/>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E4E1D"/>
    <w:rsid w:val="002024C9"/>
    <w:rsid w:val="002129A3"/>
    <w:rsid w:val="00224EFF"/>
    <w:rsid w:val="002276DC"/>
    <w:rsid w:val="00227E00"/>
    <w:rsid w:val="0023066D"/>
    <w:rsid w:val="002307CB"/>
    <w:rsid w:val="00231046"/>
    <w:rsid w:val="00234F21"/>
    <w:rsid w:val="002402D3"/>
    <w:rsid w:val="00242659"/>
    <w:rsid w:val="002428F7"/>
    <w:rsid w:val="0024315F"/>
    <w:rsid w:val="0024631C"/>
    <w:rsid w:val="00252C9A"/>
    <w:rsid w:val="00256309"/>
    <w:rsid w:val="0025691F"/>
    <w:rsid w:val="00257484"/>
    <w:rsid w:val="00260636"/>
    <w:rsid w:val="00275C78"/>
    <w:rsid w:val="00280594"/>
    <w:rsid w:val="00281DD5"/>
    <w:rsid w:val="00281EE3"/>
    <w:rsid w:val="00284E4A"/>
    <w:rsid w:val="002859BE"/>
    <w:rsid w:val="002A3799"/>
    <w:rsid w:val="002A3BCC"/>
    <w:rsid w:val="002A4516"/>
    <w:rsid w:val="002A569F"/>
    <w:rsid w:val="002A7066"/>
    <w:rsid w:val="002B001E"/>
    <w:rsid w:val="002B09B7"/>
    <w:rsid w:val="002B4EF6"/>
    <w:rsid w:val="002B75A9"/>
    <w:rsid w:val="002C21B0"/>
    <w:rsid w:val="002E2FB3"/>
    <w:rsid w:val="002E3FA1"/>
    <w:rsid w:val="002F327B"/>
    <w:rsid w:val="00301626"/>
    <w:rsid w:val="003059EC"/>
    <w:rsid w:val="00316CCD"/>
    <w:rsid w:val="00324F7E"/>
    <w:rsid w:val="003323BC"/>
    <w:rsid w:val="00346D42"/>
    <w:rsid w:val="00346E11"/>
    <w:rsid w:val="003601C0"/>
    <w:rsid w:val="00361C5B"/>
    <w:rsid w:val="003635F5"/>
    <w:rsid w:val="00372A88"/>
    <w:rsid w:val="00374631"/>
    <w:rsid w:val="00381A0F"/>
    <w:rsid w:val="003A1B3A"/>
    <w:rsid w:val="003A40F5"/>
    <w:rsid w:val="003B5B8C"/>
    <w:rsid w:val="003D590A"/>
    <w:rsid w:val="003D79B1"/>
    <w:rsid w:val="003E74EE"/>
    <w:rsid w:val="003F0552"/>
    <w:rsid w:val="003F3BC2"/>
    <w:rsid w:val="003F725B"/>
    <w:rsid w:val="00401ED1"/>
    <w:rsid w:val="0040224C"/>
    <w:rsid w:val="00413EE1"/>
    <w:rsid w:val="004164BB"/>
    <w:rsid w:val="00417819"/>
    <w:rsid w:val="0042000E"/>
    <w:rsid w:val="00421ECE"/>
    <w:rsid w:val="00422FEB"/>
    <w:rsid w:val="0042435E"/>
    <w:rsid w:val="004303AF"/>
    <w:rsid w:val="004315F5"/>
    <w:rsid w:val="00432DA0"/>
    <w:rsid w:val="00433456"/>
    <w:rsid w:val="00433DFA"/>
    <w:rsid w:val="00435D67"/>
    <w:rsid w:val="00443187"/>
    <w:rsid w:val="00445B06"/>
    <w:rsid w:val="00460E30"/>
    <w:rsid w:val="00464A58"/>
    <w:rsid w:val="00473D2D"/>
    <w:rsid w:val="004916CB"/>
    <w:rsid w:val="004A2125"/>
    <w:rsid w:val="004A38F6"/>
    <w:rsid w:val="004B4EB6"/>
    <w:rsid w:val="004C083C"/>
    <w:rsid w:val="004C67C6"/>
    <w:rsid w:val="004D29DE"/>
    <w:rsid w:val="00510EAC"/>
    <w:rsid w:val="00513CBB"/>
    <w:rsid w:val="00542A57"/>
    <w:rsid w:val="00544D29"/>
    <w:rsid w:val="00565974"/>
    <w:rsid w:val="00571B1F"/>
    <w:rsid w:val="005732C0"/>
    <w:rsid w:val="0057336D"/>
    <w:rsid w:val="0057489A"/>
    <w:rsid w:val="00574ACF"/>
    <w:rsid w:val="00581588"/>
    <w:rsid w:val="0058540B"/>
    <w:rsid w:val="00587C87"/>
    <w:rsid w:val="00590B80"/>
    <w:rsid w:val="005B02CB"/>
    <w:rsid w:val="005B3134"/>
    <w:rsid w:val="005B4E61"/>
    <w:rsid w:val="005B595A"/>
    <w:rsid w:val="005B66C2"/>
    <w:rsid w:val="005C18ED"/>
    <w:rsid w:val="005C66A6"/>
    <w:rsid w:val="005D2465"/>
    <w:rsid w:val="005E33DD"/>
    <w:rsid w:val="005E4229"/>
    <w:rsid w:val="005E5181"/>
    <w:rsid w:val="005E540E"/>
    <w:rsid w:val="005E55FB"/>
    <w:rsid w:val="005E753F"/>
    <w:rsid w:val="005F16BB"/>
    <w:rsid w:val="00607115"/>
    <w:rsid w:val="00620768"/>
    <w:rsid w:val="006210E9"/>
    <w:rsid w:val="0062594B"/>
    <w:rsid w:val="00631406"/>
    <w:rsid w:val="006324FF"/>
    <w:rsid w:val="006351D6"/>
    <w:rsid w:val="00636E0D"/>
    <w:rsid w:val="0064142F"/>
    <w:rsid w:val="00643CB4"/>
    <w:rsid w:val="00656427"/>
    <w:rsid w:val="00660255"/>
    <w:rsid w:val="00663EA5"/>
    <w:rsid w:val="006971F3"/>
    <w:rsid w:val="006A3FFE"/>
    <w:rsid w:val="006C5EA5"/>
    <w:rsid w:val="006C74A3"/>
    <w:rsid w:val="006D1381"/>
    <w:rsid w:val="006D31BC"/>
    <w:rsid w:val="006E7943"/>
    <w:rsid w:val="006F24EA"/>
    <w:rsid w:val="00702B5E"/>
    <w:rsid w:val="00704CA9"/>
    <w:rsid w:val="0071048D"/>
    <w:rsid w:val="00710F86"/>
    <w:rsid w:val="007111A8"/>
    <w:rsid w:val="00731BC3"/>
    <w:rsid w:val="00741192"/>
    <w:rsid w:val="00743A33"/>
    <w:rsid w:val="00746080"/>
    <w:rsid w:val="0075144A"/>
    <w:rsid w:val="00767AAB"/>
    <w:rsid w:val="00786329"/>
    <w:rsid w:val="00792C7D"/>
    <w:rsid w:val="00794A4D"/>
    <w:rsid w:val="007A5234"/>
    <w:rsid w:val="007B7854"/>
    <w:rsid w:val="007C213D"/>
    <w:rsid w:val="007C56A1"/>
    <w:rsid w:val="007C6454"/>
    <w:rsid w:val="007E01E0"/>
    <w:rsid w:val="007E5CA0"/>
    <w:rsid w:val="007F0B93"/>
    <w:rsid w:val="007F2ECA"/>
    <w:rsid w:val="00811708"/>
    <w:rsid w:val="00816B90"/>
    <w:rsid w:val="00817799"/>
    <w:rsid w:val="00822F5F"/>
    <w:rsid w:val="00824FD3"/>
    <w:rsid w:val="00826589"/>
    <w:rsid w:val="00834BCC"/>
    <w:rsid w:val="00850D54"/>
    <w:rsid w:val="00852E2B"/>
    <w:rsid w:val="00870AA2"/>
    <w:rsid w:val="008714B0"/>
    <w:rsid w:val="00876331"/>
    <w:rsid w:val="00880726"/>
    <w:rsid w:val="00892B3C"/>
    <w:rsid w:val="008A3544"/>
    <w:rsid w:val="008B48B8"/>
    <w:rsid w:val="008B5348"/>
    <w:rsid w:val="008B58F8"/>
    <w:rsid w:val="008C0712"/>
    <w:rsid w:val="008C0A6D"/>
    <w:rsid w:val="008C4520"/>
    <w:rsid w:val="008C5F09"/>
    <w:rsid w:val="008D14BF"/>
    <w:rsid w:val="008D470F"/>
    <w:rsid w:val="008E1F8F"/>
    <w:rsid w:val="008E4768"/>
    <w:rsid w:val="008E761E"/>
    <w:rsid w:val="008F77B3"/>
    <w:rsid w:val="008F7918"/>
    <w:rsid w:val="009008F5"/>
    <w:rsid w:val="009045FE"/>
    <w:rsid w:val="00904CC1"/>
    <w:rsid w:val="009066AF"/>
    <w:rsid w:val="00912050"/>
    <w:rsid w:val="00912E48"/>
    <w:rsid w:val="0091636A"/>
    <w:rsid w:val="0092746F"/>
    <w:rsid w:val="00935DC9"/>
    <w:rsid w:val="009446C0"/>
    <w:rsid w:val="0096082E"/>
    <w:rsid w:val="00961347"/>
    <w:rsid w:val="00962C17"/>
    <w:rsid w:val="00967410"/>
    <w:rsid w:val="00967D73"/>
    <w:rsid w:val="0098119A"/>
    <w:rsid w:val="00984AAF"/>
    <w:rsid w:val="00991B09"/>
    <w:rsid w:val="00993CB2"/>
    <w:rsid w:val="009A491D"/>
    <w:rsid w:val="009A5166"/>
    <w:rsid w:val="009A76F8"/>
    <w:rsid w:val="009B2B83"/>
    <w:rsid w:val="009B3B71"/>
    <w:rsid w:val="009C49F8"/>
    <w:rsid w:val="009D4450"/>
    <w:rsid w:val="009D77CC"/>
    <w:rsid w:val="009E2423"/>
    <w:rsid w:val="009E55D7"/>
    <w:rsid w:val="009F4150"/>
    <w:rsid w:val="009F5665"/>
    <w:rsid w:val="009F5DAD"/>
    <w:rsid w:val="00A01BCA"/>
    <w:rsid w:val="00A10458"/>
    <w:rsid w:val="00A1168D"/>
    <w:rsid w:val="00A153B6"/>
    <w:rsid w:val="00A164D5"/>
    <w:rsid w:val="00A273C3"/>
    <w:rsid w:val="00A30BDA"/>
    <w:rsid w:val="00A30C37"/>
    <w:rsid w:val="00A345A9"/>
    <w:rsid w:val="00A36C65"/>
    <w:rsid w:val="00A41BBE"/>
    <w:rsid w:val="00A443E3"/>
    <w:rsid w:val="00A45BDD"/>
    <w:rsid w:val="00A46A0A"/>
    <w:rsid w:val="00A553F8"/>
    <w:rsid w:val="00A6708F"/>
    <w:rsid w:val="00A71BF6"/>
    <w:rsid w:val="00A72AF9"/>
    <w:rsid w:val="00A75D3B"/>
    <w:rsid w:val="00A86F9A"/>
    <w:rsid w:val="00AA35E6"/>
    <w:rsid w:val="00AA50B6"/>
    <w:rsid w:val="00AB3470"/>
    <w:rsid w:val="00AB3472"/>
    <w:rsid w:val="00AC21F1"/>
    <w:rsid w:val="00AD0762"/>
    <w:rsid w:val="00AE3DCF"/>
    <w:rsid w:val="00AE4452"/>
    <w:rsid w:val="00AE7C38"/>
    <w:rsid w:val="00B01F99"/>
    <w:rsid w:val="00B02B37"/>
    <w:rsid w:val="00B05276"/>
    <w:rsid w:val="00B12747"/>
    <w:rsid w:val="00B132DB"/>
    <w:rsid w:val="00B31427"/>
    <w:rsid w:val="00B33861"/>
    <w:rsid w:val="00B3649A"/>
    <w:rsid w:val="00B40DE2"/>
    <w:rsid w:val="00B50210"/>
    <w:rsid w:val="00B53955"/>
    <w:rsid w:val="00B6408A"/>
    <w:rsid w:val="00B6478A"/>
    <w:rsid w:val="00B714B8"/>
    <w:rsid w:val="00B82C2C"/>
    <w:rsid w:val="00B8720B"/>
    <w:rsid w:val="00B876EF"/>
    <w:rsid w:val="00B91FB5"/>
    <w:rsid w:val="00BA4697"/>
    <w:rsid w:val="00BB5378"/>
    <w:rsid w:val="00BC0BD3"/>
    <w:rsid w:val="00BD0107"/>
    <w:rsid w:val="00BE0C33"/>
    <w:rsid w:val="00BE262C"/>
    <w:rsid w:val="00BE4C25"/>
    <w:rsid w:val="00BE6C3D"/>
    <w:rsid w:val="00BF7B67"/>
    <w:rsid w:val="00C00311"/>
    <w:rsid w:val="00C07606"/>
    <w:rsid w:val="00C12542"/>
    <w:rsid w:val="00C130EE"/>
    <w:rsid w:val="00C24725"/>
    <w:rsid w:val="00C30BA9"/>
    <w:rsid w:val="00C3541E"/>
    <w:rsid w:val="00C36A8F"/>
    <w:rsid w:val="00C42834"/>
    <w:rsid w:val="00C42FFA"/>
    <w:rsid w:val="00C433DB"/>
    <w:rsid w:val="00C507D8"/>
    <w:rsid w:val="00C51F5A"/>
    <w:rsid w:val="00C576CF"/>
    <w:rsid w:val="00C62EAC"/>
    <w:rsid w:val="00C63F9F"/>
    <w:rsid w:val="00C7723C"/>
    <w:rsid w:val="00C838F5"/>
    <w:rsid w:val="00C841C0"/>
    <w:rsid w:val="00C8503B"/>
    <w:rsid w:val="00CA1AF4"/>
    <w:rsid w:val="00CA6068"/>
    <w:rsid w:val="00CA72A0"/>
    <w:rsid w:val="00CB15E1"/>
    <w:rsid w:val="00CB3D46"/>
    <w:rsid w:val="00CD1A87"/>
    <w:rsid w:val="00CD35F3"/>
    <w:rsid w:val="00CD3CEE"/>
    <w:rsid w:val="00CD5C93"/>
    <w:rsid w:val="00CE342B"/>
    <w:rsid w:val="00CF320C"/>
    <w:rsid w:val="00CF3A4B"/>
    <w:rsid w:val="00CF4001"/>
    <w:rsid w:val="00D00198"/>
    <w:rsid w:val="00D05837"/>
    <w:rsid w:val="00D12D8A"/>
    <w:rsid w:val="00D13E0C"/>
    <w:rsid w:val="00D20EA5"/>
    <w:rsid w:val="00D25896"/>
    <w:rsid w:val="00D36906"/>
    <w:rsid w:val="00D373A1"/>
    <w:rsid w:val="00D37C0F"/>
    <w:rsid w:val="00D4059C"/>
    <w:rsid w:val="00D45661"/>
    <w:rsid w:val="00D45943"/>
    <w:rsid w:val="00D47D22"/>
    <w:rsid w:val="00D51865"/>
    <w:rsid w:val="00D51D0C"/>
    <w:rsid w:val="00D553FC"/>
    <w:rsid w:val="00D74140"/>
    <w:rsid w:val="00D8753A"/>
    <w:rsid w:val="00DA6E56"/>
    <w:rsid w:val="00DB1C65"/>
    <w:rsid w:val="00DB33D8"/>
    <w:rsid w:val="00DC24E5"/>
    <w:rsid w:val="00DC6705"/>
    <w:rsid w:val="00DD2DE8"/>
    <w:rsid w:val="00DE38B4"/>
    <w:rsid w:val="00DE5729"/>
    <w:rsid w:val="00DE5D02"/>
    <w:rsid w:val="00DF0A34"/>
    <w:rsid w:val="00DF2102"/>
    <w:rsid w:val="00DF5A44"/>
    <w:rsid w:val="00E005A9"/>
    <w:rsid w:val="00E065BA"/>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1490"/>
    <w:rsid w:val="00E92237"/>
    <w:rsid w:val="00E94CB6"/>
    <w:rsid w:val="00E951EF"/>
    <w:rsid w:val="00EA3D54"/>
    <w:rsid w:val="00EA4138"/>
    <w:rsid w:val="00EA56D9"/>
    <w:rsid w:val="00EA5CE3"/>
    <w:rsid w:val="00EB51C1"/>
    <w:rsid w:val="00EB5AE1"/>
    <w:rsid w:val="00EB5E0B"/>
    <w:rsid w:val="00EC2171"/>
    <w:rsid w:val="00ED442D"/>
    <w:rsid w:val="00ED70C2"/>
    <w:rsid w:val="00EE18FF"/>
    <w:rsid w:val="00EE489F"/>
    <w:rsid w:val="00F0647F"/>
    <w:rsid w:val="00F10CE3"/>
    <w:rsid w:val="00F12006"/>
    <w:rsid w:val="00F13443"/>
    <w:rsid w:val="00F14F3B"/>
    <w:rsid w:val="00F16362"/>
    <w:rsid w:val="00F207C7"/>
    <w:rsid w:val="00F36B6D"/>
    <w:rsid w:val="00F43FA3"/>
    <w:rsid w:val="00F55648"/>
    <w:rsid w:val="00F62296"/>
    <w:rsid w:val="00F70046"/>
    <w:rsid w:val="00F748C2"/>
    <w:rsid w:val="00F74958"/>
    <w:rsid w:val="00F76C5C"/>
    <w:rsid w:val="00F81EF3"/>
    <w:rsid w:val="00F84496"/>
    <w:rsid w:val="00F85DCB"/>
    <w:rsid w:val="00F86F9C"/>
    <w:rsid w:val="00F90D76"/>
    <w:rsid w:val="00F95725"/>
    <w:rsid w:val="00FC002E"/>
    <w:rsid w:val="00FC4C23"/>
    <w:rsid w:val="00FC642E"/>
    <w:rsid w:val="00FD4A14"/>
    <w:rsid w:val="00FE2AE4"/>
    <w:rsid w:val="00FE2D8C"/>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93311C6"/>
  <w15:docId w15:val="{CFADF739-36B0-4ED0-8FFF-289DA9E4F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4450">
      <w:bodyDiv w:val="1"/>
      <w:marLeft w:val="0"/>
      <w:marRight w:val="0"/>
      <w:marTop w:val="0"/>
      <w:marBottom w:val="0"/>
      <w:divBdr>
        <w:top w:val="none" w:sz="0" w:space="0" w:color="auto"/>
        <w:left w:val="none" w:sz="0" w:space="0" w:color="auto"/>
        <w:bottom w:val="none" w:sz="0" w:space="0" w:color="auto"/>
        <w:right w:val="none" w:sz="0" w:space="0" w:color="auto"/>
      </w:divBdr>
    </w:div>
    <w:div w:id="36664392">
      <w:bodyDiv w:val="1"/>
      <w:marLeft w:val="0"/>
      <w:marRight w:val="0"/>
      <w:marTop w:val="0"/>
      <w:marBottom w:val="0"/>
      <w:divBdr>
        <w:top w:val="none" w:sz="0" w:space="0" w:color="auto"/>
        <w:left w:val="none" w:sz="0" w:space="0" w:color="auto"/>
        <w:bottom w:val="none" w:sz="0" w:space="0" w:color="auto"/>
        <w:right w:val="none" w:sz="0" w:space="0" w:color="auto"/>
      </w:divBdr>
    </w:div>
    <w:div w:id="49424755">
      <w:bodyDiv w:val="1"/>
      <w:marLeft w:val="0"/>
      <w:marRight w:val="0"/>
      <w:marTop w:val="0"/>
      <w:marBottom w:val="0"/>
      <w:divBdr>
        <w:top w:val="none" w:sz="0" w:space="0" w:color="auto"/>
        <w:left w:val="none" w:sz="0" w:space="0" w:color="auto"/>
        <w:bottom w:val="none" w:sz="0" w:space="0" w:color="auto"/>
        <w:right w:val="none" w:sz="0" w:space="0" w:color="auto"/>
      </w:divBdr>
    </w:div>
    <w:div w:id="99568403">
      <w:bodyDiv w:val="1"/>
      <w:marLeft w:val="0"/>
      <w:marRight w:val="0"/>
      <w:marTop w:val="0"/>
      <w:marBottom w:val="0"/>
      <w:divBdr>
        <w:top w:val="none" w:sz="0" w:space="0" w:color="auto"/>
        <w:left w:val="none" w:sz="0" w:space="0" w:color="auto"/>
        <w:bottom w:val="none" w:sz="0" w:space="0" w:color="auto"/>
        <w:right w:val="none" w:sz="0" w:space="0" w:color="auto"/>
      </w:divBdr>
    </w:div>
    <w:div w:id="119881864">
      <w:bodyDiv w:val="1"/>
      <w:marLeft w:val="0"/>
      <w:marRight w:val="0"/>
      <w:marTop w:val="0"/>
      <w:marBottom w:val="0"/>
      <w:divBdr>
        <w:top w:val="none" w:sz="0" w:space="0" w:color="auto"/>
        <w:left w:val="none" w:sz="0" w:space="0" w:color="auto"/>
        <w:bottom w:val="none" w:sz="0" w:space="0" w:color="auto"/>
        <w:right w:val="none" w:sz="0" w:space="0" w:color="auto"/>
      </w:divBdr>
    </w:div>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184296387">
      <w:bodyDiv w:val="1"/>
      <w:marLeft w:val="0"/>
      <w:marRight w:val="0"/>
      <w:marTop w:val="0"/>
      <w:marBottom w:val="0"/>
      <w:divBdr>
        <w:top w:val="none" w:sz="0" w:space="0" w:color="auto"/>
        <w:left w:val="none" w:sz="0" w:space="0" w:color="auto"/>
        <w:bottom w:val="none" w:sz="0" w:space="0" w:color="auto"/>
        <w:right w:val="none" w:sz="0" w:space="0" w:color="auto"/>
      </w:divBdr>
    </w:div>
    <w:div w:id="317273478">
      <w:bodyDiv w:val="1"/>
      <w:marLeft w:val="0"/>
      <w:marRight w:val="0"/>
      <w:marTop w:val="0"/>
      <w:marBottom w:val="0"/>
      <w:divBdr>
        <w:top w:val="none" w:sz="0" w:space="0" w:color="auto"/>
        <w:left w:val="none" w:sz="0" w:space="0" w:color="auto"/>
        <w:bottom w:val="none" w:sz="0" w:space="0" w:color="auto"/>
        <w:right w:val="none" w:sz="0" w:space="0" w:color="auto"/>
      </w:divBdr>
    </w:div>
    <w:div w:id="335422207">
      <w:bodyDiv w:val="1"/>
      <w:marLeft w:val="0"/>
      <w:marRight w:val="0"/>
      <w:marTop w:val="0"/>
      <w:marBottom w:val="0"/>
      <w:divBdr>
        <w:top w:val="none" w:sz="0" w:space="0" w:color="auto"/>
        <w:left w:val="none" w:sz="0" w:space="0" w:color="auto"/>
        <w:bottom w:val="none" w:sz="0" w:space="0" w:color="auto"/>
        <w:right w:val="none" w:sz="0" w:space="0" w:color="auto"/>
      </w:divBdr>
    </w:div>
    <w:div w:id="361708390">
      <w:bodyDiv w:val="1"/>
      <w:marLeft w:val="0"/>
      <w:marRight w:val="0"/>
      <w:marTop w:val="0"/>
      <w:marBottom w:val="0"/>
      <w:divBdr>
        <w:top w:val="none" w:sz="0" w:space="0" w:color="auto"/>
        <w:left w:val="none" w:sz="0" w:space="0" w:color="auto"/>
        <w:bottom w:val="none" w:sz="0" w:space="0" w:color="auto"/>
        <w:right w:val="none" w:sz="0" w:space="0" w:color="auto"/>
      </w:divBdr>
    </w:div>
    <w:div w:id="370690135">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639653764">
      <w:bodyDiv w:val="1"/>
      <w:marLeft w:val="0"/>
      <w:marRight w:val="0"/>
      <w:marTop w:val="0"/>
      <w:marBottom w:val="0"/>
      <w:divBdr>
        <w:top w:val="none" w:sz="0" w:space="0" w:color="auto"/>
        <w:left w:val="none" w:sz="0" w:space="0" w:color="auto"/>
        <w:bottom w:val="none" w:sz="0" w:space="0" w:color="auto"/>
        <w:right w:val="none" w:sz="0" w:space="0" w:color="auto"/>
      </w:divBdr>
    </w:div>
    <w:div w:id="686756394">
      <w:bodyDiv w:val="1"/>
      <w:marLeft w:val="0"/>
      <w:marRight w:val="0"/>
      <w:marTop w:val="0"/>
      <w:marBottom w:val="0"/>
      <w:divBdr>
        <w:top w:val="none" w:sz="0" w:space="0" w:color="auto"/>
        <w:left w:val="none" w:sz="0" w:space="0" w:color="auto"/>
        <w:bottom w:val="none" w:sz="0" w:space="0" w:color="auto"/>
        <w:right w:val="none" w:sz="0" w:space="0" w:color="auto"/>
      </w:divBdr>
    </w:div>
    <w:div w:id="752312213">
      <w:bodyDiv w:val="1"/>
      <w:marLeft w:val="0"/>
      <w:marRight w:val="0"/>
      <w:marTop w:val="0"/>
      <w:marBottom w:val="0"/>
      <w:divBdr>
        <w:top w:val="none" w:sz="0" w:space="0" w:color="auto"/>
        <w:left w:val="none" w:sz="0" w:space="0" w:color="auto"/>
        <w:bottom w:val="none" w:sz="0" w:space="0" w:color="auto"/>
        <w:right w:val="none" w:sz="0" w:space="0" w:color="auto"/>
      </w:divBdr>
    </w:div>
    <w:div w:id="790824871">
      <w:bodyDiv w:val="1"/>
      <w:marLeft w:val="0"/>
      <w:marRight w:val="0"/>
      <w:marTop w:val="0"/>
      <w:marBottom w:val="0"/>
      <w:divBdr>
        <w:top w:val="none" w:sz="0" w:space="0" w:color="auto"/>
        <w:left w:val="none" w:sz="0" w:space="0" w:color="auto"/>
        <w:bottom w:val="none" w:sz="0" w:space="0" w:color="auto"/>
        <w:right w:val="none" w:sz="0" w:space="0" w:color="auto"/>
      </w:divBdr>
    </w:div>
    <w:div w:id="854730950">
      <w:bodyDiv w:val="1"/>
      <w:marLeft w:val="0"/>
      <w:marRight w:val="0"/>
      <w:marTop w:val="0"/>
      <w:marBottom w:val="0"/>
      <w:divBdr>
        <w:top w:val="none" w:sz="0" w:space="0" w:color="auto"/>
        <w:left w:val="none" w:sz="0" w:space="0" w:color="auto"/>
        <w:bottom w:val="none" w:sz="0" w:space="0" w:color="auto"/>
        <w:right w:val="none" w:sz="0" w:space="0" w:color="auto"/>
      </w:divBdr>
    </w:div>
    <w:div w:id="919023193">
      <w:bodyDiv w:val="1"/>
      <w:marLeft w:val="0"/>
      <w:marRight w:val="0"/>
      <w:marTop w:val="0"/>
      <w:marBottom w:val="0"/>
      <w:divBdr>
        <w:top w:val="none" w:sz="0" w:space="0" w:color="auto"/>
        <w:left w:val="none" w:sz="0" w:space="0" w:color="auto"/>
        <w:bottom w:val="none" w:sz="0" w:space="0" w:color="auto"/>
        <w:right w:val="none" w:sz="0" w:space="0" w:color="auto"/>
      </w:divBdr>
    </w:div>
    <w:div w:id="929316468">
      <w:bodyDiv w:val="1"/>
      <w:marLeft w:val="0"/>
      <w:marRight w:val="0"/>
      <w:marTop w:val="0"/>
      <w:marBottom w:val="0"/>
      <w:divBdr>
        <w:top w:val="none" w:sz="0" w:space="0" w:color="auto"/>
        <w:left w:val="none" w:sz="0" w:space="0" w:color="auto"/>
        <w:bottom w:val="none" w:sz="0" w:space="0" w:color="auto"/>
        <w:right w:val="none" w:sz="0" w:space="0" w:color="auto"/>
      </w:divBdr>
    </w:div>
    <w:div w:id="945039521">
      <w:bodyDiv w:val="1"/>
      <w:marLeft w:val="0"/>
      <w:marRight w:val="0"/>
      <w:marTop w:val="0"/>
      <w:marBottom w:val="0"/>
      <w:divBdr>
        <w:top w:val="none" w:sz="0" w:space="0" w:color="auto"/>
        <w:left w:val="none" w:sz="0" w:space="0" w:color="auto"/>
        <w:bottom w:val="none" w:sz="0" w:space="0" w:color="auto"/>
        <w:right w:val="none" w:sz="0" w:space="0" w:color="auto"/>
      </w:divBdr>
    </w:div>
    <w:div w:id="1049064458">
      <w:bodyDiv w:val="1"/>
      <w:marLeft w:val="0"/>
      <w:marRight w:val="0"/>
      <w:marTop w:val="0"/>
      <w:marBottom w:val="0"/>
      <w:divBdr>
        <w:top w:val="none" w:sz="0" w:space="0" w:color="auto"/>
        <w:left w:val="none" w:sz="0" w:space="0" w:color="auto"/>
        <w:bottom w:val="none" w:sz="0" w:space="0" w:color="auto"/>
        <w:right w:val="none" w:sz="0" w:space="0" w:color="auto"/>
      </w:divBdr>
    </w:div>
    <w:div w:id="1164517003">
      <w:bodyDiv w:val="1"/>
      <w:marLeft w:val="0"/>
      <w:marRight w:val="0"/>
      <w:marTop w:val="0"/>
      <w:marBottom w:val="0"/>
      <w:divBdr>
        <w:top w:val="none" w:sz="0" w:space="0" w:color="auto"/>
        <w:left w:val="none" w:sz="0" w:space="0" w:color="auto"/>
        <w:bottom w:val="none" w:sz="0" w:space="0" w:color="auto"/>
        <w:right w:val="none" w:sz="0" w:space="0" w:color="auto"/>
      </w:divBdr>
    </w:div>
    <w:div w:id="1259368468">
      <w:bodyDiv w:val="1"/>
      <w:marLeft w:val="0"/>
      <w:marRight w:val="0"/>
      <w:marTop w:val="0"/>
      <w:marBottom w:val="0"/>
      <w:divBdr>
        <w:top w:val="none" w:sz="0" w:space="0" w:color="auto"/>
        <w:left w:val="none" w:sz="0" w:space="0" w:color="auto"/>
        <w:bottom w:val="none" w:sz="0" w:space="0" w:color="auto"/>
        <w:right w:val="none" w:sz="0" w:space="0" w:color="auto"/>
      </w:divBdr>
    </w:div>
    <w:div w:id="1312440982">
      <w:bodyDiv w:val="1"/>
      <w:marLeft w:val="0"/>
      <w:marRight w:val="0"/>
      <w:marTop w:val="0"/>
      <w:marBottom w:val="0"/>
      <w:divBdr>
        <w:top w:val="none" w:sz="0" w:space="0" w:color="auto"/>
        <w:left w:val="none" w:sz="0" w:space="0" w:color="auto"/>
        <w:bottom w:val="none" w:sz="0" w:space="0" w:color="auto"/>
        <w:right w:val="none" w:sz="0" w:space="0" w:color="auto"/>
      </w:divBdr>
    </w:div>
    <w:div w:id="1325859954">
      <w:bodyDiv w:val="1"/>
      <w:marLeft w:val="0"/>
      <w:marRight w:val="0"/>
      <w:marTop w:val="0"/>
      <w:marBottom w:val="0"/>
      <w:divBdr>
        <w:top w:val="none" w:sz="0" w:space="0" w:color="auto"/>
        <w:left w:val="none" w:sz="0" w:space="0" w:color="auto"/>
        <w:bottom w:val="none" w:sz="0" w:space="0" w:color="auto"/>
        <w:right w:val="none" w:sz="0" w:space="0" w:color="auto"/>
      </w:divBdr>
    </w:div>
    <w:div w:id="1603105479">
      <w:bodyDiv w:val="1"/>
      <w:marLeft w:val="0"/>
      <w:marRight w:val="0"/>
      <w:marTop w:val="0"/>
      <w:marBottom w:val="0"/>
      <w:divBdr>
        <w:top w:val="none" w:sz="0" w:space="0" w:color="auto"/>
        <w:left w:val="none" w:sz="0" w:space="0" w:color="auto"/>
        <w:bottom w:val="none" w:sz="0" w:space="0" w:color="auto"/>
        <w:right w:val="none" w:sz="0" w:space="0" w:color="auto"/>
      </w:divBdr>
    </w:div>
    <w:div w:id="1623075191">
      <w:bodyDiv w:val="1"/>
      <w:marLeft w:val="0"/>
      <w:marRight w:val="0"/>
      <w:marTop w:val="0"/>
      <w:marBottom w:val="0"/>
      <w:divBdr>
        <w:top w:val="none" w:sz="0" w:space="0" w:color="auto"/>
        <w:left w:val="none" w:sz="0" w:space="0" w:color="auto"/>
        <w:bottom w:val="none" w:sz="0" w:space="0" w:color="auto"/>
        <w:right w:val="none" w:sz="0" w:space="0" w:color="auto"/>
      </w:divBdr>
    </w:div>
    <w:div w:id="1698235054">
      <w:bodyDiv w:val="1"/>
      <w:marLeft w:val="0"/>
      <w:marRight w:val="0"/>
      <w:marTop w:val="0"/>
      <w:marBottom w:val="0"/>
      <w:divBdr>
        <w:top w:val="none" w:sz="0" w:space="0" w:color="auto"/>
        <w:left w:val="none" w:sz="0" w:space="0" w:color="auto"/>
        <w:bottom w:val="none" w:sz="0" w:space="0" w:color="auto"/>
        <w:right w:val="none" w:sz="0" w:space="0" w:color="auto"/>
      </w:divBdr>
    </w:div>
    <w:div w:id="1746880045">
      <w:bodyDiv w:val="1"/>
      <w:marLeft w:val="0"/>
      <w:marRight w:val="0"/>
      <w:marTop w:val="0"/>
      <w:marBottom w:val="0"/>
      <w:divBdr>
        <w:top w:val="none" w:sz="0" w:space="0" w:color="auto"/>
        <w:left w:val="none" w:sz="0" w:space="0" w:color="auto"/>
        <w:bottom w:val="none" w:sz="0" w:space="0" w:color="auto"/>
        <w:right w:val="none" w:sz="0" w:space="0" w:color="auto"/>
      </w:divBdr>
    </w:div>
    <w:div w:id="1752510635">
      <w:bodyDiv w:val="1"/>
      <w:marLeft w:val="0"/>
      <w:marRight w:val="0"/>
      <w:marTop w:val="0"/>
      <w:marBottom w:val="0"/>
      <w:divBdr>
        <w:top w:val="none" w:sz="0" w:space="0" w:color="auto"/>
        <w:left w:val="none" w:sz="0" w:space="0" w:color="auto"/>
        <w:bottom w:val="none" w:sz="0" w:space="0" w:color="auto"/>
        <w:right w:val="none" w:sz="0" w:space="0" w:color="auto"/>
      </w:divBdr>
    </w:div>
    <w:div w:id="1762874350">
      <w:bodyDiv w:val="1"/>
      <w:marLeft w:val="0"/>
      <w:marRight w:val="0"/>
      <w:marTop w:val="0"/>
      <w:marBottom w:val="0"/>
      <w:divBdr>
        <w:top w:val="none" w:sz="0" w:space="0" w:color="auto"/>
        <w:left w:val="none" w:sz="0" w:space="0" w:color="auto"/>
        <w:bottom w:val="none" w:sz="0" w:space="0" w:color="auto"/>
        <w:right w:val="none" w:sz="0" w:space="0" w:color="auto"/>
      </w:divBdr>
    </w:div>
    <w:div w:id="1836534772">
      <w:bodyDiv w:val="1"/>
      <w:marLeft w:val="0"/>
      <w:marRight w:val="0"/>
      <w:marTop w:val="0"/>
      <w:marBottom w:val="0"/>
      <w:divBdr>
        <w:top w:val="none" w:sz="0" w:space="0" w:color="auto"/>
        <w:left w:val="none" w:sz="0" w:space="0" w:color="auto"/>
        <w:bottom w:val="none" w:sz="0" w:space="0" w:color="auto"/>
        <w:right w:val="none" w:sz="0" w:space="0" w:color="auto"/>
      </w:divBdr>
    </w:div>
    <w:div w:id="1864199188">
      <w:bodyDiv w:val="1"/>
      <w:marLeft w:val="0"/>
      <w:marRight w:val="0"/>
      <w:marTop w:val="0"/>
      <w:marBottom w:val="0"/>
      <w:divBdr>
        <w:top w:val="none" w:sz="0" w:space="0" w:color="auto"/>
        <w:left w:val="none" w:sz="0" w:space="0" w:color="auto"/>
        <w:bottom w:val="none" w:sz="0" w:space="0" w:color="auto"/>
        <w:right w:val="none" w:sz="0" w:space="0" w:color="auto"/>
      </w:divBdr>
    </w:div>
    <w:div w:id="1876261836">
      <w:bodyDiv w:val="1"/>
      <w:marLeft w:val="0"/>
      <w:marRight w:val="0"/>
      <w:marTop w:val="0"/>
      <w:marBottom w:val="0"/>
      <w:divBdr>
        <w:top w:val="none" w:sz="0" w:space="0" w:color="auto"/>
        <w:left w:val="none" w:sz="0" w:space="0" w:color="auto"/>
        <w:bottom w:val="none" w:sz="0" w:space="0" w:color="auto"/>
        <w:right w:val="none" w:sz="0" w:space="0" w:color="auto"/>
      </w:divBdr>
    </w:div>
    <w:div w:id="1918632275">
      <w:bodyDiv w:val="1"/>
      <w:marLeft w:val="0"/>
      <w:marRight w:val="0"/>
      <w:marTop w:val="0"/>
      <w:marBottom w:val="0"/>
      <w:divBdr>
        <w:top w:val="none" w:sz="0" w:space="0" w:color="auto"/>
        <w:left w:val="none" w:sz="0" w:space="0" w:color="auto"/>
        <w:bottom w:val="none" w:sz="0" w:space="0" w:color="auto"/>
        <w:right w:val="none" w:sz="0" w:space="0" w:color="auto"/>
      </w:divBdr>
    </w:div>
    <w:div w:id="1975328563">
      <w:bodyDiv w:val="1"/>
      <w:marLeft w:val="0"/>
      <w:marRight w:val="0"/>
      <w:marTop w:val="0"/>
      <w:marBottom w:val="0"/>
      <w:divBdr>
        <w:top w:val="none" w:sz="0" w:space="0" w:color="auto"/>
        <w:left w:val="none" w:sz="0" w:space="0" w:color="auto"/>
        <w:bottom w:val="none" w:sz="0" w:space="0" w:color="auto"/>
        <w:right w:val="none" w:sz="0" w:space="0" w:color="auto"/>
      </w:divBdr>
    </w:div>
    <w:div w:id="2061056417">
      <w:bodyDiv w:val="1"/>
      <w:marLeft w:val="0"/>
      <w:marRight w:val="0"/>
      <w:marTop w:val="0"/>
      <w:marBottom w:val="0"/>
      <w:divBdr>
        <w:top w:val="none" w:sz="0" w:space="0" w:color="auto"/>
        <w:left w:val="none" w:sz="0" w:space="0" w:color="auto"/>
        <w:bottom w:val="none" w:sz="0" w:space="0" w:color="auto"/>
        <w:right w:val="none" w:sz="0" w:space="0" w:color="auto"/>
      </w:divBdr>
    </w:div>
    <w:div w:id="2070881154">
      <w:bodyDiv w:val="1"/>
      <w:marLeft w:val="0"/>
      <w:marRight w:val="0"/>
      <w:marTop w:val="0"/>
      <w:marBottom w:val="0"/>
      <w:divBdr>
        <w:top w:val="none" w:sz="0" w:space="0" w:color="auto"/>
        <w:left w:val="none" w:sz="0" w:space="0" w:color="auto"/>
        <w:bottom w:val="none" w:sz="0" w:space="0" w:color="auto"/>
        <w:right w:val="none" w:sz="0" w:space="0" w:color="auto"/>
      </w:divBdr>
    </w:div>
    <w:div w:id="2118059211">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hyperlink" Target="mailto:cdi.editor@health.gov.au" TargetMode="External"/><Relationship Id="rId50" Type="http://schemas.openxmlformats.org/officeDocument/2006/relationships/hyperlink" Target="mailto:copyright@health.gov.au"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hyperlink" Target="http://health.gov.au/cdi" TargetMode="Externa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hyperlink" Target="mailto:cdi.editor@health.gov.au" TargetMode="Externa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hyperlink" Target="http://www.itsanhonour.gov.au/"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hyperlink" Target="http://www.health.gov.au/cdi" TargetMode="External"/><Relationship Id="rId52"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oter" Target="footer1.xml"/><Relationship Id="rId48" Type="http://schemas.openxmlformats.org/officeDocument/2006/relationships/hyperlink" Target="https://creativecommons.org/licenses/by-nc-nd/4.0/legalcode" TargetMode="External"/><Relationship Id="rId8" Type="http://schemas.openxmlformats.org/officeDocument/2006/relationships/endnotes" Target="endnotes.xml"/><Relationship Id="rId51" Type="http://schemas.openxmlformats.org/officeDocument/2006/relationships/hyperlink" Target="http://www.health.gov.au/cdn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62</Pages>
  <Words>16790</Words>
  <Characters>92658</Characters>
  <Application>Microsoft Office Word</Application>
  <DocSecurity>0</DocSecurity>
  <Lines>772</Lines>
  <Paragraphs>218</Paragraphs>
  <ScaleCrop>false</ScaleCrop>
  <HeadingPairs>
    <vt:vector size="2" baseType="variant">
      <vt:variant>
        <vt:lpstr>Title</vt:lpstr>
      </vt:variant>
      <vt:variant>
        <vt:i4>1</vt:i4>
      </vt:variant>
    </vt:vector>
  </HeadingPairs>
  <TitlesOfParts>
    <vt:vector size="1" baseType="lpstr">
      <vt:lpstr>Communicable Diseases Intelligence - Annual immunisation coverage report 2020 - 17 September 2021</vt:lpstr>
    </vt:vector>
  </TitlesOfParts>
  <Company>Australian Government, Department of Health and Aged Care</Company>
  <LinksUpToDate>false</LinksUpToDate>
  <CharactersWithSpaces>109230</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Annual immunisation coverage report 2020 - 17 September 2021</dc:title>
  <dc:subject>This, the 14th annual immunisation coverage report, documents trends during 2020 for a range of standard measures derived from Australian Immunisation Register (AIR) data. These include coverage at standard age milestones and for individual vaccines included on the National Immunisation Program (NIP). This is the first time that adolescent and adult coverage data from the AIR have been included in our annual coverage report.</dc:subject>
  <dc:creator>Brynley Hull, Alexandra Hendry, Aditi Dey, Julia Brotherton, Kristine Macartney, Frank Beard</dc:creator>
  <cp:keywords>vaccination coverage; vaccination timeliness; Aboriginal and Torres Strait Islander vaccination</cp:keywords>
  <dc:description>© Commonwealth of Australia CC BY-NC-ND ISSN: 2209-6051 (Online)</dc:description>
  <cp:lastModifiedBy>YOUSEFI, Kasra</cp:lastModifiedBy>
  <cp:revision>11</cp:revision>
  <cp:lastPrinted>2018-05-10T02:19:00Z</cp:lastPrinted>
  <dcterms:created xsi:type="dcterms:W3CDTF">2022-06-30T07:02:00Z</dcterms:created>
  <dcterms:modified xsi:type="dcterms:W3CDTF">2022-09-19T06:05:00Z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26/09/2022</vt:lpwstr>
  </property>
  <property fmtid="{D5CDD505-2E9C-101B-9397-08002B2CF9AE}" pid="5" name="DOI">
    <vt:lpwstr>https://doi.org/10.33321/cdi.2022.46.60</vt:lpwstr>
  </property>
</Properties>
</file>