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3D492" w14:textId="17E3680A" w:rsidR="00543ADD" w:rsidRDefault="00543ADD" w:rsidP="00543ADD">
      <w:pPr>
        <w:pStyle w:val="Title"/>
        <w:rPr>
          <w:rFonts w:eastAsia="Times New Roman"/>
          <w:sz w:val="48"/>
          <w:szCs w:val="48"/>
        </w:rPr>
      </w:pPr>
      <w:r>
        <w:rPr>
          <w:rFonts w:eastAsia="Times New Roman"/>
        </w:rPr>
        <w:t xml:space="preserve">Vaccine breakthrough infections in a </w:t>
      </w:r>
      <w:proofErr w:type="gramStart"/>
      <w:r>
        <w:rPr>
          <w:rFonts w:eastAsia="Times New Roman"/>
        </w:rPr>
        <w:t>highly-vaccinated</w:t>
      </w:r>
      <w:proofErr w:type="gramEnd"/>
      <w:r>
        <w:rPr>
          <w:rFonts w:eastAsia="Times New Roman"/>
        </w:rPr>
        <w:t xml:space="preserve"> Australian population during a SARS-CoV-2 Delta</w:t>
      </w:r>
      <w:r w:rsidR="00190700">
        <w:rPr>
          <w:rFonts w:eastAsia="Times New Roman"/>
        </w:rPr>
        <w:t> </w:t>
      </w:r>
      <w:r>
        <w:rPr>
          <w:rFonts w:eastAsia="Times New Roman"/>
        </w:rPr>
        <w:t>outbreak</w:t>
      </w:r>
    </w:p>
    <w:p w14:paraId="223E9080" w14:textId="77777777" w:rsidR="00543ADD" w:rsidRDefault="00543ADD" w:rsidP="00543ADD">
      <w:r>
        <w:t xml:space="preserve">Meru Sheel, </w:t>
      </w:r>
      <w:proofErr w:type="spellStart"/>
      <w:r>
        <w:t>Tze</w:t>
      </w:r>
      <w:proofErr w:type="spellEnd"/>
      <w:r>
        <w:t xml:space="preserve"> </w:t>
      </w:r>
      <w:proofErr w:type="spellStart"/>
      <w:r>
        <w:t>Vun</w:t>
      </w:r>
      <w:proofErr w:type="spellEnd"/>
      <w:r>
        <w:t xml:space="preserve"> </w:t>
      </w:r>
      <w:proofErr w:type="spellStart"/>
      <w:r>
        <w:t>Voo</w:t>
      </w:r>
      <w:proofErr w:type="spellEnd"/>
      <w:r>
        <w:t xml:space="preserve">, Nevada </w:t>
      </w:r>
      <w:proofErr w:type="spellStart"/>
      <w:r>
        <w:t>Pingault</w:t>
      </w:r>
      <w:proofErr w:type="spellEnd"/>
      <w:r>
        <w:t>, Timothy S Sloan-Gardner, Alexandra Marmor, Martyn D Kirk, Vanessa Johnston, Kerryn Coleman</w:t>
      </w:r>
    </w:p>
    <w:p w14:paraId="553A3F77" w14:textId="77777777" w:rsidR="00543ADD" w:rsidRPr="00543ADD" w:rsidRDefault="00543ADD" w:rsidP="00543ADD">
      <w:pPr>
        <w:pStyle w:val="Heading1"/>
      </w:pPr>
      <w:r w:rsidRPr="00543ADD">
        <w:t>Abstract</w:t>
      </w:r>
    </w:p>
    <w:p w14:paraId="36A189B7" w14:textId="77777777" w:rsidR="00543ADD" w:rsidRDefault="00543ADD" w:rsidP="00543ADD">
      <w:r>
        <w:t xml:space="preserve">Over 80% of residents in the Australian Capital Territory were fully vaccinated within 10 weeks of a SARS-CoV-2 Delta variant outbreak. Of the outbreak’s 1,545 cases, 10% were breakthrough infections. The incidence of infections among fully- and </w:t>
      </w:r>
      <w:proofErr w:type="gramStart"/>
      <w:r>
        <w:t>partially-vaccinated</w:t>
      </w:r>
      <w:proofErr w:type="gramEnd"/>
      <w:r>
        <w:t xml:space="preserve"> people was 98.5% and 90% lower, respectively, than for unvaccinated people.</w:t>
      </w:r>
    </w:p>
    <w:p w14:paraId="6E2D0C97" w14:textId="64546E9D" w:rsidR="00543ADD" w:rsidRDefault="00543ADD" w:rsidP="00543ADD">
      <w:r>
        <w:t>Keywords: COVID-19 breakthrough infections, Australian Capital Territory, COVID-19, outbreak, SARS-CoV-2 Delta,</w:t>
      </w:r>
      <w:r w:rsidR="0019492E">
        <w:t> </w:t>
      </w:r>
      <w:r>
        <w:t>vaccination</w:t>
      </w:r>
    </w:p>
    <w:p w14:paraId="5148F843" w14:textId="77777777" w:rsidR="00543ADD" w:rsidRPr="00543ADD" w:rsidRDefault="00543ADD" w:rsidP="00543ADD">
      <w:pPr>
        <w:pStyle w:val="Heading1"/>
      </w:pPr>
      <w:r w:rsidRPr="00543ADD">
        <w:t>Study setting</w:t>
      </w:r>
    </w:p>
    <w:p w14:paraId="77690278" w14:textId="0BE9791B" w:rsidR="00543ADD" w:rsidRDefault="00543ADD" w:rsidP="00543ADD">
      <w:r>
        <w:t xml:space="preserve">After more than a year of zero cases of community-acquired coronavirus disease 2019 (COVID-19), the Australian Capital Territory (ACT) recorded its first </w:t>
      </w:r>
      <w:proofErr w:type="gramStart"/>
      <w:r>
        <w:t>locally-acquired</w:t>
      </w:r>
      <w:proofErr w:type="gramEnd"/>
      <w:r>
        <w:t xml:space="preserve"> case due to infection from SARS-CoV-2 Delta variant on 12 August 2021. To limit transmission, the ACT introduced a series of public health and social measures, including a strict lockdown wherein people were only allowed to leave home for five essential reasons: essential shopping; care giving; seeking healthcare; essential work; and outdoor exercise. Mask use was required for all instances of leaving the house.</w:t>
      </w:r>
      <w:r>
        <w:rPr>
          <w:vertAlign w:val="superscript"/>
        </w:rPr>
        <w:t>1</w:t>
      </w:r>
      <w:r>
        <w:t xml:space="preserve"> </w:t>
      </w:r>
    </w:p>
    <w:p w14:paraId="1290B786" w14:textId="16D7BDA7" w:rsidR="00543ADD" w:rsidRDefault="00543ADD" w:rsidP="00543ADD">
      <w:r>
        <w:t xml:space="preserve">In February 2021, the ACT commenced a COVID-19 vaccination program using </w:t>
      </w:r>
      <w:proofErr w:type="spellStart"/>
      <w:r>
        <w:t>Cominarty</w:t>
      </w:r>
      <w:proofErr w:type="spellEnd"/>
      <w:r>
        <w:t xml:space="preserve"> and </w:t>
      </w:r>
      <w:proofErr w:type="spellStart"/>
      <w:r>
        <w:t>Vaxzeria</w:t>
      </w:r>
      <w:proofErr w:type="spellEnd"/>
      <w:r>
        <w:t xml:space="preserve"> vaccines for residents aged ≥ 12 years. In line with Australia’s national vaccine roll-out, the program initially prioritised high-risk groups for infection or severe disease, including health workers and people aged ≥ 70 years.</w:t>
      </w:r>
      <w:r>
        <w:rPr>
          <w:vertAlign w:val="superscript"/>
        </w:rPr>
        <w:t>2</w:t>
      </w:r>
      <w:r>
        <w:t xml:space="preserve"> At the start of the Delta outbreak, 50.2% of ACT residents aged ≥12 years (183,051/364,321) had received one dose of either vaccine </w:t>
      </w:r>
      <w:proofErr w:type="gramStart"/>
      <w:r>
        <w:t>and</w:t>
      </w:r>
      <w:proofErr w:type="gramEnd"/>
      <w:r>
        <w:t xml:space="preserve"> 26.5% (96,601/364,321) had received two doses. Here we report data on SARS-CoV-2 infections in </w:t>
      </w:r>
      <w:proofErr w:type="gramStart"/>
      <w:r>
        <w:t>fully-vaccinated</w:t>
      </w:r>
      <w:proofErr w:type="gramEnd"/>
      <w:r>
        <w:t xml:space="preserve"> and one-dose-vaccinated persons in a setting of high epidemic control.</w:t>
      </w:r>
    </w:p>
    <w:p w14:paraId="54DD41F5" w14:textId="77777777" w:rsidR="00543ADD" w:rsidRPr="00543ADD" w:rsidRDefault="00543ADD" w:rsidP="00543ADD">
      <w:pPr>
        <w:pStyle w:val="Heading1"/>
      </w:pPr>
      <w:r w:rsidRPr="00543ADD">
        <w:t>Methods</w:t>
      </w:r>
    </w:p>
    <w:p w14:paraId="47382946" w14:textId="6D937606" w:rsidR="00543ADD" w:rsidRDefault="00543ADD" w:rsidP="00543ADD">
      <w:r>
        <w:t>In the ACT, a confirmed COVID-19 case required laboratory evidence of SARS-CoV-2 infection demonstrated by nucleic acid testing of combined oropharyngeal and deep nasal swabs.</w:t>
      </w:r>
      <w:r>
        <w:rPr>
          <w:vertAlign w:val="superscript"/>
        </w:rPr>
        <w:t>3</w:t>
      </w:r>
      <w:r>
        <w:t xml:space="preserve"> We verified vaccination status from the Australian Immunisation Register (AIR). We excluded cases with missing or invalidated records on the AIR database. Population denominator data was sourced from the ACT’s Treasury and Economic Development Directorate projection for June 2021. For population denominator data on vaccinated persons, vaccination coverage data were extracted at the end of each week if they reported the ACT as their residence at the time of vaccination. The population was restricted to those aged ≥ 12 years and resident within the ACT based on the Statistical Local Area. Unvaccinated populations were estimated by subtracting the vaccinated population from the total population of the</w:t>
      </w:r>
      <w:r w:rsidR="00FC59AD">
        <w:t> </w:t>
      </w:r>
      <w:r>
        <w:t>ACT.</w:t>
      </w:r>
    </w:p>
    <w:p w14:paraId="50943107" w14:textId="77777777" w:rsidR="00543ADD" w:rsidRDefault="00543ADD" w:rsidP="00543ADD">
      <w:r>
        <w:lastRenderedPageBreak/>
        <w:t xml:space="preserve">Public health staff interviewed all cases to determine demographic details and to identify close contacts, </w:t>
      </w:r>
      <w:proofErr w:type="gramStart"/>
      <w:r>
        <w:t>movements</w:t>
      </w:r>
      <w:proofErr w:type="gramEnd"/>
      <w:r>
        <w:t xml:space="preserve"> and outcomes of illness, including symptom details and timing. We defined the ‘diagnosis date’ of cases as the date of first symptom onset or specimen date collection where onset date was unavailable.</w:t>
      </w:r>
    </w:p>
    <w:p w14:paraId="6029C823" w14:textId="5D7CD122" w:rsidR="00543ADD" w:rsidRDefault="00543ADD" w:rsidP="00543ADD">
      <w:r>
        <w:t xml:space="preserve">We classified cases into five categories based on the time interval between the diagnosis date and the last dose of a vaccine (Table 1). An additional category of partially vaccinated was included if a confirmed case had received one dose of the vaccine independent of the time interval or two doses &lt; 14 days prior to diagnosis date. We used Stata 15 to estimate incidence rate ratios for infection amongst </w:t>
      </w:r>
      <w:proofErr w:type="gramStart"/>
      <w:r>
        <w:t>fully-vaccinated</w:t>
      </w:r>
      <w:proofErr w:type="gramEnd"/>
      <w:r>
        <w:t xml:space="preserve"> persons (breakthrough infections) compared to partially-vaccinated and unvaccinated persons, after adjusting for age group using negative binomial</w:t>
      </w:r>
      <w:r w:rsidR="00FB3A20">
        <w:t> </w:t>
      </w:r>
      <w:r>
        <w:t>regression.</w:t>
      </w:r>
    </w:p>
    <w:p w14:paraId="189B37EA" w14:textId="77777777" w:rsidR="00FB3A20" w:rsidRPr="000B303F" w:rsidRDefault="00FB3A20" w:rsidP="00FB3A20">
      <w:pPr>
        <w:pStyle w:val="CDIFigures"/>
        <w:rPr>
          <w:b w:val="0"/>
          <w:bCs/>
          <w:sz w:val="24"/>
          <w:szCs w:val="24"/>
          <w:lang w:val="en-GB"/>
        </w:rPr>
      </w:pPr>
      <w:r w:rsidRPr="000B303F">
        <w:rPr>
          <w:rStyle w:val="Strong"/>
          <w:b/>
          <w:bCs w:val="0"/>
          <w:lang w:val="en-GB"/>
        </w:rPr>
        <w:t>Table 1: Classification of confirmed COVID-19 cases as per immunisation history, Australian Capital Territory,</w:t>
      </w:r>
      <w:r>
        <w:rPr>
          <w:rStyle w:val="Strong"/>
          <w:b/>
          <w:bCs w:val="0"/>
          <w:lang w:val="en-GB"/>
        </w:rPr>
        <w:t> </w:t>
      </w:r>
      <w:r w:rsidRPr="000B303F">
        <w:rPr>
          <w:rStyle w:val="Strong"/>
          <w:b/>
          <w:bCs w:val="0"/>
          <w:lang w:val="en-GB"/>
        </w:rPr>
        <w:t xml:space="preserve">2021.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provides a summary of definitions applied for assigning vaccination status amongst confirmed cases of COVID-19."/>
      </w:tblPr>
      <w:tblGrid>
        <w:gridCol w:w="2694"/>
        <w:gridCol w:w="7746"/>
      </w:tblGrid>
      <w:tr w:rsidR="00FB3A20" w:rsidRPr="00CA46EE" w14:paraId="4AFC005F" w14:textId="77777777" w:rsidTr="004D7F5E">
        <w:trPr>
          <w:cnfStyle w:val="100000000000" w:firstRow="1" w:lastRow="0" w:firstColumn="0" w:lastColumn="0" w:oddVBand="0" w:evenVBand="0" w:oddHBand="0" w:evenHBand="0" w:firstRowFirstColumn="0" w:firstRowLastColumn="0" w:lastRowFirstColumn="0" w:lastRowLastColumn="0"/>
        </w:trPr>
        <w:tc>
          <w:tcPr>
            <w:tcW w:w="2694" w:type="dxa"/>
            <w:tcBorders>
              <w:right w:val="single" w:sz="4" w:space="0" w:color="886E49"/>
            </w:tcBorders>
            <w:hideMark/>
          </w:tcPr>
          <w:p w14:paraId="15BCBBF7" w14:textId="77777777" w:rsidR="00FB3A20" w:rsidRPr="00CA46EE" w:rsidRDefault="00FB3A20" w:rsidP="00725D4B">
            <w:pPr>
              <w:pStyle w:val="NormalWeb"/>
              <w:rPr>
                <w:color w:val="FFFFFF" w:themeColor="background1"/>
                <w:sz w:val="18"/>
                <w:szCs w:val="18"/>
              </w:rPr>
            </w:pPr>
            <w:r w:rsidRPr="00CA46EE">
              <w:rPr>
                <w:color w:val="FFFFFF" w:themeColor="background1"/>
                <w:sz w:val="18"/>
                <w:szCs w:val="18"/>
              </w:rPr>
              <w:t>Case category</w:t>
            </w:r>
          </w:p>
        </w:tc>
        <w:tc>
          <w:tcPr>
            <w:tcW w:w="7746" w:type="dxa"/>
            <w:tcBorders>
              <w:left w:val="single" w:sz="4" w:space="0" w:color="886E49"/>
            </w:tcBorders>
            <w:hideMark/>
          </w:tcPr>
          <w:p w14:paraId="0483AFCD" w14:textId="77777777" w:rsidR="00FB3A20" w:rsidRPr="00CA46EE" w:rsidRDefault="00FB3A20" w:rsidP="00725D4B">
            <w:pPr>
              <w:pStyle w:val="NormalWeb"/>
              <w:rPr>
                <w:color w:val="FFFFFF" w:themeColor="background1"/>
                <w:sz w:val="18"/>
                <w:szCs w:val="18"/>
              </w:rPr>
            </w:pPr>
            <w:r w:rsidRPr="00CA46EE">
              <w:rPr>
                <w:color w:val="FFFFFF" w:themeColor="background1"/>
                <w:sz w:val="18"/>
                <w:szCs w:val="18"/>
              </w:rPr>
              <w:t>Definitions for vaccination status of confirmed cases</w:t>
            </w:r>
          </w:p>
        </w:tc>
      </w:tr>
      <w:tr w:rsidR="00FB3A20" w:rsidRPr="00CA46EE" w14:paraId="713A0232" w14:textId="77777777" w:rsidTr="004D7F5E">
        <w:tc>
          <w:tcPr>
            <w:tcW w:w="2694" w:type="dxa"/>
            <w:hideMark/>
          </w:tcPr>
          <w:p w14:paraId="40A71F7E" w14:textId="77777777" w:rsidR="00FB3A20" w:rsidRPr="00CA46EE" w:rsidRDefault="00FB3A20" w:rsidP="00725D4B">
            <w:pPr>
              <w:pStyle w:val="NormalWeb"/>
              <w:rPr>
                <w:sz w:val="18"/>
                <w:szCs w:val="18"/>
              </w:rPr>
            </w:pPr>
            <w:r w:rsidRPr="00CA46EE">
              <w:rPr>
                <w:sz w:val="18"/>
                <w:szCs w:val="18"/>
              </w:rPr>
              <w:t>Breakthrough</w:t>
            </w:r>
          </w:p>
        </w:tc>
        <w:tc>
          <w:tcPr>
            <w:tcW w:w="7746" w:type="dxa"/>
            <w:hideMark/>
          </w:tcPr>
          <w:p w14:paraId="666FFC96" w14:textId="77777777" w:rsidR="00FB3A20" w:rsidRPr="00CA46EE" w:rsidRDefault="00FB3A20" w:rsidP="00725D4B">
            <w:pPr>
              <w:pStyle w:val="NormalWeb"/>
              <w:rPr>
                <w:sz w:val="18"/>
                <w:szCs w:val="18"/>
              </w:rPr>
            </w:pPr>
            <w:r w:rsidRPr="00CA46EE">
              <w:rPr>
                <w:sz w:val="18"/>
                <w:szCs w:val="18"/>
              </w:rPr>
              <w:t>COVID-19 diagnosed ≥ 14 days after second dose of COVID-19 vaccine.</w:t>
            </w:r>
          </w:p>
        </w:tc>
      </w:tr>
      <w:tr w:rsidR="004D7F5E" w:rsidRPr="00CA46EE" w14:paraId="786360A6" w14:textId="77777777" w:rsidTr="004D7F5E">
        <w:trPr>
          <w:cnfStyle w:val="000000010000" w:firstRow="0" w:lastRow="0" w:firstColumn="0" w:lastColumn="0" w:oddVBand="0" w:evenVBand="0" w:oddHBand="0" w:evenHBand="1" w:firstRowFirstColumn="0" w:firstRowLastColumn="0" w:lastRowFirstColumn="0" w:lastRowLastColumn="0"/>
        </w:trPr>
        <w:tc>
          <w:tcPr>
            <w:tcW w:w="2694" w:type="dxa"/>
            <w:hideMark/>
          </w:tcPr>
          <w:p w14:paraId="59733418" w14:textId="77777777" w:rsidR="00FB3A20" w:rsidRPr="00CA46EE" w:rsidRDefault="00FB3A20" w:rsidP="00725D4B">
            <w:pPr>
              <w:pStyle w:val="NormalWeb"/>
              <w:rPr>
                <w:sz w:val="18"/>
                <w:szCs w:val="18"/>
              </w:rPr>
            </w:pPr>
            <w:r w:rsidRPr="00CA46EE">
              <w:rPr>
                <w:sz w:val="18"/>
                <w:szCs w:val="18"/>
              </w:rPr>
              <w:t>2 doses &lt; 14 days</w:t>
            </w:r>
          </w:p>
        </w:tc>
        <w:tc>
          <w:tcPr>
            <w:tcW w:w="7746" w:type="dxa"/>
            <w:hideMark/>
          </w:tcPr>
          <w:p w14:paraId="33A26758" w14:textId="77777777" w:rsidR="00FB3A20" w:rsidRPr="00CA46EE" w:rsidRDefault="00FB3A20" w:rsidP="00725D4B">
            <w:pPr>
              <w:pStyle w:val="NormalWeb"/>
              <w:rPr>
                <w:sz w:val="18"/>
                <w:szCs w:val="18"/>
              </w:rPr>
            </w:pPr>
            <w:r w:rsidRPr="00CA46EE">
              <w:rPr>
                <w:sz w:val="18"/>
                <w:szCs w:val="18"/>
              </w:rPr>
              <w:t>COVID-19 diagnosed &lt; 14 days after second dose of COVID-19 vaccine.</w:t>
            </w:r>
          </w:p>
        </w:tc>
      </w:tr>
      <w:tr w:rsidR="00FB3A20" w:rsidRPr="00CA46EE" w14:paraId="66CFD4F8" w14:textId="77777777" w:rsidTr="004D7F5E">
        <w:tc>
          <w:tcPr>
            <w:tcW w:w="2694" w:type="dxa"/>
            <w:hideMark/>
          </w:tcPr>
          <w:p w14:paraId="177FBDAA" w14:textId="77777777" w:rsidR="00FB3A20" w:rsidRPr="00CA46EE" w:rsidRDefault="00FB3A20" w:rsidP="00725D4B">
            <w:pPr>
              <w:pStyle w:val="NormalWeb"/>
              <w:rPr>
                <w:sz w:val="18"/>
                <w:szCs w:val="18"/>
              </w:rPr>
            </w:pPr>
            <w:r w:rsidRPr="00CA46EE">
              <w:rPr>
                <w:sz w:val="18"/>
                <w:szCs w:val="18"/>
              </w:rPr>
              <w:t>1 dose</w:t>
            </w:r>
          </w:p>
        </w:tc>
        <w:tc>
          <w:tcPr>
            <w:tcW w:w="7746" w:type="dxa"/>
            <w:hideMark/>
          </w:tcPr>
          <w:p w14:paraId="1A9BD1E4" w14:textId="77777777" w:rsidR="00FB3A20" w:rsidRPr="00CA46EE" w:rsidRDefault="00FB3A20" w:rsidP="00725D4B">
            <w:pPr>
              <w:pStyle w:val="NormalWeb"/>
              <w:rPr>
                <w:sz w:val="18"/>
                <w:szCs w:val="18"/>
              </w:rPr>
            </w:pPr>
            <w:r w:rsidRPr="00CA46EE">
              <w:rPr>
                <w:sz w:val="18"/>
                <w:szCs w:val="18"/>
              </w:rPr>
              <w:t>COVID-19 diagnosed ≥ 21 days after first dose of COVID-19 vaccine.</w:t>
            </w:r>
          </w:p>
        </w:tc>
      </w:tr>
      <w:tr w:rsidR="004D7F5E" w:rsidRPr="00CA46EE" w14:paraId="11CF8E49" w14:textId="77777777" w:rsidTr="004D7F5E">
        <w:trPr>
          <w:cnfStyle w:val="000000010000" w:firstRow="0" w:lastRow="0" w:firstColumn="0" w:lastColumn="0" w:oddVBand="0" w:evenVBand="0" w:oddHBand="0" w:evenHBand="1" w:firstRowFirstColumn="0" w:firstRowLastColumn="0" w:lastRowFirstColumn="0" w:lastRowLastColumn="0"/>
        </w:trPr>
        <w:tc>
          <w:tcPr>
            <w:tcW w:w="2694" w:type="dxa"/>
            <w:hideMark/>
          </w:tcPr>
          <w:p w14:paraId="4E2A1053" w14:textId="77777777" w:rsidR="00FB3A20" w:rsidRPr="00CA46EE" w:rsidRDefault="00FB3A20" w:rsidP="00725D4B">
            <w:pPr>
              <w:pStyle w:val="NormalWeb"/>
              <w:rPr>
                <w:sz w:val="18"/>
                <w:szCs w:val="18"/>
              </w:rPr>
            </w:pPr>
            <w:r w:rsidRPr="00CA46EE">
              <w:rPr>
                <w:sz w:val="18"/>
                <w:szCs w:val="18"/>
              </w:rPr>
              <w:t>1 dose &lt; 21 days</w:t>
            </w:r>
          </w:p>
        </w:tc>
        <w:tc>
          <w:tcPr>
            <w:tcW w:w="7746" w:type="dxa"/>
            <w:hideMark/>
          </w:tcPr>
          <w:p w14:paraId="3EC11F03" w14:textId="77777777" w:rsidR="00FB3A20" w:rsidRPr="00CA46EE" w:rsidRDefault="00FB3A20" w:rsidP="00725D4B">
            <w:pPr>
              <w:pStyle w:val="NormalWeb"/>
              <w:rPr>
                <w:sz w:val="18"/>
                <w:szCs w:val="18"/>
              </w:rPr>
            </w:pPr>
            <w:r w:rsidRPr="00CA46EE">
              <w:rPr>
                <w:sz w:val="18"/>
                <w:szCs w:val="18"/>
              </w:rPr>
              <w:t>COVID-19 diagnosed &lt; 21 days after first dose of COVID-19 vaccine.</w:t>
            </w:r>
          </w:p>
        </w:tc>
      </w:tr>
      <w:tr w:rsidR="00FB3A20" w:rsidRPr="00CA46EE" w14:paraId="584816C9" w14:textId="77777777" w:rsidTr="004D7F5E">
        <w:tc>
          <w:tcPr>
            <w:tcW w:w="2694" w:type="dxa"/>
            <w:hideMark/>
          </w:tcPr>
          <w:p w14:paraId="629231FA" w14:textId="77777777" w:rsidR="00FB3A20" w:rsidRPr="00CA46EE" w:rsidRDefault="00FB3A20" w:rsidP="00725D4B">
            <w:pPr>
              <w:pStyle w:val="NormalWeb"/>
              <w:rPr>
                <w:sz w:val="18"/>
                <w:szCs w:val="18"/>
              </w:rPr>
            </w:pPr>
            <w:r w:rsidRPr="00CA46EE">
              <w:rPr>
                <w:sz w:val="18"/>
                <w:szCs w:val="18"/>
              </w:rPr>
              <w:t>Unvaccinated</w:t>
            </w:r>
          </w:p>
        </w:tc>
        <w:tc>
          <w:tcPr>
            <w:tcW w:w="7746" w:type="dxa"/>
            <w:hideMark/>
          </w:tcPr>
          <w:p w14:paraId="1D942B26" w14:textId="77777777" w:rsidR="00FB3A20" w:rsidRPr="00CA46EE" w:rsidRDefault="00FB3A20" w:rsidP="00725D4B">
            <w:pPr>
              <w:pStyle w:val="NormalWeb"/>
              <w:rPr>
                <w:sz w:val="18"/>
                <w:szCs w:val="18"/>
              </w:rPr>
            </w:pPr>
            <w:r w:rsidRPr="00CA46EE">
              <w:rPr>
                <w:sz w:val="18"/>
                <w:szCs w:val="18"/>
              </w:rPr>
              <w:t>COVID-19 in a person with no documented proof on AIR of COVID-19 vaccination.</w:t>
            </w:r>
          </w:p>
        </w:tc>
      </w:tr>
      <w:tr w:rsidR="004D7F5E" w:rsidRPr="00CA46EE" w14:paraId="68E6F316" w14:textId="77777777" w:rsidTr="004D7F5E">
        <w:trPr>
          <w:cnfStyle w:val="000000010000" w:firstRow="0" w:lastRow="0" w:firstColumn="0" w:lastColumn="0" w:oddVBand="0" w:evenVBand="0" w:oddHBand="0" w:evenHBand="1" w:firstRowFirstColumn="0" w:firstRowLastColumn="0" w:lastRowFirstColumn="0" w:lastRowLastColumn="0"/>
        </w:trPr>
        <w:tc>
          <w:tcPr>
            <w:tcW w:w="2694" w:type="dxa"/>
            <w:hideMark/>
          </w:tcPr>
          <w:p w14:paraId="609F0FE2" w14:textId="77777777" w:rsidR="00FB3A20" w:rsidRPr="00CA46EE" w:rsidRDefault="00FB3A20" w:rsidP="00725D4B">
            <w:pPr>
              <w:pStyle w:val="NormalWeb"/>
              <w:rPr>
                <w:sz w:val="18"/>
                <w:szCs w:val="18"/>
              </w:rPr>
            </w:pPr>
            <w:r w:rsidRPr="00CA46EE">
              <w:rPr>
                <w:sz w:val="18"/>
                <w:szCs w:val="18"/>
              </w:rPr>
              <w:t>Partial</w:t>
            </w:r>
          </w:p>
        </w:tc>
        <w:tc>
          <w:tcPr>
            <w:tcW w:w="7746" w:type="dxa"/>
            <w:hideMark/>
          </w:tcPr>
          <w:p w14:paraId="51313C66" w14:textId="77777777" w:rsidR="00FB3A20" w:rsidRPr="00CA46EE" w:rsidRDefault="00FB3A20" w:rsidP="00725D4B">
            <w:pPr>
              <w:pStyle w:val="NormalWeb"/>
              <w:rPr>
                <w:sz w:val="18"/>
                <w:szCs w:val="18"/>
              </w:rPr>
            </w:pPr>
            <w:r w:rsidRPr="00CA46EE">
              <w:rPr>
                <w:sz w:val="18"/>
                <w:szCs w:val="18"/>
              </w:rPr>
              <w:t>COVID-19 in a person in one of the ‘2 doses &lt; 14 days’; ‘1 dose’; or ‘1 dose &lt; 21 days’ categories</w:t>
            </w:r>
          </w:p>
        </w:tc>
      </w:tr>
    </w:tbl>
    <w:p w14:paraId="3DEFC473" w14:textId="77777777" w:rsidR="00543ADD" w:rsidRPr="00543ADD" w:rsidRDefault="00543ADD" w:rsidP="00543ADD">
      <w:pPr>
        <w:pStyle w:val="Heading1"/>
      </w:pPr>
      <w:r w:rsidRPr="00543ADD">
        <w:t>Results</w:t>
      </w:r>
    </w:p>
    <w:p w14:paraId="32505289" w14:textId="77777777" w:rsidR="00543ADD" w:rsidRDefault="00543ADD" w:rsidP="00543ADD">
      <w:r>
        <w:t>The ACT recorded 1,578 cases of the Delta variant of SARS-CoV-2 between 12 August and 17 October 2021. In response to the outbreak, the ACT population rapidly achieved ≥ 80% two-dose coverage for persons aged ≥ 12 years, with ≥ 95% one-dose COVID-19 vaccine coverage (Figure 1). As of 17 October 2021, vaccination status was validated for 97.9% (1,545/1,578) of confirmed COVID-19 cases associated with the ACT outbreak. We identified 9.5% of cases (147/1,545) as breakthrough infections; a further 4.9% of cases (75/1,545) had received one dose of a COVID-19 vaccine (Table 2) 21 days or more before the diagnosis date. Overall, 21.9% (338/1,545) were partially vaccinated. Fourteen persons received a vaccine dose after being diagnosed with COVID-19.</w:t>
      </w:r>
    </w:p>
    <w:p w14:paraId="4E7B14AE" w14:textId="77777777" w:rsidR="00543ADD" w:rsidRDefault="00543ADD" w:rsidP="00543ADD">
      <w:r>
        <w:t>In total, 7.0% of cases (108/1,545) were hospitalised for any reason during their COVID-19 illness, of which 3.7% (4/108) were breakthrough infections, compared with 76.9% of hospitalised cases (83/108) who were unvaccinated, and 19.4% (21/108) who were partially vaccinated.</w:t>
      </w:r>
    </w:p>
    <w:p w14:paraId="62D538EA" w14:textId="77777777" w:rsidR="00543ADD" w:rsidRDefault="00543ADD" w:rsidP="00543ADD">
      <w:r>
        <w:t>The median time from receipt of the second dose to breakthrough infection was 48 days (range 14–185 days).</w:t>
      </w:r>
    </w:p>
    <w:p w14:paraId="28F563D1" w14:textId="77777777" w:rsidR="00543ADD" w:rsidRDefault="00543ADD" w:rsidP="00543ADD">
      <w:r>
        <w:t>Most breakthrough infections occurred through transmission within households (57.1%; 84/147) and within long-term care facilities (9.5%; 14/147); these are high-risk settings due to extended close contact and high viral exposure. Of all breakthrough infections, 9.5% (14/147) were in healthcare workers, including aged care workers.</w:t>
      </w:r>
    </w:p>
    <w:p w14:paraId="69031799" w14:textId="77777777" w:rsidR="00543ADD" w:rsidRDefault="00543ADD" w:rsidP="00543ADD">
      <w:r>
        <w:t xml:space="preserve">In the ACT, after adjusting for age, the incidence of infections among fully vaccinated cases was 98.5% lower than for unvaccinated cases (incident rate ratio, IRR: 0.015; 95% confidence interval [95% CI]: 0.009–0.024). The incidence of </w:t>
      </w:r>
      <w:r>
        <w:lastRenderedPageBreak/>
        <w:t>COVID-19 in partially-vaccinated people was 90% lower than for unvaccinated persons (IRR: 0.10; 95% CI: 0.067–0.156).</w:t>
      </w:r>
    </w:p>
    <w:p w14:paraId="47A01908" w14:textId="77777777" w:rsidR="00F97220" w:rsidRPr="000B303F" w:rsidRDefault="00F97220" w:rsidP="00F97220">
      <w:pPr>
        <w:pStyle w:val="CDIFigures"/>
      </w:pPr>
      <w:r w:rsidRPr="000B303F">
        <w:rPr>
          <w:rStyle w:val="Strong"/>
          <w:b/>
          <w:bCs w:val="0"/>
        </w:rPr>
        <w:t xml:space="preserve">Table 2: Characteristics of persons with documented SARS-CoV-2 infection after vaccination compared with infection in those who were not </w:t>
      </w:r>
      <w:proofErr w:type="spellStart"/>
      <w:proofErr w:type="gramStart"/>
      <w:r w:rsidRPr="000B303F">
        <w:rPr>
          <w:rStyle w:val="Strong"/>
          <w:b/>
          <w:bCs w:val="0"/>
        </w:rPr>
        <w:t>vaccinated,</w:t>
      </w:r>
      <w:r w:rsidRPr="00973AEC">
        <w:rPr>
          <w:rStyle w:val="Strong"/>
          <w:b/>
          <w:bCs w:val="0"/>
          <w:vertAlign w:val="superscript"/>
        </w:rPr>
        <w:t>a</w:t>
      </w:r>
      <w:proofErr w:type="spellEnd"/>
      <w:proofErr w:type="gramEnd"/>
      <w:r w:rsidRPr="000B303F">
        <w:rPr>
          <w:rStyle w:val="Strong"/>
          <w:b/>
          <w:bCs w:val="0"/>
        </w:rPr>
        <w:t xml:space="preserve"> Australian Capital Territory, 11 August 2021 – 17 October 2021</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el 2 provides summary data and characteristics of confirmed cases of COVID-19 comparing vaccinated persons with unvaccinated persons in the Australian Capital Territory during the study period of 11 August 2021 – 17 October 2021&#10;"/>
      </w:tblPr>
      <w:tblGrid>
        <w:gridCol w:w="2129"/>
        <w:gridCol w:w="1256"/>
        <w:gridCol w:w="1843"/>
        <w:gridCol w:w="992"/>
        <w:gridCol w:w="1891"/>
        <w:gridCol w:w="1245"/>
        <w:gridCol w:w="1110"/>
      </w:tblGrid>
      <w:tr w:rsidR="00F97220" w:rsidRPr="009850CC" w14:paraId="4C35933E" w14:textId="77777777" w:rsidTr="00367470">
        <w:trPr>
          <w:cnfStyle w:val="100000000000" w:firstRow="1" w:lastRow="0" w:firstColumn="0" w:lastColumn="0" w:oddVBand="0" w:evenVBand="0" w:oddHBand="0" w:evenHBand="0" w:firstRowFirstColumn="0" w:firstRowLastColumn="0" w:lastRowFirstColumn="0" w:lastRowLastColumn="0"/>
        </w:trPr>
        <w:tc>
          <w:tcPr>
            <w:tcW w:w="0" w:type="auto"/>
            <w:tcBorders>
              <w:right w:val="single" w:sz="4" w:space="0" w:color="886E49"/>
            </w:tcBorders>
            <w:hideMark/>
          </w:tcPr>
          <w:p w14:paraId="63ED1801" w14:textId="77777777" w:rsidR="00F97220" w:rsidRPr="009850CC" w:rsidRDefault="00F97220" w:rsidP="00725D4B">
            <w:pPr>
              <w:rPr>
                <w:color w:val="FFFFFF" w:themeColor="background1"/>
                <w:sz w:val="18"/>
                <w:szCs w:val="18"/>
                <w:lang w:val="en-GB"/>
              </w:rPr>
            </w:pPr>
          </w:p>
        </w:tc>
        <w:tc>
          <w:tcPr>
            <w:tcW w:w="1144" w:type="dxa"/>
            <w:tcBorders>
              <w:left w:val="single" w:sz="4" w:space="0" w:color="886E49"/>
              <w:right w:val="single" w:sz="4" w:space="0" w:color="886E49"/>
            </w:tcBorders>
            <w:hideMark/>
          </w:tcPr>
          <w:p w14:paraId="19BEBEE0"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Breakthrough</w:t>
            </w:r>
          </w:p>
          <w:p w14:paraId="45AD490D"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N (%)</w:t>
            </w:r>
          </w:p>
        </w:tc>
        <w:tc>
          <w:tcPr>
            <w:tcW w:w="1843" w:type="dxa"/>
            <w:tcBorders>
              <w:left w:val="single" w:sz="4" w:space="0" w:color="886E49"/>
              <w:right w:val="single" w:sz="4" w:space="0" w:color="886E49"/>
            </w:tcBorders>
            <w:hideMark/>
          </w:tcPr>
          <w:p w14:paraId="23D861F9"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Two doses &lt; 14 days</w:t>
            </w:r>
          </w:p>
          <w:p w14:paraId="3F3356AA"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N (%)</w:t>
            </w:r>
          </w:p>
        </w:tc>
        <w:tc>
          <w:tcPr>
            <w:tcW w:w="992" w:type="dxa"/>
            <w:tcBorders>
              <w:left w:val="single" w:sz="4" w:space="0" w:color="886E49"/>
              <w:right w:val="single" w:sz="4" w:space="0" w:color="886E49"/>
            </w:tcBorders>
            <w:hideMark/>
          </w:tcPr>
          <w:p w14:paraId="2F907CFE"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One dose</w:t>
            </w:r>
          </w:p>
          <w:p w14:paraId="5517EFD1"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N (%)</w:t>
            </w:r>
          </w:p>
        </w:tc>
        <w:tc>
          <w:tcPr>
            <w:tcW w:w="1891" w:type="dxa"/>
            <w:tcBorders>
              <w:left w:val="single" w:sz="4" w:space="0" w:color="886E49"/>
              <w:right w:val="single" w:sz="4" w:space="0" w:color="886E49"/>
            </w:tcBorders>
            <w:hideMark/>
          </w:tcPr>
          <w:p w14:paraId="12581313"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One dose &lt; 21 days</w:t>
            </w:r>
          </w:p>
          <w:p w14:paraId="57E073D4"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N (%)</w:t>
            </w:r>
          </w:p>
        </w:tc>
        <w:tc>
          <w:tcPr>
            <w:tcW w:w="930" w:type="dxa"/>
            <w:tcBorders>
              <w:left w:val="single" w:sz="4" w:space="0" w:color="886E49"/>
              <w:right w:val="single" w:sz="4" w:space="0" w:color="886E49"/>
            </w:tcBorders>
            <w:hideMark/>
          </w:tcPr>
          <w:p w14:paraId="58C86122"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Unvaccinated</w:t>
            </w:r>
          </w:p>
          <w:p w14:paraId="1A433C61"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N (%)</w:t>
            </w:r>
          </w:p>
        </w:tc>
        <w:tc>
          <w:tcPr>
            <w:tcW w:w="1110" w:type="dxa"/>
            <w:tcBorders>
              <w:left w:val="single" w:sz="4" w:space="0" w:color="886E49"/>
            </w:tcBorders>
            <w:hideMark/>
          </w:tcPr>
          <w:p w14:paraId="207025B7"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Total</w:t>
            </w:r>
          </w:p>
          <w:p w14:paraId="0963941B" w14:textId="77777777" w:rsidR="00F97220" w:rsidRPr="009850CC" w:rsidRDefault="00F97220" w:rsidP="00725D4B">
            <w:pPr>
              <w:pStyle w:val="NormalWeb"/>
              <w:jc w:val="center"/>
              <w:rPr>
                <w:color w:val="FFFFFF" w:themeColor="background1"/>
                <w:sz w:val="18"/>
                <w:szCs w:val="18"/>
              </w:rPr>
            </w:pPr>
            <w:r w:rsidRPr="009850CC">
              <w:rPr>
                <w:color w:val="FFFFFF" w:themeColor="background1"/>
                <w:sz w:val="18"/>
                <w:szCs w:val="18"/>
              </w:rPr>
              <w:t>N (%)</w:t>
            </w:r>
          </w:p>
        </w:tc>
      </w:tr>
      <w:tr w:rsidR="00F97220" w:rsidRPr="00FC5563" w14:paraId="2B39698C" w14:textId="77777777" w:rsidTr="000810C8">
        <w:tc>
          <w:tcPr>
            <w:tcW w:w="0" w:type="auto"/>
            <w:shd w:val="clear" w:color="auto" w:fill="F7ECDD"/>
            <w:hideMark/>
          </w:tcPr>
          <w:p w14:paraId="3E5E9DA5" w14:textId="77777777" w:rsidR="00F97220" w:rsidRPr="00FC5563" w:rsidRDefault="00F97220" w:rsidP="00725D4B">
            <w:pPr>
              <w:pStyle w:val="NormalWeb"/>
              <w:rPr>
                <w:b/>
                <w:bCs/>
                <w:sz w:val="18"/>
                <w:szCs w:val="18"/>
              </w:rPr>
            </w:pPr>
            <w:r w:rsidRPr="00FC5563">
              <w:rPr>
                <w:b/>
                <w:bCs/>
                <w:sz w:val="18"/>
                <w:szCs w:val="18"/>
              </w:rPr>
              <w:t>Total</w:t>
            </w:r>
          </w:p>
        </w:tc>
        <w:tc>
          <w:tcPr>
            <w:tcW w:w="1144" w:type="dxa"/>
            <w:shd w:val="clear" w:color="auto" w:fill="F7ECDD"/>
            <w:hideMark/>
          </w:tcPr>
          <w:p w14:paraId="4ED2A0E7" w14:textId="77777777" w:rsidR="00F97220" w:rsidRPr="00FC5563" w:rsidRDefault="00F97220" w:rsidP="00725D4B">
            <w:pPr>
              <w:pStyle w:val="NormalWeb"/>
              <w:jc w:val="center"/>
              <w:rPr>
                <w:b/>
                <w:bCs/>
                <w:sz w:val="18"/>
                <w:szCs w:val="18"/>
              </w:rPr>
            </w:pPr>
            <w:r w:rsidRPr="00FC5563">
              <w:rPr>
                <w:b/>
                <w:bCs/>
                <w:sz w:val="18"/>
                <w:szCs w:val="18"/>
              </w:rPr>
              <w:t>147 (9.5)</w:t>
            </w:r>
          </w:p>
        </w:tc>
        <w:tc>
          <w:tcPr>
            <w:tcW w:w="1843" w:type="dxa"/>
            <w:shd w:val="clear" w:color="auto" w:fill="F7ECDD"/>
            <w:hideMark/>
          </w:tcPr>
          <w:p w14:paraId="01738F38" w14:textId="77777777" w:rsidR="00F97220" w:rsidRPr="00FC5563" w:rsidRDefault="00F97220" w:rsidP="00725D4B">
            <w:pPr>
              <w:pStyle w:val="NormalWeb"/>
              <w:jc w:val="center"/>
              <w:rPr>
                <w:b/>
                <w:bCs/>
                <w:sz w:val="18"/>
                <w:szCs w:val="18"/>
              </w:rPr>
            </w:pPr>
            <w:r w:rsidRPr="00FC5563">
              <w:rPr>
                <w:b/>
                <w:bCs/>
                <w:sz w:val="18"/>
                <w:szCs w:val="18"/>
              </w:rPr>
              <w:t>51 (3.3)</w:t>
            </w:r>
          </w:p>
        </w:tc>
        <w:tc>
          <w:tcPr>
            <w:tcW w:w="992" w:type="dxa"/>
            <w:shd w:val="clear" w:color="auto" w:fill="F7ECDD"/>
            <w:hideMark/>
          </w:tcPr>
          <w:p w14:paraId="494A0DE4" w14:textId="77777777" w:rsidR="00F97220" w:rsidRPr="00FC5563" w:rsidRDefault="00F97220" w:rsidP="00725D4B">
            <w:pPr>
              <w:pStyle w:val="NormalWeb"/>
              <w:jc w:val="center"/>
              <w:rPr>
                <w:b/>
                <w:bCs/>
                <w:sz w:val="18"/>
                <w:szCs w:val="18"/>
              </w:rPr>
            </w:pPr>
            <w:r w:rsidRPr="00FC5563">
              <w:rPr>
                <w:b/>
                <w:bCs/>
                <w:sz w:val="18"/>
                <w:szCs w:val="18"/>
              </w:rPr>
              <w:t>75 (4.9)</w:t>
            </w:r>
          </w:p>
        </w:tc>
        <w:tc>
          <w:tcPr>
            <w:tcW w:w="1891" w:type="dxa"/>
            <w:shd w:val="clear" w:color="auto" w:fill="F7ECDD"/>
            <w:hideMark/>
          </w:tcPr>
          <w:p w14:paraId="3903C6A9" w14:textId="77777777" w:rsidR="00F97220" w:rsidRPr="00FC5563" w:rsidRDefault="00F97220" w:rsidP="00725D4B">
            <w:pPr>
              <w:pStyle w:val="NormalWeb"/>
              <w:jc w:val="center"/>
              <w:rPr>
                <w:b/>
                <w:bCs/>
                <w:sz w:val="18"/>
                <w:szCs w:val="18"/>
              </w:rPr>
            </w:pPr>
            <w:r w:rsidRPr="00FC5563">
              <w:rPr>
                <w:b/>
                <w:bCs/>
                <w:sz w:val="18"/>
                <w:szCs w:val="18"/>
              </w:rPr>
              <w:t>212 (13.7)</w:t>
            </w:r>
          </w:p>
        </w:tc>
        <w:tc>
          <w:tcPr>
            <w:tcW w:w="930" w:type="dxa"/>
            <w:shd w:val="clear" w:color="auto" w:fill="F7ECDD"/>
            <w:hideMark/>
          </w:tcPr>
          <w:p w14:paraId="60E916BC" w14:textId="77777777" w:rsidR="00F97220" w:rsidRPr="00FC5563" w:rsidRDefault="00F97220" w:rsidP="00725D4B">
            <w:pPr>
              <w:pStyle w:val="NormalWeb"/>
              <w:jc w:val="center"/>
              <w:rPr>
                <w:b/>
                <w:bCs/>
                <w:sz w:val="18"/>
                <w:szCs w:val="18"/>
              </w:rPr>
            </w:pPr>
            <w:r w:rsidRPr="00FC5563">
              <w:rPr>
                <w:b/>
                <w:bCs/>
                <w:sz w:val="18"/>
                <w:szCs w:val="18"/>
              </w:rPr>
              <w:t>1,060 (68.6)</w:t>
            </w:r>
          </w:p>
        </w:tc>
        <w:tc>
          <w:tcPr>
            <w:tcW w:w="1110" w:type="dxa"/>
            <w:shd w:val="clear" w:color="auto" w:fill="F7ECDD"/>
            <w:hideMark/>
          </w:tcPr>
          <w:p w14:paraId="691A263A" w14:textId="77777777" w:rsidR="00F97220" w:rsidRPr="00FC5563" w:rsidRDefault="00F97220" w:rsidP="00725D4B">
            <w:pPr>
              <w:pStyle w:val="NormalWeb"/>
              <w:jc w:val="center"/>
              <w:rPr>
                <w:b/>
                <w:bCs/>
                <w:sz w:val="18"/>
                <w:szCs w:val="18"/>
              </w:rPr>
            </w:pPr>
            <w:r w:rsidRPr="00FC5563">
              <w:rPr>
                <w:b/>
                <w:bCs/>
                <w:sz w:val="18"/>
                <w:szCs w:val="18"/>
              </w:rPr>
              <w:t>1,545 (100)</w:t>
            </w:r>
          </w:p>
        </w:tc>
      </w:tr>
      <w:tr w:rsidR="006818E8" w:rsidRPr="006818E8" w14:paraId="2066348B" w14:textId="77777777" w:rsidTr="000810C8">
        <w:trPr>
          <w:cnfStyle w:val="000000010000" w:firstRow="0" w:lastRow="0" w:firstColumn="0" w:lastColumn="0" w:oddVBand="0" w:evenVBand="0" w:oddHBand="0" w:evenHBand="1" w:firstRowFirstColumn="0" w:firstRowLastColumn="0" w:lastRowFirstColumn="0" w:lastRowLastColumn="0"/>
        </w:trPr>
        <w:tc>
          <w:tcPr>
            <w:tcW w:w="0" w:type="auto"/>
            <w:gridSpan w:val="7"/>
            <w:shd w:val="clear" w:color="auto" w:fill="BBA991"/>
            <w:hideMark/>
          </w:tcPr>
          <w:p w14:paraId="5492D79B" w14:textId="77777777" w:rsidR="00F97220" w:rsidRPr="006818E8" w:rsidRDefault="00F97220" w:rsidP="00725D4B">
            <w:pPr>
              <w:pStyle w:val="NormalWeb"/>
              <w:rPr>
                <w:b/>
                <w:bCs/>
                <w:color w:val="000000" w:themeColor="text1"/>
                <w:sz w:val="18"/>
                <w:szCs w:val="18"/>
              </w:rPr>
            </w:pPr>
            <w:r w:rsidRPr="006818E8">
              <w:rPr>
                <w:b/>
                <w:bCs/>
                <w:color w:val="000000" w:themeColor="text1"/>
                <w:sz w:val="18"/>
                <w:szCs w:val="18"/>
              </w:rPr>
              <w:t>Age</w:t>
            </w:r>
          </w:p>
        </w:tc>
      </w:tr>
      <w:tr w:rsidR="00F97220" w:rsidRPr="009850CC" w14:paraId="5E6FFCA3" w14:textId="77777777" w:rsidTr="00367470">
        <w:tc>
          <w:tcPr>
            <w:tcW w:w="0" w:type="auto"/>
            <w:hideMark/>
          </w:tcPr>
          <w:p w14:paraId="0BFA8D2B" w14:textId="77777777" w:rsidR="00F97220" w:rsidRPr="009850CC" w:rsidRDefault="00F97220" w:rsidP="00725D4B">
            <w:pPr>
              <w:pStyle w:val="NormalWeb"/>
              <w:rPr>
                <w:sz w:val="18"/>
                <w:szCs w:val="18"/>
              </w:rPr>
            </w:pPr>
            <w:r w:rsidRPr="009850CC">
              <w:rPr>
                <w:sz w:val="18"/>
                <w:szCs w:val="18"/>
              </w:rPr>
              <w:t>&lt; 12 years</w:t>
            </w:r>
          </w:p>
        </w:tc>
        <w:tc>
          <w:tcPr>
            <w:tcW w:w="1144" w:type="dxa"/>
            <w:hideMark/>
          </w:tcPr>
          <w:p w14:paraId="260667D7" w14:textId="77777777" w:rsidR="00F97220" w:rsidRPr="009850CC" w:rsidRDefault="00F97220" w:rsidP="00725D4B">
            <w:pPr>
              <w:pStyle w:val="NormalWeb"/>
              <w:jc w:val="center"/>
              <w:rPr>
                <w:sz w:val="18"/>
                <w:szCs w:val="18"/>
              </w:rPr>
            </w:pPr>
            <w:r w:rsidRPr="009850CC">
              <w:rPr>
                <w:sz w:val="18"/>
                <w:szCs w:val="18"/>
              </w:rPr>
              <w:t>0 (0)</w:t>
            </w:r>
          </w:p>
        </w:tc>
        <w:tc>
          <w:tcPr>
            <w:tcW w:w="1843" w:type="dxa"/>
            <w:hideMark/>
          </w:tcPr>
          <w:p w14:paraId="5ECA65F1" w14:textId="77777777" w:rsidR="00F97220" w:rsidRPr="009850CC" w:rsidRDefault="00F97220" w:rsidP="00725D4B">
            <w:pPr>
              <w:pStyle w:val="NormalWeb"/>
              <w:jc w:val="center"/>
              <w:rPr>
                <w:sz w:val="18"/>
                <w:szCs w:val="18"/>
              </w:rPr>
            </w:pPr>
            <w:r w:rsidRPr="009850CC">
              <w:rPr>
                <w:sz w:val="18"/>
                <w:szCs w:val="18"/>
              </w:rPr>
              <w:t>0 (0)</w:t>
            </w:r>
          </w:p>
        </w:tc>
        <w:tc>
          <w:tcPr>
            <w:tcW w:w="992" w:type="dxa"/>
            <w:hideMark/>
          </w:tcPr>
          <w:p w14:paraId="15B5A94B" w14:textId="77777777" w:rsidR="00F97220" w:rsidRPr="009850CC" w:rsidRDefault="00F97220" w:rsidP="00725D4B">
            <w:pPr>
              <w:pStyle w:val="NormalWeb"/>
              <w:jc w:val="center"/>
              <w:rPr>
                <w:sz w:val="18"/>
                <w:szCs w:val="18"/>
              </w:rPr>
            </w:pPr>
            <w:r w:rsidRPr="009850CC">
              <w:rPr>
                <w:sz w:val="18"/>
                <w:szCs w:val="18"/>
              </w:rPr>
              <w:t>0 (0)</w:t>
            </w:r>
          </w:p>
        </w:tc>
        <w:tc>
          <w:tcPr>
            <w:tcW w:w="1891" w:type="dxa"/>
            <w:hideMark/>
          </w:tcPr>
          <w:p w14:paraId="752C5472" w14:textId="77777777" w:rsidR="00F97220" w:rsidRPr="009850CC" w:rsidRDefault="00F97220" w:rsidP="00725D4B">
            <w:pPr>
              <w:pStyle w:val="NormalWeb"/>
              <w:jc w:val="center"/>
              <w:rPr>
                <w:sz w:val="18"/>
                <w:szCs w:val="18"/>
              </w:rPr>
            </w:pPr>
            <w:r w:rsidRPr="009850CC">
              <w:rPr>
                <w:sz w:val="18"/>
                <w:szCs w:val="18"/>
              </w:rPr>
              <w:t>0 (0)</w:t>
            </w:r>
          </w:p>
        </w:tc>
        <w:tc>
          <w:tcPr>
            <w:tcW w:w="930" w:type="dxa"/>
            <w:hideMark/>
          </w:tcPr>
          <w:p w14:paraId="40B08E14" w14:textId="77777777" w:rsidR="00F97220" w:rsidRPr="009850CC" w:rsidRDefault="00F97220" w:rsidP="00725D4B">
            <w:pPr>
              <w:pStyle w:val="NormalWeb"/>
              <w:jc w:val="center"/>
              <w:rPr>
                <w:sz w:val="18"/>
                <w:szCs w:val="18"/>
              </w:rPr>
            </w:pPr>
            <w:r w:rsidRPr="009850CC">
              <w:rPr>
                <w:sz w:val="18"/>
                <w:szCs w:val="18"/>
              </w:rPr>
              <w:t>272 (25.7)</w:t>
            </w:r>
          </w:p>
        </w:tc>
        <w:tc>
          <w:tcPr>
            <w:tcW w:w="1110" w:type="dxa"/>
            <w:hideMark/>
          </w:tcPr>
          <w:p w14:paraId="50476810" w14:textId="77777777" w:rsidR="00F97220" w:rsidRPr="009850CC" w:rsidRDefault="00F97220" w:rsidP="00725D4B">
            <w:pPr>
              <w:pStyle w:val="NormalWeb"/>
              <w:jc w:val="center"/>
              <w:rPr>
                <w:sz w:val="18"/>
                <w:szCs w:val="18"/>
              </w:rPr>
            </w:pPr>
            <w:r w:rsidRPr="009850CC">
              <w:rPr>
                <w:sz w:val="18"/>
                <w:szCs w:val="18"/>
              </w:rPr>
              <w:t>272 (17.6)</w:t>
            </w:r>
          </w:p>
        </w:tc>
      </w:tr>
      <w:tr w:rsidR="00F97220" w:rsidRPr="009850CC" w14:paraId="2BF1F210"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093BD65B" w14:textId="77777777" w:rsidR="00F97220" w:rsidRPr="009850CC" w:rsidRDefault="00F97220" w:rsidP="00725D4B">
            <w:pPr>
              <w:pStyle w:val="NormalWeb"/>
              <w:rPr>
                <w:sz w:val="18"/>
                <w:szCs w:val="18"/>
              </w:rPr>
            </w:pPr>
            <w:r w:rsidRPr="009850CC">
              <w:rPr>
                <w:sz w:val="18"/>
                <w:szCs w:val="18"/>
              </w:rPr>
              <w:t>12–15 years</w:t>
            </w:r>
          </w:p>
        </w:tc>
        <w:tc>
          <w:tcPr>
            <w:tcW w:w="1144" w:type="dxa"/>
            <w:hideMark/>
          </w:tcPr>
          <w:p w14:paraId="579B0C11" w14:textId="77777777" w:rsidR="00F97220" w:rsidRPr="009850CC" w:rsidRDefault="00F97220" w:rsidP="00725D4B">
            <w:pPr>
              <w:pStyle w:val="NormalWeb"/>
              <w:jc w:val="center"/>
              <w:rPr>
                <w:sz w:val="18"/>
                <w:szCs w:val="18"/>
              </w:rPr>
            </w:pPr>
            <w:r w:rsidRPr="009850CC">
              <w:rPr>
                <w:sz w:val="18"/>
                <w:szCs w:val="18"/>
              </w:rPr>
              <w:t>0 (0)</w:t>
            </w:r>
          </w:p>
        </w:tc>
        <w:tc>
          <w:tcPr>
            <w:tcW w:w="1843" w:type="dxa"/>
            <w:hideMark/>
          </w:tcPr>
          <w:p w14:paraId="722ACC0D" w14:textId="77777777" w:rsidR="00F97220" w:rsidRPr="009850CC" w:rsidRDefault="00F97220" w:rsidP="00725D4B">
            <w:pPr>
              <w:pStyle w:val="NormalWeb"/>
              <w:jc w:val="center"/>
              <w:rPr>
                <w:sz w:val="18"/>
                <w:szCs w:val="18"/>
              </w:rPr>
            </w:pPr>
            <w:r w:rsidRPr="009850CC">
              <w:rPr>
                <w:sz w:val="18"/>
                <w:szCs w:val="18"/>
              </w:rPr>
              <w:t>3 (5.9)</w:t>
            </w:r>
          </w:p>
        </w:tc>
        <w:tc>
          <w:tcPr>
            <w:tcW w:w="992" w:type="dxa"/>
            <w:hideMark/>
          </w:tcPr>
          <w:p w14:paraId="6EE313CB" w14:textId="77777777" w:rsidR="00F97220" w:rsidRPr="009850CC" w:rsidRDefault="00F97220" w:rsidP="00725D4B">
            <w:pPr>
              <w:pStyle w:val="NormalWeb"/>
              <w:jc w:val="center"/>
              <w:rPr>
                <w:sz w:val="18"/>
                <w:szCs w:val="18"/>
              </w:rPr>
            </w:pPr>
            <w:r w:rsidRPr="009850CC">
              <w:rPr>
                <w:sz w:val="18"/>
                <w:szCs w:val="18"/>
              </w:rPr>
              <w:t>2 (2.7)</w:t>
            </w:r>
          </w:p>
        </w:tc>
        <w:tc>
          <w:tcPr>
            <w:tcW w:w="1891" w:type="dxa"/>
            <w:hideMark/>
          </w:tcPr>
          <w:p w14:paraId="187B435E" w14:textId="77777777" w:rsidR="00F97220" w:rsidRPr="009850CC" w:rsidRDefault="00F97220" w:rsidP="00725D4B">
            <w:pPr>
              <w:pStyle w:val="NormalWeb"/>
              <w:jc w:val="center"/>
              <w:rPr>
                <w:sz w:val="18"/>
                <w:szCs w:val="18"/>
              </w:rPr>
            </w:pPr>
            <w:r w:rsidRPr="009850CC">
              <w:rPr>
                <w:sz w:val="18"/>
                <w:szCs w:val="18"/>
              </w:rPr>
              <w:t>15 (7.1)</w:t>
            </w:r>
          </w:p>
        </w:tc>
        <w:tc>
          <w:tcPr>
            <w:tcW w:w="930" w:type="dxa"/>
            <w:hideMark/>
          </w:tcPr>
          <w:p w14:paraId="4BD420EC" w14:textId="77777777" w:rsidR="00F97220" w:rsidRPr="009850CC" w:rsidRDefault="00F97220" w:rsidP="00725D4B">
            <w:pPr>
              <w:pStyle w:val="NormalWeb"/>
              <w:jc w:val="center"/>
              <w:rPr>
                <w:sz w:val="18"/>
                <w:szCs w:val="18"/>
              </w:rPr>
            </w:pPr>
            <w:r w:rsidRPr="009850CC">
              <w:rPr>
                <w:sz w:val="18"/>
                <w:szCs w:val="18"/>
              </w:rPr>
              <w:t>93 (8.8)</w:t>
            </w:r>
          </w:p>
        </w:tc>
        <w:tc>
          <w:tcPr>
            <w:tcW w:w="1110" w:type="dxa"/>
            <w:hideMark/>
          </w:tcPr>
          <w:p w14:paraId="23FFEB48" w14:textId="77777777" w:rsidR="00F97220" w:rsidRPr="009850CC" w:rsidRDefault="00F97220" w:rsidP="00725D4B">
            <w:pPr>
              <w:pStyle w:val="NormalWeb"/>
              <w:jc w:val="center"/>
              <w:rPr>
                <w:sz w:val="18"/>
                <w:szCs w:val="18"/>
              </w:rPr>
            </w:pPr>
            <w:r w:rsidRPr="009850CC">
              <w:rPr>
                <w:sz w:val="18"/>
                <w:szCs w:val="18"/>
              </w:rPr>
              <w:t>113 (7.3)</w:t>
            </w:r>
          </w:p>
        </w:tc>
      </w:tr>
      <w:tr w:rsidR="00F97220" w:rsidRPr="009850CC" w14:paraId="75D03364" w14:textId="77777777" w:rsidTr="00367470">
        <w:tc>
          <w:tcPr>
            <w:tcW w:w="0" w:type="auto"/>
            <w:hideMark/>
          </w:tcPr>
          <w:p w14:paraId="7BE01F88" w14:textId="77777777" w:rsidR="00F97220" w:rsidRPr="009850CC" w:rsidRDefault="00F97220" w:rsidP="00725D4B">
            <w:pPr>
              <w:pStyle w:val="NormalWeb"/>
              <w:rPr>
                <w:sz w:val="18"/>
                <w:szCs w:val="18"/>
              </w:rPr>
            </w:pPr>
            <w:r w:rsidRPr="009850CC">
              <w:rPr>
                <w:sz w:val="18"/>
                <w:szCs w:val="18"/>
              </w:rPr>
              <w:t>16–29 years</w:t>
            </w:r>
          </w:p>
        </w:tc>
        <w:tc>
          <w:tcPr>
            <w:tcW w:w="1144" w:type="dxa"/>
            <w:hideMark/>
          </w:tcPr>
          <w:p w14:paraId="6026AECC" w14:textId="77777777" w:rsidR="00F97220" w:rsidRPr="009850CC" w:rsidRDefault="00F97220" w:rsidP="00725D4B">
            <w:pPr>
              <w:pStyle w:val="NormalWeb"/>
              <w:jc w:val="center"/>
              <w:rPr>
                <w:sz w:val="18"/>
                <w:szCs w:val="18"/>
              </w:rPr>
            </w:pPr>
            <w:r w:rsidRPr="009850CC">
              <w:rPr>
                <w:sz w:val="18"/>
                <w:szCs w:val="18"/>
              </w:rPr>
              <w:t>22 (15)</w:t>
            </w:r>
          </w:p>
        </w:tc>
        <w:tc>
          <w:tcPr>
            <w:tcW w:w="1843" w:type="dxa"/>
            <w:hideMark/>
          </w:tcPr>
          <w:p w14:paraId="470CB4D5" w14:textId="77777777" w:rsidR="00F97220" w:rsidRPr="009850CC" w:rsidRDefault="00F97220" w:rsidP="00725D4B">
            <w:pPr>
              <w:pStyle w:val="NormalWeb"/>
              <w:jc w:val="center"/>
              <w:rPr>
                <w:sz w:val="18"/>
                <w:szCs w:val="18"/>
              </w:rPr>
            </w:pPr>
            <w:r w:rsidRPr="009850CC">
              <w:rPr>
                <w:sz w:val="18"/>
                <w:szCs w:val="18"/>
              </w:rPr>
              <w:t>17 (33.3)</w:t>
            </w:r>
          </w:p>
        </w:tc>
        <w:tc>
          <w:tcPr>
            <w:tcW w:w="992" w:type="dxa"/>
            <w:hideMark/>
          </w:tcPr>
          <w:p w14:paraId="4D82185C" w14:textId="77777777" w:rsidR="00F97220" w:rsidRPr="009850CC" w:rsidRDefault="00F97220" w:rsidP="00725D4B">
            <w:pPr>
              <w:pStyle w:val="NormalWeb"/>
              <w:jc w:val="center"/>
              <w:rPr>
                <w:sz w:val="18"/>
                <w:szCs w:val="18"/>
              </w:rPr>
            </w:pPr>
            <w:r w:rsidRPr="009850CC">
              <w:rPr>
                <w:sz w:val="18"/>
                <w:szCs w:val="18"/>
              </w:rPr>
              <w:t>23 (30.7)</w:t>
            </w:r>
          </w:p>
        </w:tc>
        <w:tc>
          <w:tcPr>
            <w:tcW w:w="1891" w:type="dxa"/>
            <w:hideMark/>
          </w:tcPr>
          <w:p w14:paraId="12ED581E" w14:textId="77777777" w:rsidR="00F97220" w:rsidRPr="009850CC" w:rsidRDefault="00F97220" w:rsidP="00725D4B">
            <w:pPr>
              <w:pStyle w:val="NormalWeb"/>
              <w:jc w:val="center"/>
              <w:rPr>
                <w:sz w:val="18"/>
                <w:szCs w:val="18"/>
              </w:rPr>
            </w:pPr>
            <w:r w:rsidRPr="009850CC">
              <w:rPr>
                <w:sz w:val="18"/>
                <w:szCs w:val="18"/>
              </w:rPr>
              <w:t>74 (34.9)</w:t>
            </w:r>
          </w:p>
        </w:tc>
        <w:tc>
          <w:tcPr>
            <w:tcW w:w="930" w:type="dxa"/>
            <w:hideMark/>
          </w:tcPr>
          <w:p w14:paraId="365A3072" w14:textId="77777777" w:rsidR="00F97220" w:rsidRPr="009850CC" w:rsidRDefault="00F97220" w:rsidP="00725D4B">
            <w:pPr>
              <w:pStyle w:val="NormalWeb"/>
              <w:jc w:val="center"/>
              <w:rPr>
                <w:sz w:val="18"/>
                <w:szCs w:val="18"/>
              </w:rPr>
            </w:pPr>
            <w:r w:rsidRPr="009850CC">
              <w:rPr>
                <w:sz w:val="18"/>
                <w:szCs w:val="18"/>
              </w:rPr>
              <w:t>338 (31.9)</w:t>
            </w:r>
          </w:p>
        </w:tc>
        <w:tc>
          <w:tcPr>
            <w:tcW w:w="1110" w:type="dxa"/>
            <w:hideMark/>
          </w:tcPr>
          <w:p w14:paraId="3D014C12" w14:textId="77777777" w:rsidR="00F97220" w:rsidRPr="009850CC" w:rsidRDefault="00F97220" w:rsidP="00725D4B">
            <w:pPr>
              <w:pStyle w:val="NormalWeb"/>
              <w:jc w:val="center"/>
              <w:rPr>
                <w:sz w:val="18"/>
                <w:szCs w:val="18"/>
              </w:rPr>
            </w:pPr>
            <w:r w:rsidRPr="009850CC">
              <w:rPr>
                <w:sz w:val="18"/>
                <w:szCs w:val="18"/>
              </w:rPr>
              <w:t>474 (30.7)</w:t>
            </w:r>
          </w:p>
        </w:tc>
      </w:tr>
      <w:tr w:rsidR="00F97220" w:rsidRPr="009850CC" w14:paraId="6C7DC5CE"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4F506FE6" w14:textId="77777777" w:rsidR="00F97220" w:rsidRPr="009850CC" w:rsidRDefault="00F97220" w:rsidP="00725D4B">
            <w:pPr>
              <w:pStyle w:val="NormalWeb"/>
              <w:rPr>
                <w:sz w:val="18"/>
                <w:szCs w:val="18"/>
              </w:rPr>
            </w:pPr>
            <w:r w:rsidRPr="009850CC">
              <w:rPr>
                <w:sz w:val="18"/>
                <w:szCs w:val="18"/>
              </w:rPr>
              <w:t>30–39 years</w:t>
            </w:r>
          </w:p>
        </w:tc>
        <w:tc>
          <w:tcPr>
            <w:tcW w:w="1144" w:type="dxa"/>
            <w:hideMark/>
          </w:tcPr>
          <w:p w14:paraId="5BE1AC09" w14:textId="77777777" w:rsidR="00F97220" w:rsidRPr="009850CC" w:rsidRDefault="00F97220" w:rsidP="00725D4B">
            <w:pPr>
              <w:pStyle w:val="NormalWeb"/>
              <w:jc w:val="center"/>
              <w:rPr>
                <w:sz w:val="18"/>
                <w:szCs w:val="18"/>
              </w:rPr>
            </w:pPr>
            <w:r w:rsidRPr="009850CC">
              <w:rPr>
                <w:sz w:val="18"/>
                <w:szCs w:val="18"/>
              </w:rPr>
              <w:t>24 (16.3)</w:t>
            </w:r>
          </w:p>
        </w:tc>
        <w:tc>
          <w:tcPr>
            <w:tcW w:w="1843" w:type="dxa"/>
            <w:hideMark/>
          </w:tcPr>
          <w:p w14:paraId="7B91BB2B" w14:textId="77777777" w:rsidR="00F97220" w:rsidRPr="009850CC" w:rsidRDefault="00F97220" w:rsidP="00725D4B">
            <w:pPr>
              <w:pStyle w:val="NormalWeb"/>
              <w:jc w:val="center"/>
              <w:rPr>
                <w:sz w:val="18"/>
                <w:szCs w:val="18"/>
              </w:rPr>
            </w:pPr>
            <w:r w:rsidRPr="009850CC">
              <w:rPr>
                <w:sz w:val="18"/>
                <w:szCs w:val="18"/>
              </w:rPr>
              <w:t>9 (17.6)</w:t>
            </w:r>
          </w:p>
        </w:tc>
        <w:tc>
          <w:tcPr>
            <w:tcW w:w="992" w:type="dxa"/>
            <w:hideMark/>
          </w:tcPr>
          <w:p w14:paraId="20C66206" w14:textId="77777777" w:rsidR="00F97220" w:rsidRPr="009850CC" w:rsidRDefault="00F97220" w:rsidP="00725D4B">
            <w:pPr>
              <w:pStyle w:val="NormalWeb"/>
              <w:jc w:val="center"/>
              <w:rPr>
                <w:sz w:val="18"/>
                <w:szCs w:val="18"/>
              </w:rPr>
            </w:pPr>
            <w:r w:rsidRPr="009850CC">
              <w:rPr>
                <w:sz w:val="18"/>
                <w:szCs w:val="18"/>
              </w:rPr>
              <w:t>16 (21.3)</w:t>
            </w:r>
          </w:p>
        </w:tc>
        <w:tc>
          <w:tcPr>
            <w:tcW w:w="1891" w:type="dxa"/>
            <w:hideMark/>
          </w:tcPr>
          <w:p w14:paraId="75AB4E54" w14:textId="77777777" w:rsidR="00F97220" w:rsidRPr="009850CC" w:rsidRDefault="00F97220" w:rsidP="00725D4B">
            <w:pPr>
              <w:pStyle w:val="NormalWeb"/>
              <w:jc w:val="center"/>
              <w:rPr>
                <w:sz w:val="18"/>
                <w:szCs w:val="18"/>
              </w:rPr>
            </w:pPr>
            <w:r w:rsidRPr="009850CC">
              <w:rPr>
                <w:sz w:val="18"/>
                <w:szCs w:val="18"/>
              </w:rPr>
              <w:t>60 (28.3)</w:t>
            </w:r>
          </w:p>
        </w:tc>
        <w:tc>
          <w:tcPr>
            <w:tcW w:w="930" w:type="dxa"/>
            <w:hideMark/>
          </w:tcPr>
          <w:p w14:paraId="47E8D7AA" w14:textId="77777777" w:rsidR="00F97220" w:rsidRPr="009850CC" w:rsidRDefault="00F97220" w:rsidP="00725D4B">
            <w:pPr>
              <w:pStyle w:val="NormalWeb"/>
              <w:jc w:val="center"/>
              <w:rPr>
                <w:sz w:val="18"/>
                <w:szCs w:val="18"/>
              </w:rPr>
            </w:pPr>
            <w:r w:rsidRPr="009850CC">
              <w:rPr>
                <w:sz w:val="18"/>
                <w:szCs w:val="18"/>
              </w:rPr>
              <w:t>176 (16.6)</w:t>
            </w:r>
          </w:p>
        </w:tc>
        <w:tc>
          <w:tcPr>
            <w:tcW w:w="1110" w:type="dxa"/>
            <w:hideMark/>
          </w:tcPr>
          <w:p w14:paraId="4AA66501" w14:textId="77777777" w:rsidR="00F97220" w:rsidRPr="009850CC" w:rsidRDefault="00F97220" w:rsidP="00725D4B">
            <w:pPr>
              <w:pStyle w:val="NormalWeb"/>
              <w:jc w:val="center"/>
              <w:rPr>
                <w:sz w:val="18"/>
                <w:szCs w:val="18"/>
              </w:rPr>
            </w:pPr>
            <w:r w:rsidRPr="009850CC">
              <w:rPr>
                <w:sz w:val="18"/>
                <w:szCs w:val="18"/>
              </w:rPr>
              <w:t>285 (18.4)</w:t>
            </w:r>
          </w:p>
        </w:tc>
      </w:tr>
      <w:tr w:rsidR="00F97220" w:rsidRPr="009850CC" w14:paraId="211B8478" w14:textId="77777777" w:rsidTr="00367470">
        <w:tc>
          <w:tcPr>
            <w:tcW w:w="0" w:type="auto"/>
            <w:hideMark/>
          </w:tcPr>
          <w:p w14:paraId="301A6600" w14:textId="77777777" w:rsidR="00F97220" w:rsidRPr="009850CC" w:rsidRDefault="00F97220" w:rsidP="00725D4B">
            <w:pPr>
              <w:pStyle w:val="NormalWeb"/>
              <w:rPr>
                <w:sz w:val="18"/>
                <w:szCs w:val="18"/>
              </w:rPr>
            </w:pPr>
            <w:r w:rsidRPr="009850CC">
              <w:rPr>
                <w:sz w:val="18"/>
                <w:szCs w:val="18"/>
              </w:rPr>
              <w:t>40–49 years</w:t>
            </w:r>
          </w:p>
        </w:tc>
        <w:tc>
          <w:tcPr>
            <w:tcW w:w="1144" w:type="dxa"/>
            <w:hideMark/>
          </w:tcPr>
          <w:p w14:paraId="7FC7D2B5" w14:textId="77777777" w:rsidR="00F97220" w:rsidRPr="009850CC" w:rsidRDefault="00F97220" w:rsidP="00725D4B">
            <w:pPr>
              <w:pStyle w:val="NormalWeb"/>
              <w:jc w:val="center"/>
              <w:rPr>
                <w:sz w:val="18"/>
                <w:szCs w:val="18"/>
              </w:rPr>
            </w:pPr>
            <w:r w:rsidRPr="009850CC">
              <w:rPr>
                <w:sz w:val="18"/>
                <w:szCs w:val="18"/>
              </w:rPr>
              <w:t>31 (21.1)</w:t>
            </w:r>
          </w:p>
        </w:tc>
        <w:tc>
          <w:tcPr>
            <w:tcW w:w="1843" w:type="dxa"/>
            <w:hideMark/>
          </w:tcPr>
          <w:p w14:paraId="2FEB5940" w14:textId="77777777" w:rsidR="00F97220" w:rsidRPr="009850CC" w:rsidRDefault="00F97220" w:rsidP="00725D4B">
            <w:pPr>
              <w:pStyle w:val="NormalWeb"/>
              <w:jc w:val="center"/>
              <w:rPr>
                <w:sz w:val="18"/>
                <w:szCs w:val="18"/>
              </w:rPr>
            </w:pPr>
            <w:r w:rsidRPr="009850CC">
              <w:rPr>
                <w:sz w:val="18"/>
                <w:szCs w:val="18"/>
              </w:rPr>
              <w:t>9 (17.6)</w:t>
            </w:r>
          </w:p>
        </w:tc>
        <w:tc>
          <w:tcPr>
            <w:tcW w:w="992" w:type="dxa"/>
            <w:hideMark/>
          </w:tcPr>
          <w:p w14:paraId="72CBAA83" w14:textId="77777777" w:rsidR="00F97220" w:rsidRPr="009850CC" w:rsidRDefault="00F97220" w:rsidP="00725D4B">
            <w:pPr>
              <w:pStyle w:val="NormalWeb"/>
              <w:jc w:val="center"/>
              <w:rPr>
                <w:sz w:val="18"/>
                <w:szCs w:val="18"/>
              </w:rPr>
            </w:pPr>
            <w:r w:rsidRPr="009850CC">
              <w:rPr>
                <w:sz w:val="18"/>
                <w:szCs w:val="18"/>
              </w:rPr>
              <w:t>11 (14.7)</w:t>
            </w:r>
          </w:p>
        </w:tc>
        <w:tc>
          <w:tcPr>
            <w:tcW w:w="1891" w:type="dxa"/>
            <w:hideMark/>
          </w:tcPr>
          <w:p w14:paraId="0A59619F" w14:textId="77777777" w:rsidR="00F97220" w:rsidRPr="009850CC" w:rsidRDefault="00F97220" w:rsidP="00725D4B">
            <w:pPr>
              <w:pStyle w:val="NormalWeb"/>
              <w:jc w:val="center"/>
              <w:rPr>
                <w:sz w:val="18"/>
                <w:szCs w:val="18"/>
              </w:rPr>
            </w:pPr>
            <w:r w:rsidRPr="009850CC">
              <w:rPr>
                <w:sz w:val="18"/>
                <w:szCs w:val="18"/>
              </w:rPr>
              <w:t>39 (18.4)</w:t>
            </w:r>
          </w:p>
        </w:tc>
        <w:tc>
          <w:tcPr>
            <w:tcW w:w="930" w:type="dxa"/>
            <w:hideMark/>
          </w:tcPr>
          <w:p w14:paraId="2202D852" w14:textId="77777777" w:rsidR="00F97220" w:rsidRPr="009850CC" w:rsidRDefault="00F97220" w:rsidP="00725D4B">
            <w:pPr>
              <w:pStyle w:val="NormalWeb"/>
              <w:jc w:val="center"/>
              <w:rPr>
                <w:sz w:val="18"/>
                <w:szCs w:val="18"/>
              </w:rPr>
            </w:pPr>
            <w:r w:rsidRPr="009850CC">
              <w:rPr>
                <w:sz w:val="18"/>
                <w:szCs w:val="18"/>
              </w:rPr>
              <w:t>109 (10.3)</w:t>
            </w:r>
          </w:p>
        </w:tc>
        <w:tc>
          <w:tcPr>
            <w:tcW w:w="1110" w:type="dxa"/>
            <w:hideMark/>
          </w:tcPr>
          <w:p w14:paraId="6231872C" w14:textId="77777777" w:rsidR="00F97220" w:rsidRPr="009850CC" w:rsidRDefault="00F97220" w:rsidP="00725D4B">
            <w:pPr>
              <w:pStyle w:val="NormalWeb"/>
              <w:jc w:val="center"/>
              <w:rPr>
                <w:sz w:val="18"/>
                <w:szCs w:val="18"/>
              </w:rPr>
            </w:pPr>
            <w:r w:rsidRPr="009850CC">
              <w:rPr>
                <w:sz w:val="18"/>
                <w:szCs w:val="18"/>
              </w:rPr>
              <w:t>199 (12.9)</w:t>
            </w:r>
          </w:p>
        </w:tc>
      </w:tr>
      <w:tr w:rsidR="00F97220" w:rsidRPr="009850CC" w14:paraId="1907BC60"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37B5AF22" w14:textId="77777777" w:rsidR="00F97220" w:rsidRPr="009850CC" w:rsidRDefault="00F97220" w:rsidP="00725D4B">
            <w:pPr>
              <w:pStyle w:val="NormalWeb"/>
              <w:rPr>
                <w:sz w:val="18"/>
                <w:szCs w:val="18"/>
              </w:rPr>
            </w:pPr>
            <w:r w:rsidRPr="009850CC">
              <w:rPr>
                <w:sz w:val="18"/>
                <w:szCs w:val="18"/>
              </w:rPr>
              <w:t>50–59 years</w:t>
            </w:r>
          </w:p>
        </w:tc>
        <w:tc>
          <w:tcPr>
            <w:tcW w:w="1144" w:type="dxa"/>
            <w:hideMark/>
          </w:tcPr>
          <w:p w14:paraId="500C8664" w14:textId="77777777" w:rsidR="00F97220" w:rsidRPr="009850CC" w:rsidRDefault="00F97220" w:rsidP="00725D4B">
            <w:pPr>
              <w:pStyle w:val="NormalWeb"/>
              <w:jc w:val="center"/>
              <w:rPr>
                <w:sz w:val="18"/>
                <w:szCs w:val="18"/>
              </w:rPr>
            </w:pPr>
            <w:r w:rsidRPr="009850CC">
              <w:rPr>
                <w:sz w:val="18"/>
                <w:szCs w:val="18"/>
              </w:rPr>
              <w:t>35 (23.8)</w:t>
            </w:r>
          </w:p>
        </w:tc>
        <w:tc>
          <w:tcPr>
            <w:tcW w:w="1843" w:type="dxa"/>
            <w:hideMark/>
          </w:tcPr>
          <w:p w14:paraId="0B8C7868" w14:textId="77777777" w:rsidR="00F97220" w:rsidRPr="009850CC" w:rsidRDefault="00F97220" w:rsidP="00725D4B">
            <w:pPr>
              <w:pStyle w:val="NormalWeb"/>
              <w:jc w:val="center"/>
              <w:rPr>
                <w:sz w:val="18"/>
                <w:szCs w:val="18"/>
              </w:rPr>
            </w:pPr>
            <w:r w:rsidRPr="009850CC">
              <w:rPr>
                <w:sz w:val="18"/>
                <w:szCs w:val="18"/>
              </w:rPr>
              <w:t>8 (15.7)</w:t>
            </w:r>
          </w:p>
        </w:tc>
        <w:tc>
          <w:tcPr>
            <w:tcW w:w="992" w:type="dxa"/>
            <w:hideMark/>
          </w:tcPr>
          <w:p w14:paraId="26F3EB99" w14:textId="77777777" w:rsidR="00F97220" w:rsidRPr="009850CC" w:rsidRDefault="00F97220" w:rsidP="00725D4B">
            <w:pPr>
              <w:pStyle w:val="NormalWeb"/>
              <w:jc w:val="center"/>
              <w:rPr>
                <w:sz w:val="18"/>
                <w:szCs w:val="18"/>
              </w:rPr>
            </w:pPr>
            <w:r w:rsidRPr="009850CC">
              <w:rPr>
                <w:sz w:val="18"/>
                <w:szCs w:val="18"/>
              </w:rPr>
              <w:t>11 (14.7)</w:t>
            </w:r>
          </w:p>
        </w:tc>
        <w:tc>
          <w:tcPr>
            <w:tcW w:w="1891" w:type="dxa"/>
            <w:hideMark/>
          </w:tcPr>
          <w:p w14:paraId="76A220CC" w14:textId="77777777" w:rsidR="00F97220" w:rsidRPr="009850CC" w:rsidRDefault="00F97220" w:rsidP="00725D4B">
            <w:pPr>
              <w:pStyle w:val="NormalWeb"/>
              <w:jc w:val="center"/>
              <w:rPr>
                <w:sz w:val="18"/>
                <w:szCs w:val="18"/>
              </w:rPr>
            </w:pPr>
            <w:r w:rsidRPr="009850CC">
              <w:rPr>
                <w:sz w:val="18"/>
                <w:szCs w:val="18"/>
              </w:rPr>
              <w:t>18 (8.5)</w:t>
            </w:r>
          </w:p>
        </w:tc>
        <w:tc>
          <w:tcPr>
            <w:tcW w:w="930" w:type="dxa"/>
            <w:hideMark/>
          </w:tcPr>
          <w:p w14:paraId="44D1389B" w14:textId="77777777" w:rsidR="00F97220" w:rsidRPr="009850CC" w:rsidRDefault="00F97220" w:rsidP="00725D4B">
            <w:pPr>
              <w:pStyle w:val="NormalWeb"/>
              <w:jc w:val="center"/>
              <w:rPr>
                <w:sz w:val="18"/>
                <w:szCs w:val="18"/>
              </w:rPr>
            </w:pPr>
            <w:r w:rsidRPr="009850CC">
              <w:rPr>
                <w:sz w:val="18"/>
                <w:szCs w:val="18"/>
              </w:rPr>
              <w:t>37 (3.5)</w:t>
            </w:r>
          </w:p>
        </w:tc>
        <w:tc>
          <w:tcPr>
            <w:tcW w:w="1110" w:type="dxa"/>
            <w:hideMark/>
          </w:tcPr>
          <w:p w14:paraId="29756DF3" w14:textId="77777777" w:rsidR="00F97220" w:rsidRPr="009850CC" w:rsidRDefault="00F97220" w:rsidP="00725D4B">
            <w:pPr>
              <w:pStyle w:val="NormalWeb"/>
              <w:jc w:val="center"/>
              <w:rPr>
                <w:sz w:val="18"/>
                <w:szCs w:val="18"/>
              </w:rPr>
            </w:pPr>
            <w:r w:rsidRPr="009850CC">
              <w:rPr>
                <w:sz w:val="18"/>
                <w:szCs w:val="18"/>
              </w:rPr>
              <w:t>109 (7.1)</w:t>
            </w:r>
          </w:p>
        </w:tc>
      </w:tr>
      <w:tr w:rsidR="00F97220" w:rsidRPr="009850CC" w14:paraId="2E46E8F0" w14:textId="77777777" w:rsidTr="00367470">
        <w:tc>
          <w:tcPr>
            <w:tcW w:w="0" w:type="auto"/>
            <w:hideMark/>
          </w:tcPr>
          <w:p w14:paraId="58D27216" w14:textId="77777777" w:rsidR="00F97220" w:rsidRPr="009850CC" w:rsidRDefault="00F97220" w:rsidP="00725D4B">
            <w:pPr>
              <w:pStyle w:val="NormalWeb"/>
              <w:rPr>
                <w:sz w:val="18"/>
                <w:szCs w:val="18"/>
              </w:rPr>
            </w:pPr>
            <w:r w:rsidRPr="009850CC">
              <w:rPr>
                <w:sz w:val="18"/>
                <w:szCs w:val="18"/>
              </w:rPr>
              <w:t>≥ 60 years</w:t>
            </w:r>
          </w:p>
        </w:tc>
        <w:tc>
          <w:tcPr>
            <w:tcW w:w="1144" w:type="dxa"/>
            <w:hideMark/>
          </w:tcPr>
          <w:p w14:paraId="1C6F8D36" w14:textId="77777777" w:rsidR="00F97220" w:rsidRPr="009850CC" w:rsidRDefault="00F97220" w:rsidP="00725D4B">
            <w:pPr>
              <w:pStyle w:val="NormalWeb"/>
              <w:jc w:val="center"/>
              <w:rPr>
                <w:sz w:val="18"/>
                <w:szCs w:val="18"/>
              </w:rPr>
            </w:pPr>
            <w:r w:rsidRPr="009850CC">
              <w:rPr>
                <w:sz w:val="18"/>
                <w:szCs w:val="18"/>
              </w:rPr>
              <w:t>35 (23.8)</w:t>
            </w:r>
          </w:p>
        </w:tc>
        <w:tc>
          <w:tcPr>
            <w:tcW w:w="1843" w:type="dxa"/>
            <w:hideMark/>
          </w:tcPr>
          <w:p w14:paraId="7E891493" w14:textId="77777777" w:rsidR="00F97220" w:rsidRPr="009850CC" w:rsidRDefault="00F97220" w:rsidP="00725D4B">
            <w:pPr>
              <w:pStyle w:val="NormalWeb"/>
              <w:jc w:val="center"/>
              <w:rPr>
                <w:sz w:val="18"/>
                <w:szCs w:val="18"/>
              </w:rPr>
            </w:pPr>
            <w:r w:rsidRPr="009850CC">
              <w:rPr>
                <w:sz w:val="18"/>
                <w:szCs w:val="18"/>
              </w:rPr>
              <w:t>5 (9.8)</w:t>
            </w:r>
          </w:p>
        </w:tc>
        <w:tc>
          <w:tcPr>
            <w:tcW w:w="992" w:type="dxa"/>
            <w:hideMark/>
          </w:tcPr>
          <w:p w14:paraId="6BE741F0" w14:textId="77777777" w:rsidR="00F97220" w:rsidRPr="009850CC" w:rsidRDefault="00F97220" w:rsidP="00725D4B">
            <w:pPr>
              <w:pStyle w:val="NormalWeb"/>
              <w:jc w:val="center"/>
              <w:rPr>
                <w:sz w:val="18"/>
                <w:szCs w:val="18"/>
              </w:rPr>
            </w:pPr>
            <w:r w:rsidRPr="009850CC">
              <w:rPr>
                <w:sz w:val="18"/>
                <w:szCs w:val="18"/>
              </w:rPr>
              <w:t>12 (16)</w:t>
            </w:r>
          </w:p>
        </w:tc>
        <w:tc>
          <w:tcPr>
            <w:tcW w:w="1891" w:type="dxa"/>
            <w:hideMark/>
          </w:tcPr>
          <w:p w14:paraId="21D97BD1" w14:textId="77777777" w:rsidR="00F97220" w:rsidRPr="009850CC" w:rsidRDefault="00F97220" w:rsidP="00725D4B">
            <w:pPr>
              <w:pStyle w:val="NormalWeb"/>
              <w:jc w:val="center"/>
              <w:rPr>
                <w:sz w:val="18"/>
                <w:szCs w:val="18"/>
              </w:rPr>
            </w:pPr>
            <w:r w:rsidRPr="009850CC">
              <w:rPr>
                <w:sz w:val="18"/>
                <w:szCs w:val="18"/>
              </w:rPr>
              <w:t>6 (2.8)</w:t>
            </w:r>
          </w:p>
        </w:tc>
        <w:tc>
          <w:tcPr>
            <w:tcW w:w="930" w:type="dxa"/>
            <w:hideMark/>
          </w:tcPr>
          <w:p w14:paraId="2F6FBC7F" w14:textId="77777777" w:rsidR="00F97220" w:rsidRPr="009850CC" w:rsidRDefault="00F97220" w:rsidP="00725D4B">
            <w:pPr>
              <w:pStyle w:val="NormalWeb"/>
              <w:jc w:val="center"/>
              <w:rPr>
                <w:sz w:val="18"/>
                <w:szCs w:val="18"/>
              </w:rPr>
            </w:pPr>
            <w:r w:rsidRPr="009850CC">
              <w:rPr>
                <w:sz w:val="18"/>
                <w:szCs w:val="18"/>
              </w:rPr>
              <w:t>35 (3.3)</w:t>
            </w:r>
          </w:p>
        </w:tc>
        <w:tc>
          <w:tcPr>
            <w:tcW w:w="1110" w:type="dxa"/>
            <w:hideMark/>
          </w:tcPr>
          <w:p w14:paraId="6C9F171F" w14:textId="77777777" w:rsidR="00F97220" w:rsidRPr="009850CC" w:rsidRDefault="00F97220" w:rsidP="00725D4B">
            <w:pPr>
              <w:pStyle w:val="NormalWeb"/>
              <w:jc w:val="center"/>
              <w:rPr>
                <w:sz w:val="18"/>
                <w:szCs w:val="18"/>
              </w:rPr>
            </w:pPr>
            <w:r w:rsidRPr="009850CC">
              <w:rPr>
                <w:sz w:val="18"/>
                <w:szCs w:val="18"/>
              </w:rPr>
              <w:t>93 (6.0)</w:t>
            </w:r>
          </w:p>
        </w:tc>
      </w:tr>
      <w:tr w:rsidR="006818E8" w:rsidRPr="006818E8" w14:paraId="0059C384" w14:textId="77777777" w:rsidTr="000810C8">
        <w:trPr>
          <w:cnfStyle w:val="000000010000" w:firstRow="0" w:lastRow="0" w:firstColumn="0" w:lastColumn="0" w:oddVBand="0" w:evenVBand="0" w:oddHBand="0" w:evenHBand="1" w:firstRowFirstColumn="0" w:firstRowLastColumn="0" w:lastRowFirstColumn="0" w:lastRowLastColumn="0"/>
        </w:trPr>
        <w:tc>
          <w:tcPr>
            <w:tcW w:w="0" w:type="auto"/>
            <w:gridSpan w:val="7"/>
            <w:shd w:val="clear" w:color="auto" w:fill="BBA991"/>
            <w:hideMark/>
          </w:tcPr>
          <w:p w14:paraId="71630F95" w14:textId="77777777" w:rsidR="00F97220" w:rsidRPr="006818E8" w:rsidRDefault="00F97220" w:rsidP="00725D4B">
            <w:pPr>
              <w:pStyle w:val="NormalWeb"/>
              <w:rPr>
                <w:b/>
                <w:bCs/>
                <w:color w:val="000000" w:themeColor="text1"/>
                <w:sz w:val="18"/>
                <w:szCs w:val="18"/>
              </w:rPr>
            </w:pPr>
            <w:r w:rsidRPr="006818E8">
              <w:rPr>
                <w:b/>
                <w:bCs/>
                <w:color w:val="000000" w:themeColor="text1"/>
                <w:sz w:val="18"/>
                <w:szCs w:val="18"/>
              </w:rPr>
              <w:t>Sex</w:t>
            </w:r>
          </w:p>
        </w:tc>
      </w:tr>
      <w:tr w:rsidR="00F97220" w:rsidRPr="009850CC" w14:paraId="5FFCE458" w14:textId="77777777" w:rsidTr="00367470">
        <w:tc>
          <w:tcPr>
            <w:tcW w:w="0" w:type="auto"/>
            <w:hideMark/>
          </w:tcPr>
          <w:p w14:paraId="0EAE4026" w14:textId="77777777" w:rsidR="00F97220" w:rsidRPr="009850CC" w:rsidRDefault="00F97220" w:rsidP="00725D4B">
            <w:pPr>
              <w:pStyle w:val="NormalWeb"/>
              <w:rPr>
                <w:sz w:val="18"/>
                <w:szCs w:val="18"/>
              </w:rPr>
            </w:pPr>
            <w:r w:rsidRPr="009850CC">
              <w:rPr>
                <w:sz w:val="18"/>
                <w:szCs w:val="18"/>
              </w:rPr>
              <w:t>Male</w:t>
            </w:r>
          </w:p>
        </w:tc>
        <w:tc>
          <w:tcPr>
            <w:tcW w:w="1144" w:type="dxa"/>
            <w:hideMark/>
          </w:tcPr>
          <w:p w14:paraId="4DDFB730" w14:textId="77777777" w:rsidR="00F97220" w:rsidRPr="009850CC" w:rsidRDefault="00F97220" w:rsidP="00725D4B">
            <w:pPr>
              <w:pStyle w:val="NormalWeb"/>
              <w:jc w:val="center"/>
              <w:rPr>
                <w:sz w:val="18"/>
                <w:szCs w:val="18"/>
              </w:rPr>
            </w:pPr>
            <w:r w:rsidRPr="009850CC">
              <w:rPr>
                <w:sz w:val="18"/>
                <w:szCs w:val="18"/>
              </w:rPr>
              <w:t>79 (53.7)</w:t>
            </w:r>
          </w:p>
        </w:tc>
        <w:tc>
          <w:tcPr>
            <w:tcW w:w="1843" w:type="dxa"/>
            <w:hideMark/>
          </w:tcPr>
          <w:p w14:paraId="1A839C4A" w14:textId="77777777" w:rsidR="00F97220" w:rsidRPr="009850CC" w:rsidRDefault="00F97220" w:rsidP="00725D4B">
            <w:pPr>
              <w:pStyle w:val="NormalWeb"/>
              <w:jc w:val="center"/>
              <w:rPr>
                <w:sz w:val="18"/>
                <w:szCs w:val="18"/>
              </w:rPr>
            </w:pPr>
            <w:r w:rsidRPr="009850CC">
              <w:rPr>
                <w:sz w:val="18"/>
                <w:szCs w:val="18"/>
              </w:rPr>
              <w:t>30 (58.8)</w:t>
            </w:r>
          </w:p>
        </w:tc>
        <w:tc>
          <w:tcPr>
            <w:tcW w:w="992" w:type="dxa"/>
            <w:hideMark/>
          </w:tcPr>
          <w:p w14:paraId="460F857E" w14:textId="77777777" w:rsidR="00F97220" w:rsidRPr="009850CC" w:rsidRDefault="00F97220" w:rsidP="00725D4B">
            <w:pPr>
              <w:pStyle w:val="NormalWeb"/>
              <w:jc w:val="center"/>
              <w:rPr>
                <w:sz w:val="18"/>
                <w:szCs w:val="18"/>
              </w:rPr>
            </w:pPr>
            <w:r w:rsidRPr="009850CC">
              <w:rPr>
                <w:sz w:val="18"/>
                <w:szCs w:val="18"/>
              </w:rPr>
              <w:t>23 (30.7)</w:t>
            </w:r>
          </w:p>
        </w:tc>
        <w:tc>
          <w:tcPr>
            <w:tcW w:w="1891" w:type="dxa"/>
            <w:hideMark/>
          </w:tcPr>
          <w:p w14:paraId="5C811EF8" w14:textId="77777777" w:rsidR="00F97220" w:rsidRPr="009850CC" w:rsidRDefault="00F97220" w:rsidP="00725D4B">
            <w:pPr>
              <w:pStyle w:val="NormalWeb"/>
              <w:jc w:val="center"/>
              <w:rPr>
                <w:sz w:val="18"/>
                <w:szCs w:val="18"/>
              </w:rPr>
            </w:pPr>
            <w:r w:rsidRPr="009850CC">
              <w:rPr>
                <w:sz w:val="18"/>
                <w:szCs w:val="18"/>
              </w:rPr>
              <w:t>103 (48.6)</w:t>
            </w:r>
          </w:p>
        </w:tc>
        <w:tc>
          <w:tcPr>
            <w:tcW w:w="930" w:type="dxa"/>
            <w:hideMark/>
          </w:tcPr>
          <w:p w14:paraId="608DF505" w14:textId="77777777" w:rsidR="00F97220" w:rsidRPr="009850CC" w:rsidRDefault="00F97220" w:rsidP="00725D4B">
            <w:pPr>
              <w:pStyle w:val="NormalWeb"/>
              <w:jc w:val="center"/>
              <w:rPr>
                <w:sz w:val="18"/>
                <w:szCs w:val="18"/>
              </w:rPr>
            </w:pPr>
            <w:r w:rsidRPr="009850CC">
              <w:rPr>
                <w:sz w:val="18"/>
                <w:szCs w:val="18"/>
              </w:rPr>
              <w:t>486 (45.8)</w:t>
            </w:r>
          </w:p>
        </w:tc>
        <w:tc>
          <w:tcPr>
            <w:tcW w:w="1110" w:type="dxa"/>
            <w:hideMark/>
          </w:tcPr>
          <w:p w14:paraId="40FDB45B" w14:textId="77777777" w:rsidR="00F97220" w:rsidRPr="009850CC" w:rsidRDefault="00F97220" w:rsidP="00725D4B">
            <w:pPr>
              <w:pStyle w:val="NormalWeb"/>
              <w:jc w:val="center"/>
              <w:rPr>
                <w:sz w:val="18"/>
                <w:szCs w:val="18"/>
              </w:rPr>
            </w:pPr>
            <w:r w:rsidRPr="009850CC">
              <w:rPr>
                <w:sz w:val="18"/>
                <w:szCs w:val="18"/>
              </w:rPr>
              <w:t>721 (46.7)</w:t>
            </w:r>
          </w:p>
        </w:tc>
      </w:tr>
      <w:tr w:rsidR="00F97220" w:rsidRPr="009850CC" w14:paraId="5267C9B1"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03D0E348" w14:textId="77777777" w:rsidR="00F97220" w:rsidRPr="009850CC" w:rsidRDefault="00F97220" w:rsidP="00725D4B">
            <w:pPr>
              <w:pStyle w:val="NormalWeb"/>
              <w:rPr>
                <w:sz w:val="18"/>
                <w:szCs w:val="18"/>
              </w:rPr>
            </w:pPr>
            <w:r w:rsidRPr="009850CC">
              <w:rPr>
                <w:sz w:val="18"/>
                <w:szCs w:val="18"/>
              </w:rPr>
              <w:t>Female</w:t>
            </w:r>
          </w:p>
        </w:tc>
        <w:tc>
          <w:tcPr>
            <w:tcW w:w="1144" w:type="dxa"/>
            <w:hideMark/>
          </w:tcPr>
          <w:p w14:paraId="7FABF66D" w14:textId="77777777" w:rsidR="00F97220" w:rsidRPr="009850CC" w:rsidRDefault="00F97220" w:rsidP="00725D4B">
            <w:pPr>
              <w:pStyle w:val="NormalWeb"/>
              <w:jc w:val="center"/>
              <w:rPr>
                <w:sz w:val="18"/>
                <w:szCs w:val="18"/>
              </w:rPr>
            </w:pPr>
            <w:r w:rsidRPr="009850CC">
              <w:rPr>
                <w:sz w:val="18"/>
                <w:szCs w:val="18"/>
              </w:rPr>
              <w:t>68 (46.3)</w:t>
            </w:r>
          </w:p>
        </w:tc>
        <w:tc>
          <w:tcPr>
            <w:tcW w:w="1843" w:type="dxa"/>
            <w:hideMark/>
          </w:tcPr>
          <w:p w14:paraId="0319B96C" w14:textId="77777777" w:rsidR="00F97220" w:rsidRPr="009850CC" w:rsidRDefault="00F97220" w:rsidP="00725D4B">
            <w:pPr>
              <w:pStyle w:val="NormalWeb"/>
              <w:jc w:val="center"/>
              <w:rPr>
                <w:sz w:val="18"/>
                <w:szCs w:val="18"/>
              </w:rPr>
            </w:pPr>
            <w:r w:rsidRPr="009850CC">
              <w:rPr>
                <w:sz w:val="18"/>
                <w:szCs w:val="18"/>
              </w:rPr>
              <w:t>21 (41.2)</w:t>
            </w:r>
          </w:p>
        </w:tc>
        <w:tc>
          <w:tcPr>
            <w:tcW w:w="992" w:type="dxa"/>
            <w:hideMark/>
          </w:tcPr>
          <w:p w14:paraId="0CEB2799" w14:textId="77777777" w:rsidR="00F97220" w:rsidRPr="009850CC" w:rsidRDefault="00F97220" w:rsidP="00725D4B">
            <w:pPr>
              <w:pStyle w:val="NormalWeb"/>
              <w:jc w:val="center"/>
              <w:rPr>
                <w:sz w:val="18"/>
                <w:szCs w:val="18"/>
              </w:rPr>
            </w:pPr>
            <w:r w:rsidRPr="009850CC">
              <w:rPr>
                <w:sz w:val="18"/>
                <w:szCs w:val="18"/>
              </w:rPr>
              <w:t>52 (69.3)</w:t>
            </w:r>
          </w:p>
        </w:tc>
        <w:tc>
          <w:tcPr>
            <w:tcW w:w="1891" w:type="dxa"/>
            <w:hideMark/>
          </w:tcPr>
          <w:p w14:paraId="345AD760" w14:textId="77777777" w:rsidR="00F97220" w:rsidRPr="009850CC" w:rsidRDefault="00F97220" w:rsidP="00725D4B">
            <w:pPr>
              <w:pStyle w:val="NormalWeb"/>
              <w:jc w:val="center"/>
              <w:rPr>
                <w:sz w:val="18"/>
                <w:szCs w:val="18"/>
              </w:rPr>
            </w:pPr>
            <w:r w:rsidRPr="009850CC">
              <w:rPr>
                <w:sz w:val="18"/>
                <w:szCs w:val="18"/>
              </w:rPr>
              <w:t>109 (51.4)</w:t>
            </w:r>
          </w:p>
        </w:tc>
        <w:tc>
          <w:tcPr>
            <w:tcW w:w="930" w:type="dxa"/>
            <w:hideMark/>
          </w:tcPr>
          <w:p w14:paraId="1C055097" w14:textId="77777777" w:rsidR="00F97220" w:rsidRPr="009850CC" w:rsidRDefault="00F97220" w:rsidP="00725D4B">
            <w:pPr>
              <w:pStyle w:val="NormalWeb"/>
              <w:jc w:val="center"/>
              <w:rPr>
                <w:sz w:val="18"/>
                <w:szCs w:val="18"/>
              </w:rPr>
            </w:pPr>
            <w:r w:rsidRPr="009850CC">
              <w:rPr>
                <w:sz w:val="18"/>
                <w:szCs w:val="18"/>
              </w:rPr>
              <w:t>574 (54.2)</w:t>
            </w:r>
          </w:p>
        </w:tc>
        <w:tc>
          <w:tcPr>
            <w:tcW w:w="1110" w:type="dxa"/>
            <w:hideMark/>
          </w:tcPr>
          <w:p w14:paraId="12F16978" w14:textId="77777777" w:rsidR="00F97220" w:rsidRPr="009850CC" w:rsidRDefault="00F97220" w:rsidP="00725D4B">
            <w:pPr>
              <w:pStyle w:val="NormalWeb"/>
              <w:jc w:val="center"/>
              <w:rPr>
                <w:sz w:val="18"/>
                <w:szCs w:val="18"/>
              </w:rPr>
            </w:pPr>
            <w:r w:rsidRPr="009850CC">
              <w:rPr>
                <w:sz w:val="18"/>
                <w:szCs w:val="18"/>
              </w:rPr>
              <w:t>824 (53.3)</w:t>
            </w:r>
          </w:p>
        </w:tc>
      </w:tr>
      <w:tr w:rsidR="006818E8" w:rsidRPr="006818E8" w14:paraId="1B410F1D" w14:textId="77777777" w:rsidTr="000810C8">
        <w:tc>
          <w:tcPr>
            <w:tcW w:w="0" w:type="auto"/>
            <w:gridSpan w:val="7"/>
            <w:shd w:val="clear" w:color="auto" w:fill="BBA991"/>
            <w:hideMark/>
          </w:tcPr>
          <w:p w14:paraId="72B16A1F" w14:textId="77777777" w:rsidR="00F97220" w:rsidRPr="006818E8" w:rsidRDefault="00F97220" w:rsidP="00725D4B">
            <w:pPr>
              <w:pStyle w:val="NormalWeb"/>
              <w:rPr>
                <w:color w:val="000000" w:themeColor="text1"/>
                <w:sz w:val="18"/>
                <w:szCs w:val="18"/>
              </w:rPr>
            </w:pPr>
            <w:r w:rsidRPr="006818E8">
              <w:rPr>
                <w:color w:val="000000" w:themeColor="text1"/>
                <w:sz w:val="18"/>
                <w:szCs w:val="18"/>
              </w:rPr>
              <w:t xml:space="preserve">Indigenous </w:t>
            </w:r>
            <w:proofErr w:type="spellStart"/>
            <w:r w:rsidRPr="006818E8">
              <w:rPr>
                <w:color w:val="000000" w:themeColor="text1"/>
                <w:sz w:val="18"/>
                <w:szCs w:val="18"/>
              </w:rPr>
              <w:t>status</w:t>
            </w:r>
            <w:r w:rsidRPr="006818E8">
              <w:rPr>
                <w:color w:val="000000" w:themeColor="text1"/>
                <w:sz w:val="18"/>
                <w:szCs w:val="18"/>
                <w:vertAlign w:val="superscript"/>
              </w:rPr>
              <w:t>b</w:t>
            </w:r>
            <w:proofErr w:type="spellEnd"/>
          </w:p>
        </w:tc>
      </w:tr>
      <w:tr w:rsidR="00F97220" w:rsidRPr="009850CC" w14:paraId="54DF9BD1"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29ED9C16" w14:textId="77777777" w:rsidR="00F97220" w:rsidRPr="009850CC" w:rsidRDefault="00F97220" w:rsidP="00725D4B">
            <w:pPr>
              <w:pStyle w:val="NormalWeb"/>
              <w:rPr>
                <w:sz w:val="18"/>
                <w:szCs w:val="18"/>
              </w:rPr>
            </w:pPr>
            <w:r w:rsidRPr="009850CC">
              <w:rPr>
                <w:sz w:val="18"/>
                <w:szCs w:val="18"/>
              </w:rPr>
              <w:t>Aboriginal and Torres Strait Islander</w:t>
            </w:r>
          </w:p>
        </w:tc>
        <w:tc>
          <w:tcPr>
            <w:tcW w:w="1144" w:type="dxa"/>
            <w:hideMark/>
          </w:tcPr>
          <w:p w14:paraId="1B89B596" w14:textId="77777777" w:rsidR="00F97220" w:rsidRPr="009850CC" w:rsidRDefault="00F97220" w:rsidP="00725D4B">
            <w:pPr>
              <w:pStyle w:val="NormalWeb"/>
              <w:jc w:val="center"/>
              <w:rPr>
                <w:sz w:val="18"/>
                <w:szCs w:val="18"/>
              </w:rPr>
            </w:pPr>
            <w:r w:rsidRPr="009850CC">
              <w:rPr>
                <w:sz w:val="18"/>
                <w:szCs w:val="18"/>
              </w:rPr>
              <w:t>8 (5.4)</w:t>
            </w:r>
          </w:p>
        </w:tc>
        <w:tc>
          <w:tcPr>
            <w:tcW w:w="1843" w:type="dxa"/>
            <w:hideMark/>
          </w:tcPr>
          <w:p w14:paraId="0D07FACF" w14:textId="77777777" w:rsidR="00F97220" w:rsidRPr="009850CC" w:rsidRDefault="00F97220" w:rsidP="00725D4B">
            <w:pPr>
              <w:pStyle w:val="NormalWeb"/>
              <w:jc w:val="center"/>
              <w:rPr>
                <w:sz w:val="18"/>
                <w:szCs w:val="18"/>
              </w:rPr>
            </w:pPr>
            <w:r w:rsidRPr="009850CC">
              <w:rPr>
                <w:sz w:val="18"/>
                <w:szCs w:val="18"/>
              </w:rPr>
              <w:t>1 (2)</w:t>
            </w:r>
          </w:p>
        </w:tc>
        <w:tc>
          <w:tcPr>
            <w:tcW w:w="992" w:type="dxa"/>
            <w:hideMark/>
          </w:tcPr>
          <w:p w14:paraId="062D9D56" w14:textId="77777777" w:rsidR="00F97220" w:rsidRPr="009850CC" w:rsidRDefault="00F97220" w:rsidP="00725D4B">
            <w:pPr>
              <w:pStyle w:val="NormalWeb"/>
              <w:jc w:val="center"/>
              <w:rPr>
                <w:sz w:val="18"/>
                <w:szCs w:val="18"/>
              </w:rPr>
            </w:pPr>
            <w:r w:rsidRPr="009850CC">
              <w:rPr>
                <w:sz w:val="18"/>
                <w:szCs w:val="18"/>
              </w:rPr>
              <w:t>5 (6.7)</w:t>
            </w:r>
          </w:p>
        </w:tc>
        <w:tc>
          <w:tcPr>
            <w:tcW w:w="1891" w:type="dxa"/>
            <w:hideMark/>
          </w:tcPr>
          <w:p w14:paraId="1EF9A052" w14:textId="77777777" w:rsidR="00F97220" w:rsidRPr="009850CC" w:rsidRDefault="00F97220" w:rsidP="00725D4B">
            <w:pPr>
              <w:pStyle w:val="NormalWeb"/>
              <w:jc w:val="center"/>
              <w:rPr>
                <w:sz w:val="18"/>
                <w:szCs w:val="18"/>
              </w:rPr>
            </w:pPr>
            <w:r w:rsidRPr="009850CC">
              <w:rPr>
                <w:sz w:val="18"/>
                <w:szCs w:val="18"/>
              </w:rPr>
              <w:t>22 (10.4)</w:t>
            </w:r>
          </w:p>
        </w:tc>
        <w:tc>
          <w:tcPr>
            <w:tcW w:w="930" w:type="dxa"/>
            <w:hideMark/>
          </w:tcPr>
          <w:p w14:paraId="6988267B" w14:textId="77777777" w:rsidR="00F97220" w:rsidRPr="009850CC" w:rsidRDefault="00F97220" w:rsidP="00725D4B">
            <w:pPr>
              <w:pStyle w:val="NormalWeb"/>
              <w:jc w:val="center"/>
              <w:rPr>
                <w:sz w:val="18"/>
                <w:szCs w:val="18"/>
              </w:rPr>
            </w:pPr>
            <w:r w:rsidRPr="009850CC">
              <w:rPr>
                <w:sz w:val="18"/>
                <w:szCs w:val="18"/>
              </w:rPr>
              <w:t>139 (13.1)</w:t>
            </w:r>
          </w:p>
        </w:tc>
        <w:tc>
          <w:tcPr>
            <w:tcW w:w="1110" w:type="dxa"/>
            <w:hideMark/>
          </w:tcPr>
          <w:p w14:paraId="27391B78" w14:textId="77777777" w:rsidR="00F97220" w:rsidRPr="009850CC" w:rsidRDefault="00F97220" w:rsidP="00725D4B">
            <w:pPr>
              <w:pStyle w:val="NormalWeb"/>
              <w:jc w:val="center"/>
              <w:rPr>
                <w:sz w:val="18"/>
                <w:szCs w:val="18"/>
              </w:rPr>
            </w:pPr>
            <w:r w:rsidRPr="009850CC">
              <w:rPr>
                <w:sz w:val="18"/>
                <w:szCs w:val="18"/>
              </w:rPr>
              <w:t>175 (11.3)</w:t>
            </w:r>
          </w:p>
        </w:tc>
      </w:tr>
      <w:tr w:rsidR="00F97220" w:rsidRPr="009850CC" w14:paraId="2B4A9B7C" w14:textId="77777777" w:rsidTr="00367470">
        <w:tc>
          <w:tcPr>
            <w:tcW w:w="0" w:type="auto"/>
            <w:hideMark/>
          </w:tcPr>
          <w:p w14:paraId="216976DF" w14:textId="77777777" w:rsidR="00F97220" w:rsidRPr="009850CC" w:rsidRDefault="00F97220" w:rsidP="00725D4B">
            <w:pPr>
              <w:pStyle w:val="NormalWeb"/>
              <w:rPr>
                <w:sz w:val="18"/>
                <w:szCs w:val="18"/>
              </w:rPr>
            </w:pPr>
            <w:r w:rsidRPr="009850CC">
              <w:rPr>
                <w:sz w:val="18"/>
                <w:szCs w:val="18"/>
              </w:rPr>
              <w:t>Non-Indigenous</w:t>
            </w:r>
          </w:p>
        </w:tc>
        <w:tc>
          <w:tcPr>
            <w:tcW w:w="1144" w:type="dxa"/>
            <w:hideMark/>
          </w:tcPr>
          <w:p w14:paraId="66020999" w14:textId="77777777" w:rsidR="00F97220" w:rsidRPr="009850CC" w:rsidRDefault="00F97220" w:rsidP="00725D4B">
            <w:pPr>
              <w:pStyle w:val="NormalWeb"/>
              <w:jc w:val="center"/>
              <w:rPr>
                <w:sz w:val="18"/>
                <w:szCs w:val="18"/>
              </w:rPr>
            </w:pPr>
            <w:r w:rsidRPr="009850CC">
              <w:rPr>
                <w:sz w:val="18"/>
                <w:szCs w:val="18"/>
              </w:rPr>
              <w:t>138 (93.9)</w:t>
            </w:r>
          </w:p>
        </w:tc>
        <w:tc>
          <w:tcPr>
            <w:tcW w:w="1843" w:type="dxa"/>
            <w:hideMark/>
          </w:tcPr>
          <w:p w14:paraId="77372272" w14:textId="77777777" w:rsidR="00F97220" w:rsidRPr="009850CC" w:rsidRDefault="00F97220" w:rsidP="00725D4B">
            <w:pPr>
              <w:pStyle w:val="NormalWeb"/>
              <w:jc w:val="center"/>
              <w:rPr>
                <w:sz w:val="18"/>
                <w:szCs w:val="18"/>
              </w:rPr>
            </w:pPr>
            <w:r w:rsidRPr="009850CC">
              <w:rPr>
                <w:sz w:val="18"/>
                <w:szCs w:val="18"/>
              </w:rPr>
              <w:t>50 (98)</w:t>
            </w:r>
          </w:p>
        </w:tc>
        <w:tc>
          <w:tcPr>
            <w:tcW w:w="992" w:type="dxa"/>
            <w:hideMark/>
          </w:tcPr>
          <w:p w14:paraId="193176E3" w14:textId="77777777" w:rsidR="00F97220" w:rsidRPr="009850CC" w:rsidRDefault="00F97220" w:rsidP="00725D4B">
            <w:pPr>
              <w:pStyle w:val="NormalWeb"/>
              <w:jc w:val="center"/>
              <w:rPr>
                <w:sz w:val="18"/>
                <w:szCs w:val="18"/>
              </w:rPr>
            </w:pPr>
            <w:r w:rsidRPr="009850CC">
              <w:rPr>
                <w:sz w:val="18"/>
                <w:szCs w:val="18"/>
              </w:rPr>
              <w:t>70 (93.3)</w:t>
            </w:r>
          </w:p>
        </w:tc>
        <w:tc>
          <w:tcPr>
            <w:tcW w:w="1891" w:type="dxa"/>
            <w:hideMark/>
          </w:tcPr>
          <w:p w14:paraId="19AAA587" w14:textId="77777777" w:rsidR="00F97220" w:rsidRPr="009850CC" w:rsidRDefault="00F97220" w:rsidP="00725D4B">
            <w:pPr>
              <w:pStyle w:val="NormalWeb"/>
              <w:jc w:val="center"/>
              <w:rPr>
                <w:sz w:val="18"/>
                <w:szCs w:val="18"/>
              </w:rPr>
            </w:pPr>
            <w:r w:rsidRPr="009850CC">
              <w:rPr>
                <w:sz w:val="18"/>
                <w:szCs w:val="18"/>
              </w:rPr>
              <w:t>190 (89.6)</w:t>
            </w:r>
          </w:p>
        </w:tc>
        <w:tc>
          <w:tcPr>
            <w:tcW w:w="930" w:type="dxa"/>
            <w:hideMark/>
          </w:tcPr>
          <w:p w14:paraId="429CF553" w14:textId="77777777" w:rsidR="00F97220" w:rsidRPr="009850CC" w:rsidRDefault="00F97220" w:rsidP="00725D4B">
            <w:pPr>
              <w:pStyle w:val="NormalWeb"/>
              <w:jc w:val="center"/>
              <w:rPr>
                <w:sz w:val="18"/>
                <w:szCs w:val="18"/>
              </w:rPr>
            </w:pPr>
            <w:r w:rsidRPr="009850CC">
              <w:rPr>
                <w:sz w:val="18"/>
                <w:szCs w:val="18"/>
              </w:rPr>
              <w:t>914 (86.2)</w:t>
            </w:r>
          </w:p>
        </w:tc>
        <w:tc>
          <w:tcPr>
            <w:tcW w:w="1110" w:type="dxa"/>
            <w:hideMark/>
          </w:tcPr>
          <w:p w14:paraId="1A7C3D5B" w14:textId="77777777" w:rsidR="00F97220" w:rsidRPr="009850CC" w:rsidRDefault="00F97220" w:rsidP="00725D4B">
            <w:pPr>
              <w:pStyle w:val="NormalWeb"/>
              <w:jc w:val="center"/>
              <w:rPr>
                <w:sz w:val="18"/>
                <w:szCs w:val="18"/>
              </w:rPr>
            </w:pPr>
            <w:r w:rsidRPr="009850CC">
              <w:rPr>
                <w:sz w:val="18"/>
                <w:szCs w:val="18"/>
              </w:rPr>
              <w:t>1362 (88.2)</w:t>
            </w:r>
          </w:p>
        </w:tc>
      </w:tr>
      <w:tr w:rsidR="006818E8" w:rsidRPr="006818E8" w14:paraId="544A1DA8" w14:textId="77777777" w:rsidTr="000810C8">
        <w:trPr>
          <w:cnfStyle w:val="000000010000" w:firstRow="0" w:lastRow="0" w:firstColumn="0" w:lastColumn="0" w:oddVBand="0" w:evenVBand="0" w:oddHBand="0" w:evenHBand="1" w:firstRowFirstColumn="0" w:firstRowLastColumn="0" w:lastRowFirstColumn="0" w:lastRowLastColumn="0"/>
        </w:trPr>
        <w:tc>
          <w:tcPr>
            <w:tcW w:w="0" w:type="auto"/>
            <w:gridSpan w:val="7"/>
            <w:shd w:val="clear" w:color="auto" w:fill="BBA991"/>
            <w:hideMark/>
          </w:tcPr>
          <w:p w14:paraId="683BAC33" w14:textId="77777777" w:rsidR="00F97220" w:rsidRPr="006818E8" w:rsidRDefault="00F97220" w:rsidP="00725D4B">
            <w:pPr>
              <w:pStyle w:val="NormalWeb"/>
              <w:rPr>
                <w:b/>
                <w:bCs/>
                <w:color w:val="000000" w:themeColor="text1"/>
                <w:sz w:val="18"/>
                <w:szCs w:val="18"/>
              </w:rPr>
            </w:pPr>
            <w:r w:rsidRPr="006818E8">
              <w:rPr>
                <w:b/>
                <w:bCs/>
                <w:color w:val="000000" w:themeColor="text1"/>
                <w:sz w:val="18"/>
                <w:szCs w:val="18"/>
              </w:rPr>
              <w:t xml:space="preserve">Experienced </w:t>
            </w:r>
            <w:proofErr w:type="spellStart"/>
            <w:r w:rsidRPr="006818E8">
              <w:rPr>
                <w:b/>
                <w:bCs/>
                <w:color w:val="000000" w:themeColor="text1"/>
                <w:sz w:val="18"/>
                <w:szCs w:val="18"/>
              </w:rPr>
              <w:t>symptoms</w:t>
            </w:r>
            <w:r w:rsidRPr="006818E8">
              <w:rPr>
                <w:b/>
                <w:bCs/>
                <w:color w:val="000000" w:themeColor="text1"/>
                <w:sz w:val="18"/>
                <w:szCs w:val="18"/>
                <w:vertAlign w:val="superscript"/>
              </w:rPr>
              <w:t>c</w:t>
            </w:r>
            <w:proofErr w:type="spellEnd"/>
          </w:p>
        </w:tc>
      </w:tr>
      <w:tr w:rsidR="00F97220" w:rsidRPr="009850CC" w14:paraId="1B695465" w14:textId="77777777" w:rsidTr="00367470">
        <w:tc>
          <w:tcPr>
            <w:tcW w:w="0" w:type="auto"/>
            <w:hideMark/>
          </w:tcPr>
          <w:p w14:paraId="3A609CE9" w14:textId="77777777" w:rsidR="00F97220" w:rsidRPr="009850CC" w:rsidRDefault="00F97220" w:rsidP="00725D4B">
            <w:pPr>
              <w:pStyle w:val="NormalWeb"/>
              <w:rPr>
                <w:sz w:val="18"/>
                <w:szCs w:val="18"/>
              </w:rPr>
            </w:pPr>
            <w:r w:rsidRPr="009850CC">
              <w:rPr>
                <w:sz w:val="18"/>
                <w:szCs w:val="18"/>
              </w:rPr>
              <w:t>Yes</w:t>
            </w:r>
          </w:p>
        </w:tc>
        <w:tc>
          <w:tcPr>
            <w:tcW w:w="1144" w:type="dxa"/>
            <w:hideMark/>
          </w:tcPr>
          <w:p w14:paraId="2770592F" w14:textId="77777777" w:rsidR="00F97220" w:rsidRPr="009850CC" w:rsidRDefault="00F97220" w:rsidP="00725D4B">
            <w:pPr>
              <w:pStyle w:val="NormalWeb"/>
              <w:jc w:val="center"/>
              <w:rPr>
                <w:sz w:val="18"/>
                <w:szCs w:val="18"/>
              </w:rPr>
            </w:pPr>
            <w:r w:rsidRPr="009850CC">
              <w:rPr>
                <w:sz w:val="18"/>
                <w:szCs w:val="18"/>
              </w:rPr>
              <w:t>120 (81.6)</w:t>
            </w:r>
          </w:p>
        </w:tc>
        <w:tc>
          <w:tcPr>
            <w:tcW w:w="1843" w:type="dxa"/>
            <w:hideMark/>
          </w:tcPr>
          <w:p w14:paraId="1C1A1EF1" w14:textId="77777777" w:rsidR="00F97220" w:rsidRPr="009850CC" w:rsidRDefault="00F97220" w:rsidP="00725D4B">
            <w:pPr>
              <w:pStyle w:val="NormalWeb"/>
              <w:jc w:val="center"/>
              <w:rPr>
                <w:sz w:val="18"/>
                <w:szCs w:val="18"/>
              </w:rPr>
            </w:pPr>
            <w:r w:rsidRPr="009850CC">
              <w:rPr>
                <w:sz w:val="18"/>
                <w:szCs w:val="18"/>
              </w:rPr>
              <w:t>42 (82.4)</w:t>
            </w:r>
          </w:p>
        </w:tc>
        <w:tc>
          <w:tcPr>
            <w:tcW w:w="992" w:type="dxa"/>
            <w:hideMark/>
          </w:tcPr>
          <w:p w14:paraId="3121C63D" w14:textId="77777777" w:rsidR="00F97220" w:rsidRPr="009850CC" w:rsidRDefault="00F97220" w:rsidP="00725D4B">
            <w:pPr>
              <w:pStyle w:val="NormalWeb"/>
              <w:jc w:val="center"/>
              <w:rPr>
                <w:sz w:val="18"/>
                <w:szCs w:val="18"/>
              </w:rPr>
            </w:pPr>
            <w:r w:rsidRPr="009850CC">
              <w:rPr>
                <w:sz w:val="18"/>
                <w:szCs w:val="18"/>
              </w:rPr>
              <w:t>58 (77.3)</w:t>
            </w:r>
          </w:p>
        </w:tc>
        <w:tc>
          <w:tcPr>
            <w:tcW w:w="1891" w:type="dxa"/>
            <w:hideMark/>
          </w:tcPr>
          <w:p w14:paraId="77BEDEF5" w14:textId="77777777" w:rsidR="00F97220" w:rsidRPr="009850CC" w:rsidRDefault="00F97220" w:rsidP="00725D4B">
            <w:pPr>
              <w:pStyle w:val="NormalWeb"/>
              <w:jc w:val="center"/>
              <w:rPr>
                <w:sz w:val="18"/>
                <w:szCs w:val="18"/>
              </w:rPr>
            </w:pPr>
            <w:r w:rsidRPr="009850CC">
              <w:rPr>
                <w:sz w:val="18"/>
                <w:szCs w:val="18"/>
              </w:rPr>
              <w:t>177 (83.5)</w:t>
            </w:r>
          </w:p>
        </w:tc>
        <w:tc>
          <w:tcPr>
            <w:tcW w:w="930" w:type="dxa"/>
            <w:hideMark/>
          </w:tcPr>
          <w:p w14:paraId="707C642C" w14:textId="77777777" w:rsidR="00F97220" w:rsidRPr="009850CC" w:rsidRDefault="00F97220" w:rsidP="00725D4B">
            <w:pPr>
              <w:pStyle w:val="NormalWeb"/>
              <w:jc w:val="center"/>
              <w:rPr>
                <w:sz w:val="18"/>
                <w:szCs w:val="18"/>
              </w:rPr>
            </w:pPr>
            <w:r w:rsidRPr="009850CC">
              <w:rPr>
                <w:sz w:val="18"/>
                <w:szCs w:val="18"/>
              </w:rPr>
              <w:t>892 (84.2)</w:t>
            </w:r>
          </w:p>
        </w:tc>
        <w:tc>
          <w:tcPr>
            <w:tcW w:w="1110" w:type="dxa"/>
            <w:hideMark/>
          </w:tcPr>
          <w:p w14:paraId="6F1BDFE5" w14:textId="77777777" w:rsidR="00F97220" w:rsidRPr="009850CC" w:rsidRDefault="00F97220" w:rsidP="00725D4B">
            <w:pPr>
              <w:pStyle w:val="NormalWeb"/>
              <w:jc w:val="center"/>
              <w:rPr>
                <w:sz w:val="18"/>
                <w:szCs w:val="18"/>
              </w:rPr>
            </w:pPr>
            <w:r w:rsidRPr="009850CC">
              <w:rPr>
                <w:sz w:val="18"/>
                <w:szCs w:val="18"/>
              </w:rPr>
              <w:t>1289 (83.4)</w:t>
            </w:r>
          </w:p>
        </w:tc>
      </w:tr>
      <w:tr w:rsidR="00F97220" w:rsidRPr="009850CC" w14:paraId="67AABCDD"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32D77870" w14:textId="77777777" w:rsidR="00F97220" w:rsidRPr="009850CC" w:rsidRDefault="00F97220" w:rsidP="00725D4B">
            <w:pPr>
              <w:pStyle w:val="NormalWeb"/>
              <w:rPr>
                <w:sz w:val="18"/>
                <w:szCs w:val="18"/>
              </w:rPr>
            </w:pPr>
            <w:r w:rsidRPr="009850CC">
              <w:rPr>
                <w:sz w:val="18"/>
                <w:szCs w:val="18"/>
              </w:rPr>
              <w:t>No</w:t>
            </w:r>
          </w:p>
        </w:tc>
        <w:tc>
          <w:tcPr>
            <w:tcW w:w="1144" w:type="dxa"/>
            <w:hideMark/>
          </w:tcPr>
          <w:p w14:paraId="0F34410C" w14:textId="77777777" w:rsidR="00F97220" w:rsidRPr="009850CC" w:rsidRDefault="00F97220" w:rsidP="00725D4B">
            <w:pPr>
              <w:pStyle w:val="NormalWeb"/>
              <w:jc w:val="center"/>
              <w:rPr>
                <w:sz w:val="18"/>
                <w:szCs w:val="18"/>
              </w:rPr>
            </w:pPr>
            <w:r w:rsidRPr="009850CC">
              <w:rPr>
                <w:sz w:val="18"/>
                <w:szCs w:val="18"/>
              </w:rPr>
              <w:t>20 (13.6)</w:t>
            </w:r>
          </w:p>
        </w:tc>
        <w:tc>
          <w:tcPr>
            <w:tcW w:w="1843" w:type="dxa"/>
            <w:hideMark/>
          </w:tcPr>
          <w:p w14:paraId="62B03376" w14:textId="77777777" w:rsidR="00F97220" w:rsidRPr="009850CC" w:rsidRDefault="00F97220" w:rsidP="00725D4B">
            <w:pPr>
              <w:pStyle w:val="NormalWeb"/>
              <w:jc w:val="center"/>
              <w:rPr>
                <w:sz w:val="18"/>
                <w:szCs w:val="18"/>
              </w:rPr>
            </w:pPr>
            <w:r w:rsidRPr="009850CC">
              <w:rPr>
                <w:sz w:val="18"/>
                <w:szCs w:val="18"/>
              </w:rPr>
              <w:t>9 (17.6)</w:t>
            </w:r>
          </w:p>
        </w:tc>
        <w:tc>
          <w:tcPr>
            <w:tcW w:w="992" w:type="dxa"/>
            <w:hideMark/>
          </w:tcPr>
          <w:p w14:paraId="1CB3285C" w14:textId="77777777" w:rsidR="00F97220" w:rsidRPr="009850CC" w:rsidRDefault="00F97220" w:rsidP="00725D4B">
            <w:pPr>
              <w:pStyle w:val="NormalWeb"/>
              <w:jc w:val="center"/>
              <w:rPr>
                <w:sz w:val="18"/>
                <w:szCs w:val="18"/>
              </w:rPr>
            </w:pPr>
            <w:r w:rsidRPr="009850CC">
              <w:rPr>
                <w:sz w:val="18"/>
                <w:szCs w:val="18"/>
              </w:rPr>
              <w:t>14 (18.7)</w:t>
            </w:r>
          </w:p>
        </w:tc>
        <w:tc>
          <w:tcPr>
            <w:tcW w:w="1891" w:type="dxa"/>
            <w:hideMark/>
          </w:tcPr>
          <w:p w14:paraId="202019E1" w14:textId="77777777" w:rsidR="00F97220" w:rsidRPr="009850CC" w:rsidRDefault="00F97220" w:rsidP="00725D4B">
            <w:pPr>
              <w:pStyle w:val="NormalWeb"/>
              <w:jc w:val="center"/>
              <w:rPr>
                <w:sz w:val="18"/>
                <w:szCs w:val="18"/>
              </w:rPr>
            </w:pPr>
            <w:r w:rsidRPr="009850CC">
              <w:rPr>
                <w:sz w:val="18"/>
                <w:szCs w:val="18"/>
              </w:rPr>
              <w:t>32 (15.1)</w:t>
            </w:r>
          </w:p>
        </w:tc>
        <w:tc>
          <w:tcPr>
            <w:tcW w:w="930" w:type="dxa"/>
            <w:hideMark/>
          </w:tcPr>
          <w:p w14:paraId="0A8D9905" w14:textId="77777777" w:rsidR="00F97220" w:rsidRPr="009850CC" w:rsidRDefault="00F97220" w:rsidP="00725D4B">
            <w:pPr>
              <w:pStyle w:val="NormalWeb"/>
              <w:jc w:val="center"/>
              <w:rPr>
                <w:sz w:val="18"/>
                <w:szCs w:val="18"/>
              </w:rPr>
            </w:pPr>
            <w:r w:rsidRPr="009850CC">
              <w:rPr>
                <w:sz w:val="18"/>
                <w:szCs w:val="18"/>
              </w:rPr>
              <w:t>152 (14.3)</w:t>
            </w:r>
          </w:p>
        </w:tc>
        <w:tc>
          <w:tcPr>
            <w:tcW w:w="1110" w:type="dxa"/>
            <w:hideMark/>
          </w:tcPr>
          <w:p w14:paraId="753404D8" w14:textId="77777777" w:rsidR="00F97220" w:rsidRPr="009850CC" w:rsidRDefault="00F97220" w:rsidP="00725D4B">
            <w:pPr>
              <w:pStyle w:val="NormalWeb"/>
              <w:jc w:val="center"/>
              <w:rPr>
                <w:sz w:val="18"/>
                <w:szCs w:val="18"/>
              </w:rPr>
            </w:pPr>
            <w:r w:rsidRPr="009850CC">
              <w:rPr>
                <w:sz w:val="18"/>
                <w:szCs w:val="18"/>
              </w:rPr>
              <w:t>227 (14.7)</w:t>
            </w:r>
          </w:p>
        </w:tc>
      </w:tr>
      <w:tr w:rsidR="006818E8" w:rsidRPr="006818E8" w14:paraId="08C693BE" w14:textId="77777777" w:rsidTr="000810C8">
        <w:tc>
          <w:tcPr>
            <w:tcW w:w="0" w:type="auto"/>
            <w:gridSpan w:val="7"/>
            <w:shd w:val="clear" w:color="auto" w:fill="BBA991"/>
            <w:hideMark/>
          </w:tcPr>
          <w:p w14:paraId="1C1C67CB" w14:textId="77777777" w:rsidR="00F97220" w:rsidRPr="006818E8" w:rsidRDefault="00F97220" w:rsidP="00725D4B">
            <w:pPr>
              <w:pStyle w:val="NormalWeb"/>
              <w:rPr>
                <w:b/>
                <w:bCs/>
                <w:color w:val="000000" w:themeColor="text1"/>
                <w:sz w:val="18"/>
                <w:szCs w:val="18"/>
              </w:rPr>
            </w:pPr>
            <w:proofErr w:type="spellStart"/>
            <w:r w:rsidRPr="006818E8">
              <w:rPr>
                <w:b/>
                <w:bCs/>
                <w:color w:val="000000" w:themeColor="text1"/>
                <w:sz w:val="18"/>
                <w:szCs w:val="18"/>
              </w:rPr>
              <w:t>Hospitalised</w:t>
            </w:r>
            <w:r w:rsidRPr="006818E8">
              <w:rPr>
                <w:b/>
                <w:bCs/>
                <w:color w:val="000000" w:themeColor="text1"/>
                <w:sz w:val="18"/>
                <w:szCs w:val="18"/>
                <w:vertAlign w:val="superscript"/>
              </w:rPr>
              <w:t>d</w:t>
            </w:r>
            <w:proofErr w:type="spellEnd"/>
          </w:p>
        </w:tc>
      </w:tr>
      <w:tr w:rsidR="00F97220" w:rsidRPr="009850CC" w14:paraId="026ECA9A" w14:textId="77777777" w:rsidTr="00367470">
        <w:trPr>
          <w:cnfStyle w:val="000000010000" w:firstRow="0" w:lastRow="0" w:firstColumn="0" w:lastColumn="0" w:oddVBand="0" w:evenVBand="0" w:oddHBand="0" w:evenHBand="1" w:firstRowFirstColumn="0" w:firstRowLastColumn="0" w:lastRowFirstColumn="0" w:lastRowLastColumn="0"/>
        </w:trPr>
        <w:tc>
          <w:tcPr>
            <w:tcW w:w="0" w:type="auto"/>
            <w:hideMark/>
          </w:tcPr>
          <w:p w14:paraId="451E8DF4" w14:textId="77777777" w:rsidR="00F97220" w:rsidRPr="009850CC" w:rsidRDefault="00F97220" w:rsidP="00725D4B">
            <w:pPr>
              <w:pStyle w:val="NormalWeb"/>
              <w:rPr>
                <w:sz w:val="18"/>
                <w:szCs w:val="18"/>
              </w:rPr>
            </w:pPr>
            <w:r w:rsidRPr="009850CC">
              <w:rPr>
                <w:sz w:val="18"/>
                <w:szCs w:val="18"/>
              </w:rPr>
              <w:t>Yes</w:t>
            </w:r>
          </w:p>
        </w:tc>
        <w:tc>
          <w:tcPr>
            <w:tcW w:w="1144" w:type="dxa"/>
            <w:hideMark/>
          </w:tcPr>
          <w:p w14:paraId="4038B0BE" w14:textId="77777777" w:rsidR="00F97220" w:rsidRPr="009850CC" w:rsidRDefault="00F97220" w:rsidP="00725D4B">
            <w:pPr>
              <w:pStyle w:val="NormalWeb"/>
              <w:jc w:val="center"/>
              <w:rPr>
                <w:sz w:val="18"/>
                <w:szCs w:val="18"/>
              </w:rPr>
            </w:pPr>
            <w:r w:rsidRPr="009850CC">
              <w:rPr>
                <w:sz w:val="18"/>
                <w:szCs w:val="18"/>
              </w:rPr>
              <w:t>4 (2.7)</w:t>
            </w:r>
          </w:p>
        </w:tc>
        <w:tc>
          <w:tcPr>
            <w:tcW w:w="1843" w:type="dxa"/>
            <w:hideMark/>
          </w:tcPr>
          <w:p w14:paraId="59E14077" w14:textId="77777777" w:rsidR="00F97220" w:rsidRPr="009850CC" w:rsidRDefault="00F97220" w:rsidP="00725D4B">
            <w:pPr>
              <w:pStyle w:val="NormalWeb"/>
              <w:jc w:val="center"/>
              <w:rPr>
                <w:sz w:val="18"/>
                <w:szCs w:val="18"/>
              </w:rPr>
            </w:pPr>
            <w:r w:rsidRPr="009850CC">
              <w:rPr>
                <w:sz w:val="18"/>
                <w:szCs w:val="18"/>
              </w:rPr>
              <w:t>6 (11.8)</w:t>
            </w:r>
          </w:p>
        </w:tc>
        <w:tc>
          <w:tcPr>
            <w:tcW w:w="992" w:type="dxa"/>
            <w:hideMark/>
          </w:tcPr>
          <w:p w14:paraId="3172EE19" w14:textId="77777777" w:rsidR="00F97220" w:rsidRPr="009850CC" w:rsidRDefault="00F97220" w:rsidP="00725D4B">
            <w:pPr>
              <w:pStyle w:val="NormalWeb"/>
              <w:jc w:val="center"/>
              <w:rPr>
                <w:sz w:val="18"/>
                <w:szCs w:val="18"/>
              </w:rPr>
            </w:pPr>
            <w:r w:rsidRPr="009850CC">
              <w:rPr>
                <w:sz w:val="18"/>
                <w:szCs w:val="18"/>
              </w:rPr>
              <w:t>4 (5.3)</w:t>
            </w:r>
          </w:p>
        </w:tc>
        <w:tc>
          <w:tcPr>
            <w:tcW w:w="1891" w:type="dxa"/>
            <w:hideMark/>
          </w:tcPr>
          <w:p w14:paraId="2124F8E5" w14:textId="77777777" w:rsidR="00F97220" w:rsidRPr="009850CC" w:rsidRDefault="00F97220" w:rsidP="00725D4B">
            <w:pPr>
              <w:pStyle w:val="NormalWeb"/>
              <w:jc w:val="center"/>
              <w:rPr>
                <w:sz w:val="18"/>
                <w:szCs w:val="18"/>
              </w:rPr>
            </w:pPr>
            <w:r w:rsidRPr="009850CC">
              <w:rPr>
                <w:sz w:val="18"/>
                <w:szCs w:val="18"/>
              </w:rPr>
              <w:t>11 (5.2)</w:t>
            </w:r>
          </w:p>
        </w:tc>
        <w:tc>
          <w:tcPr>
            <w:tcW w:w="930" w:type="dxa"/>
            <w:hideMark/>
          </w:tcPr>
          <w:p w14:paraId="226D2B6E" w14:textId="77777777" w:rsidR="00F97220" w:rsidRPr="009850CC" w:rsidRDefault="00F97220" w:rsidP="00725D4B">
            <w:pPr>
              <w:pStyle w:val="NormalWeb"/>
              <w:jc w:val="center"/>
              <w:rPr>
                <w:sz w:val="18"/>
                <w:szCs w:val="18"/>
              </w:rPr>
            </w:pPr>
            <w:r w:rsidRPr="009850CC">
              <w:rPr>
                <w:sz w:val="18"/>
                <w:szCs w:val="18"/>
              </w:rPr>
              <w:t>83 (7.8)</w:t>
            </w:r>
          </w:p>
        </w:tc>
        <w:tc>
          <w:tcPr>
            <w:tcW w:w="1110" w:type="dxa"/>
            <w:hideMark/>
          </w:tcPr>
          <w:p w14:paraId="5127E451" w14:textId="77777777" w:rsidR="00F97220" w:rsidRPr="009850CC" w:rsidRDefault="00F97220" w:rsidP="00725D4B">
            <w:pPr>
              <w:pStyle w:val="NormalWeb"/>
              <w:jc w:val="center"/>
              <w:rPr>
                <w:sz w:val="18"/>
                <w:szCs w:val="18"/>
              </w:rPr>
            </w:pPr>
            <w:r w:rsidRPr="009850CC">
              <w:rPr>
                <w:sz w:val="18"/>
                <w:szCs w:val="18"/>
              </w:rPr>
              <w:t>108 (7)</w:t>
            </w:r>
          </w:p>
        </w:tc>
      </w:tr>
      <w:tr w:rsidR="00F97220" w:rsidRPr="009850CC" w14:paraId="1C470747" w14:textId="77777777" w:rsidTr="00367470">
        <w:tc>
          <w:tcPr>
            <w:tcW w:w="0" w:type="auto"/>
            <w:tcBorders>
              <w:bottom w:val="single" w:sz="4" w:space="0" w:color="000000" w:themeColor="text1"/>
            </w:tcBorders>
            <w:hideMark/>
          </w:tcPr>
          <w:p w14:paraId="6F5F1AE2" w14:textId="77777777" w:rsidR="00F97220" w:rsidRPr="009850CC" w:rsidRDefault="00F97220" w:rsidP="00725D4B">
            <w:pPr>
              <w:pStyle w:val="NormalWeb"/>
              <w:rPr>
                <w:sz w:val="18"/>
                <w:szCs w:val="18"/>
              </w:rPr>
            </w:pPr>
            <w:r w:rsidRPr="009850CC">
              <w:rPr>
                <w:sz w:val="18"/>
                <w:szCs w:val="18"/>
              </w:rPr>
              <w:t>No (including unavailable)</w:t>
            </w:r>
          </w:p>
        </w:tc>
        <w:tc>
          <w:tcPr>
            <w:tcW w:w="1144" w:type="dxa"/>
            <w:tcBorders>
              <w:bottom w:val="single" w:sz="4" w:space="0" w:color="000000" w:themeColor="text1"/>
            </w:tcBorders>
            <w:hideMark/>
          </w:tcPr>
          <w:p w14:paraId="2E973F00" w14:textId="77777777" w:rsidR="00F97220" w:rsidRPr="009850CC" w:rsidRDefault="00F97220" w:rsidP="00725D4B">
            <w:pPr>
              <w:pStyle w:val="NormalWeb"/>
              <w:jc w:val="center"/>
              <w:rPr>
                <w:sz w:val="18"/>
                <w:szCs w:val="18"/>
              </w:rPr>
            </w:pPr>
            <w:r w:rsidRPr="009850CC">
              <w:rPr>
                <w:sz w:val="18"/>
                <w:szCs w:val="18"/>
              </w:rPr>
              <w:t>143 (97.3)</w:t>
            </w:r>
          </w:p>
        </w:tc>
        <w:tc>
          <w:tcPr>
            <w:tcW w:w="1843" w:type="dxa"/>
            <w:tcBorders>
              <w:bottom w:val="single" w:sz="4" w:space="0" w:color="000000" w:themeColor="text1"/>
            </w:tcBorders>
            <w:hideMark/>
          </w:tcPr>
          <w:p w14:paraId="7B58A6F5" w14:textId="77777777" w:rsidR="00F97220" w:rsidRPr="009850CC" w:rsidRDefault="00F97220" w:rsidP="00725D4B">
            <w:pPr>
              <w:pStyle w:val="NormalWeb"/>
              <w:jc w:val="center"/>
              <w:rPr>
                <w:sz w:val="18"/>
                <w:szCs w:val="18"/>
              </w:rPr>
            </w:pPr>
            <w:r w:rsidRPr="009850CC">
              <w:rPr>
                <w:sz w:val="18"/>
                <w:szCs w:val="18"/>
              </w:rPr>
              <w:t>45 (88.2)</w:t>
            </w:r>
          </w:p>
        </w:tc>
        <w:tc>
          <w:tcPr>
            <w:tcW w:w="992" w:type="dxa"/>
            <w:tcBorders>
              <w:bottom w:val="single" w:sz="4" w:space="0" w:color="000000" w:themeColor="text1"/>
            </w:tcBorders>
            <w:hideMark/>
          </w:tcPr>
          <w:p w14:paraId="1309FB8B" w14:textId="77777777" w:rsidR="00F97220" w:rsidRPr="009850CC" w:rsidRDefault="00F97220" w:rsidP="00725D4B">
            <w:pPr>
              <w:pStyle w:val="NormalWeb"/>
              <w:jc w:val="center"/>
              <w:rPr>
                <w:sz w:val="18"/>
                <w:szCs w:val="18"/>
              </w:rPr>
            </w:pPr>
            <w:r w:rsidRPr="009850CC">
              <w:rPr>
                <w:sz w:val="18"/>
                <w:szCs w:val="18"/>
              </w:rPr>
              <w:t>71 (94.7)</w:t>
            </w:r>
          </w:p>
        </w:tc>
        <w:tc>
          <w:tcPr>
            <w:tcW w:w="1891" w:type="dxa"/>
            <w:tcBorders>
              <w:bottom w:val="single" w:sz="4" w:space="0" w:color="000000" w:themeColor="text1"/>
            </w:tcBorders>
            <w:hideMark/>
          </w:tcPr>
          <w:p w14:paraId="0103C4C3" w14:textId="77777777" w:rsidR="00F97220" w:rsidRPr="009850CC" w:rsidRDefault="00F97220" w:rsidP="00725D4B">
            <w:pPr>
              <w:pStyle w:val="NormalWeb"/>
              <w:jc w:val="center"/>
              <w:rPr>
                <w:sz w:val="18"/>
                <w:szCs w:val="18"/>
              </w:rPr>
            </w:pPr>
            <w:r w:rsidRPr="009850CC">
              <w:rPr>
                <w:sz w:val="18"/>
                <w:szCs w:val="18"/>
              </w:rPr>
              <w:t>201 (94.8)</w:t>
            </w:r>
          </w:p>
        </w:tc>
        <w:tc>
          <w:tcPr>
            <w:tcW w:w="930" w:type="dxa"/>
            <w:tcBorders>
              <w:bottom w:val="single" w:sz="4" w:space="0" w:color="000000" w:themeColor="text1"/>
            </w:tcBorders>
            <w:hideMark/>
          </w:tcPr>
          <w:p w14:paraId="08A02856" w14:textId="77777777" w:rsidR="00F97220" w:rsidRPr="009850CC" w:rsidRDefault="00F97220" w:rsidP="00725D4B">
            <w:pPr>
              <w:pStyle w:val="NormalWeb"/>
              <w:jc w:val="center"/>
              <w:rPr>
                <w:sz w:val="18"/>
                <w:szCs w:val="18"/>
              </w:rPr>
            </w:pPr>
            <w:r w:rsidRPr="009850CC">
              <w:rPr>
                <w:sz w:val="18"/>
                <w:szCs w:val="18"/>
              </w:rPr>
              <w:t>977 (92.2)</w:t>
            </w:r>
          </w:p>
        </w:tc>
        <w:tc>
          <w:tcPr>
            <w:tcW w:w="1110" w:type="dxa"/>
            <w:tcBorders>
              <w:bottom w:val="single" w:sz="4" w:space="0" w:color="000000" w:themeColor="text1"/>
            </w:tcBorders>
            <w:hideMark/>
          </w:tcPr>
          <w:p w14:paraId="03382744" w14:textId="77777777" w:rsidR="00F97220" w:rsidRPr="009850CC" w:rsidRDefault="00F97220" w:rsidP="00725D4B">
            <w:pPr>
              <w:pStyle w:val="NormalWeb"/>
              <w:jc w:val="center"/>
              <w:rPr>
                <w:sz w:val="18"/>
                <w:szCs w:val="18"/>
              </w:rPr>
            </w:pPr>
            <w:r w:rsidRPr="009850CC">
              <w:rPr>
                <w:sz w:val="18"/>
                <w:szCs w:val="18"/>
              </w:rPr>
              <w:t>1,437 (93)</w:t>
            </w:r>
          </w:p>
        </w:tc>
      </w:tr>
    </w:tbl>
    <w:p w14:paraId="6BEEE707" w14:textId="77777777" w:rsidR="00F97220" w:rsidRDefault="00F97220" w:rsidP="00F97220">
      <w:pPr>
        <w:pStyle w:val="CDIfootnotes"/>
        <w:rPr>
          <w:lang w:val="en-GB"/>
        </w:rPr>
      </w:pPr>
      <w:r>
        <w:rPr>
          <w:lang w:val="en-GB"/>
        </w:rPr>
        <w:t>a</w:t>
      </w:r>
      <w:r>
        <w:rPr>
          <w:lang w:val="en-GB"/>
        </w:rPr>
        <w:tab/>
        <w:t>Diagnosis date of cases was defined as first symptom onset date, or as specimen date when onset date was unavailable.</w:t>
      </w:r>
    </w:p>
    <w:p w14:paraId="4721E187" w14:textId="77777777" w:rsidR="00F97220" w:rsidRDefault="00F97220" w:rsidP="00F97220">
      <w:pPr>
        <w:pStyle w:val="CDIfootnotes"/>
        <w:rPr>
          <w:lang w:val="en-GB"/>
        </w:rPr>
      </w:pPr>
      <w:r>
        <w:rPr>
          <w:lang w:val="en-GB"/>
        </w:rPr>
        <w:t>b</w:t>
      </w:r>
      <w:r>
        <w:rPr>
          <w:lang w:val="en-GB"/>
        </w:rPr>
        <w:tab/>
        <w:t>Data unavailable on eight cases.</w:t>
      </w:r>
    </w:p>
    <w:p w14:paraId="79D5E283" w14:textId="77777777" w:rsidR="00F97220" w:rsidRDefault="00F97220" w:rsidP="00F97220">
      <w:pPr>
        <w:pStyle w:val="CDIfootnotes"/>
        <w:rPr>
          <w:lang w:val="en-GB"/>
        </w:rPr>
      </w:pPr>
      <w:r>
        <w:rPr>
          <w:lang w:val="en-GB"/>
        </w:rPr>
        <w:t>c</w:t>
      </w:r>
      <w:r>
        <w:rPr>
          <w:lang w:val="en-GB"/>
        </w:rPr>
        <w:tab/>
        <w:t>Data unavailable on 29 cases.</w:t>
      </w:r>
    </w:p>
    <w:p w14:paraId="1D5FC011" w14:textId="77777777" w:rsidR="00F97220" w:rsidRDefault="00F97220" w:rsidP="00F97220">
      <w:pPr>
        <w:pStyle w:val="CDIfootnotes"/>
        <w:rPr>
          <w:lang w:val="en-GB"/>
        </w:rPr>
      </w:pPr>
      <w:r>
        <w:rPr>
          <w:lang w:val="en-GB"/>
        </w:rPr>
        <w:t>d</w:t>
      </w:r>
      <w:r>
        <w:rPr>
          <w:lang w:val="en-GB"/>
        </w:rPr>
        <w:tab/>
        <w:t>Includes hospitalisations due to and with COVID-19.</w:t>
      </w:r>
    </w:p>
    <w:p w14:paraId="2CD8EEAA" w14:textId="77777777" w:rsidR="00F97220" w:rsidRDefault="00F97220">
      <w:pPr>
        <w:rPr>
          <w:rStyle w:val="Strong"/>
          <w:bCs w:val="0"/>
        </w:rPr>
      </w:pPr>
      <w:r>
        <w:rPr>
          <w:rStyle w:val="Strong"/>
          <w:b w:val="0"/>
          <w:bCs w:val="0"/>
        </w:rPr>
        <w:br w:type="page"/>
      </w:r>
    </w:p>
    <w:p w14:paraId="33E4BE18" w14:textId="6BA82679" w:rsidR="00F97220" w:rsidRPr="000B303F" w:rsidRDefault="00F97220" w:rsidP="00F97220">
      <w:pPr>
        <w:pStyle w:val="CDIFigures"/>
      </w:pPr>
      <w:r w:rsidRPr="000B303F">
        <w:rPr>
          <w:rStyle w:val="Strong"/>
          <w:b/>
          <w:bCs w:val="0"/>
        </w:rPr>
        <w:lastRenderedPageBreak/>
        <w:t>Figure 1: Numbers of COVID-19 cases and COVID-19 vaccination coverage, Australian Capital Territory, 11</w:t>
      </w:r>
      <w:r>
        <w:rPr>
          <w:rStyle w:val="Strong"/>
          <w:b/>
          <w:bCs w:val="0"/>
        </w:rPr>
        <w:t> </w:t>
      </w:r>
      <w:r w:rsidRPr="000B303F">
        <w:rPr>
          <w:rStyle w:val="Strong"/>
          <w:b/>
          <w:bCs w:val="0"/>
        </w:rPr>
        <w:t>August</w:t>
      </w:r>
      <w:r>
        <w:rPr>
          <w:rStyle w:val="Strong"/>
          <w:b/>
          <w:bCs w:val="0"/>
        </w:rPr>
        <w:t> </w:t>
      </w:r>
      <w:r w:rsidRPr="000B303F">
        <w:rPr>
          <w:rStyle w:val="Strong"/>
          <w:b/>
          <w:bCs w:val="0"/>
        </w:rPr>
        <w:t>2021 – 17 October 2021</w:t>
      </w:r>
    </w:p>
    <w:p w14:paraId="2899EB4D" w14:textId="29DB62D2" w:rsidR="00F97220" w:rsidRPr="00F97220" w:rsidRDefault="00F97220" w:rsidP="00F97220">
      <w:pPr>
        <w:rPr>
          <w:rFonts w:eastAsia="Times New Roman"/>
          <w:lang w:val="en-GB"/>
        </w:rPr>
      </w:pPr>
      <w:r>
        <w:rPr>
          <w:rFonts w:eastAsia="Times New Roman"/>
          <w:noProof/>
          <w:lang w:val="en-GB"/>
        </w:rPr>
        <w:drawing>
          <wp:inline distT="0" distB="0" distL="0" distR="0" wp14:anchorId="3E210313" wp14:editId="54FF14C3">
            <wp:extent cx="6629400" cy="4461523"/>
            <wp:effectExtent l="0" t="0" r="0" b="0"/>
            <wp:docPr id="2" name="Picture 2" descr="Figure presents the epidemic curve of Delta variant of SARS-CoV-2 infections in the Australian Capital Territory and COVID-19 vaccine coverage in the Australia Capital Territory over the course of the epidemic from 11 August 2021 – 17 Octob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resents the epidemic curve of Delta variant of SARS-CoV-2 infections in the Australian Capital Territory and COVID-19 vaccine coverage in the Australia Capital Territory over the course of the epidemic from 11 August 2021 – 17 October 2021"/>
                    <pic:cNvPicPr>
                      <a:picLocks noChangeAspect="1" noChangeArrowheads="1"/>
                    </pic:cNvPicPr>
                  </pic:nvPicPr>
                  <pic:blipFill>
                    <a:blip r:link="rId9">
                      <a:extLst>
                        <a:ext uri="{28A0092B-C50C-407E-A947-70E740481C1C}">
                          <a14:useLocalDpi xmlns:a14="http://schemas.microsoft.com/office/drawing/2010/main" val="0"/>
                        </a:ext>
                      </a:extLst>
                    </a:blip>
                    <a:stretch>
                      <a:fillRect/>
                    </a:stretch>
                  </pic:blipFill>
                  <pic:spPr bwMode="auto">
                    <a:xfrm>
                      <a:off x="0" y="0"/>
                      <a:ext cx="6635568" cy="4465674"/>
                    </a:xfrm>
                    <a:prstGeom prst="rect">
                      <a:avLst/>
                    </a:prstGeom>
                  </pic:spPr>
                </pic:pic>
              </a:graphicData>
            </a:graphic>
          </wp:inline>
        </w:drawing>
      </w:r>
    </w:p>
    <w:p w14:paraId="36AD3E25" w14:textId="2C53DEDF" w:rsidR="00543ADD" w:rsidRPr="00543ADD" w:rsidRDefault="00543ADD" w:rsidP="00543ADD">
      <w:pPr>
        <w:pStyle w:val="Heading1"/>
      </w:pPr>
      <w:r w:rsidRPr="00543ADD">
        <w:t>Discussion and conclusion</w:t>
      </w:r>
    </w:p>
    <w:p w14:paraId="2F35EB0F" w14:textId="3F1AA7E5" w:rsidR="00543ADD" w:rsidRDefault="00543ADD" w:rsidP="00543ADD">
      <w:r>
        <w:t xml:space="preserve">In the ACT, early intervention with extensive public health and social measures along with a rapid roll-out and high uptake of COVID-19 vaccines resulted in suppression of the COVID-19 outbreak associated with the Delta SARS-CoV-2 variant. Breakthrough infections accounted for 10% of all cases, but the risk of COVID-19 in </w:t>
      </w:r>
      <w:proofErr w:type="gramStart"/>
      <w:r>
        <w:t>fully-vaccinated</w:t>
      </w:r>
      <w:proofErr w:type="gramEnd"/>
      <w:r>
        <w:t xml:space="preserve"> persons was dramatically lower. Only 2.7% of people with breakthrough infections (4/147) were hospitalised. In the ACT, it was important to note that the relationship between incidence and vaccination status may be confounded by ability or willingness to comply with public health measures, such as community-wide lockdown. Emerging international evidence during the Delta surge suggested that fully vaccinated persons remained at risk of SARS-CoV-2, but the incidence and severity varied on individual immune responses, and by setting and level of community transmission.</w:t>
      </w:r>
      <w:r>
        <w:rPr>
          <w:vertAlign w:val="superscript"/>
        </w:rPr>
        <w:t>4</w:t>
      </w:r>
      <w:r>
        <w:t xml:space="preserve"> In England, during the peak of Delta surge in June-July 2021, the prevalence of SARS-CoV-2 amongst vaccinated persons was 0.40% (n = 55,962) compared with 1.21% amongst unvaccinated persons (n = 15,135).</w:t>
      </w:r>
      <w:r>
        <w:rPr>
          <w:vertAlign w:val="superscript"/>
        </w:rPr>
        <w:t>5</w:t>
      </w:r>
      <w:r>
        <w:t xml:space="preserve"> </w:t>
      </w:r>
    </w:p>
    <w:p w14:paraId="42875B37" w14:textId="77777777" w:rsidR="00543ADD" w:rsidRDefault="00543ADD" w:rsidP="00543ADD">
      <w:r>
        <w:t xml:space="preserve">The lower incidence of COVID-19 in </w:t>
      </w:r>
      <w:proofErr w:type="gramStart"/>
      <w:r>
        <w:t>partially-vaccinated</w:t>
      </w:r>
      <w:proofErr w:type="gramEnd"/>
      <w:r>
        <w:t xml:space="preserve"> persons highlights the benefits of a single dose of vaccine against COVID-19. At the population level, these findings supported a rapid roll-out of the vaccine along with public health and social measures including contact tracing in outbreak settings. In the outbreak setting, the emphasis on maximising one-dose coverage was critical.</w:t>
      </w:r>
    </w:p>
    <w:p w14:paraId="5DC332BB" w14:textId="017D4CA3" w:rsidR="00543ADD" w:rsidRDefault="00543ADD" w:rsidP="00543ADD">
      <w:r>
        <w:t>The majority of breakthrough infections occurred in households and long-term care facilities, which is expected given the force of infection and the regular exposure to an infected person in residential settings.</w:t>
      </w:r>
      <w:r>
        <w:rPr>
          <w:vertAlign w:val="superscript"/>
        </w:rPr>
        <w:t>6,7</w:t>
      </w:r>
      <w:r>
        <w:t xml:space="preserve"> Data from the </w:t>
      </w:r>
      <w:r>
        <w:lastRenderedPageBreak/>
        <w:t>United Kingdom, examining transmission and viral kinetics, found that individuals with breakthrough infections had peak viral load similar to unvaccinated cases, but had faster mean rate of viral load decline.</w:t>
      </w:r>
      <w:r>
        <w:rPr>
          <w:vertAlign w:val="superscript"/>
        </w:rPr>
        <w:t>8</w:t>
      </w:r>
      <w:r>
        <w:t xml:space="preserve"> The secondary attack rate within households exposed to the Delta variant was 25% (95% CI: 18–33%) for fully vaccinated persons, compared to 38% (95% CI: 24–53%) in unvaccinated persons.</w:t>
      </w:r>
      <w:r>
        <w:rPr>
          <w:vertAlign w:val="superscript"/>
        </w:rPr>
        <w:t>8</w:t>
      </w:r>
      <w:r>
        <w:t xml:space="preserve"> </w:t>
      </w:r>
    </w:p>
    <w:p w14:paraId="247E2366" w14:textId="3EF1B652" w:rsidR="00543ADD" w:rsidRDefault="00543ADD" w:rsidP="00543ADD">
      <w:r>
        <w:t>We did not observe any notable trend between time-from-vaccine and breakthrough infections, but this may be due to the small numbers of breakthrough infections. Examining breakthrough infections over time is important due to concerns about waning immunity, particularly among healthcare workers and the immunocompromised.</w:t>
      </w:r>
      <w:r>
        <w:rPr>
          <w:vertAlign w:val="superscript"/>
        </w:rPr>
        <w:t>9</w:t>
      </w:r>
      <w:r>
        <w:t xml:space="preserve"> While most breakthrough infections occurred in high-risk transmission settings of households, we were unable to examine the immune status of household contacts that did not become cases, which will be important for future studies.</w:t>
      </w:r>
    </w:p>
    <w:p w14:paraId="1620D660" w14:textId="77777777" w:rsidR="00543ADD" w:rsidRDefault="00543ADD" w:rsidP="00543ADD">
      <w:r>
        <w:t>Rapid wide-scale vaccination played a critical role in reducing the risk of COVID-19 transmission in the ACT during an outbreak of the Delta variant of SARS-CoV-2.</w:t>
      </w:r>
    </w:p>
    <w:p w14:paraId="04CCDDF2" w14:textId="77777777" w:rsidR="00543ADD" w:rsidRPr="00543ADD" w:rsidRDefault="00543ADD" w:rsidP="00543ADD">
      <w:pPr>
        <w:pStyle w:val="Heading1"/>
      </w:pPr>
      <w:r w:rsidRPr="00543ADD">
        <w:t>Acknowledgement</w:t>
      </w:r>
    </w:p>
    <w:p w14:paraId="426B41D0" w14:textId="77777777" w:rsidR="00543ADD" w:rsidRDefault="00543ADD" w:rsidP="00543ADD">
      <w:r>
        <w:t xml:space="preserve">We thank members of the ACT Health Public Health Emergency Coordination Centre, particularly case investigators, epidemiologists, and the vaccine operation team for data collection. We thank the laboratory staff involved in the testing of specimens and reporting of results. Additionally, we thank the following people for their assistance: Mr Mark Leslie and Mr </w:t>
      </w:r>
      <w:proofErr w:type="spellStart"/>
      <w:r>
        <w:t>Mric</w:t>
      </w:r>
      <w:proofErr w:type="spellEnd"/>
      <w:r>
        <w:t xml:space="preserve"> Gomez for validating the vaccination status of cases; Ms Anne Jenkins for providing data on vaccination coverage; and A/Prof Katie Glass for statistical advice.</w:t>
      </w:r>
    </w:p>
    <w:p w14:paraId="27C8AB8B" w14:textId="77777777" w:rsidR="00543ADD" w:rsidRPr="00543ADD" w:rsidRDefault="00543ADD" w:rsidP="00543ADD">
      <w:pPr>
        <w:pStyle w:val="Heading1"/>
      </w:pPr>
      <w:r w:rsidRPr="00543ADD">
        <w:t>Funding</w:t>
      </w:r>
    </w:p>
    <w:p w14:paraId="5869CB50" w14:textId="77777777" w:rsidR="00543ADD" w:rsidRDefault="00543ADD" w:rsidP="00543ADD">
      <w:r>
        <w:t>MS is supported by a fellowship from the Westpac Scholars Trust. MDK is supported by a National Health and Medical Research Council Fellowship (APP1145997).</w:t>
      </w:r>
    </w:p>
    <w:p w14:paraId="4762C11A" w14:textId="77777777" w:rsidR="003059FE" w:rsidRDefault="003059FE">
      <w:pPr>
        <w:rPr>
          <w:rFonts w:asciiTheme="majorHAnsi" w:eastAsiaTheme="majorEastAsia" w:hAnsiTheme="majorHAnsi" w:cstheme="majorBidi"/>
          <w:b/>
          <w:bCs/>
          <w:sz w:val="32"/>
          <w:szCs w:val="28"/>
        </w:rPr>
      </w:pPr>
      <w:r>
        <w:br w:type="page"/>
      </w:r>
    </w:p>
    <w:p w14:paraId="6DA99167" w14:textId="148B8465" w:rsidR="00543ADD" w:rsidRPr="00543ADD" w:rsidRDefault="00543ADD" w:rsidP="00543ADD">
      <w:pPr>
        <w:pStyle w:val="Heading1"/>
      </w:pPr>
      <w:r w:rsidRPr="00543ADD">
        <w:lastRenderedPageBreak/>
        <w:t>Author details</w:t>
      </w:r>
    </w:p>
    <w:p w14:paraId="1D3C185A" w14:textId="0C122006" w:rsidR="00543ADD" w:rsidRDefault="00543ADD" w:rsidP="00543ADD">
      <w:r>
        <w:t xml:space="preserve">Meru Sheel </w:t>
      </w:r>
      <w:r>
        <w:rPr>
          <w:vertAlign w:val="superscript"/>
        </w:rPr>
        <w:t>1,2,3</w:t>
      </w:r>
      <w:r>
        <w:t xml:space="preserve"> </w:t>
      </w:r>
      <w:r w:rsidR="003059FE">
        <w:br/>
      </w:r>
      <w:proofErr w:type="spellStart"/>
      <w:r>
        <w:t>Tze</w:t>
      </w:r>
      <w:proofErr w:type="spellEnd"/>
      <w:r>
        <w:t xml:space="preserve"> </w:t>
      </w:r>
      <w:proofErr w:type="spellStart"/>
      <w:r>
        <w:t>Vun</w:t>
      </w:r>
      <w:proofErr w:type="spellEnd"/>
      <w:r>
        <w:t xml:space="preserve"> </w:t>
      </w:r>
      <w:proofErr w:type="spellStart"/>
      <w:r>
        <w:t>Voo</w:t>
      </w:r>
      <w:proofErr w:type="spellEnd"/>
      <w:r>
        <w:t xml:space="preserve"> </w:t>
      </w:r>
      <w:r>
        <w:rPr>
          <w:vertAlign w:val="superscript"/>
        </w:rPr>
        <w:t>1</w:t>
      </w:r>
      <w:r>
        <w:t xml:space="preserve"> </w:t>
      </w:r>
      <w:r w:rsidR="003059FE">
        <w:br/>
      </w:r>
      <w:r>
        <w:t xml:space="preserve">Nevada </w:t>
      </w:r>
      <w:proofErr w:type="spellStart"/>
      <w:r>
        <w:t>Pingault</w:t>
      </w:r>
      <w:proofErr w:type="spellEnd"/>
      <w:r>
        <w:t xml:space="preserve"> </w:t>
      </w:r>
      <w:r>
        <w:rPr>
          <w:vertAlign w:val="superscript"/>
        </w:rPr>
        <w:t>1</w:t>
      </w:r>
      <w:r>
        <w:t xml:space="preserve"> </w:t>
      </w:r>
      <w:r w:rsidR="003059FE">
        <w:br/>
      </w:r>
      <w:r>
        <w:t xml:space="preserve">Timothy S Sloan-Gardner </w:t>
      </w:r>
      <w:r>
        <w:rPr>
          <w:vertAlign w:val="superscript"/>
        </w:rPr>
        <w:t>1</w:t>
      </w:r>
      <w:r>
        <w:t xml:space="preserve"> </w:t>
      </w:r>
      <w:r w:rsidR="003059FE">
        <w:br/>
      </w:r>
      <w:r>
        <w:t xml:space="preserve">Alexandra Marmor </w:t>
      </w:r>
      <w:r>
        <w:rPr>
          <w:vertAlign w:val="superscript"/>
        </w:rPr>
        <w:t>1</w:t>
      </w:r>
      <w:r>
        <w:t xml:space="preserve"> </w:t>
      </w:r>
      <w:r w:rsidR="003059FE">
        <w:br/>
      </w:r>
      <w:r>
        <w:t xml:space="preserve">Martyn D Kirk </w:t>
      </w:r>
      <w:r>
        <w:rPr>
          <w:vertAlign w:val="superscript"/>
        </w:rPr>
        <w:t>2</w:t>
      </w:r>
      <w:r>
        <w:t xml:space="preserve"> </w:t>
      </w:r>
      <w:r w:rsidR="003059FE">
        <w:br/>
      </w:r>
      <w:r>
        <w:t xml:space="preserve">Vanessa Johnston </w:t>
      </w:r>
      <w:r>
        <w:rPr>
          <w:vertAlign w:val="superscript"/>
        </w:rPr>
        <w:t>1</w:t>
      </w:r>
      <w:r>
        <w:t xml:space="preserve"> </w:t>
      </w:r>
      <w:r w:rsidR="003059FE">
        <w:br/>
      </w:r>
      <w:r>
        <w:t xml:space="preserve">Kerryn Coleman </w:t>
      </w:r>
      <w:r>
        <w:rPr>
          <w:vertAlign w:val="superscript"/>
        </w:rPr>
        <w:t>1</w:t>
      </w:r>
      <w:r>
        <w:t xml:space="preserve"> </w:t>
      </w:r>
    </w:p>
    <w:p w14:paraId="257EF8F5" w14:textId="77777777" w:rsidR="00543ADD" w:rsidRPr="00543ADD" w:rsidRDefault="00543ADD" w:rsidP="00543ADD">
      <w:pPr>
        <w:pStyle w:val="ListParagraph"/>
        <w:numPr>
          <w:ilvl w:val="0"/>
          <w:numId w:val="9"/>
        </w:numPr>
        <w:rPr>
          <w:rFonts w:eastAsia="Times New Roman"/>
        </w:rPr>
      </w:pPr>
      <w:r w:rsidRPr="00543ADD">
        <w:rPr>
          <w:rFonts w:eastAsia="Times New Roman"/>
        </w:rPr>
        <w:t>Public Health Emergency Coordination Centre, ACT Health, Canberra, Australian Capital Territory, Australia.</w:t>
      </w:r>
    </w:p>
    <w:p w14:paraId="132194B1" w14:textId="77777777" w:rsidR="00543ADD" w:rsidRPr="00543ADD" w:rsidRDefault="00543ADD" w:rsidP="00543ADD">
      <w:pPr>
        <w:pStyle w:val="ListParagraph"/>
        <w:numPr>
          <w:ilvl w:val="0"/>
          <w:numId w:val="9"/>
        </w:numPr>
        <w:rPr>
          <w:rFonts w:eastAsia="Times New Roman"/>
        </w:rPr>
      </w:pPr>
      <w:r w:rsidRPr="00543ADD">
        <w:rPr>
          <w:rFonts w:eastAsia="Times New Roman"/>
        </w:rPr>
        <w:t>National Centre for Epidemiology and Population Health, ANU College of Health and Medicine, the Australian National University, Canberra, Australian Capital Territory, Australia</w:t>
      </w:r>
    </w:p>
    <w:p w14:paraId="0A51FAEF" w14:textId="77777777" w:rsidR="00543ADD" w:rsidRPr="00543ADD" w:rsidRDefault="00543ADD" w:rsidP="00543ADD">
      <w:pPr>
        <w:pStyle w:val="ListParagraph"/>
        <w:numPr>
          <w:ilvl w:val="0"/>
          <w:numId w:val="9"/>
        </w:numPr>
        <w:rPr>
          <w:rFonts w:eastAsia="Times New Roman"/>
        </w:rPr>
      </w:pPr>
      <w:r w:rsidRPr="00543ADD">
        <w:rPr>
          <w:rFonts w:eastAsia="Times New Roman"/>
        </w:rPr>
        <w:t>Sydney School of Public Health, Faculty of Health and Medicine, The University of Sydney, Camperdown, New South Wales, Australia</w:t>
      </w:r>
    </w:p>
    <w:p w14:paraId="061451E2" w14:textId="77777777" w:rsidR="00543ADD" w:rsidRPr="00543ADD" w:rsidRDefault="00543ADD" w:rsidP="00543ADD">
      <w:pPr>
        <w:pStyle w:val="Heading2"/>
      </w:pPr>
      <w:r w:rsidRPr="00543ADD">
        <w:t>Corresponding author</w:t>
      </w:r>
    </w:p>
    <w:p w14:paraId="54960146" w14:textId="77777777" w:rsidR="00543ADD" w:rsidRDefault="00543ADD" w:rsidP="001052BC">
      <w:pPr>
        <w:pStyle w:val="NoSpacing"/>
      </w:pPr>
      <w:r>
        <w:t>Dr Meru Sheel</w:t>
      </w:r>
    </w:p>
    <w:p w14:paraId="19BBC0C9" w14:textId="77777777" w:rsidR="00543ADD" w:rsidRDefault="00543ADD" w:rsidP="001052BC">
      <w:pPr>
        <w:pStyle w:val="NoSpacing"/>
      </w:pPr>
      <w:r>
        <w:t>National Centre for Epidemiology and Population Health, ANU College of Health and Medicine, the Australian National University, Canberra, Australian Capital Territory, Australia</w:t>
      </w:r>
    </w:p>
    <w:p w14:paraId="52DF9724" w14:textId="77777777" w:rsidR="00543ADD" w:rsidRDefault="00543ADD" w:rsidP="001052BC">
      <w:pPr>
        <w:pStyle w:val="NoSpacing"/>
      </w:pPr>
      <w:r>
        <w:t>Email: meru.sheel@sydney.edu.au</w:t>
      </w:r>
    </w:p>
    <w:p w14:paraId="16A77B0B" w14:textId="77777777" w:rsidR="001052BC" w:rsidRDefault="001052BC">
      <w:pPr>
        <w:rPr>
          <w:rFonts w:asciiTheme="majorHAnsi" w:eastAsiaTheme="majorEastAsia" w:hAnsiTheme="majorHAnsi" w:cstheme="majorBidi"/>
          <w:b/>
          <w:bCs/>
          <w:sz w:val="32"/>
          <w:szCs w:val="28"/>
        </w:rPr>
      </w:pPr>
      <w:r>
        <w:br w:type="page"/>
      </w:r>
    </w:p>
    <w:p w14:paraId="66B61BCA" w14:textId="2FC794E2" w:rsidR="00543ADD" w:rsidRPr="00543ADD" w:rsidRDefault="00543ADD" w:rsidP="00543ADD">
      <w:pPr>
        <w:pStyle w:val="Heading1"/>
      </w:pPr>
      <w:r w:rsidRPr="00543ADD">
        <w:lastRenderedPageBreak/>
        <w:t>References</w:t>
      </w:r>
    </w:p>
    <w:p w14:paraId="7354FACF" w14:textId="77777777" w:rsidR="00543ADD" w:rsidRPr="00543ADD" w:rsidRDefault="00543ADD" w:rsidP="00543ADD">
      <w:pPr>
        <w:pStyle w:val="ListParagraph"/>
        <w:numPr>
          <w:ilvl w:val="0"/>
          <w:numId w:val="10"/>
        </w:numPr>
        <w:rPr>
          <w:rFonts w:eastAsia="Times New Roman"/>
        </w:rPr>
      </w:pPr>
      <w:r w:rsidRPr="00543ADD">
        <w:rPr>
          <w:rFonts w:eastAsia="Times New Roman"/>
        </w:rPr>
        <w:t>Australian Capital Territory Government. COVID-19: Seven-day lockdown for the ACT. [Internet.] Canberra: Australian Capital Territory Government; 12 August 2021. [Accessed on 6 November 2021.] Available from: https://www.covid19.act.gov.au/news-articles/seven-day-lockdown-for-the-act.</w:t>
      </w:r>
    </w:p>
    <w:p w14:paraId="1E26BCA8" w14:textId="77777777" w:rsidR="00543ADD" w:rsidRPr="00543ADD" w:rsidRDefault="00543ADD" w:rsidP="00543ADD">
      <w:pPr>
        <w:pStyle w:val="ListParagraph"/>
        <w:numPr>
          <w:ilvl w:val="0"/>
          <w:numId w:val="10"/>
        </w:numPr>
        <w:rPr>
          <w:rFonts w:eastAsia="Times New Roman"/>
        </w:rPr>
      </w:pPr>
      <w:r w:rsidRPr="00543ADD">
        <w:rPr>
          <w:rFonts w:eastAsia="Times New Roman"/>
        </w:rPr>
        <w:t>Australian Government Department of Health. COVID-19 vaccination – COVID-19 vaccination Phase 1A rollout presentation. [Internet.] Canberra: Australian Government Department of Health; 18 February 2021. [Accessed on 27 November 2021.] Available from: https://www.health.gov.au/resources/publications/covid-19-vaccination-covid-19-vaccination-phase-1a-rollout-presentation.</w:t>
      </w:r>
    </w:p>
    <w:p w14:paraId="4F202A69" w14:textId="77777777" w:rsidR="00543ADD" w:rsidRPr="00543ADD" w:rsidRDefault="00543ADD" w:rsidP="00543ADD">
      <w:pPr>
        <w:pStyle w:val="ListParagraph"/>
        <w:numPr>
          <w:ilvl w:val="0"/>
          <w:numId w:val="10"/>
        </w:numPr>
        <w:rPr>
          <w:rFonts w:eastAsia="Times New Roman"/>
        </w:rPr>
      </w:pPr>
      <w:r w:rsidRPr="00543ADD">
        <w:rPr>
          <w:rFonts w:eastAsia="Times New Roman"/>
        </w:rPr>
        <w:t>Australian Government Department of Health. Coronavirus Disease 2019 (COVID-19). CDNA National guidelines for public health units. [Internet.] Canberra: Australian Government Department of Health; 2021. [Accessed on 6 November 2021.] Available from: https://www1.health.gov.au/internet/main/publishing.nsf/Content/cdna-song-novel-coronavirus.htm</w:t>
      </w:r>
    </w:p>
    <w:p w14:paraId="2007CC86" w14:textId="5DED3DA7" w:rsidR="00543ADD" w:rsidRPr="00543ADD" w:rsidRDefault="00543ADD" w:rsidP="00543ADD">
      <w:pPr>
        <w:pStyle w:val="ListParagraph"/>
        <w:numPr>
          <w:ilvl w:val="0"/>
          <w:numId w:val="10"/>
        </w:numPr>
        <w:rPr>
          <w:rFonts w:eastAsia="Times New Roman"/>
        </w:rPr>
      </w:pPr>
      <w:proofErr w:type="spellStart"/>
      <w:r w:rsidRPr="00543ADD">
        <w:rPr>
          <w:rFonts w:eastAsia="Times New Roman"/>
        </w:rPr>
        <w:t>Klompas</w:t>
      </w:r>
      <w:proofErr w:type="spellEnd"/>
      <w:r w:rsidRPr="00543ADD">
        <w:rPr>
          <w:rFonts w:eastAsia="Times New Roman"/>
        </w:rPr>
        <w:t xml:space="preserve"> M. Understanding breakthrough infections following mRNA SARS-CoV-2 vaccination. </w:t>
      </w:r>
      <w:r w:rsidRPr="0010658B">
        <w:rPr>
          <w:rStyle w:val="Emphasis"/>
          <w:rFonts w:eastAsia="Times New Roman"/>
          <w:b w:val="0"/>
          <w:bCs w:val="0"/>
        </w:rPr>
        <w:t>JAMA</w:t>
      </w:r>
      <w:r w:rsidRPr="00543ADD">
        <w:rPr>
          <w:rFonts w:eastAsia="Times New Roman"/>
        </w:rPr>
        <w:t xml:space="preserve">. 2021;326(20):2018–20. </w:t>
      </w:r>
      <w:proofErr w:type="spellStart"/>
      <w:r w:rsidRPr="00543ADD">
        <w:rPr>
          <w:rFonts w:eastAsia="Times New Roman"/>
        </w:rPr>
        <w:t>doi</w:t>
      </w:r>
      <w:proofErr w:type="spellEnd"/>
      <w:r w:rsidRPr="00543ADD">
        <w:rPr>
          <w:rFonts w:eastAsia="Times New Roman"/>
        </w:rPr>
        <w:t>: https://doi.org/10.1001/jama.2021.19063.</w:t>
      </w:r>
    </w:p>
    <w:p w14:paraId="663DE401" w14:textId="3E765D7C" w:rsidR="00543ADD" w:rsidRPr="00543ADD" w:rsidRDefault="00543ADD" w:rsidP="00543ADD">
      <w:pPr>
        <w:pStyle w:val="ListParagraph"/>
        <w:numPr>
          <w:ilvl w:val="0"/>
          <w:numId w:val="10"/>
        </w:numPr>
        <w:rPr>
          <w:rFonts w:eastAsia="Times New Roman"/>
        </w:rPr>
      </w:pPr>
      <w:r w:rsidRPr="00543ADD">
        <w:rPr>
          <w:rFonts w:eastAsia="Times New Roman"/>
        </w:rPr>
        <w:t xml:space="preserve">Elliott P, Haw D, Wang H, Eales O, Walters CE, Ainslie KEC et al. Exponential growth, high prevalence of SARS-CoV-2, and vaccine effectiveness associated with the Delta variant. </w:t>
      </w:r>
      <w:r w:rsidRPr="0010658B">
        <w:rPr>
          <w:rStyle w:val="Emphasis"/>
          <w:rFonts w:eastAsia="Times New Roman"/>
          <w:b w:val="0"/>
          <w:bCs w:val="0"/>
        </w:rPr>
        <w:t>Science</w:t>
      </w:r>
      <w:r w:rsidRPr="00543ADD">
        <w:rPr>
          <w:rFonts w:eastAsia="Times New Roman"/>
        </w:rPr>
        <w:t>. 2021;374(6574</w:t>
      </w:r>
      <w:proofErr w:type="gramStart"/>
      <w:r w:rsidRPr="00543ADD">
        <w:rPr>
          <w:rFonts w:eastAsia="Times New Roman"/>
        </w:rPr>
        <w:t>):eabl</w:t>
      </w:r>
      <w:proofErr w:type="gramEnd"/>
      <w:r w:rsidRPr="00543ADD">
        <w:rPr>
          <w:rFonts w:eastAsia="Times New Roman"/>
        </w:rPr>
        <w:t xml:space="preserve">9551. </w:t>
      </w:r>
      <w:proofErr w:type="spellStart"/>
      <w:r w:rsidRPr="00543ADD">
        <w:rPr>
          <w:rFonts w:eastAsia="Times New Roman"/>
        </w:rPr>
        <w:t>doi</w:t>
      </w:r>
      <w:proofErr w:type="spellEnd"/>
      <w:r w:rsidRPr="00543ADD">
        <w:rPr>
          <w:rFonts w:eastAsia="Times New Roman"/>
        </w:rPr>
        <w:t>: https://doi.org/10.1126/science.abl9551.</w:t>
      </w:r>
    </w:p>
    <w:p w14:paraId="6F60E476" w14:textId="77777777" w:rsidR="00543ADD" w:rsidRPr="00543ADD" w:rsidRDefault="00543ADD" w:rsidP="00543ADD">
      <w:pPr>
        <w:pStyle w:val="ListParagraph"/>
        <w:numPr>
          <w:ilvl w:val="0"/>
          <w:numId w:val="10"/>
        </w:numPr>
        <w:rPr>
          <w:rFonts w:eastAsia="Times New Roman"/>
        </w:rPr>
      </w:pPr>
      <w:proofErr w:type="spellStart"/>
      <w:r w:rsidRPr="00543ADD">
        <w:rPr>
          <w:rFonts w:eastAsia="Times New Roman"/>
        </w:rPr>
        <w:t>Kaslow</w:t>
      </w:r>
      <w:proofErr w:type="spellEnd"/>
      <w:r w:rsidRPr="00543ADD">
        <w:rPr>
          <w:rFonts w:eastAsia="Times New Roman"/>
        </w:rPr>
        <w:t xml:space="preserve"> DC. Force of infection: a determinant of vaccine efficacy? </w:t>
      </w:r>
      <w:r w:rsidRPr="0010658B">
        <w:rPr>
          <w:rStyle w:val="Emphasis"/>
          <w:rFonts w:eastAsia="Times New Roman"/>
          <w:b w:val="0"/>
          <w:bCs w:val="0"/>
        </w:rPr>
        <w:t xml:space="preserve">NPJ </w:t>
      </w:r>
      <w:proofErr w:type="gramStart"/>
      <w:r w:rsidRPr="0010658B">
        <w:rPr>
          <w:rStyle w:val="Emphasis"/>
          <w:rFonts w:eastAsia="Times New Roman"/>
          <w:b w:val="0"/>
          <w:bCs w:val="0"/>
        </w:rPr>
        <w:t>Vaccines</w:t>
      </w:r>
      <w:r w:rsidRPr="00543ADD">
        <w:rPr>
          <w:rFonts w:eastAsia="Times New Roman"/>
        </w:rPr>
        <w:t xml:space="preserve"> .</w:t>
      </w:r>
      <w:proofErr w:type="gramEnd"/>
      <w:r w:rsidRPr="00543ADD">
        <w:rPr>
          <w:rFonts w:eastAsia="Times New Roman"/>
        </w:rPr>
        <w:t xml:space="preserve"> 2021;6(1):51. </w:t>
      </w:r>
      <w:proofErr w:type="spellStart"/>
      <w:r w:rsidRPr="00543ADD">
        <w:rPr>
          <w:rFonts w:eastAsia="Times New Roman"/>
        </w:rPr>
        <w:t>doi</w:t>
      </w:r>
      <w:proofErr w:type="spellEnd"/>
      <w:r w:rsidRPr="00543ADD">
        <w:rPr>
          <w:rFonts w:eastAsia="Times New Roman"/>
        </w:rPr>
        <w:t>: https://doi.org/10.1038/s41541-021-00316-5.</w:t>
      </w:r>
    </w:p>
    <w:p w14:paraId="7329647F" w14:textId="3A1E7B8B" w:rsidR="00543ADD" w:rsidRPr="00543ADD" w:rsidRDefault="00543ADD" w:rsidP="00543ADD">
      <w:pPr>
        <w:pStyle w:val="ListParagraph"/>
        <w:numPr>
          <w:ilvl w:val="0"/>
          <w:numId w:val="10"/>
        </w:numPr>
        <w:rPr>
          <w:rFonts w:eastAsia="Times New Roman"/>
        </w:rPr>
      </w:pPr>
      <w:r w:rsidRPr="00543ADD">
        <w:rPr>
          <w:rFonts w:eastAsia="Times New Roman"/>
        </w:rPr>
        <w:t xml:space="preserve">Lei H, Xu X, Xiao S, Wu X, Shu Y. Household transmission of COVID-19—a systematic review and meta-analysis. </w:t>
      </w:r>
      <w:r w:rsidRPr="0010658B">
        <w:rPr>
          <w:rStyle w:val="Emphasis"/>
          <w:rFonts w:eastAsia="Times New Roman"/>
          <w:b w:val="0"/>
          <w:bCs w:val="0"/>
        </w:rPr>
        <w:t>J Infect</w:t>
      </w:r>
      <w:r w:rsidRPr="00543ADD">
        <w:rPr>
          <w:rFonts w:eastAsia="Times New Roman"/>
        </w:rPr>
        <w:t xml:space="preserve">. 2020;81(6):979–97. </w:t>
      </w:r>
      <w:proofErr w:type="spellStart"/>
      <w:r w:rsidRPr="00543ADD">
        <w:rPr>
          <w:rFonts w:eastAsia="Times New Roman"/>
        </w:rPr>
        <w:t>doi</w:t>
      </w:r>
      <w:proofErr w:type="spellEnd"/>
      <w:r w:rsidRPr="00543ADD">
        <w:rPr>
          <w:rFonts w:eastAsia="Times New Roman"/>
        </w:rPr>
        <w:t>: https://doi.org/10.1016/j.jinf.2020.08.033.</w:t>
      </w:r>
    </w:p>
    <w:p w14:paraId="1601500E" w14:textId="2EDB9CE3" w:rsidR="00543ADD" w:rsidRPr="00543ADD" w:rsidRDefault="00543ADD" w:rsidP="00543ADD">
      <w:pPr>
        <w:pStyle w:val="ListParagraph"/>
        <w:numPr>
          <w:ilvl w:val="0"/>
          <w:numId w:val="10"/>
        </w:numPr>
        <w:rPr>
          <w:rFonts w:eastAsia="Times New Roman"/>
        </w:rPr>
      </w:pPr>
      <w:proofErr w:type="spellStart"/>
      <w:r w:rsidRPr="00543ADD">
        <w:rPr>
          <w:rFonts w:eastAsia="Times New Roman"/>
        </w:rPr>
        <w:t>Singanayagam</w:t>
      </w:r>
      <w:proofErr w:type="spellEnd"/>
      <w:r w:rsidRPr="00543ADD">
        <w:rPr>
          <w:rFonts w:eastAsia="Times New Roman"/>
        </w:rPr>
        <w:t xml:space="preserve"> A, </w:t>
      </w:r>
      <w:proofErr w:type="spellStart"/>
      <w:r w:rsidRPr="00543ADD">
        <w:rPr>
          <w:rFonts w:eastAsia="Times New Roman"/>
        </w:rPr>
        <w:t>Hakki</w:t>
      </w:r>
      <w:proofErr w:type="spellEnd"/>
      <w:r w:rsidRPr="00543ADD">
        <w:rPr>
          <w:rFonts w:eastAsia="Times New Roman"/>
        </w:rPr>
        <w:t xml:space="preserve"> S, Dunning J, </w:t>
      </w:r>
      <w:proofErr w:type="spellStart"/>
      <w:r w:rsidRPr="00543ADD">
        <w:rPr>
          <w:rFonts w:eastAsia="Times New Roman"/>
        </w:rPr>
        <w:t>Madon</w:t>
      </w:r>
      <w:proofErr w:type="spellEnd"/>
      <w:r w:rsidRPr="00543ADD">
        <w:rPr>
          <w:rFonts w:eastAsia="Times New Roman"/>
        </w:rPr>
        <w:t xml:space="preserve"> KJ, Crone MA, </w:t>
      </w:r>
      <w:proofErr w:type="spellStart"/>
      <w:r w:rsidRPr="00543ADD">
        <w:rPr>
          <w:rFonts w:eastAsia="Times New Roman"/>
        </w:rPr>
        <w:t>Koycheva</w:t>
      </w:r>
      <w:proofErr w:type="spellEnd"/>
      <w:r w:rsidRPr="00543ADD">
        <w:rPr>
          <w:rFonts w:eastAsia="Times New Roman"/>
        </w:rPr>
        <w:t xml:space="preserve"> A et al. Community transmission and viral load kinetics of the SARS-CoV-2 delta (B.1.617.2) variant in vaccinated and unvaccinated individuals in the UK: a prospective, longitudinal, cohort study. </w:t>
      </w:r>
      <w:r w:rsidRPr="0010658B">
        <w:rPr>
          <w:rStyle w:val="Emphasis"/>
          <w:rFonts w:eastAsia="Times New Roman"/>
          <w:b w:val="0"/>
          <w:bCs w:val="0"/>
        </w:rPr>
        <w:t>Lancet Infect Dis</w:t>
      </w:r>
      <w:r w:rsidRPr="00543ADD">
        <w:rPr>
          <w:rFonts w:eastAsia="Times New Roman"/>
        </w:rPr>
        <w:t xml:space="preserve">. 2022;22(2):183–95. </w:t>
      </w:r>
      <w:proofErr w:type="spellStart"/>
      <w:r w:rsidRPr="00543ADD">
        <w:rPr>
          <w:rFonts w:eastAsia="Times New Roman"/>
        </w:rPr>
        <w:t>doi</w:t>
      </w:r>
      <w:proofErr w:type="spellEnd"/>
      <w:r w:rsidRPr="00543ADD">
        <w:rPr>
          <w:rFonts w:eastAsia="Times New Roman"/>
        </w:rPr>
        <w:t>: https://doi.org/10.1016/S1473-3099(21)00648-4.</w:t>
      </w:r>
    </w:p>
    <w:p w14:paraId="4B68DC90" w14:textId="2E633456" w:rsidR="00543ADD" w:rsidRPr="00543ADD" w:rsidRDefault="00543ADD" w:rsidP="00543ADD">
      <w:pPr>
        <w:pStyle w:val="ListParagraph"/>
        <w:numPr>
          <w:ilvl w:val="0"/>
          <w:numId w:val="10"/>
        </w:numPr>
        <w:rPr>
          <w:rFonts w:eastAsia="Times New Roman"/>
        </w:rPr>
      </w:pPr>
      <w:r w:rsidRPr="00543ADD">
        <w:rPr>
          <w:rFonts w:eastAsia="Times New Roman"/>
        </w:rPr>
        <w:t xml:space="preserve">Mizrahi B, Lotan R, Kalkstein N, </w:t>
      </w:r>
      <w:proofErr w:type="spellStart"/>
      <w:r w:rsidRPr="00543ADD">
        <w:rPr>
          <w:rFonts w:eastAsia="Times New Roman"/>
        </w:rPr>
        <w:t>Peretz</w:t>
      </w:r>
      <w:proofErr w:type="spellEnd"/>
      <w:r w:rsidRPr="00543ADD">
        <w:rPr>
          <w:rFonts w:eastAsia="Times New Roman"/>
        </w:rPr>
        <w:t xml:space="preserve"> A, Perez G, Ben-Tov A et al. Correlation of SARS-CoV-2-breakthrough infections to time-from-vaccine. </w:t>
      </w:r>
      <w:r w:rsidRPr="0010658B">
        <w:rPr>
          <w:rStyle w:val="Emphasis"/>
          <w:rFonts w:eastAsia="Times New Roman"/>
          <w:b w:val="0"/>
          <w:bCs w:val="0"/>
        </w:rPr>
        <w:t xml:space="preserve">Nat </w:t>
      </w:r>
      <w:proofErr w:type="spellStart"/>
      <w:r w:rsidRPr="0010658B">
        <w:rPr>
          <w:rStyle w:val="Emphasis"/>
          <w:rFonts w:eastAsia="Times New Roman"/>
          <w:b w:val="0"/>
          <w:bCs w:val="0"/>
        </w:rPr>
        <w:t>Commun</w:t>
      </w:r>
      <w:proofErr w:type="spellEnd"/>
      <w:r w:rsidRPr="00543ADD">
        <w:rPr>
          <w:rFonts w:eastAsia="Times New Roman"/>
        </w:rPr>
        <w:t xml:space="preserve">. 2021;12(1):6379. </w:t>
      </w:r>
      <w:proofErr w:type="spellStart"/>
      <w:r w:rsidRPr="00543ADD">
        <w:rPr>
          <w:rFonts w:eastAsia="Times New Roman"/>
        </w:rPr>
        <w:t>doi</w:t>
      </w:r>
      <w:proofErr w:type="spellEnd"/>
      <w:r w:rsidRPr="00543ADD">
        <w:rPr>
          <w:rFonts w:eastAsia="Times New Roman"/>
        </w:rPr>
        <w:t>: https://doi.org/10.1038/s41467-021-26672-3.</w:t>
      </w:r>
    </w:p>
    <w:p w14:paraId="217DC426" w14:textId="2220D0CD"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r>
        <w:rPr>
          <w:rStyle w:val="A10"/>
        </w:rPr>
        <w:br w:type="page"/>
      </w:r>
    </w:p>
    <w:p w14:paraId="70DAAE7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064AC3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1301D8B" w14:textId="77777777" w:rsidR="000A5F42" w:rsidRPr="000606CC" w:rsidRDefault="000A5F42" w:rsidP="000A5F42">
      <w:pPr>
        <w:pStyle w:val="NoSpacing"/>
        <w:rPr>
          <w:rStyle w:val="URI"/>
          <w:rFonts w:cstheme="minorHAnsi"/>
          <w:sz w:val="20"/>
          <w:szCs w:val="18"/>
        </w:rPr>
      </w:pPr>
    </w:p>
    <w:p w14:paraId="2DEA034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058BE9CD" w14:textId="77777777" w:rsidR="000A5F42" w:rsidRPr="000606CC" w:rsidRDefault="000A5F42" w:rsidP="000A5F42">
      <w:pPr>
        <w:pStyle w:val="NoSpacing"/>
        <w:rPr>
          <w:rStyle w:val="Strong"/>
          <w:rFonts w:cstheme="minorHAnsi"/>
          <w:sz w:val="20"/>
          <w:szCs w:val="18"/>
        </w:rPr>
      </w:pPr>
    </w:p>
    <w:p w14:paraId="63950EE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6868FF8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F1EE2B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EEC3AB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794FC62" w14:textId="77777777" w:rsidR="000A5F42" w:rsidRPr="000606CC" w:rsidRDefault="000A5F42" w:rsidP="000A5F42">
      <w:pPr>
        <w:pStyle w:val="NoSpacing"/>
        <w:rPr>
          <w:rStyle w:val="Strong"/>
          <w:rFonts w:cstheme="minorHAnsi"/>
          <w:sz w:val="20"/>
          <w:szCs w:val="18"/>
        </w:rPr>
      </w:pPr>
    </w:p>
    <w:p w14:paraId="39A31225" w14:textId="7C10545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FFBE76A" w14:textId="77777777" w:rsidR="000A5F42" w:rsidRPr="000606CC" w:rsidRDefault="000A5F42" w:rsidP="000A5F42">
      <w:pPr>
        <w:pStyle w:val="NoSpacing"/>
        <w:rPr>
          <w:rStyle w:val="Strong"/>
          <w:rFonts w:cstheme="minorHAnsi"/>
          <w:sz w:val="20"/>
          <w:szCs w:val="18"/>
        </w:rPr>
      </w:pPr>
    </w:p>
    <w:p w14:paraId="3DE99C6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62225E3" w14:textId="77777777" w:rsidR="000A5F42" w:rsidRPr="000606CC" w:rsidRDefault="000A5F42" w:rsidP="000A5F42">
      <w:pPr>
        <w:pStyle w:val="NoSpacing"/>
        <w:rPr>
          <w:rStyle w:val="Strong"/>
          <w:rFonts w:cstheme="minorHAnsi"/>
          <w:sz w:val="20"/>
          <w:szCs w:val="18"/>
        </w:rPr>
      </w:pPr>
    </w:p>
    <w:p w14:paraId="271442B8" w14:textId="221BDCC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F504ABC" w14:textId="77777777" w:rsidR="000A5F42" w:rsidRPr="000606CC" w:rsidRDefault="000A5F42" w:rsidP="000A5F42">
      <w:pPr>
        <w:pStyle w:val="NoSpacing"/>
        <w:rPr>
          <w:rStyle w:val="Strong"/>
          <w:rFonts w:cstheme="minorHAnsi"/>
          <w:sz w:val="20"/>
          <w:szCs w:val="18"/>
        </w:rPr>
      </w:pPr>
    </w:p>
    <w:p w14:paraId="564FE97C" w14:textId="17FD9999"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2BD160F" w14:textId="595F6E1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3B041963" w14:textId="77777777" w:rsidR="000A5F42" w:rsidRPr="000606CC" w:rsidRDefault="000A5F42" w:rsidP="000A5F42">
      <w:pPr>
        <w:pStyle w:val="NoSpacing"/>
        <w:pBdr>
          <w:bottom w:val="single" w:sz="6" w:space="1" w:color="auto"/>
        </w:pBdr>
        <w:rPr>
          <w:rStyle w:val="Strong"/>
          <w:rFonts w:cstheme="minorHAnsi"/>
          <w:sz w:val="12"/>
          <w:szCs w:val="18"/>
        </w:rPr>
      </w:pPr>
    </w:p>
    <w:p w14:paraId="274EBFEF" w14:textId="77777777" w:rsidR="000A5F42" w:rsidRPr="000606CC" w:rsidRDefault="000A5F42" w:rsidP="000A5F42">
      <w:pPr>
        <w:pStyle w:val="NoSpacing"/>
        <w:rPr>
          <w:rFonts w:cstheme="minorHAnsi"/>
          <w:sz w:val="20"/>
          <w:szCs w:val="18"/>
        </w:rPr>
      </w:pPr>
    </w:p>
    <w:p w14:paraId="13260CEB"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5CA45B9" w14:textId="77777777" w:rsidR="000A5F42" w:rsidRPr="000606CC" w:rsidRDefault="000A5F42" w:rsidP="000A5F42">
      <w:pPr>
        <w:pStyle w:val="NoSpacing"/>
        <w:rPr>
          <w:rFonts w:cstheme="minorHAnsi"/>
          <w:sz w:val="20"/>
          <w:szCs w:val="18"/>
        </w:rPr>
      </w:pPr>
    </w:p>
    <w:p w14:paraId="2BE1A67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ABB2DE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5B4870">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49DC72CC" w14:textId="6B2E957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92CD653" w14:textId="77777777" w:rsidR="000A5F42" w:rsidRPr="000606CC" w:rsidRDefault="000A5F42" w:rsidP="000A5F42">
      <w:pPr>
        <w:pStyle w:val="NoSpacing"/>
        <w:rPr>
          <w:rFonts w:cstheme="minorHAnsi"/>
          <w:sz w:val="20"/>
          <w:szCs w:val="18"/>
        </w:rPr>
      </w:pPr>
    </w:p>
    <w:p w14:paraId="3826FC4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AAA011F" w14:textId="54510DF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76F9D25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907F3E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125C9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1B01D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C72181A" w14:textId="77777777" w:rsidR="000A5F42" w:rsidRPr="000606CC" w:rsidRDefault="000A5F42" w:rsidP="000A5F42">
      <w:pPr>
        <w:pStyle w:val="NoSpacing"/>
        <w:rPr>
          <w:rStyle w:val="Strong"/>
          <w:rFonts w:cstheme="minorHAnsi"/>
          <w:sz w:val="20"/>
          <w:szCs w:val="18"/>
        </w:rPr>
      </w:pPr>
    </w:p>
    <w:p w14:paraId="701396F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A93E6A3" w14:textId="77777777" w:rsidR="000A5F42" w:rsidRPr="000606CC" w:rsidRDefault="000A5F42" w:rsidP="000A5F42">
      <w:pPr>
        <w:pStyle w:val="NoSpacing"/>
        <w:rPr>
          <w:rStyle w:val="Strong"/>
          <w:rFonts w:cstheme="minorHAnsi"/>
          <w:sz w:val="20"/>
          <w:szCs w:val="18"/>
        </w:rPr>
      </w:pPr>
    </w:p>
    <w:p w14:paraId="5703D1C2" w14:textId="26FBE95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892D173" w14:textId="77777777" w:rsidR="000A5F42" w:rsidRPr="000606CC" w:rsidRDefault="000A5F42" w:rsidP="000A5F42">
      <w:pPr>
        <w:pStyle w:val="NoSpacing"/>
        <w:rPr>
          <w:rStyle w:val="URI"/>
          <w:rFonts w:cstheme="minorHAnsi"/>
          <w:sz w:val="20"/>
          <w:szCs w:val="18"/>
        </w:rPr>
      </w:pPr>
    </w:p>
    <w:p w14:paraId="4379F7AD" w14:textId="5DD4F2E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391F8BF4"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48E27" w14:textId="77777777" w:rsidR="005B4870" w:rsidRDefault="005B4870" w:rsidP="00E54DBA">
      <w:r>
        <w:separator/>
      </w:r>
    </w:p>
    <w:p w14:paraId="5B3E68AD" w14:textId="77777777" w:rsidR="005B4870" w:rsidRDefault="005B4870"/>
    <w:p w14:paraId="04428E04" w14:textId="77777777" w:rsidR="005B4870" w:rsidRDefault="005B4870" w:rsidP="008714B0"/>
  </w:endnote>
  <w:endnote w:type="continuationSeparator" w:id="0">
    <w:p w14:paraId="5644CC0B" w14:textId="77777777" w:rsidR="005B4870" w:rsidRDefault="005B4870" w:rsidP="00E54DBA">
      <w:r>
        <w:continuationSeparator/>
      </w:r>
    </w:p>
    <w:p w14:paraId="2854B337" w14:textId="77777777" w:rsidR="005B4870" w:rsidRDefault="005B4870"/>
    <w:p w14:paraId="546C0A10" w14:textId="77777777" w:rsidR="005B4870" w:rsidRDefault="005B487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6ECEE" w14:textId="4117738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10658B">
      <w:rPr>
        <w:i/>
        <w:sz w:val="18"/>
      </w:rPr>
      <w:t>Commun</w:t>
    </w:r>
    <w:proofErr w:type="spellEnd"/>
    <w:r w:rsidR="00CE342B" w:rsidRPr="0010658B">
      <w:rPr>
        <w:i/>
        <w:sz w:val="18"/>
      </w:rPr>
      <w:t xml:space="preserve"> Dis </w:t>
    </w:r>
    <w:proofErr w:type="spellStart"/>
    <w:r w:rsidR="00CE342B" w:rsidRPr="0010658B">
      <w:rPr>
        <w:i/>
        <w:sz w:val="18"/>
      </w:rPr>
      <w:t>Intell</w:t>
    </w:r>
    <w:proofErr w:type="spellEnd"/>
    <w:r w:rsidR="00CE342B" w:rsidRPr="0010658B">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B4870">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B4870">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B417D">
      <w:rPr>
        <w:sz w:val="18"/>
      </w:rPr>
      <w:t>https://doi.org/10.33321/cdi.2022.46.32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00B96">
      <w:rPr>
        <w:sz w:val="18"/>
      </w:rPr>
      <w:t>23/6/2022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2BFF7" w14:textId="2DE025D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10658B">
      <w:rPr>
        <w:i/>
        <w:sz w:val="18"/>
      </w:rPr>
      <w:t>Commun</w:t>
    </w:r>
    <w:proofErr w:type="spellEnd"/>
    <w:r w:rsidR="00A164D5" w:rsidRPr="0010658B">
      <w:rPr>
        <w:i/>
        <w:sz w:val="18"/>
      </w:rPr>
      <w:t xml:space="preserve"> Dis </w:t>
    </w:r>
    <w:proofErr w:type="spellStart"/>
    <w:r w:rsidR="00A164D5" w:rsidRPr="0010658B">
      <w:rPr>
        <w:i/>
        <w:sz w:val="18"/>
      </w:rPr>
      <w:t>Intell</w:t>
    </w:r>
    <w:proofErr w:type="spellEnd"/>
    <w:r w:rsidR="00A164D5" w:rsidRPr="0010658B">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B4870">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B4870">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B417D">
      <w:rPr>
        <w:sz w:val="18"/>
      </w:rPr>
      <w:t>https://doi.org/10.33321/cdi.2022.46.32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E00B96">
      <w:rPr>
        <w:sz w:val="18"/>
      </w:rPr>
      <w:t>23/6/2022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EFB15" w14:textId="77777777" w:rsidR="005B4870" w:rsidRPr="00B91FB5" w:rsidRDefault="005B4870" w:rsidP="00B91FB5">
      <w:pPr>
        <w:spacing w:after="0" w:line="240" w:lineRule="auto"/>
        <w:rPr>
          <w:sz w:val="18"/>
          <w:szCs w:val="18"/>
        </w:rPr>
      </w:pPr>
      <w:r w:rsidRPr="00B91FB5">
        <w:rPr>
          <w:sz w:val="18"/>
          <w:szCs w:val="18"/>
        </w:rPr>
        <w:separator/>
      </w:r>
    </w:p>
  </w:footnote>
  <w:footnote w:type="continuationSeparator" w:id="0">
    <w:p w14:paraId="0A4E40F1" w14:textId="77777777" w:rsidR="005B4870" w:rsidRDefault="005B4870" w:rsidP="00E54DBA">
      <w:r>
        <w:continuationSeparator/>
      </w:r>
    </w:p>
  </w:footnote>
  <w:footnote w:type="continuationNotice" w:id="1">
    <w:p w14:paraId="57D08798" w14:textId="77777777" w:rsidR="005B4870" w:rsidRPr="00224EFF" w:rsidRDefault="005B487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360B" w14:textId="17CD3B24" w:rsidR="00257484" w:rsidRPr="00A153B6" w:rsidRDefault="00E00B9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A508B">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8B09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7503B11" wp14:editId="2BF6AB95">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1155"/>
    <w:multiLevelType w:val="multilevel"/>
    <w:tmpl w:val="5638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CB032F"/>
    <w:multiLevelType w:val="multilevel"/>
    <w:tmpl w:val="90C6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E70F4"/>
    <w:multiLevelType w:val="hybridMultilevel"/>
    <w:tmpl w:val="192C1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318B2"/>
    <w:multiLevelType w:val="hybridMultilevel"/>
    <w:tmpl w:val="253829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7"/>
  </w:num>
  <w:num w:numId="6">
    <w:abstractNumId w:val="9"/>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70"/>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0C8"/>
    <w:rsid w:val="00081655"/>
    <w:rsid w:val="000864E0"/>
    <w:rsid w:val="000969B3"/>
    <w:rsid w:val="000A5F42"/>
    <w:rsid w:val="000D4B4D"/>
    <w:rsid w:val="001047B8"/>
    <w:rsid w:val="001052BC"/>
    <w:rsid w:val="0010658B"/>
    <w:rsid w:val="00113D58"/>
    <w:rsid w:val="001200CB"/>
    <w:rsid w:val="001378A3"/>
    <w:rsid w:val="00155582"/>
    <w:rsid w:val="00161590"/>
    <w:rsid w:val="00171CC0"/>
    <w:rsid w:val="00175494"/>
    <w:rsid w:val="00175629"/>
    <w:rsid w:val="001830EC"/>
    <w:rsid w:val="00183534"/>
    <w:rsid w:val="00190700"/>
    <w:rsid w:val="0019492E"/>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4766B"/>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417D"/>
    <w:rsid w:val="002B75A9"/>
    <w:rsid w:val="002C21B0"/>
    <w:rsid w:val="002E2FB3"/>
    <w:rsid w:val="002F327B"/>
    <w:rsid w:val="00301626"/>
    <w:rsid w:val="003059EC"/>
    <w:rsid w:val="003059FE"/>
    <w:rsid w:val="00316CCD"/>
    <w:rsid w:val="00324F7E"/>
    <w:rsid w:val="003323BC"/>
    <w:rsid w:val="00346D42"/>
    <w:rsid w:val="00346E11"/>
    <w:rsid w:val="003601C0"/>
    <w:rsid w:val="003635F5"/>
    <w:rsid w:val="00367470"/>
    <w:rsid w:val="00372A88"/>
    <w:rsid w:val="00381A0F"/>
    <w:rsid w:val="003A1B3A"/>
    <w:rsid w:val="003A40F5"/>
    <w:rsid w:val="003B5B8C"/>
    <w:rsid w:val="003D79B1"/>
    <w:rsid w:val="003E532E"/>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D7F5E"/>
    <w:rsid w:val="00510EAC"/>
    <w:rsid w:val="00542A57"/>
    <w:rsid w:val="00543ADD"/>
    <w:rsid w:val="00554103"/>
    <w:rsid w:val="00565974"/>
    <w:rsid w:val="005732C0"/>
    <w:rsid w:val="0057336D"/>
    <w:rsid w:val="0057489A"/>
    <w:rsid w:val="00574ACF"/>
    <w:rsid w:val="00581588"/>
    <w:rsid w:val="0058540B"/>
    <w:rsid w:val="00587C87"/>
    <w:rsid w:val="00590B80"/>
    <w:rsid w:val="005B3134"/>
    <w:rsid w:val="005B4870"/>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818E8"/>
    <w:rsid w:val="00687E86"/>
    <w:rsid w:val="006971F3"/>
    <w:rsid w:val="006C74A3"/>
    <w:rsid w:val="006D1381"/>
    <w:rsid w:val="006D31BC"/>
    <w:rsid w:val="006E7943"/>
    <w:rsid w:val="006F24EA"/>
    <w:rsid w:val="00704CA9"/>
    <w:rsid w:val="0071048D"/>
    <w:rsid w:val="00710F86"/>
    <w:rsid w:val="007111A8"/>
    <w:rsid w:val="007310B9"/>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43FCE"/>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53E0B"/>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00B96"/>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08B"/>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7220"/>
    <w:rsid w:val="00FB3A20"/>
    <w:rsid w:val="00FC002E"/>
    <w:rsid w:val="00FC4C23"/>
    <w:rsid w:val="00FC59AD"/>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C7037A"/>
  <w15:docId w15:val="{6AA000A7-B675-4EE8-91F7-0D82DB8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file:///I:\Staging\CDI\OpenCDI\2022\28-Vaccine%20breakthrough%20infections%20in%20a%20highly-vaccinated%20AU%20population%20during%20a%20SARS-CoV-2%20Delta%20outbreak\MS-Word%20output\28-Vaccine_breakthrough_infections_in_a_highly-vaccinated_AU%5b...%5d-web-resources\image\f1.png"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13</TotalTime>
  <Pages>8</Pages>
  <Words>2547</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Communicable Diseases Intelligence 2022 - Vaccine breakthrough infections in a highly-vaccinated Australian population during a SARS-CoV-2 Delta outbreak</vt:lpstr>
    </vt:vector>
  </TitlesOfParts>
  <Company>Australian Government, Department of Health</Company>
  <LinksUpToDate>false</LinksUpToDate>
  <CharactersWithSpaces>18254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Vaccine breakthrough infections in a highly-vaccinated Australian population during a SARS-CoV-2 Delta outbreak</dc:title>
  <dc:subject>This article describes the epidemiology of breakthrough infections of the delta variant of the SARS-CoV-2 in a highly vaccinated population in the Australian Capital Territory. Lower incidence of COVID-19 in partially vaccinated persons highlighted the benefits of a single dose of vaccine against COVID-19, particularly in outbreak settings.</dc:subject>
  <dc:creator>Meru Sheel; Tze Vun Voo; Nevada Pingault; Timothy S Sloan-Gardner; Alexandra Marmor; Martyn D Kirk; Vanessa Johnston; Kerryn Coleman</dc:creator>
  <cp:keywords>COVID-19 breakthrough infections; Australian Capital Territory; COVID-19; outbreak; SARS-CoV-2 Delta; vaccination</cp:keywords>
  <dc:description>© Commonwealth of Australia CC BY-NC-ND ISSN: 2209-6051 (Online)</dc:description>
  <cp:lastModifiedBy>YOUSEFI, Kasra</cp:lastModifiedBy>
  <cp:revision>8</cp:revision>
  <cp:lastPrinted>2018-05-10T02:19:00Z</cp:lastPrinted>
  <dcterms:created xsi:type="dcterms:W3CDTF">2022-04-29T01:52:00Z</dcterms:created>
  <dcterms:modified xsi:type="dcterms:W3CDTF">2022-06-20T00:34:00Z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23/6/2022</vt:lpwstr>
  </property>
  <property fmtid="{D5CDD505-2E9C-101B-9397-08002B2CF9AE}" pid="5" name="DOI">
    <vt:lpwstr>https://doi.org/10.33321/cdi.2022.46.32</vt:lpwstr>
  </property>
</Properties>
</file>