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EDC67" w14:textId="77777777" w:rsidR="008678F4" w:rsidRPr="00A77D54" w:rsidRDefault="008678F4" w:rsidP="00A77D54">
      <w:pPr>
        <w:pStyle w:val="Title"/>
      </w:pPr>
      <w:r w:rsidRPr="00A77D54">
        <w:t xml:space="preserve">Effect of COVID-19 restrictions and border closures on vaccine preventable diseases in Victoria, Australia, 2020–2021 </w:t>
      </w:r>
    </w:p>
    <w:p w14:paraId="7ACA1CD4" w14:textId="77777777" w:rsidR="008678F4" w:rsidRDefault="008678F4" w:rsidP="00A77D54">
      <w:proofErr w:type="spellStart"/>
      <w:r>
        <w:t>Paraag</w:t>
      </w:r>
      <w:proofErr w:type="spellEnd"/>
      <w:r>
        <w:t xml:space="preserve"> Bhatt, Janet Strachan, Marion Easton, Lucinda Franklin, George Drewett </w:t>
      </w:r>
    </w:p>
    <w:p w14:paraId="36C0E0CF" w14:textId="77777777" w:rsidR="008678F4" w:rsidRPr="008678F4" w:rsidRDefault="008678F4" w:rsidP="008678F4">
      <w:pPr>
        <w:pStyle w:val="Heading1"/>
      </w:pPr>
      <w:r w:rsidRPr="008678F4">
        <w:t xml:space="preserve">Abstract </w:t>
      </w:r>
    </w:p>
    <w:p w14:paraId="207D3F57" w14:textId="77777777" w:rsidR="008678F4" w:rsidRPr="008678F4" w:rsidRDefault="008678F4" w:rsidP="008678F4">
      <w:pPr>
        <w:pStyle w:val="Heading2"/>
      </w:pPr>
      <w:r w:rsidRPr="008678F4">
        <w:t xml:space="preserve">Background </w:t>
      </w:r>
    </w:p>
    <w:p w14:paraId="7FF3B3C9" w14:textId="77777777" w:rsidR="008678F4" w:rsidRDefault="008678F4" w:rsidP="008678F4">
      <w:r>
        <w:t xml:space="preserve">In 2020, Victoria introduced multiple interventions aimed at containing the spread of coronavirus disease 2019 (COVID-19). We examine the effect of these restrictions on other vaccine preventable diseases (VPDs). </w:t>
      </w:r>
    </w:p>
    <w:p w14:paraId="4345154A" w14:textId="77777777" w:rsidR="008678F4" w:rsidRPr="008678F4" w:rsidRDefault="008678F4" w:rsidP="008678F4">
      <w:pPr>
        <w:pStyle w:val="Heading2"/>
      </w:pPr>
      <w:r w:rsidRPr="008678F4">
        <w:t xml:space="preserve">Methods </w:t>
      </w:r>
    </w:p>
    <w:p w14:paraId="4C4E87AE" w14:textId="77777777" w:rsidR="008678F4" w:rsidRDefault="008678F4" w:rsidP="008678F4">
      <w:r>
        <w:t xml:space="preserve">We analysed the mandatory reporting data, notified to the Victorian Department of Health, for VPDs from January 2015 to December 2021. </w:t>
      </w:r>
    </w:p>
    <w:p w14:paraId="7BB80935" w14:textId="77777777" w:rsidR="008678F4" w:rsidRPr="008678F4" w:rsidRDefault="008678F4" w:rsidP="008678F4">
      <w:pPr>
        <w:pStyle w:val="Heading2"/>
      </w:pPr>
      <w:r w:rsidRPr="008678F4">
        <w:t xml:space="preserve">Results </w:t>
      </w:r>
    </w:p>
    <w:p w14:paraId="5E461EC7" w14:textId="77777777" w:rsidR="008678F4" w:rsidRDefault="008678F4" w:rsidP="008678F4">
      <w:r>
        <w:t xml:space="preserve">Reductions in notifications were seen for most notifiable VPDs. A precipitous decline in influenza and measles notifications was recorded in April 2020, which was sustained for both diseases throughout 2020–2021. Notifications for chickenpox, invasive meningococcal disease, invasive pneumococcal disease, and pertussis were reduced by greater than 50% from the 2015–2019 average. No notified cases of diphtheria, poliomyelitis, or rubella were reported in 2020-2021. </w:t>
      </w:r>
    </w:p>
    <w:p w14:paraId="4317A11E" w14:textId="77777777" w:rsidR="008678F4" w:rsidRPr="008678F4" w:rsidRDefault="008678F4" w:rsidP="008678F4">
      <w:pPr>
        <w:pStyle w:val="Heading2"/>
      </w:pPr>
      <w:r w:rsidRPr="008678F4">
        <w:t xml:space="preserve">Conclusion </w:t>
      </w:r>
    </w:p>
    <w:p w14:paraId="7C8CDA28" w14:textId="77777777" w:rsidR="008678F4" w:rsidRDefault="008678F4" w:rsidP="008678F4">
      <w:r>
        <w:t xml:space="preserve">Restrictions placed to mitigate the effects of the COVID-19 pandemic were associated with significant reductions in other VPDs, which were sustained into 2021. Nevertheless, it is important that high levels of population vaccine coverage continue, to prevent a rebound increase in VPDs as restrictions are eased, and to maximise protection against VPDs for all Australians. </w:t>
      </w:r>
    </w:p>
    <w:p w14:paraId="429A1DB4" w14:textId="77777777" w:rsidR="008678F4" w:rsidRDefault="008678F4" w:rsidP="008678F4">
      <w:r>
        <w:t xml:space="preserve">Keywords: Coronavirus; VPD; lockdown; influenza; vaccination; Sars-CoV-2 </w:t>
      </w:r>
    </w:p>
    <w:p w14:paraId="2D724EE5" w14:textId="77777777" w:rsidR="008678F4" w:rsidRPr="008678F4" w:rsidRDefault="008678F4" w:rsidP="008678F4">
      <w:pPr>
        <w:pStyle w:val="Heading1"/>
      </w:pPr>
      <w:r w:rsidRPr="008678F4">
        <w:t xml:space="preserve">Introduction </w:t>
      </w:r>
    </w:p>
    <w:p w14:paraId="15496C21" w14:textId="77777777" w:rsidR="008678F4" w:rsidRDefault="008678F4" w:rsidP="008678F4">
      <w:r>
        <w:t>In Victoria, the Coronavirus Disease 2019 (COVID-19) pandemic and the subsequent application of multiple public health interventions—including restrictions on international travel, state border closures and the introduction of preventive measures such as mandatory mask-wearing, physical distancing, and restrictions on gatherings—have resulted in significant behavioural change. Schools and childcare centres were closed for prolonged periods, and people were asked to work from home wherever possible. Preventative measures implemented against COVID-19 are likely to confer protection against other communicable diseases.</w:t>
      </w:r>
      <w:r>
        <w:rPr>
          <w:vertAlign w:val="superscript"/>
        </w:rPr>
        <w:t>1</w:t>
      </w:r>
      <w:r>
        <w:t xml:space="preserve"> However, COVID-19 lockdowns have led to considerable disruption to delivery of healthcare interventions such as vaccination programs globally.</w:t>
      </w:r>
      <w:r>
        <w:rPr>
          <w:vertAlign w:val="superscript"/>
        </w:rPr>
        <w:t>2</w:t>
      </w:r>
      <w:r>
        <w:t xml:space="preserve"> Fortunately, this does not appear to have been the case in Australia.</w:t>
      </w:r>
      <w:r>
        <w:rPr>
          <w:vertAlign w:val="superscript"/>
        </w:rPr>
        <w:t>3</w:t>
      </w:r>
      <w:r>
        <w:t xml:space="preserve"> </w:t>
      </w:r>
    </w:p>
    <w:p w14:paraId="3CC5E5A9" w14:textId="77777777" w:rsidR="008678F4" w:rsidRDefault="008678F4" w:rsidP="008678F4">
      <w:r>
        <w:t xml:space="preserve">As Australia now implements its COVID-19 vaccination program, which commenced in early 2021, we investigate the rates of vaccine preventable diseases (VPD) reported in Victoria since the beginning of the COVID-19 pandemic and the subsequent restrictions on movement and gathering that were enforced. </w:t>
      </w:r>
    </w:p>
    <w:p w14:paraId="0F085CAA" w14:textId="77777777" w:rsidR="008678F4" w:rsidRPr="008678F4" w:rsidRDefault="008678F4" w:rsidP="008678F4">
      <w:pPr>
        <w:pStyle w:val="Heading1"/>
      </w:pPr>
      <w:r w:rsidRPr="008678F4">
        <w:lastRenderedPageBreak/>
        <w:t xml:space="preserve">Methods </w:t>
      </w:r>
    </w:p>
    <w:p w14:paraId="4ED7982F" w14:textId="77777777" w:rsidR="008678F4" w:rsidRDefault="008678F4" w:rsidP="008678F4">
      <w:r>
        <w:t xml:space="preserve">We analysed the mandatory reporting data notified to the Victorian Department of Health for vaccine preventable diseases from January 2015 to December 2021. Notifiable VPDs in Victoria comprise the following conditions for which there is a vaccine on the national immunisation program: diphtheria, </w:t>
      </w:r>
      <w:r w:rsidRPr="0087166E">
        <w:rPr>
          <w:rStyle w:val="Emphasis"/>
          <w:b w:val="0"/>
          <w:bCs w:val="0"/>
        </w:rPr>
        <w:t>Haemophilus influenzae</w:t>
      </w:r>
      <w:r>
        <w:t xml:space="preserve"> type b (Hib), hepatitis B, influenza, invasive meningococcal disease, invasive pneumococcal disease, measles, mumps, pertussis, poliomyelitis, rubella, rotavirus, tetanus, and varicella-zoster virus infection (chickenpox and shingles). Hepatitis B was not included in this analysis. </w:t>
      </w:r>
    </w:p>
    <w:p w14:paraId="3FF62648" w14:textId="77777777" w:rsidR="008678F4" w:rsidRDefault="008678F4" w:rsidP="008678F4">
      <w:r>
        <w:t xml:space="preserve">Basic descriptive statistics were reported, with means reported for parametric data, and medians reported for non-parametric data. </w:t>
      </w:r>
    </w:p>
    <w:p w14:paraId="61275E83" w14:textId="77777777" w:rsidR="008678F4" w:rsidRDefault="008678F4" w:rsidP="008678F4">
      <w:r>
        <w:t xml:space="preserve">All data in this study were obtained and reported under the legislative authority of the </w:t>
      </w:r>
      <w:r w:rsidRPr="0087166E">
        <w:rPr>
          <w:rStyle w:val="Emphasis"/>
          <w:b w:val="0"/>
          <w:bCs w:val="0"/>
        </w:rPr>
        <w:t>Public Health and Wellbeing Act 2008</w:t>
      </w:r>
      <w:r>
        <w:t xml:space="preserve"> and separate ethics approval was not required. </w:t>
      </w:r>
    </w:p>
    <w:p w14:paraId="3E61B6EF" w14:textId="77777777" w:rsidR="008678F4" w:rsidRPr="008678F4" w:rsidRDefault="008678F4" w:rsidP="008678F4">
      <w:pPr>
        <w:pStyle w:val="Heading1"/>
      </w:pPr>
      <w:r w:rsidRPr="008678F4">
        <w:t xml:space="preserve">Results </w:t>
      </w:r>
    </w:p>
    <w:p w14:paraId="45B3C584" w14:textId="77777777" w:rsidR="008678F4" w:rsidRDefault="008678F4" w:rsidP="008678F4">
      <w:r>
        <w:t xml:space="preserve">Summary epidemiological data for notifiable VPDs in Victoria from 2015-2021 are presented in Table 1. Incidence graphs from 2015-2021 for the nine notifiable conditions with five or more notifications per year are presented in Figure 1. </w:t>
      </w:r>
    </w:p>
    <w:p w14:paraId="36B28008" w14:textId="77777777" w:rsidR="00C12716" w:rsidRDefault="00C12716" w:rsidP="008678F4">
      <w:pPr>
        <w:sectPr w:rsidR="00C12716"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1164F97" w14:textId="77777777" w:rsidR="00C12716" w:rsidRPr="00B22F77" w:rsidRDefault="00C12716" w:rsidP="00B22F77">
      <w:pPr>
        <w:pStyle w:val="CDIFigures"/>
      </w:pPr>
      <w:r w:rsidRPr="00B22F77">
        <w:rPr>
          <w:rStyle w:val="Strong"/>
          <w:b/>
          <w:bCs w:val="0"/>
        </w:rPr>
        <w:lastRenderedPageBreak/>
        <w:t>Table 1: Cases of notifiable vaccine-preventable disease, Victoria, Australia, 2015–2021</w:t>
      </w:r>
      <w:proofErr w:type="gramStart"/>
      <w:r w:rsidRPr="00B22F77">
        <w:rPr>
          <w:rStyle w:val="Strong"/>
          <w:b/>
          <w:bCs w:val="0"/>
          <w:vertAlign w:val="superscript"/>
        </w:rPr>
        <w:t>a,b</w:t>
      </w:r>
      <w:proofErr w:type="gramEnd"/>
      <w:r w:rsidRPr="00B22F77">
        <w:t xml:space="preserve"> </w:t>
      </w:r>
    </w:p>
    <w:tbl>
      <w:tblPr>
        <w:tblStyle w:val="CDI-StandardTable"/>
        <w:tblW w:w="0" w:type="auto"/>
        <w:tblLook w:val="04A0" w:firstRow="1" w:lastRow="0" w:firstColumn="1" w:lastColumn="0" w:noHBand="0" w:noVBand="1"/>
        <w:tblDescription w:val="This table tabulates the total notifications in 2021, 2020, and the five year average of 2015-2019, followed by the incidence rate per 100,000 population, for the following vaccine preventable diseases: Diphtheria, Haemophilus influenzae b, Influenza, Invasive meningococcal disease, Invasive pneumococcal disease, Measles, Mumps, Pertussis, Rotavirus, Rubella, Tetanus, Varicella zoster – chickenpox, Varicella zoster – shingles."/>
      </w:tblPr>
      <w:tblGrid>
        <w:gridCol w:w="3120"/>
        <w:gridCol w:w="850"/>
        <w:gridCol w:w="851"/>
        <w:gridCol w:w="1135"/>
        <w:gridCol w:w="1134"/>
        <w:gridCol w:w="1559"/>
        <w:gridCol w:w="1557"/>
        <w:gridCol w:w="1560"/>
        <w:gridCol w:w="1559"/>
        <w:gridCol w:w="1659"/>
      </w:tblGrid>
      <w:tr w:rsidR="00C12716" w:rsidRPr="000B06D8" w14:paraId="2E270135" w14:textId="77777777" w:rsidTr="00C12716">
        <w:trPr>
          <w:cnfStyle w:val="100000000000" w:firstRow="1" w:lastRow="0" w:firstColumn="0" w:lastColumn="0" w:oddVBand="0" w:evenVBand="0" w:oddHBand="0" w:evenHBand="0" w:firstRowFirstColumn="0" w:firstRowLastColumn="0" w:lastRowFirstColumn="0" w:lastRowLastColumn="0"/>
        </w:trPr>
        <w:tc>
          <w:tcPr>
            <w:tcW w:w="3120" w:type="dxa"/>
            <w:tcBorders>
              <w:right w:val="single" w:sz="2" w:space="0" w:color="FFFFFF" w:themeColor="background1"/>
            </w:tcBorders>
            <w:vAlign w:val="center"/>
            <w:hideMark/>
          </w:tcPr>
          <w:p w14:paraId="4FF803CF" w14:textId="77777777" w:rsidR="00C12716" w:rsidRPr="000B06D8" w:rsidRDefault="00C12716" w:rsidP="00C12716">
            <w:pPr>
              <w:pStyle w:val="NormalWeb"/>
              <w:rPr>
                <w:color w:val="FFFFFF" w:themeColor="background1"/>
                <w:sz w:val="18"/>
                <w:szCs w:val="18"/>
              </w:rPr>
            </w:pPr>
            <w:r w:rsidRPr="000B06D8">
              <w:rPr>
                <w:color w:val="FFFFFF" w:themeColor="background1"/>
                <w:sz w:val="18"/>
                <w:szCs w:val="18"/>
              </w:rPr>
              <w:t>Condition</w:t>
            </w:r>
          </w:p>
        </w:tc>
        <w:tc>
          <w:tcPr>
            <w:tcW w:w="850" w:type="dxa"/>
            <w:tcBorders>
              <w:left w:val="single" w:sz="2" w:space="0" w:color="FFFFFF" w:themeColor="background1"/>
              <w:right w:val="single" w:sz="2" w:space="0" w:color="FFFFFF" w:themeColor="background1"/>
            </w:tcBorders>
            <w:vAlign w:val="center"/>
            <w:hideMark/>
          </w:tcPr>
          <w:p w14:paraId="78B6FFA1"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2021</w:t>
            </w:r>
          </w:p>
        </w:tc>
        <w:tc>
          <w:tcPr>
            <w:tcW w:w="851" w:type="dxa"/>
            <w:tcBorders>
              <w:left w:val="single" w:sz="2" w:space="0" w:color="FFFFFF" w:themeColor="background1"/>
              <w:right w:val="single" w:sz="2" w:space="0" w:color="FFFFFF" w:themeColor="background1"/>
            </w:tcBorders>
            <w:vAlign w:val="center"/>
            <w:hideMark/>
          </w:tcPr>
          <w:p w14:paraId="1F79AA38"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2020</w:t>
            </w:r>
          </w:p>
        </w:tc>
        <w:tc>
          <w:tcPr>
            <w:tcW w:w="1135" w:type="dxa"/>
            <w:tcBorders>
              <w:left w:val="single" w:sz="2" w:space="0" w:color="FFFFFF" w:themeColor="background1"/>
              <w:right w:val="single" w:sz="2" w:space="0" w:color="FFFFFF" w:themeColor="background1"/>
            </w:tcBorders>
            <w:vAlign w:val="center"/>
            <w:hideMark/>
          </w:tcPr>
          <w:p w14:paraId="1983DB05"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2015–2019 mean yearly total</w:t>
            </w:r>
          </w:p>
        </w:tc>
        <w:tc>
          <w:tcPr>
            <w:tcW w:w="1134" w:type="dxa"/>
            <w:tcBorders>
              <w:left w:val="single" w:sz="2" w:space="0" w:color="FFFFFF" w:themeColor="background1"/>
              <w:right w:val="single" w:sz="2" w:space="0" w:color="FFFFFF" w:themeColor="background1"/>
            </w:tcBorders>
            <w:vAlign w:val="center"/>
            <w:hideMark/>
          </w:tcPr>
          <w:p w14:paraId="72761CE4"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2015–2019 median yearly total</w:t>
            </w:r>
          </w:p>
        </w:tc>
        <w:tc>
          <w:tcPr>
            <w:tcW w:w="1559" w:type="dxa"/>
            <w:tcBorders>
              <w:left w:val="single" w:sz="2" w:space="0" w:color="FFFFFF" w:themeColor="background1"/>
              <w:right w:val="single" w:sz="2" w:space="0" w:color="FFFFFF" w:themeColor="background1"/>
            </w:tcBorders>
            <w:vAlign w:val="center"/>
            <w:hideMark/>
          </w:tcPr>
          <w:p w14:paraId="383F3B02"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2015–2019 maximum yearly total range</w:t>
            </w:r>
          </w:p>
        </w:tc>
        <w:tc>
          <w:tcPr>
            <w:tcW w:w="1557" w:type="dxa"/>
            <w:tcBorders>
              <w:left w:val="single" w:sz="2" w:space="0" w:color="FFFFFF" w:themeColor="background1"/>
              <w:right w:val="single" w:sz="2" w:space="0" w:color="FFFFFF" w:themeColor="background1"/>
            </w:tcBorders>
            <w:vAlign w:val="center"/>
            <w:hideMark/>
          </w:tcPr>
          <w:p w14:paraId="6CC79005"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Percentage change from 2015–2019 mean to 2020</w:t>
            </w:r>
            <w:r w:rsidRPr="000B06D8">
              <w:rPr>
                <w:color w:val="FFFFFF" w:themeColor="background1"/>
                <w:sz w:val="18"/>
                <w:szCs w:val="18"/>
                <w:vertAlign w:val="superscript"/>
              </w:rPr>
              <w:t>c</w:t>
            </w:r>
          </w:p>
        </w:tc>
        <w:tc>
          <w:tcPr>
            <w:tcW w:w="1560" w:type="dxa"/>
            <w:tcBorders>
              <w:left w:val="single" w:sz="2" w:space="0" w:color="FFFFFF" w:themeColor="background1"/>
              <w:right w:val="single" w:sz="2" w:space="0" w:color="FFFFFF" w:themeColor="background1"/>
            </w:tcBorders>
            <w:vAlign w:val="center"/>
            <w:hideMark/>
          </w:tcPr>
          <w:p w14:paraId="3EECF6EB"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2021</w:t>
            </w:r>
          </w:p>
          <w:p w14:paraId="23C96CD1"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Rate per 100,000 population</w:t>
            </w:r>
          </w:p>
        </w:tc>
        <w:tc>
          <w:tcPr>
            <w:tcW w:w="1559" w:type="dxa"/>
            <w:tcBorders>
              <w:left w:val="single" w:sz="2" w:space="0" w:color="FFFFFF" w:themeColor="background1"/>
              <w:right w:val="single" w:sz="2" w:space="0" w:color="FFFFFF" w:themeColor="background1"/>
            </w:tcBorders>
            <w:vAlign w:val="center"/>
            <w:hideMark/>
          </w:tcPr>
          <w:p w14:paraId="0160406E"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2020</w:t>
            </w:r>
          </w:p>
          <w:p w14:paraId="64947FC5"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Rate per 100,000 population</w:t>
            </w:r>
          </w:p>
        </w:tc>
        <w:tc>
          <w:tcPr>
            <w:tcW w:w="1659" w:type="dxa"/>
            <w:tcBorders>
              <w:left w:val="single" w:sz="2" w:space="0" w:color="FFFFFF" w:themeColor="background1"/>
            </w:tcBorders>
            <w:vAlign w:val="center"/>
            <w:hideMark/>
          </w:tcPr>
          <w:p w14:paraId="2FF6912B"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2015–2019</w:t>
            </w:r>
          </w:p>
          <w:p w14:paraId="212BF371" w14:textId="77777777" w:rsidR="00C12716" w:rsidRPr="000B06D8" w:rsidRDefault="00C12716" w:rsidP="00C12716">
            <w:pPr>
              <w:pStyle w:val="NormalWeb"/>
              <w:jc w:val="center"/>
              <w:rPr>
                <w:color w:val="FFFFFF" w:themeColor="background1"/>
                <w:sz w:val="18"/>
                <w:szCs w:val="18"/>
              </w:rPr>
            </w:pPr>
            <w:r w:rsidRPr="000B06D8">
              <w:rPr>
                <w:color w:val="FFFFFF" w:themeColor="background1"/>
                <w:sz w:val="18"/>
                <w:szCs w:val="18"/>
              </w:rPr>
              <w:t>Rate per 100,000 population per annum</w:t>
            </w:r>
          </w:p>
        </w:tc>
      </w:tr>
      <w:tr w:rsidR="00C12716" w:rsidRPr="000B06D8" w14:paraId="6B34891E" w14:textId="77777777" w:rsidTr="00C12716">
        <w:tblPrEx>
          <w:tblCellMar>
            <w:top w:w="57" w:type="dxa"/>
            <w:left w:w="57" w:type="dxa"/>
            <w:bottom w:w="57" w:type="dxa"/>
            <w:right w:w="57" w:type="dxa"/>
          </w:tblCellMar>
        </w:tblPrEx>
        <w:tc>
          <w:tcPr>
            <w:tcW w:w="3120" w:type="dxa"/>
            <w:hideMark/>
          </w:tcPr>
          <w:p w14:paraId="296608D9" w14:textId="77777777" w:rsidR="00C12716" w:rsidRPr="000B06D8" w:rsidRDefault="00C12716" w:rsidP="000B6632">
            <w:pPr>
              <w:pStyle w:val="NormalWeb"/>
              <w:rPr>
                <w:sz w:val="18"/>
                <w:szCs w:val="18"/>
              </w:rPr>
            </w:pPr>
            <w:r w:rsidRPr="000B06D8">
              <w:rPr>
                <w:sz w:val="18"/>
                <w:szCs w:val="18"/>
              </w:rPr>
              <w:t>Diphtheria</w:t>
            </w:r>
          </w:p>
        </w:tc>
        <w:tc>
          <w:tcPr>
            <w:tcW w:w="850" w:type="dxa"/>
            <w:hideMark/>
          </w:tcPr>
          <w:p w14:paraId="4A6E4852" w14:textId="77777777" w:rsidR="00C12716" w:rsidRPr="000B06D8" w:rsidRDefault="00C12716" w:rsidP="000B6632">
            <w:pPr>
              <w:pStyle w:val="NormalWeb"/>
              <w:jc w:val="center"/>
              <w:rPr>
                <w:sz w:val="18"/>
                <w:szCs w:val="18"/>
              </w:rPr>
            </w:pPr>
            <w:r w:rsidRPr="000B06D8">
              <w:rPr>
                <w:sz w:val="18"/>
                <w:szCs w:val="18"/>
              </w:rPr>
              <w:t>0</w:t>
            </w:r>
          </w:p>
        </w:tc>
        <w:tc>
          <w:tcPr>
            <w:tcW w:w="851" w:type="dxa"/>
            <w:hideMark/>
          </w:tcPr>
          <w:p w14:paraId="03D94351" w14:textId="77777777" w:rsidR="00C12716" w:rsidRPr="000B06D8" w:rsidRDefault="00C12716" w:rsidP="000B6632">
            <w:pPr>
              <w:pStyle w:val="NormalWeb"/>
              <w:jc w:val="center"/>
              <w:rPr>
                <w:sz w:val="18"/>
                <w:szCs w:val="18"/>
              </w:rPr>
            </w:pPr>
            <w:r w:rsidRPr="000B06D8">
              <w:rPr>
                <w:sz w:val="18"/>
                <w:szCs w:val="18"/>
              </w:rPr>
              <w:t>0</w:t>
            </w:r>
          </w:p>
        </w:tc>
        <w:tc>
          <w:tcPr>
            <w:tcW w:w="1135" w:type="dxa"/>
            <w:hideMark/>
          </w:tcPr>
          <w:p w14:paraId="40F81F84" w14:textId="77777777" w:rsidR="00C12716" w:rsidRPr="000B06D8" w:rsidRDefault="00C12716" w:rsidP="000B6632">
            <w:pPr>
              <w:pStyle w:val="NormalWeb"/>
              <w:jc w:val="center"/>
              <w:rPr>
                <w:sz w:val="18"/>
                <w:szCs w:val="18"/>
              </w:rPr>
            </w:pPr>
            <w:r w:rsidRPr="000B06D8">
              <w:rPr>
                <w:sz w:val="18"/>
                <w:szCs w:val="18"/>
              </w:rPr>
              <w:t>—</w:t>
            </w:r>
          </w:p>
        </w:tc>
        <w:tc>
          <w:tcPr>
            <w:tcW w:w="1134" w:type="dxa"/>
            <w:hideMark/>
          </w:tcPr>
          <w:p w14:paraId="09DDE16D"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201DB73D" w14:textId="77777777" w:rsidR="00C12716" w:rsidRPr="000B06D8" w:rsidRDefault="00C12716" w:rsidP="000B6632">
            <w:pPr>
              <w:pStyle w:val="NormalWeb"/>
              <w:jc w:val="center"/>
              <w:rPr>
                <w:sz w:val="18"/>
                <w:szCs w:val="18"/>
              </w:rPr>
            </w:pPr>
            <w:r w:rsidRPr="000B06D8">
              <w:rPr>
                <w:sz w:val="18"/>
                <w:szCs w:val="18"/>
              </w:rPr>
              <w:t>0–3</w:t>
            </w:r>
          </w:p>
        </w:tc>
        <w:tc>
          <w:tcPr>
            <w:tcW w:w="1557" w:type="dxa"/>
            <w:hideMark/>
          </w:tcPr>
          <w:p w14:paraId="2F0B722F" w14:textId="77777777" w:rsidR="00C12716" w:rsidRPr="000B06D8" w:rsidRDefault="00C12716" w:rsidP="000B6632">
            <w:pPr>
              <w:pStyle w:val="NormalWeb"/>
              <w:jc w:val="center"/>
              <w:rPr>
                <w:sz w:val="18"/>
                <w:szCs w:val="18"/>
              </w:rPr>
            </w:pPr>
            <w:r w:rsidRPr="000B06D8">
              <w:rPr>
                <w:sz w:val="18"/>
                <w:szCs w:val="18"/>
              </w:rPr>
              <w:t>N/A</w:t>
            </w:r>
          </w:p>
        </w:tc>
        <w:tc>
          <w:tcPr>
            <w:tcW w:w="1560" w:type="dxa"/>
            <w:hideMark/>
          </w:tcPr>
          <w:p w14:paraId="65283270"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5223E9D3" w14:textId="77777777" w:rsidR="00C12716" w:rsidRPr="000B06D8" w:rsidRDefault="00C12716" w:rsidP="000B6632">
            <w:pPr>
              <w:pStyle w:val="NormalWeb"/>
              <w:jc w:val="center"/>
              <w:rPr>
                <w:sz w:val="18"/>
                <w:szCs w:val="18"/>
              </w:rPr>
            </w:pPr>
            <w:r w:rsidRPr="000B06D8">
              <w:rPr>
                <w:sz w:val="18"/>
                <w:szCs w:val="18"/>
              </w:rPr>
              <w:t>0</w:t>
            </w:r>
          </w:p>
        </w:tc>
        <w:tc>
          <w:tcPr>
            <w:tcW w:w="1659" w:type="dxa"/>
            <w:hideMark/>
          </w:tcPr>
          <w:p w14:paraId="46CE1626" w14:textId="77777777" w:rsidR="00C12716" w:rsidRPr="000B06D8" w:rsidRDefault="00C12716" w:rsidP="000B6632">
            <w:pPr>
              <w:pStyle w:val="NormalWeb"/>
              <w:jc w:val="center"/>
              <w:rPr>
                <w:sz w:val="18"/>
                <w:szCs w:val="18"/>
              </w:rPr>
            </w:pPr>
            <w:r w:rsidRPr="000B06D8">
              <w:rPr>
                <w:sz w:val="18"/>
                <w:szCs w:val="18"/>
              </w:rPr>
              <w:t>0</w:t>
            </w:r>
          </w:p>
        </w:tc>
      </w:tr>
      <w:tr w:rsidR="00C12716" w:rsidRPr="000B06D8" w14:paraId="2ECF1AEF"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597D3184" w14:textId="77777777" w:rsidR="00C12716" w:rsidRPr="000B06D8" w:rsidRDefault="00C12716" w:rsidP="000B6632">
            <w:pPr>
              <w:pStyle w:val="NormalWeb"/>
              <w:rPr>
                <w:sz w:val="18"/>
                <w:szCs w:val="18"/>
              </w:rPr>
            </w:pPr>
            <w:r w:rsidRPr="005D362F">
              <w:rPr>
                <w:i/>
                <w:iCs/>
                <w:sz w:val="18"/>
                <w:szCs w:val="18"/>
              </w:rPr>
              <w:t>Haemophilus influenzae</w:t>
            </w:r>
            <w:r w:rsidRPr="000B06D8">
              <w:rPr>
                <w:sz w:val="18"/>
                <w:szCs w:val="18"/>
              </w:rPr>
              <w:t xml:space="preserve"> type b</w:t>
            </w:r>
          </w:p>
        </w:tc>
        <w:tc>
          <w:tcPr>
            <w:tcW w:w="850" w:type="dxa"/>
            <w:hideMark/>
          </w:tcPr>
          <w:p w14:paraId="32E18B44" w14:textId="77777777" w:rsidR="00C12716" w:rsidRPr="000B06D8" w:rsidRDefault="00C12716" w:rsidP="000B6632">
            <w:pPr>
              <w:pStyle w:val="NormalWeb"/>
              <w:jc w:val="center"/>
              <w:rPr>
                <w:sz w:val="18"/>
                <w:szCs w:val="18"/>
              </w:rPr>
            </w:pPr>
            <w:r w:rsidRPr="000B06D8">
              <w:rPr>
                <w:sz w:val="18"/>
                <w:szCs w:val="18"/>
              </w:rPr>
              <w:t>3</w:t>
            </w:r>
          </w:p>
        </w:tc>
        <w:tc>
          <w:tcPr>
            <w:tcW w:w="851" w:type="dxa"/>
            <w:hideMark/>
          </w:tcPr>
          <w:p w14:paraId="11A88247" w14:textId="77777777" w:rsidR="00C12716" w:rsidRPr="000B06D8" w:rsidRDefault="00C12716" w:rsidP="000B6632">
            <w:pPr>
              <w:pStyle w:val="NormalWeb"/>
              <w:jc w:val="center"/>
              <w:rPr>
                <w:sz w:val="18"/>
                <w:szCs w:val="18"/>
              </w:rPr>
            </w:pPr>
            <w:r w:rsidRPr="000B06D8">
              <w:rPr>
                <w:sz w:val="18"/>
                <w:szCs w:val="18"/>
              </w:rPr>
              <w:t>0</w:t>
            </w:r>
          </w:p>
        </w:tc>
        <w:tc>
          <w:tcPr>
            <w:tcW w:w="1135" w:type="dxa"/>
            <w:hideMark/>
          </w:tcPr>
          <w:p w14:paraId="089A97B7" w14:textId="77777777" w:rsidR="00C12716" w:rsidRPr="000B06D8" w:rsidRDefault="00C12716" w:rsidP="000B6632">
            <w:pPr>
              <w:pStyle w:val="NormalWeb"/>
              <w:jc w:val="center"/>
              <w:rPr>
                <w:sz w:val="18"/>
                <w:szCs w:val="18"/>
              </w:rPr>
            </w:pPr>
            <w:r w:rsidRPr="000B06D8">
              <w:rPr>
                <w:sz w:val="18"/>
                <w:szCs w:val="18"/>
              </w:rPr>
              <w:t>—</w:t>
            </w:r>
          </w:p>
        </w:tc>
        <w:tc>
          <w:tcPr>
            <w:tcW w:w="1134" w:type="dxa"/>
            <w:hideMark/>
          </w:tcPr>
          <w:p w14:paraId="2DBB0A9E" w14:textId="77777777" w:rsidR="00C12716" w:rsidRPr="000B06D8" w:rsidRDefault="00C12716" w:rsidP="000B6632">
            <w:pPr>
              <w:pStyle w:val="NormalWeb"/>
              <w:jc w:val="center"/>
              <w:rPr>
                <w:sz w:val="18"/>
                <w:szCs w:val="18"/>
              </w:rPr>
            </w:pPr>
            <w:r w:rsidRPr="000B06D8">
              <w:rPr>
                <w:sz w:val="18"/>
                <w:szCs w:val="18"/>
              </w:rPr>
              <w:t>2</w:t>
            </w:r>
          </w:p>
        </w:tc>
        <w:tc>
          <w:tcPr>
            <w:tcW w:w="1559" w:type="dxa"/>
            <w:hideMark/>
          </w:tcPr>
          <w:p w14:paraId="7B931FA5" w14:textId="77777777" w:rsidR="00C12716" w:rsidRPr="000B06D8" w:rsidRDefault="00C12716" w:rsidP="000B6632">
            <w:pPr>
              <w:pStyle w:val="NormalWeb"/>
              <w:jc w:val="center"/>
              <w:rPr>
                <w:sz w:val="18"/>
                <w:szCs w:val="18"/>
              </w:rPr>
            </w:pPr>
            <w:r w:rsidRPr="000B06D8">
              <w:rPr>
                <w:sz w:val="18"/>
                <w:szCs w:val="18"/>
              </w:rPr>
              <w:t>0–4</w:t>
            </w:r>
          </w:p>
        </w:tc>
        <w:tc>
          <w:tcPr>
            <w:tcW w:w="1557" w:type="dxa"/>
            <w:hideMark/>
          </w:tcPr>
          <w:p w14:paraId="5631EB62" w14:textId="77777777" w:rsidR="00C12716" w:rsidRPr="000B06D8" w:rsidRDefault="00C12716" w:rsidP="000B6632">
            <w:pPr>
              <w:pStyle w:val="NormalWeb"/>
              <w:jc w:val="center"/>
              <w:rPr>
                <w:sz w:val="18"/>
                <w:szCs w:val="18"/>
              </w:rPr>
            </w:pPr>
            <w:r w:rsidRPr="000B06D8">
              <w:rPr>
                <w:sz w:val="18"/>
                <w:szCs w:val="18"/>
              </w:rPr>
              <w:t>N/A</w:t>
            </w:r>
          </w:p>
        </w:tc>
        <w:tc>
          <w:tcPr>
            <w:tcW w:w="1560" w:type="dxa"/>
            <w:hideMark/>
          </w:tcPr>
          <w:p w14:paraId="542004EA"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6B695794" w14:textId="77777777" w:rsidR="00C12716" w:rsidRPr="000B06D8" w:rsidRDefault="00C12716" w:rsidP="000B6632">
            <w:pPr>
              <w:pStyle w:val="NormalWeb"/>
              <w:jc w:val="center"/>
              <w:rPr>
                <w:sz w:val="18"/>
                <w:szCs w:val="18"/>
              </w:rPr>
            </w:pPr>
            <w:r w:rsidRPr="000B06D8">
              <w:rPr>
                <w:sz w:val="18"/>
                <w:szCs w:val="18"/>
              </w:rPr>
              <w:t>0</w:t>
            </w:r>
          </w:p>
        </w:tc>
        <w:tc>
          <w:tcPr>
            <w:tcW w:w="1659" w:type="dxa"/>
            <w:hideMark/>
          </w:tcPr>
          <w:p w14:paraId="4351A90C" w14:textId="77777777" w:rsidR="00C12716" w:rsidRPr="000B06D8" w:rsidRDefault="00C12716" w:rsidP="000B6632">
            <w:pPr>
              <w:pStyle w:val="NormalWeb"/>
              <w:jc w:val="center"/>
              <w:rPr>
                <w:sz w:val="18"/>
                <w:szCs w:val="18"/>
              </w:rPr>
            </w:pPr>
            <w:r w:rsidRPr="000B06D8">
              <w:rPr>
                <w:sz w:val="18"/>
                <w:szCs w:val="18"/>
              </w:rPr>
              <w:t>0</w:t>
            </w:r>
          </w:p>
        </w:tc>
      </w:tr>
      <w:tr w:rsidR="00C12716" w:rsidRPr="000B06D8" w14:paraId="6806A93D" w14:textId="77777777" w:rsidTr="00C12716">
        <w:tblPrEx>
          <w:tblCellMar>
            <w:top w:w="57" w:type="dxa"/>
            <w:left w:w="57" w:type="dxa"/>
            <w:bottom w:w="57" w:type="dxa"/>
            <w:right w:w="57" w:type="dxa"/>
          </w:tblCellMar>
        </w:tblPrEx>
        <w:tc>
          <w:tcPr>
            <w:tcW w:w="3120" w:type="dxa"/>
            <w:hideMark/>
          </w:tcPr>
          <w:p w14:paraId="5A491A0A" w14:textId="77777777" w:rsidR="00C12716" w:rsidRPr="000B06D8" w:rsidRDefault="00C12716" w:rsidP="000B6632">
            <w:pPr>
              <w:pStyle w:val="NormalWeb"/>
              <w:rPr>
                <w:sz w:val="18"/>
                <w:szCs w:val="18"/>
              </w:rPr>
            </w:pPr>
            <w:r w:rsidRPr="000B06D8">
              <w:rPr>
                <w:sz w:val="18"/>
                <w:szCs w:val="18"/>
              </w:rPr>
              <w:t>Influenza</w:t>
            </w:r>
          </w:p>
        </w:tc>
        <w:tc>
          <w:tcPr>
            <w:tcW w:w="850" w:type="dxa"/>
            <w:hideMark/>
          </w:tcPr>
          <w:p w14:paraId="4178DBF5" w14:textId="77777777" w:rsidR="00C12716" w:rsidRPr="000B06D8" w:rsidRDefault="00C12716" w:rsidP="000B6632">
            <w:pPr>
              <w:pStyle w:val="NormalWeb"/>
              <w:jc w:val="center"/>
              <w:rPr>
                <w:sz w:val="18"/>
                <w:szCs w:val="18"/>
              </w:rPr>
            </w:pPr>
            <w:r w:rsidRPr="000B06D8">
              <w:rPr>
                <w:sz w:val="18"/>
                <w:szCs w:val="18"/>
              </w:rPr>
              <w:t>109</w:t>
            </w:r>
          </w:p>
        </w:tc>
        <w:tc>
          <w:tcPr>
            <w:tcW w:w="851" w:type="dxa"/>
            <w:hideMark/>
          </w:tcPr>
          <w:p w14:paraId="549B162D" w14:textId="77777777" w:rsidR="00C12716" w:rsidRPr="000B06D8" w:rsidRDefault="00C12716" w:rsidP="000B6632">
            <w:pPr>
              <w:pStyle w:val="NormalWeb"/>
              <w:jc w:val="center"/>
              <w:rPr>
                <w:sz w:val="18"/>
                <w:szCs w:val="18"/>
              </w:rPr>
            </w:pPr>
            <w:r w:rsidRPr="000B06D8">
              <w:rPr>
                <w:sz w:val="18"/>
                <w:szCs w:val="18"/>
              </w:rPr>
              <w:t>4,793</w:t>
            </w:r>
          </w:p>
        </w:tc>
        <w:tc>
          <w:tcPr>
            <w:tcW w:w="1135" w:type="dxa"/>
            <w:hideMark/>
          </w:tcPr>
          <w:p w14:paraId="5CAEA3D2" w14:textId="77777777" w:rsidR="00C12716" w:rsidRPr="000B06D8" w:rsidRDefault="00C12716" w:rsidP="000B6632">
            <w:pPr>
              <w:pStyle w:val="NormalWeb"/>
              <w:jc w:val="center"/>
              <w:rPr>
                <w:sz w:val="18"/>
                <w:szCs w:val="18"/>
              </w:rPr>
            </w:pPr>
            <w:r w:rsidRPr="000B06D8">
              <w:rPr>
                <w:sz w:val="18"/>
                <w:szCs w:val="18"/>
              </w:rPr>
              <w:t>31,926</w:t>
            </w:r>
          </w:p>
        </w:tc>
        <w:tc>
          <w:tcPr>
            <w:tcW w:w="1134" w:type="dxa"/>
            <w:hideMark/>
          </w:tcPr>
          <w:p w14:paraId="32CFA993"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63A930A9" w14:textId="77777777" w:rsidR="00C12716" w:rsidRPr="000B06D8" w:rsidRDefault="00C12716" w:rsidP="000B6632">
            <w:pPr>
              <w:pStyle w:val="NormalWeb"/>
              <w:jc w:val="center"/>
              <w:rPr>
                <w:sz w:val="18"/>
                <w:szCs w:val="18"/>
              </w:rPr>
            </w:pPr>
            <w:r w:rsidRPr="000B06D8">
              <w:rPr>
                <w:sz w:val="18"/>
                <w:szCs w:val="18"/>
              </w:rPr>
              <w:t>11,622–69,599</w:t>
            </w:r>
          </w:p>
        </w:tc>
        <w:tc>
          <w:tcPr>
            <w:tcW w:w="1557" w:type="dxa"/>
            <w:hideMark/>
          </w:tcPr>
          <w:p w14:paraId="6CBCAF70" w14:textId="77777777" w:rsidR="00C12716" w:rsidRPr="000B06D8" w:rsidRDefault="00C12716" w:rsidP="000B6632">
            <w:pPr>
              <w:pStyle w:val="NormalWeb"/>
              <w:jc w:val="center"/>
              <w:rPr>
                <w:sz w:val="18"/>
                <w:szCs w:val="18"/>
              </w:rPr>
            </w:pPr>
            <w:r w:rsidRPr="000B06D8">
              <w:rPr>
                <w:sz w:val="18"/>
                <w:szCs w:val="18"/>
              </w:rPr>
              <w:t>-85%</w:t>
            </w:r>
          </w:p>
        </w:tc>
        <w:tc>
          <w:tcPr>
            <w:tcW w:w="1560" w:type="dxa"/>
            <w:hideMark/>
          </w:tcPr>
          <w:p w14:paraId="1DA3590C" w14:textId="77777777" w:rsidR="00C12716" w:rsidRPr="000B06D8" w:rsidRDefault="00C12716" w:rsidP="000B6632">
            <w:pPr>
              <w:pStyle w:val="NormalWeb"/>
              <w:jc w:val="center"/>
              <w:rPr>
                <w:sz w:val="18"/>
                <w:szCs w:val="18"/>
              </w:rPr>
            </w:pPr>
            <w:r w:rsidRPr="000B06D8">
              <w:rPr>
                <w:sz w:val="18"/>
                <w:szCs w:val="18"/>
              </w:rPr>
              <w:t>1.6</w:t>
            </w:r>
          </w:p>
        </w:tc>
        <w:tc>
          <w:tcPr>
            <w:tcW w:w="1559" w:type="dxa"/>
            <w:hideMark/>
          </w:tcPr>
          <w:p w14:paraId="1E9BD07E" w14:textId="77777777" w:rsidR="00C12716" w:rsidRPr="000B06D8" w:rsidRDefault="00C12716" w:rsidP="000B6632">
            <w:pPr>
              <w:pStyle w:val="NormalWeb"/>
              <w:jc w:val="center"/>
              <w:rPr>
                <w:sz w:val="18"/>
                <w:szCs w:val="18"/>
              </w:rPr>
            </w:pPr>
            <w:r w:rsidRPr="000B06D8">
              <w:rPr>
                <w:sz w:val="18"/>
                <w:szCs w:val="18"/>
              </w:rPr>
              <w:t>72.0</w:t>
            </w:r>
          </w:p>
        </w:tc>
        <w:tc>
          <w:tcPr>
            <w:tcW w:w="1659" w:type="dxa"/>
            <w:hideMark/>
          </w:tcPr>
          <w:p w14:paraId="5A9A2EEA" w14:textId="77777777" w:rsidR="00C12716" w:rsidRPr="000B06D8" w:rsidRDefault="00C12716" w:rsidP="000B6632">
            <w:pPr>
              <w:pStyle w:val="NormalWeb"/>
              <w:jc w:val="center"/>
              <w:rPr>
                <w:sz w:val="18"/>
                <w:szCs w:val="18"/>
              </w:rPr>
            </w:pPr>
            <w:r w:rsidRPr="000B06D8">
              <w:rPr>
                <w:sz w:val="18"/>
                <w:szCs w:val="18"/>
              </w:rPr>
              <w:t>500.2</w:t>
            </w:r>
          </w:p>
        </w:tc>
      </w:tr>
      <w:tr w:rsidR="00C12716" w:rsidRPr="000B06D8" w14:paraId="093720F5"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62976805" w14:textId="77777777" w:rsidR="00C12716" w:rsidRPr="000B06D8" w:rsidRDefault="00C12716" w:rsidP="000B6632">
            <w:pPr>
              <w:pStyle w:val="NormalWeb"/>
              <w:rPr>
                <w:sz w:val="18"/>
                <w:szCs w:val="18"/>
              </w:rPr>
            </w:pPr>
            <w:r w:rsidRPr="000B06D8">
              <w:rPr>
                <w:sz w:val="18"/>
                <w:szCs w:val="18"/>
              </w:rPr>
              <w:t>Invasive meningococcal disease</w:t>
            </w:r>
          </w:p>
        </w:tc>
        <w:tc>
          <w:tcPr>
            <w:tcW w:w="850" w:type="dxa"/>
            <w:hideMark/>
          </w:tcPr>
          <w:p w14:paraId="657E6001" w14:textId="77777777" w:rsidR="00C12716" w:rsidRPr="000B06D8" w:rsidRDefault="00C12716" w:rsidP="000B6632">
            <w:pPr>
              <w:pStyle w:val="NormalWeb"/>
              <w:jc w:val="center"/>
              <w:rPr>
                <w:sz w:val="18"/>
                <w:szCs w:val="18"/>
              </w:rPr>
            </w:pPr>
            <w:r w:rsidRPr="000B06D8">
              <w:rPr>
                <w:sz w:val="18"/>
                <w:szCs w:val="18"/>
              </w:rPr>
              <w:t>10</w:t>
            </w:r>
          </w:p>
        </w:tc>
        <w:tc>
          <w:tcPr>
            <w:tcW w:w="851" w:type="dxa"/>
            <w:hideMark/>
          </w:tcPr>
          <w:p w14:paraId="3C35FE8C" w14:textId="77777777" w:rsidR="00C12716" w:rsidRPr="000B06D8" w:rsidRDefault="00C12716" w:rsidP="000B6632">
            <w:pPr>
              <w:pStyle w:val="NormalWeb"/>
              <w:jc w:val="center"/>
              <w:rPr>
                <w:sz w:val="18"/>
                <w:szCs w:val="18"/>
              </w:rPr>
            </w:pPr>
            <w:r w:rsidRPr="000B06D8">
              <w:rPr>
                <w:sz w:val="18"/>
                <w:szCs w:val="18"/>
              </w:rPr>
              <w:t>19</w:t>
            </w:r>
          </w:p>
        </w:tc>
        <w:tc>
          <w:tcPr>
            <w:tcW w:w="1135" w:type="dxa"/>
            <w:hideMark/>
          </w:tcPr>
          <w:p w14:paraId="7E73282F" w14:textId="77777777" w:rsidR="00C12716" w:rsidRPr="000B06D8" w:rsidRDefault="00C12716" w:rsidP="000B6632">
            <w:pPr>
              <w:pStyle w:val="NormalWeb"/>
              <w:jc w:val="center"/>
              <w:rPr>
                <w:sz w:val="18"/>
                <w:szCs w:val="18"/>
              </w:rPr>
            </w:pPr>
            <w:r w:rsidRPr="000B06D8">
              <w:rPr>
                <w:sz w:val="18"/>
                <w:szCs w:val="18"/>
              </w:rPr>
              <w:t>63</w:t>
            </w:r>
          </w:p>
        </w:tc>
        <w:tc>
          <w:tcPr>
            <w:tcW w:w="1134" w:type="dxa"/>
            <w:hideMark/>
          </w:tcPr>
          <w:p w14:paraId="22D97F6C"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0CFA1EE4" w14:textId="77777777" w:rsidR="00C12716" w:rsidRPr="000B06D8" w:rsidRDefault="00C12716" w:rsidP="000B6632">
            <w:pPr>
              <w:pStyle w:val="NormalWeb"/>
              <w:jc w:val="center"/>
              <w:rPr>
                <w:sz w:val="18"/>
                <w:szCs w:val="18"/>
              </w:rPr>
            </w:pPr>
            <w:r w:rsidRPr="000B06D8">
              <w:rPr>
                <w:sz w:val="18"/>
                <w:szCs w:val="18"/>
              </w:rPr>
              <w:t>36–89</w:t>
            </w:r>
          </w:p>
        </w:tc>
        <w:tc>
          <w:tcPr>
            <w:tcW w:w="1557" w:type="dxa"/>
            <w:hideMark/>
          </w:tcPr>
          <w:p w14:paraId="727FBD55" w14:textId="77777777" w:rsidR="00C12716" w:rsidRPr="000B06D8" w:rsidRDefault="00C12716" w:rsidP="000B6632">
            <w:pPr>
              <w:pStyle w:val="NormalWeb"/>
              <w:jc w:val="center"/>
              <w:rPr>
                <w:sz w:val="18"/>
                <w:szCs w:val="18"/>
              </w:rPr>
            </w:pPr>
            <w:r w:rsidRPr="000B06D8">
              <w:rPr>
                <w:sz w:val="18"/>
                <w:szCs w:val="18"/>
              </w:rPr>
              <w:t>-70%</w:t>
            </w:r>
          </w:p>
        </w:tc>
        <w:tc>
          <w:tcPr>
            <w:tcW w:w="1560" w:type="dxa"/>
            <w:hideMark/>
          </w:tcPr>
          <w:p w14:paraId="298F6209" w14:textId="77777777" w:rsidR="00C12716" w:rsidRPr="000B06D8" w:rsidRDefault="00C12716" w:rsidP="000B6632">
            <w:pPr>
              <w:pStyle w:val="NormalWeb"/>
              <w:jc w:val="center"/>
              <w:rPr>
                <w:sz w:val="18"/>
                <w:szCs w:val="18"/>
              </w:rPr>
            </w:pPr>
            <w:r w:rsidRPr="000B06D8">
              <w:rPr>
                <w:sz w:val="18"/>
                <w:szCs w:val="18"/>
              </w:rPr>
              <w:t>0.1</w:t>
            </w:r>
          </w:p>
        </w:tc>
        <w:tc>
          <w:tcPr>
            <w:tcW w:w="1559" w:type="dxa"/>
            <w:hideMark/>
          </w:tcPr>
          <w:p w14:paraId="7CB0CC5B" w14:textId="77777777" w:rsidR="00C12716" w:rsidRPr="000B06D8" w:rsidRDefault="00C12716" w:rsidP="000B6632">
            <w:pPr>
              <w:pStyle w:val="NormalWeb"/>
              <w:jc w:val="center"/>
              <w:rPr>
                <w:sz w:val="18"/>
                <w:szCs w:val="18"/>
              </w:rPr>
            </w:pPr>
            <w:r w:rsidRPr="000B06D8">
              <w:rPr>
                <w:sz w:val="18"/>
                <w:szCs w:val="18"/>
              </w:rPr>
              <w:t>0.3</w:t>
            </w:r>
          </w:p>
        </w:tc>
        <w:tc>
          <w:tcPr>
            <w:tcW w:w="1659" w:type="dxa"/>
            <w:hideMark/>
          </w:tcPr>
          <w:p w14:paraId="259CBE24" w14:textId="77777777" w:rsidR="00C12716" w:rsidRPr="000B06D8" w:rsidRDefault="00C12716" w:rsidP="000B6632">
            <w:pPr>
              <w:pStyle w:val="NormalWeb"/>
              <w:jc w:val="center"/>
              <w:rPr>
                <w:sz w:val="18"/>
                <w:szCs w:val="18"/>
              </w:rPr>
            </w:pPr>
            <w:r w:rsidRPr="000B06D8">
              <w:rPr>
                <w:sz w:val="18"/>
                <w:szCs w:val="18"/>
              </w:rPr>
              <w:t>1.0</w:t>
            </w:r>
          </w:p>
        </w:tc>
      </w:tr>
      <w:tr w:rsidR="00C12716" w:rsidRPr="000B06D8" w14:paraId="683C1206" w14:textId="77777777" w:rsidTr="00C12716">
        <w:tblPrEx>
          <w:tblCellMar>
            <w:top w:w="57" w:type="dxa"/>
            <w:left w:w="57" w:type="dxa"/>
            <w:bottom w:w="57" w:type="dxa"/>
            <w:right w:w="57" w:type="dxa"/>
          </w:tblCellMar>
        </w:tblPrEx>
        <w:tc>
          <w:tcPr>
            <w:tcW w:w="3120" w:type="dxa"/>
            <w:hideMark/>
          </w:tcPr>
          <w:p w14:paraId="22F7FB1F" w14:textId="77777777" w:rsidR="00C12716" w:rsidRPr="000B06D8" w:rsidRDefault="00C12716" w:rsidP="000B6632">
            <w:pPr>
              <w:pStyle w:val="NormalWeb"/>
              <w:rPr>
                <w:sz w:val="18"/>
                <w:szCs w:val="18"/>
              </w:rPr>
            </w:pPr>
            <w:r w:rsidRPr="000B06D8">
              <w:rPr>
                <w:sz w:val="18"/>
                <w:szCs w:val="18"/>
              </w:rPr>
              <w:t>Invasive pneumococcal disease</w:t>
            </w:r>
          </w:p>
        </w:tc>
        <w:tc>
          <w:tcPr>
            <w:tcW w:w="850" w:type="dxa"/>
            <w:hideMark/>
          </w:tcPr>
          <w:p w14:paraId="1E699CDF" w14:textId="77777777" w:rsidR="00C12716" w:rsidRPr="000B06D8" w:rsidRDefault="00C12716" w:rsidP="000B6632">
            <w:pPr>
              <w:pStyle w:val="NormalWeb"/>
              <w:jc w:val="center"/>
              <w:rPr>
                <w:sz w:val="18"/>
                <w:szCs w:val="18"/>
              </w:rPr>
            </w:pPr>
            <w:r w:rsidRPr="000B06D8">
              <w:rPr>
                <w:sz w:val="18"/>
                <w:szCs w:val="18"/>
              </w:rPr>
              <w:t>245</w:t>
            </w:r>
          </w:p>
        </w:tc>
        <w:tc>
          <w:tcPr>
            <w:tcW w:w="851" w:type="dxa"/>
            <w:hideMark/>
          </w:tcPr>
          <w:p w14:paraId="54B3CADC" w14:textId="77777777" w:rsidR="00C12716" w:rsidRPr="000B06D8" w:rsidRDefault="00C12716" w:rsidP="000B6632">
            <w:pPr>
              <w:pStyle w:val="NormalWeb"/>
              <w:jc w:val="center"/>
              <w:rPr>
                <w:sz w:val="18"/>
                <w:szCs w:val="18"/>
              </w:rPr>
            </w:pPr>
            <w:r w:rsidRPr="000B06D8">
              <w:rPr>
                <w:sz w:val="18"/>
                <w:szCs w:val="18"/>
              </w:rPr>
              <w:t>192</w:t>
            </w:r>
          </w:p>
        </w:tc>
        <w:tc>
          <w:tcPr>
            <w:tcW w:w="1135" w:type="dxa"/>
            <w:hideMark/>
          </w:tcPr>
          <w:p w14:paraId="107A4E70" w14:textId="77777777" w:rsidR="00C12716" w:rsidRPr="000B06D8" w:rsidRDefault="00C12716" w:rsidP="000B6632">
            <w:pPr>
              <w:pStyle w:val="NormalWeb"/>
              <w:jc w:val="center"/>
              <w:rPr>
                <w:sz w:val="18"/>
                <w:szCs w:val="18"/>
              </w:rPr>
            </w:pPr>
            <w:r w:rsidRPr="000B06D8">
              <w:rPr>
                <w:sz w:val="18"/>
                <w:szCs w:val="18"/>
              </w:rPr>
              <w:t>453</w:t>
            </w:r>
          </w:p>
        </w:tc>
        <w:tc>
          <w:tcPr>
            <w:tcW w:w="1134" w:type="dxa"/>
            <w:hideMark/>
          </w:tcPr>
          <w:p w14:paraId="3F1FE379"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4566690E" w14:textId="77777777" w:rsidR="00C12716" w:rsidRPr="000B06D8" w:rsidRDefault="00C12716" w:rsidP="000B6632">
            <w:pPr>
              <w:pStyle w:val="NormalWeb"/>
              <w:jc w:val="center"/>
              <w:rPr>
                <w:sz w:val="18"/>
                <w:szCs w:val="18"/>
              </w:rPr>
            </w:pPr>
            <w:r w:rsidRPr="000B06D8">
              <w:rPr>
                <w:sz w:val="18"/>
                <w:szCs w:val="18"/>
              </w:rPr>
              <w:t>351–511</w:t>
            </w:r>
          </w:p>
        </w:tc>
        <w:tc>
          <w:tcPr>
            <w:tcW w:w="1557" w:type="dxa"/>
            <w:hideMark/>
          </w:tcPr>
          <w:p w14:paraId="04D91E99" w14:textId="77777777" w:rsidR="00C12716" w:rsidRPr="000B06D8" w:rsidRDefault="00C12716" w:rsidP="000B6632">
            <w:pPr>
              <w:pStyle w:val="NormalWeb"/>
              <w:jc w:val="center"/>
              <w:rPr>
                <w:sz w:val="18"/>
                <w:szCs w:val="18"/>
              </w:rPr>
            </w:pPr>
            <w:r w:rsidRPr="000B06D8">
              <w:rPr>
                <w:sz w:val="18"/>
                <w:szCs w:val="18"/>
              </w:rPr>
              <w:t>-58%</w:t>
            </w:r>
          </w:p>
        </w:tc>
        <w:tc>
          <w:tcPr>
            <w:tcW w:w="1560" w:type="dxa"/>
            <w:hideMark/>
          </w:tcPr>
          <w:p w14:paraId="18778543" w14:textId="77777777" w:rsidR="00C12716" w:rsidRPr="000B06D8" w:rsidRDefault="00C12716" w:rsidP="000B6632">
            <w:pPr>
              <w:pStyle w:val="NormalWeb"/>
              <w:jc w:val="center"/>
              <w:rPr>
                <w:sz w:val="18"/>
                <w:szCs w:val="18"/>
              </w:rPr>
            </w:pPr>
            <w:r w:rsidRPr="000B06D8">
              <w:rPr>
                <w:sz w:val="18"/>
                <w:szCs w:val="18"/>
              </w:rPr>
              <w:t>3.7</w:t>
            </w:r>
          </w:p>
        </w:tc>
        <w:tc>
          <w:tcPr>
            <w:tcW w:w="1559" w:type="dxa"/>
            <w:hideMark/>
          </w:tcPr>
          <w:p w14:paraId="3C401F3A" w14:textId="77777777" w:rsidR="00C12716" w:rsidRPr="000B06D8" w:rsidRDefault="00C12716" w:rsidP="000B6632">
            <w:pPr>
              <w:pStyle w:val="NormalWeb"/>
              <w:jc w:val="center"/>
              <w:rPr>
                <w:sz w:val="18"/>
                <w:szCs w:val="18"/>
              </w:rPr>
            </w:pPr>
            <w:r w:rsidRPr="000B06D8">
              <w:rPr>
                <w:sz w:val="18"/>
                <w:szCs w:val="18"/>
              </w:rPr>
              <w:t>2.9</w:t>
            </w:r>
          </w:p>
        </w:tc>
        <w:tc>
          <w:tcPr>
            <w:tcW w:w="1659" w:type="dxa"/>
            <w:hideMark/>
          </w:tcPr>
          <w:p w14:paraId="02FABD48" w14:textId="77777777" w:rsidR="00C12716" w:rsidRPr="000B06D8" w:rsidRDefault="00C12716" w:rsidP="000B6632">
            <w:pPr>
              <w:pStyle w:val="NormalWeb"/>
              <w:jc w:val="center"/>
              <w:rPr>
                <w:sz w:val="18"/>
                <w:szCs w:val="18"/>
              </w:rPr>
            </w:pPr>
            <w:r w:rsidRPr="000B06D8">
              <w:rPr>
                <w:sz w:val="18"/>
                <w:szCs w:val="18"/>
              </w:rPr>
              <w:t>7.1</w:t>
            </w:r>
          </w:p>
        </w:tc>
      </w:tr>
      <w:tr w:rsidR="00C12716" w:rsidRPr="000B06D8" w14:paraId="6BD76A8A"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638C6A17" w14:textId="77777777" w:rsidR="00C12716" w:rsidRPr="000B06D8" w:rsidRDefault="00C12716" w:rsidP="000B6632">
            <w:pPr>
              <w:pStyle w:val="NormalWeb"/>
              <w:rPr>
                <w:sz w:val="18"/>
                <w:szCs w:val="18"/>
              </w:rPr>
            </w:pPr>
            <w:r w:rsidRPr="000B06D8">
              <w:rPr>
                <w:sz w:val="18"/>
                <w:szCs w:val="18"/>
              </w:rPr>
              <w:t>Measles</w:t>
            </w:r>
          </w:p>
        </w:tc>
        <w:tc>
          <w:tcPr>
            <w:tcW w:w="850" w:type="dxa"/>
            <w:hideMark/>
          </w:tcPr>
          <w:p w14:paraId="1CCED324" w14:textId="77777777" w:rsidR="00C12716" w:rsidRPr="000B06D8" w:rsidRDefault="00C12716" w:rsidP="000B6632">
            <w:pPr>
              <w:pStyle w:val="NormalWeb"/>
              <w:jc w:val="center"/>
              <w:rPr>
                <w:sz w:val="18"/>
                <w:szCs w:val="18"/>
              </w:rPr>
            </w:pPr>
            <w:r w:rsidRPr="000B06D8">
              <w:rPr>
                <w:sz w:val="18"/>
                <w:szCs w:val="18"/>
              </w:rPr>
              <w:t>0</w:t>
            </w:r>
          </w:p>
        </w:tc>
        <w:tc>
          <w:tcPr>
            <w:tcW w:w="851" w:type="dxa"/>
            <w:hideMark/>
          </w:tcPr>
          <w:p w14:paraId="4586DD4D" w14:textId="77777777" w:rsidR="00C12716" w:rsidRPr="000B06D8" w:rsidRDefault="00C12716" w:rsidP="000B6632">
            <w:pPr>
              <w:pStyle w:val="NormalWeb"/>
              <w:jc w:val="center"/>
              <w:rPr>
                <w:sz w:val="18"/>
                <w:szCs w:val="18"/>
              </w:rPr>
            </w:pPr>
            <w:r w:rsidRPr="000B06D8">
              <w:rPr>
                <w:sz w:val="18"/>
                <w:szCs w:val="18"/>
              </w:rPr>
              <w:t>5</w:t>
            </w:r>
          </w:p>
        </w:tc>
        <w:tc>
          <w:tcPr>
            <w:tcW w:w="1135" w:type="dxa"/>
            <w:hideMark/>
          </w:tcPr>
          <w:p w14:paraId="61E4A8EA" w14:textId="77777777" w:rsidR="00C12716" w:rsidRPr="000B06D8" w:rsidRDefault="00C12716" w:rsidP="000B6632">
            <w:pPr>
              <w:pStyle w:val="NormalWeb"/>
              <w:jc w:val="center"/>
              <w:rPr>
                <w:sz w:val="18"/>
                <w:szCs w:val="18"/>
              </w:rPr>
            </w:pPr>
            <w:r w:rsidRPr="000B06D8">
              <w:rPr>
                <w:sz w:val="18"/>
                <w:szCs w:val="18"/>
              </w:rPr>
              <w:t>35</w:t>
            </w:r>
          </w:p>
        </w:tc>
        <w:tc>
          <w:tcPr>
            <w:tcW w:w="1134" w:type="dxa"/>
            <w:hideMark/>
          </w:tcPr>
          <w:p w14:paraId="1C30FFF6"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1ED849E0" w14:textId="77777777" w:rsidR="00C12716" w:rsidRPr="000B06D8" w:rsidRDefault="00C12716" w:rsidP="000B6632">
            <w:pPr>
              <w:pStyle w:val="NormalWeb"/>
              <w:jc w:val="center"/>
              <w:rPr>
                <w:sz w:val="18"/>
                <w:szCs w:val="18"/>
              </w:rPr>
            </w:pPr>
            <w:r w:rsidRPr="000B06D8">
              <w:rPr>
                <w:sz w:val="18"/>
                <w:szCs w:val="18"/>
              </w:rPr>
              <w:t>22–57</w:t>
            </w:r>
          </w:p>
        </w:tc>
        <w:tc>
          <w:tcPr>
            <w:tcW w:w="1557" w:type="dxa"/>
            <w:hideMark/>
          </w:tcPr>
          <w:p w14:paraId="6A96D11E" w14:textId="77777777" w:rsidR="00C12716" w:rsidRPr="000B06D8" w:rsidRDefault="00C12716" w:rsidP="000B6632">
            <w:pPr>
              <w:pStyle w:val="NormalWeb"/>
              <w:jc w:val="center"/>
              <w:rPr>
                <w:sz w:val="18"/>
                <w:szCs w:val="18"/>
              </w:rPr>
            </w:pPr>
            <w:r w:rsidRPr="000B06D8">
              <w:rPr>
                <w:sz w:val="18"/>
                <w:szCs w:val="18"/>
              </w:rPr>
              <w:t>-86%</w:t>
            </w:r>
          </w:p>
        </w:tc>
        <w:tc>
          <w:tcPr>
            <w:tcW w:w="1560" w:type="dxa"/>
            <w:hideMark/>
          </w:tcPr>
          <w:p w14:paraId="36E15553"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7D931A6E" w14:textId="77777777" w:rsidR="00C12716" w:rsidRPr="000B06D8" w:rsidRDefault="00C12716" w:rsidP="000B6632">
            <w:pPr>
              <w:pStyle w:val="NormalWeb"/>
              <w:jc w:val="center"/>
              <w:rPr>
                <w:sz w:val="18"/>
                <w:szCs w:val="18"/>
              </w:rPr>
            </w:pPr>
            <w:r w:rsidRPr="000B06D8">
              <w:rPr>
                <w:sz w:val="18"/>
                <w:szCs w:val="18"/>
              </w:rPr>
              <w:t>0.1</w:t>
            </w:r>
          </w:p>
        </w:tc>
        <w:tc>
          <w:tcPr>
            <w:tcW w:w="1659" w:type="dxa"/>
            <w:hideMark/>
          </w:tcPr>
          <w:p w14:paraId="0F69E088" w14:textId="77777777" w:rsidR="00C12716" w:rsidRPr="000B06D8" w:rsidRDefault="00C12716" w:rsidP="000B6632">
            <w:pPr>
              <w:pStyle w:val="NormalWeb"/>
              <w:jc w:val="center"/>
              <w:rPr>
                <w:sz w:val="18"/>
                <w:szCs w:val="18"/>
              </w:rPr>
            </w:pPr>
            <w:r w:rsidRPr="000B06D8">
              <w:rPr>
                <w:sz w:val="18"/>
                <w:szCs w:val="18"/>
              </w:rPr>
              <w:t>0.6</w:t>
            </w:r>
          </w:p>
        </w:tc>
      </w:tr>
      <w:tr w:rsidR="00C12716" w:rsidRPr="000B06D8" w14:paraId="58C8A855" w14:textId="77777777" w:rsidTr="00C12716">
        <w:tblPrEx>
          <w:tblCellMar>
            <w:top w:w="57" w:type="dxa"/>
            <w:left w:w="57" w:type="dxa"/>
            <w:bottom w:w="57" w:type="dxa"/>
            <w:right w:w="57" w:type="dxa"/>
          </w:tblCellMar>
        </w:tblPrEx>
        <w:tc>
          <w:tcPr>
            <w:tcW w:w="3120" w:type="dxa"/>
            <w:hideMark/>
          </w:tcPr>
          <w:p w14:paraId="421F259F" w14:textId="77777777" w:rsidR="00C12716" w:rsidRPr="000B06D8" w:rsidRDefault="00C12716" w:rsidP="000B6632">
            <w:pPr>
              <w:pStyle w:val="NormalWeb"/>
              <w:rPr>
                <w:sz w:val="18"/>
                <w:szCs w:val="18"/>
              </w:rPr>
            </w:pPr>
            <w:r w:rsidRPr="000B06D8">
              <w:rPr>
                <w:sz w:val="18"/>
                <w:szCs w:val="18"/>
              </w:rPr>
              <w:t>Mumps</w:t>
            </w:r>
          </w:p>
        </w:tc>
        <w:tc>
          <w:tcPr>
            <w:tcW w:w="850" w:type="dxa"/>
            <w:hideMark/>
          </w:tcPr>
          <w:p w14:paraId="3FF31768" w14:textId="77777777" w:rsidR="00C12716" w:rsidRPr="000B06D8" w:rsidRDefault="00C12716" w:rsidP="000B6632">
            <w:pPr>
              <w:pStyle w:val="NormalWeb"/>
              <w:jc w:val="center"/>
              <w:rPr>
                <w:sz w:val="18"/>
                <w:szCs w:val="18"/>
              </w:rPr>
            </w:pPr>
            <w:r w:rsidRPr="000B06D8">
              <w:rPr>
                <w:sz w:val="18"/>
                <w:szCs w:val="18"/>
              </w:rPr>
              <w:t>1</w:t>
            </w:r>
          </w:p>
        </w:tc>
        <w:tc>
          <w:tcPr>
            <w:tcW w:w="851" w:type="dxa"/>
            <w:hideMark/>
          </w:tcPr>
          <w:p w14:paraId="6BD5D808" w14:textId="77777777" w:rsidR="00C12716" w:rsidRPr="000B06D8" w:rsidRDefault="00C12716" w:rsidP="000B6632">
            <w:pPr>
              <w:pStyle w:val="NormalWeb"/>
              <w:jc w:val="center"/>
              <w:rPr>
                <w:sz w:val="18"/>
                <w:szCs w:val="18"/>
              </w:rPr>
            </w:pPr>
            <w:r w:rsidRPr="000B06D8">
              <w:rPr>
                <w:sz w:val="18"/>
                <w:szCs w:val="18"/>
              </w:rPr>
              <w:t>24</w:t>
            </w:r>
          </w:p>
        </w:tc>
        <w:tc>
          <w:tcPr>
            <w:tcW w:w="1135" w:type="dxa"/>
            <w:hideMark/>
          </w:tcPr>
          <w:p w14:paraId="05CD904A" w14:textId="77777777" w:rsidR="00C12716" w:rsidRPr="000B06D8" w:rsidRDefault="00C12716" w:rsidP="000B6632">
            <w:pPr>
              <w:pStyle w:val="NormalWeb"/>
              <w:jc w:val="center"/>
              <w:rPr>
                <w:sz w:val="18"/>
                <w:szCs w:val="18"/>
              </w:rPr>
            </w:pPr>
            <w:r w:rsidRPr="000B06D8">
              <w:rPr>
                <w:sz w:val="18"/>
                <w:szCs w:val="18"/>
              </w:rPr>
              <w:t>26</w:t>
            </w:r>
          </w:p>
        </w:tc>
        <w:tc>
          <w:tcPr>
            <w:tcW w:w="1134" w:type="dxa"/>
            <w:hideMark/>
          </w:tcPr>
          <w:p w14:paraId="3A251138"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3B125CDF" w14:textId="77777777" w:rsidR="00C12716" w:rsidRPr="000B06D8" w:rsidRDefault="00C12716" w:rsidP="000B6632">
            <w:pPr>
              <w:pStyle w:val="NormalWeb"/>
              <w:jc w:val="center"/>
              <w:rPr>
                <w:sz w:val="18"/>
                <w:szCs w:val="18"/>
              </w:rPr>
            </w:pPr>
            <w:r w:rsidRPr="000B06D8">
              <w:rPr>
                <w:sz w:val="18"/>
                <w:szCs w:val="18"/>
              </w:rPr>
              <w:t>16–45</w:t>
            </w:r>
          </w:p>
        </w:tc>
        <w:tc>
          <w:tcPr>
            <w:tcW w:w="1557" w:type="dxa"/>
            <w:hideMark/>
          </w:tcPr>
          <w:p w14:paraId="4A81B472" w14:textId="77777777" w:rsidR="00C12716" w:rsidRPr="000B06D8" w:rsidRDefault="00C12716" w:rsidP="000B6632">
            <w:pPr>
              <w:pStyle w:val="NormalWeb"/>
              <w:jc w:val="center"/>
              <w:rPr>
                <w:sz w:val="18"/>
                <w:szCs w:val="18"/>
              </w:rPr>
            </w:pPr>
            <w:r w:rsidRPr="000B06D8">
              <w:rPr>
                <w:sz w:val="18"/>
                <w:szCs w:val="18"/>
              </w:rPr>
              <w:t>-6%</w:t>
            </w:r>
          </w:p>
        </w:tc>
        <w:tc>
          <w:tcPr>
            <w:tcW w:w="1560" w:type="dxa"/>
            <w:hideMark/>
          </w:tcPr>
          <w:p w14:paraId="6CF466A8"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771334C9" w14:textId="77777777" w:rsidR="00C12716" w:rsidRPr="000B06D8" w:rsidRDefault="00C12716" w:rsidP="000B6632">
            <w:pPr>
              <w:pStyle w:val="NormalWeb"/>
              <w:jc w:val="center"/>
              <w:rPr>
                <w:sz w:val="18"/>
                <w:szCs w:val="18"/>
              </w:rPr>
            </w:pPr>
            <w:r w:rsidRPr="000B06D8">
              <w:rPr>
                <w:sz w:val="18"/>
                <w:szCs w:val="18"/>
              </w:rPr>
              <w:t>0.4</w:t>
            </w:r>
          </w:p>
        </w:tc>
        <w:tc>
          <w:tcPr>
            <w:tcW w:w="1659" w:type="dxa"/>
            <w:hideMark/>
          </w:tcPr>
          <w:p w14:paraId="36DD09AB" w14:textId="77777777" w:rsidR="00C12716" w:rsidRPr="000B06D8" w:rsidRDefault="00C12716" w:rsidP="000B6632">
            <w:pPr>
              <w:pStyle w:val="NormalWeb"/>
              <w:jc w:val="center"/>
              <w:rPr>
                <w:sz w:val="18"/>
                <w:szCs w:val="18"/>
              </w:rPr>
            </w:pPr>
            <w:r w:rsidRPr="000B06D8">
              <w:rPr>
                <w:sz w:val="18"/>
                <w:szCs w:val="18"/>
              </w:rPr>
              <w:t>0.4</w:t>
            </w:r>
          </w:p>
        </w:tc>
      </w:tr>
      <w:tr w:rsidR="00C12716" w:rsidRPr="000B06D8" w14:paraId="46003DFF"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24EE9C19" w14:textId="77777777" w:rsidR="00C12716" w:rsidRPr="000B06D8" w:rsidRDefault="00C12716" w:rsidP="000B6632">
            <w:pPr>
              <w:pStyle w:val="NormalWeb"/>
              <w:rPr>
                <w:sz w:val="18"/>
                <w:szCs w:val="18"/>
              </w:rPr>
            </w:pPr>
            <w:r w:rsidRPr="000B06D8">
              <w:rPr>
                <w:sz w:val="18"/>
                <w:szCs w:val="18"/>
              </w:rPr>
              <w:t>Pertussis</w:t>
            </w:r>
          </w:p>
        </w:tc>
        <w:tc>
          <w:tcPr>
            <w:tcW w:w="850" w:type="dxa"/>
            <w:hideMark/>
          </w:tcPr>
          <w:p w14:paraId="70E72F0A" w14:textId="77777777" w:rsidR="00C12716" w:rsidRPr="000B06D8" w:rsidRDefault="00C12716" w:rsidP="000B6632">
            <w:pPr>
              <w:pStyle w:val="NormalWeb"/>
              <w:jc w:val="center"/>
              <w:rPr>
                <w:sz w:val="18"/>
                <w:szCs w:val="18"/>
              </w:rPr>
            </w:pPr>
            <w:r w:rsidRPr="000B06D8">
              <w:rPr>
                <w:sz w:val="18"/>
                <w:szCs w:val="18"/>
              </w:rPr>
              <w:t>317</w:t>
            </w:r>
          </w:p>
        </w:tc>
        <w:tc>
          <w:tcPr>
            <w:tcW w:w="851" w:type="dxa"/>
            <w:hideMark/>
          </w:tcPr>
          <w:p w14:paraId="7004892B" w14:textId="77777777" w:rsidR="00C12716" w:rsidRPr="000B06D8" w:rsidRDefault="00C12716" w:rsidP="000B6632">
            <w:pPr>
              <w:pStyle w:val="NormalWeb"/>
              <w:jc w:val="center"/>
              <w:rPr>
                <w:sz w:val="18"/>
                <w:szCs w:val="18"/>
              </w:rPr>
            </w:pPr>
            <w:r w:rsidRPr="000B06D8">
              <w:rPr>
                <w:sz w:val="18"/>
                <w:szCs w:val="18"/>
              </w:rPr>
              <w:t>1,158</w:t>
            </w:r>
          </w:p>
        </w:tc>
        <w:tc>
          <w:tcPr>
            <w:tcW w:w="1135" w:type="dxa"/>
            <w:hideMark/>
          </w:tcPr>
          <w:p w14:paraId="790F1E3E" w14:textId="77777777" w:rsidR="00C12716" w:rsidRPr="000B06D8" w:rsidRDefault="00C12716" w:rsidP="000B6632">
            <w:pPr>
              <w:pStyle w:val="NormalWeb"/>
              <w:jc w:val="center"/>
              <w:rPr>
                <w:sz w:val="18"/>
                <w:szCs w:val="18"/>
              </w:rPr>
            </w:pPr>
            <w:r w:rsidRPr="000B06D8">
              <w:rPr>
                <w:sz w:val="18"/>
                <w:szCs w:val="18"/>
              </w:rPr>
              <w:t>2,712</w:t>
            </w:r>
          </w:p>
        </w:tc>
        <w:tc>
          <w:tcPr>
            <w:tcW w:w="1134" w:type="dxa"/>
            <w:hideMark/>
          </w:tcPr>
          <w:p w14:paraId="540838D1"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5A789359" w14:textId="77777777" w:rsidR="00C12716" w:rsidRPr="000B06D8" w:rsidRDefault="00C12716" w:rsidP="000B6632">
            <w:pPr>
              <w:pStyle w:val="NormalWeb"/>
              <w:jc w:val="center"/>
              <w:rPr>
                <w:sz w:val="18"/>
                <w:szCs w:val="18"/>
              </w:rPr>
            </w:pPr>
            <w:r w:rsidRPr="000B06D8">
              <w:rPr>
                <w:sz w:val="18"/>
                <w:szCs w:val="18"/>
              </w:rPr>
              <w:t>1,699–4,742</w:t>
            </w:r>
          </w:p>
        </w:tc>
        <w:tc>
          <w:tcPr>
            <w:tcW w:w="1557" w:type="dxa"/>
            <w:hideMark/>
          </w:tcPr>
          <w:p w14:paraId="5EB9ACF9" w14:textId="77777777" w:rsidR="00C12716" w:rsidRPr="000B06D8" w:rsidRDefault="00C12716" w:rsidP="000B6632">
            <w:pPr>
              <w:pStyle w:val="NormalWeb"/>
              <w:jc w:val="center"/>
              <w:rPr>
                <w:sz w:val="18"/>
                <w:szCs w:val="18"/>
              </w:rPr>
            </w:pPr>
            <w:r w:rsidRPr="000B06D8">
              <w:rPr>
                <w:sz w:val="18"/>
                <w:szCs w:val="18"/>
              </w:rPr>
              <w:t>-57%</w:t>
            </w:r>
          </w:p>
        </w:tc>
        <w:tc>
          <w:tcPr>
            <w:tcW w:w="1560" w:type="dxa"/>
            <w:hideMark/>
          </w:tcPr>
          <w:p w14:paraId="142DBF06" w14:textId="77777777" w:rsidR="00C12716" w:rsidRPr="000B06D8" w:rsidRDefault="00C12716" w:rsidP="000B6632">
            <w:pPr>
              <w:pStyle w:val="NormalWeb"/>
              <w:jc w:val="center"/>
              <w:rPr>
                <w:sz w:val="18"/>
                <w:szCs w:val="18"/>
              </w:rPr>
            </w:pPr>
            <w:r w:rsidRPr="000B06D8">
              <w:rPr>
                <w:sz w:val="18"/>
                <w:szCs w:val="18"/>
              </w:rPr>
              <w:t>4.7</w:t>
            </w:r>
          </w:p>
        </w:tc>
        <w:tc>
          <w:tcPr>
            <w:tcW w:w="1559" w:type="dxa"/>
            <w:hideMark/>
          </w:tcPr>
          <w:p w14:paraId="3A06189B" w14:textId="77777777" w:rsidR="00C12716" w:rsidRPr="000B06D8" w:rsidRDefault="00C12716" w:rsidP="000B6632">
            <w:pPr>
              <w:pStyle w:val="NormalWeb"/>
              <w:jc w:val="center"/>
              <w:rPr>
                <w:sz w:val="18"/>
                <w:szCs w:val="18"/>
              </w:rPr>
            </w:pPr>
            <w:r w:rsidRPr="000B06D8">
              <w:rPr>
                <w:sz w:val="18"/>
                <w:szCs w:val="18"/>
              </w:rPr>
              <w:t>17.4</w:t>
            </w:r>
          </w:p>
        </w:tc>
        <w:tc>
          <w:tcPr>
            <w:tcW w:w="1659" w:type="dxa"/>
            <w:hideMark/>
          </w:tcPr>
          <w:p w14:paraId="16EABA78" w14:textId="77777777" w:rsidR="00C12716" w:rsidRPr="000B06D8" w:rsidRDefault="00C12716" w:rsidP="000B6632">
            <w:pPr>
              <w:pStyle w:val="NormalWeb"/>
              <w:jc w:val="center"/>
              <w:rPr>
                <w:sz w:val="18"/>
                <w:szCs w:val="18"/>
              </w:rPr>
            </w:pPr>
            <w:r w:rsidRPr="000B06D8">
              <w:rPr>
                <w:sz w:val="18"/>
                <w:szCs w:val="18"/>
              </w:rPr>
              <w:t>42.5</w:t>
            </w:r>
          </w:p>
        </w:tc>
      </w:tr>
      <w:tr w:rsidR="00C12716" w:rsidRPr="000B06D8" w14:paraId="294F2AF2" w14:textId="77777777" w:rsidTr="00C12716">
        <w:tblPrEx>
          <w:tblCellMar>
            <w:top w:w="57" w:type="dxa"/>
            <w:left w:w="57" w:type="dxa"/>
            <w:bottom w:w="57" w:type="dxa"/>
            <w:right w:w="57" w:type="dxa"/>
          </w:tblCellMar>
        </w:tblPrEx>
        <w:tc>
          <w:tcPr>
            <w:tcW w:w="3120" w:type="dxa"/>
            <w:hideMark/>
          </w:tcPr>
          <w:p w14:paraId="12574684" w14:textId="77777777" w:rsidR="00C12716" w:rsidRPr="000B06D8" w:rsidRDefault="00C12716" w:rsidP="000B6632">
            <w:pPr>
              <w:pStyle w:val="NormalWeb"/>
              <w:rPr>
                <w:sz w:val="18"/>
                <w:szCs w:val="18"/>
              </w:rPr>
            </w:pPr>
            <w:r w:rsidRPr="000B06D8">
              <w:rPr>
                <w:sz w:val="18"/>
                <w:szCs w:val="18"/>
              </w:rPr>
              <w:t>Rotavirus</w:t>
            </w:r>
          </w:p>
        </w:tc>
        <w:tc>
          <w:tcPr>
            <w:tcW w:w="850" w:type="dxa"/>
            <w:hideMark/>
          </w:tcPr>
          <w:p w14:paraId="3938F87D" w14:textId="77777777" w:rsidR="00C12716" w:rsidRPr="000B06D8" w:rsidRDefault="00C12716" w:rsidP="000B6632">
            <w:pPr>
              <w:pStyle w:val="NormalWeb"/>
              <w:jc w:val="center"/>
              <w:rPr>
                <w:sz w:val="18"/>
                <w:szCs w:val="18"/>
              </w:rPr>
            </w:pPr>
            <w:r w:rsidRPr="000B06D8">
              <w:rPr>
                <w:sz w:val="18"/>
                <w:szCs w:val="18"/>
              </w:rPr>
              <w:t>114</w:t>
            </w:r>
          </w:p>
        </w:tc>
        <w:tc>
          <w:tcPr>
            <w:tcW w:w="851" w:type="dxa"/>
            <w:hideMark/>
          </w:tcPr>
          <w:p w14:paraId="59A1B8A3" w14:textId="77777777" w:rsidR="00C12716" w:rsidRPr="000B06D8" w:rsidRDefault="00C12716" w:rsidP="000B6632">
            <w:pPr>
              <w:pStyle w:val="NormalWeb"/>
              <w:jc w:val="center"/>
              <w:rPr>
                <w:sz w:val="18"/>
                <w:szCs w:val="18"/>
              </w:rPr>
            </w:pPr>
            <w:r w:rsidRPr="000B06D8">
              <w:rPr>
                <w:sz w:val="18"/>
                <w:szCs w:val="18"/>
              </w:rPr>
              <w:t>262</w:t>
            </w:r>
          </w:p>
        </w:tc>
        <w:tc>
          <w:tcPr>
            <w:tcW w:w="1135" w:type="dxa"/>
            <w:hideMark/>
          </w:tcPr>
          <w:p w14:paraId="2C352E44" w14:textId="77777777" w:rsidR="00C12716" w:rsidRPr="000B06D8" w:rsidRDefault="00C12716" w:rsidP="000B6632">
            <w:pPr>
              <w:pStyle w:val="NormalWeb"/>
              <w:jc w:val="center"/>
              <w:rPr>
                <w:sz w:val="18"/>
                <w:szCs w:val="18"/>
              </w:rPr>
            </w:pPr>
            <w:r w:rsidRPr="000B06D8">
              <w:rPr>
                <w:sz w:val="18"/>
                <w:szCs w:val="18"/>
              </w:rPr>
              <w:t>N/A</w:t>
            </w:r>
            <w:r w:rsidRPr="000B06D8">
              <w:rPr>
                <w:sz w:val="18"/>
                <w:szCs w:val="18"/>
                <w:vertAlign w:val="superscript"/>
              </w:rPr>
              <w:t>c</w:t>
            </w:r>
          </w:p>
        </w:tc>
        <w:tc>
          <w:tcPr>
            <w:tcW w:w="1134" w:type="dxa"/>
            <w:hideMark/>
          </w:tcPr>
          <w:p w14:paraId="0F3CB382"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26BF3CAC" w14:textId="77777777" w:rsidR="00C12716" w:rsidRPr="000B06D8" w:rsidRDefault="00C12716" w:rsidP="000B6632">
            <w:pPr>
              <w:pStyle w:val="NormalWeb"/>
              <w:jc w:val="center"/>
              <w:rPr>
                <w:sz w:val="18"/>
                <w:szCs w:val="18"/>
              </w:rPr>
            </w:pPr>
            <w:r w:rsidRPr="000B06D8">
              <w:rPr>
                <w:sz w:val="18"/>
                <w:szCs w:val="18"/>
              </w:rPr>
              <w:t>493 (</w:t>
            </w:r>
            <w:proofErr w:type="gramStart"/>
            <w:r w:rsidRPr="000B06D8">
              <w:rPr>
                <w:sz w:val="18"/>
                <w:szCs w:val="18"/>
              </w:rPr>
              <w:t>2019)</w:t>
            </w:r>
            <w:r w:rsidRPr="000B06D8">
              <w:rPr>
                <w:sz w:val="18"/>
                <w:szCs w:val="18"/>
                <w:vertAlign w:val="superscript"/>
              </w:rPr>
              <w:t>d</w:t>
            </w:r>
            <w:proofErr w:type="gramEnd"/>
          </w:p>
        </w:tc>
        <w:tc>
          <w:tcPr>
            <w:tcW w:w="1557" w:type="dxa"/>
            <w:hideMark/>
          </w:tcPr>
          <w:p w14:paraId="1187600A" w14:textId="77777777" w:rsidR="00C12716" w:rsidRPr="000B06D8" w:rsidRDefault="00C12716" w:rsidP="000B6632">
            <w:pPr>
              <w:pStyle w:val="NormalWeb"/>
              <w:jc w:val="center"/>
              <w:rPr>
                <w:sz w:val="18"/>
                <w:szCs w:val="18"/>
              </w:rPr>
            </w:pPr>
            <w:r w:rsidRPr="000B06D8">
              <w:rPr>
                <w:sz w:val="18"/>
                <w:szCs w:val="18"/>
              </w:rPr>
              <w:t>N/A</w:t>
            </w:r>
          </w:p>
        </w:tc>
        <w:tc>
          <w:tcPr>
            <w:tcW w:w="1560" w:type="dxa"/>
            <w:hideMark/>
          </w:tcPr>
          <w:p w14:paraId="117C1309" w14:textId="77777777" w:rsidR="00C12716" w:rsidRPr="000B06D8" w:rsidRDefault="00C12716" w:rsidP="000B6632">
            <w:pPr>
              <w:pStyle w:val="NormalWeb"/>
              <w:jc w:val="center"/>
              <w:rPr>
                <w:sz w:val="18"/>
                <w:szCs w:val="18"/>
              </w:rPr>
            </w:pPr>
            <w:r w:rsidRPr="000B06D8">
              <w:rPr>
                <w:sz w:val="18"/>
                <w:szCs w:val="18"/>
              </w:rPr>
              <w:t>1.7</w:t>
            </w:r>
          </w:p>
        </w:tc>
        <w:tc>
          <w:tcPr>
            <w:tcW w:w="1559" w:type="dxa"/>
            <w:hideMark/>
          </w:tcPr>
          <w:p w14:paraId="5FF30AF9" w14:textId="77777777" w:rsidR="00C12716" w:rsidRPr="000B06D8" w:rsidRDefault="00C12716" w:rsidP="000B6632">
            <w:pPr>
              <w:pStyle w:val="NormalWeb"/>
              <w:jc w:val="center"/>
              <w:rPr>
                <w:sz w:val="18"/>
                <w:szCs w:val="18"/>
              </w:rPr>
            </w:pPr>
            <w:r w:rsidRPr="000B06D8">
              <w:rPr>
                <w:sz w:val="18"/>
                <w:szCs w:val="18"/>
              </w:rPr>
              <w:t>3.9</w:t>
            </w:r>
          </w:p>
        </w:tc>
        <w:tc>
          <w:tcPr>
            <w:tcW w:w="1659" w:type="dxa"/>
            <w:hideMark/>
          </w:tcPr>
          <w:p w14:paraId="09F8CFF9" w14:textId="77777777" w:rsidR="00C12716" w:rsidRPr="000B06D8" w:rsidRDefault="00C12716" w:rsidP="000B6632">
            <w:pPr>
              <w:pStyle w:val="NormalWeb"/>
              <w:jc w:val="center"/>
              <w:rPr>
                <w:sz w:val="18"/>
                <w:szCs w:val="18"/>
              </w:rPr>
            </w:pPr>
            <w:r w:rsidRPr="000B06D8">
              <w:rPr>
                <w:sz w:val="18"/>
                <w:szCs w:val="18"/>
              </w:rPr>
              <w:t>2.5</w:t>
            </w:r>
          </w:p>
        </w:tc>
      </w:tr>
      <w:tr w:rsidR="00C12716" w:rsidRPr="000B06D8" w14:paraId="425A7E49"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5D2F5530" w14:textId="77777777" w:rsidR="00C12716" w:rsidRPr="000B06D8" w:rsidRDefault="00C12716" w:rsidP="000B6632">
            <w:pPr>
              <w:pStyle w:val="NormalWeb"/>
              <w:rPr>
                <w:sz w:val="18"/>
                <w:szCs w:val="18"/>
              </w:rPr>
            </w:pPr>
            <w:r w:rsidRPr="000B06D8">
              <w:rPr>
                <w:sz w:val="18"/>
                <w:szCs w:val="18"/>
              </w:rPr>
              <w:t>Rubella</w:t>
            </w:r>
          </w:p>
        </w:tc>
        <w:tc>
          <w:tcPr>
            <w:tcW w:w="850" w:type="dxa"/>
            <w:hideMark/>
          </w:tcPr>
          <w:p w14:paraId="7BE3F304" w14:textId="77777777" w:rsidR="00C12716" w:rsidRPr="000B06D8" w:rsidRDefault="00C12716" w:rsidP="000B6632">
            <w:pPr>
              <w:pStyle w:val="NormalWeb"/>
              <w:jc w:val="center"/>
              <w:rPr>
                <w:sz w:val="18"/>
                <w:szCs w:val="18"/>
              </w:rPr>
            </w:pPr>
            <w:r w:rsidRPr="000B06D8">
              <w:rPr>
                <w:sz w:val="18"/>
                <w:szCs w:val="18"/>
              </w:rPr>
              <w:t>0</w:t>
            </w:r>
          </w:p>
        </w:tc>
        <w:tc>
          <w:tcPr>
            <w:tcW w:w="851" w:type="dxa"/>
            <w:hideMark/>
          </w:tcPr>
          <w:p w14:paraId="72EEE5D3" w14:textId="77777777" w:rsidR="00C12716" w:rsidRPr="000B06D8" w:rsidRDefault="00C12716" w:rsidP="000B6632">
            <w:pPr>
              <w:pStyle w:val="NormalWeb"/>
              <w:jc w:val="center"/>
              <w:rPr>
                <w:sz w:val="18"/>
                <w:szCs w:val="18"/>
              </w:rPr>
            </w:pPr>
            <w:r w:rsidRPr="000B06D8">
              <w:rPr>
                <w:sz w:val="18"/>
                <w:szCs w:val="18"/>
              </w:rPr>
              <w:t>0</w:t>
            </w:r>
          </w:p>
        </w:tc>
        <w:tc>
          <w:tcPr>
            <w:tcW w:w="1135" w:type="dxa"/>
            <w:hideMark/>
          </w:tcPr>
          <w:p w14:paraId="51F3B5C7" w14:textId="77777777" w:rsidR="00C12716" w:rsidRPr="000B06D8" w:rsidRDefault="00C12716" w:rsidP="000B6632">
            <w:pPr>
              <w:pStyle w:val="NormalWeb"/>
              <w:jc w:val="center"/>
              <w:rPr>
                <w:sz w:val="18"/>
                <w:szCs w:val="18"/>
              </w:rPr>
            </w:pPr>
            <w:r w:rsidRPr="000B06D8">
              <w:rPr>
                <w:sz w:val="18"/>
                <w:szCs w:val="18"/>
              </w:rPr>
              <w:t>—</w:t>
            </w:r>
          </w:p>
        </w:tc>
        <w:tc>
          <w:tcPr>
            <w:tcW w:w="1134" w:type="dxa"/>
            <w:hideMark/>
          </w:tcPr>
          <w:p w14:paraId="0D918350" w14:textId="77777777" w:rsidR="00C12716" w:rsidRPr="000B06D8" w:rsidRDefault="00C12716" w:rsidP="000B6632">
            <w:pPr>
              <w:pStyle w:val="NormalWeb"/>
              <w:jc w:val="center"/>
              <w:rPr>
                <w:sz w:val="18"/>
                <w:szCs w:val="18"/>
              </w:rPr>
            </w:pPr>
            <w:r w:rsidRPr="000B06D8">
              <w:rPr>
                <w:sz w:val="18"/>
                <w:szCs w:val="18"/>
              </w:rPr>
              <w:t>2</w:t>
            </w:r>
          </w:p>
        </w:tc>
        <w:tc>
          <w:tcPr>
            <w:tcW w:w="1559" w:type="dxa"/>
            <w:hideMark/>
          </w:tcPr>
          <w:p w14:paraId="22675CBF" w14:textId="77777777" w:rsidR="00C12716" w:rsidRPr="000B06D8" w:rsidRDefault="00C12716" w:rsidP="000B6632">
            <w:pPr>
              <w:pStyle w:val="NormalWeb"/>
              <w:jc w:val="center"/>
              <w:rPr>
                <w:sz w:val="18"/>
                <w:szCs w:val="18"/>
              </w:rPr>
            </w:pPr>
            <w:r w:rsidRPr="000B06D8">
              <w:rPr>
                <w:sz w:val="18"/>
                <w:szCs w:val="18"/>
              </w:rPr>
              <w:t>0–6</w:t>
            </w:r>
          </w:p>
        </w:tc>
        <w:tc>
          <w:tcPr>
            <w:tcW w:w="1557" w:type="dxa"/>
            <w:hideMark/>
          </w:tcPr>
          <w:p w14:paraId="725DC634" w14:textId="77777777" w:rsidR="00C12716" w:rsidRPr="000B06D8" w:rsidRDefault="00C12716" w:rsidP="000B6632">
            <w:pPr>
              <w:pStyle w:val="NormalWeb"/>
              <w:jc w:val="center"/>
              <w:rPr>
                <w:sz w:val="18"/>
                <w:szCs w:val="18"/>
              </w:rPr>
            </w:pPr>
            <w:r w:rsidRPr="000B06D8">
              <w:rPr>
                <w:sz w:val="18"/>
                <w:szCs w:val="18"/>
              </w:rPr>
              <w:t>N/A</w:t>
            </w:r>
          </w:p>
        </w:tc>
        <w:tc>
          <w:tcPr>
            <w:tcW w:w="1560" w:type="dxa"/>
            <w:hideMark/>
          </w:tcPr>
          <w:p w14:paraId="1289A949"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46301AAE" w14:textId="77777777" w:rsidR="00C12716" w:rsidRPr="000B06D8" w:rsidRDefault="00C12716" w:rsidP="000B6632">
            <w:pPr>
              <w:pStyle w:val="NormalWeb"/>
              <w:jc w:val="center"/>
              <w:rPr>
                <w:sz w:val="18"/>
                <w:szCs w:val="18"/>
              </w:rPr>
            </w:pPr>
            <w:r w:rsidRPr="000B06D8">
              <w:rPr>
                <w:sz w:val="18"/>
                <w:szCs w:val="18"/>
              </w:rPr>
              <w:t>0</w:t>
            </w:r>
          </w:p>
        </w:tc>
        <w:tc>
          <w:tcPr>
            <w:tcW w:w="1659" w:type="dxa"/>
            <w:hideMark/>
          </w:tcPr>
          <w:p w14:paraId="3E7C51CA" w14:textId="77777777" w:rsidR="00C12716" w:rsidRPr="000B06D8" w:rsidRDefault="00C12716" w:rsidP="000B6632">
            <w:pPr>
              <w:pStyle w:val="NormalWeb"/>
              <w:jc w:val="center"/>
              <w:rPr>
                <w:sz w:val="18"/>
                <w:szCs w:val="18"/>
              </w:rPr>
            </w:pPr>
            <w:r w:rsidRPr="000B06D8">
              <w:rPr>
                <w:sz w:val="18"/>
                <w:szCs w:val="18"/>
              </w:rPr>
              <w:t>0</w:t>
            </w:r>
          </w:p>
        </w:tc>
      </w:tr>
      <w:tr w:rsidR="00C12716" w:rsidRPr="000B06D8" w14:paraId="4609EFBB" w14:textId="77777777" w:rsidTr="00C12716">
        <w:tblPrEx>
          <w:tblCellMar>
            <w:top w:w="57" w:type="dxa"/>
            <w:left w:w="57" w:type="dxa"/>
            <w:bottom w:w="57" w:type="dxa"/>
            <w:right w:w="57" w:type="dxa"/>
          </w:tblCellMar>
        </w:tblPrEx>
        <w:tc>
          <w:tcPr>
            <w:tcW w:w="3120" w:type="dxa"/>
            <w:hideMark/>
          </w:tcPr>
          <w:p w14:paraId="24AB906F" w14:textId="77777777" w:rsidR="00C12716" w:rsidRPr="000B06D8" w:rsidRDefault="00C12716" w:rsidP="000B6632">
            <w:pPr>
              <w:pStyle w:val="NormalWeb"/>
              <w:rPr>
                <w:sz w:val="18"/>
                <w:szCs w:val="18"/>
              </w:rPr>
            </w:pPr>
            <w:r w:rsidRPr="000B06D8">
              <w:rPr>
                <w:sz w:val="18"/>
                <w:szCs w:val="18"/>
              </w:rPr>
              <w:t>Tetanus</w:t>
            </w:r>
          </w:p>
        </w:tc>
        <w:tc>
          <w:tcPr>
            <w:tcW w:w="850" w:type="dxa"/>
            <w:hideMark/>
          </w:tcPr>
          <w:p w14:paraId="64D0CAF6" w14:textId="77777777" w:rsidR="00C12716" w:rsidRPr="000B06D8" w:rsidRDefault="00C12716" w:rsidP="000B6632">
            <w:pPr>
              <w:pStyle w:val="NormalWeb"/>
              <w:jc w:val="center"/>
              <w:rPr>
                <w:sz w:val="18"/>
                <w:szCs w:val="18"/>
              </w:rPr>
            </w:pPr>
            <w:r w:rsidRPr="000B06D8">
              <w:rPr>
                <w:sz w:val="18"/>
                <w:szCs w:val="18"/>
              </w:rPr>
              <w:t>1</w:t>
            </w:r>
          </w:p>
        </w:tc>
        <w:tc>
          <w:tcPr>
            <w:tcW w:w="851" w:type="dxa"/>
            <w:hideMark/>
          </w:tcPr>
          <w:p w14:paraId="39073B00" w14:textId="77777777" w:rsidR="00C12716" w:rsidRPr="000B06D8" w:rsidRDefault="00C12716" w:rsidP="000B6632">
            <w:pPr>
              <w:pStyle w:val="NormalWeb"/>
              <w:jc w:val="center"/>
              <w:rPr>
                <w:sz w:val="18"/>
                <w:szCs w:val="18"/>
              </w:rPr>
            </w:pPr>
            <w:r w:rsidRPr="000B06D8">
              <w:rPr>
                <w:sz w:val="18"/>
                <w:szCs w:val="18"/>
              </w:rPr>
              <w:t>1</w:t>
            </w:r>
          </w:p>
        </w:tc>
        <w:tc>
          <w:tcPr>
            <w:tcW w:w="1135" w:type="dxa"/>
            <w:hideMark/>
          </w:tcPr>
          <w:p w14:paraId="656F3D99" w14:textId="77777777" w:rsidR="00C12716" w:rsidRPr="000B06D8" w:rsidRDefault="00C12716" w:rsidP="000B6632">
            <w:pPr>
              <w:pStyle w:val="NormalWeb"/>
              <w:jc w:val="center"/>
              <w:rPr>
                <w:sz w:val="18"/>
                <w:szCs w:val="18"/>
              </w:rPr>
            </w:pPr>
            <w:r w:rsidRPr="000B06D8">
              <w:rPr>
                <w:sz w:val="18"/>
                <w:szCs w:val="18"/>
              </w:rPr>
              <w:t>—</w:t>
            </w:r>
          </w:p>
        </w:tc>
        <w:tc>
          <w:tcPr>
            <w:tcW w:w="1134" w:type="dxa"/>
            <w:hideMark/>
          </w:tcPr>
          <w:p w14:paraId="779B052C" w14:textId="77777777" w:rsidR="00C12716" w:rsidRPr="000B06D8" w:rsidRDefault="00C12716" w:rsidP="000B6632">
            <w:pPr>
              <w:pStyle w:val="NormalWeb"/>
              <w:jc w:val="center"/>
              <w:rPr>
                <w:sz w:val="18"/>
                <w:szCs w:val="18"/>
              </w:rPr>
            </w:pPr>
            <w:r w:rsidRPr="000B06D8">
              <w:rPr>
                <w:sz w:val="18"/>
                <w:szCs w:val="18"/>
              </w:rPr>
              <w:t>1</w:t>
            </w:r>
          </w:p>
        </w:tc>
        <w:tc>
          <w:tcPr>
            <w:tcW w:w="1559" w:type="dxa"/>
            <w:hideMark/>
          </w:tcPr>
          <w:p w14:paraId="11226D16" w14:textId="77777777" w:rsidR="00C12716" w:rsidRPr="000B06D8" w:rsidRDefault="00C12716" w:rsidP="000B6632">
            <w:pPr>
              <w:pStyle w:val="NormalWeb"/>
              <w:jc w:val="center"/>
              <w:rPr>
                <w:sz w:val="18"/>
                <w:szCs w:val="18"/>
              </w:rPr>
            </w:pPr>
            <w:r w:rsidRPr="000B06D8">
              <w:rPr>
                <w:sz w:val="18"/>
                <w:szCs w:val="18"/>
              </w:rPr>
              <w:t>0–2</w:t>
            </w:r>
          </w:p>
        </w:tc>
        <w:tc>
          <w:tcPr>
            <w:tcW w:w="1557" w:type="dxa"/>
            <w:hideMark/>
          </w:tcPr>
          <w:p w14:paraId="70BFA175" w14:textId="77777777" w:rsidR="00C12716" w:rsidRPr="000B06D8" w:rsidRDefault="00C12716" w:rsidP="000B6632">
            <w:pPr>
              <w:pStyle w:val="NormalWeb"/>
              <w:jc w:val="center"/>
              <w:rPr>
                <w:sz w:val="18"/>
                <w:szCs w:val="18"/>
              </w:rPr>
            </w:pPr>
            <w:r w:rsidRPr="000B06D8">
              <w:rPr>
                <w:sz w:val="18"/>
                <w:szCs w:val="18"/>
              </w:rPr>
              <w:t>N/A</w:t>
            </w:r>
          </w:p>
        </w:tc>
        <w:tc>
          <w:tcPr>
            <w:tcW w:w="1560" w:type="dxa"/>
            <w:hideMark/>
          </w:tcPr>
          <w:p w14:paraId="02A1F5C0" w14:textId="77777777" w:rsidR="00C12716" w:rsidRPr="000B06D8" w:rsidRDefault="00C12716" w:rsidP="000B6632">
            <w:pPr>
              <w:pStyle w:val="NormalWeb"/>
              <w:jc w:val="center"/>
              <w:rPr>
                <w:sz w:val="18"/>
                <w:szCs w:val="18"/>
              </w:rPr>
            </w:pPr>
            <w:r w:rsidRPr="000B06D8">
              <w:rPr>
                <w:sz w:val="18"/>
                <w:szCs w:val="18"/>
              </w:rPr>
              <w:t>0</w:t>
            </w:r>
          </w:p>
        </w:tc>
        <w:tc>
          <w:tcPr>
            <w:tcW w:w="1559" w:type="dxa"/>
            <w:hideMark/>
          </w:tcPr>
          <w:p w14:paraId="1A5D7E20" w14:textId="77777777" w:rsidR="00C12716" w:rsidRPr="000B06D8" w:rsidRDefault="00C12716" w:rsidP="000B6632">
            <w:pPr>
              <w:pStyle w:val="NormalWeb"/>
              <w:jc w:val="center"/>
              <w:rPr>
                <w:sz w:val="18"/>
                <w:szCs w:val="18"/>
              </w:rPr>
            </w:pPr>
            <w:r w:rsidRPr="000B06D8">
              <w:rPr>
                <w:sz w:val="18"/>
                <w:szCs w:val="18"/>
              </w:rPr>
              <w:t>0</w:t>
            </w:r>
          </w:p>
        </w:tc>
        <w:tc>
          <w:tcPr>
            <w:tcW w:w="1659" w:type="dxa"/>
            <w:hideMark/>
          </w:tcPr>
          <w:p w14:paraId="0FBC4E06" w14:textId="77777777" w:rsidR="00C12716" w:rsidRPr="000B06D8" w:rsidRDefault="00C12716" w:rsidP="000B6632">
            <w:pPr>
              <w:pStyle w:val="NormalWeb"/>
              <w:jc w:val="center"/>
              <w:rPr>
                <w:sz w:val="18"/>
                <w:szCs w:val="18"/>
              </w:rPr>
            </w:pPr>
            <w:r w:rsidRPr="000B06D8">
              <w:rPr>
                <w:sz w:val="18"/>
                <w:szCs w:val="18"/>
              </w:rPr>
              <w:t>0</w:t>
            </w:r>
          </w:p>
        </w:tc>
      </w:tr>
      <w:tr w:rsidR="00C12716" w:rsidRPr="000B06D8" w14:paraId="2FB35027" w14:textId="77777777" w:rsidTr="00C1271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20" w:type="dxa"/>
            <w:hideMark/>
          </w:tcPr>
          <w:p w14:paraId="063EB194" w14:textId="77777777" w:rsidR="00C12716" w:rsidRPr="000B06D8" w:rsidRDefault="00C12716" w:rsidP="000B6632">
            <w:pPr>
              <w:pStyle w:val="NormalWeb"/>
              <w:rPr>
                <w:sz w:val="18"/>
                <w:szCs w:val="18"/>
              </w:rPr>
            </w:pPr>
            <w:r w:rsidRPr="000B06D8">
              <w:rPr>
                <w:sz w:val="18"/>
                <w:szCs w:val="18"/>
              </w:rPr>
              <w:t>Varicella zoster – chickenpox</w:t>
            </w:r>
          </w:p>
        </w:tc>
        <w:tc>
          <w:tcPr>
            <w:tcW w:w="850" w:type="dxa"/>
            <w:hideMark/>
          </w:tcPr>
          <w:p w14:paraId="2E2F29AC" w14:textId="77777777" w:rsidR="00C12716" w:rsidRPr="000B06D8" w:rsidRDefault="00C12716" w:rsidP="000B6632">
            <w:pPr>
              <w:pStyle w:val="NormalWeb"/>
              <w:jc w:val="center"/>
              <w:rPr>
                <w:sz w:val="18"/>
                <w:szCs w:val="18"/>
              </w:rPr>
            </w:pPr>
            <w:r w:rsidRPr="000B06D8">
              <w:rPr>
                <w:sz w:val="18"/>
                <w:szCs w:val="18"/>
              </w:rPr>
              <w:t>542</w:t>
            </w:r>
          </w:p>
        </w:tc>
        <w:tc>
          <w:tcPr>
            <w:tcW w:w="851" w:type="dxa"/>
            <w:hideMark/>
          </w:tcPr>
          <w:p w14:paraId="625E7A15" w14:textId="77777777" w:rsidR="00C12716" w:rsidRPr="000B06D8" w:rsidRDefault="00C12716" w:rsidP="000B6632">
            <w:pPr>
              <w:pStyle w:val="NormalWeb"/>
              <w:jc w:val="center"/>
              <w:rPr>
                <w:sz w:val="18"/>
                <w:szCs w:val="18"/>
              </w:rPr>
            </w:pPr>
            <w:r w:rsidRPr="000B06D8">
              <w:rPr>
                <w:sz w:val="18"/>
                <w:szCs w:val="18"/>
              </w:rPr>
              <w:t>546</w:t>
            </w:r>
          </w:p>
        </w:tc>
        <w:tc>
          <w:tcPr>
            <w:tcW w:w="1135" w:type="dxa"/>
            <w:hideMark/>
          </w:tcPr>
          <w:p w14:paraId="5D7E6639" w14:textId="77777777" w:rsidR="00C12716" w:rsidRPr="000B06D8" w:rsidRDefault="00C12716" w:rsidP="000B6632">
            <w:pPr>
              <w:pStyle w:val="NormalWeb"/>
              <w:jc w:val="center"/>
              <w:rPr>
                <w:sz w:val="18"/>
                <w:szCs w:val="18"/>
              </w:rPr>
            </w:pPr>
            <w:r w:rsidRPr="000B06D8">
              <w:rPr>
                <w:sz w:val="18"/>
                <w:szCs w:val="18"/>
              </w:rPr>
              <w:t>1,304</w:t>
            </w:r>
          </w:p>
        </w:tc>
        <w:tc>
          <w:tcPr>
            <w:tcW w:w="1134" w:type="dxa"/>
            <w:hideMark/>
          </w:tcPr>
          <w:p w14:paraId="55247671" w14:textId="77777777" w:rsidR="00C12716" w:rsidRPr="000B06D8" w:rsidRDefault="00C12716" w:rsidP="000B6632">
            <w:pPr>
              <w:pStyle w:val="NormalWeb"/>
              <w:jc w:val="center"/>
              <w:rPr>
                <w:sz w:val="18"/>
                <w:szCs w:val="18"/>
              </w:rPr>
            </w:pPr>
            <w:r w:rsidRPr="000B06D8">
              <w:rPr>
                <w:sz w:val="18"/>
                <w:szCs w:val="18"/>
              </w:rPr>
              <w:t>—</w:t>
            </w:r>
          </w:p>
        </w:tc>
        <w:tc>
          <w:tcPr>
            <w:tcW w:w="1559" w:type="dxa"/>
            <w:hideMark/>
          </w:tcPr>
          <w:p w14:paraId="72E0AFCE" w14:textId="77777777" w:rsidR="00C12716" w:rsidRPr="000B06D8" w:rsidRDefault="00C12716" w:rsidP="000B6632">
            <w:pPr>
              <w:pStyle w:val="NormalWeb"/>
              <w:jc w:val="center"/>
              <w:rPr>
                <w:sz w:val="18"/>
                <w:szCs w:val="18"/>
              </w:rPr>
            </w:pPr>
            <w:r w:rsidRPr="000B06D8">
              <w:rPr>
                <w:sz w:val="18"/>
                <w:szCs w:val="18"/>
              </w:rPr>
              <w:t>963–1,605</w:t>
            </w:r>
          </w:p>
        </w:tc>
        <w:tc>
          <w:tcPr>
            <w:tcW w:w="1557" w:type="dxa"/>
            <w:hideMark/>
          </w:tcPr>
          <w:p w14:paraId="30C55B1D" w14:textId="77777777" w:rsidR="00C12716" w:rsidRPr="000B06D8" w:rsidRDefault="00C12716" w:rsidP="000B6632">
            <w:pPr>
              <w:pStyle w:val="NormalWeb"/>
              <w:jc w:val="center"/>
              <w:rPr>
                <w:sz w:val="18"/>
                <w:szCs w:val="18"/>
              </w:rPr>
            </w:pPr>
            <w:r w:rsidRPr="000B06D8">
              <w:rPr>
                <w:sz w:val="18"/>
                <w:szCs w:val="18"/>
              </w:rPr>
              <w:t>-58%</w:t>
            </w:r>
          </w:p>
        </w:tc>
        <w:tc>
          <w:tcPr>
            <w:tcW w:w="1560" w:type="dxa"/>
            <w:hideMark/>
          </w:tcPr>
          <w:p w14:paraId="1E4522F5" w14:textId="77777777" w:rsidR="00C12716" w:rsidRPr="000B06D8" w:rsidRDefault="00C12716" w:rsidP="000B6632">
            <w:pPr>
              <w:pStyle w:val="NormalWeb"/>
              <w:jc w:val="center"/>
              <w:rPr>
                <w:sz w:val="18"/>
                <w:szCs w:val="18"/>
              </w:rPr>
            </w:pPr>
            <w:r w:rsidRPr="000B06D8">
              <w:rPr>
                <w:sz w:val="18"/>
                <w:szCs w:val="18"/>
              </w:rPr>
              <w:t>8.1</w:t>
            </w:r>
          </w:p>
        </w:tc>
        <w:tc>
          <w:tcPr>
            <w:tcW w:w="1559" w:type="dxa"/>
            <w:hideMark/>
          </w:tcPr>
          <w:p w14:paraId="5D5AC60D" w14:textId="77777777" w:rsidR="00C12716" w:rsidRPr="000B06D8" w:rsidRDefault="00C12716" w:rsidP="000B6632">
            <w:pPr>
              <w:pStyle w:val="NormalWeb"/>
              <w:jc w:val="center"/>
              <w:rPr>
                <w:sz w:val="18"/>
                <w:szCs w:val="18"/>
              </w:rPr>
            </w:pPr>
            <w:r w:rsidRPr="000B06D8">
              <w:rPr>
                <w:sz w:val="18"/>
                <w:szCs w:val="18"/>
              </w:rPr>
              <w:t>8.2</w:t>
            </w:r>
          </w:p>
        </w:tc>
        <w:tc>
          <w:tcPr>
            <w:tcW w:w="1659" w:type="dxa"/>
            <w:hideMark/>
          </w:tcPr>
          <w:p w14:paraId="7E6CD1A3" w14:textId="77777777" w:rsidR="00C12716" w:rsidRPr="000B06D8" w:rsidRDefault="00C12716" w:rsidP="000B6632">
            <w:pPr>
              <w:pStyle w:val="NormalWeb"/>
              <w:jc w:val="center"/>
              <w:rPr>
                <w:sz w:val="18"/>
                <w:szCs w:val="18"/>
              </w:rPr>
            </w:pPr>
            <w:r w:rsidRPr="000B06D8">
              <w:rPr>
                <w:sz w:val="18"/>
                <w:szCs w:val="18"/>
              </w:rPr>
              <w:t>20.4</w:t>
            </w:r>
          </w:p>
        </w:tc>
      </w:tr>
      <w:tr w:rsidR="00C12716" w:rsidRPr="000B06D8" w14:paraId="1DFC63A4" w14:textId="77777777" w:rsidTr="00C12716">
        <w:tblPrEx>
          <w:tblCellMar>
            <w:top w:w="57" w:type="dxa"/>
            <w:left w:w="57" w:type="dxa"/>
            <w:bottom w:w="57" w:type="dxa"/>
            <w:right w:w="57" w:type="dxa"/>
          </w:tblCellMar>
        </w:tblPrEx>
        <w:tc>
          <w:tcPr>
            <w:tcW w:w="3120" w:type="dxa"/>
            <w:tcBorders>
              <w:bottom w:val="single" w:sz="2" w:space="0" w:color="auto"/>
            </w:tcBorders>
            <w:hideMark/>
          </w:tcPr>
          <w:p w14:paraId="0D16BE6A" w14:textId="77777777" w:rsidR="00C12716" w:rsidRPr="000B06D8" w:rsidRDefault="00C12716" w:rsidP="000B6632">
            <w:pPr>
              <w:pStyle w:val="NormalWeb"/>
              <w:rPr>
                <w:sz w:val="18"/>
                <w:szCs w:val="18"/>
              </w:rPr>
            </w:pPr>
            <w:r w:rsidRPr="000B06D8">
              <w:rPr>
                <w:sz w:val="18"/>
                <w:szCs w:val="18"/>
              </w:rPr>
              <w:t>Varicella zoster – shingles</w:t>
            </w:r>
          </w:p>
        </w:tc>
        <w:tc>
          <w:tcPr>
            <w:tcW w:w="850" w:type="dxa"/>
            <w:tcBorders>
              <w:bottom w:val="single" w:sz="2" w:space="0" w:color="auto"/>
            </w:tcBorders>
            <w:hideMark/>
          </w:tcPr>
          <w:p w14:paraId="3C939E9B" w14:textId="77777777" w:rsidR="00C12716" w:rsidRPr="000B06D8" w:rsidRDefault="00C12716" w:rsidP="000B6632">
            <w:pPr>
              <w:pStyle w:val="NormalWeb"/>
              <w:jc w:val="center"/>
              <w:rPr>
                <w:sz w:val="18"/>
                <w:szCs w:val="18"/>
              </w:rPr>
            </w:pPr>
            <w:r w:rsidRPr="000B06D8">
              <w:rPr>
                <w:sz w:val="18"/>
                <w:szCs w:val="18"/>
              </w:rPr>
              <w:t>2,355</w:t>
            </w:r>
          </w:p>
        </w:tc>
        <w:tc>
          <w:tcPr>
            <w:tcW w:w="851" w:type="dxa"/>
            <w:tcBorders>
              <w:bottom w:val="single" w:sz="2" w:space="0" w:color="auto"/>
            </w:tcBorders>
            <w:hideMark/>
          </w:tcPr>
          <w:p w14:paraId="06387FB2" w14:textId="77777777" w:rsidR="00C12716" w:rsidRPr="000B06D8" w:rsidRDefault="00C12716" w:rsidP="000B6632">
            <w:pPr>
              <w:pStyle w:val="NormalWeb"/>
              <w:jc w:val="center"/>
              <w:rPr>
                <w:sz w:val="18"/>
                <w:szCs w:val="18"/>
              </w:rPr>
            </w:pPr>
            <w:r w:rsidRPr="000B06D8">
              <w:rPr>
                <w:sz w:val="18"/>
                <w:szCs w:val="18"/>
              </w:rPr>
              <w:t>2,304</w:t>
            </w:r>
          </w:p>
        </w:tc>
        <w:tc>
          <w:tcPr>
            <w:tcW w:w="1135" w:type="dxa"/>
            <w:tcBorders>
              <w:bottom w:val="single" w:sz="2" w:space="0" w:color="auto"/>
            </w:tcBorders>
            <w:hideMark/>
          </w:tcPr>
          <w:p w14:paraId="40878BE8" w14:textId="77777777" w:rsidR="00C12716" w:rsidRPr="000B06D8" w:rsidRDefault="00C12716" w:rsidP="000B6632">
            <w:pPr>
              <w:pStyle w:val="NormalWeb"/>
              <w:jc w:val="center"/>
              <w:rPr>
                <w:sz w:val="18"/>
                <w:szCs w:val="18"/>
              </w:rPr>
            </w:pPr>
            <w:r w:rsidRPr="000B06D8">
              <w:rPr>
                <w:sz w:val="18"/>
                <w:szCs w:val="18"/>
              </w:rPr>
              <w:t>2,479</w:t>
            </w:r>
          </w:p>
        </w:tc>
        <w:tc>
          <w:tcPr>
            <w:tcW w:w="1134" w:type="dxa"/>
            <w:tcBorders>
              <w:bottom w:val="single" w:sz="2" w:space="0" w:color="auto"/>
            </w:tcBorders>
            <w:hideMark/>
          </w:tcPr>
          <w:p w14:paraId="2B0F1E9F" w14:textId="77777777" w:rsidR="00C12716" w:rsidRPr="000B06D8" w:rsidRDefault="00C12716" w:rsidP="000B6632">
            <w:pPr>
              <w:pStyle w:val="NormalWeb"/>
              <w:jc w:val="center"/>
              <w:rPr>
                <w:sz w:val="18"/>
                <w:szCs w:val="18"/>
              </w:rPr>
            </w:pPr>
            <w:r w:rsidRPr="000B06D8">
              <w:rPr>
                <w:sz w:val="18"/>
                <w:szCs w:val="18"/>
              </w:rPr>
              <w:t>—</w:t>
            </w:r>
          </w:p>
        </w:tc>
        <w:tc>
          <w:tcPr>
            <w:tcW w:w="1559" w:type="dxa"/>
            <w:tcBorders>
              <w:bottom w:val="single" w:sz="2" w:space="0" w:color="auto"/>
            </w:tcBorders>
            <w:hideMark/>
          </w:tcPr>
          <w:p w14:paraId="7E167D58" w14:textId="77777777" w:rsidR="00C12716" w:rsidRPr="000B06D8" w:rsidRDefault="00C12716" w:rsidP="000B6632">
            <w:pPr>
              <w:pStyle w:val="NormalWeb"/>
              <w:jc w:val="center"/>
              <w:rPr>
                <w:sz w:val="18"/>
                <w:szCs w:val="18"/>
              </w:rPr>
            </w:pPr>
            <w:r w:rsidRPr="000B06D8">
              <w:rPr>
                <w:sz w:val="18"/>
                <w:szCs w:val="18"/>
              </w:rPr>
              <w:t>1,714–2,964</w:t>
            </w:r>
          </w:p>
        </w:tc>
        <w:tc>
          <w:tcPr>
            <w:tcW w:w="1557" w:type="dxa"/>
            <w:tcBorders>
              <w:bottom w:val="single" w:sz="2" w:space="0" w:color="auto"/>
            </w:tcBorders>
            <w:hideMark/>
          </w:tcPr>
          <w:p w14:paraId="3FD39307" w14:textId="77777777" w:rsidR="00C12716" w:rsidRPr="000B06D8" w:rsidRDefault="00C12716" w:rsidP="000B6632">
            <w:pPr>
              <w:pStyle w:val="NormalWeb"/>
              <w:jc w:val="center"/>
              <w:rPr>
                <w:sz w:val="18"/>
                <w:szCs w:val="18"/>
              </w:rPr>
            </w:pPr>
            <w:r w:rsidRPr="000B06D8">
              <w:rPr>
                <w:sz w:val="18"/>
                <w:szCs w:val="18"/>
              </w:rPr>
              <w:t>-7%</w:t>
            </w:r>
          </w:p>
        </w:tc>
        <w:tc>
          <w:tcPr>
            <w:tcW w:w="1560" w:type="dxa"/>
            <w:tcBorders>
              <w:bottom w:val="single" w:sz="2" w:space="0" w:color="auto"/>
            </w:tcBorders>
            <w:hideMark/>
          </w:tcPr>
          <w:p w14:paraId="32BC4956" w14:textId="77777777" w:rsidR="00C12716" w:rsidRPr="000B06D8" w:rsidRDefault="00C12716" w:rsidP="000B6632">
            <w:pPr>
              <w:pStyle w:val="NormalWeb"/>
              <w:jc w:val="center"/>
              <w:rPr>
                <w:sz w:val="18"/>
                <w:szCs w:val="18"/>
              </w:rPr>
            </w:pPr>
            <w:r w:rsidRPr="000B06D8">
              <w:rPr>
                <w:sz w:val="18"/>
                <w:szCs w:val="18"/>
              </w:rPr>
              <w:t>35.4</w:t>
            </w:r>
          </w:p>
        </w:tc>
        <w:tc>
          <w:tcPr>
            <w:tcW w:w="1559" w:type="dxa"/>
            <w:tcBorders>
              <w:bottom w:val="single" w:sz="2" w:space="0" w:color="auto"/>
            </w:tcBorders>
            <w:hideMark/>
          </w:tcPr>
          <w:p w14:paraId="7C564141" w14:textId="77777777" w:rsidR="00C12716" w:rsidRPr="000B06D8" w:rsidRDefault="00C12716" w:rsidP="000B6632">
            <w:pPr>
              <w:pStyle w:val="NormalWeb"/>
              <w:jc w:val="center"/>
              <w:rPr>
                <w:sz w:val="18"/>
                <w:szCs w:val="18"/>
              </w:rPr>
            </w:pPr>
            <w:r w:rsidRPr="000B06D8">
              <w:rPr>
                <w:sz w:val="18"/>
                <w:szCs w:val="18"/>
              </w:rPr>
              <w:t>34.6</w:t>
            </w:r>
          </w:p>
        </w:tc>
        <w:tc>
          <w:tcPr>
            <w:tcW w:w="1659" w:type="dxa"/>
            <w:tcBorders>
              <w:bottom w:val="single" w:sz="2" w:space="0" w:color="auto"/>
            </w:tcBorders>
            <w:hideMark/>
          </w:tcPr>
          <w:p w14:paraId="141252BA" w14:textId="77777777" w:rsidR="00C12716" w:rsidRPr="000B06D8" w:rsidRDefault="00C12716" w:rsidP="000B6632">
            <w:pPr>
              <w:pStyle w:val="NormalWeb"/>
              <w:jc w:val="center"/>
              <w:rPr>
                <w:sz w:val="18"/>
                <w:szCs w:val="18"/>
              </w:rPr>
            </w:pPr>
            <w:r w:rsidRPr="000B06D8">
              <w:rPr>
                <w:sz w:val="18"/>
                <w:szCs w:val="18"/>
              </w:rPr>
              <w:t>38.8</w:t>
            </w:r>
          </w:p>
        </w:tc>
      </w:tr>
    </w:tbl>
    <w:p w14:paraId="76875BA6" w14:textId="77777777" w:rsidR="00C12716" w:rsidRDefault="00C12716" w:rsidP="00C12716">
      <w:pPr>
        <w:pStyle w:val="CDIfootnotes"/>
        <w:rPr>
          <w:lang w:val="en-GB"/>
        </w:rPr>
      </w:pPr>
      <w:r>
        <w:rPr>
          <w:lang w:val="en-GB"/>
        </w:rPr>
        <w:t>a</w:t>
      </w:r>
      <w:r>
        <w:rPr>
          <w:lang w:val="en-GB"/>
        </w:rPr>
        <w:tab/>
        <w:t>Means are reported for parametric data, while medians are reported for non-parametric data. Notification rates are based on the Australian Bureau of Statistics resource: 31010do001_202106 National, state and territory population, Jun 2021 [Database]; available from: https://www.abs.gov.au/statistics/people/population/national-state-and-territory-population/jun-2021/31010do001_202106.xlsx.</w:t>
      </w:r>
    </w:p>
    <w:p w14:paraId="41D3DDAD" w14:textId="77777777" w:rsidR="00C12716" w:rsidRDefault="00C12716" w:rsidP="00C12716">
      <w:pPr>
        <w:pStyle w:val="CDIfootnotes"/>
        <w:rPr>
          <w:lang w:val="en-GB"/>
        </w:rPr>
      </w:pPr>
      <w:r>
        <w:rPr>
          <w:lang w:val="en-GB"/>
        </w:rPr>
        <w:t>b</w:t>
      </w:r>
      <w:r>
        <w:rPr>
          <w:lang w:val="en-GB"/>
        </w:rPr>
        <w:tab/>
        <w:t>No cases of polio were reported throughout 2015–2021 (not shown).</w:t>
      </w:r>
    </w:p>
    <w:p w14:paraId="77EBFEC0" w14:textId="77777777" w:rsidR="00C12716" w:rsidRDefault="00C12716" w:rsidP="00C12716">
      <w:pPr>
        <w:pStyle w:val="CDIfootnotes"/>
        <w:rPr>
          <w:lang w:val="en-GB"/>
        </w:rPr>
      </w:pPr>
      <w:r>
        <w:rPr>
          <w:lang w:val="en-GB"/>
        </w:rPr>
        <w:t>c</w:t>
      </w:r>
      <w:r>
        <w:rPr>
          <w:lang w:val="en-GB"/>
        </w:rPr>
        <w:tab/>
        <w:t>N/A: not applicable.</w:t>
      </w:r>
    </w:p>
    <w:p w14:paraId="339901D7" w14:textId="77777777" w:rsidR="00C12716" w:rsidRDefault="00C12716" w:rsidP="00C12716">
      <w:pPr>
        <w:pStyle w:val="CDIfootnotes"/>
        <w:rPr>
          <w:lang w:val="en-GB"/>
        </w:rPr>
      </w:pPr>
      <w:r>
        <w:rPr>
          <w:lang w:val="en-GB"/>
        </w:rPr>
        <w:t>d</w:t>
      </w:r>
      <w:r>
        <w:rPr>
          <w:lang w:val="en-GB"/>
        </w:rPr>
        <w:tab/>
        <w:t>Reporting for rotavirus commenced in September 2018, therefore only 2019-2021 data are included here.</w:t>
      </w:r>
    </w:p>
    <w:p w14:paraId="3FBAECAC" w14:textId="6219E571" w:rsidR="005C3114" w:rsidRDefault="005C3114">
      <w:r>
        <w:br w:type="page"/>
      </w:r>
    </w:p>
    <w:p w14:paraId="60C8A97B" w14:textId="77777777" w:rsidR="005C3114" w:rsidRPr="000B06D8" w:rsidRDefault="005C3114" w:rsidP="005C3114">
      <w:pPr>
        <w:pStyle w:val="CDIFigures"/>
      </w:pPr>
      <w:r w:rsidRPr="000B06D8">
        <w:rPr>
          <w:rStyle w:val="Strong"/>
          <w:b/>
          <w:bCs w:val="0"/>
        </w:rPr>
        <w:lastRenderedPageBreak/>
        <w:t>Figure 1: Notifications of vaccine preventable diseases in Victoria with more than five notifications per year, by calendar month, 2015–2021</w:t>
      </w:r>
    </w:p>
    <w:p w14:paraId="0D1ABA1D" w14:textId="77777777" w:rsidR="005C3114" w:rsidRDefault="005C3114" w:rsidP="005C3114">
      <w:pPr>
        <w:rPr>
          <w:rFonts w:eastAsia="Times New Roman"/>
          <w:lang w:val="en-GB"/>
        </w:rPr>
      </w:pPr>
      <w:r>
        <w:rPr>
          <w:rFonts w:eastAsia="Times New Roman"/>
          <w:noProof/>
          <w:lang w:val="en-GB"/>
        </w:rPr>
        <w:drawing>
          <wp:inline distT="0" distB="0" distL="0" distR="0" wp14:anchorId="451236B7" wp14:editId="448B972D">
            <wp:extent cx="9490100" cy="5210686"/>
            <wp:effectExtent l="0" t="0" r="0" b="9525"/>
            <wp:docPr id="2" name="Picture 2" descr="This figure compiles line graphs of disease notifications over time, for the following nine vaccine preventable diseases, from left to right, top to bottom: Influenza, measles, invasive meningococcal disease, mumps, pertussis, invasive pneumococcal disease, rotavirus, chickenpox, shingles. The Y-axis in each graph represents total number of notifications. The x-axis represents time, from 2015 to 2021. The graphs demonstrate a decrease in notifications after 2020 for all diseases excepting shi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compiles line graphs of disease notifications over time, for the following nine vaccine preventable diseases, from left to right, top to bottom: Influenza, measles, invasive meningococcal disease, mumps, pertussis, invasive pneumococcal disease, rotavirus, chickenpox, shingles. The Y-axis in each graph represents total number of notifications. The x-axis represents time, from 2015 to 2021. The graphs demonstrate a decrease in notifications after 2020 for all diseases excepting shingl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498242" cy="5215156"/>
                    </a:xfrm>
                    <a:prstGeom prst="rect">
                      <a:avLst/>
                    </a:prstGeom>
                  </pic:spPr>
                </pic:pic>
              </a:graphicData>
            </a:graphic>
          </wp:inline>
        </w:drawing>
      </w:r>
    </w:p>
    <w:p w14:paraId="5562A9A0" w14:textId="77777777" w:rsidR="005C3114" w:rsidRDefault="005C3114" w:rsidP="005C3114">
      <w:pPr>
        <w:rPr>
          <w:rStyle w:val="A10"/>
        </w:rPr>
      </w:pPr>
      <w:r>
        <w:rPr>
          <w:rStyle w:val="A10"/>
        </w:rPr>
        <w:br w:type="page"/>
      </w:r>
    </w:p>
    <w:p w14:paraId="1683FE8A" w14:textId="77777777" w:rsidR="00C12716" w:rsidRDefault="00C12716" w:rsidP="008678F4">
      <w:pPr>
        <w:sectPr w:rsidR="00C12716" w:rsidSect="00C12716">
          <w:pgSz w:w="16838" w:h="11906" w:orient="landscape"/>
          <w:pgMar w:top="720" w:right="720" w:bottom="720" w:left="1134" w:header="709" w:footer="284" w:gutter="0"/>
          <w:cols w:space="708"/>
          <w:titlePg/>
          <w:docGrid w:linePitch="360"/>
        </w:sectPr>
      </w:pPr>
    </w:p>
    <w:p w14:paraId="1CAD38DD" w14:textId="78E68CF8" w:rsidR="008678F4" w:rsidRDefault="008678F4" w:rsidP="008678F4">
      <w:r>
        <w:lastRenderedPageBreak/>
        <w:t xml:space="preserve">A precipitous decline in influenza notifications occurred in April 2020. Historically, the months of July to October are associated with a seasonal increase in influenza. In 2020, there were very few influenza notifications for these months (0.3% of 2019 notifications, and 0.6% of the 2015–2017 five-yearly average notifications for this period). The low numbers continued throughout 2021, with a small increase occurring in December 2021. </w:t>
      </w:r>
    </w:p>
    <w:p w14:paraId="3C6B3CF1" w14:textId="77777777" w:rsidR="008678F4" w:rsidRDefault="008678F4" w:rsidP="008678F4">
      <w:r>
        <w:t xml:space="preserve">No notified cases of Hib, diphtheria, poliomyelitis, or rubella were reported in 2020, but there were three non-linked Hib cases notified in 2021. Single cases of tetanus occurred in both 2020 and 2021. Five cases of measles were reported for the 2020 calendar year, with none reported after March 2020. The number of notified mumps cases in 2020 was </w:t>
      </w:r>
      <w:proofErr w:type="gramStart"/>
      <w:r>
        <w:t>similar to</w:t>
      </w:r>
      <w:proofErr w:type="gramEnd"/>
      <w:r>
        <w:t xml:space="preserve"> the 2015–2019 mean, but there was only a single case notified in 2021. </w:t>
      </w:r>
    </w:p>
    <w:p w14:paraId="790DCE67" w14:textId="77777777" w:rsidR="008678F4" w:rsidRDefault="008678F4" w:rsidP="008678F4">
      <w:r>
        <w:t xml:space="preserve">Notifications for invasive pneumococcal disease and pertussis reduced by more than 50% in 2020 compared to the 2015–2019 mean (Invasive pneumococcal disease: 58% decrease; pertussis: 57% decrease). A decline of 70% from the 2015–2019 average (n = 63) in invasive meningococcal disease was also observed in 2020 (n = 19), with the number of notifications almost halved again in 2021 (n = 10), accompanied by a decrease in median age from 39 years for 2015–2019 to 15 years in 2021. There was a change in predominating serotype, with serogroup B accounting for 63% and 60% of infections in 2020 and 2021 respectively, but 35% in 2015–2019. </w:t>
      </w:r>
    </w:p>
    <w:p w14:paraId="21B431FE" w14:textId="77777777" w:rsidR="008678F4" w:rsidRDefault="008678F4" w:rsidP="008678F4">
      <w:r>
        <w:t xml:space="preserve">Regarding varicella zoster virus, shingles notifications were slightly decreased in 2020 (7% reduction on the 2015–2019 mean), whereas a greater decrease in chickenpox notifications was observed (58% reduction compared to 2015-2019 average). This reduction was more marked in metropolitan Melbourne than in the rural areas (61% vs 48%). Rotavirus notifications were also reduced in 2020 (262 vs 493 in 2019), and the summer seasonal increase in rotavirus notifications seen in 2019 did not occur in either 2020 or 2021. </w:t>
      </w:r>
    </w:p>
    <w:p w14:paraId="18EE9865" w14:textId="77777777" w:rsidR="008678F4" w:rsidRPr="008678F4" w:rsidRDefault="008678F4" w:rsidP="008678F4">
      <w:pPr>
        <w:pStyle w:val="Heading1"/>
      </w:pPr>
      <w:r w:rsidRPr="008678F4">
        <w:t xml:space="preserve">Discussion </w:t>
      </w:r>
    </w:p>
    <w:p w14:paraId="14591A3C" w14:textId="77777777" w:rsidR="008678F4" w:rsidRDefault="008678F4" w:rsidP="008678F4">
      <w:r>
        <w:t>Globally, the COVID-19 pandemic has led to significant behavioural change and reduced movement of people since early 2020.</w:t>
      </w:r>
      <w:r>
        <w:rPr>
          <w:vertAlign w:val="superscript"/>
        </w:rPr>
        <w:t>4</w:t>
      </w:r>
      <w:r>
        <w:t xml:space="preserve"> Since SARS-CoV-2 was first detected in Australia in January 2020, Victoria has experienced the longest period of time under restrictions nationally, and arguably some of the strictest measures globally.</w:t>
      </w:r>
      <w:r>
        <w:rPr>
          <w:vertAlign w:val="superscript"/>
        </w:rPr>
        <w:t>5</w:t>
      </w:r>
      <w:r>
        <w:t xml:space="preserve"> Prior to the emergence of the SARS-CoV-2 ‘Omicron’ variant, Victoria demonstrated the effectiveness of lockdowns and border closures on driving down COVID-19 case numbers.</w:t>
      </w:r>
      <w:r>
        <w:rPr>
          <w:vertAlign w:val="superscript"/>
        </w:rPr>
        <w:t>6</w:t>
      </w:r>
      <w:r>
        <w:t xml:space="preserve"> Our data further demonstrates the effectiveness of these measures on several VPDs. </w:t>
      </w:r>
    </w:p>
    <w:p w14:paraId="39502479" w14:textId="77777777" w:rsidR="008678F4" w:rsidRDefault="008678F4" w:rsidP="008678F4">
      <w:r>
        <w:t>A dramatic reduction in notifications following COVID-19 control measures was seen with influenza, with a greater than 99% reduction in notifications by 2021. This may partly be due to reduced testing for influenza in preference for COVID-19 testing during 2020–2021; however, this likely only accounts for a fraction of the reduction. The decline in influenza cases was mirrored globally</w:t>
      </w:r>
      <w:r>
        <w:rPr>
          <w:vertAlign w:val="superscript"/>
        </w:rPr>
        <w:t>7</w:t>
      </w:r>
      <w:r>
        <w:t xml:space="preserve"> and commenced immediately after the implementation of international restrictions in late March 2020. There were no rubella cases notified throughout 2020–2021, and no measles cases beyond March 2020. </w:t>
      </w:r>
    </w:p>
    <w:p w14:paraId="52940408" w14:textId="77777777" w:rsidR="008678F4" w:rsidRDefault="008678F4" w:rsidP="008678F4">
      <w:r>
        <w:t xml:space="preserve">The greater reduction in notifications of chickenpox (varicella) in metropolitan areas compared to rural areas is likely connected to increased closure of schools and childcare centres in metropolitan Melbourne during lockdown, which did not occur rurally to the same extent. Little change was seen in the rate of notifications for shingles (herpes zoster) in 2020-2021, with both years showing a slight decrease on the 2015–2019 mean. The lower rate may be partly explained by a hypothesised reduction in health-seeking behaviour during this time. </w:t>
      </w:r>
    </w:p>
    <w:p w14:paraId="136B8B17" w14:textId="77777777" w:rsidR="008678F4" w:rsidRDefault="008678F4" w:rsidP="008678F4">
      <w:r>
        <w:t>The decline in meningococcal infections in 2020–2021 compared to 2015–2019 could be due, in part, to social distancing measures including school closures. An increase in serogroups W and Y, occurring predominantly in persons aged over 50 years, dominated the period 2015–2019.</w:t>
      </w:r>
      <w:r>
        <w:rPr>
          <w:vertAlign w:val="superscript"/>
        </w:rPr>
        <w:t>8</w:t>
      </w:r>
      <w:r>
        <w:t xml:space="preserve"> The change in serogroups to predominantly serogroup B, and lowered median age for notifications in 2020 and 2021, suggests the effectiveness of state and national immunisation programs from mid-2017 which targeted meningococcal serogroups A, C, W and Y.</w:t>
      </w:r>
      <w:r>
        <w:rPr>
          <w:vertAlign w:val="superscript"/>
        </w:rPr>
        <w:t>9</w:t>
      </w:r>
      <w:r>
        <w:t xml:space="preserve"> </w:t>
      </w:r>
    </w:p>
    <w:p w14:paraId="1FC39F37" w14:textId="77777777" w:rsidR="008678F4" w:rsidRDefault="008678F4" w:rsidP="008678F4">
      <w:r>
        <w:lastRenderedPageBreak/>
        <w:t>Indirect negative effects of the COVID-19 pandemic include disruption of routine vaccination services, particularly in low-resource countries.</w:t>
      </w:r>
      <w:r>
        <w:rPr>
          <w:vertAlign w:val="superscript"/>
        </w:rPr>
        <w:t>2</w:t>
      </w:r>
      <w:r>
        <w:t xml:space="preserve"> In India, it is estimated that up to 5 million children may have missed their routine vaccinations in a single month as resources were redirected to the fight against COVID-19. Similarly, in Nepal, routine vaccinations were suspended for close to two months as a result of national lockdown, with multiple outbreaks of measles reported since that time.</w:t>
      </w:r>
      <w:r>
        <w:rPr>
          <w:vertAlign w:val="superscript"/>
        </w:rPr>
        <w:t>2</w:t>
      </w:r>
      <w:r>
        <w:t xml:space="preserve"> Fortunately, Australia’s vaccination rates for VPDs do not appear to have been significantly affected, with 95.2% of all one-year-olds, 93.1% of all two-year-</w:t>
      </w:r>
      <w:proofErr w:type="spellStart"/>
      <w:r>
        <w:t>olds</w:t>
      </w:r>
      <w:proofErr w:type="spellEnd"/>
      <w:r>
        <w:t>, and 96.1 %</w:t>
      </w:r>
      <w:r>
        <w:rPr>
          <w:vertAlign w:val="superscript"/>
        </w:rPr>
        <w:t xml:space="preserve"> </w:t>
      </w:r>
      <w:r>
        <w:t>of all five-year-</w:t>
      </w:r>
      <w:proofErr w:type="spellStart"/>
      <w:r>
        <w:t>olds</w:t>
      </w:r>
      <w:proofErr w:type="spellEnd"/>
      <w:r>
        <w:t xml:space="preserve"> fully immunised against VPD, in keeping with previous years.</w:t>
      </w:r>
      <w:r>
        <w:rPr>
          <w:vertAlign w:val="superscript"/>
        </w:rPr>
        <w:t>3</w:t>
      </w:r>
      <w:r>
        <w:t xml:space="preserve"> However, although vaccination coverage in young children has not declined in Australia, adolescent programs in Victoria have been impacted, and lower levels of shingles vaccination have been seen in older Victorians.</w:t>
      </w:r>
      <w:r>
        <w:rPr>
          <w:vertAlign w:val="superscript"/>
        </w:rPr>
        <w:t>10</w:t>
      </w:r>
      <w:r>
        <w:t xml:space="preserve"> Local councils sought to administer additional vaccines in 2021 to make up for vaccines missed the previous year. Overall, the lack of disruption from COVID-19 </w:t>
      </w:r>
      <w:proofErr w:type="gramStart"/>
      <w:r>
        <w:t>lock-downs</w:t>
      </w:r>
      <w:proofErr w:type="gramEnd"/>
      <w:r>
        <w:t xml:space="preserve"> is reassuring, as a significant drop in VPD vaccine coverage could pose risks as international borders are re-opened. </w:t>
      </w:r>
    </w:p>
    <w:p w14:paraId="2EBFBAC0" w14:textId="77777777" w:rsidR="008678F4" w:rsidRDefault="008678F4" w:rsidP="008678F4">
      <w:r>
        <w:t>While published data regarding the effect of COVID-19 restrictions on VPDs nationally is sparse, data from Central Queensland also suggests a reduction in notifications of VPDs following the implementation of COVID-19 public health measures.</w:t>
      </w:r>
      <w:r>
        <w:rPr>
          <w:vertAlign w:val="superscript"/>
        </w:rPr>
        <w:t>11</w:t>
      </w:r>
      <w:r>
        <w:t xml:space="preserve"> With the easing of restrictions, particularly those limiting international travel, it is expected that notifications of several VPDs in Victoria will rise. Nevertheless, </w:t>
      </w:r>
      <w:proofErr w:type="gramStart"/>
      <w:r>
        <w:t>as a result of</w:t>
      </w:r>
      <w:proofErr w:type="gramEnd"/>
      <w:r>
        <w:t xml:space="preserve"> the COVID-19 pandemic, public awareness surrounding the value of basic preventive measures including physical distancing, hand sanitisation, mask-wearing, staying home when symptomatic and testing for disease, in addition to high vaccination coverage, may result in a sustained reduction in notifications.</w:t>
      </w:r>
      <w:r>
        <w:rPr>
          <w:vertAlign w:val="superscript"/>
        </w:rPr>
        <w:t xml:space="preserve">4 </w:t>
      </w:r>
    </w:p>
    <w:p w14:paraId="0C6C3351" w14:textId="77777777" w:rsidR="008678F4" w:rsidRPr="008678F4" w:rsidRDefault="008678F4" w:rsidP="008678F4">
      <w:pPr>
        <w:pStyle w:val="Heading1"/>
      </w:pPr>
      <w:r w:rsidRPr="008678F4">
        <w:t xml:space="preserve">Limitations </w:t>
      </w:r>
    </w:p>
    <w:p w14:paraId="2DF95C8E" w14:textId="77777777" w:rsidR="008678F4" w:rsidRDefault="008678F4" w:rsidP="008678F4">
      <w:r>
        <w:t xml:space="preserve">As a passive surveillance system, the Victorian VPD notification system is intrinsically prone to inaccuracies of data reporting and under-reporting. Furthermore, individual case follow-up of notifications for all VPDs is not required as part of the reporting system, which may lead to some data inaccuracies. Additionally, as an observational study, a causal relationship between the COVID-19 pandemic and associated restrictions and the demonstrated reductions in VPD in Victoria cannot be proven, although the strong temporal relationship provides some evidence for this. </w:t>
      </w:r>
    </w:p>
    <w:p w14:paraId="52607AEB" w14:textId="77777777" w:rsidR="008678F4" w:rsidRPr="008678F4" w:rsidRDefault="008678F4" w:rsidP="008678F4">
      <w:pPr>
        <w:pStyle w:val="Heading1"/>
      </w:pPr>
      <w:r w:rsidRPr="008678F4">
        <w:t xml:space="preserve">Conclusion </w:t>
      </w:r>
    </w:p>
    <w:p w14:paraId="5A586036" w14:textId="77777777" w:rsidR="008678F4" w:rsidRDefault="008678F4" w:rsidP="008678F4">
      <w:r>
        <w:t xml:space="preserve">Our data demonstrate a clear temporal relationship between the reduction of VPD notifications in Victoria and the introduction of border closures, COVID-19 safety measures, and restrictions in response to the COVID-19 outbreak, suggesting a significant effect of these measures in reducing VPDs in Victoria. Many of these reductions were sustained in 2021. However, as Australia’s international border is reopened and our attention and resources are directed to the rollout of the COVID-19 vaccination program across the state, it is important that high levels of population vaccine coverage continue, </w:t>
      </w:r>
      <w:proofErr w:type="gramStart"/>
      <w:r>
        <w:t>in order to</w:t>
      </w:r>
      <w:proofErr w:type="gramEnd"/>
      <w:r>
        <w:t xml:space="preserve"> prevent a rebound increase in VPDs as restrictions are eased, and to maximise protection against VPDs for all Australians.</w:t>
      </w:r>
    </w:p>
    <w:p w14:paraId="23A614B7" w14:textId="77777777" w:rsidR="00D0680B" w:rsidRDefault="00D0680B">
      <w:pPr>
        <w:rPr>
          <w:rFonts w:asciiTheme="majorHAnsi" w:eastAsiaTheme="majorEastAsia" w:hAnsiTheme="majorHAnsi" w:cstheme="majorBidi"/>
          <w:b/>
          <w:bCs/>
          <w:sz w:val="32"/>
          <w:szCs w:val="28"/>
        </w:rPr>
      </w:pPr>
      <w:r>
        <w:br w:type="page"/>
      </w:r>
    </w:p>
    <w:p w14:paraId="0B6FE577" w14:textId="30721540" w:rsidR="008678F4" w:rsidRPr="008678F4" w:rsidRDefault="008678F4" w:rsidP="008678F4">
      <w:pPr>
        <w:pStyle w:val="Heading1"/>
      </w:pPr>
      <w:r w:rsidRPr="008678F4">
        <w:lastRenderedPageBreak/>
        <w:t xml:space="preserve">Author details </w:t>
      </w:r>
    </w:p>
    <w:p w14:paraId="5EC2C4A5" w14:textId="4EBD2F6D" w:rsidR="008678F4" w:rsidRDefault="008678F4" w:rsidP="008678F4">
      <w:proofErr w:type="spellStart"/>
      <w:r>
        <w:t>Paraag</w:t>
      </w:r>
      <w:proofErr w:type="spellEnd"/>
      <w:r>
        <w:t xml:space="preserve"> Bhatt</w:t>
      </w:r>
      <w:r>
        <w:rPr>
          <w:vertAlign w:val="superscript"/>
        </w:rPr>
        <w:t>1</w:t>
      </w:r>
      <w:r>
        <w:t xml:space="preserve"> </w:t>
      </w:r>
      <w:r w:rsidR="005D362F">
        <w:br/>
      </w:r>
      <w:r>
        <w:t>Janet Strachan</w:t>
      </w:r>
      <w:r>
        <w:rPr>
          <w:vertAlign w:val="superscript"/>
        </w:rPr>
        <w:t>2</w:t>
      </w:r>
      <w:r>
        <w:t xml:space="preserve"> </w:t>
      </w:r>
      <w:r w:rsidR="005D362F">
        <w:br/>
      </w:r>
      <w:r>
        <w:t>Marion Easton</w:t>
      </w:r>
      <w:r>
        <w:rPr>
          <w:vertAlign w:val="superscript"/>
        </w:rPr>
        <w:t>2</w:t>
      </w:r>
      <w:r>
        <w:t xml:space="preserve"> </w:t>
      </w:r>
      <w:r w:rsidR="005D362F">
        <w:br/>
      </w:r>
      <w:r>
        <w:t>Lucinda Franklin</w:t>
      </w:r>
      <w:r>
        <w:rPr>
          <w:vertAlign w:val="superscript"/>
        </w:rPr>
        <w:t>2</w:t>
      </w:r>
      <w:r>
        <w:t xml:space="preserve"> </w:t>
      </w:r>
      <w:r w:rsidR="005D362F">
        <w:br/>
      </w:r>
      <w:r>
        <w:t>George Drewett</w:t>
      </w:r>
      <w:r>
        <w:rPr>
          <w:vertAlign w:val="superscript"/>
        </w:rPr>
        <w:t xml:space="preserve">2,3,4 </w:t>
      </w:r>
    </w:p>
    <w:p w14:paraId="70FED38B" w14:textId="77777777" w:rsidR="008678F4" w:rsidRDefault="008678F4" w:rsidP="008678F4">
      <w:pPr>
        <w:numPr>
          <w:ilvl w:val="0"/>
          <w:numId w:val="7"/>
        </w:numPr>
        <w:spacing w:before="100" w:beforeAutospacing="1" w:after="100" w:afterAutospacing="1" w:line="240" w:lineRule="auto"/>
        <w:rPr>
          <w:rFonts w:eastAsia="Times New Roman"/>
        </w:rPr>
      </w:pPr>
      <w:r>
        <w:rPr>
          <w:rFonts w:eastAsia="Times New Roman"/>
        </w:rPr>
        <w:t xml:space="preserve">School of Medicine, Monash University, Clayton, Victoria, Australia. </w:t>
      </w:r>
    </w:p>
    <w:p w14:paraId="7B066105" w14:textId="77777777" w:rsidR="008678F4" w:rsidRDefault="008678F4" w:rsidP="008678F4">
      <w:pPr>
        <w:numPr>
          <w:ilvl w:val="0"/>
          <w:numId w:val="7"/>
        </w:numPr>
        <w:spacing w:before="100" w:beforeAutospacing="1" w:after="100" w:afterAutospacing="1" w:line="240" w:lineRule="auto"/>
        <w:rPr>
          <w:rFonts w:eastAsia="Times New Roman"/>
        </w:rPr>
      </w:pPr>
      <w:r>
        <w:rPr>
          <w:rFonts w:eastAsia="Times New Roman"/>
        </w:rPr>
        <w:t xml:space="preserve">Department of Health, Victoria, Australia. </w:t>
      </w:r>
    </w:p>
    <w:p w14:paraId="3EC501D1" w14:textId="77777777" w:rsidR="008678F4" w:rsidRDefault="008678F4" w:rsidP="008678F4">
      <w:pPr>
        <w:numPr>
          <w:ilvl w:val="0"/>
          <w:numId w:val="7"/>
        </w:numPr>
        <w:spacing w:before="100" w:beforeAutospacing="1" w:after="100" w:afterAutospacing="1" w:line="240" w:lineRule="auto"/>
        <w:rPr>
          <w:rFonts w:eastAsia="Times New Roman"/>
        </w:rPr>
      </w:pPr>
      <w:r>
        <w:rPr>
          <w:rFonts w:eastAsia="Times New Roman"/>
        </w:rPr>
        <w:t xml:space="preserve">Department of Infectious Diseases, Austin Health, Heidelberg, Australia </w:t>
      </w:r>
    </w:p>
    <w:p w14:paraId="26E3724A" w14:textId="77777777" w:rsidR="008678F4" w:rsidRDefault="008678F4" w:rsidP="008678F4">
      <w:pPr>
        <w:numPr>
          <w:ilvl w:val="0"/>
          <w:numId w:val="7"/>
        </w:numPr>
        <w:spacing w:before="100" w:beforeAutospacing="1" w:after="100" w:afterAutospacing="1" w:line="240" w:lineRule="auto"/>
        <w:rPr>
          <w:rFonts w:eastAsia="Times New Roman"/>
        </w:rPr>
      </w:pPr>
      <w:r>
        <w:rPr>
          <w:rFonts w:eastAsia="Times New Roman"/>
        </w:rPr>
        <w:t xml:space="preserve">Burnet Institute, Victoria, Australia. </w:t>
      </w:r>
    </w:p>
    <w:p w14:paraId="7EA43FAB" w14:textId="77777777" w:rsidR="008678F4" w:rsidRPr="008678F4" w:rsidRDefault="008678F4" w:rsidP="008678F4">
      <w:pPr>
        <w:pStyle w:val="Heading2"/>
      </w:pPr>
      <w:r w:rsidRPr="008678F4">
        <w:t xml:space="preserve">Corresponding author </w:t>
      </w:r>
    </w:p>
    <w:p w14:paraId="7E2B8B90" w14:textId="77777777" w:rsidR="008678F4" w:rsidRDefault="008678F4" w:rsidP="00EF7E55">
      <w:pPr>
        <w:pStyle w:val="NoSpacing"/>
      </w:pPr>
      <w:r>
        <w:t xml:space="preserve">George Drewett </w:t>
      </w:r>
    </w:p>
    <w:p w14:paraId="67960AAC" w14:textId="77777777" w:rsidR="008678F4" w:rsidRDefault="008678F4" w:rsidP="00EF7E55">
      <w:pPr>
        <w:pStyle w:val="NoSpacing"/>
      </w:pPr>
      <w:r>
        <w:t xml:space="preserve">Infectious Diseases Registrar, Austin Health, Heidelberg 3084, Victoria, Australia </w:t>
      </w:r>
    </w:p>
    <w:p w14:paraId="44C888EF" w14:textId="77777777" w:rsidR="0032533A" w:rsidRDefault="008678F4" w:rsidP="00EF7E55">
      <w:pPr>
        <w:pStyle w:val="NoSpacing"/>
      </w:pPr>
      <w:r>
        <w:t>Phone: +61394966676</w:t>
      </w:r>
    </w:p>
    <w:p w14:paraId="02244FF7" w14:textId="056668A1" w:rsidR="008678F4" w:rsidRDefault="008678F4" w:rsidP="00EF7E55">
      <w:pPr>
        <w:pStyle w:val="NoSpacing"/>
      </w:pPr>
      <w:r>
        <w:t>Email: george.drewett@burnet.edu.au</w:t>
      </w:r>
    </w:p>
    <w:p w14:paraId="5A7412DF" w14:textId="77777777" w:rsidR="005D362F" w:rsidRDefault="005D362F">
      <w:pPr>
        <w:rPr>
          <w:rFonts w:asciiTheme="majorHAnsi" w:eastAsiaTheme="majorEastAsia" w:hAnsiTheme="majorHAnsi" w:cstheme="majorBidi"/>
          <w:b/>
          <w:bCs/>
          <w:sz w:val="32"/>
          <w:szCs w:val="28"/>
        </w:rPr>
      </w:pPr>
      <w:r>
        <w:br w:type="page"/>
      </w:r>
    </w:p>
    <w:p w14:paraId="461C6449" w14:textId="4AD14C97" w:rsidR="008678F4" w:rsidRPr="008678F4" w:rsidRDefault="008678F4" w:rsidP="008678F4">
      <w:pPr>
        <w:pStyle w:val="Heading1"/>
      </w:pPr>
      <w:r w:rsidRPr="008678F4">
        <w:lastRenderedPageBreak/>
        <w:t xml:space="preserve">References </w:t>
      </w:r>
    </w:p>
    <w:p w14:paraId="4A402F25"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Hungerford D, Cunliffe NA. Coronavirus disease (COVID-19) – impact on vaccine preventable diseases. </w:t>
      </w:r>
      <w:r w:rsidRPr="0087166E">
        <w:rPr>
          <w:rStyle w:val="Emphasis"/>
          <w:rFonts w:eastAsia="Times New Roman"/>
          <w:b w:val="0"/>
          <w:bCs w:val="0"/>
        </w:rPr>
        <w:t xml:space="preserve">Euro </w:t>
      </w:r>
      <w:proofErr w:type="spellStart"/>
      <w:r w:rsidRPr="0087166E">
        <w:rPr>
          <w:rStyle w:val="Emphasis"/>
          <w:rFonts w:eastAsia="Times New Roman"/>
          <w:b w:val="0"/>
          <w:bCs w:val="0"/>
        </w:rPr>
        <w:t>Surveill</w:t>
      </w:r>
      <w:proofErr w:type="spellEnd"/>
      <w:r w:rsidRPr="008678F4">
        <w:rPr>
          <w:rFonts w:eastAsia="Times New Roman"/>
        </w:rPr>
        <w:t xml:space="preserve">. 2020;25(18):2000756. </w:t>
      </w:r>
      <w:proofErr w:type="spellStart"/>
      <w:r w:rsidRPr="008678F4">
        <w:rPr>
          <w:rFonts w:eastAsia="Times New Roman"/>
        </w:rPr>
        <w:t>doi</w:t>
      </w:r>
      <w:proofErr w:type="spellEnd"/>
      <w:r w:rsidRPr="008678F4">
        <w:rPr>
          <w:rFonts w:eastAsia="Times New Roman"/>
        </w:rPr>
        <w:t xml:space="preserve">: https://doi.org/10.2807/1560-7917.ES.2020.25.18.2000756. </w:t>
      </w:r>
    </w:p>
    <w:p w14:paraId="1B5D7B21"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Khatiwada AP, Shrestha N, Shrestha S. Will COVID-19 lead to a resurgence of vaccine-preventable diseases? </w:t>
      </w:r>
      <w:r w:rsidRPr="0087166E">
        <w:rPr>
          <w:rStyle w:val="Emphasis"/>
          <w:rFonts w:eastAsia="Times New Roman"/>
          <w:b w:val="0"/>
          <w:bCs w:val="0"/>
        </w:rPr>
        <w:t>Infect Drug Resist</w:t>
      </w:r>
      <w:r w:rsidRPr="008678F4">
        <w:rPr>
          <w:rFonts w:eastAsia="Times New Roman"/>
        </w:rPr>
        <w:t xml:space="preserve">. </w:t>
      </w:r>
      <w:proofErr w:type="gramStart"/>
      <w:r w:rsidRPr="008678F4">
        <w:rPr>
          <w:rFonts w:eastAsia="Times New Roman"/>
        </w:rPr>
        <w:t>2021;14:119</w:t>
      </w:r>
      <w:proofErr w:type="gramEnd"/>
      <w:r w:rsidRPr="008678F4">
        <w:rPr>
          <w:rFonts w:eastAsia="Times New Roman"/>
        </w:rPr>
        <w:t xml:space="preserve">–24. </w:t>
      </w:r>
      <w:proofErr w:type="spellStart"/>
      <w:r w:rsidRPr="008678F4">
        <w:rPr>
          <w:rFonts w:eastAsia="Times New Roman"/>
        </w:rPr>
        <w:t>doi</w:t>
      </w:r>
      <w:proofErr w:type="spellEnd"/>
      <w:r w:rsidRPr="008678F4">
        <w:rPr>
          <w:rFonts w:eastAsia="Times New Roman"/>
        </w:rPr>
        <w:t xml:space="preserve">: https://doi.org/10.2147/IDR.S276362. </w:t>
      </w:r>
    </w:p>
    <w:p w14:paraId="6C496EE9"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Australian Government Department of Health. Current coverage data tables for all children. [Webpage.] Canberra: Australian Government Department of Health; 2021. [Accessed on 7 June 2021.] Available from: www.health.gov.au/health-topics/immunisation/childhood-immunisation-coverage/current-coverage-data-tables-for-all-children. </w:t>
      </w:r>
    </w:p>
    <w:p w14:paraId="5830DD40"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Knell G, Robertson MC, Dooley EE, Burford K, Mendez KS. Health </w:t>
      </w:r>
      <w:proofErr w:type="spellStart"/>
      <w:r w:rsidRPr="008678F4">
        <w:rPr>
          <w:rFonts w:eastAsia="Times New Roman"/>
        </w:rPr>
        <w:t>behavior</w:t>
      </w:r>
      <w:proofErr w:type="spellEnd"/>
      <w:r w:rsidRPr="008678F4">
        <w:rPr>
          <w:rFonts w:eastAsia="Times New Roman"/>
        </w:rPr>
        <w:t xml:space="preserve"> changes during COVID-19 pandemic and subsequent “stay-at-home” orders. </w:t>
      </w:r>
      <w:r w:rsidRPr="0087166E">
        <w:rPr>
          <w:rStyle w:val="Emphasis"/>
          <w:rFonts w:eastAsia="Times New Roman"/>
          <w:b w:val="0"/>
          <w:bCs w:val="0"/>
        </w:rPr>
        <w:t>Int J Environ Res Public Health</w:t>
      </w:r>
      <w:r w:rsidRPr="008678F4">
        <w:rPr>
          <w:rFonts w:eastAsia="Times New Roman"/>
        </w:rPr>
        <w:t xml:space="preserve">. 2020;17(17):6268. </w:t>
      </w:r>
      <w:proofErr w:type="spellStart"/>
      <w:r w:rsidRPr="008678F4">
        <w:rPr>
          <w:rFonts w:eastAsia="Times New Roman"/>
        </w:rPr>
        <w:t>doi</w:t>
      </w:r>
      <w:proofErr w:type="spellEnd"/>
      <w:r w:rsidRPr="008678F4">
        <w:rPr>
          <w:rFonts w:eastAsia="Times New Roman"/>
        </w:rPr>
        <w:t xml:space="preserve">: https://doi.org/10.3390/ijerph17176268. </w:t>
      </w:r>
    </w:p>
    <w:p w14:paraId="65A4BCC9"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Boaz J. Melbourne passes Buenos Aires’ world record for time spent in COVID-19 lockdown. [Internet.] Sydney: Australian Broadcasting Corporation, ABC News Online; 3 October 2021. Available from: https://www.abc.net.au/news/2021-10-03/melbourne-longest-lockdown/100510710. </w:t>
      </w:r>
    </w:p>
    <w:p w14:paraId="7BEB515E"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Saul A, Scott N, Crabb BS, Majumdar SS, Coghlan B, </w:t>
      </w:r>
      <w:proofErr w:type="spellStart"/>
      <w:r w:rsidRPr="008678F4">
        <w:rPr>
          <w:rFonts w:eastAsia="Times New Roman"/>
        </w:rPr>
        <w:t>Hellard</w:t>
      </w:r>
      <w:proofErr w:type="spellEnd"/>
      <w:r w:rsidRPr="008678F4">
        <w:rPr>
          <w:rFonts w:eastAsia="Times New Roman"/>
        </w:rPr>
        <w:t xml:space="preserve"> ME. Impact of Victoria’s Stage 3 lockdown on COVID-19 case numbers. </w:t>
      </w:r>
      <w:r w:rsidRPr="0087166E">
        <w:rPr>
          <w:rStyle w:val="Emphasis"/>
          <w:rFonts w:eastAsia="Times New Roman"/>
          <w:b w:val="0"/>
          <w:bCs w:val="0"/>
        </w:rPr>
        <w:t>Med J Aust</w:t>
      </w:r>
      <w:r w:rsidRPr="008678F4">
        <w:rPr>
          <w:rFonts w:eastAsia="Times New Roman"/>
        </w:rPr>
        <w:t xml:space="preserve">. 2020;213(11):494–6 e1. </w:t>
      </w:r>
      <w:proofErr w:type="spellStart"/>
      <w:r w:rsidRPr="008678F4">
        <w:rPr>
          <w:rFonts w:eastAsia="Times New Roman"/>
        </w:rPr>
        <w:t>doi</w:t>
      </w:r>
      <w:proofErr w:type="spellEnd"/>
      <w:r w:rsidRPr="008678F4">
        <w:rPr>
          <w:rFonts w:eastAsia="Times New Roman"/>
        </w:rPr>
        <w:t xml:space="preserve">: https://doi.org/10.5694/mja2.50872. </w:t>
      </w:r>
    </w:p>
    <w:p w14:paraId="0D9D8800"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Laurie KL, Rockman S. Which influenza viruses will emerge following the SARS-CoV-2 pandemic? </w:t>
      </w:r>
      <w:r w:rsidRPr="0087166E">
        <w:rPr>
          <w:rStyle w:val="Emphasis"/>
          <w:rFonts w:eastAsia="Times New Roman"/>
          <w:b w:val="0"/>
          <w:bCs w:val="0"/>
        </w:rPr>
        <w:t>Influenza Other Respir Viruses</w:t>
      </w:r>
      <w:r w:rsidRPr="008678F4">
        <w:rPr>
          <w:rFonts w:eastAsia="Times New Roman"/>
        </w:rPr>
        <w:t xml:space="preserve">. 2021;15(5):573–6. </w:t>
      </w:r>
      <w:proofErr w:type="spellStart"/>
      <w:r w:rsidRPr="008678F4">
        <w:rPr>
          <w:rFonts w:eastAsia="Times New Roman"/>
        </w:rPr>
        <w:t>doi</w:t>
      </w:r>
      <w:proofErr w:type="spellEnd"/>
      <w:r w:rsidRPr="008678F4">
        <w:rPr>
          <w:rFonts w:eastAsia="Times New Roman"/>
        </w:rPr>
        <w:t xml:space="preserve">: https://doi.org/10.1111/irv.12866. </w:t>
      </w:r>
    </w:p>
    <w:p w14:paraId="6F771D6C" w14:textId="77777777" w:rsidR="008678F4" w:rsidRPr="008678F4" w:rsidRDefault="008678F4" w:rsidP="008678F4">
      <w:pPr>
        <w:pStyle w:val="ListParagraph"/>
        <w:numPr>
          <w:ilvl w:val="0"/>
          <w:numId w:val="9"/>
        </w:numPr>
        <w:rPr>
          <w:rFonts w:eastAsia="Times New Roman"/>
        </w:rPr>
      </w:pPr>
      <w:proofErr w:type="spellStart"/>
      <w:r w:rsidRPr="008678F4">
        <w:rPr>
          <w:rFonts w:eastAsia="Times New Roman"/>
        </w:rPr>
        <w:t>Birrell</w:t>
      </w:r>
      <w:proofErr w:type="spellEnd"/>
      <w:r w:rsidRPr="008678F4">
        <w:rPr>
          <w:rFonts w:eastAsia="Times New Roman"/>
        </w:rPr>
        <w:t xml:space="preserve"> MT, Strachan J, Holmes NE, Stevens K, Howden BP, Franklin LJ et al. Clinical manifestations of invasive meningococcal disease in Victoria with the emergence of serogroup W and serogroup Y </w:t>
      </w:r>
      <w:r w:rsidRPr="0087166E">
        <w:rPr>
          <w:rStyle w:val="Emphasis"/>
          <w:rFonts w:eastAsia="Times New Roman"/>
          <w:b w:val="0"/>
          <w:bCs w:val="0"/>
        </w:rPr>
        <w:t>Neisseria meningitidis</w:t>
      </w:r>
      <w:r w:rsidRPr="008678F4">
        <w:rPr>
          <w:rFonts w:eastAsia="Times New Roman"/>
        </w:rPr>
        <w:t xml:space="preserve">. </w:t>
      </w:r>
      <w:r w:rsidRPr="0087166E">
        <w:rPr>
          <w:rStyle w:val="Emphasis"/>
          <w:rFonts w:eastAsia="Times New Roman"/>
          <w:b w:val="0"/>
          <w:bCs w:val="0"/>
        </w:rPr>
        <w:t>Intern Med J</w:t>
      </w:r>
      <w:r w:rsidRPr="008678F4">
        <w:rPr>
          <w:rFonts w:eastAsia="Times New Roman"/>
        </w:rPr>
        <w:t xml:space="preserve">. 2021;51(3):390–7. </w:t>
      </w:r>
      <w:proofErr w:type="spellStart"/>
      <w:r w:rsidRPr="008678F4">
        <w:rPr>
          <w:rFonts w:eastAsia="Times New Roman"/>
        </w:rPr>
        <w:t>doi</w:t>
      </w:r>
      <w:proofErr w:type="spellEnd"/>
      <w:r w:rsidRPr="008678F4">
        <w:rPr>
          <w:rFonts w:eastAsia="Times New Roman"/>
        </w:rPr>
        <w:t xml:space="preserve">: https://doi.org/10.1111/imj.14771. </w:t>
      </w:r>
    </w:p>
    <w:p w14:paraId="47B0A5A1"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Victoria State Government Department of Health. Vaccine History Timeline. [Webpage.] Melbourne: Victoria State Government Department of Health; 2021. Available from: https://www.health.vic.gov.au/immunisation/vaccine-history-timeline. </w:t>
      </w:r>
    </w:p>
    <w:p w14:paraId="5ECEF2D2" w14:textId="77777777" w:rsidR="008678F4" w:rsidRPr="008678F4" w:rsidRDefault="008678F4" w:rsidP="008678F4">
      <w:pPr>
        <w:pStyle w:val="ListParagraph"/>
        <w:numPr>
          <w:ilvl w:val="0"/>
          <w:numId w:val="9"/>
        </w:numPr>
        <w:rPr>
          <w:rFonts w:eastAsia="Times New Roman"/>
        </w:rPr>
      </w:pPr>
      <w:r w:rsidRPr="008678F4">
        <w:rPr>
          <w:rFonts w:eastAsia="Times New Roman"/>
        </w:rPr>
        <w:t xml:space="preserve">Hull BP, Hendry AJ, Dey A, Bryant K, </w:t>
      </w:r>
      <w:proofErr w:type="spellStart"/>
      <w:r w:rsidRPr="008678F4">
        <w:rPr>
          <w:rFonts w:eastAsia="Times New Roman"/>
        </w:rPr>
        <w:t>Radkowski</w:t>
      </w:r>
      <w:proofErr w:type="spellEnd"/>
      <w:r w:rsidRPr="008678F4">
        <w:rPr>
          <w:rFonts w:eastAsia="Times New Roman"/>
        </w:rPr>
        <w:t xml:space="preserve"> C, </w:t>
      </w:r>
      <w:proofErr w:type="spellStart"/>
      <w:r w:rsidRPr="008678F4">
        <w:rPr>
          <w:rFonts w:eastAsia="Times New Roman"/>
        </w:rPr>
        <w:t>Pellissier</w:t>
      </w:r>
      <w:proofErr w:type="spellEnd"/>
      <w:r w:rsidRPr="008678F4">
        <w:rPr>
          <w:rFonts w:eastAsia="Times New Roman"/>
        </w:rPr>
        <w:t xml:space="preserve"> S et al. The impact of the COVID‐19 pandemic on routine vaccinations in Victoria. </w:t>
      </w:r>
      <w:r w:rsidRPr="0087166E">
        <w:rPr>
          <w:rStyle w:val="Emphasis"/>
          <w:rFonts w:eastAsia="Times New Roman"/>
          <w:b w:val="0"/>
          <w:bCs w:val="0"/>
        </w:rPr>
        <w:t>Med J Aust</w:t>
      </w:r>
      <w:r w:rsidRPr="008678F4">
        <w:rPr>
          <w:rFonts w:eastAsia="Times New Roman"/>
        </w:rPr>
        <w:t xml:space="preserve">. 2021;215(2):83–4. </w:t>
      </w:r>
      <w:proofErr w:type="spellStart"/>
      <w:r w:rsidRPr="008678F4">
        <w:rPr>
          <w:rFonts w:eastAsia="Times New Roman"/>
        </w:rPr>
        <w:t>doi</w:t>
      </w:r>
      <w:proofErr w:type="spellEnd"/>
      <w:r w:rsidRPr="008678F4">
        <w:rPr>
          <w:rFonts w:eastAsia="Times New Roman"/>
        </w:rPr>
        <w:t xml:space="preserve">: https://doi.org/10.5694/mja2.51145. </w:t>
      </w:r>
    </w:p>
    <w:p w14:paraId="6291E7B9" w14:textId="2328DD26" w:rsidR="008B5348" w:rsidRPr="00CA68D4" w:rsidRDefault="008678F4" w:rsidP="00CA68D4">
      <w:pPr>
        <w:pStyle w:val="ListParagraph"/>
        <w:numPr>
          <w:ilvl w:val="0"/>
          <w:numId w:val="9"/>
        </w:numPr>
        <w:rPr>
          <w:rStyle w:val="A10"/>
          <w:rFonts w:eastAsia="Times New Roman" w:cstheme="minorBidi"/>
          <w:color w:val="auto"/>
        </w:rPr>
      </w:pPr>
      <w:proofErr w:type="spellStart"/>
      <w:r w:rsidRPr="008678F4">
        <w:rPr>
          <w:rFonts w:eastAsia="Times New Roman"/>
        </w:rPr>
        <w:t>Adegbija</w:t>
      </w:r>
      <w:proofErr w:type="spellEnd"/>
      <w:r w:rsidRPr="008678F4">
        <w:rPr>
          <w:rFonts w:eastAsia="Times New Roman"/>
        </w:rPr>
        <w:t xml:space="preserve"> O, Walker J, Smoll N, Khan A, Graham J, Khandaker G. Notifiable diseases after implementation of COVID-19 public health prevention measures in Central Queensland, Australia. </w:t>
      </w:r>
      <w:proofErr w:type="spellStart"/>
      <w:r w:rsidRPr="0087166E">
        <w:rPr>
          <w:rStyle w:val="Emphasis"/>
          <w:rFonts w:eastAsia="Times New Roman"/>
          <w:b w:val="0"/>
          <w:bCs w:val="0"/>
        </w:rPr>
        <w:t>Commun</w:t>
      </w:r>
      <w:proofErr w:type="spellEnd"/>
      <w:r w:rsidRPr="0087166E">
        <w:rPr>
          <w:rStyle w:val="Emphasis"/>
          <w:rFonts w:eastAsia="Times New Roman"/>
          <w:b w:val="0"/>
          <w:bCs w:val="0"/>
        </w:rPr>
        <w:t xml:space="preserve"> Dis </w:t>
      </w:r>
      <w:proofErr w:type="spellStart"/>
      <w:r w:rsidRPr="0087166E">
        <w:rPr>
          <w:rStyle w:val="Emphasis"/>
          <w:rFonts w:eastAsia="Times New Roman"/>
          <w:b w:val="0"/>
          <w:bCs w:val="0"/>
        </w:rPr>
        <w:t>Intell</w:t>
      </w:r>
      <w:proofErr w:type="spellEnd"/>
      <w:r w:rsidRPr="0087166E">
        <w:rPr>
          <w:rStyle w:val="Emphasis"/>
          <w:rFonts w:eastAsia="Times New Roman"/>
          <w:b w:val="0"/>
          <w:bCs w:val="0"/>
        </w:rPr>
        <w:t xml:space="preserve"> (2018)</w:t>
      </w:r>
      <w:r w:rsidRPr="008678F4">
        <w:rPr>
          <w:rFonts w:eastAsia="Times New Roman"/>
        </w:rPr>
        <w:t xml:space="preserve">. 2021;45. </w:t>
      </w:r>
      <w:proofErr w:type="spellStart"/>
      <w:r w:rsidRPr="008678F4">
        <w:rPr>
          <w:rFonts w:eastAsia="Times New Roman"/>
        </w:rPr>
        <w:t>doi</w:t>
      </w:r>
      <w:proofErr w:type="spellEnd"/>
      <w:r w:rsidRPr="008678F4">
        <w:rPr>
          <w:rFonts w:eastAsia="Times New Roman"/>
        </w:rPr>
        <w:t>: https://doi.org/10.33321/cdi.2021.45.11.</w:t>
      </w:r>
      <w:r w:rsidR="008B5348">
        <w:rPr>
          <w:rStyle w:val="A10"/>
        </w:rPr>
        <w:br w:type="page"/>
      </w:r>
    </w:p>
    <w:p w14:paraId="127386F7"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750D74A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040994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94559F6" w14:textId="77777777" w:rsidR="000A5F42" w:rsidRPr="000606CC" w:rsidRDefault="000A5F42" w:rsidP="000A5F42">
      <w:pPr>
        <w:pStyle w:val="NoSpacing"/>
        <w:rPr>
          <w:rStyle w:val="URI"/>
          <w:rFonts w:cstheme="minorHAnsi"/>
          <w:sz w:val="20"/>
          <w:szCs w:val="18"/>
        </w:rPr>
      </w:pPr>
    </w:p>
    <w:p w14:paraId="2499276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2898FFC" w14:textId="77777777" w:rsidR="000A5F42" w:rsidRPr="000606CC" w:rsidRDefault="000A5F42" w:rsidP="000A5F42">
      <w:pPr>
        <w:pStyle w:val="NoSpacing"/>
        <w:rPr>
          <w:rStyle w:val="Strong"/>
          <w:rFonts w:cstheme="minorHAnsi"/>
          <w:sz w:val="20"/>
          <w:szCs w:val="18"/>
        </w:rPr>
      </w:pPr>
    </w:p>
    <w:p w14:paraId="126569CD" w14:textId="6168311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F6701">
        <w:rPr>
          <w:rFonts w:cstheme="minorHAnsi"/>
          <w:sz w:val="20"/>
          <w:szCs w:val="18"/>
        </w:rPr>
        <w:t>Noel Lally</w:t>
      </w:r>
    </w:p>
    <w:p w14:paraId="57989A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461FBE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E0A0D1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2A5C17E" w14:textId="77777777" w:rsidR="000A5F42" w:rsidRPr="000606CC" w:rsidRDefault="000A5F42" w:rsidP="000A5F42">
      <w:pPr>
        <w:pStyle w:val="NoSpacing"/>
        <w:rPr>
          <w:rStyle w:val="Strong"/>
          <w:rFonts w:cstheme="minorHAnsi"/>
          <w:sz w:val="20"/>
          <w:szCs w:val="18"/>
        </w:rPr>
      </w:pPr>
    </w:p>
    <w:p w14:paraId="1BFCBBD8" w14:textId="18F19DB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9BF025E" w14:textId="77777777" w:rsidR="000A5F42" w:rsidRPr="000606CC" w:rsidRDefault="000A5F42" w:rsidP="000A5F42">
      <w:pPr>
        <w:pStyle w:val="NoSpacing"/>
        <w:rPr>
          <w:rStyle w:val="Strong"/>
          <w:rFonts w:cstheme="minorHAnsi"/>
          <w:sz w:val="20"/>
          <w:szCs w:val="18"/>
        </w:rPr>
      </w:pPr>
    </w:p>
    <w:p w14:paraId="3FCAB32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E46D0CD" w14:textId="77777777" w:rsidR="000A5F42" w:rsidRPr="000606CC" w:rsidRDefault="000A5F42" w:rsidP="000A5F42">
      <w:pPr>
        <w:pStyle w:val="NoSpacing"/>
        <w:rPr>
          <w:rStyle w:val="Strong"/>
          <w:rFonts w:cstheme="minorHAnsi"/>
          <w:sz w:val="20"/>
          <w:szCs w:val="18"/>
        </w:rPr>
      </w:pPr>
    </w:p>
    <w:p w14:paraId="5DC5442E" w14:textId="6265BF5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3D56E47" w14:textId="77777777" w:rsidR="000A5F42" w:rsidRPr="000606CC" w:rsidRDefault="000A5F42" w:rsidP="000A5F42">
      <w:pPr>
        <w:pStyle w:val="NoSpacing"/>
        <w:rPr>
          <w:rStyle w:val="Strong"/>
          <w:rFonts w:cstheme="minorHAnsi"/>
          <w:sz w:val="20"/>
          <w:szCs w:val="18"/>
        </w:rPr>
      </w:pPr>
    </w:p>
    <w:p w14:paraId="5DF48444" w14:textId="27E2F49A"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88302E4" w14:textId="10FB5E1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512A4AB" w14:textId="77777777" w:rsidR="000A5F42" w:rsidRPr="000606CC" w:rsidRDefault="000A5F42" w:rsidP="000A5F42">
      <w:pPr>
        <w:pStyle w:val="NoSpacing"/>
        <w:pBdr>
          <w:bottom w:val="single" w:sz="6" w:space="1" w:color="auto"/>
        </w:pBdr>
        <w:rPr>
          <w:rStyle w:val="Strong"/>
          <w:rFonts w:cstheme="minorHAnsi"/>
          <w:sz w:val="12"/>
          <w:szCs w:val="18"/>
        </w:rPr>
      </w:pPr>
    </w:p>
    <w:p w14:paraId="574404AB" w14:textId="77777777" w:rsidR="000A5F42" w:rsidRPr="000606CC" w:rsidRDefault="000A5F42" w:rsidP="000A5F42">
      <w:pPr>
        <w:pStyle w:val="NoSpacing"/>
        <w:rPr>
          <w:rFonts w:cstheme="minorHAnsi"/>
          <w:sz w:val="20"/>
          <w:szCs w:val="18"/>
        </w:rPr>
      </w:pPr>
    </w:p>
    <w:p w14:paraId="6773F81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700D694" w14:textId="77777777" w:rsidR="000A5F42" w:rsidRPr="000606CC" w:rsidRDefault="000A5F42" w:rsidP="000A5F42">
      <w:pPr>
        <w:pStyle w:val="NoSpacing"/>
        <w:rPr>
          <w:rFonts w:cstheme="minorHAnsi"/>
          <w:sz w:val="20"/>
          <w:szCs w:val="18"/>
        </w:rPr>
      </w:pPr>
    </w:p>
    <w:p w14:paraId="2634D84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4595CC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7175AC">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0349215A" w14:textId="19CEB8B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791321E" w14:textId="77777777" w:rsidR="000A5F42" w:rsidRPr="000606CC" w:rsidRDefault="000A5F42" w:rsidP="000A5F42">
      <w:pPr>
        <w:pStyle w:val="NoSpacing"/>
        <w:rPr>
          <w:rFonts w:cstheme="minorHAnsi"/>
          <w:sz w:val="20"/>
          <w:szCs w:val="18"/>
        </w:rPr>
      </w:pPr>
    </w:p>
    <w:p w14:paraId="083C7A2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325E436" w14:textId="4198668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2FB0A32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66F66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AB884D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3CC020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4764738" w14:textId="77777777" w:rsidR="000A5F42" w:rsidRPr="000606CC" w:rsidRDefault="000A5F42" w:rsidP="000A5F42">
      <w:pPr>
        <w:pStyle w:val="NoSpacing"/>
        <w:rPr>
          <w:rStyle w:val="Strong"/>
          <w:rFonts w:cstheme="minorHAnsi"/>
          <w:sz w:val="20"/>
          <w:szCs w:val="18"/>
        </w:rPr>
      </w:pPr>
    </w:p>
    <w:p w14:paraId="3896FB2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32E99EF" w14:textId="77777777" w:rsidR="000A5F42" w:rsidRPr="000606CC" w:rsidRDefault="000A5F42" w:rsidP="000A5F42">
      <w:pPr>
        <w:pStyle w:val="NoSpacing"/>
        <w:rPr>
          <w:rStyle w:val="Strong"/>
          <w:rFonts w:cstheme="minorHAnsi"/>
          <w:sz w:val="20"/>
          <w:szCs w:val="18"/>
        </w:rPr>
      </w:pPr>
    </w:p>
    <w:p w14:paraId="7DD41C38" w14:textId="60E944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D4B8B9A" w14:textId="77777777" w:rsidR="000A5F42" w:rsidRPr="000606CC" w:rsidRDefault="000A5F42" w:rsidP="000A5F42">
      <w:pPr>
        <w:pStyle w:val="NoSpacing"/>
        <w:rPr>
          <w:rStyle w:val="URI"/>
          <w:rFonts w:cstheme="minorHAnsi"/>
          <w:sz w:val="20"/>
          <w:szCs w:val="18"/>
        </w:rPr>
      </w:pPr>
    </w:p>
    <w:p w14:paraId="66376524" w14:textId="1C5D10E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62FF9E1"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A127C" w14:textId="77777777" w:rsidR="007175AC" w:rsidRDefault="007175AC" w:rsidP="00E54DBA">
      <w:r>
        <w:separator/>
      </w:r>
    </w:p>
    <w:p w14:paraId="5893EA93" w14:textId="77777777" w:rsidR="007175AC" w:rsidRDefault="007175AC"/>
    <w:p w14:paraId="3D9AE6D7" w14:textId="77777777" w:rsidR="007175AC" w:rsidRDefault="007175AC" w:rsidP="008714B0"/>
  </w:endnote>
  <w:endnote w:type="continuationSeparator" w:id="0">
    <w:p w14:paraId="7CAB994D" w14:textId="77777777" w:rsidR="007175AC" w:rsidRDefault="007175AC" w:rsidP="00E54DBA">
      <w:r>
        <w:continuationSeparator/>
      </w:r>
    </w:p>
    <w:p w14:paraId="5E25259E" w14:textId="77777777" w:rsidR="007175AC" w:rsidRDefault="007175AC"/>
    <w:p w14:paraId="522107F9" w14:textId="77777777" w:rsidR="007175AC" w:rsidRDefault="007175A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2EFD" w14:textId="1F5CEC8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87166E">
      <w:rPr>
        <w:i/>
        <w:sz w:val="18"/>
      </w:rPr>
      <w:t>Commun</w:t>
    </w:r>
    <w:proofErr w:type="spellEnd"/>
    <w:r w:rsidR="00CE342B" w:rsidRPr="0087166E">
      <w:rPr>
        <w:i/>
        <w:sz w:val="18"/>
      </w:rPr>
      <w:t xml:space="preserve"> Dis </w:t>
    </w:r>
    <w:proofErr w:type="spellStart"/>
    <w:r w:rsidR="00CE342B" w:rsidRPr="0087166E">
      <w:rPr>
        <w:i/>
        <w:sz w:val="18"/>
      </w:rPr>
      <w:t>Intell</w:t>
    </w:r>
    <w:proofErr w:type="spellEnd"/>
    <w:r w:rsidR="00CE342B" w:rsidRPr="0087166E">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175AC">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175AC">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32338">
      <w:rPr>
        <w:sz w:val="18"/>
      </w:rPr>
      <w:t>https://doi.org/10.33321/cdi.2022.46.29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32338">
      <w:rPr>
        <w:sz w:val="18"/>
      </w:rPr>
      <w:t>19/5/2022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76A4" w14:textId="1C5156B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87166E">
      <w:rPr>
        <w:i/>
        <w:sz w:val="18"/>
      </w:rPr>
      <w:t>Commun</w:t>
    </w:r>
    <w:proofErr w:type="spellEnd"/>
    <w:r w:rsidR="00A164D5" w:rsidRPr="0087166E">
      <w:rPr>
        <w:i/>
        <w:sz w:val="18"/>
      </w:rPr>
      <w:t xml:space="preserve"> Dis </w:t>
    </w:r>
    <w:proofErr w:type="spellStart"/>
    <w:r w:rsidR="00A164D5" w:rsidRPr="0087166E">
      <w:rPr>
        <w:i/>
        <w:sz w:val="18"/>
      </w:rPr>
      <w:t>Intell</w:t>
    </w:r>
    <w:proofErr w:type="spellEnd"/>
    <w:r w:rsidR="00A164D5" w:rsidRPr="0087166E">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175AC">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175AC">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32338">
      <w:rPr>
        <w:sz w:val="18"/>
      </w:rPr>
      <w:t>https://doi.org/10.33321/cdi.2022.46.29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32338">
      <w:rPr>
        <w:sz w:val="18"/>
      </w:rPr>
      <w:t>19/5/2022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26EEB" w14:textId="77777777" w:rsidR="007175AC" w:rsidRPr="00B91FB5" w:rsidRDefault="007175AC" w:rsidP="00B91FB5">
      <w:pPr>
        <w:spacing w:after="0" w:line="240" w:lineRule="auto"/>
        <w:rPr>
          <w:sz w:val="18"/>
          <w:szCs w:val="18"/>
        </w:rPr>
      </w:pPr>
      <w:r w:rsidRPr="00B91FB5">
        <w:rPr>
          <w:sz w:val="18"/>
          <w:szCs w:val="18"/>
        </w:rPr>
        <w:separator/>
      </w:r>
    </w:p>
  </w:footnote>
  <w:footnote w:type="continuationSeparator" w:id="0">
    <w:p w14:paraId="41B50885" w14:textId="77777777" w:rsidR="007175AC" w:rsidRDefault="007175AC" w:rsidP="00E54DBA">
      <w:r>
        <w:continuationSeparator/>
      </w:r>
    </w:p>
  </w:footnote>
  <w:footnote w:type="continuationNotice" w:id="1">
    <w:p w14:paraId="0AF0121C" w14:textId="77777777" w:rsidR="007175AC" w:rsidRPr="00224EFF" w:rsidRDefault="007175AC"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5AD0" w14:textId="7D8B998C" w:rsidR="00257484" w:rsidRPr="00A153B6" w:rsidRDefault="00B863B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078AA">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DC5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7529FCB" wp14:editId="17C90D6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69449D"/>
    <w:multiLevelType w:val="multilevel"/>
    <w:tmpl w:val="CF881C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16E52"/>
    <w:multiLevelType w:val="multilevel"/>
    <w:tmpl w:val="0D30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670B8D"/>
    <w:multiLevelType w:val="multilevel"/>
    <w:tmpl w:val="CF881C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AC"/>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0E4BD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177A9"/>
    <w:rsid w:val="00324F7E"/>
    <w:rsid w:val="0032533A"/>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03FC"/>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3114"/>
    <w:rsid w:val="005C66A6"/>
    <w:rsid w:val="005D2465"/>
    <w:rsid w:val="005D362F"/>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175AC"/>
    <w:rsid w:val="00731BC3"/>
    <w:rsid w:val="00741192"/>
    <w:rsid w:val="00743A33"/>
    <w:rsid w:val="00746080"/>
    <w:rsid w:val="0075144A"/>
    <w:rsid w:val="00786329"/>
    <w:rsid w:val="00792C7D"/>
    <w:rsid w:val="00794A4D"/>
    <w:rsid w:val="007A5234"/>
    <w:rsid w:val="007B7854"/>
    <w:rsid w:val="007C56A1"/>
    <w:rsid w:val="007C6454"/>
    <w:rsid w:val="007D214F"/>
    <w:rsid w:val="007E01E0"/>
    <w:rsid w:val="007F0B93"/>
    <w:rsid w:val="007F2ECA"/>
    <w:rsid w:val="00811708"/>
    <w:rsid w:val="00816B90"/>
    <w:rsid w:val="00817799"/>
    <w:rsid w:val="00822F5F"/>
    <w:rsid w:val="00824FD3"/>
    <w:rsid w:val="00826589"/>
    <w:rsid w:val="00834BCC"/>
    <w:rsid w:val="00850D54"/>
    <w:rsid w:val="00852E2B"/>
    <w:rsid w:val="008678F4"/>
    <w:rsid w:val="008714B0"/>
    <w:rsid w:val="0087166E"/>
    <w:rsid w:val="00876331"/>
    <w:rsid w:val="00880726"/>
    <w:rsid w:val="008A3544"/>
    <w:rsid w:val="008A5EC7"/>
    <w:rsid w:val="008B48B8"/>
    <w:rsid w:val="008B5348"/>
    <w:rsid w:val="008B54D3"/>
    <w:rsid w:val="008B58F8"/>
    <w:rsid w:val="008C0712"/>
    <w:rsid w:val="008C4520"/>
    <w:rsid w:val="008C5F09"/>
    <w:rsid w:val="008D470F"/>
    <w:rsid w:val="008E1F8F"/>
    <w:rsid w:val="008E4768"/>
    <w:rsid w:val="008E761E"/>
    <w:rsid w:val="008F6701"/>
    <w:rsid w:val="008F77B3"/>
    <w:rsid w:val="009008F5"/>
    <w:rsid w:val="00904CC1"/>
    <w:rsid w:val="009066AF"/>
    <w:rsid w:val="00912050"/>
    <w:rsid w:val="00912E48"/>
    <w:rsid w:val="0092746F"/>
    <w:rsid w:val="00935DC9"/>
    <w:rsid w:val="009446C0"/>
    <w:rsid w:val="0096082E"/>
    <w:rsid w:val="00961347"/>
    <w:rsid w:val="00967410"/>
    <w:rsid w:val="00967D73"/>
    <w:rsid w:val="0097015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77D54"/>
    <w:rsid w:val="00A86F9A"/>
    <w:rsid w:val="00AA35E6"/>
    <w:rsid w:val="00AA50B6"/>
    <w:rsid w:val="00AB3472"/>
    <w:rsid w:val="00AD0762"/>
    <w:rsid w:val="00AE3DCF"/>
    <w:rsid w:val="00AE4452"/>
    <w:rsid w:val="00AE7C38"/>
    <w:rsid w:val="00B01F99"/>
    <w:rsid w:val="00B02B37"/>
    <w:rsid w:val="00B05276"/>
    <w:rsid w:val="00B078AA"/>
    <w:rsid w:val="00B132DB"/>
    <w:rsid w:val="00B22F77"/>
    <w:rsid w:val="00B31427"/>
    <w:rsid w:val="00B32338"/>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2716"/>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A68D4"/>
    <w:rsid w:val="00CB15E1"/>
    <w:rsid w:val="00CB3D46"/>
    <w:rsid w:val="00CD1A87"/>
    <w:rsid w:val="00CD35F3"/>
    <w:rsid w:val="00CD5C93"/>
    <w:rsid w:val="00CE342B"/>
    <w:rsid w:val="00CF320C"/>
    <w:rsid w:val="00CF3A4B"/>
    <w:rsid w:val="00CF4001"/>
    <w:rsid w:val="00D05837"/>
    <w:rsid w:val="00D0680B"/>
    <w:rsid w:val="00D12D8A"/>
    <w:rsid w:val="00D13E0C"/>
    <w:rsid w:val="00D25220"/>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F7E55"/>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8781A6"/>
  <w15:docId w15:val="{F3DB2B5B-F06F-4BA1-B555-E436B4B6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PlainText">
    <w:name w:val="Plain Text"/>
    <w:basedOn w:val="Normal"/>
    <w:link w:val="PlainTextChar"/>
    <w:uiPriority w:val="99"/>
    <w:unhideWhenUsed/>
    <w:rsid w:val="008678F4"/>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8678F4"/>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9</TotalTime>
  <Pages>9</Pages>
  <Words>2686</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Communicable Diseases Intelligence 2021 - Effect of COVID-19 restrictions and border closures on vaccine preventable diseases in Victoria, Australia, 2020–2021</vt:lpstr>
    </vt:vector>
  </TitlesOfParts>
  <Manager/>
  <Company>Australian Government, Department of Health</Company>
  <LinksUpToDate>false</LinksUpToDate>
  <CharactersWithSpaces>19687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Effect of COVID-19 restrictions and border closures on vaccine preventable diseases in Victoria, Australia, 2020–2021</dc:title>
  <dc:subject>This article describes the effects of COVID-19 restrictions implemented in 2020 in Victoria on the notification rates of other vaccine preventable diseases, demonstrating a concomitant decrease in most other vaccine preventable diseases.</dc:subject>
  <dc:creator>Paraag Bhatt, Janet Strachan, Marion Easton, Lucinda Franklin, George Drewett</dc:creator>
  <cp:keywords>Coronavirus; VPD; lockdown; influenza; vaccination; Sars-CoV-2</cp:keywords>
  <dc:description>© Commonwealth of Australia CC BY-NC-ND ISSN: 2209-6051 (Online)</dc:description>
  <cp:lastModifiedBy>YOUSEFI, Kasra</cp:lastModifiedBy>
  <cp:revision>8</cp:revision>
  <cp:lastPrinted>2018-05-10T02:19:00Z</cp:lastPrinted>
  <dcterms:created xsi:type="dcterms:W3CDTF">2022-03-31T05:58:00Z</dcterms:created>
  <dcterms:modified xsi:type="dcterms:W3CDTF">2022-05-10T03:32:00Z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https://doi.org/10.33321/cdi.2022.46.29</vt:lpwstr>
  </property>
</Properties>
</file>