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15E85" w14:textId="48359A8A" w:rsidR="001934FB" w:rsidRDefault="001934FB" w:rsidP="001934FB">
      <w:pPr>
        <w:pStyle w:val="Title"/>
        <w:rPr>
          <w:rFonts w:eastAsia="Times New Roman"/>
          <w:sz w:val="48"/>
          <w:szCs w:val="48"/>
        </w:rPr>
      </w:pPr>
      <w:r>
        <w:rPr>
          <w:rFonts w:eastAsia="Times New Roman"/>
        </w:rPr>
        <w:t>Defining the peak</w:t>
      </w:r>
      <w:r w:rsidR="00A274BF">
        <w:rPr>
          <w:rFonts w:eastAsia="Times New Roman"/>
        </w:rPr>
        <w:t>:</w:t>
      </w:r>
      <w:r>
        <w:rPr>
          <w:rFonts w:eastAsia="Times New Roman"/>
        </w:rPr>
        <w:t xml:space="preserve"> Point prevalence of SARS-CoV-2 using randomised sampling </w:t>
      </w:r>
    </w:p>
    <w:p w14:paraId="5163E9BC" w14:textId="4B767028" w:rsidR="001934FB" w:rsidRDefault="001934FB" w:rsidP="001934FB">
      <w:r>
        <w:t xml:space="preserve">Andre L Wattiaux, Fiona May, Terresa Allen, Tracy </w:t>
      </w:r>
      <w:proofErr w:type="spellStart"/>
      <w:r>
        <w:t>Bladen</w:t>
      </w:r>
      <w:proofErr w:type="spellEnd"/>
      <w:r>
        <w:t xml:space="preserve">, Brielle </w:t>
      </w:r>
      <w:proofErr w:type="spellStart"/>
      <w:r>
        <w:t>Pery</w:t>
      </w:r>
      <w:proofErr w:type="spellEnd"/>
      <w:r>
        <w:t xml:space="preserve">, Lisa McHugh, Vicki </w:t>
      </w:r>
      <w:proofErr w:type="spellStart"/>
      <w:r>
        <w:t>Slinko</w:t>
      </w:r>
      <w:proofErr w:type="spellEnd"/>
      <w:r>
        <w:t xml:space="preserve">, Alice Sykes, </w:t>
      </w:r>
      <w:proofErr w:type="spellStart"/>
      <w:r>
        <w:t>Lashan</w:t>
      </w:r>
      <w:proofErr w:type="spellEnd"/>
      <w:r>
        <w:t xml:space="preserve"> De</w:t>
      </w:r>
      <w:r w:rsidR="00A274BF">
        <w:t xml:space="preserve"> </w:t>
      </w:r>
      <w:r>
        <w:t xml:space="preserve">Silva, Jay Bajra, Ross Andrews, Gulam Khandaker </w:t>
      </w:r>
    </w:p>
    <w:p w14:paraId="010AADD6" w14:textId="0BDA4D11" w:rsidR="001934FB" w:rsidRPr="001934FB" w:rsidRDefault="001934FB" w:rsidP="001934FB">
      <w:pPr>
        <w:pStyle w:val="Heading1"/>
      </w:pPr>
      <w:r w:rsidRPr="001934FB">
        <w:t>Abstract</w:t>
      </w:r>
    </w:p>
    <w:p w14:paraId="11BBAABC" w14:textId="77777777" w:rsidR="001934FB" w:rsidRDefault="001934FB" w:rsidP="001934FB">
      <w:r>
        <w:t>Since Queensland eased border restrictions to the rest of Australia on 13 December 2021, notified cases of Coronavirus disease 2019 (COVID-19) dramatically increased, with the SARS-CoV-2 Omicron variant now the most widespread variant of concern: 145,881 cases and 13 deaths were recorded in Queensland in the month following the opening of the border. For an effective public health response to a highly transmissible disease, it is important to know the prevalence in the community, but the exponential increase in cases meant that many with symptoms had difficulty getting tested. We implemented a surveillance program on the Gold Coast that used a modified randomised household cluster survey method to estimate the point prevalence of individuals with SARS-CoV-2 detected by polymerase chain reaction (PCR). The estimated point prevalence of SARS-CoV-2 detected by PCR on self-collected swabs was 17.2% on the first visit to households (22 January 2022). This subsequently decreased to 5.2% (5 February 2022) and finally to 1.1% (19 February 2022). Out of 1,379 specimens tested over five weeks, 63 had detected SARS-CoV-2 and 35 (55.6%) were sequenced. All were SARS-CoV-2 variant: B.1.1.529 (</w:t>
      </w:r>
      <w:proofErr w:type="gramStart"/>
      <w:r>
        <w:t>i.e.</w:t>
      </w:r>
      <w:proofErr w:type="gramEnd"/>
      <w:r>
        <w:t xml:space="preserve"> Omicron). This surveillance program could be scaled up or reproduced in other jurisdictions to estimate the prevalence of COVID-19 in the community. </w:t>
      </w:r>
    </w:p>
    <w:p w14:paraId="6791A66B" w14:textId="77777777" w:rsidR="001934FB" w:rsidRDefault="001934FB" w:rsidP="001934FB">
      <w:r>
        <w:t xml:space="preserve">Keywords: SARS-CoV-2; prevalence; randomised survey </w:t>
      </w:r>
    </w:p>
    <w:p w14:paraId="59AA3E15" w14:textId="77777777" w:rsidR="001934FB" w:rsidRPr="001934FB" w:rsidRDefault="001934FB" w:rsidP="001934FB">
      <w:pPr>
        <w:pStyle w:val="Heading1"/>
      </w:pPr>
      <w:r w:rsidRPr="001934FB">
        <w:t xml:space="preserve">Background and methods </w:t>
      </w:r>
    </w:p>
    <w:p w14:paraId="731CA0AA" w14:textId="77777777" w:rsidR="001934FB" w:rsidRDefault="001934FB" w:rsidP="001934FB">
      <w:r>
        <w:t xml:space="preserve">Prior to 13 December 2021, Queensland had recorded 2,345 cases of COVID-19 and seven COVID-19 related deaths. With the global rise of the SARS-CoV-2 Omicron variant of concern, and the opening of the Queensland borders to southern states, 145,881 cases and 13 deaths were recorded in a single month (13 December to 14 January 2022). </w:t>
      </w:r>
    </w:p>
    <w:p w14:paraId="2C4C8F52" w14:textId="77777777" w:rsidR="001934FB" w:rsidRDefault="001934FB" w:rsidP="001934FB">
      <w:r>
        <w:t xml:space="preserve">In Queensland, case ascertainment relies on notifications of PCR confirmed cases of COVID-19 to public health authorities. However, as in other parts of the country where a rapid surge in cases was witnessed over a few weeks, the demand for testing exceeded testing capacity. Without rapid and reliable PCR testing, daily case notifications were not a reliable reflection of the true community burden of disease. There has also been an increase in hospital and intensive care unit (ICU) admissions due to COVID-19 since the Queensland borders opened. Hospital/ICU admissions have been used as a surrogate measure to ascertain the actual population prevalence/burden of COVID-19 at a given time. However, no population point prevalence data have been reported in Australia to date. </w:t>
      </w:r>
    </w:p>
    <w:p w14:paraId="1023167B" w14:textId="77777777" w:rsidR="001934FB" w:rsidRDefault="001934FB" w:rsidP="001934FB">
      <w:r>
        <w:t xml:space="preserve">Estimation of prevalence of a disease is a fundamental measure in the descriptive epidemiology of outbreaks and contributes to an effective public health response. We developed and implemented a surveillance program on the Gold Coast to provide information on the transmission dynamics of the virus. These results can then be matched against the pre-existing parameters of hospitalisations/ICU admissions. </w:t>
      </w:r>
    </w:p>
    <w:p w14:paraId="2D22306C" w14:textId="1C1EF710" w:rsidR="001934FB" w:rsidRDefault="001934FB" w:rsidP="001934FB">
      <w:r>
        <w:t>We used a modified randomised household cluster survey method to estimate the point prevalence of individuals with SARS-CoV-2 detected on PCR.</w:t>
      </w:r>
      <w:r>
        <w:rPr>
          <w:vertAlign w:val="superscript"/>
        </w:rPr>
        <w:t>1</w:t>
      </w:r>
      <w:r>
        <w:t xml:space="preserve"> Quantum Geographic Information System (QGIS v3.10.1) was used to randomise points within each Statistical Area Level 3 (SA3) of the Gold Coast City Council area (Appendix A, Table A.1). In one </w:t>
      </w:r>
      <w:r>
        <w:lastRenderedPageBreak/>
        <w:t xml:space="preserve">instance, an SA3 was divided in two in view of significant population growth since creation of the SA3 areas. The closest residential street address was found for each point. Trained workers attempted participant recruitment of persons who opened the door for that household, then every second household in a randomly selected direction from that address. Only one person per household was recruited for PCR testing with the aim of recruiting 400 participants. Consent was obtained from that person if they were over 18 years of age. Participants were observed self-collecting </w:t>
      </w:r>
      <w:r w:rsidR="00EA2B6F" w:rsidRPr="00EA2B6F">
        <w:t>nasopharyngeal</w:t>
      </w:r>
      <w:r w:rsidR="00EA2B6F">
        <w:t xml:space="preserve"> </w:t>
      </w:r>
      <w:r>
        <w:t xml:space="preserve">swabs for PCR testing. In addition, rapid antigen tests (RATs) were provided for household members to test themselves and report the results through an online form. New households were recruited every week for five weeks and existing participants with negative tests in the previous week were revisited to obtain a new sample. Only </w:t>
      </w:r>
      <w:r w:rsidR="00E87D2A" w:rsidRPr="00E87D2A">
        <w:t>nasopharyngeal</w:t>
      </w:r>
      <w:r w:rsidR="00E87D2A">
        <w:t xml:space="preserve"> </w:t>
      </w:r>
      <w:r>
        <w:t xml:space="preserve">on the same person in subsequent weeks were included in the analysis. The surveillance program was conducted under the Queensland Public Health Act. </w:t>
      </w:r>
    </w:p>
    <w:p w14:paraId="13A85A81" w14:textId="77777777" w:rsidR="001934FB" w:rsidRDefault="001934FB" w:rsidP="001934FB">
      <w:r>
        <w:t xml:space="preserve">A detailed summary of results will be reported once final analysis is completed including correlation with hospital/ICU admissions. </w:t>
      </w:r>
    </w:p>
    <w:p w14:paraId="3CA4D457" w14:textId="77777777" w:rsidR="001934FB" w:rsidRPr="001934FB" w:rsidRDefault="001934FB" w:rsidP="001934FB">
      <w:pPr>
        <w:pStyle w:val="Heading1"/>
      </w:pPr>
      <w:r w:rsidRPr="001934FB">
        <w:t xml:space="preserve">Results </w:t>
      </w:r>
    </w:p>
    <w:p w14:paraId="1A72E067" w14:textId="77777777" w:rsidR="001934FB" w:rsidRDefault="001934FB" w:rsidP="001934FB">
      <w:r>
        <w:t xml:space="preserve">Preliminary results for the five weeks of the program can be found in Table 1. </w:t>
      </w:r>
    </w:p>
    <w:p w14:paraId="683C9685" w14:textId="3A1B82DB" w:rsidR="00214290" w:rsidRDefault="001934FB" w:rsidP="00214290">
      <w:pPr>
        <w:sectPr w:rsidR="00214290"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r>
        <w:t xml:space="preserve">The median age distribution for all participants was 52 years old. The rate of households consenting ranged from 25.5% to 44.1% across the ten areas. The estimated point prevalence of people with SARS-CoV-2 detected on self-collected PCR tests was 17.2% on the first visit (22 January 2022) and subsequently decreased to 5.8% (29 January 2022), 5.5% (5 February 2022), 2.4% (12 February 2022) and finally 1.1% (19 February 2022). Out of 1,379 specimens tested over five weeks, 63 (4.5%) were positive for SARS-CoV-2, 35 (55.6%) sequenced and all were </w:t>
      </w:r>
      <w:r w:rsidR="00881C41">
        <w:t>O</w:t>
      </w:r>
      <w:r>
        <w:t xml:space="preserve">micron variant. </w:t>
      </w:r>
    </w:p>
    <w:p w14:paraId="56F33121" w14:textId="1E4818FE" w:rsidR="0061274E" w:rsidRPr="00146451" w:rsidRDefault="0061274E" w:rsidP="00214290">
      <w:pPr>
        <w:pStyle w:val="CDIFigures"/>
      </w:pPr>
      <w:r w:rsidRPr="00146451">
        <w:lastRenderedPageBreak/>
        <w:t xml:space="preserve">Table 1: Preliminary results for the five weeks of the surveillance program </w:t>
      </w:r>
    </w:p>
    <w:tbl>
      <w:tblPr>
        <w:tblStyle w:val="CDI-StandardTable"/>
        <w:tblW w:w="0" w:type="auto"/>
        <w:tblCellMar>
          <w:top w:w="113" w:type="dxa"/>
          <w:bottom w:w="113" w:type="dxa"/>
        </w:tblCellMar>
        <w:tblLook w:val="04A0" w:firstRow="1" w:lastRow="0" w:firstColumn="1" w:lastColumn="0" w:noHBand="0" w:noVBand="1"/>
        <w:tblDescription w:val="Table 1 shows the preliminary results for the first three weeks of the surveillance programme (point prevalence: 1st week: 17.2%, 2nd week: 5.8% and 3rd week: 5.2%)"/>
      </w:tblPr>
      <w:tblGrid>
        <w:gridCol w:w="7797"/>
        <w:gridCol w:w="1417"/>
        <w:gridCol w:w="1418"/>
        <w:gridCol w:w="1417"/>
        <w:gridCol w:w="1418"/>
        <w:gridCol w:w="1517"/>
      </w:tblGrid>
      <w:tr w:rsidR="00214290" w:rsidRPr="00F228C0" w14:paraId="2F468A18" w14:textId="77777777" w:rsidTr="00F228C0">
        <w:trPr>
          <w:cnfStyle w:val="100000000000" w:firstRow="1" w:lastRow="0" w:firstColumn="0" w:lastColumn="0" w:oddVBand="0" w:evenVBand="0" w:oddHBand="0" w:evenHBand="0" w:firstRowFirstColumn="0" w:firstRowLastColumn="0" w:lastRowFirstColumn="0" w:lastRowLastColumn="0"/>
        </w:trPr>
        <w:tc>
          <w:tcPr>
            <w:tcW w:w="7797" w:type="dxa"/>
            <w:tcBorders>
              <w:right w:val="single" w:sz="2" w:space="0" w:color="FFFFFF" w:themeColor="background1"/>
            </w:tcBorders>
            <w:hideMark/>
          </w:tcPr>
          <w:p w14:paraId="4AB09B3A" w14:textId="77777777" w:rsidR="0061274E" w:rsidRPr="00F228C0" w:rsidRDefault="0061274E" w:rsidP="000B6632">
            <w:pPr>
              <w:rPr>
                <w:color w:val="FFFFFF" w:themeColor="background1"/>
                <w:sz w:val="18"/>
                <w:szCs w:val="18"/>
                <w:lang w:val="en-GB"/>
              </w:rPr>
            </w:pPr>
          </w:p>
        </w:tc>
        <w:tc>
          <w:tcPr>
            <w:tcW w:w="1417" w:type="dxa"/>
            <w:tcBorders>
              <w:left w:val="single" w:sz="2" w:space="0" w:color="FFFFFF" w:themeColor="background1"/>
              <w:right w:val="single" w:sz="2" w:space="0" w:color="FFFFFF" w:themeColor="background1"/>
            </w:tcBorders>
            <w:hideMark/>
          </w:tcPr>
          <w:p w14:paraId="743FCA8C" w14:textId="77777777" w:rsidR="0061274E" w:rsidRPr="00F228C0" w:rsidRDefault="0061274E" w:rsidP="000B6632">
            <w:pPr>
              <w:pStyle w:val="NormalWeb"/>
              <w:jc w:val="center"/>
              <w:rPr>
                <w:color w:val="FFFFFF" w:themeColor="background1"/>
                <w:sz w:val="18"/>
                <w:szCs w:val="18"/>
              </w:rPr>
            </w:pPr>
            <w:r w:rsidRPr="00F228C0">
              <w:rPr>
                <w:color w:val="FFFFFF" w:themeColor="background1"/>
                <w:sz w:val="18"/>
                <w:szCs w:val="18"/>
              </w:rPr>
              <w:t>22 January 2022</w:t>
            </w:r>
          </w:p>
        </w:tc>
        <w:tc>
          <w:tcPr>
            <w:tcW w:w="1418" w:type="dxa"/>
            <w:tcBorders>
              <w:left w:val="single" w:sz="2" w:space="0" w:color="FFFFFF" w:themeColor="background1"/>
              <w:right w:val="single" w:sz="2" w:space="0" w:color="FFFFFF" w:themeColor="background1"/>
            </w:tcBorders>
            <w:hideMark/>
          </w:tcPr>
          <w:p w14:paraId="4E4A4BD4" w14:textId="77777777" w:rsidR="0061274E" w:rsidRPr="00F228C0" w:rsidRDefault="0061274E" w:rsidP="000B6632">
            <w:pPr>
              <w:pStyle w:val="NormalWeb"/>
              <w:jc w:val="center"/>
              <w:rPr>
                <w:color w:val="FFFFFF" w:themeColor="background1"/>
                <w:sz w:val="18"/>
                <w:szCs w:val="18"/>
              </w:rPr>
            </w:pPr>
            <w:r w:rsidRPr="00F228C0">
              <w:rPr>
                <w:color w:val="FFFFFF" w:themeColor="background1"/>
                <w:sz w:val="18"/>
                <w:szCs w:val="18"/>
              </w:rPr>
              <w:t>29 January 2022</w:t>
            </w:r>
          </w:p>
        </w:tc>
        <w:tc>
          <w:tcPr>
            <w:tcW w:w="1417" w:type="dxa"/>
            <w:tcBorders>
              <w:left w:val="single" w:sz="2" w:space="0" w:color="FFFFFF" w:themeColor="background1"/>
              <w:right w:val="single" w:sz="2" w:space="0" w:color="FFFFFF" w:themeColor="background1"/>
            </w:tcBorders>
            <w:hideMark/>
          </w:tcPr>
          <w:p w14:paraId="134BDE4F" w14:textId="77777777" w:rsidR="0061274E" w:rsidRPr="00F228C0" w:rsidRDefault="0061274E" w:rsidP="000B6632">
            <w:pPr>
              <w:pStyle w:val="NormalWeb"/>
              <w:jc w:val="center"/>
              <w:rPr>
                <w:color w:val="FFFFFF" w:themeColor="background1"/>
                <w:sz w:val="18"/>
                <w:szCs w:val="18"/>
              </w:rPr>
            </w:pPr>
            <w:r w:rsidRPr="00F228C0">
              <w:rPr>
                <w:color w:val="FFFFFF" w:themeColor="background1"/>
                <w:sz w:val="18"/>
                <w:szCs w:val="18"/>
              </w:rPr>
              <w:t>5 February 2022</w:t>
            </w:r>
          </w:p>
        </w:tc>
        <w:tc>
          <w:tcPr>
            <w:tcW w:w="1418" w:type="dxa"/>
            <w:tcBorders>
              <w:left w:val="single" w:sz="2" w:space="0" w:color="FFFFFF" w:themeColor="background1"/>
              <w:right w:val="single" w:sz="2" w:space="0" w:color="FFFFFF" w:themeColor="background1"/>
            </w:tcBorders>
            <w:hideMark/>
          </w:tcPr>
          <w:p w14:paraId="609C2B74" w14:textId="77777777" w:rsidR="0061274E" w:rsidRPr="00F228C0" w:rsidRDefault="0061274E" w:rsidP="000B6632">
            <w:pPr>
              <w:pStyle w:val="NormalWeb"/>
              <w:jc w:val="center"/>
              <w:rPr>
                <w:color w:val="FFFFFF" w:themeColor="background1"/>
                <w:sz w:val="18"/>
                <w:szCs w:val="18"/>
              </w:rPr>
            </w:pPr>
            <w:r w:rsidRPr="00F228C0">
              <w:rPr>
                <w:color w:val="FFFFFF" w:themeColor="background1"/>
                <w:sz w:val="18"/>
                <w:szCs w:val="18"/>
              </w:rPr>
              <w:t>12 February 2022</w:t>
            </w:r>
          </w:p>
        </w:tc>
        <w:tc>
          <w:tcPr>
            <w:tcW w:w="1517" w:type="dxa"/>
            <w:tcBorders>
              <w:left w:val="single" w:sz="2" w:space="0" w:color="FFFFFF" w:themeColor="background1"/>
            </w:tcBorders>
            <w:hideMark/>
          </w:tcPr>
          <w:p w14:paraId="623BE82A" w14:textId="77777777" w:rsidR="0061274E" w:rsidRPr="00F228C0" w:rsidRDefault="0061274E" w:rsidP="000B6632">
            <w:pPr>
              <w:pStyle w:val="NormalWeb"/>
              <w:jc w:val="center"/>
              <w:rPr>
                <w:color w:val="FFFFFF" w:themeColor="background1"/>
                <w:sz w:val="18"/>
                <w:szCs w:val="18"/>
              </w:rPr>
            </w:pPr>
            <w:r w:rsidRPr="00F228C0">
              <w:rPr>
                <w:color w:val="FFFFFF" w:themeColor="background1"/>
                <w:sz w:val="18"/>
                <w:szCs w:val="18"/>
              </w:rPr>
              <w:t>19 February 2022</w:t>
            </w:r>
          </w:p>
        </w:tc>
      </w:tr>
      <w:tr w:rsidR="00FF39BB" w:rsidRPr="00F228C0" w14:paraId="7C9440B2" w14:textId="77777777" w:rsidTr="00F228C0">
        <w:tblPrEx>
          <w:tblCellMar>
            <w:left w:w="57" w:type="dxa"/>
            <w:right w:w="57" w:type="dxa"/>
          </w:tblCellMar>
        </w:tblPrEx>
        <w:tc>
          <w:tcPr>
            <w:tcW w:w="7797" w:type="dxa"/>
            <w:hideMark/>
          </w:tcPr>
          <w:p w14:paraId="402C97B4" w14:textId="77777777" w:rsidR="0061274E" w:rsidRPr="00F228C0" w:rsidRDefault="0061274E" w:rsidP="000B6632">
            <w:pPr>
              <w:pStyle w:val="NormalWeb"/>
              <w:rPr>
                <w:sz w:val="18"/>
                <w:szCs w:val="18"/>
              </w:rPr>
            </w:pPr>
            <w:r w:rsidRPr="00F228C0">
              <w:rPr>
                <w:sz w:val="18"/>
                <w:szCs w:val="18"/>
              </w:rPr>
              <w:t>Total number of houses visited</w:t>
            </w:r>
          </w:p>
        </w:tc>
        <w:tc>
          <w:tcPr>
            <w:tcW w:w="1417" w:type="dxa"/>
            <w:hideMark/>
          </w:tcPr>
          <w:p w14:paraId="09C4BE31" w14:textId="77777777" w:rsidR="0061274E" w:rsidRPr="00F228C0" w:rsidRDefault="0061274E" w:rsidP="000B6632">
            <w:pPr>
              <w:pStyle w:val="NormalWeb"/>
              <w:jc w:val="center"/>
              <w:rPr>
                <w:sz w:val="18"/>
                <w:szCs w:val="18"/>
              </w:rPr>
            </w:pPr>
            <w:r w:rsidRPr="00F228C0">
              <w:rPr>
                <w:sz w:val="18"/>
                <w:szCs w:val="18"/>
              </w:rPr>
              <w:t>463</w:t>
            </w:r>
          </w:p>
        </w:tc>
        <w:tc>
          <w:tcPr>
            <w:tcW w:w="1418" w:type="dxa"/>
            <w:hideMark/>
          </w:tcPr>
          <w:p w14:paraId="5BC1238F" w14:textId="77777777" w:rsidR="0061274E" w:rsidRPr="00F228C0" w:rsidRDefault="0061274E" w:rsidP="000B6632">
            <w:pPr>
              <w:pStyle w:val="NormalWeb"/>
              <w:jc w:val="center"/>
              <w:rPr>
                <w:sz w:val="18"/>
                <w:szCs w:val="18"/>
              </w:rPr>
            </w:pPr>
            <w:r w:rsidRPr="00F228C0">
              <w:rPr>
                <w:sz w:val="18"/>
                <w:szCs w:val="18"/>
              </w:rPr>
              <w:t>555</w:t>
            </w:r>
          </w:p>
        </w:tc>
        <w:tc>
          <w:tcPr>
            <w:tcW w:w="1417" w:type="dxa"/>
            <w:hideMark/>
          </w:tcPr>
          <w:p w14:paraId="1B7E02E9" w14:textId="77777777" w:rsidR="0061274E" w:rsidRPr="00F228C0" w:rsidRDefault="0061274E" w:rsidP="000B6632">
            <w:pPr>
              <w:pStyle w:val="NormalWeb"/>
              <w:jc w:val="center"/>
              <w:rPr>
                <w:sz w:val="18"/>
                <w:szCs w:val="18"/>
              </w:rPr>
            </w:pPr>
            <w:r w:rsidRPr="00F228C0">
              <w:rPr>
                <w:sz w:val="18"/>
                <w:szCs w:val="18"/>
              </w:rPr>
              <w:t>776</w:t>
            </w:r>
          </w:p>
        </w:tc>
        <w:tc>
          <w:tcPr>
            <w:tcW w:w="1418" w:type="dxa"/>
            <w:hideMark/>
          </w:tcPr>
          <w:p w14:paraId="4C4275F1" w14:textId="77777777" w:rsidR="0061274E" w:rsidRPr="00F228C0" w:rsidRDefault="0061274E" w:rsidP="000B6632">
            <w:pPr>
              <w:pStyle w:val="NormalWeb"/>
              <w:jc w:val="center"/>
              <w:rPr>
                <w:sz w:val="18"/>
                <w:szCs w:val="18"/>
              </w:rPr>
            </w:pPr>
            <w:r w:rsidRPr="00F228C0">
              <w:rPr>
                <w:sz w:val="18"/>
                <w:szCs w:val="18"/>
              </w:rPr>
              <w:t>901</w:t>
            </w:r>
          </w:p>
        </w:tc>
        <w:tc>
          <w:tcPr>
            <w:tcW w:w="1517" w:type="dxa"/>
            <w:hideMark/>
          </w:tcPr>
          <w:p w14:paraId="2CB37B77" w14:textId="77777777" w:rsidR="0061274E" w:rsidRPr="00F228C0" w:rsidRDefault="0061274E" w:rsidP="000B6632">
            <w:pPr>
              <w:pStyle w:val="NormalWeb"/>
              <w:jc w:val="center"/>
              <w:rPr>
                <w:sz w:val="18"/>
                <w:szCs w:val="18"/>
              </w:rPr>
            </w:pPr>
            <w:r w:rsidRPr="00F228C0">
              <w:rPr>
                <w:sz w:val="18"/>
                <w:szCs w:val="18"/>
              </w:rPr>
              <w:t>987</w:t>
            </w:r>
          </w:p>
        </w:tc>
      </w:tr>
      <w:tr w:rsidR="00F228C0" w:rsidRPr="00F228C0" w14:paraId="6A61A722" w14:textId="77777777" w:rsidTr="00F228C0">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97" w:type="dxa"/>
            <w:hideMark/>
          </w:tcPr>
          <w:p w14:paraId="5E82DCE8" w14:textId="77777777" w:rsidR="0061274E" w:rsidRPr="00F228C0" w:rsidRDefault="0061274E" w:rsidP="000B6632">
            <w:pPr>
              <w:pStyle w:val="NormalWeb"/>
              <w:rPr>
                <w:sz w:val="18"/>
                <w:szCs w:val="18"/>
              </w:rPr>
            </w:pPr>
            <w:r w:rsidRPr="00F228C0">
              <w:rPr>
                <w:sz w:val="18"/>
                <w:szCs w:val="18"/>
              </w:rPr>
              <w:t>Total number of houses who answered the door and</w:t>
            </w:r>
            <w:r w:rsidRPr="00F228C0">
              <w:rPr>
                <w:sz w:val="18"/>
                <w:szCs w:val="18"/>
              </w:rPr>
              <w:br/>
              <w:t xml:space="preserve">consented to </w:t>
            </w:r>
            <w:proofErr w:type="spellStart"/>
            <w:r w:rsidRPr="00F228C0">
              <w:rPr>
                <w:sz w:val="18"/>
                <w:szCs w:val="18"/>
              </w:rPr>
              <w:t>participate</w:t>
            </w:r>
            <w:r w:rsidRPr="00F228C0">
              <w:rPr>
                <w:sz w:val="18"/>
                <w:szCs w:val="18"/>
                <w:vertAlign w:val="superscript"/>
              </w:rPr>
              <w:t>a</w:t>
            </w:r>
            <w:proofErr w:type="spellEnd"/>
          </w:p>
        </w:tc>
        <w:tc>
          <w:tcPr>
            <w:tcW w:w="1417" w:type="dxa"/>
            <w:hideMark/>
          </w:tcPr>
          <w:p w14:paraId="5D618E04" w14:textId="77777777" w:rsidR="0061274E" w:rsidRPr="00F228C0" w:rsidRDefault="0061274E" w:rsidP="000B6632">
            <w:pPr>
              <w:pStyle w:val="NormalWeb"/>
              <w:jc w:val="center"/>
              <w:rPr>
                <w:sz w:val="18"/>
                <w:szCs w:val="18"/>
              </w:rPr>
            </w:pPr>
            <w:r w:rsidRPr="00F228C0">
              <w:rPr>
                <w:sz w:val="18"/>
                <w:szCs w:val="18"/>
              </w:rPr>
              <w:t>118 (25.5%)</w:t>
            </w:r>
          </w:p>
        </w:tc>
        <w:tc>
          <w:tcPr>
            <w:tcW w:w="1418" w:type="dxa"/>
            <w:hideMark/>
          </w:tcPr>
          <w:p w14:paraId="02921236" w14:textId="77777777" w:rsidR="0061274E" w:rsidRPr="00F228C0" w:rsidRDefault="0061274E" w:rsidP="000B6632">
            <w:pPr>
              <w:pStyle w:val="NormalWeb"/>
              <w:jc w:val="center"/>
              <w:rPr>
                <w:sz w:val="18"/>
                <w:szCs w:val="18"/>
              </w:rPr>
            </w:pPr>
            <w:r w:rsidRPr="00F228C0">
              <w:rPr>
                <w:sz w:val="18"/>
                <w:szCs w:val="18"/>
              </w:rPr>
              <w:t>244 (44.0%)</w:t>
            </w:r>
          </w:p>
        </w:tc>
        <w:tc>
          <w:tcPr>
            <w:tcW w:w="1417" w:type="dxa"/>
            <w:hideMark/>
          </w:tcPr>
          <w:p w14:paraId="38D16487" w14:textId="77777777" w:rsidR="0061274E" w:rsidRPr="00F228C0" w:rsidRDefault="0061274E" w:rsidP="000B6632">
            <w:pPr>
              <w:pStyle w:val="NormalWeb"/>
              <w:jc w:val="center"/>
              <w:rPr>
                <w:sz w:val="18"/>
                <w:szCs w:val="18"/>
              </w:rPr>
            </w:pPr>
            <w:r w:rsidRPr="00F228C0">
              <w:rPr>
                <w:sz w:val="18"/>
                <w:szCs w:val="18"/>
              </w:rPr>
              <w:t>334 (43.0%)</w:t>
            </w:r>
          </w:p>
        </w:tc>
        <w:tc>
          <w:tcPr>
            <w:tcW w:w="1418" w:type="dxa"/>
            <w:hideMark/>
          </w:tcPr>
          <w:p w14:paraId="540A70C0" w14:textId="77777777" w:rsidR="0061274E" w:rsidRPr="00F228C0" w:rsidRDefault="0061274E" w:rsidP="000B6632">
            <w:pPr>
              <w:pStyle w:val="NormalWeb"/>
              <w:jc w:val="center"/>
              <w:rPr>
                <w:sz w:val="18"/>
                <w:szCs w:val="18"/>
              </w:rPr>
            </w:pPr>
            <w:r w:rsidRPr="00F228C0">
              <w:rPr>
                <w:sz w:val="18"/>
                <w:szCs w:val="18"/>
              </w:rPr>
              <w:t>397 (44.1%)</w:t>
            </w:r>
          </w:p>
        </w:tc>
        <w:tc>
          <w:tcPr>
            <w:tcW w:w="1517" w:type="dxa"/>
            <w:hideMark/>
          </w:tcPr>
          <w:p w14:paraId="2F946133" w14:textId="77777777" w:rsidR="0061274E" w:rsidRPr="00F228C0" w:rsidRDefault="0061274E" w:rsidP="000B6632">
            <w:pPr>
              <w:pStyle w:val="NormalWeb"/>
              <w:jc w:val="center"/>
              <w:rPr>
                <w:sz w:val="18"/>
                <w:szCs w:val="18"/>
              </w:rPr>
            </w:pPr>
            <w:r w:rsidRPr="00F228C0">
              <w:rPr>
                <w:sz w:val="18"/>
                <w:szCs w:val="18"/>
              </w:rPr>
              <w:t>405 (41.0%)</w:t>
            </w:r>
          </w:p>
        </w:tc>
      </w:tr>
      <w:tr w:rsidR="00FF39BB" w:rsidRPr="00F228C0" w14:paraId="4F3E2CF4" w14:textId="77777777" w:rsidTr="00F228C0">
        <w:tblPrEx>
          <w:tblCellMar>
            <w:left w:w="57" w:type="dxa"/>
            <w:right w:w="57" w:type="dxa"/>
          </w:tblCellMar>
        </w:tblPrEx>
        <w:tc>
          <w:tcPr>
            <w:tcW w:w="7797" w:type="dxa"/>
            <w:hideMark/>
          </w:tcPr>
          <w:p w14:paraId="3F55B9BD" w14:textId="77777777" w:rsidR="0061274E" w:rsidRPr="00F228C0" w:rsidRDefault="0061274E" w:rsidP="000B6632">
            <w:pPr>
              <w:pStyle w:val="NormalWeb"/>
              <w:rPr>
                <w:sz w:val="18"/>
                <w:szCs w:val="18"/>
              </w:rPr>
            </w:pPr>
            <w:r w:rsidRPr="00F228C0">
              <w:rPr>
                <w:sz w:val="18"/>
                <w:szCs w:val="18"/>
              </w:rPr>
              <w:t>Number of households that had been visited previously</w:t>
            </w:r>
          </w:p>
        </w:tc>
        <w:tc>
          <w:tcPr>
            <w:tcW w:w="1417" w:type="dxa"/>
            <w:hideMark/>
          </w:tcPr>
          <w:p w14:paraId="56C36133" w14:textId="77777777" w:rsidR="0061274E" w:rsidRPr="00F228C0" w:rsidRDefault="0061274E" w:rsidP="000B6632">
            <w:pPr>
              <w:pStyle w:val="NormalWeb"/>
              <w:jc w:val="center"/>
              <w:rPr>
                <w:sz w:val="18"/>
                <w:szCs w:val="18"/>
              </w:rPr>
            </w:pPr>
            <w:r w:rsidRPr="00F228C0">
              <w:rPr>
                <w:sz w:val="18"/>
                <w:szCs w:val="18"/>
              </w:rPr>
              <w:t>—</w:t>
            </w:r>
          </w:p>
        </w:tc>
        <w:tc>
          <w:tcPr>
            <w:tcW w:w="1418" w:type="dxa"/>
            <w:hideMark/>
          </w:tcPr>
          <w:p w14:paraId="2074BDB1" w14:textId="77777777" w:rsidR="0061274E" w:rsidRPr="00F228C0" w:rsidRDefault="0061274E" w:rsidP="000B6632">
            <w:pPr>
              <w:pStyle w:val="NormalWeb"/>
              <w:jc w:val="center"/>
              <w:rPr>
                <w:sz w:val="18"/>
                <w:szCs w:val="18"/>
              </w:rPr>
            </w:pPr>
            <w:r w:rsidRPr="00F228C0">
              <w:rPr>
                <w:sz w:val="18"/>
                <w:szCs w:val="18"/>
              </w:rPr>
              <w:t>97 (39.8%)</w:t>
            </w:r>
          </w:p>
        </w:tc>
        <w:tc>
          <w:tcPr>
            <w:tcW w:w="1417" w:type="dxa"/>
            <w:hideMark/>
          </w:tcPr>
          <w:p w14:paraId="399DF2D0" w14:textId="77777777" w:rsidR="0061274E" w:rsidRPr="00F228C0" w:rsidRDefault="0061274E" w:rsidP="000B6632">
            <w:pPr>
              <w:pStyle w:val="NormalWeb"/>
              <w:jc w:val="center"/>
              <w:rPr>
                <w:sz w:val="18"/>
                <w:szCs w:val="18"/>
              </w:rPr>
            </w:pPr>
            <w:r w:rsidRPr="00F228C0">
              <w:rPr>
                <w:sz w:val="18"/>
                <w:szCs w:val="18"/>
              </w:rPr>
              <w:t>164 (49.1%)</w:t>
            </w:r>
          </w:p>
        </w:tc>
        <w:tc>
          <w:tcPr>
            <w:tcW w:w="1418" w:type="dxa"/>
            <w:hideMark/>
          </w:tcPr>
          <w:p w14:paraId="7B78E249" w14:textId="77777777" w:rsidR="0061274E" w:rsidRPr="00F228C0" w:rsidRDefault="0061274E" w:rsidP="000B6632">
            <w:pPr>
              <w:pStyle w:val="NormalWeb"/>
              <w:jc w:val="center"/>
              <w:rPr>
                <w:sz w:val="18"/>
                <w:szCs w:val="18"/>
              </w:rPr>
            </w:pPr>
            <w:r w:rsidRPr="00F228C0">
              <w:rPr>
                <w:sz w:val="18"/>
                <w:szCs w:val="18"/>
              </w:rPr>
              <w:t>262 (66.0%)</w:t>
            </w:r>
          </w:p>
        </w:tc>
        <w:tc>
          <w:tcPr>
            <w:tcW w:w="1517" w:type="dxa"/>
            <w:hideMark/>
          </w:tcPr>
          <w:p w14:paraId="678E0AB8" w14:textId="77777777" w:rsidR="0061274E" w:rsidRPr="00F228C0" w:rsidRDefault="0061274E" w:rsidP="000B6632">
            <w:pPr>
              <w:pStyle w:val="NormalWeb"/>
              <w:jc w:val="center"/>
              <w:rPr>
                <w:sz w:val="18"/>
                <w:szCs w:val="18"/>
              </w:rPr>
            </w:pPr>
            <w:r w:rsidRPr="00F228C0">
              <w:rPr>
                <w:sz w:val="18"/>
                <w:szCs w:val="18"/>
              </w:rPr>
              <w:t>307 (75.8%)</w:t>
            </w:r>
          </w:p>
        </w:tc>
      </w:tr>
      <w:tr w:rsidR="00F228C0" w:rsidRPr="00F228C0" w14:paraId="53CC47C5" w14:textId="77777777" w:rsidTr="00F228C0">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97" w:type="dxa"/>
            <w:hideMark/>
          </w:tcPr>
          <w:p w14:paraId="1F4F6D00" w14:textId="77777777" w:rsidR="0061274E" w:rsidRPr="00F228C0" w:rsidRDefault="0061274E" w:rsidP="000B6632">
            <w:pPr>
              <w:pStyle w:val="NormalWeb"/>
              <w:rPr>
                <w:sz w:val="18"/>
                <w:szCs w:val="18"/>
              </w:rPr>
            </w:pPr>
            <w:r w:rsidRPr="00F228C0">
              <w:rPr>
                <w:sz w:val="18"/>
                <w:szCs w:val="18"/>
              </w:rPr>
              <w:t>Number of households tested by PCR</w:t>
            </w:r>
          </w:p>
        </w:tc>
        <w:tc>
          <w:tcPr>
            <w:tcW w:w="1417" w:type="dxa"/>
            <w:hideMark/>
          </w:tcPr>
          <w:p w14:paraId="4515631B" w14:textId="77777777" w:rsidR="0061274E" w:rsidRPr="00F228C0" w:rsidRDefault="0061274E" w:rsidP="000B6632">
            <w:pPr>
              <w:pStyle w:val="NormalWeb"/>
              <w:jc w:val="center"/>
              <w:rPr>
                <w:sz w:val="18"/>
                <w:szCs w:val="18"/>
              </w:rPr>
            </w:pPr>
            <w:r w:rsidRPr="00F228C0">
              <w:rPr>
                <w:sz w:val="18"/>
                <w:szCs w:val="18"/>
              </w:rPr>
              <w:t>116</w:t>
            </w:r>
          </w:p>
        </w:tc>
        <w:tc>
          <w:tcPr>
            <w:tcW w:w="1418" w:type="dxa"/>
            <w:hideMark/>
          </w:tcPr>
          <w:p w14:paraId="6087CEEF" w14:textId="77777777" w:rsidR="0061274E" w:rsidRPr="00F228C0" w:rsidRDefault="0061274E" w:rsidP="000B6632">
            <w:pPr>
              <w:pStyle w:val="NormalWeb"/>
              <w:jc w:val="center"/>
              <w:rPr>
                <w:sz w:val="18"/>
                <w:szCs w:val="18"/>
              </w:rPr>
            </w:pPr>
            <w:r w:rsidRPr="00F228C0">
              <w:rPr>
                <w:sz w:val="18"/>
                <w:szCs w:val="18"/>
              </w:rPr>
              <w:t>225</w:t>
            </w:r>
          </w:p>
        </w:tc>
        <w:tc>
          <w:tcPr>
            <w:tcW w:w="1417" w:type="dxa"/>
            <w:hideMark/>
          </w:tcPr>
          <w:p w14:paraId="551A95A4" w14:textId="77777777" w:rsidR="0061274E" w:rsidRPr="00F228C0" w:rsidRDefault="0061274E" w:rsidP="000B6632">
            <w:pPr>
              <w:pStyle w:val="NormalWeb"/>
              <w:jc w:val="center"/>
              <w:rPr>
                <w:sz w:val="18"/>
                <w:szCs w:val="18"/>
              </w:rPr>
            </w:pPr>
            <w:r w:rsidRPr="00F228C0">
              <w:rPr>
                <w:sz w:val="18"/>
                <w:szCs w:val="18"/>
              </w:rPr>
              <w:t>308</w:t>
            </w:r>
          </w:p>
        </w:tc>
        <w:tc>
          <w:tcPr>
            <w:tcW w:w="1418" w:type="dxa"/>
            <w:hideMark/>
          </w:tcPr>
          <w:p w14:paraId="77EBA737" w14:textId="77777777" w:rsidR="0061274E" w:rsidRPr="00F228C0" w:rsidRDefault="0061274E" w:rsidP="000B6632">
            <w:pPr>
              <w:pStyle w:val="NormalWeb"/>
              <w:jc w:val="center"/>
              <w:rPr>
                <w:sz w:val="18"/>
                <w:szCs w:val="18"/>
              </w:rPr>
            </w:pPr>
            <w:r w:rsidRPr="00F228C0">
              <w:rPr>
                <w:sz w:val="18"/>
                <w:szCs w:val="18"/>
              </w:rPr>
              <w:t>369</w:t>
            </w:r>
          </w:p>
        </w:tc>
        <w:tc>
          <w:tcPr>
            <w:tcW w:w="1517" w:type="dxa"/>
            <w:hideMark/>
          </w:tcPr>
          <w:p w14:paraId="267AE5BD" w14:textId="77777777" w:rsidR="0061274E" w:rsidRPr="00F228C0" w:rsidRDefault="0061274E" w:rsidP="000B6632">
            <w:pPr>
              <w:pStyle w:val="NormalWeb"/>
              <w:jc w:val="center"/>
              <w:rPr>
                <w:sz w:val="18"/>
                <w:szCs w:val="18"/>
              </w:rPr>
            </w:pPr>
            <w:r w:rsidRPr="00F228C0">
              <w:rPr>
                <w:sz w:val="18"/>
                <w:szCs w:val="18"/>
              </w:rPr>
              <w:t>361</w:t>
            </w:r>
          </w:p>
        </w:tc>
      </w:tr>
      <w:tr w:rsidR="00FF39BB" w:rsidRPr="00FF39BB" w14:paraId="590D8215" w14:textId="77777777" w:rsidTr="003A3988">
        <w:tblPrEx>
          <w:tblCellMar>
            <w:left w:w="57" w:type="dxa"/>
            <w:right w:w="57" w:type="dxa"/>
          </w:tblCellMar>
        </w:tblPrEx>
        <w:tc>
          <w:tcPr>
            <w:tcW w:w="14984" w:type="dxa"/>
            <w:gridSpan w:val="6"/>
            <w:shd w:val="clear" w:color="auto" w:fill="886E49"/>
            <w:hideMark/>
          </w:tcPr>
          <w:p w14:paraId="5EEA2EAD" w14:textId="77777777" w:rsidR="0061274E" w:rsidRPr="00FF39BB" w:rsidRDefault="0061274E" w:rsidP="000B6632">
            <w:pPr>
              <w:pStyle w:val="NormalWeb"/>
              <w:rPr>
                <w:b/>
                <w:bCs/>
                <w:color w:val="FFFFFF" w:themeColor="background1"/>
                <w:sz w:val="18"/>
                <w:szCs w:val="18"/>
              </w:rPr>
            </w:pPr>
            <w:r w:rsidRPr="00FF39BB">
              <w:rPr>
                <w:b/>
                <w:bCs/>
                <w:color w:val="FFFFFF" w:themeColor="background1"/>
                <w:sz w:val="18"/>
                <w:szCs w:val="18"/>
              </w:rPr>
              <w:t>Results by people PCR tested</w:t>
            </w:r>
          </w:p>
        </w:tc>
      </w:tr>
      <w:tr w:rsidR="00F228C0" w:rsidRPr="00F228C0" w14:paraId="7C8F31D2" w14:textId="77777777" w:rsidTr="00F228C0">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97" w:type="dxa"/>
            <w:hideMark/>
          </w:tcPr>
          <w:p w14:paraId="7644344B" w14:textId="77777777" w:rsidR="0061274E" w:rsidRPr="00F228C0" w:rsidRDefault="0061274E" w:rsidP="000B6632">
            <w:pPr>
              <w:pStyle w:val="NormalWeb"/>
              <w:rPr>
                <w:sz w:val="18"/>
                <w:szCs w:val="18"/>
              </w:rPr>
            </w:pPr>
            <w:r w:rsidRPr="00F228C0">
              <w:rPr>
                <w:sz w:val="18"/>
                <w:szCs w:val="18"/>
              </w:rPr>
              <w:t>Median age of people (with ranges) who were tested (in years)</w:t>
            </w:r>
          </w:p>
        </w:tc>
        <w:tc>
          <w:tcPr>
            <w:tcW w:w="1417" w:type="dxa"/>
            <w:hideMark/>
          </w:tcPr>
          <w:p w14:paraId="31972B31" w14:textId="77777777" w:rsidR="0061274E" w:rsidRPr="00F228C0" w:rsidRDefault="0061274E" w:rsidP="000B6632">
            <w:pPr>
              <w:pStyle w:val="NormalWeb"/>
              <w:jc w:val="center"/>
              <w:rPr>
                <w:sz w:val="18"/>
                <w:szCs w:val="18"/>
              </w:rPr>
            </w:pPr>
            <w:r w:rsidRPr="00F228C0">
              <w:rPr>
                <w:sz w:val="18"/>
                <w:szCs w:val="18"/>
              </w:rPr>
              <w:t>52.5 (21–88)</w:t>
            </w:r>
          </w:p>
        </w:tc>
        <w:tc>
          <w:tcPr>
            <w:tcW w:w="1418" w:type="dxa"/>
            <w:hideMark/>
          </w:tcPr>
          <w:p w14:paraId="0F60B9B7" w14:textId="77777777" w:rsidR="0061274E" w:rsidRPr="00F228C0" w:rsidRDefault="0061274E" w:rsidP="000B6632">
            <w:pPr>
              <w:pStyle w:val="NormalWeb"/>
              <w:jc w:val="center"/>
              <w:rPr>
                <w:sz w:val="18"/>
                <w:szCs w:val="18"/>
              </w:rPr>
            </w:pPr>
            <w:r w:rsidRPr="00F228C0">
              <w:rPr>
                <w:sz w:val="18"/>
                <w:szCs w:val="18"/>
              </w:rPr>
              <w:t>53.0 (17–88)</w:t>
            </w:r>
          </w:p>
        </w:tc>
        <w:tc>
          <w:tcPr>
            <w:tcW w:w="1417" w:type="dxa"/>
            <w:hideMark/>
          </w:tcPr>
          <w:p w14:paraId="0CC15CD4" w14:textId="77777777" w:rsidR="0061274E" w:rsidRPr="00F228C0" w:rsidRDefault="0061274E" w:rsidP="000B6632">
            <w:pPr>
              <w:pStyle w:val="NormalWeb"/>
              <w:jc w:val="center"/>
              <w:rPr>
                <w:sz w:val="18"/>
                <w:szCs w:val="18"/>
              </w:rPr>
            </w:pPr>
            <w:r w:rsidRPr="00F228C0">
              <w:rPr>
                <w:sz w:val="18"/>
                <w:szCs w:val="18"/>
              </w:rPr>
              <w:t>53.0 (18–92)</w:t>
            </w:r>
          </w:p>
        </w:tc>
        <w:tc>
          <w:tcPr>
            <w:tcW w:w="1418" w:type="dxa"/>
            <w:hideMark/>
          </w:tcPr>
          <w:p w14:paraId="7112DF18" w14:textId="77777777" w:rsidR="0061274E" w:rsidRPr="00F228C0" w:rsidRDefault="0061274E" w:rsidP="000B6632">
            <w:pPr>
              <w:pStyle w:val="NormalWeb"/>
              <w:jc w:val="center"/>
              <w:rPr>
                <w:sz w:val="18"/>
                <w:szCs w:val="18"/>
              </w:rPr>
            </w:pPr>
            <w:r w:rsidRPr="00F228C0">
              <w:rPr>
                <w:sz w:val="18"/>
                <w:szCs w:val="18"/>
              </w:rPr>
              <w:t>53.0 (20–92)</w:t>
            </w:r>
          </w:p>
        </w:tc>
        <w:tc>
          <w:tcPr>
            <w:tcW w:w="1517" w:type="dxa"/>
            <w:hideMark/>
          </w:tcPr>
          <w:p w14:paraId="7C0590C1" w14:textId="77777777" w:rsidR="0061274E" w:rsidRPr="00F228C0" w:rsidRDefault="0061274E" w:rsidP="000B6632">
            <w:pPr>
              <w:pStyle w:val="NormalWeb"/>
              <w:jc w:val="center"/>
              <w:rPr>
                <w:sz w:val="18"/>
                <w:szCs w:val="18"/>
              </w:rPr>
            </w:pPr>
            <w:r w:rsidRPr="00F228C0">
              <w:rPr>
                <w:sz w:val="18"/>
                <w:szCs w:val="18"/>
              </w:rPr>
              <w:t>56.0 (16–92)</w:t>
            </w:r>
          </w:p>
        </w:tc>
      </w:tr>
      <w:tr w:rsidR="00FF39BB" w:rsidRPr="00F228C0" w14:paraId="1DB590E1" w14:textId="77777777" w:rsidTr="00F228C0">
        <w:tblPrEx>
          <w:tblCellMar>
            <w:left w:w="57" w:type="dxa"/>
            <w:right w:w="57" w:type="dxa"/>
          </w:tblCellMar>
        </w:tblPrEx>
        <w:tc>
          <w:tcPr>
            <w:tcW w:w="7797" w:type="dxa"/>
            <w:hideMark/>
          </w:tcPr>
          <w:p w14:paraId="1C775348" w14:textId="77777777" w:rsidR="0061274E" w:rsidRPr="00F228C0" w:rsidRDefault="0061274E" w:rsidP="000B6632">
            <w:pPr>
              <w:pStyle w:val="NormalWeb"/>
              <w:rPr>
                <w:sz w:val="18"/>
                <w:szCs w:val="18"/>
              </w:rPr>
            </w:pPr>
            <w:r w:rsidRPr="00F228C0">
              <w:rPr>
                <w:sz w:val="18"/>
                <w:szCs w:val="18"/>
              </w:rPr>
              <w:t>Number of people positive</w:t>
            </w:r>
          </w:p>
        </w:tc>
        <w:tc>
          <w:tcPr>
            <w:tcW w:w="1417" w:type="dxa"/>
            <w:hideMark/>
          </w:tcPr>
          <w:p w14:paraId="28C2ACBA" w14:textId="77777777" w:rsidR="0061274E" w:rsidRPr="00F228C0" w:rsidRDefault="0061274E" w:rsidP="000B6632">
            <w:pPr>
              <w:pStyle w:val="NormalWeb"/>
              <w:jc w:val="center"/>
              <w:rPr>
                <w:sz w:val="18"/>
                <w:szCs w:val="18"/>
              </w:rPr>
            </w:pPr>
            <w:r w:rsidRPr="00F228C0">
              <w:rPr>
                <w:sz w:val="18"/>
                <w:szCs w:val="18"/>
              </w:rPr>
              <w:t>20</w:t>
            </w:r>
          </w:p>
        </w:tc>
        <w:tc>
          <w:tcPr>
            <w:tcW w:w="1418" w:type="dxa"/>
            <w:hideMark/>
          </w:tcPr>
          <w:p w14:paraId="4F691E8E" w14:textId="77777777" w:rsidR="0061274E" w:rsidRPr="00F228C0" w:rsidRDefault="0061274E" w:rsidP="000B6632">
            <w:pPr>
              <w:pStyle w:val="NormalWeb"/>
              <w:jc w:val="center"/>
              <w:rPr>
                <w:sz w:val="18"/>
                <w:szCs w:val="18"/>
              </w:rPr>
            </w:pPr>
            <w:r w:rsidRPr="00F228C0">
              <w:rPr>
                <w:sz w:val="18"/>
                <w:szCs w:val="18"/>
              </w:rPr>
              <w:t>13</w:t>
            </w:r>
          </w:p>
        </w:tc>
        <w:tc>
          <w:tcPr>
            <w:tcW w:w="1417" w:type="dxa"/>
            <w:hideMark/>
          </w:tcPr>
          <w:p w14:paraId="0EC61644" w14:textId="77777777" w:rsidR="0061274E" w:rsidRPr="00F228C0" w:rsidRDefault="0061274E" w:rsidP="000B6632">
            <w:pPr>
              <w:pStyle w:val="NormalWeb"/>
              <w:jc w:val="center"/>
              <w:rPr>
                <w:sz w:val="18"/>
                <w:szCs w:val="18"/>
              </w:rPr>
            </w:pPr>
            <w:r w:rsidRPr="00F228C0">
              <w:rPr>
                <w:sz w:val="18"/>
                <w:szCs w:val="18"/>
              </w:rPr>
              <w:t>17</w:t>
            </w:r>
          </w:p>
        </w:tc>
        <w:tc>
          <w:tcPr>
            <w:tcW w:w="1418" w:type="dxa"/>
            <w:hideMark/>
          </w:tcPr>
          <w:p w14:paraId="6050D8A9" w14:textId="77777777" w:rsidR="0061274E" w:rsidRPr="00F228C0" w:rsidRDefault="0061274E" w:rsidP="000B6632">
            <w:pPr>
              <w:pStyle w:val="NormalWeb"/>
              <w:jc w:val="center"/>
              <w:rPr>
                <w:sz w:val="18"/>
                <w:szCs w:val="18"/>
              </w:rPr>
            </w:pPr>
            <w:r w:rsidRPr="00F228C0">
              <w:rPr>
                <w:sz w:val="18"/>
                <w:szCs w:val="18"/>
              </w:rPr>
              <w:t>9</w:t>
            </w:r>
          </w:p>
        </w:tc>
        <w:tc>
          <w:tcPr>
            <w:tcW w:w="1517" w:type="dxa"/>
            <w:hideMark/>
          </w:tcPr>
          <w:p w14:paraId="1894C0CF" w14:textId="77777777" w:rsidR="0061274E" w:rsidRPr="00F228C0" w:rsidRDefault="0061274E" w:rsidP="000B6632">
            <w:pPr>
              <w:pStyle w:val="NormalWeb"/>
              <w:jc w:val="center"/>
              <w:rPr>
                <w:sz w:val="18"/>
                <w:szCs w:val="18"/>
              </w:rPr>
            </w:pPr>
            <w:r w:rsidRPr="00F228C0">
              <w:rPr>
                <w:sz w:val="18"/>
                <w:szCs w:val="18"/>
              </w:rPr>
              <w:t>4</w:t>
            </w:r>
          </w:p>
        </w:tc>
      </w:tr>
      <w:tr w:rsidR="00F228C0" w:rsidRPr="00F228C0" w14:paraId="66E478B0" w14:textId="77777777" w:rsidTr="00F228C0">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97" w:type="dxa"/>
            <w:hideMark/>
          </w:tcPr>
          <w:p w14:paraId="5983CCBF" w14:textId="77777777" w:rsidR="0061274E" w:rsidRPr="00F228C0" w:rsidRDefault="0061274E" w:rsidP="000B6632">
            <w:pPr>
              <w:pStyle w:val="NormalWeb"/>
              <w:rPr>
                <w:sz w:val="18"/>
                <w:szCs w:val="18"/>
              </w:rPr>
            </w:pPr>
            <w:r w:rsidRPr="00F228C0">
              <w:rPr>
                <w:sz w:val="18"/>
                <w:szCs w:val="18"/>
              </w:rPr>
              <w:t>Point prevalence of individuals with a PCR test detected for SARS-CoV-2</w:t>
            </w:r>
          </w:p>
        </w:tc>
        <w:tc>
          <w:tcPr>
            <w:tcW w:w="1417" w:type="dxa"/>
            <w:hideMark/>
          </w:tcPr>
          <w:p w14:paraId="3052A064" w14:textId="77777777" w:rsidR="0061274E" w:rsidRPr="00F228C0" w:rsidRDefault="0061274E" w:rsidP="000B6632">
            <w:pPr>
              <w:pStyle w:val="NormalWeb"/>
              <w:jc w:val="center"/>
              <w:rPr>
                <w:sz w:val="18"/>
                <w:szCs w:val="18"/>
              </w:rPr>
            </w:pPr>
            <w:r w:rsidRPr="00F228C0">
              <w:rPr>
                <w:sz w:val="18"/>
                <w:szCs w:val="18"/>
              </w:rPr>
              <w:t>17.2%</w:t>
            </w:r>
          </w:p>
        </w:tc>
        <w:tc>
          <w:tcPr>
            <w:tcW w:w="1418" w:type="dxa"/>
            <w:hideMark/>
          </w:tcPr>
          <w:p w14:paraId="6CDFF078" w14:textId="77777777" w:rsidR="0061274E" w:rsidRPr="00F228C0" w:rsidRDefault="0061274E" w:rsidP="000B6632">
            <w:pPr>
              <w:pStyle w:val="NormalWeb"/>
              <w:jc w:val="center"/>
              <w:rPr>
                <w:sz w:val="18"/>
                <w:szCs w:val="18"/>
              </w:rPr>
            </w:pPr>
            <w:r w:rsidRPr="00F228C0">
              <w:rPr>
                <w:sz w:val="18"/>
                <w:szCs w:val="18"/>
              </w:rPr>
              <w:t>5.8%</w:t>
            </w:r>
          </w:p>
        </w:tc>
        <w:tc>
          <w:tcPr>
            <w:tcW w:w="1417" w:type="dxa"/>
            <w:hideMark/>
          </w:tcPr>
          <w:p w14:paraId="66192B1F" w14:textId="77777777" w:rsidR="0061274E" w:rsidRPr="00F228C0" w:rsidRDefault="0061274E" w:rsidP="000B6632">
            <w:pPr>
              <w:pStyle w:val="NormalWeb"/>
              <w:jc w:val="center"/>
              <w:rPr>
                <w:sz w:val="18"/>
                <w:szCs w:val="18"/>
              </w:rPr>
            </w:pPr>
            <w:r w:rsidRPr="00F228C0">
              <w:rPr>
                <w:sz w:val="18"/>
                <w:szCs w:val="18"/>
              </w:rPr>
              <w:t>5.5%</w:t>
            </w:r>
          </w:p>
        </w:tc>
        <w:tc>
          <w:tcPr>
            <w:tcW w:w="1418" w:type="dxa"/>
            <w:hideMark/>
          </w:tcPr>
          <w:p w14:paraId="6E982418" w14:textId="77777777" w:rsidR="0061274E" w:rsidRPr="00F228C0" w:rsidRDefault="0061274E" w:rsidP="000B6632">
            <w:pPr>
              <w:pStyle w:val="NormalWeb"/>
              <w:jc w:val="center"/>
              <w:rPr>
                <w:sz w:val="18"/>
                <w:szCs w:val="18"/>
              </w:rPr>
            </w:pPr>
            <w:r w:rsidRPr="00F228C0">
              <w:rPr>
                <w:sz w:val="18"/>
                <w:szCs w:val="18"/>
              </w:rPr>
              <w:t>2.4%</w:t>
            </w:r>
          </w:p>
        </w:tc>
        <w:tc>
          <w:tcPr>
            <w:tcW w:w="1517" w:type="dxa"/>
            <w:hideMark/>
          </w:tcPr>
          <w:p w14:paraId="5DAD92C5" w14:textId="77777777" w:rsidR="0061274E" w:rsidRPr="00F228C0" w:rsidRDefault="0061274E" w:rsidP="000B6632">
            <w:pPr>
              <w:pStyle w:val="NormalWeb"/>
              <w:jc w:val="center"/>
              <w:rPr>
                <w:sz w:val="18"/>
                <w:szCs w:val="18"/>
              </w:rPr>
            </w:pPr>
            <w:r w:rsidRPr="00F228C0">
              <w:rPr>
                <w:sz w:val="18"/>
                <w:szCs w:val="18"/>
              </w:rPr>
              <w:t>1.1%</w:t>
            </w:r>
          </w:p>
        </w:tc>
      </w:tr>
      <w:tr w:rsidR="00FF39BB" w:rsidRPr="00F228C0" w14:paraId="73B776FD" w14:textId="77777777" w:rsidTr="00F228C0">
        <w:tblPrEx>
          <w:tblCellMar>
            <w:left w:w="57" w:type="dxa"/>
            <w:right w:w="57" w:type="dxa"/>
          </w:tblCellMar>
        </w:tblPrEx>
        <w:tc>
          <w:tcPr>
            <w:tcW w:w="7797" w:type="dxa"/>
            <w:hideMark/>
          </w:tcPr>
          <w:p w14:paraId="65F6F212" w14:textId="77777777" w:rsidR="0061274E" w:rsidRPr="00F228C0" w:rsidRDefault="0061274E" w:rsidP="000B6632">
            <w:pPr>
              <w:pStyle w:val="NormalWeb"/>
              <w:rPr>
                <w:sz w:val="18"/>
                <w:szCs w:val="18"/>
              </w:rPr>
            </w:pPr>
            <w:r w:rsidRPr="00F228C0">
              <w:rPr>
                <w:sz w:val="18"/>
                <w:szCs w:val="18"/>
              </w:rPr>
              <w:t>Number of people positive who previously tested positive (includes self-reported RATs)</w:t>
            </w:r>
          </w:p>
        </w:tc>
        <w:tc>
          <w:tcPr>
            <w:tcW w:w="1417" w:type="dxa"/>
            <w:hideMark/>
          </w:tcPr>
          <w:p w14:paraId="4DB1793A" w14:textId="77777777" w:rsidR="0061274E" w:rsidRPr="00F228C0" w:rsidRDefault="0061274E" w:rsidP="000B6632">
            <w:pPr>
              <w:pStyle w:val="NormalWeb"/>
              <w:jc w:val="center"/>
              <w:rPr>
                <w:sz w:val="18"/>
                <w:szCs w:val="18"/>
              </w:rPr>
            </w:pPr>
            <w:r w:rsidRPr="00F228C0">
              <w:rPr>
                <w:sz w:val="18"/>
                <w:szCs w:val="18"/>
              </w:rPr>
              <w:t>3 (15.0%)</w:t>
            </w:r>
          </w:p>
        </w:tc>
        <w:tc>
          <w:tcPr>
            <w:tcW w:w="1418" w:type="dxa"/>
            <w:hideMark/>
          </w:tcPr>
          <w:p w14:paraId="2C8473FF" w14:textId="77777777" w:rsidR="0061274E" w:rsidRPr="00F228C0" w:rsidRDefault="0061274E" w:rsidP="000B6632">
            <w:pPr>
              <w:pStyle w:val="NormalWeb"/>
              <w:jc w:val="center"/>
              <w:rPr>
                <w:sz w:val="18"/>
                <w:szCs w:val="18"/>
              </w:rPr>
            </w:pPr>
            <w:r w:rsidRPr="00F228C0">
              <w:rPr>
                <w:sz w:val="18"/>
                <w:szCs w:val="18"/>
              </w:rPr>
              <w:t>5 (38.5%)</w:t>
            </w:r>
          </w:p>
        </w:tc>
        <w:tc>
          <w:tcPr>
            <w:tcW w:w="1417" w:type="dxa"/>
            <w:hideMark/>
          </w:tcPr>
          <w:p w14:paraId="7062D3E0" w14:textId="77777777" w:rsidR="0061274E" w:rsidRPr="00F228C0" w:rsidRDefault="0061274E" w:rsidP="000B6632">
            <w:pPr>
              <w:pStyle w:val="NormalWeb"/>
              <w:jc w:val="center"/>
              <w:rPr>
                <w:sz w:val="18"/>
                <w:szCs w:val="18"/>
              </w:rPr>
            </w:pPr>
            <w:r w:rsidRPr="00F228C0">
              <w:rPr>
                <w:sz w:val="18"/>
                <w:szCs w:val="18"/>
              </w:rPr>
              <w:t>10 (58.8%)</w:t>
            </w:r>
          </w:p>
        </w:tc>
        <w:tc>
          <w:tcPr>
            <w:tcW w:w="1418" w:type="dxa"/>
            <w:hideMark/>
          </w:tcPr>
          <w:p w14:paraId="1A673B34" w14:textId="77777777" w:rsidR="0061274E" w:rsidRPr="00F228C0" w:rsidRDefault="0061274E" w:rsidP="000B6632">
            <w:pPr>
              <w:pStyle w:val="NormalWeb"/>
              <w:jc w:val="center"/>
              <w:rPr>
                <w:sz w:val="18"/>
                <w:szCs w:val="18"/>
              </w:rPr>
            </w:pPr>
            <w:r w:rsidRPr="00F228C0">
              <w:rPr>
                <w:sz w:val="18"/>
                <w:szCs w:val="18"/>
              </w:rPr>
              <w:t>4 (44.4%)</w:t>
            </w:r>
          </w:p>
        </w:tc>
        <w:tc>
          <w:tcPr>
            <w:tcW w:w="1517" w:type="dxa"/>
            <w:hideMark/>
          </w:tcPr>
          <w:p w14:paraId="0556F311" w14:textId="77777777" w:rsidR="0061274E" w:rsidRPr="00F228C0" w:rsidRDefault="0061274E" w:rsidP="000B6632">
            <w:pPr>
              <w:pStyle w:val="NormalWeb"/>
              <w:jc w:val="center"/>
              <w:rPr>
                <w:sz w:val="18"/>
                <w:szCs w:val="18"/>
              </w:rPr>
            </w:pPr>
            <w:r w:rsidRPr="00F228C0">
              <w:rPr>
                <w:sz w:val="18"/>
                <w:szCs w:val="18"/>
              </w:rPr>
              <w:t>1 (25.0%)</w:t>
            </w:r>
          </w:p>
        </w:tc>
      </w:tr>
      <w:tr w:rsidR="00F228C0" w:rsidRPr="00F228C0" w14:paraId="0DA5D816" w14:textId="77777777" w:rsidTr="00F228C0">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97" w:type="dxa"/>
            <w:hideMark/>
          </w:tcPr>
          <w:p w14:paraId="605CC15E" w14:textId="77777777" w:rsidR="0061274E" w:rsidRPr="00F228C0" w:rsidRDefault="0061274E" w:rsidP="000B6632">
            <w:pPr>
              <w:pStyle w:val="NormalWeb"/>
              <w:rPr>
                <w:sz w:val="18"/>
                <w:szCs w:val="18"/>
              </w:rPr>
            </w:pPr>
            <w:r w:rsidRPr="00F228C0">
              <w:rPr>
                <w:sz w:val="18"/>
                <w:szCs w:val="18"/>
              </w:rPr>
              <w:t>Number of people positive who were symptomatic on collection day: n (%)</w:t>
            </w:r>
          </w:p>
        </w:tc>
        <w:tc>
          <w:tcPr>
            <w:tcW w:w="1417" w:type="dxa"/>
            <w:hideMark/>
          </w:tcPr>
          <w:p w14:paraId="61731DEB" w14:textId="77777777" w:rsidR="0061274E" w:rsidRPr="00F228C0" w:rsidRDefault="0061274E" w:rsidP="000B6632">
            <w:pPr>
              <w:pStyle w:val="NormalWeb"/>
              <w:jc w:val="center"/>
              <w:rPr>
                <w:sz w:val="18"/>
                <w:szCs w:val="18"/>
              </w:rPr>
            </w:pPr>
            <w:r w:rsidRPr="00F228C0">
              <w:rPr>
                <w:sz w:val="18"/>
                <w:szCs w:val="18"/>
              </w:rPr>
              <w:t>4 (20.0%)</w:t>
            </w:r>
          </w:p>
        </w:tc>
        <w:tc>
          <w:tcPr>
            <w:tcW w:w="1418" w:type="dxa"/>
            <w:hideMark/>
          </w:tcPr>
          <w:p w14:paraId="184FBA5B" w14:textId="77777777" w:rsidR="0061274E" w:rsidRPr="00F228C0" w:rsidRDefault="0061274E" w:rsidP="000B6632">
            <w:pPr>
              <w:pStyle w:val="NormalWeb"/>
              <w:jc w:val="center"/>
              <w:rPr>
                <w:sz w:val="18"/>
                <w:szCs w:val="18"/>
              </w:rPr>
            </w:pPr>
            <w:r w:rsidRPr="00F228C0">
              <w:rPr>
                <w:sz w:val="18"/>
                <w:szCs w:val="18"/>
              </w:rPr>
              <w:t>6 (46.2%)</w:t>
            </w:r>
          </w:p>
        </w:tc>
        <w:tc>
          <w:tcPr>
            <w:tcW w:w="1417" w:type="dxa"/>
            <w:hideMark/>
          </w:tcPr>
          <w:p w14:paraId="45AD03CF" w14:textId="77777777" w:rsidR="0061274E" w:rsidRPr="00F228C0" w:rsidRDefault="0061274E" w:rsidP="000B6632">
            <w:pPr>
              <w:pStyle w:val="NormalWeb"/>
              <w:jc w:val="center"/>
              <w:rPr>
                <w:sz w:val="18"/>
                <w:szCs w:val="18"/>
              </w:rPr>
            </w:pPr>
            <w:r w:rsidRPr="00F228C0">
              <w:rPr>
                <w:sz w:val="18"/>
                <w:szCs w:val="18"/>
              </w:rPr>
              <w:t>5 (29.4%)</w:t>
            </w:r>
          </w:p>
        </w:tc>
        <w:tc>
          <w:tcPr>
            <w:tcW w:w="1418" w:type="dxa"/>
            <w:hideMark/>
          </w:tcPr>
          <w:p w14:paraId="1977F25F" w14:textId="77777777" w:rsidR="0061274E" w:rsidRPr="00F228C0" w:rsidRDefault="0061274E" w:rsidP="000B6632">
            <w:pPr>
              <w:pStyle w:val="NormalWeb"/>
              <w:jc w:val="center"/>
              <w:rPr>
                <w:sz w:val="18"/>
                <w:szCs w:val="18"/>
              </w:rPr>
            </w:pPr>
            <w:r w:rsidRPr="00F228C0">
              <w:rPr>
                <w:sz w:val="18"/>
                <w:szCs w:val="18"/>
              </w:rPr>
              <w:t>3 (33.3%)</w:t>
            </w:r>
          </w:p>
        </w:tc>
        <w:tc>
          <w:tcPr>
            <w:tcW w:w="1517" w:type="dxa"/>
            <w:hideMark/>
          </w:tcPr>
          <w:p w14:paraId="2999D5A5" w14:textId="77777777" w:rsidR="0061274E" w:rsidRPr="00F228C0" w:rsidRDefault="0061274E" w:rsidP="000B6632">
            <w:pPr>
              <w:pStyle w:val="NormalWeb"/>
              <w:jc w:val="center"/>
              <w:rPr>
                <w:sz w:val="18"/>
                <w:szCs w:val="18"/>
              </w:rPr>
            </w:pPr>
            <w:r w:rsidRPr="00F228C0">
              <w:rPr>
                <w:sz w:val="18"/>
                <w:szCs w:val="18"/>
              </w:rPr>
              <w:t>1 (25.0%)</w:t>
            </w:r>
          </w:p>
        </w:tc>
      </w:tr>
      <w:tr w:rsidR="00FF39BB" w:rsidRPr="00F228C0" w14:paraId="4EA34443" w14:textId="77777777" w:rsidTr="00F228C0">
        <w:tblPrEx>
          <w:tblCellMar>
            <w:left w:w="57" w:type="dxa"/>
            <w:right w:w="57" w:type="dxa"/>
          </w:tblCellMar>
        </w:tblPrEx>
        <w:tc>
          <w:tcPr>
            <w:tcW w:w="7797" w:type="dxa"/>
            <w:hideMark/>
          </w:tcPr>
          <w:p w14:paraId="2E5F7FDC" w14:textId="77777777" w:rsidR="0061274E" w:rsidRPr="00F228C0" w:rsidRDefault="0061274E" w:rsidP="000B6632">
            <w:pPr>
              <w:pStyle w:val="NormalWeb"/>
              <w:rPr>
                <w:sz w:val="18"/>
                <w:szCs w:val="18"/>
              </w:rPr>
            </w:pPr>
            <w:r w:rsidRPr="00F228C0">
              <w:rPr>
                <w:sz w:val="18"/>
                <w:szCs w:val="18"/>
              </w:rPr>
              <w:t>Number of people positive and unvaccinated: n (</w:t>
            </w:r>
            <w:proofErr w:type="gramStart"/>
            <w:r w:rsidRPr="00F228C0">
              <w:rPr>
                <w:sz w:val="18"/>
                <w:szCs w:val="18"/>
              </w:rPr>
              <w:t>%)</w:t>
            </w:r>
            <w:r w:rsidRPr="00F228C0">
              <w:rPr>
                <w:sz w:val="18"/>
                <w:szCs w:val="18"/>
                <w:vertAlign w:val="superscript"/>
              </w:rPr>
              <w:t>b</w:t>
            </w:r>
            <w:proofErr w:type="gramEnd"/>
          </w:p>
        </w:tc>
        <w:tc>
          <w:tcPr>
            <w:tcW w:w="1417" w:type="dxa"/>
            <w:hideMark/>
          </w:tcPr>
          <w:p w14:paraId="20B8F9C9" w14:textId="77777777" w:rsidR="0061274E" w:rsidRPr="00F228C0" w:rsidRDefault="0061274E" w:rsidP="000B6632">
            <w:pPr>
              <w:pStyle w:val="NormalWeb"/>
              <w:jc w:val="center"/>
              <w:rPr>
                <w:sz w:val="18"/>
                <w:szCs w:val="18"/>
              </w:rPr>
            </w:pPr>
            <w:r w:rsidRPr="00F228C0">
              <w:rPr>
                <w:sz w:val="18"/>
                <w:szCs w:val="18"/>
              </w:rPr>
              <w:t>4 (20.0%)</w:t>
            </w:r>
          </w:p>
        </w:tc>
        <w:tc>
          <w:tcPr>
            <w:tcW w:w="1418" w:type="dxa"/>
            <w:hideMark/>
          </w:tcPr>
          <w:p w14:paraId="735345D8" w14:textId="77777777" w:rsidR="0061274E" w:rsidRPr="00F228C0" w:rsidRDefault="0061274E" w:rsidP="000B6632">
            <w:pPr>
              <w:pStyle w:val="NormalWeb"/>
              <w:jc w:val="center"/>
              <w:rPr>
                <w:sz w:val="18"/>
                <w:szCs w:val="18"/>
              </w:rPr>
            </w:pPr>
            <w:r w:rsidRPr="00F228C0">
              <w:rPr>
                <w:sz w:val="18"/>
                <w:szCs w:val="18"/>
              </w:rPr>
              <w:t>1 (7.7%)</w:t>
            </w:r>
          </w:p>
        </w:tc>
        <w:tc>
          <w:tcPr>
            <w:tcW w:w="1417" w:type="dxa"/>
            <w:hideMark/>
          </w:tcPr>
          <w:p w14:paraId="5CAB67A7" w14:textId="77777777" w:rsidR="0061274E" w:rsidRPr="00F228C0" w:rsidRDefault="0061274E" w:rsidP="000B6632">
            <w:pPr>
              <w:pStyle w:val="NormalWeb"/>
              <w:jc w:val="center"/>
              <w:rPr>
                <w:sz w:val="18"/>
                <w:szCs w:val="18"/>
              </w:rPr>
            </w:pPr>
            <w:r w:rsidRPr="00F228C0">
              <w:rPr>
                <w:sz w:val="18"/>
                <w:szCs w:val="18"/>
              </w:rPr>
              <w:t>3 (17.6%)</w:t>
            </w:r>
          </w:p>
        </w:tc>
        <w:tc>
          <w:tcPr>
            <w:tcW w:w="1418" w:type="dxa"/>
            <w:hideMark/>
          </w:tcPr>
          <w:p w14:paraId="36B458FF" w14:textId="77777777" w:rsidR="0061274E" w:rsidRPr="00F228C0" w:rsidRDefault="0061274E" w:rsidP="000B6632">
            <w:pPr>
              <w:pStyle w:val="NormalWeb"/>
              <w:jc w:val="center"/>
              <w:rPr>
                <w:sz w:val="18"/>
                <w:szCs w:val="18"/>
              </w:rPr>
            </w:pPr>
            <w:r w:rsidRPr="00F228C0">
              <w:rPr>
                <w:sz w:val="18"/>
                <w:szCs w:val="18"/>
              </w:rPr>
              <w:t>0 (0.0%)</w:t>
            </w:r>
          </w:p>
        </w:tc>
        <w:tc>
          <w:tcPr>
            <w:tcW w:w="1517" w:type="dxa"/>
            <w:hideMark/>
          </w:tcPr>
          <w:p w14:paraId="3FC6F49F" w14:textId="77777777" w:rsidR="0061274E" w:rsidRPr="00F228C0" w:rsidRDefault="0061274E" w:rsidP="000B6632">
            <w:pPr>
              <w:pStyle w:val="NormalWeb"/>
              <w:jc w:val="center"/>
              <w:rPr>
                <w:sz w:val="18"/>
                <w:szCs w:val="18"/>
              </w:rPr>
            </w:pPr>
            <w:r w:rsidRPr="00F228C0">
              <w:rPr>
                <w:sz w:val="18"/>
                <w:szCs w:val="18"/>
              </w:rPr>
              <w:t>0 (0.0%)</w:t>
            </w:r>
          </w:p>
        </w:tc>
      </w:tr>
      <w:tr w:rsidR="00F228C0" w:rsidRPr="00F228C0" w14:paraId="799E28B9" w14:textId="77777777" w:rsidTr="00F228C0">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97" w:type="dxa"/>
            <w:hideMark/>
          </w:tcPr>
          <w:p w14:paraId="687EA9A3" w14:textId="77777777" w:rsidR="0061274E" w:rsidRPr="00F228C0" w:rsidRDefault="0061274E" w:rsidP="000B6632">
            <w:pPr>
              <w:pStyle w:val="NormalWeb"/>
              <w:rPr>
                <w:sz w:val="18"/>
                <w:szCs w:val="18"/>
              </w:rPr>
            </w:pPr>
            <w:r w:rsidRPr="00F228C0">
              <w:rPr>
                <w:sz w:val="18"/>
                <w:szCs w:val="18"/>
              </w:rPr>
              <w:t>Number of people tested who were tested in a previous week</w:t>
            </w:r>
          </w:p>
        </w:tc>
        <w:tc>
          <w:tcPr>
            <w:tcW w:w="1417" w:type="dxa"/>
            <w:hideMark/>
          </w:tcPr>
          <w:p w14:paraId="5E3EB040" w14:textId="77777777" w:rsidR="0061274E" w:rsidRPr="00F228C0" w:rsidRDefault="0061274E" w:rsidP="000B6632">
            <w:pPr>
              <w:pStyle w:val="NormalWeb"/>
              <w:jc w:val="center"/>
              <w:rPr>
                <w:sz w:val="18"/>
                <w:szCs w:val="18"/>
              </w:rPr>
            </w:pPr>
            <w:r w:rsidRPr="00F228C0">
              <w:rPr>
                <w:sz w:val="18"/>
                <w:szCs w:val="18"/>
              </w:rPr>
              <w:t>—</w:t>
            </w:r>
          </w:p>
        </w:tc>
        <w:tc>
          <w:tcPr>
            <w:tcW w:w="1418" w:type="dxa"/>
            <w:hideMark/>
          </w:tcPr>
          <w:p w14:paraId="25FC5F84" w14:textId="77777777" w:rsidR="0061274E" w:rsidRPr="00F228C0" w:rsidRDefault="0061274E" w:rsidP="000B6632">
            <w:pPr>
              <w:pStyle w:val="NormalWeb"/>
              <w:jc w:val="center"/>
              <w:rPr>
                <w:sz w:val="18"/>
                <w:szCs w:val="18"/>
              </w:rPr>
            </w:pPr>
            <w:r w:rsidRPr="00F228C0">
              <w:rPr>
                <w:sz w:val="18"/>
                <w:szCs w:val="18"/>
              </w:rPr>
              <w:t>77</w:t>
            </w:r>
          </w:p>
        </w:tc>
        <w:tc>
          <w:tcPr>
            <w:tcW w:w="1417" w:type="dxa"/>
            <w:hideMark/>
          </w:tcPr>
          <w:p w14:paraId="5DE923BE" w14:textId="77777777" w:rsidR="0061274E" w:rsidRPr="00F228C0" w:rsidRDefault="0061274E" w:rsidP="000B6632">
            <w:pPr>
              <w:pStyle w:val="NormalWeb"/>
              <w:jc w:val="center"/>
              <w:rPr>
                <w:sz w:val="18"/>
                <w:szCs w:val="18"/>
              </w:rPr>
            </w:pPr>
            <w:r w:rsidRPr="00F228C0">
              <w:rPr>
                <w:sz w:val="18"/>
                <w:szCs w:val="18"/>
              </w:rPr>
              <w:t>144</w:t>
            </w:r>
          </w:p>
        </w:tc>
        <w:tc>
          <w:tcPr>
            <w:tcW w:w="1418" w:type="dxa"/>
            <w:hideMark/>
          </w:tcPr>
          <w:p w14:paraId="540D133A" w14:textId="77777777" w:rsidR="0061274E" w:rsidRPr="00F228C0" w:rsidRDefault="0061274E" w:rsidP="000B6632">
            <w:pPr>
              <w:pStyle w:val="NormalWeb"/>
              <w:jc w:val="center"/>
              <w:rPr>
                <w:sz w:val="18"/>
                <w:szCs w:val="18"/>
              </w:rPr>
            </w:pPr>
            <w:r w:rsidRPr="00F228C0">
              <w:rPr>
                <w:sz w:val="18"/>
                <w:szCs w:val="18"/>
              </w:rPr>
              <w:t>311</w:t>
            </w:r>
          </w:p>
        </w:tc>
        <w:tc>
          <w:tcPr>
            <w:tcW w:w="1517" w:type="dxa"/>
            <w:hideMark/>
          </w:tcPr>
          <w:p w14:paraId="14A784CB" w14:textId="77777777" w:rsidR="0061274E" w:rsidRPr="00F228C0" w:rsidRDefault="0061274E" w:rsidP="000B6632">
            <w:pPr>
              <w:pStyle w:val="NormalWeb"/>
              <w:jc w:val="center"/>
              <w:rPr>
                <w:sz w:val="18"/>
                <w:szCs w:val="18"/>
              </w:rPr>
            </w:pPr>
            <w:r w:rsidRPr="00F228C0">
              <w:rPr>
                <w:sz w:val="18"/>
                <w:szCs w:val="18"/>
              </w:rPr>
              <w:t>265</w:t>
            </w:r>
          </w:p>
        </w:tc>
      </w:tr>
      <w:tr w:rsidR="00FF39BB" w:rsidRPr="00F228C0" w14:paraId="3695E1CF" w14:textId="77777777" w:rsidTr="00F228C0">
        <w:tblPrEx>
          <w:tblCellMar>
            <w:left w:w="57" w:type="dxa"/>
            <w:right w:w="57" w:type="dxa"/>
          </w:tblCellMar>
        </w:tblPrEx>
        <w:tc>
          <w:tcPr>
            <w:tcW w:w="7797" w:type="dxa"/>
            <w:hideMark/>
          </w:tcPr>
          <w:p w14:paraId="438D3E43" w14:textId="7617E199" w:rsidR="0061274E" w:rsidRPr="00F228C0" w:rsidRDefault="0061274E" w:rsidP="000B6632">
            <w:pPr>
              <w:pStyle w:val="NormalWeb"/>
              <w:rPr>
                <w:sz w:val="18"/>
                <w:szCs w:val="18"/>
              </w:rPr>
            </w:pPr>
            <w:r w:rsidRPr="00F228C0">
              <w:rPr>
                <w:sz w:val="18"/>
                <w:szCs w:val="18"/>
              </w:rPr>
              <w:t>Number of people positive among repeated swabs</w:t>
            </w:r>
          </w:p>
        </w:tc>
        <w:tc>
          <w:tcPr>
            <w:tcW w:w="1417" w:type="dxa"/>
            <w:hideMark/>
          </w:tcPr>
          <w:p w14:paraId="1C9A7053" w14:textId="77777777" w:rsidR="0061274E" w:rsidRPr="00F228C0" w:rsidRDefault="0061274E" w:rsidP="000B6632">
            <w:pPr>
              <w:pStyle w:val="NormalWeb"/>
              <w:jc w:val="center"/>
              <w:rPr>
                <w:sz w:val="18"/>
                <w:szCs w:val="18"/>
              </w:rPr>
            </w:pPr>
            <w:r w:rsidRPr="00F228C0">
              <w:rPr>
                <w:sz w:val="18"/>
                <w:szCs w:val="18"/>
              </w:rPr>
              <w:t>—</w:t>
            </w:r>
          </w:p>
        </w:tc>
        <w:tc>
          <w:tcPr>
            <w:tcW w:w="1418" w:type="dxa"/>
            <w:hideMark/>
          </w:tcPr>
          <w:p w14:paraId="6BD3EDC7" w14:textId="77777777" w:rsidR="0061274E" w:rsidRPr="00F228C0" w:rsidRDefault="0061274E" w:rsidP="000B6632">
            <w:pPr>
              <w:pStyle w:val="NormalWeb"/>
              <w:jc w:val="center"/>
              <w:rPr>
                <w:sz w:val="18"/>
                <w:szCs w:val="18"/>
              </w:rPr>
            </w:pPr>
            <w:r w:rsidRPr="00F228C0">
              <w:rPr>
                <w:sz w:val="18"/>
                <w:szCs w:val="18"/>
              </w:rPr>
              <w:t>1 (1.3%)</w:t>
            </w:r>
          </w:p>
        </w:tc>
        <w:tc>
          <w:tcPr>
            <w:tcW w:w="1417" w:type="dxa"/>
            <w:hideMark/>
          </w:tcPr>
          <w:p w14:paraId="3C55CC07" w14:textId="77777777" w:rsidR="0061274E" w:rsidRPr="00F228C0" w:rsidRDefault="0061274E" w:rsidP="000B6632">
            <w:pPr>
              <w:pStyle w:val="NormalWeb"/>
              <w:jc w:val="center"/>
              <w:rPr>
                <w:sz w:val="18"/>
                <w:szCs w:val="18"/>
              </w:rPr>
            </w:pPr>
            <w:r w:rsidRPr="00F228C0">
              <w:rPr>
                <w:sz w:val="18"/>
                <w:szCs w:val="18"/>
              </w:rPr>
              <w:t>6 (4.2%)</w:t>
            </w:r>
          </w:p>
        </w:tc>
        <w:tc>
          <w:tcPr>
            <w:tcW w:w="1418" w:type="dxa"/>
            <w:hideMark/>
          </w:tcPr>
          <w:p w14:paraId="4280EF33" w14:textId="77777777" w:rsidR="0061274E" w:rsidRPr="00F228C0" w:rsidRDefault="0061274E" w:rsidP="000B6632">
            <w:pPr>
              <w:pStyle w:val="NormalWeb"/>
              <w:jc w:val="center"/>
              <w:rPr>
                <w:sz w:val="18"/>
                <w:szCs w:val="18"/>
              </w:rPr>
            </w:pPr>
            <w:r w:rsidRPr="00F228C0">
              <w:rPr>
                <w:sz w:val="18"/>
                <w:szCs w:val="18"/>
              </w:rPr>
              <w:t>4 (1.3%)</w:t>
            </w:r>
          </w:p>
        </w:tc>
        <w:tc>
          <w:tcPr>
            <w:tcW w:w="1517" w:type="dxa"/>
            <w:hideMark/>
          </w:tcPr>
          <w:p w14:paraId="67655C61" w14:textId="77777777" w:rsidR="0061274E" w:rsidRPr="00F228C0" w:rsidRDefault="0061274E" w:rsidP="000B6632">
            <w:pPr>
              <w:pStyle w:val="NormalWeb"/>
              <w:jc w:val="center"/>
              <w:rPr>
                <w:sz w:val="18"/>
                <w:szCs w:val="18"/>
              </w:rPr>
            </w:pPr>
            <w:r w:rsidRPr="00F228C0">
              <w:rPr>
                <w:sz w:val="18"/>
                <w:szCs w:val="18"/>
              </w:rPr>
              <w:t>1 (.4%)</w:t>
            </w:r>
          </w:p>
        </w:tc>
      </w:tr>
      <w:tr w:rsidR="00FF39BB" w:rsidRPr="00FF39BB" w14:paraId="6005503E" w14:textId="77777777" w:rsidTr="009B76BD">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84" w:type="dxa"/>
            <w:gridSpan w:val="6"/>
            <w:shd w:val="clear" w:color="auto" w:fill="886E49"/>
            <w:hideMark/>
          </w:tcPr>
          <w:p w14:paraId="2F04A39B" w14:textId="77777777" w:rsidR="0061274E" w:rsidRPr="00FF39BB" w:rsidRDefault="0061274E" w:rsidP="000B6632">
            <w:pPr>
              <w:pStyle w:val="NormalWeb"/>
              <w:rPr>
                <w:b/>
                <w:bCs/>
                <w:color w:val="FFFFFF" w:themeColor="background1"/>
                <w:sz w:val="18"/>
                <w:szCs w:val="18"/>
              </w:rPr>
            </w:pPr>
            <w:r w:rsidRPr="00FF39BB">
              <w:rPr>
                <w:b/>
                <w:bCs/>
                <w:color w:val="FFFFFF" w:themeColor="background1"/>
                <w:sz w:val="18"/>
                <w:szCs w:val="18"/>
              </w:rPr>
              <w:t>Results by household</w:t>
            </w:r>
          </w:p>
        </w:tc>
      </w:tr>
      <w:tr w:rsidR="00FF39BB" w:rsidRPr="00F228C0" w14:paraId="64034A0E" w14:textId="77777777" w:rsidTr="00F228C0">
        <w:tblPrEx>
          <w:tblCellMar>
            <w:left w:w="57" w:type="dxa"/>
            <w:right w:w="57" w:type="dxa"/>
          </w:tblCellMar>
        </w:tblPrEx>
        <w:tc>
          <w:tcPr>
            <w:tcW w:w="7797" w:type="dxa"/>
            <w:hideMark/>
          </w:tcPr>
          <w:p w14:paraId="46E439AF" w14:textId="645E2110" w:rsidR="0061274E" w:rsidRPr="00F228C0" w:rsidRDefault="0061274E" w:rsidP="000B6632">
            <w:pPr>
              <w:pStyle w:val="NormalWeb"/>
              <w:rPr>
                <w:sz w:val="18"/>
                <w:szCs w:val="18"/>
              </w:rPr>
            </w:pPr>
            <w:r w:rsidRPr="00F228C0">
              <w:rPr>
                <w:sz w:val="18"/>
                <w:szCs w:val="18"/>
              </w:rPr>
              <w:t xml:space="preserve">Number of </w:t>
            </w:r>
            <w:r w:rsidR="00214290" w:rsidRPr="00F228C0">
              <w:rPr>
                <w:sz w:val="18"/>
                <w:szCs w:val="18"/>
              </w:rPr>
              <w:t>households</w:t>
            </w:r>
            <w:r w:rsidRPr="00F228C0">
              <w:rPr>
                <w:sz w:val="18"/>
                <w:szCs w:val="18"/>
              </w:rPr>
              <w:t xml:space="preserve"> with at least one positive test either on PCR or RAT: n (%)</w:t>
            </w:r>
          </w:p>
        </w:tc>
        <w:tc>
          <w:tcPr>
            <w:tcW w:w="1417" w:type="dxa"/>
            <w:hideMark/>
          </w:tcPr>
          <w:p w14:paraId="3C85BC47" w14:textId="77777777" w:rsidR="0061274E" w:rsidRPr="00F228C0" w:rsidRDefault="0061274E" w:rsidP="000B6632">
            <w:pPr>
              <w:pStyle w:val="NormalWeb"/>
              <w:jc w:val="center"/>
              <w:rPr>
                <w:sz w:val="18"/>
                <w:szCs w:val="18"/>
              </w:rPr>
            </w:pPr>
            <w:r w:rsidRPr="00F228C0">
              <w:rPr>
                <w:sz w:val="18"/>
                <w:szCs w:val="18"/>
              </w:rPr>
              <w:t>22 (18.6%)</w:t>
            </w:r>
          </w:p>
        </w:tc>
        <w:tc>
          <w:tcPr>
            <w:tcW w:w="1418" w:type="dxa"/>
            <w:hideMark/>
          </w:tcPr>
          <w:p w14:paraId="7194B121" w14:textId="77777777" w:rsidR="0061274E" w:rsidRPr="00F228C0" w:rsidRDefault="0061274E" w:rsidP="000B6632">
            <w:pPr>
              <w:pStyle w:val="NormalWeb"/>
              <w:jc w:val="center"/>
              <w:rPr>
                <w:sz w:val="18"/>
                <w:szCs w:val="18"/>
              </w:rPr>
            </w:pPr>
            <w:r w:rsidRPr="00F228C0">
              <w:rPr>
                <w:sz w:val="18"/>
                <w:szCs w:val="18"/>
              </w:rPr>
              <w:t>14 (5.7%)</w:t>
            </w:r>
          </w:p>
        </w:tc>
        <w:tc>
          <w:tcPr>
            <w:tcW w:w="1417" w:type="dxa"/>
            <w:hideMark/>
          </w:tcPr>
          <w:p w14:paraId="705C27CF" w14:textId="77777777" w:rsidR="0061274E" w:rsidRPr="00F228C0" w:rsidRDefault="0061274E" w:rsidP="000B6632">
            <w:pPr>
              <w:pStyle w:val="NormalWeb"/>
              <w:jc w:val="center"/>
              <w:rPr>
                <w:sz w:val="18"/>
                <w:szCs w:val="18"/>
              </w:rPr>
            </w:pPr>
            <w:r w:rsidRPr="00F228C0">
              <w:rPr>
                <w:sz w:val="18"/>
                <w:szCs w:val="18"/>
              </w:rPr>
              <w:t>20 (6.0%)</w:t>
            </w:r>
          </w:p>
        </w:tc>
        <w:tc>
          <w:tcPr>
            <w:tcW w:w="1418" w:type="dxa"/>
            <w:hideMark/>
          </w:tcPr>
          <w:p w14:paraId="1A7034E6" w14:textId="77777777" w:rsidR="0061274E" w:rsidRPr="00F228C0" w:rsidRDefault="0061274E" w:rsidP="000B6632">
            <w:pPr>
              <w:pStyle w:val="NormalWeb"/>
              <w:jc w:val="center"/>
              <w:rPr>
                <w:sz w:val="18"/>
                <w:szCs w:val="18"/>
              </w:rPr>
            </w:pPr>
            <w:r w:rsidRPr="00F228C0">
              <w:rPr>
                <w:sz w:val="18"/>
                <w:szCs w:val="18"/>
              </w:rPr>
              <w:t>18 (4.5%)</w:t>
            </w:r>
          </w:p>
        </w:tc>
        <w:tc>
          <w:tcPr>
            <w:tcW w:w="1517" w:type="dxa"/>
            <w:hideMark/>
          </w:tcPr>
          <w:p w14:paraId="5DAA2967" w14:textId="77777777" w:rsidR="0061274E" w:rsidRPr="00F228C0" w:rsidRDefault="0061274E" w:rsidP="000B6632">
            <w:pPr>
              <w:pStyle w:val="NormalWeb"/>
              <w:jc w:val="center"/>
              <w:rPr>
                <w:sz w:val="18"/>
                <w:szCs w:val="18"/>
              </w:rPr>
            </w:pPr>
            <w:r w:rsidRPr="00F228C0">
              <w:rPr>
                <w:sz w:val="18"/>
                <w:szCs w:val="18"/>
              </w:rPr>
              <w:t>7 (1.7%)</w:t>
            </w:r>
          </w:p>
        </w:tc>
      </w:tr>
      <w:tr w:rsidR="00FF39BB" w:rsidRPr="00FF39BB" w14:paraId="52C40E21" w14:textId="77777777" w:rsidTr="009B76BD">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984" w:type="dxa"/>
            <w:gridSpan w:val="6"/>
            <w:shd w:val="clear" w:color="auto" w:fill="886E49"/>
            <w:hideMark/>
          </w:tcPr>
          <w:p w14:paraId="6D3CDBAB" w14:textId="77777777" w:rsidR="0061274E" w:rsidRPr="00FF39BB" w:rsidRDefault="0061274E" w:rsidP="000B6632">
            <w:pPr>
              <w:pStyle w:val="NormalWeb"/>
              <w:rPr>
                <w:b/>
                <w:bCs/>
                <w:color w:val="FFFFFF" w:themeColor="background1"/>
                <w:sz w:val="18"/>
                <w:szCs w:val="18"/>
              </w:rPr>
            </w:pPr>
            <w:r w:rsidRPr="00FF39BB">
              <w:rPr>
                <w:b/>
                <w:bCs/>
                <w:color w:val="FFFFFF" w:themeColor="background1"/>
                <w:sz w:val="18"/>
                <w:szCs w:val="18"/>
              </w:rPr>
              <w:t>Gold Coast case counts</w:t>
            </w:r>
          </w:p>
        </w:tc>
      </w:tr>
      <w:tr w:rsidR="00FF39BB" w:rsidRPr="00F228C0" w14:paraId="3F026F48" w14:textId="77777777" w:rsidTr="00F228C0">
        <w:tblPrEx>
          <w:tblCellMar>
            <w:left w:w="57" w:type="dxa"/>
            <w:right w:w="57" w:type="dxa"/>
          </w:tblCellMar>
        </w:tblPrEx>
        <w:tc>
          <w:tcPr>
            <w:tcW w:w="7797" w:type="dxa"/>
            <w:hideMark/>
          </w:tcPr>
          <w:p w14:paraId="465EEE1E" w14:textId="77777777" w:rsidR="0061274E" w:rsidRPr="00F228C0" w:rsidRDefault="0061274E" w:rsidP="000B6632">
            <w:pPr>
              <w:pStyle w:val="NormalWeb"/>
              <w:rPr>
                <w:sz w:val="18"/>
                <w:szCs w:val="18"/>
              </w:rPr>
            </w:pPr>
            <w:r w:rsidRPr="00F228C0">
              <w:rPr>
                <w:sz w:val="18"/>
                <w:szCs w:val="18"/>
              </w:rPr>
              <w:t>Average number of cases of COVID-19 notified per day for that week in Gold Coast (PCR)</w:t>
            </w:r>
          </w:p>
        </w:tc>
        <w:tc>
          <w:tcPr>
            <w:tcW w:w="1417" w:type="dxa"/>
            <w:hideMark/>
          </w:tcPr>
          <w:p w14:paraId="42E1BE7A" w14:textId="77777777" w:rsidR="0061274E" w:rsidRPr="00F228C0" w:rsidRDefault="0061274E" w:rsidP="000B6632">
            <w:pPr>
              <w:pStyle w:val="NormalWeb"/>
              <w:jc w:val="center"/>
              <w:rPr>
                <w:sz w:val="18"/>
                <w:szCs w:val="18"/>
              </w:rPr>
            </w:pPr>
            <w:r w:rsidRPr="00F228C0">
              <w:rPr>
                <w:sz w:val="18"/>
                <w:szCs w:val="18"/>
              </w:rPr>
              <w:t>1,451</w:t>
            </w:r>
          </w:p>
        </w:tc>
        <w:tc>
          <w:tcPr>
            <w:tcW w:w="1418" w:type="dxa"/>
            <w:hideMark/>
          </w:tcPr>
          <w:p w14:paraId="69553665" w14:textId="77777777" w:rsidR="0061274E" w:rsidRPr="00F228C0" w:rsidRDefault="0061274E" w:rsidP="000B6632">
            <w:pPr>
              <w:pStyle w:val="NormalWeb"/>
              <w:jc w:val="center"/>
              <w:rPr>
                <w:sz w:val="18"/>
                <w:szCs w:val="18"/>
              </w:rPr>
            </w:pPr>
            <w:r w:rsidRPr="00F228C0">
              <w:rPr>
                <w:sz w:val="18"/>
                <w:szCs w:val="18"/>
              </w:rPr>
              <w:t>935</w:t>
            </w:r>
          </w:p>
        </w:tc>
        <w:tc>
          <w:tcPr>
            <w:tcW w:w="1417" w:type="dxa"/>
            <w:hideMark/>
          </w:tcPr>
          <w:p w14:paraId="0514A600" w14:textId="77777777" w:rsidR="0061274E" w:rsidRPr="00F228C0" w:rsidRDefault="0061274E" w:rsidP="000B6632">
            <w:pPr>
              <w:pStyle w:val="NormalWeb"/>
              <w:jc w:val="center"/>
              <w:rPr>
                <w:sz w:val="18"/>
                <w:szCs w:val="18"/>
              </w:rPr>
            </w:pPr>
            <w:r w:rsidRPr="00F228C0">
              <w:rPr>
                <w:sz w:val="18"/>
                <w:szCs w:val="18"/>
              </w:rPr>
              <w:t>553</w:t>
            </w:r>
          </w:p>
        </w:tc>
        <w:tc>
          <w:tcPr>
            <w:tcW w:w="1418" w:type="dxa"/>
            <w:hideMark/>
          </w:tcPr>
          <w:p w14:paraId="0430F14C" w14:textId="77777777" w:rsidR="0061274E" w:rsidRPr="00F228C0" w:rsidRDefault="0061274E" w:rsidP="000B6632">
            <w:pPr>
              <w:pStyle w:val="NormalWeb"/>
              <w:jc w:val="center"/>
              <w:rPr>
                <w:sz w:val="18"/>
                <w:szCs w:val="18"/>
              </w:rPr>
            </w:pPr>
            <w:r w:rsidRPr="00F228C0">
              <w:rPr>
                <w:sz w:val="18"/>
                <w:szCs w:val="18"/>
              </w:rPr>
              <w:t>297</w:t>
            </w:r>
          </w:p>
        </w:tc>
        <w:tc>
          <w:tcPr>
            <w:tcW w:w="1517" w:type="dxa"/>
            <w:hideMark/>
          </w:tcPr>
          <w:p w14:paraId="64A592ED" w14:textId="77777777" w:rsidR="0061274E" w:rsidRPr="00F228C0" w:rsidRDefault="0061274E" w:rsidP="000B6632">
            <w:pPr>
              <w:pStyle w:val="NormalWeb"/>
              <w:jc w:val="center"/>
              <w:rPr>
                <w:sz w:val="18"/>
                <w:szCs w:val="18"/>
              </w:rPr>
            </w:pPr>
            <w:r w:rsidRPr="00F228C0">
              <w:rPr>
                <w:sz w:val="18"/>
                <w:szCs w:val="18"/>
              </w:rPr>
              <w:t>238</w:t>
            </w:r>
          </w:p>
        </w:tc>
      </w:tr>
      <w:tr w:rsidR="00F228C0" w:rsidRPr="00F228C0" w14:paraId="6735F68E" w14:textId="77777777" w:rsidTr="00F228C0">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97" w:type="dxa"/>
            <w:hideMark/>
          </w:tcPr>
          <w:p w14:paraId="5B73E72F" w14:textId="77777777" w:rsidR="0061274E" w:rsidRPr="00F228C0" w:rsidRDefault="0061274E" w:rsidP="000B6632">
            <w:pPr>
              <w:pStyle w:val="NormalWeb"/>
              <w:rPr>
                <w:sz w:val="18"/>
                <w:szCs w:val="18"/>
              </w:rPr>
            </w:pPr>
            <w:r w:rsidRPr="00F228C0">
              <w:rPr>
                <w:sz w:val="18"/>
                <w:szCs w:val="18"/>
              </w:rPr>
              <w:t>Average proportion of PCR positive tests among people who were tested that week</w:t>
            </w:r>
          </w:p>
        </w:tc>
        <w:tc>
          <w:tcPr>
            <w:tcW w:w="1417" w:type="dxa"/>
            <w:hideMark/>
          </w:tcPr>
          <w:p w14:paraId="0878E19A" w14:textId="77777777" w:rsidR="0061274E" w:rsidRPr="00F228C0" w:rsidRDefault="0061274E" w:rsidP="000B6632">
            <w:pPr>
              <w:pStyle w:val="NormalWeb"/>
              <w:jc w:val="center"/>
              <w:rPr>
                <w:sz w:val="18"/>
                <w:szCs w:val="18"/>
              </w:rPr>
            </w:pPr>
            <w:r w:rsidRPr="00F228C0">
              <w:rPr>
                <w:sz w:val="18"/>
                <w:szCs w:val="18"/>
              </w:rPr>
              <w:t>39.6</w:t>
            </w:r>
          </w:p>
        </w:tc>
        <w:tc>
          <w:tcPr>
            <w:tcW w:w="1418" w:type="dxa"/>
            <w:hideMark/>
          </w:tcPr>
          <w:p w14:paraId="20737729" w14:textId="77777777" w:rsidR="0061274E" w:rsidRPr="00F228C0" w:rsidRDefault="0061274E" w:rsidP="000B6632">
            <w:pPr>
              <w:pStyle w:val="NormalWeb"/>
              <w:jc w:val="center"/>
              <w:rPr>
                <w:sz w:val="18"/>
                <w:szCs w:val="18"/>
              </w:rPr>
            </w:pPr>
            <w:r w:rsidRPr="00F228C0">
              <w:rPr>
                <w:sz w:val="18"/>
                <w:szCs w:val="18"/>
              </w:rPr>
              <w:t>33.8</w:t>
            </w:r>
          </w:p>
        </w:tc>
        <w:tc>
          <w:tcPr>
            <w:tcW w:w="1417" w:type="dxa"/>
            <w:hideMark/>
          </w:tcPr>
          <w:p w14:paraId="08AF2BCD" w14:textId="77777777" w:rsidR="0061274E" w:rsidRPr="00F228C0" w:rsidRDefault="0061274E" w:rsidP="000B6632">
            <w:pPr>
              <w:pStyle w:val="NormalWeb"/>
              <w:jc w:val="center"/>
              <w:rPr>
                <w:sz w:val="18"/>
                <w:szCs w:val="18"/>
              </w:rPr>
            </w:pPr>
            <w:r w:rsidRPr="00F228C0">
              <w:rPr>
                <w:sz w:val="18"/>
                <w:szCs w:val="18"/>
              </w:rPr>
              <w:t>29.5</w:t>
            </w:r>
          </w:p>
        </w:tc>
        <w:tc>
          <w:tcPr>
            <w:tcW w:w="1418" w:type="dxa"/>
            <w:hideMark/>
          </w:tcPr>
          <w:p w14:paraId="43300B06" w14:textId="77777777" w:rsidR="0061274E" w:rsidRPr="00F228C0" w:rsidRDefault="0061274E" w:rsidP="000B6632">
            <w:pPr>
              <w:pStyle w:val="NormalWeb"/>
              <w:jc w:val="center"/>
              <w:rPr>
                <w:sz w:val="18"/>
                <w:szCs w:val="18"/>
              </w:rPr>
            </w:pPr>
            <w:r w:rsidRPr="00F228C0">
              <w:rPr>
                <w:sz w:val="18"/>
                <w:szCs w:val="18"/>
              </w:rPr>
              <w:t>20.0</w:t>
            </w:r>
          </w:p>
        </w:tc>
        <w:tc>
          <w:tcPr>
            <w:tcW w:w="1517" w:type="dxa"/>
            <w:hideMark/>
          </w:tcPr>
          <w:p w14:paraId="2523BDD2" w14:textId="77777777" w:rsidR="0061274E" w:rsidRPr="00F228C0" w:rsidRDefault="0061274E" w:rsidP="000B6632">
            <w:pPr>
              <w:pStyle w:val="NormalWeb"/>
              <w:jc w:val="center"/>
              <w:rPr>
                <w:sz w:val="18"/>
                <w:szCs w:val="18"/>
              </w:rPr>
            </w:pPr>
            <w:r w:rsidRPr="00F228C0">
              <w:rPr>
                <w:sz w:val="18"/>
                <w:szCs w:val="18"/>
              </w:rPr>
              <w:t>22.0</w:t>
            </w:r>
          </w:p>
        </w:tc>
      </w:tr>
    </w:tbl>
    <w:p w14:paraId="1C409A8D" w14:textId="77777777" w:rsidR="0061274E" w:rsidRDefault="0061274E" w:rsidP="00214290">
      <w:pPr>
        <w:pStyle w:val="CDIfootnotes"/>
        <w:rPr>
          <w:lang w:val="en-GB"/>
        </w:rPr>
      </w:pPr>
      <w:proofErr w:type="spellStart"/>
      <w:r>
        <w:rPr>
          <w:lang w:val="en-GB"/>
        </w:rPr>
        <w:t>a</w:t>
      </w:r>
      <w:proofErr w:type="spellEnd"/>
      <w:r>
        <w:rPr>
          <w:lang w:val="en-GB"/>
        </w:rPr>
        <w:tab/>
        <w:t>These numbers include both newly recruited households and previously recruited households for each collection day.</w:t>
      </w:r>
    </w:p>
    <w:p w14:paraId="40F01F72" w14:textId="7265B24D" w:rsidR="0061274E" w:rsidRDefault="0061274E" w:rsidP="00214290">
      <w:pPr>
        <w:pStyle w:val="CDIfootnotes"/>
      </w:pPr>
      <w:r>
        <w:rPr>
          <w:lang w:val="en-GB"/>
        </w:rPr>
        <w:t>b</w:t>
      </w:r>
      <w:r>
        <w:rPr>
          <w:lang w:val="en-GB"/>
        </w:rPr>
        <w:tab/>
        <w:t>Regardless of previous result.</w:t>
      </w:r>
    </w:p>
    <w:p w14:paraId="7831EF9B" w14:textId="77777777" w:rsidR="00214290" w:rsidRDefault="00214290" w:rsidP="001934FB">
      <w:pPr>
        <w:pStyle w:val="Heading1"/>
        <w:sectPr w:rsidR="00214290" w:rsidSect="00214290">
          <w:footnotePr>
            <w:numFmt w:val="lowerRoman"/>
          </w:footnotePr>
          <w:pgSz w:w="16838" w:h="11906" w:orient="landscape"/>
          <w:pgMar w:top="720" w:right="720" w:bottom="720" w:left="1134" w:header="709" w:footer="284" w:gutter="0"/>
          <w:cols w:space="708"/>
          <w:titlePg/>
          <w:docGrid w:linePitch="360"/>
        </w:sectPr>
      </w:pPr>
    </w:p>
    <w:p w14:paraId="591E8DA8" w14:textId="2671D62B" w:rsidR="001934FB" w:rsidRPr="001934FB" w:rsidRDefault="001934FB" w:rsidP="001934FB">
      <w:pPr>
        <w:pStyle w:val="Heading1"/>
      </w:pPr>
      <w:r w:rsidRPr="001934FB">
        <w:lastRenderedPageBreak/>
        <w:t xml:space="preserve">Discussion </w:t>
      </w:r>
    </w:p>
    <w:p w14:paraId="042D5DC5" w14:textId="77777777" w:rsidR="001934FB" w:rsidRDefault="001934FB" w:rsidP="001934FB">
      <w:r>
        <w:t>This surveillance data showed a decrease in COVID-19 rates over the five weeks of the survey which is consistent with a decrease in rates of hospital/ICU admissions for COVID-19 on the Gold Coast. To our knowledge, this is the first time a modified randomised household cluster survey method has been used to describe the prevalence of SARS-CoV-2 in Australia. The design is derived from cluster survey methods used in low- and middle-income countries to estimate the prevalence of conditions or immunisation status.</w:t>
      </w:r>
      <w:r>
        <w:rPr>
          <w:vertAlign w:val="superscript"/>
        </w:rPr>
        <w:t>2</w:t>
      </w:r>
      <w:r>
        <w:t xml:space="preserve"> Our experience is that this type of community surveillance can have a role in the provision of basic epidemiological data such as prevalence or incidence during a significant surge of cases. Also, the correlation of these findings with temporally related hospitalisation data may provide an estimate of the proportion of people infected with B.1.1.529 variant requiring hospital/ICU admission in the Australian context. </w:t>
      </w:r>
    </w:p>
    <w:p w14:paraId="5B730C15" w14:textId="3396DAFF" w:rsidR="001934FB" w:rsidRDefault="001934FB" w:rsidP="001934FB">
      <w:r>
        <w:t xml:space="preserve">While possibly generalisable to the entire city, these results may not be representative of the pattern across the state or the rest of the country. There was an under-representation of people aged less than 40 years when compared with Gold Coast age distributions (data not shown). The survey was conducted on Saturdays; this may have contributed to an over-selection of older people, as younger people may be more likely to be out with activities. Gated communities were excluded for logistical reasons. The selection may also not be representative of the distribution of high- versus low-density accommodation on the Gold Coast. </w:t>
      </w:r>
    </w:p>
    <w:p w14:paraId="67A36056" w14:textId="77777777" w:rsidR="001934FB" w:rsidRDefault="001934FB" w:rsidP="001934FB">
      <w:r>
        <w:t>The role of symptoms in individuals is unpredictable in a willingness to participate. People may be concerned about having to isolate after a positive test (decrease in acceptance) or may want to confirm if their symptoms were due to COVID-19 (increase in acceptance). Observed self-collection of nasal swabs for PCR has previously been shown to be a comparable alternative to healthcare worker collected samples.</w:t>
      </w:r>
      <w:r>
        <w:rPr>
          <w:vertAlign w:val="superscript"/>
        </w:rPr>
        <w:t>3</w:t>
      </w:r>
      <w:r>
        <w:t xml:space="preserve"> </w:t>
      </w:r>
    </w:p>
    <w:p w14:paraId="01B3B3DD" w14:textId="77777777" w:rsidR="001934FB" w:rsidRDefault="001934FB" w:rsidP="001934FB">
      <w:r>
        <w:t xml:space="preserve">The prevalence reflects people with a positive test for SARS-CoV-2 and not whether these are active infectious cases. Some of these positive cases may be previous cases still shedding virus, as indicated by the people reporting previous positive tests, some weeks before their positive test during this program. Analysis of the PCR cycle threshold (CT) values may help in clarifying this. </w:t>
      </w:r>
    </w:p>
    <w:p w14:paraId="6607D8FC" w14:textId="04218CAB" w:rsidR="001934FB" w:rsidRDefault="001934FB" w:rsidP="001934FB">
      <w:r>
        <w:t>With the decreasing rate of people presenting for PCR testing and the availability of rapid antigen tests</w:t>
      </w:r>
      <w:r w:rsidR="00881C41">
        <w:t>,</w:t>
      </w:r>
      <w:r w:rsidR="00B0458A">
        <w:rPr>
          <w:rStyle w:val="FootnoteReference"/>
        </w:rPr>
        <w:footnoteReference w:id="2"/>
      </w:r>
      <w:r>
        <w:t xml:space="preserve"> it is unlikely that positive COVID-19 cases from PCR notifications will ever again be a reliable tool for case ascertainment. We have developed and implemented a surveillance program which could be scaled up or reproduced in other jurisdictions to estimate the point prevalence of SARS-CoV-2 in the community during or ahead of a significant surge in cases. This may have particular benefit during subsequent waves of the existing pandemic. This method could also be adapted to create a sentinel surveillance system with potential to monitor for a signal surge of cases of COVID-19 and forewarn of another wave of cases, providing health systems with additional preparation time.</w:t>
      </w:r>
    </w:p>
    <w:p w14:paraId="561C2220" w14:textId="77777777" w:rsidR="001934FB" w:rsidRPr="001934FB" w:rsidRDefault="001934FB" w:rsidP="001934FB">
      <w:pPr>
        <w:pStyle w:val="Heading1"/>
      </w:pPr>
      <w:r w:rsidRPr="001934FB">
        <w:t xml:space="preserve">Funding </w:t>
      </w:r>
    </w:p>
    <w:p w14:paraId="105609A8" w14:textId="77777777" w:rsidR="001934FB" w:rsidRDefault="001934FB" w:rsidP="001934FB">
      <w:r>
        <w:t>This work was organised as part of the Queensland Health Response to the COVID-19 pandemic. Part of the work has also been supported by a Queensland Advancing Clinical Research Fellowship awarded to Prof. Gulam Khandaker by Queensland Health’s Health Innovation, Investment and Research Office (HIRO), Office of the Director-General.</w:t>
      </w:r>
    </w:p>
    <w:p w14:paraId="17858DDB" w14:textId="77777777" w:rsidR="0037761D" w:rsidRDefault="0037761D">
      <w:pPr>
        <w:rPr>
          <w:rFonts w:asciiTheme="majorHAnsi" w:eastAsiaTheme="majorEastAsia" w:hAnsiTheme="majorHAnsi" w:cstheme="majorBidi"/>
          <w:b/>
          <w:bCs/>
          <w:sz w:val="32"/>
          <w:szCs w:val="28"/>
        </w:rPr>
      </w:pPr>
      <w:r>
        <w:br w:type="page"/>
      </w:r>
    </w:p>
    <w:p w14:paraId="4FBD3850" w14:textId="051526FE" w:rsidR="001934FB" w:rsidRPr="001934FB" w:rsidRDefault="001934FB" w:rsidP="001934FB">
      <w:pPr>
        <w:pStyle w:val="Heading1"/>
      </w:pPr>
      <w:r w:rsidRPr="001934FB">
        <w:lastRenderedPageBreak/>
        <w:t xml:space="preserve">Author details </w:t>
      </w:r>
    </w:p>
    <w:p w14:paraId="29263D70" w14:textId="19B98813" w:rsidR="001934FB" w:rsidRDefault="001934FB" w:rsidP="001934FB">
      <w:r>
        <w:t>Andre L Wattiaux</w:t>
      </w:r>
      <w:r>
        <w:rPr>
          <w:vertAlign w:val="superscript"/>
        </w:rPr>
        <w:t>1</w:t>
      </w:r>
      <w:r>
        <w:t xml:space="preserve"> </w:t>
      </w:r>
      <w:r w:rsidR="00881C41">
        <w:br/>
      </w:r>
      <w:r>
        <w:t>Fiona May</w:t>
      </w:r>
      <w:r>
        <w:rPr>
          <w:vertAlign w:val="superscript"/>
        </w:rPr>
        <w:t>1</w:t>
      </w:r>
      <w:r>
        <w:t xml:space="preserve"> </w:t>
      </w:r>
      <w:r w:rsidR="000A2D16">
        <w:br/>
      </w:r>
      <w:r>
        <w:t>Terresa Allen</w:t>
      </w:r>
      <w:r>
        <w:rPr>
          <w:vertAlign w:val="superscript"/>
        </w:rPr>
        <w:t>1</w:t>
      </w:r>
      <w:r>
        <w:t xml:space="preserve"> </w:t>
      </w:r>
      <w:r w:rsidR="00881C41">
        <w:br/>
      </w:r>
      <w:r>
        <w:t>Tracy Bladen</w:t>
      </w:r>
      <w:r>
        <w:rPr>
          <w:vertAlign w:val="superscript"/>
        </w:rPr>
        <w:t>1</w:t>
      </w:r>
      <w:r>
        <w:t xml:space="preserve"> </w:t>
      </w:r>
      <w:r w:rsidR="000A2D16">
        <w:br/>
      </w:r>
      <w:r>
        <w:t>Brielle Pery</w:t>
      </w:r>
      <w:r>
        <w:rPr>
          <w:vertAlign w:val="superscript"/>
        </w:rPr>
        <w:t>1,2</w:t>
      </w:r>
      <w:r>
        <w:t xml:space="preserve"> </w:t>
      </w:r>
      <w:r w:rsidR="00881C41">
        <w:br/>
      </w:r>
      <w:r>
        <w:t>Lisa McHugh</w:t>
      </w:r>
      <w:r>
        <w:rPr>
          <w:vertAlign w:val="superscript"/>
        </w:rPr>
        <w:t>2</w:t>
      </w:r>
      <w:r>
        <w:t xml:space="preserve"> </w:t>
      </w:r>
      <w:r w:rsidR="000A2D16">
        <w:br/>
      </w:r>
      <w:r>
        <w:t>Vicki Slinko</w:t>
      </w:r>
      <w:r>
        <w:rPr>
          <w:vertAlign w:val="superscript"/>
        </w:rPr>
        <w:t>1,2</w:t>
      </w:r>
      <w:r>
        <w:t xml:space="preserve"> </w:t>
      </w:r>
      <w:r w:rsidR="000A2D16">
        <w:br/>
      </w:r>
      <w:r>
        <w:t>Alice Sykes</w:t>
      </w:r>
      <w:r>
        <w:rPr>
          <w:vertAlign w:val="superscript"/>
        </w:rPr>
        <w:t>1</w:t>
      </w:r>
      <w:r>
        <w:t xml:space="preserve"> </w:t>
      </w:r>
      <w:r w:rsidR="000A2D16">
        <w:br/>
      </w:r>
      <w:proofErr w:type="spellStart"/>
      <w:r>
        <w:t>Lashan</w:t>
      </w:r>
      <w:proofErr w:type="spellEnd"/>
      <w:r>
        <w:t xml:space="preserve"> De</w:t>
      </w:r>
      <w:r w:rsidR="00A274BF">
        <w:t xml:space="preserve"> </w:t>
      </w:r>
      <w:r>
        <w:t>Silva</w:t>
      </w:r>
      <w:r>
        <w:rPr>
          <w:vertAlign w:val="superscript"/>
        </w:rPr>
        <w:t>1,3</w:t>
      </w:r>
      <w:r>
        <w:t xml:space="preserve"> </w:t>
      </w:r>
      <w:r w:rsidR="000A2D16">
        <w:br/>
      </w:r>
      <w:r>
        <w:t>Jay Bajra</w:t>
      </w:r>
      <w:r>
        <w:rPr>
          <w:vertAlign w:val="superscript"/>
        </w:rPr>
        <w:t>1,3</w:t>
      </w:r>
      <w:r>
        <w:t xml:space="preserve"> </w:t>
      </w:r>
      <w:r w:rsidR="000A2D16">
        <w:br/>
      </w:r>
      <w:r>
        <w:t>Ross Andrews</w:t>
      </w:r>
      <w:r>
        <w:rPr>
          <w:vertAlign w:val="superscript"/>
        </w:rPr>
        <w:t>4</w:t>
      </w:r>
      <w:r>
        <w:t xml:space="preserve"> </w:t>
      </w:r>
      <w:r w:rsidR="000A2D16">
        <w:br/>
      </w:r>
      <w:r>
        <w:t>Gulam Khandaker</w:t>
      </w:r>
      <w:r>
        <w:rPr>
          <w:vertAlign w:val="superscript"/>
        </w:rPr>
        <w:t xml:space="preserve">5 </w:t>
      </w:r>
    </w:p>
    <w:p w14:paraId="3B0FCC80" w14:textId="77777777" w:rsidR="001934FB" w:rsidRPr="001934FB" w:rsidRDefault="001934FB" w:rsidP="001934FB">
      <w:pPr>
        <w:pStyle w:val="ListParagraph"/>
        <w:numPr>
          <w:ilvl w:val="0"/>
          <w:numId w:val="9"/>
        </w:numPr>
        <w:rPr>
          <w:rFonts w:eastAsia="Times New Roman"/>
        </w:rPr>
      </w:pPr>
      <w:r w:rsidRPr="001934FB">
        <w:rPr>
          <w:rFonts w:eastAsia="Times New Roman"/>
        </w:rPr>
        <w:t xml:space="preserve">Gold Coast Public Health Unit, Gold Coast Health, Queensland Health, Australia </w:t>
      </w:r>
    </w:p>
    <w:p w14:paraId="68252A08" w14:textId="77777777" w:rsidR="001934FB" w:rsidRPr="001934FB" w:rsidRDefault="001934FB" w:rsidP="001934FB">
      <w:pPr>
        <w:pStyle w:val="ListParagraph"/>
        <w:numPr>
          <w:ilvl w:val="0"/>
          <w:numId w:val="9"/>
        </w:numPr>
        <w:rPr>
          <w:rFonts w:eastAsia="Times New Roman"/>
        </w:rPr>
      </w:pPr>
      <w:r w:rsidRPr="001934FB">
        <w:rPr>
          <w:rFonts w:eastAsia="Times New Roman"/>
        </w:rPr>
        <w:t xml:space="preserve">School of Public Health, University of Queensland, Brisbane, Queensland, Australia </w:t>
      </w:r>
    </w:p>
    <w:p w14:paraId="74CA6572" w14:textId="77777777" w:rsidR="001934FB" w:rsidRPr="001934FB" w:rsidRDefault="001934FB" w:rsidP="001934FB">
      <w:pPr>
        <w:pStyle w:val="ListParagraph"/>
        <w:numPr>
          <w:ilvl w:val="0"/>
          <w:numId w:val="9"/>
        </w:numPr>
        <w:rPr>
          <w:rFonts w:eastAsia="Times New Roman"/>
        </w:rPr>
      </w:pPr>
      <w:r w:rsidRPr="001934FB">
        <w:rPr>
          <w:rFonts w:eastAsia="Times New Roman"/>
        </w:rPr>
        <w:t xml:space="preserve">Faculty of Health Sciences and Medicine, Bond University, Australia </w:t>
      </w:r>
    </w:p>
    <w:p w14:paraId="13A2BFE0" w14:textId="77777777" w:rsidR="001934FB" w:rsidRPr="001934FB" w:rsidRDefault="001934FB" w:rsidP="001934FB">
      <w:pPr>
        <w:pStyle w:val="ListParagraph"/>
        <w:numPr>
          <w:ilvl w:val="0"/>
          <w:numId w:val="9"/>
        </w:numPr>
        <w:rPr>
          <w:rFonts w:eastAsia="Times New Roman"/>
        </w:rPr>
      </w:pPr>
      <w:r w:rsidRPr="001934FB">
        <w:rPr>
          <w:rFonts w:eastAsia="Times New Roman"/>
        </w:rPr>
        <w:t xml:space="preserve">Queensland Health, Australia </w:t>
      </w:r>
    </w:p>
    <w:p w14:paraId="65A7B8C8" w14:textId="77777777" w:rsidR="001934FB" w:rsidRPr="001934FB" w:rsidRDefault="001934FB" w:rsidP="001934FB">
      <w:pPr>
        <w:pStyle w:val="ListParagraph"/>
        <w:numPr>
          <w:ilvl w:val="0"/>
          <w:numId w:val="9"/>
        </w:numPr>
        <w:rPr>
          <w:rFonts w:eastAsia="Times New Roman"/>
        </w:rPr>
      </w:pPr>
      <w:r w:rsidRPr="001934FB">
        <w:rPr>
          <w:rFonts w:eastAsia="Times New Roman"/>
        </w:rPr>
        <w:t>Central Queensland Public Health Unit, Central Queensland Hospital and Health Service, Australia</w:t>
      </w:r>
    </w:p>
    <w:p w14:paraId="6E68CAA3" w14:textId="77777777" w:rsidR="001934FB" w:rsidRPr="001934FB" w:rsidRDefault="001934FB" w:rsidP="001934FB">
      <w:pPr>
        <w:pStyle w:val="Heading2"/>
      </w:pPr>
      <w:r w:rsidRPr="001934FB">
        <w:t xml:space="preserve">Corresponding author </w:t>
      </w:r>
    </w:p>
    <w:p w14:paraId="4532C454" w14:textId="77777777" w:rsidR="001934FB" w:rsidRDefault="001934FB" w:rsidP="001934FB">
      <w:r>
        <w:t xml:space="preserve">Andre L Wattiaux </w:t>
      </w:r>
    </w:p>
    <w:p w14:paraId="47A2A0C2" w14:textId="7FAF2819" w:rsidR="001934FB" w:rsidRDefault="001934FB" w:rsidP="001934FB">
      <w:r>
        <w:t xml:space="preserve">Medical Director, Gold Coast Public Health Unit, Gold Coast Health Gold Coast Public Health Unit |Carrara Health Centre 45 Chisholm Road, Carrara Qld 4211 PO Box 318, Nerang Qld 4211 </w:t>
      </w:r>
      <w:r w:rsidR="000A2D16">
        <w:br/>
      </w:r>
      <w:r>
        <w:t xml:space="preserve">T. (07) 5667 3200 </w:t>
      </w:r>
      <w:r w:rsidR="000A2D16">
        <w:br/>
      </w:r>
      <w:r>
        <w:t>Email: andre.wattiaux@health.qld.gov.au</w:t>
      </w:r>
    </w:p>
    <w:p w14:paraId="44FE0EF0" w14:textId="77777777" w:rsidR="001934FB" w:rsidRPr="001934FB" w:rsidRDefault="001934FB" w:rsidP="001934FB">
      <w:pPr>
        <w:pStyle w:val="Heading1"/>
      </w:pPr>
      <w:r w:rsidRPr="001934FB">
        <w:t xml:space="preserve">References </w:t>
      </w:r>
    </w:p>
    <w:p w14:paraId="618FEC92" w14:textId="77777777" w:rsidR="001934FB" w:rsidRDefault="001934FB" w:rsidP="001934FB">
      <w:pPr>
        <w:numPr>
          <w:ilvl w:val="0"/>
          <w:numId w:val="8"/>
        </w:numPr>
        <w:spacing w:before="100" w:beforeAutospacing="1" w:after="100" w:afterAutospacing="1" w:line="240" w:lineRule="auto"/>
        <w:rPr>
          <w:rFonts w:eastAsia="Times New Roman"/>
        </w:rPr>
      </w:pPr>
      <w:proofErr w:type="spellStart"/>
      <w:r>
        <w:rPr>
          <w:rFonts w:eastAsia="Times New Roman"/>
        </w:rPr>
        <w:t>Menachemi</w:t>
      </w:r>
      <w:proofErr w:type="spellEnd"/>
      <w:r>
        <w:rPr>
          <w:rFonts w:eastAsia="Times New Roman"/>
        </w:rPr>
        <w:t xml:space="preserve"> N, </w:t>
      </w:r>
      <w:proofErr w:type="spellStart"/>
      <w:r>
        <w:rPr>
          <w:rFonts w:eastAsia="Times New Roman"/>
        </w:rPr>
        <w:t>Yiannoutsos</w:t>
      </w:r>
      <w:proofErr w:type="spellEnd"/>
      <w:r>
        <w:rPr>
          <w:rFonts w:eastAsia="Times New Roman"/>
        </w:rPr>
        <w:t xml:space="preserve"> CT, Dixon BE, </w:t>
      </w:r>
      <w:proofErr w:type="spellStart"/>
      <w:r>
        <w:rPr>
          <w:rFonts w:eastAsia="Times New Roman"/>
        </w:rPr>
        <w:t>Duszynski</w:t>
      </w:r>
      <w:proofErr w:type="spellEnd"/>
      <w:r>
        <w:rPr>
          <w:rFonts w:eastAsia="Times New Roman"/>
        </w:rPr>
        <w:t xml:space="preserve"> TJ, Fadel WF, Wools-</w:t>
      </w:r>
      <w:proofErr w:type="spellStart"/>
      <w:r>
        <w:rPr>
          <w:rFonts w:eastAsia="Times New Roman"/>
        </w:rPr>
        <w:t>Kaloustian</w:t>
      </w:r>
      <w:proofErr w:type="spellEnd"/>
      <w:r>
        <w:rPr>
          <w:rFonts w:eastAsia="Times New Roman"/>
        </w:rPr>
        <w:t xml:space="preserve"> KK et al. Population </w:t>
      </w:r>
      <w:proofErr w:type="gramStart"/>
      <w:r>
        <w:rPr>
          <w:rFonts w:eastAsia="Times New Roman"/>
        </w:rPr>
        <w:t>point</w:t>
      </w:r>
      <w:proofErr w:type="gramEnd"/>
      <w:r>
        <w:rPr>
          <w:rFonts w:eastAsia="Times New Roman"/>
        </w:rPr>
        <w:t xml:space="preserve"> prevalence of SARS-CoV-2 infection based on a </w:t>
      </w:r>
      <w:proofErr w:type="spellStart"/>
      <w:r>
        <w:rPr>
          <w:rFonts w:eastAsia="Times New Roman"/>
        </w:rPr>
        <w:t>statewide</w:t>
      </w:r>
      <w:proofErr w:type="spellEnd"/>
      <w:r>
        <w:rPr>
          <w:rFonts w:eastAsia="Times New Roman"/>
        </w:rPr>
        <w:t xml:space="preserve"> random sample – Indiana, April 25-29, 2020. </w:t>
      </w:r>
      <w:r w:rsidRPr="00154DA3">
        <w:rPr>
          <w:rStyle w:val="Emphasis"/>
          <w:rFonts w:eastAsia="Times New Roman"/>
          <w:b w:val="0"/>
          <w:bCs w:val="0"/>
        </w:rPr>
        <w:t xml:space="preserve">MMWR </w:t>
      </w:r>
      <w:proofErr w:type="spellStart"/>
      <w:r w:rsidRPr="00154DA3">
        <w:rPr>
          <w:rStyle w:val="Emphasis"/>
          <w:rFonts w:eastAsia="Times New Roman"/>
          <w:b w:val="0"/>
          <w:bCs w:val="0"/>
        </w:rPr>
        <w:t>Morb</w:t>
      </w:r>
      <w:proofErr w:type="spellEnd"/>
      <w:r w:rsidRPr="00154DA3">
        <w:rPr>
          <w:rStyle w:val="Emphasis"/>
          <w:rFonts w:eastAsia="Times New Roman"/>
          <w:b w:val="0"/>
          <w:bCs w:val="0"/>
        </w:rPr>
        <w:t xml:space="preserve"> Mortal </w:t>
      </w:r>
      <w:proofErr w:type="spellStart"/>
      <w:r w:rsidRPr="00154DA3">
        <w:rPr>
          <w:rStyle w:val="Emphasis"/>
          <w:rFonts w:eastAsia="Times New Roman"/>
          <w:b w:val="0"/>
          <w:bCs w:val="0"/>
        </w:rPr>
        <w:t>Wkly</w:t>
      </w:r>
      <w:proofErr w:type="spellEnd"/>
      <w:r w:rsidRPr="00154DA3">
        <w:rPr>
          <w:rStyle w:val="Emphasis"/>
          <w:rFonts w:eastAsia="Times New Roman"/>
          <w:b w:val="0"/>
          <w:bCs w:val="0"/>
        </w:rPr>
        <w:t xml:space="preserve"> Rep</w:t>
      </w:r>
      <w:r>
        <w:rPr>
          <w:rFonts w:eastAsia="Times New Roman"/>
        </w:rPr>
        <w:t xml:space="preserve">. 2020;69(29):960–4. </w:t>
      </w:r>
      <w:proofErr w:type="spellStart"/>
      <w:r>
        <w:rPr>
          <w:rFonts w:eastAsia="Times New Roman"/>
        </w:rPr>
        <w:t>doi</w:t>
      </w:r>
      <w:proofErr w:type="spellEnd"/>
      <w:r>
        <w:rPr>
          <w:rFonts w:eastAsia="Times New Roman"/>
        </w:rPr>
        <w:t xml:space="preserve">: https://doi.org/10.15585/mmwr.mm6929e1. </w:t>
      </w:r>
    </w:p>
    <w:p w14:paraId="69737FA4" w14:textId="77777777" w:rsidR="001934FB" w:rsidRDefault="001934FB" w:rsidP="001934FB">
      <w:pPr>
        <w:numPr>
          <w:ilvl w:val="0"/>
          <w:numId w:val="8"/>
        </w:numPr>
        <w:spacing w:before="100" w:beforeAutospacing="1" w:after="100" w:afterAutospacing="1" w:line="240" w:lineRule="auto"/>
        <w:rPr>
          <w:rFonts w:eastAsia="Times New Roman"/>
        </w:rPr>
      </w:pPr>
      <w:proofErr w:type="spellStart"/>
      <w:r>
        <w:rPr>
          <w:rFonts w:eastAsia="Times New Roman"/>
        </w:rPr>
        <w:t>Subaiya</w:t>
      </w:r>
      <w:proofErr w:type="spellEnd"/>
      <w:r>
        <w:rPr>
          <w:rFonts w:eastAsia="Times New Roman"/>
        </w:rPr>
        <w:t xml:space="preserve"> S, Tabu C, </w:t>
      </w:r>
      <w:proofErr w:type="spellStart"/>
      <w:r>
        <w:rPr>
          <w:rFonts w:eastAsia="Times New Roman"/>
        </w:rPr>
        <w:t>N’ganga</w:t>
      </w:r>
      <w:proofErr w:type="spellEnd"/>
      <w:r>
        <w:rPr>
          <w:rFonts w:eastAsia="Times New Roman"/>
        </w:rPr>
        <w:t xml:space="preserve"> J, Awes AA, </w:t>
      </w:r>
      <w:proofErr w:type="spellStart"/>
      <w:r>
        <w:rPr>
          <w:rFonts w:eastAsia="Times New Roman"/>
        </w:rPr>
        <w:t>Sergon</w:t>
      </w:r>
      <w:proofErr w:type="spellEnd"/>
      <w:r>
        <w:rPr>
          <w:rFonts w:eastAsia="Times New Roman"/>
        </w:rPr>
        <w:t xml:space="preserve"> K, Cosmas L et al. Use of the revised World Health Organization cluster survey methodology to classify measles-rubella vaccination campaign coverage in 47 counties in Kenya, 2016. </w:t>
      </w:r>
      <w:proofErr w:type="spellStart"/>
      <w:r w:rsidRPr="00154DA3">
        <w:rPr>
          <w:rStyle w:val="Emphasis"/>
          <w:rFonts w:eastAsia="Times New Roman"/>
          <w:b w:val="0"/>
          <w:bCs w:val="0"/>
        </w:rPr>
        <w:t>PLoS</w:t>
      </w:r>
      <w:proofErr w:type="spellEnd"/>
      <w:r w:rsidRPr="00154DA3">
        <w:rPr>
          <w:rStyle w:val="Emphasis"/>
          <w:rFonts w:eastAsia="Times New Roman"/>
          <w:b w:val="0"/>
          <w:bCs w:val="0"/>
        </w:rPr>
        <w:t xml:space="preserve"> One</w:t>
      </w:r>
      <w:r>
        <w:rPr>
          <w:rFonts w:eastAsia="Times New Roman"/>
        </w:rPr>
        <w:t>. 2018;13(7</w:t>
      </w:r>
      <w:proofErr w:type="gramStart"/>
      <w:r>
        <w:rPr>
          <w:rFonts w:eastAsia="Times New Roman"/>
        </w:rPr>
        <w:t>):e</w:t>
      </w:r>
      <w:proofErr w:type="gramEnd"/>
      <w:r>
        <w:rPr>
          <w:rFonts w:eastAsia="Times New Roman"/>
        </w:rPr>
        <w:t xml:space="preserve">0199786. </w:t>
      </w:r>
      <w:proofErr w:type="spellStart"/>
      <w:r>
        <w:rPr>
          <w:rFonts w:eastAsia="Times New Roman"/>
        </w:rPr>
        <w:t>doi</w:t>
      </w:r>
      <w:proofErr w:type="spellEnd"/>
      <w:r>
        <w:rPr>
          <w:rFonts w:eastAsia="Times New Roman"/>
        </w:rPr>
        <w:t xml:space="preserve">: https://doi.org/10.1371/journal.pone.0199786. </w:t>
      </w:r>
    </w:p>
    <w:p w14:paraId="0EF4B848" w14:textId="77777777" w:rsidR="001934FB" w:rsidRDefault="001934FB" w:rsidP="001934FB">
      <w:pPr>
        <w:numPr>
          <w:ilvl w:val="0"/>
          <w:numId w:val="8"/>
        </w:numPr>
        <w:spacing w:before="100" w:beforeAutospacing="1" w:after="100" w:afterAutospacing="1" w:line="240" w:lineRule="auto"/>
        <w:rPr>
          <w:rFonts w:eastAsia="Times New Roman"/>
        </w:rPr>
      </w:pPr>
      <w:proofErr w:type="spellStart"/>
      <w:r>
        <w:rPr>
          <w:rFonts w:eastAsia="Times New Roman"/>
        </w:rPr>
        <w:t>Therchilsen</w:t>
      </w:r>
      <w:proofErr w:type="spellEnd"/>
      <w:r>
        <w:rPr>
          <w:rFonts w:eastAsia="Times New Roman"/>
        </w:rPr>
        <w:t xml:space="preserve"> JH, von Buchwald C, Koch A, Dam Nielsen S, Rasmussen DB, </w:t>
      </w:r>
      <w:proofErr w:type="spellStart"/>
      <w:r>
        <w:rPr>
          <w:rFonts w:eastAsia="Times New Roman"/>
        </w:rPr>
        <w:t>Thudium</w:t>
      </w:r>
      <w:proofErr w:type="spellEnd"/>
      <w:r>
        <w:rPr>
          <w:rFonts w:eastAsia="Times New Roman"/>
        </w:rPr>
        <w:t xml:space="preserve"> RF et al. Self-collected versus healthcare worker-collected swabs in the diagnosis of Severe Acute Respiratory Syndrome Coronavirus 2. </w:t>
      </w:r>
      <w:r w:rsidRPr="00154DA3">
        <w:rPr>
          <w:rStyle w:val="Emphasis"/>
          <w:rFonts w:eastAsia="Times New Roman"/>
          <w:b w:val="0"/>
          <w:bCs w:val="0"/>
        </w:rPr>
        <w:t>Diagnostics (Basel)</w:t>
      </w:r>
      <w:r>
        <w:rPr>
          <w:rFonts w:eastAsia="Times New Roman"/>
        </w:rPr>
        <w:t xml:space="preserve">. 2020;10(9):678. </w:t>
      </w:r>
      <w:proofErr w:type="spellStart"/>
      <w:r>
        <w:rPr>
          <w:rFonts w:eastAsia="Times New Roman"/>
        </w:rPr>
        <w:t>doi</w:t>
      </w:r>
      <w:proofErr w:type="spellEnd"/>
      <w:r>
        <w:rPr>
          <w:rFonts w:eastAsia="Times New Roman"/>
        </w:rPr>
        <w:t xml:space="preserve">: https://doi.org/10.3390/diagnostics10090678. </w:t>
      </w:r>
    </w:p>
    <w:p w14:paraId="51620672" w14:textId="77777777" w:rsidR="00154DA3" w:rsidRDefault="00154DA3">
      <w:pPr>
        <w:rPr>
          <w:rFonts w:asciiTheme="majorHAnsi" w:eastAsiaTheme="majorEastAsia" w:hAnsiTheme="majorHAnsi" w:cstheme="majorBidi"/>
          <w:b/>
          <w:bCs/>
          <w:sz w:val="32"/>
          <w:szCs w:val="28"/>
        </w:rPr>
      </w:pPr>
      <w:r>
        <w:br w:type="page"/>
      </w:r>
    </w:p>
    <w:p w14:paraId="5D4E65BD" w14:textId="58A1C727" w:rsidR="001934FB" w:rsidRPr="001934FB" w:rsidRDefault="001934FB" w:rsidP="001934FB">
      <w:pPr>
        <w:pStyle w:val="Heading1"/>
      </w:pPr>
      <w:r w:rsidRPr="001934FB">
        <w:lastRenderedPageBreak/>
        <w:t xml:space="preserve">Appendix A </w:t>
      </w:r>
    </w:p>
    <w:p w14:paraId="6F325A34" w14:textId="77777777" w:rsidR="00154DA3" w:rsidRPr="00F75E84" w:rsidRDefault="00154DA3" w:rsidP="00F75E84">
      <w:pPr>
        <w:pStyle w:val="CDIFigures"/>
      </w:pPr>
      <w:r w:rsidRPr="00F75E84">
        <w:t xml:space="preserve">Table A.1: Included SA3 areas in Gold Coast region with population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A table displaying the population for each of the nine Statistical Area 3 (SA3) regions included within the study."/>
      </w:tblPr>
      <w:tblGrid>
        <w:gridCol w:w="5220"/>
        <w:gridCol w:w="5220"/>
      </w:tblGrid>
      <w:tr w:rsidR="00154DA3" w:rsidRPr="009B76BD" w14:paraId="714DB9C8" w14:textId="77777777" w:rsidTr="009B76BD">
        <w:trPr>
          <w:cnfStyle w:val="100000000000" w:firstRow="1" w:lastRow="0" w:firstColumn="0" w:lastColumn="0" w:oddVBand="0" w:evenVBand="0" w:oddHBand="0" w:evenHBand="0" w:firstRowFirstColumn="0" w:firstRowLastColumn="0" w:lastRowFirstColumn="0" w:lastRowLastColumn="0"/>
        </w:trPr>
        <w:tc>
          <w:tcPr>
            <w:tcW w:w="5220" w:type="dxa"/>
            <w:tcBorders>
              <w:right w:val="single" w:sz="2" w:space="0" w:color="FFFFFF" w:themeColor="background1"/>
            </w:tcBorders>
            <w:hideMark/>
          </w:tcPr>
          <w:p w14:paraId="79BB7419" w14:textId="77777777" w:rsidR="00154DA3" w:rsidRPr="009B76BD" w:rsidRDefault="00154DA3" w:rsidP="000B6632">
            <w:pPr>
              <w:pStyle w:val="NormalWeb"/>
              <w:rPr>
                <w:color w:val="FFFFFF" w:themeColor="background1"/>
                <w:sz w:val="18"/>
                <w:szCs w:val="18"/>
              </w:rPr>
            </w:pPr>
            <w:r w:rsidRPr="009B76BD">
              <w:rPr>
                <w:color w:val="FFFFFF" w:themeColor="background1"/>
                <w:sz w:val="18"/>
                <w:szCs w:val="18"/>
              </w:rPr>
              <w:t>SA3 name</w:t>
            </w:r>
          </w:p>
        </w:tc>
        <w:tc>
          <w:tcPr>
            <w:tcW w:w="5220" w:type="dxa"/>
            <w:tcBorders>
              <w:left w:val="single" w:sz="2" w:space="0" w:color="FFFFFF" w:themeColor="background1"/>
            </w:tcBorders>
            <w:hideMark/>
          </w:tcPr>
          <w:p w14:paraId="2761E2FD" w14:textId="77777777" w:rsidR="00154DA3" w:rsidRPr="009B76BD" w:rsidRDefault="00154DA3" w:rsidP="00C47B8E">
            <w:pPr>
              <w:pStyle w:val="NormalWeb"/>
              <w:jc w:val="center"/>
              <w:rPr>
                <w:color w:val="FFFFFF" w:themeColor="background1"/>
                <w:sz w:val="18"/>
                <w:szCs w:val="18"/>
              </w:rPr>
            </w:pPr>
            <w:r w:rsidRPr="009B76BD">
              <w:rPr>
                <w:color w:val="FFFFFF" w:themeColor="background1"/>
                <w:sz w:val="18"/>
                <w:szCs w:val="18"/>
              </w:rPr>
              <w:t>Population</w:t>
            </w:r>
          </w:p>
        </w:tc>
      </w:tr>
      <w:tr w:rsidR="00154DA3" w:rsidRPr="009B76BD" w14:paraId="781FEEC3" w14:textId="77777777" w:rsidTr="009B76BD">
        <w:tc>
          <w:tcPr>
            <w:tcW w:w="5220" w:type="dxa"/>
            <w:hideMark/>
          </w:tcPr>
          <w:p w14:paraId="4DDD1E7F" w14:textId="77777777" w:rsidR="00154DA3" w:rsidRPr="009B76BD" w:rsidRDefault="00154DA3" w:rsidP="000B6632">
            <w:pPr>
              <w:pStyle w:val="NormalWeb"/>
              <w:rPr>
                <w:sz w:val="18"/>
                <w:szCs w:val="18"/>
              </w:rPr>
            </w:pPr>
            <w:r w:rsidRPr="009B76BD">
              <w:rPr>
                <w:sz w:val="18"/>
                <w:szCs w:val="18"/>
              </w:rPr>
              <w:t>Mudgeeraba - Tallebudgera</w:t>
            </w:r>
          </w:p>
        </w:tc>
        <w:tc>
          <w:tcPr>
            <w:tcW w:w="5220" w:type="dxa"/>
            <w:hideMark/>
          </w:tcPr>
          <w:p w14:paraId="36E7DD42" w14:textId="77777777" w:rsidR="00154DA3" w:rsidRPr="009B76BD" w:rsidRDefault="00154DA3" w:rsidP="00C47B8E">
            <w:pPr>
              <w:pStyle w:val="NormalWeb"/>
              <w:jc w:val="center"/>
              <w:rPr>
                <w:sz w:val="18"/>
                <w:szCs w:val="18"/>
              </w:rPr>
            </w:pPr>
            <w:r w:rsidRPr="009B76BD">
              <w:rPr>
                <w:sz w:val="18"/>
                <w:szCs w:val="18"/>
              </w:rPr>
              <w:t>36,681</w:t>
            </w:r>
          </w:p>
        </w:tc>
      </w:tr>
      <w:tr w:rsidR="00154DA3" w:rsidRPr="009B76BD" w14:paraId="7BB5F489" w14:textId="77777777" w:rsidTr="009B76BD">
        <w:trPr>
          <w:cnfStyle w:val="000000010000" w:firstRow="0" w:lastRow="0" w:firstColumn="0" w:lastColumn="0" w:oddVBand="0" w:evenVBand="0" w:oddHBand="0" w:evenHBand="1" w:firstRowFirstColumn="0" w:firstRowLastColumn="0" w:lastRowFirstColumn="0" w:lastRowLastColumn="0"/>
        </w:trPr>
        <w:tc>
          <w:tcPr>
            <w:tcW w:w="5220" w:type="dxa"/>
            <w:hideMark/>
          </w:tcPr>
          <w:p w14:paraId="7C179B1C" w14:textId="77777777" w:rsidR="00154DA3" w:rsidRPr="009B76BD" w:rsidRDefault="00154DA3" w:rsidP="000B6632">
            <w:pPr>
              <w:pStyle w:val="NormalWeb"/>
              <w:rPr>
                <w:sz w:val="18"/>
                <w:szCs w:val="18"/>
              </w:rPr>
            </w:pPr>
            <w:r w:rsidRPr="009B76BD">
              <w:rPr>
                <w:sz w:val="18"/>
                <w:szCs w:val="18"/>
              </w:rPr>
              <w:t>Surfers Paradise</w:t>
            </w:r>
          </w:p>
        </w:tc>
        <w:tc>
          <w:tcPr>
            <w:tcW w:w="5220" w:type="dxa"/>
            <w:hideMark/>
          </w:tcPr>
          <w:p w14:paraId="30A66D25" w14:textId="77777777" w:rsidR="00154DA3" w:rsidRPr="009B76BD" w:rsidRDefault="00154DA3" w:rsidP="00C47B8E">
            <w:pPr>
              <w:pStyle w:val="NormalWeb"/>
              <w:jc w:val="center"/>
              <w:rPr>
                <w:sz w:val="18"/>
                <w:szCs w:val="18"/>
              </w:rPr>
            </w:pPr>
            <w:r w:rsidRPr="009B76BD">
              <w:rPr>
                <w:sz w:val="18"/>
                <w:szCs w:val="18"/>
              </w:rPr>
              <w:t>46,980</w:t>
            </w:r>
          </w:p>
        </w:tc>
      </w:tr>
      <w:tr w:rsidR="00154DA3" w:rsidRPr="009B76BD" w14:paraId="37FAB8A6" w14:textId="77777777" w:rsidTr="009B76BD">
        <w:tc>
          <w:tcPr>
            <w:tcW w:w="5220" w:type="dxa"/>
            <w:hideMark/>
          </w:tcPr>
          <w:p w14:paraId="0E7332A5" w14:textId="77777777" w:rsidR="00154DA3" w:rsidRPr="009B76BD" w:rsidRDefault="00154DA3" w:rsidP="000B6632">
            <w:pPr>
              <w:pStyle w:val="NormalWeb"/>
              <w:rPr>
                <w:sz w:val="18"/>
                <w:szCs w:val="18"/>
              </w:rPr>
            </w:pPr>
            <w:r w:rsidRPr="009B76BD">
              <w:rPr>
                <w:sz w:val="18"/>
                <w:szCs w:val="18"/>
              </w:rPr>
              <w:t>Robina</w:t>
            </w:r>
          </w:p>
        </w:tc>
        <w:tc>
          <w:tcPr>
            <w:tcW w:w="5220" w:type="dxa"/>
            <w:hideMark/>
          </w:tcPr>
          <w:p w14:paraId="746A959E" w14:textId="77777777" w:rsidR="00154DA3" w:rsidRPr="009B76BD" w:rsidRDefault="00154DA3" w:rsidP="00C47B8E">
            <w:pPr>
              <w:pStyle w:val="NormalWeb"/>
              <w:jc w:val="center"/>
              <w:rPr>
                <w:sz w:val="18"/>
                <w:szCs w:val="18"/>
              </w:rPr>
            </w:pPr>
            <w:r w:rsidRPr="009B76BD">
              <w:rPr>
                <w:sz w:val="18"/>
                <w:szCs w:val="18"/>
              </w:rPr>
              <w:t>55,211</w:t>
            </w:r>
          </w:p>
        </w:tc>
      </w:tr>
      <w:tr w:rsidR="00154DA3" w:rsidRPr="009B76BD" w14:paraId="769E9CFA" w14:textId="77777777" w:rsidTr="009B76BD">
        <w:trPr>
          <w:cnfStyle w:val="000000010000" w:firstRow="0" w:lastRow="0" w:firstColumn="0" w:lastColumn="0" w:oddVBand="0" w:evenVBand="0" w:oddHBand="0" w:evenHBand="1" w:firstRowFirstColumn="0" w:firstRowLastColumn="0" w:lastRowFirstColumn="0" w:lastRowLastColumn="0"/>
        </w:trPr>
        <w:tc>
          <w:tcPr>
            <w:tcW w:w="5220" w:type="dxa"/>
            <w:hideMark/>
          </w:tcPr>
          <w:p w14:paraId="288A81A9" w14:textId="77777777" w:rsidR="00154DA3" w:rsidRPr="009B76BD" w:rsidRDefault="00154DA3" w:rsidP="000B6632">
            <w:pPr>
              <w:pStyle w:val="NormalWeb"/>
              <w:rPr>
                <w:sz w:val="18"/>
                <w:szCs w:val="18"/>
              </w:rPr>
            </w:pPr>
            <w:r w:rsidRPr="009B76BD">
              <w:rPr>
                <w:sz w:val="18"/>
                <w:szCs w:val="18"/>
              </w:rPr>
              <w:t>Coolangatta</w:t>
            </w:r>
          </w:p>
        </w:tc>
        <w:tc>
          <w:tcPr>
            <w:tcW w:w="5220" w:type="dxa"/>
            <w:hideMark/>
          </w:tcPr>
          <w:p w14:paraId="649D0390" w14:textId="77777777" w:rsidR="00154DA3" w:rsidRPr="009B76BD" w:rsidRDefault="00154DA3" w:rsidP="00C47B8E">
            <w:pPr>
              <w:pStyle w:val="NormalWeb"/>
              <w:jc w:val="center"/>
              <w:rPr>
                <w:sz w:val="18"/>
                <w:szCs w:val="18"/>
              </w:rPr>
            </w:pPr>
            <w:r w:rsidRPr="009B76BD">
              <w:rPr>
                <w:sz w:val="18"/>
                <w:szCs w:val="18"/>
              </w:rPr>
              <w:t>58,850</w:t>
            </w:r>
          </w:p>
        </w:tc>
      </w:tr>
      <w:tr w:rsidR="00154DA3" w:rsidRPr="009B76BD" w14:paraId="2B3CEDD8" w14:textId="77777777" w:rsidTr="009B76BD">
        <w:tc>
          <w:tcPr>
            <w:tcW w:w="5220" w:type="dxa"/>
            <w:hideMark/>
          </w:tcPr>
          <w:p w14:paraId="3DF911B7" w14:textId="77777777" w:rsidR="00154DA3" w:rsidRPr="009B76BD" w:rsidRDefault="00154DA3" w:rsidP="000B6632">
            <w:pPr>
              <w:pStyle w:val="NormalWeb"/>
              <w:rPr>
                <w:sz w:val="18"/>
                <w:szCs w:val="18"/>
              </w:rPr>
            </w:pPr>
            <w:r w:rsidRPr="009B76BD">
              <w:rPr>
                <w:sz w:val="18"/>
                <w:szCs w:val="18"/>
              </w:rPr>
              <w:t>Southport</w:t>
            </w:r>
          </w:p>
        </w:tc>
        <w:tc>
          <w:tcPr>
            <w:tcW w:w="5220" w:type="dxa"/>
            <w:hideMark/>
          </w:tcPr>
          <w:p w14:paraId="17296CBB" w14:textId="77777777" w:rsidR="00154DA3" w:rsidRPr="009B76BD" w:rsidRDefault="00154DA3" w:rsidP="00C47B8E">
            <w:pPr>
              <w:pStyle w:val="NormalWeb"/>
              <w:jc w:val="center"/>
              <w:rPr>
                <w:sz w:val="18"/>
                <w:szCs w:val="18"/>
              </w:rPr>
            </w:pPr>
            <w:r w:rsidRPr="009B76BD">
              <w:rPr>
                <w:sz w:val="18"/>
                <w:szCs w:val="18"/>
              </w:rPr>
              <w:t>63,967</w:t>
            </w:r>
          </w:p>
        </w:tc>
      </w:tr>
      <w:tr w:rsidR="00154DA3" w:rsidRPr="009B76BD" w14:paraId="32876A2C" w14:textId="77777777" w:rsidTr="009B76BD">
        <w:trPr>
          <w:cnfStyle w:val="000000010000" w:firstRow="0" w:lastRow="0" w:firstColumn="0" w:lastColumn="0" w:oddVBand="0" w:evenVBand="0" w:oddHBand="0" w:evenHBand="1" w:firstRowFirstColumn="0" w:firstRowLastColumn="0" w:lastRowFirstColumn="0" w:lastRowLastColumn="0"/>
        </w:trPr>
        <w:tc>
          <w:tcPr>
            <w:tcW w:w="5220" w:type="dxa"/>
            <w:hideMark/>
          </w:tcPr>
          <w:p w14:paraId="5B7D3BE0" w14:textId="77777777" w:rsidR="00154DA3" w:rsidRPr="009B76BD" w:rsidRDefault="00154DA3" w:rsidP="000B6632">
            <w:pPr>
              <w:pStyle w:val="NormalWeb"/>
              <w:rPr>
                <w:sz w:val="18"/>
                <w:szCs w:val="18"/>
              </w:rPr>
            </w:pPr>
            <w:r w:rsidRPr="009B76BD">
              <w:rPr>
                <w:sz w:val="18"/>
                <w:szCs w:val="18"/>
              </w:rPr>
              <w:t>Broadbeach - Burleigh</w:t>
            </w:r>
          </w:p>
        </w:tc>
        <w:tc>
          <w:tcPr>
            <w:tcW w:w="5220" w:type="dxa"/>
            <w:hideMark/>
          </w:tcPr>
          <w:p w14:paraId="6E6EFA5B" w14:textId="77777777" w:rsidR="00154DA3" w:rsidRPr="009B76BD" w:rsidRDefault="00154DA3" w:rsidP="00C47B8E">
            <w:pPr>
              <w:pStyle w:val="NormalWeb"/>
              <w:jc w:val="center"/>
              <w:rPr>
                <w:sz w:val="18"/>
                <w:szCs w:val="18"/>
              </w:rPr>
            </w:pPr>
            <w:r w:rsidRPr="009B76BD">
              <w:rPr>
                <w:sz w:val="18"/>
                <w:szCs w:val="18"/>
              </w:rPr>
              <w:t>67,014</w:t>
            </w:r>
          </w:p>
        </w:tc>
      </w:tr>
      <w:tr w:rsidR="00154DA3" w:rsidRPr="009B76BD" w14:paraId="76CFE9C9" w14:textId="77777777" w:rsidTr="009B76BD">
        <w:tc>
          <w:tcPr>
            <w:tcW w:w="5220" w:type="dxa"/>
            <w:hideMark/>
          </w:tcPr>
          <w:p w14:paraId="1000F03B" w14:textId="77777777" w:rsidR="00154DA3" w:rsidRPr="009B76BD" w:rsidRDefault="00154DA3" w:rsidP="000B6632">
            <w:pPr>
              <w:pStyle w:val="NormalWeb"/>
              <w:rPr>
                <w:sz w:val="18"/>
                <w:szCs w:val="18"/>
              </w:rPr>
            </w:pPr>
            <w:r w:rsidRPr="009B76BD">
              <w:rPr>
                <w:sz w:val="18"/>
                <w:szCs w:val="18"/>
              </w:rPr>
              <w:t>Gold Coast - North</w:t>
            </w:r>
          </w:p>
        </w:tc>
        <w:tc>
          <w:tcPr>
            <w:tcW w:w="5220" w:type="dxa"/>
            <w:hideMark/>
          </w:tcPr>
          <w:p w14:paraId="0F0CBD89" w14:textId="77777777" w:rsidR="00154DA3" w:rsidRPr="009B76BD" w:rsidRDefault="00154DA3" w:rsidP="00C47B8E">
            <w:pPr>
              <w:pStyle w:val="NormalWeb"/>
              <w:jc w:val="center"/>
              <w:rPr>
                <w:sz w:val="18"/>
                <w:szCs w:val="18"/>
              </w:rPr>
            </w:pPr>
            <w:r w:rsidRPr="009B76BD">
              <w:rPr>
                <w:sz w:val="18"/>
                <w:szCs w:val="18"/>
              </w:rPr>
              <w:t>72,214</w:t>
            </w:r>
          </w:p>
        </w:tc>
      </w:tr>
      <w:tr w:rsidR="00154DA3" w:rsidRPr="009B76BD" w14:paraId="1A8A17D7" w14:textId="77777777" w:rsidTr="009B76BD">
        <w:trPr>
          <w:cnfStyle w:val="000000010000" w:firstRow="0" w:lastRow="0" w:firstColumn="0" w:lastColumn="0" w:oddVBand="0" w:evenVBand="0" w:oddHBand="0" w:evenHBand="1" w:firstRowFirstColumn="0" w:firstRowLastColumn="0" w:lastRowFirstColumn="0" w:lastRowLastColumn="0"/>
        </w:trPr>
        <w:tc>
          <w:tcPr>
            <w:tcW w:w="5220" w:type="dxa"/>
            <w:hideMark/>
          </w:tcPr>
          <w:p w14:paraId="2148CCFE" w14:textId="77777777" w:rsidR="00154DA3" w:rsidRPr="009B76BD" w:rsidRDefault="00154DA3" w:rsidP="000B6632">
            <w:pPr>
              <w:pStyle w:val="NormalWeb"/>
              <w:rPr>
                <w:sz w:val="18"/>
                <w:szCs w:val="18"/>
              </w:rPr>
            </w:pPr>
            <w:r w:rsidRPr="009B76BD">
              <w:rPr>
                <w:sz w:val="18"/>
                <w:szCs w:val="18"/>
              </w:rPr>
              <w:t>Nerang</w:t>
            </w:r>
          </w:p>
        </w:tc>
        <w:tc>
          <w:tcPr>
            <w:tcW w:w="5220" w:type="dxa"/>
            <w:hideMark/>
          </w:tcPr>
          <w:p w14:paraId="00ECE140" w14:textId="77777777" w:rsidR="00154DA3" w:rsidRPr="009B76BD" w:rsidRDefault="00154DA3" w:rsidP="00C47B8E">
            <w:pPr>
              <w:pStyle w:val="NormalWeb"/>
              <w:jc w:val="center"/>
              <w:rPr>
                <w:sz w:val="18"/>
                <w:szCs w:val="18"/>
              </w:rPr>
            </w:pPr>
            <w:r w:rsidRPr="009B76BD">
              <w:rPr>
                <w:sz w:val="18"/>
                <w:szCs w:val="18"/>
              </w:rPr>
              <w:t>72,274</w:t>
            </w:r>
          </w:p>
        </w:tc>
      </w:tr>
      <w:tr w:rsidR="00154DA3" w:rsidRPr="009B76BD" w14:paraId="0E0749F1" w14:textId="77777777" w:rsidTr="009B76BD">
        <w:tc>
          <w:tcPr>
            <w:tcW w:w="5220" w:type="dxa"/>
            <w:tcBorders>
              <w:bottom w:val="single" w:sz="2" w:space="0" w:color="auto"/>
            </w:tcBorders>
            <w:hideMark/>
          </w:tcPr>
          <w:p w14:paraId="3EC14070" w14:textId="77777777" w:rsidR="00154DA3" w:rsidRPr="009B76BD" w:rsidRDefault="00154DA3" w:rsidP="000B6632">
            <w:pPr>
              <w:pStyle w:val="NormalWeb"/>
              <w:rPr>
                <w:sz w:val="18"/>
                <w:szCs w:val="18"/>
              </w:rPr>
            </w:pPr>
            <w:r w:rsidRPr="009B76BD">
              <w:rPr>
                <w:sz w:val="18"/>
                <w:szCs w:val="18"/>
              </w:rPr>
              <w:t>Ormeau - Oxenford</w:t>
            </w:r>
          </w:p>
        </w:tc>
        <w:tc>
          <w:tcPr>
            <w:tcW w:w="5220" w:type="dxa"/>
            <w:tcBorders>
              <w:bottom w:val="single" w:sz="2" w:space="0" w:color="auto"/>
            </w:tcBorders>
            <w:hideMark/>
          </w:tcPr>
          <w:p w14:paraId="16D1E9E9" w14:textId="77777777" w:rsidR="00154DA3" w:rsidRPr="009B76BD" w:rsidRDefault="00154DA3" w:rsidP="00C47B8E">
            <w:pPr>
              <w:pStyle w:val="NormalWeb"/>
              <w:jc w:val="center"/>
              <w:rPr>
                <w:sz w:val="18"/>
                <w:szCs w:val="18"/>
              </w:rPr>
            </w:pPr>
            <w:r w:rsidRPr="009B76BD">
              <w:rPr>
                <w:sz w:val="18"/>
                <w:szCs w:val="18"/>
              </w:rPr>
              <w:t>157,455</w:t>
            </w:r>
          </w:p>
        </w:tc>
      </w:tr>
    </w:tbl>
    <w:p w14:paraId="5D74E72F" w14:textId="77777777"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68D5D0CF"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DB8942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D178449" w14:textId="77777777" w:rsidR="000A5F42" w:rsidRPr="000606CC" w:rsidRDefault="000A5F42" w:rsidP="000A5F42">
      <w:pPr>
        <w:pStyle w:val="NoSpacing"/>
        <w:rPr>
          <w:rStyle w:val="URI"/>
          <w:rFonts w:cstheme="minorHAnsi"/>
          <w:sz w:val="20"/>
          <w:szCs w:val="18"/>
        </w:rPr>
      </w:pPr>
    </w:p>
    <w:p w14:paraId="6A3ADDA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F572B08" w14:textId="77777777" w:rsidR="000A5F42" w:rsidRPr="000606CC" w:rsidRDefault="000A5F42" w:rsidP="000A5F42">
      <w:pPr>
        <w:pStyle w:val="NoSpacing"/>
        <w:rPr>
          <w:rStyle w:val="Strong"/>
          <w:rFonts w:cstheme="minorHAnsi"/>
          <w:sz w:val="20"/>
          <w:szCs w:val="18"/>
        </w:rPr>
      </w:pPr>
    </w:p>
    <w:p w14:paraId="7E1AD567" w14:textId="4427116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232098">
        <w:rPr>
          <w:rFonts w:cstheme="minorHAnsi"/>
          <w:sz w:val="20"/>
          <w:szCs w:val="18"/>
        </w:rPr>
        <w:t xml:space="preserve"> and </w:t>
      </w:r>
      <w:r w:rsidR="00232098" w:rsidRPr="00232098">
        <w:rPr>
          <w:rFonts w:cstheme="minorHAnsi"/>
          <w:sz w:val="20"/>
          <w:szCs w:val="18"/>
        </w:rPr>
        <w:t xml:space="preserve">Noel </w:t>
      </w:r>
      <w:proofErr w:type="spellStart"/>
      <w:r w:rsidR="00232098" w:rsidRPr="00232098">
        <w:rPr>
          <w:rFonts w:cstheme="minorHAnsi"/>
          <w:sz w:val="20"/>
          <w:szCs w:val="18"/>
        </w:rPr>
        <w:t>Lally</w:t>
      </w:r>
      <w:proofErr w:type="spellEnd"/>
    </w:p>
    <w:p w14:paraId="6679C83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90343F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D5448D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657AD9E2" w14:textId="77777777" w:rsidR="000A5F42" w:rsidRPr="000606CC" w:rsidRDefault="000A5F42" w:rsidP="000A5F42">
      <w:pPr>
        <w:pStyle w:val="NoSpacing"/>
        <w:rPr>
          <w:rStyle w:val="Strong"/>
          <w:rFonts w:cstheme="minorHAnsi"/>
          <w:sz w:val="20"/>
          <w:szCs w:val="18"/>
        </w:rPr>
      </w:pPr>
    </w:p>
    <w:p w14:paraId="3505B062" w14:textId="1583EB8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64C6E0D" w14:textId="77777777" w:rsidR="000A5F42" w:rsidRPr="000606CC" w:rsidRDefault="000A5F42" w:rsidP="000A5F42">
      <w:pPr>
        <w:pStyle w:val="NoSpacing"/>
        <w:rPr>
          <w:rStyle w:val="Strong"/>
          <w:rFonts w:cstheme="minorHAnsi"/>
          <w:sz w:val="20"/>
          <w:szCs w:val="18"/>
        </w:rPr>
      </w:pPr>
    </w:p>
    <w:p w14:paraId="2D26C96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4087437" w14:textId="77777777" w:rsidR="000A5F42" w:rsidRPr="000606CC" w:rsidRDefault="000A5F42" w:rsidP="000A5F42">
      <w:pPr>
        <w:pStyle w:val="NoSpacing"/>
        <w:rPr>
          <w:rStyle w:val="Strong"/>
          <w:rFonts w:cstheme="minorHAnsi"/>
          <w:sz w:val="20"/>
          <w:szCs w:val="18"/>
        </w:rPr>
      </w:pPr>
    </w:p>
    <w:p w14:paraId="135F43FD" w14:textId="4AF0FF5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8C00ADD" w14:textId="77777777" w:rsidR="000A5F42" w:rsidRPr="000606CC" w:rsidRDefault="000A5F42" w:rsidP="000A5F42">
      <w:pPr>
        <w:pStyle w:val="NoSpacing"/>
        <w:rPr>
          <w:rStyle w:val="Strong"/>
          <w:rFonts w:cstheme="minorHAnsi"/>
          <w:sz w:val="20"/>
          <w:szCs w:val="18"/>
        </w:rPr>
      </w:pPr>
    </w:p>
    <w:p w14:paraId="0A6DA4D8" w14:textId="7E96DF5C"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B599CCE" w14:textId="505E49E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7E1565E" w14:textId="77777777" w:rsidR="000A5F42" w:rsidRPr="000606CC" w:rsidRDefault="000A5F42" w:rsidP="000A5F42">
      <w:pPr>
        <w:pStyle w:val="NoSpacing"/>
        <w:pBdr>
          <w:bottom w:val="single" w:sz="6" w:space="1" w:color="auto"/>
        </w:pBdr>
        <w:rPr>
          <w:rStyle w:val="Strong"/>
          <w:rFonts w:cstheme="minorHAnsi"/>
          <w:sz w:val="12"/>
          <w:szCs w:val="18"/>
        </w:rPr>
      </w:pPr>
    </w:p>
    <w:p w14:paraId="0ABB0B39" w14:textId="77777777" w:rsidR="000A5F42" w:rsidRPr="000606CC" w:rsidRDefault="000A5F42" w:rsidP="000A5F42">
      <w:pPr>
        <w:pStyle w:val="NoSpacing"/>
        <w:rPr>
          <w:rFonts w:cstheme="minorHAnsi"/>
          <w:sz w:val="20"/>
          <w:szCs w:val="18"/>
        </w:rPr>
      </w:pPr>
    </w:p>
    <w:p w14:paraId="44AA5097"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4E28440" w14:textId="77777777" w:rsidR="000A5F42" w:rsidRPr="000606CC" w:rsidRDefault="000A5F42" w:rsidP="000A5F42">
      <w:pPr>
        <w:pStyle w:val="NoSpacing"/>
        <w:rPr>
          <w:rFonts w:cstheme="minorHAnsi"/>
          <w:sz w:val="20"/>
          <w:szCs w:val="18"/>
        </w:rPr>
      </w:pPr>
    </w:p>
    <w:p w14:paraId="10F86B7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53F4A0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D34978">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08080FA4" w14:textId="7C5E26EB"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84CCE49" w14:textId="77777777" w:rsidR="000A5F42" w:rsidRPr="000606CC" w:rsidRDefault="000A5F42" w:rsidP="000A5F42">
      <w:pPr>
        <w:pStyle w:val="NoSpacing"/>
        <w:rPr>
          <w:rFonts w:cstheme="minorHAnsi"/>
          <w:sz w:val="20"/>
          <w:szCs w:val="18"/>
        </w:rPr>
      </w:pPr>
    </w:p>
    <w:p w14:paraId="759299D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424A659" w14:textId="4A48274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5D0E64B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C39DBA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2AB769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6F18D8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BCEFB2A" w14:textId="77777777" w:rsidR="000A5F42" w:rsidRPr="000606CC" w:rsidRDefault="000A5F42" w:rsidP="000A5F42">
      <w:pPr>
        <w:pStyle w:val="NoSpacing"/>
        <w:rPr>
          <w:rStyle w:val="Strong"/>
          <w:rFonts w:cstheme="minorHAnsi"/>
          <w:sz w:val="20"/>
          <w:szCs w:val="18"/>
        </w:rPr>
      </w:pPr>
    </w:p>
    <w:p w14:paraId="6E86378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E0DE607" w14:textId="77777777" w:rsidR="000A5F42" w:rsidRPr="000606CC" w:rsidRDefault="000A5F42" w:rsidP="000A5F42">
      <w:pPr>
        <w:pStyle w:val="NoSpacing"/>
        <w:rPr>
          <w:rStyle w:val="Strong"/>
          <w:rFonts w:cstheme="minorHAnsi"/>
          <w:sz w:val="20"/>
          <w:szCs w:val="18"/>
        </w:rPr>
      </w:pPr>
    </w:p>
    <w:p w14:paraId="663E713C" w14:textId="2703454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48AEAB6" w14:textId="77777777" w:rsidR="000A5F42" w:rsidRPr="000606CC" w:rsidRDefault="000A5F42" w:rsidP="000A5F42">
      <w:pPr>
        <w:pStyle w:val="NoSpacing"/>
        <w:rPr>
          <w:rStyle w:val="URI"/>
          <w:rFonts w:cstheme="minorHAnsi"/>
          <w:sz w:val="20"/>
          <w:szCs w:val="18"/>
        </w:rPr>
      </w:pPr>
    </w:p>
    <w:p w14:paraId="605AE869" w14:textId="4BB95DC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A92E900" w14:textId="77777777" w:rsidR="001B37B8" w:rsidRPr="00E92237" w:rsidRDefault="001B37B8" w:rsidP="001B37B8">
      <w:pPr>
        <w:rPr>
          <w:rFonts w:cs="Myriad Pro"/>
          <w:color w:val="211D1E"/>
          <w:sz w:val="20"/>
          <w:szCs w:val="20"/>
        </w:rPr>
      </w:pPr>
    </w:p>
    <w:sectPr w:rsidR="001B37B8" w:rsidRPr="00E92237" w:rsidSect="002B75A9">
      <w:headerReference w:type="default" r:id="rId20"/>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9CB8F" w14:textId="77777777" w:rsidR="00D34978" w:rsidRDefault="00D34978" w:rsidP="00E54DBA">
      <w:r>
        <w:separator/>
      </w:r>
    </w:p>
    <w:p w14:paraId="5E130583" w14:textId="77777777" w:rsidR="00D34978" w:rsidRDefault="00D34978"/>
    <w:p w14:paraId="1AC76741" w14:textId="77777777" w:rsidR="00D34978" w:rsidRDefault="00D34978" w:rsidP="008714B0"/>
  </w:endnote>
  <w:endnote w:type="continuationSeparator" w:id="0">
    <w:p w14:paraId="6246DA19" w14:textId="77777777" w:rsidR="00D34978" w:rsidRDefault="00D34978" w:rsidP="00E54DBA">
      <w:r>
        <w:continuationSeparator/>
      </w:r>
    </w:p>
    <w:p w14:paraId="5329D26A" w14:textId="77777777" w:rsidR="00D34978" w:rsidRDefault="00D34978"/>
    <w:p w14:paraId="067A047A" w14:textId="77777777" w:rsidR="00D34978" w:rsidRDefault="00D3497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C4422" w14:textId="323A436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154DA3">
      <w:rPr>
        <w:i/>
        <w:sz w:val="18"/>
      </w:rPr>
      <w:t>Commun</w:t>
    </w:r>
    <w:proofErr w:type="spellEnd"/>
    <w:r w:rsidR="00CE342B" w:rsidRPr="00154DA3">
      <w:rPr>
        <w:i/>
        <w:sz w:val="18"/>
      </w:rPr>
      <w:t xml:space="preserve"> Dis </w:t>
    </w:r>
    <w:proofErr w:type="spellStart"/>
    <w:r w:rsidR="00CE342B" w:rsidRPr="00154DA3">
      <w:rPr>
        <w:i/>
        <w:sz w:val="18"/>
      </w:rPr>
      <w:t>Intell</w:t>
    </w:r>
    <w:proofErr w:type="spellEnd"/>
    <w:r w:rsidR="00CE342B" w:rsidRPr="00154DA3">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34978">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34978">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22197">
      <w:rPr>
        <w:sz w:val="18"/>
      </w:rPr>
      <w:t>https://doi.org/10.33321/cdi.2022.46.24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22197">
      <w:rPr>
        <w:sz w:val="18"/>
      </w:rPr>
      <w:t>26/4/2022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3314" w14:textId="0DBD1BD5"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154DA3">
      <w:rPr>
        <w:i/>
        <w:sz w:val="18"/>
      </w:rPr>
      <w:t>Commun</w:t>
    </w:r>
    <w:proofErr w:type="spellEnd"/>
    <w:r w:rsidR="00A164D5" w:rsidRPr="00154DA3">
      <w:rPr>
        <w:i/>
        <w:sz w:val="18"/>
      </w:rPr>
      <w:t xml:space="preserve"> Dis </w:t>
    </w:r>
    <w:proofErr w:type="spellStart"/>
    <w:r w:rsidR="00A164D5" w:rsidRPr="00154DA3">
      <w:rPr>
        <w:i/>
        <w:sz w:val="18"/>
      </w:rPr>
      <w:t>Intell</w:t>
    </w:r>
    <w:proofErr w:type="spellEnd"/>
    <w:r w:rsidR="00A164D5" w:rsidRPr="00154DA3">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34978">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34978">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22197">
      <w:rPr>
        <w:sz w:val="18"/>
      </w:rPr>
      <w:t>https://doi.org/10.33321/cdi.2022.46.24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622197">
      <w:rPr>
        <w:sz w:val="18"/>
      </w:rPr>
      <w:t>26/4/2022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AB1A8" w14:textId="77777777" w:rsidR="00D34978" w:rsidRPr="00B91FB5" w:rsidRDefault="00D34978" w:rsidP="00B91FB5">
      <w:pPr>
        <w:spacing w:after="0" w:line="240" w:lineRule="auto"/>
        <w:rPr>
          <w:sz w:val="18"/>
          <w:szCs w:val="18"/>
        </w:rPr>
      </w:pPr>
      <w:r w:rsidRPr="00B91FB5">
        <w:rPr>
          <w:sz w:val="18"/>
          <w:szCs w:val="18"/>
        </w:rPr>
        <w:separator/>
      </w:r>
    </w:p>
  </w:footnote>
  <w:footnote w:type="continuationSeparator" w:id="0">
    <w:p w14:paraId="156798C1" w14:textId="77777777" w:rsidR="00D34978" w:rsidRDefault="00D34978" w:rsidP="00E54DBA">
      <w:r>
        <w:continuationSeparator/>
      </w:r>
    </w:p>
  </w:footnote>
  <w:footnote w:type="continuationNotice" w:id="1">
    <w:p w14:paraId="57A43673" w14:textId="77777777" w:rsidR="00D34978" w:rsidRPr="00224EFF" w:rsidRDefault="00D34978" w:rsidP="00224EFF">
      <w:pPr>
        <w:pStyle w:val="Footer"/>
      </w:pPr>
    </w:p>
  </w:footnote>
  <w:footnote w:id="2">
    <w:p w14:paraId="2F51A337" w14:textId="2590442F" w:rsidR="00B0458A" w:rsidRPr="0037761D" w:rsidRDefault="00B0458A" w:rsidP="0037761D">
      <w:pPr>
        <w:pStyle w:val="CDIfootnotes"/>
      </w:pPr>
      <w:r w:rsidRPr="0037761D">
        <w:rPr>
          <w:rStyle w:val="FootnoteReference"/>
          <w:vertAlign w:val="baseline"/>
        </w:rPr>
        <w:footnoteRef/>
      </w:r>
      <w:r w:rsidR="00F95610" w:rsidRPr="0037761D">
        <w:tab/>
      </w:r>
      <w:r w:rsidRPr="0037761D">
        <w:t>Personal communication: EpiCOVID-19 Team, COVID Public Health Response Division, Queensland 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9E67D" w14:textId="7A44B68A" w:rsidR="00257484" w:rsidRPr="00A153B6" w:rsidRDefault="00A274B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B4E2E">
          <w:t>Surveillance summary</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26974"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B6F9849" wp14:editId="7331E5CF">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D38F0"/>
    <w:multiLevelType w:val="multilevel"/>
    <w:tmpl w:val="0F9A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5B13BA"/>
    <w:multiLevelType w:val="hybridMultilevel"/>
    <w:tmpl w:val="E932B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2B39E9"/>
    <w:multiLevelType w:val="multilevel"/>
    <w:tmpl w:val="CC7E9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7"/>
  </w:num>
  <w:num w:numId="6">
    <w:abstractNumId w:val="8"/>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noPunctuationKerning/>
  <w:characterSpacingControl w:val="doNotCompress"/>
  <w:hdrShapeDefaults>
    <o:shapedefaults v:ext="edit" spidmax="1433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78"/>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2D16"/>
    <w:rsid w:val="000A5F42"/>
    <w:rsid w:val="000D4B4D"/>
    <w:rsid w:val="00113D58"/>
    <w:rsid w:val="001200CB"/>
    <w:rsid w:val="001378A3"/>
    <w:rsid w:val="00154DA3"/>
    <w:rsid w:val="00155582"/>
    <w:rsid w:val="00161590"/>
    <w:rsid w:val="00171CC0"/>
    <w:rsid w:val="00175494"/>
    <w:rsid w:val="00175629"/>
    <w:rsid w:val="001830EC"/>
    <w:rsid w:val="00183534"/>
    <w:rsid w:val="001934FB"/>
    <w:rsid w:val="001A4A96"/>
    <w:rsid w:val="001A5D05"/>
    <w:rsid w:val="001A796C"/>
    <w:rsid w:val="001B2614"/>
    <w:rsid w:val="001B37B8"/>
    <w:rsid w:val="001B552F"/>
    <w:rsid w:val="001C0893"/>
    <w:rsid w:val="001C1303"/>
    <w:rsid w:val="001C70B2"/>
    <w:rsid w:val="001D37C7"/>
    <w:rsid w:val="001D6888"/>
    <w:rsid w:val="00214290"/>
    <w:rsid w:val="00224EFF"/>
    <w:rsid w:val="002276DC"/>
    <w:rsid w:val="00227E00"/>
    <w:rsid w:val="002307CB"/>
    <w:rsid w:val="00231046"/>
    <w:rsid w:val="00232098"/>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7761D"/>
    <w:rsid w:val="00381A0F"/>
    <w:rsid w:val="003A1B3A"/>
    <w:rsid w:val="003A3988"/>
    <w:rsid w:val="003A40F5"/>
    <w:rsid w:val="003B4E2E"/>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E198C"/>
    <w:rsid w:val="004F4AE3"/>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274E"/>
    <w:rsid w:val="00620768"/>
    <w:rsid w:val="00622197"/>
    <w:rsid w:val="0062594B"/>
    <w:rsid w:val="00631406"/>
    <w:rsid w:val="006324FF"/>
    <w:rsid w:val="006351D6"/>
    <w:rsid w:val="00636E0D"/>
    <w:rsid w:val="0064142F"/>
    <w:rsid w:val="00643CB4"/>
    <w:rsid w:val="00656427"/>
    <w:rsid w:val="00660255"/>
    <w:rsid w:val="00663EA5"/>
    <w:rsid w:val="0066515B"/>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6455D"/>
    <w:rsid w:val="007839FE"/>
    <w:rsid w:val="00786329"/>
    <w:rsid w:val="00792C7D"/>
    <w:rsid w:val="00794A4D"/>
    <w:rsid w:val="007A5234"/>
    <w:rsid w:val="007B7854"/>
    <w:rsid w:val="007C56A1"/>
    <w:rsid w:val="007C6454"/>
    <w:rsid w:val="007D55A8"/>
    <w:rsid w:val="007E01E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81C41"/>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B76BD"/>
    <w:rsid w:val="009C49F8"/>
    <w:rsid w:val="009D77CC"/>
    <w:rsid w:val="009E2423"/>
    <w:rsid w:val="009E55D7"/>
    <w:rsid w:val="009F4150"/>
    <w:rsid w:val="009F5665"/>
    <w:rsid w:val="009F5DAD"/>
    <w:rsid w:val="00A01BCA"/>
    <w:rsid w:val="00A10458"/>
    <w:rsid w:val="00A153B6"/>
    <w:rsid w:val="00A164D5"/>
    <w:rsid w:val="00A273C3"/>
    <w:rsid w:val="00A274BF"/>
    <w:rsid w:val="00A30C37"/>
    <w:rsid w:val="00A36C65"/>
    <w:rsid w:val="00A41BBE"/>
    <w:rsid w:val="00A443E3"/>
    <w:rsid w:val="00A45BDD"/>
    <w:rsid w:val="00A46A0A"/>
    <w:rsid w:val="00A553F8"/>
    <w:rsid w:val="00A6708F"/>
    <w:rsid w:val="00A71BF6"/>
    <w:rsid w:val="00A71ED4"/>
    <w:rsid w:val="00A72AF9"/>
    <w:rsid w:val="00A86F9A"/>
    <w:rsid w:val="00AA35E6"/>
    <w:rsid w:val="00AA50B6"/>
    <w:rsid w:val="00AB3472"/>
    <w:rsid w:val="00AD0762"/>
    <w:rsid w:val="00AE3DCF"/>
    <w:rsid w:val="00AE4452"/>
    <w:rsid w:val="00AE7C38"/>
    <w:rsid w:val="00B01F99"/>
    <w:rsid w:val="00B02B37"/>
    <w:rsid w:val="00B0458A"/>
    <w:rsid w:val="00B05276"/>
    <w:rsid w:val="00B132DB"/>
    <w:rsid w:val="00B31427"/>
    <w:rsid w:val="00B33861"/>
    <w:rsid w:val="00B40DE2"/>
    <w:rsid w:val="00B50210"/>
    <w:rsid w:val="00B53955"/>
    <w:rsid w:val="00B61798"/>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47B8E"/>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4978"/>
    <w:rsid w:val="00D373A1"/>
    <w:rsid w:val="00D37C0F"/>
    <w:rsid w:val="00D45661"/>
    <w:rsid w:val="00D45943"/>
    <w:rsid w:val="00D47D22"/>
    <w:rsid w:val="00D51865"/>
    <w:rsid w:val="00D51D0C"/>
    <w:rsid w:val="00D74140"/>
    <w:rsid w:val="00D92AEA"/>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7D2A"/>
    <w:rsid w:val="00E92237"/>
    <w:rsid w:val="00E951EF"/>
    <w:rsid w:val="00EA2B6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228C0"/>
    <w:rsid w:val="00F36B6D"/>
    <w:rsid w:val="00F43FA3"/>
    <w:rsid w:val="00F51289"/>
    <w:rsid w:val="00F55648"/>
    <w:rsid w:val="00F70046"/>
    <w:rsid w:val="00F748C2"/>
    <w:rsid w:val="00F74958"/>
    <w:rsid w:val="00F75E84"/>
    <w:rsid w:val="00F76C5C"/>
    <w:rsid w:val="00F81EF3"/>
    <w:rsid w:val="00F84496"/>
    <w:rsid w:val="00F85DCB"/>
    <w:rsid w:val="00F86F9C"/>
    <w:rsid w:val="00F90D76"/>
    <w:rsid w:val="00F95610"/>
    <w:rsid w:val="00FC002E"/>
    <w:rsid w:val="00FC4C23"/>
    <w:rsid w:val="00FC642E"/>
    <w:rsid w:val="00FE2AE4"/>
    <w:rsid w:val="00FE689F"/>
    <w:rsid w:val="00FE7809"/>
    <w:rsid w:val="00FF39BB"/>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AEBAD8"/>
  <w15:docId w15:val="{94960397-4D8E-4667-92D0-6E23FDB4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Pa4">
    <w:name w:val="Pa4"/>
    <w:basedOn w:val="Normal"/>
    <w:next w:val="Normal"/>
    <w:uiPriority w:val="99"/>
    <w:rsid w:val="00B0458A"/>
    <w:pPr>
      <w:autoSpaceDE w:val="0"/>
      <w:autoSpaceDN w:val="0"/>
      <w:adjustRightInd w:val="0"/>
      <w:spacing w:after="0" w:line="241" w:lineRule="atLeast"/>
    </w:pPr>
    <w:rPr>
      <w:rFonts w:ascii="Myriad Variable Concept" w:hAnsi="Myriad Variable Concept"/>
      <w:sz w:val="24"/>
      <w:szCs w:val="24"/>
    </w:rPr>
  </w:style>
  <w:style w:type="character" w:styleId="CommentReference">
    <w:name w:val="annotation reference"/>
    <w:basedOn w:val="DefaultParagraphFont"/>
    <w:uiPriority w:val="99"/>
    <w:semiHidden/>
    <w:unhideWhenUsed/>
    <w:rsid w:val="00881C41"/>
    <w:rPr>
      <w:sz w:val="16"/>
      <w:szCs w:val="16"/>
    </w:rPr>
  </w:style>
  <w:style w:type="paragraph" w:styleId="CommentText">
    <w:name w:val="annotation text"/>
    <w:basedOn w:val="Normal"/>
    <w:link w:val="CommentTextChar"/>
    <w:uiPriority w:val="99"/>
    <w:semiHidden/>
    <w:unhideWhenUsed/>
    <w:rsid w:val="00881C41"/>
    <w:pPr>
      <w:spacing w:line="240" w:lineRule="auto"/>
    </w:pPr>
    <w:rPr>
      <w:sz w:val="20"/>
      <w:szCs w:val="20"/>
    </w:rPr>
  </w:style>
  <w:style w:type="character" w:customStyle="1" w:styleId="CommentTextChar">
    <w:name w:val="Comment Text Char"/>
    <w:basedOn w:val="DefaultParagraphFont"/>
    <w:link w:val="CommentText"/>
    <w:uiPriority w:val="99"/>
    <w:semiHidden/>
    <w:rsid w:val="00881C41"/>
    <w:rPr>
      <w:sz w:val="20"/>
      <w:szCs w:val="20"/>
    </w:rPr>
  </w:style>
  <w:style w:type="paragraph" w:styleId="CommentSubject">
    <w:name w:val="annotation subject"/>
    <w:basedOn w:val="CommentText"/>
    <w:next w:val="CommentText"/>
    <w:link w:val="CommentSubjectChar"/>
    <w:uiPriority w:val="99"/>
    <w:semiHidden/>
    <w:unhideWhenUsed/>
    <w:rsid w:val="00881C41"/>
    <w:rPr>
      <w:b/>
      <w:bCs/>
    </w:rPr>
  </w:style>
  <w:style w:type="character" w:customStyle="1" w:styleId="CommentSubjectChar">
    <w:name w:val="Comment Subject Char"/>
    <w:basedOn w:val="CommentTextChar"/>
    <w:link w:val="CommentSubject"/>
    <w:uiPriority w:val="99"/>
    <w:semiHidden/>
    <w:rsid w:val="00881C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25</TotalTime>
  <Pages>7</Pages>
  <Words>2339</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Communicable Diseases Intelligence 2022 - Defining the peak - Point prevalence of SARS-CoV-2 using randomised sampling</vt:lpstr>
    </vt:vector>
  </TitlesOfParts>
  <Company>Australian Government, Department of Health</Company>
  <LinksUpToDate>false</LinksUpToDate>
  <CharactersWithSpaces>16178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Defining the peak - Point prevalence of SARS-CoV-2 using randomised sampling</dc:title>
  <dc:subject>This report describes initial results from a household cluster survey undertaken in the Gold Coast during January and February 2022, aiming to establish the prevalence of SARS-CoV-2 infection in the community at this time’</dc:subject>
  <dc:creator>Andre L Wattiaux; Fiona May; Terresa Allen; Tracy Bladen; Brielle Pery; Lisa McHugh; Vicki Slinko; Alice Sykes; Lashan DeSilva; Jay Bajra; Ross Andrews; Gulam Khandaker</dc:creator>
  <cp:keywords>SARS-CoV-2; prevalence; randomised survey</cp:keywords>
  <dc:description>© Commonwealth of Australia CC BY-NC-ND ISSN: 2209-6051 (Online)</dc:description>
  <cp:lastModifiedBy>YOUSEFI, Kasra</cp:lastModifiedBy>
  <cp:revision>13</cp:revision>
  <cp:lastPrinted>2018-05-10T02:19:00Z</cp:lastPrinted>
  <dcterms:created xsi:type="dcterms:W3CDTF">2022-04-01T03:47:00Z</dcterms:created>
  <dcterms:modified xsi:type="dcterms:W3CDTF">2022-04-21T03:13:00Z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26/4/2022</vt:lpwstr>
  </property>
  <property fmtid="{D5CDD505-2E9C-101B-9397-08002B2CF9AE}" pid="5" name="DOI">
    <vt:lpwstr>https://doi.org/10.33321/cdi.2022.46.24</vt:lpwstr>
  </property>
</Properties>
</file>