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910FE" w14:textId="77777777" w:rsidR="00B50D8D" w:rsidRPr="00B50D8D" w:rsidRDefault="00B50D8D" w:rsidP="00B50D8D">
      <w:pPr>
        <w:pStyle w:val="CDIfootnotes"/>
      </w:pPr>
      <w:r w:rsidRPr="00B50D8D">
        <w:rPr>
          <w:i/>
          <w:iCs/>
        </w:rPr>
        <w:t>Communicable Diseases Intelligence</w:t>
      </w:r>
      <w:r w:rsidRPr="00B50D8D">
        <w:t xml:space="preserve">, Year </w:t>
      </w:r>
      <w:fldSimple w:instr=" DOCPROPERTY  Year  \* MERGEFORMAT ">
        <w:r w:rsidR="00146C37">
          <w:t>2023</w:t>
        </w:r>
      </w:fldSimple>
      <w:r w:rsidRPr="00B50D8D">
        <w:t xml:space="preserve">, Volume </w:t>
      </w:r>
      <w:fldSimple w:instr=" DOCPROPERTY  Vol  \* MERGEFORMAT ">
        <w:r w:rsidR="00146C37">
          <w:t>47</w:t>
        </w:r>
      </w:fldSimple>
    </w:p>
    <w:p w14:paraId="3E9DD4B6" w14:textId="354B1314" w:rsidR="00B50D8D" w:rsidRPr="00B50D8D" w:rsidRDefault="00955762" w:rsidP="00B50D8D">
      <w:pPr>
        <w:pStyle w:val="CDIfootnotes"/>
      </w:pPr>
      <w:fldSimple w:instr=" DOCPROPERTY  DOI  \* MERGEFORMAT ">
        <w:r w:rsidR="00275C2F">
          <w:t>https://doi.org/10.33321/cdi.2023.47.53</w:t>
        </w:r>
      </w:fldSimple>
    </w:p>
    <w:p w14:paraId="47F62E72" w14:textId="38138ABF" w:rsidR="00B50D8D" w:rsidRPr="00B50D8D" w:rsidRDefault="00B50D8D" w:rsidP="00B50D8D">
      <w:pPr>
        <w:pStyle w:val="CDIfootnotes"/>
      </w:pPr>
      <w:r w:rsidRPr="00B50D8D">
        <w:t xml:space="preserve">Publication date: </w:t>
      </w:r>
      <w:fldSimple w:instr=" DOCPROPERTY  ePubDate  \* MERGEFORMAT ">
        <w:r w:rsidR="00275C2F">
          <w:t>21/09/2023</w:t>
        </w:r>
      </w:fldSimple>
    </w:p>
    <w:p w14:paraId="4A60AD92" w14:textId="25D6C5AF" w:rsidR="00B50D8D" w:rsidRPr="00B50D8D" w:rsidRDefault="00311722" w:rsidP="00B50D8D">
      <w:pPr>
        <w:pStyle w:val="CDIfootnotes"/>
      </w:pPr>
      <w:hyperlink r:id="rId9" w:history="1">
        <w:r w:rsidR="00B50D8D" w:rsidRPr="00B50D8D">
          <w:rPr>
            <w:rStyle w:val="Hyperlink"/>
          </w:rPr>
          <w:t>http://health.gov.au/cdi</w:t>
        </w:r>
      </w:hyperlink>
      <w:r w:rsidR="00B50D8D" w:rsidRPr="00B50D8D">
        <w:t xml:space="preserve"> </w:t>
      </w:r>
    </w:p>
    <w:p w14:paraId="672214D0" w14:textId="58274D95" w:rsidR="00964C13" w:rsidRDefault="00964C13" w:rsidP="00D514EB">
      <w:pPr>
        <w:pStyle w:val="Title"/>
        <w:divId w:val="1637644058"/>
        <w:rPr>
          <w:rFonts w:eastAsia="Times New Roman"/>
          <w:sz w:val="48"/>
          <w:szCs w:val="48"/>
        </w:rPr>
      </w:pPr>
      <w:proofErr w:type="gramStart"/>
      <w:r>
        <w:rPr>
          <w:rFonts w:eastAsia="Times New Roman"/>
        </w:rPr>
        <w:t>Several</w:t>
      </w:r>
      <w:proofErr w:type="gramEnd"/>
      <w:r>
        <w:rPr>
          <w:rFonts w:eastAsia="Times New Roman"/>
        </w:rPr>
        <w:t xml:space="preserve"> confirmed and probable zoonotic cases of toxigenic </w:t>
      </w:r>
      <w:r w:rsidRPr="00793C29">
        <w:rPr>
          <w:rStyle w:val="Emphasis"/>
          <w:rFonts w:eastAsia="Times New Roman"/>
          <w:b/>
        </w:rPr>
        <w:t xml:space="preserve">Corynebacterium </w:t>
      </w:r>
      <w:proofErr w:type="spellStart"/>
      <w:r w:rsidRPr="00793C29">
        <w:rPr>
          <w:rStyle w:val="Emphasis"/>
          <w:rFonts w:eastAsia="Times New Roman"/>
          <w:b/>
        </w:rPr>
        <w:t>ulcerans</w:t>
      </w:r>
      <w:proofErr w:type="spellEnd"/>
      <w:r w:rsidRPr="00793C29">
        <w:rPr>
          <w:rFonts w:eastAsia="Times New Roman"/>
          <w:b w:val="0"/>
        </w:rPr>
        <w:t>,</w:t>
      </w:r>
      <w:r>
        <w:rPr>
          <w:rFonts w:eastAsia="Times New Roman"/>
        </w:rPr>
        <w:t xml:space="preserve"> Queensland,</w:t>
      </w:r>
      <w:r w:rsidR="002E0D5E">
        <w:rPr>
          <w:rFonts w:eastAsia="Times New Roman"/>
        </w:rPr>
        <w:t> </w:t>
      </w:r>
      <w:r>
        <w:rPr>
          <w:rFonts w:eastAsia="Times New Roman"/>
        </w:rPr>
        <w:t xml:space="preserve">Australia </w:t>
      </w:r>
    </w:p>
    <w:p w14:paraId="218564FA" w14:textId="77777777" w:rsidR="00964C13" w:rsidRDefault="00964C13" w:rsidP="00D514EB">
      <w:pPr>
        <w:divId w:val="1637644058"/>
      </w:pPr>
      <w:r>
        <w:t xml:space="preserve">Vicki G </w:t>
      </w:r>
      <w:proofErr w:type="spellStart"/>
      <w:r>
        <w:t>Slinko</w:t>
      </w:r>
      <w:proofErr w:type="spellEnd"/>
      <w:r>
        <w:t xml:space="preserve">, Christine JD </w:t>
      </w:r>
      <w:proofErr w:type="spellStart"/>
      <w:r>
        <w:t>Guglielmino</w:t>
      </w:r>
      <w:proofErr w:type="spellEnd"/>
      <w:r>
        <w:t xml:space="preserve">, Alexandra M Uren, James KG Smith, Deborah </w:t>
      </w:r>
      <w:proofErr w:type="spellStart"/>
      <w:r>
        <w:t>Neucom</w:t>
      </w:r>
      <w:proofErr w:type="spellEnd"/>
      <w:r>
        <w:t xml:space="preserve">, Nicolas R Smoll, Rikki MA Graham, Ning-Xia Fang, Helen V Smith, Amanda E Armstrong, Alison A Kenny, Janet L Farmer, Catherine A </w:t>
      </w:r>
      <w:proofErr w:type="spellStart"/>
      <w:r>
        <w:t>Quagliotto</w:t>
      </w:r>
      <w:proofErr w:type="spellEnd"/>
      <w:r>
        <w:t xml:space="preserve">, Amy V Jennison </w:t>
      </w:r>
    </w:p>
    <w:p w14:paraId="157F9680" w14:textId="77777777" w:rsidR="00964C13" w:rsidRPr="00D514EB" w:rsidRDefault="00964C13" w:rsidP="00D514EB">
      <w:pPr>
        <w:pStyle w:val="Heading1"/>
        <w:divId w:val="1637644058"/>
      </w:pPr>
      <w:r w:rsidRPr="00D514EB">
        <w:t xml:space="preserve">Abstract </w:t>
      </w:r>
    </w:p>
    <w:p w14:paraId="5ABD7182" w14:textId="77777777" w:rsidR="00964C13" w:rsidRPr="00793C29" w:rsidRDefault="00964C13" w:rsidP="00793C29">
      <w:pPr>
        <w:pStyle w:val="Heading2"/>
        <w:divId w:val="1637644058"/>
      </w:pPr>
      <w:r w:rsidRPr="00793C29">
        <w:t xml:space="preserve">Background </w:t>
      </w:r>
    </w:p>
    <w:p w14:paraId="30B86D3B" w14:textId="77777777" w:rsidR="00964C13" w:rsidRDefault="00964C13" w:rsidP="00793C29">
      <w:pPr>
        <w:divId w:val="1637644058"/>
      </w:pPr>
      <w:r>
        <w:t xml:space="preserve">Toxigenic </w:t>
      </w:r>
      <w:r w:rsidRPr="00793C29">
        <w:rPr>
          <w:rStyle w:val="Emphasis"/>
          <w:b w:val="0"/>
          <w:bCs w:val="0"/>
        </w:rPr>
        <w:t xml:space="preserve">Corynebacterium </w:t>
      </w:r>
      <w:proofErr w:type="spellStart"/>
      <w:r w:rsidRPr="00793C29">
        <w:rPr>
          <w:rStyle w:val="Emphasis"/>
          <w:b w:val="0"/>
          <w:bCs w:val="0"/>
        </w:rPr>
        <w:t>ulcerans</w:t>
      </w:r>
      <w:proofErr w:type="spellEnd"/>
      <w:r>
        <w:t xml:space="preserve"> is an emerging zoonosis globally, causing both cutaneous and respiratory diphtheria-like illness. In Queensland, human infection with toxigenic </w:t>
      </w:r>
      <w:r w:rsidRPr="00793C29">
        <w:rPr>
          <w:rStyle w:val="Emphasis"/>
          <w:b w:val="0"/>
          <w:bCs w:val="0"/>
        </w:rPr>
        <w:t xml:space="preserve">C. </w:t>
      </w:r>
      <w:proofErr w:type="spellStart"/>
      <w:r w:rsidRPr="00793C29">
        <w:rPr>
          <w:rStyle w:val="Emphasis"/>
          <w:b w:val="0"/>
          <w:bCs w:val="0"/>
        </w:rPr>
        <w:t>ulcerans</w:t>
      </w:r>
      <w:proofErr w:type="spellEnd"/>
      <w:r>
        <w:t xml:space="preserve"> is rare, with only three cases reported before October 2015. This case series describes five </w:t>
      </w:r>
      <w:proofErr w:type="gramStart"/>
      <w:r>
        <w:t>subsequent</w:t>
      </w:r>
      <w:proofErr w:type="gramEnd"/>
      <w:r>
        <w:t xml:space="preserve"> cases of toxigenic </w:t>
      </w:r>
      <w:r w:rsidRPr="00793C29">
        <w:rPr>
          <w:rStyle w:val="Emphasis"/>
          <w:b w:val="0"/>
          <w:bCs w:val="0"/>
        </w:rPr>
        <w:t xml:space="preserve">C. </w:t>
      </w:r>
      <w:proofErr w:type="spellStart"/>
      <w:r w:rsidRPr="00793C29">
        <w:rPr>
          <w:rStyle w:val="Emphasis"/>
          <w:b w:val="0"/>
          <w:bCs w:val="0"/>
        </w:rPr>
        <w:t>ulcerans</w:t>
      </w:r>
      <w:proofErr w:type="spellEnd"/>
      <w:r>
        <w:t xml:space="preserve"> in Queensland with links to companion animals. </w:t>
      </w:r>
    </w:p>
    <w:p w14:paraId="2E434494" w14:textId="77777777" w:rsidR="00964C13" w:rsidRPr="00793C29" w:rsidRDefault="00964C13" w:rsidP="00793C29">
      <w:pPr>
        <w:pStyle w:val="Heading2"/>
        <w:divId w:val="1637644058"/>
      </w:pPr>
      <w:r w:rsidRPr="00793C29">
        <w:t xml:space="preserve">Methods </w:t>
      </w:r>
    </w:p>
    <w:p w14:paraId="65AABAEE" w14:textId="77777777" w:rsidR="00964C13" w:rsidRDefault="00964C13" w:rsidP="00793C29">
      <w:pPr>
        <w:divId w:val="1637644058"/>
      </w:pPr>
      <w:r>
        <w:t xml:space="preserve">All data </w:t>
      </w:r>
      <w:proofErr w:type="gramStart"/>
      <w:r>
        <w:t>were collected</w:t>
      </w:r>
      <w:proofErr w:type="gramEnd"/>
      <w:r>
        <w:t xml:space="preserve"> as part of routine public health response, and strains were whole genome sequenced for further characterisation. Household contacts were screened, treated with </w:t>
      </w:r>
      <w:proofErr w:type="gramStart"/>
      <w:r>
        <w:t>appropriate antibiotics</w:t>
      </w:r>
      <w:proofErr w:type="gramEnd"/>
      <w:r>
        <w:t xml:space="preserve">, and received a diphtheria toxoid-containing vaccine if more than five years had elapsed since their last dose. </w:t>
      </w:r>
    </w:p>
    <w:p w14:paraId="61D21C25" w14:textId="77777777" w:rsidR="00964C13" w:rsidRPr="00793C29" w:rsidRDefault="00964C13" w:rsidP="00793C29">
      <w:pPr>
        <w:pStyle w:val="Heading2"/>
        <w:divId w:val="1637644058"/>
      </w:pPr>
      <w:r w:rsidRPr="00793C29">
        <w:t xml:space="preserve">Findings </w:t>
      </w:r>
    </w:p>
    <w:p w14:paraId="548E8F8E" w14:textId="77777777" w:rsidR="00964C13" w:rsidRDefault="00964C13" w:rsidP="00793C29">
      <w:pPr>
        <w:divId w:val="1637644058"/>
      </w:pPr>
      <w:r>
        <w:t xml:space="preserve">No epidemiological or genomic links could be </w:t>
      </w:r>
      <w:proofErr w:type="gramStart"/>
      <w:r>
        <w:t>established</w:t>
      </w:r>
      <w:proofErr w:type="gramEnd"/>
      <w:r>
        <w:t xml:space="preserve"> between any of the five patients, including between the two cases notified from the same locality within eight days of each other. The </w:t>
      </w:r>
      <w:r w:rsidRPr="00793C29">
        <w:rPr>
          <w:rStyle w:val="Emphasis"/>
          <w:b w:val="0"/>
          <w:bCs w:val="0"/>
        </w:rPr>
        <w:t xml:space="preserve">C. </w:t>
      </w:r>
      <w:proofErr w:type="spellStart"/>
      <w:r w:rsidRPr="00793C29">
        <w:rPr>
          <w:rStyle w:val="Emphasis"/>
          <w:b w:val="0"/>
          <w:bCs w:val="0"/>
        </w:rPr>
        <w:t>ulcerans</w:t>
      </w:r>
      <w:proofErr w:type="spellEnd"/>
      <w:r>
        <w:t xml:space="preserve"> strains from Cases Two, Four and Five were closely related to the strains isolated from their respective pets by whole genome sequencing. Domestic dogs were identified as the </w:t>
      </w:r>
      <w:proofErr w:type="gramStart"/>
      <w:r>
        <w:t>most likely mode</w:t>
      </w:r>
      <w:proofErr w:type="gramEnd"/>
      <w:r>
        <w:t xml:space="preserve"> of transmission for Cases One and Three; however, this was unable to be laboratory confirmed, since Case One’s dog was treated with antibiotics before it could be tested, and Case Three’s dog was euthanised and cremated prior to case notification. </w:t>
      </w:r>
    </w:p>
    <w:p w14:paraId="7C262BCD" w14:textId="77777777" w:rsidR="00964C13" w:rsidRPr="00793C29" w:rsidRDefault="00964C13" w:rsidP="00793C29">
      <w:pPr>
        <w:pStyle w:val="Heading2"/>
        <w:divId w:val="1637644058"/>
      </w:pPr>
      <w:r w:rsidRPr="00793C29">
        <w:t xml:space="preserve">Interpretation </w:t>
      </w:r>
    </w:p>
    <w:p w14:paraId="5F6B42EB" w14:textId="77777777" w:rsidR="00964C13" w:rsidRDefault="00964C13" w:rsidP="00793C29">
      <w:pPr>
        <w:divId w:val="1637644058"/>
      </w:pPr>
      <w:r>
        <w:t xml:space="preserve">These are the first reported Australian cases of this emerging zoonosis with links to companion animals. These cases </w:t>
      </w:r>
      <w:proofErr w:type="gramStart"/>
      <w:r>
        <w:t>demonstrate</w:t>
      </w:r>
      <w:proofErr w:type="gramEnd"/>
      <w:r>
        <w:t xml:space="preserve"> the likely transmission route between companion animals and humans, with no evidence of human-to-human transmission. The existing requirement in the Queensland Health Public Health Management Guidelines, of restrictions on cases and </w:t>
      </w:r>
      <w:proofErr w:type="gramStart"/>
      <w:r>
        <w:t>some</w:t>
      </w:r>
      <w:proofErr w:type="gramEnd"/>
      <w:r>
        <w:t xml:space="preserve"> contacts while awaiting swab results, is currently under review. </w:t>
      </w:r>
    </w:p>
    <w:p w14:paraId="30F31D7E" w14:textId="3C4F4B19" w:rsidR="00964C13" w:rsidRDefault="00964C13" w:rsidP="00793C29">
      <w:pPr>
        <w:divId w:val="1637644058"/>
      </w:pPr>
      <w:r>
        <w:t xml:space="preserve">Keywords: </w:t>
      </w:r>
      <w:r w:rsidRPr="00793C29">
        <w:rPr>
          <w:rStyle w:val="Emphasis"/>
          <w:b w:val="0"/>
          <w:bCs w:val="0"/>
        </w:rPr>
        <w:t xml:space="preserve">Corynebacterium </w:t>
      </w:r>
      <w:proofErr w:type="spellStart"/>
      <w:r w:rsidRPr="00793C29">
        <w:rPr>
          <w:rStyle w:val="Emphasis"/>
          <w:b w:val="0"/>
          <w:bCs w:val="0"/>
        </w:rPr>
        <w:t>ulcerans</w:t>
      </w:r>
      <w:proofErr w:type="spellEnd"/>
      <w:r w:rsidRPr="00793C29">
        <w:rPr>
          <w:rStyle w:val="Emphasis"/>
          <w:b w:val="0"/>
          <w:bCs w:val="0"/>
        </w:rPr>
        <w:t>;</w:t>
      </w:r>
      <w:r>
        <w:t xml:space="preserve"> Australia; diphtheria toxoid; zoonoses; public health; whole genome</w:t>
      </w:r>
      <w:r w:rsidR="00D20752">
        <w:t> </w:t>
      </w:r>
      <w:r>
        <w:t xml:space="preserve">sequencing </w:t>
      </w:r>
    </w:p>
    <w:p w14:paraId="6518C72C" w14:textId="77777777" w:rsidR="00EC77FA" w:rsidRDefault="00EC77FA">
      <w:pPr>
        <w:rPr>
          <w:rFonts w:asciiTheme="majorHAnsi" w:eastAsiaTheme="majorEastAsia" w:hAnsiTheme="majorHAnsi" w:cstheme="majorBidi"/>
          <w:b/>
          <w:bCs/>
          <w:sz w:val="32"/>
          <w:szCs w:val="28"/>
        </w:rPr>
      </w:pPr>
      <w:r>
        <w:br w:type="page"/>
      </w:r>
    </w:p>
    <w:p w14:paraId="79BF48BB" w14:textId="102E8E61" w:rsidR="00964C13" w:rsidRPr="00793C29" w:rsidRDefault="00964C13" w:rsidP="00793C29">
      <w:pPr>
        <w:pStyle w:val="Heading1"/>
        <w:divId w:val="1637644058"/>
      </w:pPr>
      <w:r w:rsidRPr="00793C29">
        <w:lastRenderedPageBreak/>
        <w:t xml:space="preserve">Background </w:t>
      </w:r>
    </w:p>
    <w:p w14:paraId="3A562598" w14:textId="77777777" w:rsidR="00964C13" w:rsidRDefault="00964C13" w:rsidP="00793C29">
      <w:pPr>
        <w:divId w:val="1637644058"/>
      </w:pPr>
      <w:r>
        <w:t xml:space="preserve">Toxigenic </w:t>
      </w:r>
      <w:r w:rsidRPr="00793C29">
        <w:rPr>
          <w:rStyle w:val="Emphasis"/>
          <w:b w:val="0"/>
          <w:bCs w:val="0"/>
        </w:rPr>
        <w:t xml:space="preserve">Corynebacterium </w:t>
      </w:r>
      <w:proofErr w:type="spellStart"/>
      <w:r w:rsidRPr="00793C29">
        <w:rPr>
          <w:rStyle w:val="Emphasis"/>
          <w:b w:val="0"/>
          <w:bCs w:val="0"/>
        </w:rPr>
        <w:t>ulcerans</w:t>
      </w:r>
      <w:proofErr w:type="spellEnd"/>
      <w:r w:rsidRPr="00793C29">
        <w:rPr>
          <w:rStyle w:val="Emphasis"/>
          <w:b w:val="0"/>
          <w:bCs w:val="0"/>
        </w:rPr>
        <w:t xml:space="preserve"> </w:t>
      </w:r>
      <w:r>
        <w:t>is an emerging zoonosis globally, causing diphtheria-like illness,</w:t>
      </w:r>
      <w:r>
        <w:rPr>
          <w:vertAlign w:val="superscript"/>
        </w:rPr>
        <w:t>1–4</w:t>
      </w:r>
      <w:r>
        <w:t xml:space="preserve"> and is notifiable in Queensland for both respiratory and cutaneous infections.</w:t>
      </w:r>
      <w:r>
        <w:rPr>
          <w:vertAlign w:val="superscript"/>
        </w:rPr>
        <w:t>5</w:t>
      </w:r>
      <w:r>
        <w:t xml:space="preserve"> </w:t>
      </w:r>
      <w:r w:rsidRPr="00793C29">
        <w:rPr>
          <w:rStyle w:val="Emphasis"/>
          <w:b w:val="0"/>
          <w:bCs w:val="0"/>
        </w:rPr>
        <w:t xml:space="preserve">C. </w:t>
      </w:r>
      <w:proofErr w:type="spellStart"/>
      <w:r w:rsidRPr="00793C29">
        <w:rPr>
          <w:rStyle w:val="Emphasis"/>
          <w:b w:val="0"/>
          <w:bCs w:val="0"/>
        </w:rPr>
        <w:t>ulcerans</w:t>
      </w:r>
      <w:proofErr w:type="spellEnd"/>
      <w:r>
        <w:t xml:space="preserve"> infections without the toxin gene detected are not notifiable or followed up in Queensland. Respiratory pseudomembranous disease with toxin production is clinically indistinguishable from toxigenic </w:t>
      </w:r>
      <w:r w:rsidRPr="00793C29">
        <w:rPr>
          <w:rStyle w:val="Emphasis"/>
          <w:b w:val="0"/>
          <w:bCs w:val="0"/>
        </w:rPr>
        <w:t>C. diphtheriae</w:t>
      </w:r>
      <w:r>
        <w:t xml:space="preserve"> infections and can be fatal.</w:t>
      </w:r>
      <w:r>
        <w:rPr>
          <w:vertAlign w:val="superscript"/>
        </w:rPr>
        <w:t>3,6</w:t>
      </w:r>
      <w:r>
        <w:t xml:space="preserve"> Cutaneous disease, usually on the extremities, has been described as hard, rolled-edge ulcers with a greyish membrane, and is understood to be more contagious than respiratory infection due to greater environmental contamination.</w:t>
      </w:r>
      <w:r>
        <w:rPr>
          <w:vertAlign w:val="superscript"/>
        </w:rPr>
        <w:t>7</w:t>
      </w:r>
      <w:r>
        <w:t xml:space="preserve"> </w:t>
      </w:r>
      <w:proofErr w:type="spellStart"/>
      <w:r>
        <w:t>Corynebacteriophages</w:t>
      </w:r>
      <w:proofErr w:type="spellEnd"/>
      <w:r>
        <w:t xml:space="preserve"> carrying the </w:t>
      </w:r>
      <w:r w:rsidRPr="00793C29">
        <w:rPr>
          <w:rStyle w:val="Emphasis"/>
          <w:b w:val="0"/>
          <w:bCs w:val="0"/>
        </w:rPr>
        <w:t>tox</w:t>
      </w:r>
      <w:r>
        <w:t xml:space="preserve"> gene, consisting of A and B subunits, can theoretically transform non-toxin gene-bearing </w:t>
      </w:r>
      <w:r w:rsidRPr="00793C29">
        <w:rPr>
          <w:rStyle w:val="Emphasis"/>
          <w:b w:val="0"/>
          <w:bCs w:val="0"/>
        </w:rPr>
        <w:t>Corynebacterium</w:t>
      </w:r>
      <w:r>
        <w:t xml:space="preserve"> spp. into toxigenic strains.</w:t>
      </w:r>
      <w:r>
        <w:rPr>
          <w:vertAlign w:val="superscript"/>
        </w:rPr>
        <w:t>8</w:t>
      </w:r>
      <w:r>
        <w:t xml:space="preserve"> Transmission to humans was previously typically associated with cattle or raw dairy products but a variety of animals, including domestic animals,</w:t>
      </w:r>
      <w:r>
        <w:rPr>
          <w:vertAlign w:val="superscript"/>
        </w:rPr>
        <w:t>1</w:t>
      </w:r>
      <w:r>
        <w:t xml:space="preserve"> have now been implicated in transmitting infection to humans.</w:t>
      </w:r>
    </w:p>
    <w:p w14:paraId="15ED1535" w14:textId="77777777" w:rsidR="00964C13" w:rsidRDefault="00964C13" w:rsidP="00793C29">
      <w:pPr>
        <w:divId w:val="1637644058"/>
      </w:pPr>
      <w:r>
        <w:t xml:space="preserve">In Queensland, cases with toxigenic </w:t>
      </w:r>
      <w:r w:rsidRPr="00793C29">
        <w:rPr>
          <w:rStyle w:val="Emphasis"/>
          <w:b w:val="0"/>
          <w:bCs w:val="0"/>
        </w:rPr>
        <w:t xml:space="preserve">C. </w:t>
      </w:r>
      <w:proofErr w:type="spellStart"/>
      <w:r w:rsidRPr="00793C29">
        <w:rPr>
          <w:rStyle w:val="Emphasis"/>
          <w:b w:val="0"/>
          <w:bCs w:val="0"/>
        </w:rPr>
        <w:t>ulcerans</w:t>
      </w:r>
      <w:proofErr w:type="spellEnd"/>
      <w:r>
        <w:t xml:space="preserve"> and their contacts are followed up according to the Diphtheria Queensland Health Guidelines for Public Health Units.</w:t>
      </w:r>
      <w:r>
        <w:rPr>
          <w:vertAlign w:val="superscript"/>
        </w:rPr>
        <w:t>9</w:t>
      </w:r>
      <w:r>
        <w:t xml:space="preserve"> For cases, this includes treatment with appropriate antibiotics with cutaneous wounds covered; droplet restrictions imposed until throat and nasopharyngeal (NP) swabs are negative for </w:t>
      </w:r>
      <w:r w:rsidRPr="00793C29">
        <w:rPr>
          <w:rStyle w:val="Emphasis"/>
          <w:b w:val="0"/>
          <w:bCs w:val="0"/>
        </w:rPr>
        <w:t xml:space="preserve">C. </w:t>
      </w:r>
      <w:proofErr w:type="spellStart"/>
      <w:r w:rsidRPr="00793C29">
        <w:rPr>
          <w:rStyle w:val="Emphasis"/>
          <w:b w:val="0"/>
          <w:bCs w:val="0"/>
        </w:rPr>
        <w:t>ulcerans</w:t>
      </w:r>
      <w:proofErr w:type="spellEnd"/>
      <w:r>
        <w:t>,</w:t>
      </w:r>
      <w:r w:rsidRPr="00793C29">
        <w:rPr>
          <w:rStyle w:val="Emphasis"/>
          <w:b w:val="0"/>
          <w:bCs w:val="0"/>
        </w:rPr>
        <w:t xml:space="preserve"> </w:t>
      </w:r>
      <w:r>
        <w:t xml:space="preserve">or until there has been 72 hours of appropriate antibiotic therapy; and then a diphtheria toxoid containing vaccine (DTCV) during convalescence. Contacts are considered those who have been in contact with the case since the infection was </w:t>
      </w:r>
      <w:proofErr w:type="gramStart"/>
      <w:r>
        <w:t>noted, and</w:t>
      </w:r>
      <w:proofErr w:type="gramEnd"/>
      <w:r>
        <w:t xml:space="preserve"> are household-like or of a sexual nature; have had direct contact with the wound without wearing gloves and a mask; or have had more than 20 hours of close contact if the wound was uncovered. For contacts, throat and NP swabs are taken to exclude colonisation with the organism; treatment with appropriate antibiotics is given as they may be incubating the disease; vaccination with a DTCV is provided if it is more than five years since their last dose; and contacts are restricted from occupations involving contacts with infants aged six months or under, care of the sick, elderly or those dependant on care, and immunosuppressed individuals. </w:t>
      </w:r>
    </w:p>
    <w:p w14:paraId="435355B1" w14:textId="04AE8267" w:rsidR="00964C13" w:rsidRDefault="00964C13" w:rsidP="00793C29">
      <w:pPr>
        <w:divId w:val="1637644058"/>
      </w:pPr>
      <w:r>
        <w:t xml:space="preserve">We present five cases of a rare toxin gene-bearing </w:t>
      </w:r>
      <w:r w:rsidRPr="00793C29">
        <w:rPr>
          <w:rStyle w:val="Emphasis"/>
          <w:b w:val="0"/>
          <w:bCs w:val="0"/>
        </w:rPr>
        <w:t xml:space="preserve">C. </w:t>
      </w:r>
      <w:proofErr w:type="spellStart"/>
      <w:r w:rsidRPr="00793C29">
        <w:rPr>
          <w:rStyle w:val="Emphasis"/>
          <w:b w:val="0"/>
          <w:bCs w:val="0"/>
        </w:rPr>
        <w:t>ulcerans</w:t>
      </w:r>
      <w:proofErr w:type="spellEnd"/>
      <w:r w:rsidRPr="00793C29">
        <w:rPr>
          <w:rStyle w:val="Emphasis"/>
          <w:b w:val="0"/>
          <w:bCs w:val="0"/>
        </w:rPr>
        <w:t xml:space="preserve"> </w:t>
      </w:r>
      <w:r>
        <w:t xml:space="preserve">infection with likely or proven associations with household pets during 2015–2023 in Queensland, Australia, two of which </w:t>
      </w:r>
      <w:proofErr w:type="gramStart"/>
      <w:r>
        <w:t>were notified</w:t>
      </w:r>
      <w:proofErr w:type="gramEnd"/>
      <w:r>
        <w:t xml:space="preserve"> from the same locality within eight days of each other. While described on other continents, we know of no other documented zoonotic cases in</w:t>
      </w:r>
      <w:r w:rsidR="007C3A3E">
        <w:t> </w:t>
      </w:r>
      <w:r>
        <w:t xml:space="preserve">Australia. </w:t>
      </w:r>
    </w:p>
    <w:p w14:paraId="6F0B2D0E" w14:textId="77777777" w:rsidR="00964C13" w:rsidRPr="00793C29" w:rsidRDefault="00964C13" w:rsidP="00793C29">
      <w:pPr>
        <w:pStyle w:val="Heading1"/>
        <w:divId w:val="1637644058"/>
      </w:pPr>
      <w:r w:rsidRPr="00793C29">
        <w:t xml:space="preserve">Methods </w:t>
      </w:r>
    </w:p>
    <w:p w14:paraId="1ACC7669" w14:textId="77777777" w:rsidR="00964C13" w:rsidRDefault="00964C13" w:rsidP="00793C29">
      <w:pPr>
        <w:divId w:val="1637644058"/>
      </w:pPr>
      <w:r>
        <w:t xml:space="preserve">All data </w:t>
      </w:r>
      <w:proofErr w:type="gramStart"/>
      <w:r>
        <w:t>were collected</w:t>
      </w:r>
      <w:proofErr w:type="gramEnd"/>
      <w:r>
        <w:t xml:space="preserve"> as part of routine public health response to a notifiable condition. </w:t>
      </w:r>
    </w:p>
    <w:p w14:paraId="30E76B98" w14:textId="2E286CB2" w:rsidR="00964C13" w:rsidRDefault="00964C13" w:rsidP="00793C29">
      <w:pPr>
        <w:divId w:val="1637644058"/>
      </w:pPr>
      <w:r>
        <w:t xml:space="preserve">Consent for publication with de-identified details </w:t>
      </w:r>
      <w:proofErr w:type="gramStart"/>
      <w:r>
        <w:t>was obtained</w:t>
      </w:r>
      <w:proofErr w:type="gramEnd"/>
      <w:r>
        <w:t xml:space="preserve"> from all cases. Details of the cases and contact tracing were </w:t>
      </w:r>
      <w:proofErr w:type="gramStart"/>
      <w:r>
        <w:t>carried out</w:t>
      </w:r>
      <w:proofErr w:type="gramEnd"/>
      <w:r>
        <w:t xml:space="preserve"> as part of normal follow-up for notifiable diseases in Queensland. West Moreton Ethics Committee Chair advised that, following The Royal Melbourne Hospital guidance, Human Research Ethics Committee Review was not </w:t>
      </w:r>
      <w:proofErr w:type="gramStart"/>
      <w:r>
        <w:t>required</w:t>
      </w:r>
      <w:proofErr w:type="gramEnd"/>
      <w:r>
        <w:t xml:space="preserve"> as the cases had provided written consent, the report did not contain identifying information and publication involved negligible risk to the patients and others who may be affected in Queensland</w:t>
      </w:r>
      <w:r w:rsidR="008E6523">
        <w:t> </w:t>
      </w:r>
      <w:r>
        <w:t xml:space="preserve">Health. </w:t>
      </w:r>
    </w:p>
    <w:p w14:paraId="39176AB4" w14:textId="77777777" w:rsidR="00964C13" w:rsidRDefault="00964C13" w:rsidP="00793C29">
      <w:pPr>
        <w:divId w:val="1637644058"/>
      </w:pPr>
      <w:r>
        <w:t xml:space="preserve">Isolates of </w:t>
      </w:r>
      <w:r w:rsidRPr="00793C29">
        <w:rPr>
          <w:rStyle w:val="Emphasis"/>
          <w:b w:val="0"/>
          <w:bCs w:val="0"/>
        </w:rPr>
        <w:t xml:space="preserve">C. </w:t>
      </w:r>
      <w:proofErr w:type="spellStart"/>
      <w:r w:rsidRPr="00793C29">
        <w:rPr>
          <w:rStyle w:val="Emphasis"/>
          <w:b w:val="0"/>
          <w:bCs w:val="0"/>
        </w:rPr>
        <w:t>ulcerans</w:t>
      </w:r>
      <w:proofErr w:type="spellEnd"/>
      <w:r>
        <w:t xml:space="preserve"> </w:t>
      </w:r>
      <w:proofErr w:type="gramStart"/>
      <w:r>
        <w:t>were referred</w:t>
      </w:r>
      <w:proofErr w:type="gramEnd"/>
      <w:r>
        <w:t xml:space="preserve"> to QHFSS for toxin gene testing. The presence of the </w:t>
      </w:r>
      <w:r w:rsidRPr="00793C29">
        <w:rPr>
          <w:rStyle w:val="Emphasis"/>
          <w:b w:val="0"/>
          <w:bCs w:val="0"/>
        </w:rPr>
        <w:t>tox</w:t>
      </w:r>
      <w:r>
        <w:t xml:space="preserve"> gene </w:t>
      </w:r>
      <w:proofErr w:type="gramStart"/>
      <w:r>
        <w:t>was confirmed</w:t>
      </w:r>
      <w:proofErr w:type="gramEnd"/>
      <w:r>
        <w:t xml:space="preserve"> by previously described methods.</w:t>
      </w:r>
      <w:r>
        <w:rPr>
          <w:vertAlign w:val="superscript"/>
        </w:rPr>
        <w:t>10,11</w:t>
      </w:r>
      <w:r>
        <w:t xml:space="preserve"> Whole genome sequencing (WGS) was performed on the Illumina </w:t>
      </w:r>
      <w:proofErr w:type="spellStart"/>
      <w:r>
        <w:t>NextSeq</w:t>
      </w:r>
      <w:proofErr w:type="spellEnd"/>
      <w:r>
        <w:t xml:space="preserve"> 500 platform with </w:t>
      </w:r>
      <w:proofErr w:type="spellStart"/>
      <w:r>
        <w:t>Nextera</w:t>
      </w:r>
      <w:proofErr w:type="spellEnd"/>
      <w:r>
        <w:t xml:space="preserve"> XT library preparation (Illumina, CA). Reads </w:t>
      </w:r>
      <w:proofErr w:type="gramStart"/>
      <w:r>
        <w:t>were trimmed</w:t>
      </w:r>
      <w:proofErr w:type="gramEnd"/>
      <w:r>
        <w:t xml:space="preserve"> with Trimmomatic</w:t>
      </w:r>
      <w:r>
        <w:rPr>
          <w:vertAlign w:val="superscript"/>
        </w:rPr>
        <w:t>12</w:t>
      </w:r>
      <w:r>
        <w:t xml:space="preserve"> and assembled with Spades.</w:t>
      </w:r>
      <w:r>
        <w:rPr>
          <w:vertAlign w:val="superscript"/>
        </w:rPr>
        <w:t>13</w:t>
      </w:r>
      <w:r>
        <w:t xml:space="preserve"> Sequence data are available in SRA </w:t>
      </w:r>
      <w:proofErr w:type="spellStart"/>
      <w:r>
        <w:t>BioProject</w:t>
      </w:r>
      <w:proofErr w:type="spellEnd"/>
      <w:r>
        <w:t xml:space="preserve"> PRJEB60670. Multi-locus sequence typing (MLST) and toxin type were determined </w:t>
      </w:r>
      <w:r w:rsidRPr="00793C29">
        <w:rPr>
          <w:rStyle w:val="Emphasis"/>
          <w:b w:val="0"/>
          <w:bCs w:val="0"/>
        </w:rPr>
        <w:t>in silico</w:t>
      </w:r>
      <w:r>
        <w:t xml:space="preserve"> using the </w:t>
      </w:r>
      <w:r w:rsidRPr="00793C29">
        <w:rPr>
          <w:rStyle w:val="Emphasis"/>
          <w:b w:val="0"/>
          <w:bCs w:val="0"/>
        </w:rPr>
        <w:t>C. diphtheriae</w:t>
      </w:r>
      <w:r>
        <w:t xml:space="preserve"> scheme.</w:t>
      </w:r>
      <w:r>
        <w:rPr>
          <w:vertAlign w:val="superscript"/>
        </w:rPr>
        <w:t>14</w:t>
      </w:r>
      <w:r>
        <w:t xml:space="preserve"> Core single nucleotide polymorphism (SNP) </w:t>
      </w:r>
      <w:r>
        <w:lastRenderedPageBreak/>
        <w:t>analysis</w:t>
      </w:r>
      <w:r>
        <w:rPr>
          <w:vertAlign w:val="superscript"/>
        </w:rPr>
        <w:t>15</w:t>
      </w:r>
      <w:r>
        <w:t xml:space="preserve"> was performed using the Snippy package (v4.3.6) with </w:t>
      </w:r>
      <w:r w:rsidRPr="00793C29">
        <w:rPr>
          <w:rStyle w:val="Emphasis"/>
          <w:b w:val="0"/>
          <w:bCs w:val="0"/>
        </w:rPr>
        <w:t xml:space="preserve">C. </w:t>
      </w:r>
      <w:proofErr w:type="spellStart"/>
      <w:r w:rsidRPr="00793C29">
        <w:rPr>
          <w:rStyle w:val="Emphasis"/>
          <w:b w:val="0"/>
          <w:bCs w:val="0"/>
        </w:rPr>
        <w:t>ulcerans</w:t>
      </w:r>
      <w:proofErr w:type="spellEnd"/>
      <w:r>
        <w:t xml:space="preserve"> strain 0102 (NCBI accession NC_018101.1) as a reference for ST325 and </w:t>
      </w:r>
      <w:r w:rsidRPr="00793C29">
        <w:rPr>
          <w:rStyle w:val="Emphasis"/>
          <w:b w:val="0"/>
          <w:bCs w:val="0"/>
        </w:rPr>
        <w:t xml:space="preserve">C. </w:t>
      </w:r>
      <w:proofErr w:type="spellStart"/>
      <w:r w:rsidRPr="00793C29">
        <w:rPr>
          <w:rStyle w:val="Emphasis"/>
          <w:b w:val="0"/>
          <w:bCs w:val="0"/>
        </w:rPr>
        <w:t>ulcerans</w:t>
      </w:r>
      <w:proofErr w:type="spellEnd"/>
      <w:r>
        <w:t xml:space="preserve"> strain BR-AD22 (NCBI accession NC_015683.1) as a reference for ST514.</w:t>
      </w:r>
    </w:p>
    <w:p w14:paraId="526555FA" w14:textId="77777777" w:rsidR="00964C13" w:rsidRPr="00793C29" w:rsidRDefault="00964C13" w:rsidP="00793C29">
      <w:pPr>
        <w:pStyle w:val="Heading1"/>
        <w:divId w:val="1637644058"/>
      </w:pPr>
      <w:r w:rsidRPr="00793C29">
        <w:t xml:space="preserve">Findings </w:t>
      </w:r>
    </w:p>
    <w:p w14:paraId="14A048D1" w14:textId="77777777" w:rsidR="00964C13" w:rsidRPr="00793C29" w:rsidRDefault="00964C13" w:rsidP="00793C29">
      <w:pPr>
        <w:pStyle w:val="Heading2"/>
        <w:divId w:val="1637644058"/>
      </w:pPr>
      <w:r w:rsidRPr="00793C29">
        <w:t xml:space="preserve">Case One </w:t>
      </w:r>
    </w:p>
    <w:p w14:paraId="64162A1A" w14:textId="77777777" w:rsidR="00964C13" w:rsidRDefault="00964C13" w:rsidP="00793C29">
      <w:pPr>
        <w:divId w:val="1637644058"/>
      </w:pPr>
      <w:r>
        <w:t xml:space="preserve">On 8 October 2015, Metro North Public Health Unit (MNPHU) </w:t>
      </w:r>
      <w:proofErr w:type="gramStart"/>
      <w:r>
        <w:t>was notified</w:t>
      </w:r>
      <w:proofErr w:type="gramEnd"/>
      <w:r>
        <w:t xml:space="preserve"> of toxin gene-bearing </w:t>
      </w:r>
      <w:r w:rsidRPr="00793C29">
        <w:rPr>
          <w:rStyle w:val="Emphasis"/>
          <w:b w:val="0"/>
          <w:bCs w:val="0"/>
        </w:rPr>
        <w:t xml:space="preserve">C. </w:t>
      </w:r>
      <w:proofErr w:type="spellStart"/>
      <w:r w:rsidRPr="00793C29">
        <w:rPr>
          <w:rStyle w:val="Emphasis"/>
          <w:b w:val="0"/>
          <w:bCs w:val="0"/>
        </w:rPr>
        <w:t>ulcerans</w:t>
      </w:r>
      <w:proofErr w:type="spellEnd"/>
      <w:r>
        <w:t xml:space="preserve"> isolated from a throat swab of a 37-year-old woman who had a persistent cough of several months’ duration. The cough was productive of yellow sputum though she reported no other symptoms. She described a primary course of DTCV and a booster 20 years before onset. She completed a ten-day course of doxycycline, </w:t>
      </w:r>
      <w:proofErr w:type="gramStart"/>
      <w:r>
        <w:t>was isolated</w:t>
      </w:r>
      <w:proofErr w:type="gramEnd"/>
      <w:r>
        <w:t xml:space="preserve"> at home until completion of clearance swabs and was administered DTCV but not given diphtheria antitoxin because of the mild nature of her illness and the lack of characteristic clinical features of respiratory diphtheria. Two people were identified as household-like close contacts; both had antibiotics prescribed and were given DTCV, and neither </w:t>
      </w:r>
      <w:proofErr w:type="gramStart"/>
      <w:r>
        <w:t>tested</w:t>
      </w:r>
      <w:proofErr w:type="gramEnd"/>
      <w:r>
        <w:t xml:space="preserve"> positive for </w:t>
      </w:r>
      <w:r w:rsidRPr="00793C29">
        <w:rPr>
          <w:rStyle w:val="Emphasis"/>
          <w:b w:val="0"/>
          <w:bCs w:val="0"/>
        </w:rPr>
        <w:t xml:space="preserve">C. </w:t>
      </w:r>
      <w:proofErr w:type="spellStart"/>
      <w:r w:rsidRPr="00793C29">
        <w:rPr>
          <w:rStyle w:val="Emphasis"/>
          <w:b w:val="0"/>
          <w:bCs w:val="0"/>
        </w:rPr>
        <w:t>ulcerans</w:t>
      </w:r>
      <w:proofErr w:type="spellEnd"/>
      <w:r>
        <w:t xml:space="preserve"> on screening swabs. </w:t>
      </w:r>
    </w:p>
    <w:p w14:paraId="415A1FC8" w14:textId="77777777" w:rsidR="00964C13" w:rsidRDefault="00964C13" w:rsidP="00793C29">
      <w:pPr>
        <w:divId w:val="1637644058"/>
      </w:pPr>
      <w:r>
        <w:t xml:space="preserve">The case denied any recent overseas travel, contact with livestock or consumption of unpasteurised milk; however, she lived with a household dog. The dog </w:t>
      </w:r>
      <w:proofErr w:type="gramStart"/>
      <w:r>
        <w:t>was noted</w:t>
      </w:r>
      <w:proofErr w:type="gramEnd"/>
      <w:r>
        <w:t xml:space="preserve"> to have had a weeping leg wound that had been previously treated with antibiotics and wound dressings. After the case’s diagnosis, wound and respiratory swabs </w:t>
      </w:r>
      <w:proofErr w:type="gramStart"/>
      <w:r>
        <w:t>were taken</w:t>
      </w:r>
      <w:proofErr w:type="gramEnd"/>
      <w:r>
        <w:t xml:space="preserve"> from the dog, but </w:t>
      </w:r>
      <w:r w:rsidRPr="00793C29">
        <w:rPr>
          <w:rStyle w:val="Emphasis"/>
          <w:b w:val="0"/>
          <w:bCs w:val="0"/>
        </w:rPr>
        <w:t xml:space="preserve">C. </w:t>
      </w:r>
      <w:proofErr w:type="spellStart"/>
      <w:r w:rsidRPr="00793C29">
        <w:rPr>
          <w:rStyle w:val="Emphasis"/>
          <w:b w:val="0"/>
          <w:bCs w:val="0"/>
        </w:rPr>
        <w:t>ulcerans</w:t>
      </w:r>
      <w:proofErr w:type="spellEnd"/>
      <w:r>
        <w:t xml:space="preserve"> was not cultured from any of these specimens. </w:t>
      </w:r>
    </w:p>
    <w:p w14:paraId="39820A8E" w14:textId="77777777" w:rsidR="00964C13" w:rsidRPr="00793C29" w:rsidRDefault="00964C13" w:rsidP="00793C29">
      <w:pPr>
        <w:pStyle w:val="Heading2"/>
        <w:divId w:val="1637644058"/>
      </w:pPr>
      <w:r w:rsidRPr="00793C29">
        <w:t xml:space="preserve">Case Two </w:t>
      </w:r>
    </w:p>
    <w:p w14:paraId="4CDBCDB1" w14:textId="77777777" w:rsidR="00964C13" w:rsidRDefault="00964C13" w:rsidP="00793C29">
      <w:pPr>
        <w:divId w:val="1637644058"/>
      </w:pPr>
      <w:r>
        <w:t xml:space="preserve">A 53-year-old male with no travel history presented to his general practitioner (GP) on 13 November 2018 with a non-healing lower leg ulcer, sustained after a workplace injury two weeks earlier. He had no respiratory symptoms. Flucloxacillin was </w:t>
      </w:r>
      <w:proofErr w:type="gramStart"/>
      <w:r>
        <w:t>commenced</w:t>
      </w:r>
      <w:proofErr w:type="gramEnd"/>
      <w:r>
        <w:t xml:space="preserve">, and a swab cultured. On 20 November 2018, toxin gene-bearing </w:t>
      </w:r>
      <w:r w:rsidRPr="00793C29">
        <w:rPr>
          <w:rStyle w:val="Emphasis"/>
          <w:b w:val="0"/>
          <w:bCs w:val="0"/>
        </w:rPr>
        <w:t xml:space="preserve">C. </w:t>
      </w:r>
      <w:proofErr w:type="spellStart"/>
      <w:r w:rsidRPr="00793C29">
        <w:rPr>
          <w:rStyle w:val="Emphasis"/>
          <w:b w:val="0"/>
          <w:bCs w:val="0"/>
        </w:rPr>
        <w:t>ulcerans</w:t>
      </w:r>
      <w:proofErr w:type="spellEnd"/>
      <w:r w:rsidRPr="00793C29">
        <w:rPr>
          <w:rStyle w:val="Emphasis"/>
          <w:b w:val="0"/>
          <w:bCs w:val="0"/>
        </w:rPr>
        <w:t xml:space="preserve"> </w:t>
      </w:r>
      <w:r>
        <w:t xml:space="preserve">was notified to West Moreton Public Health Unit (WMPHU) and the patient </w:t>
      </w:r>
      <w:proofErr w:type="gramStart"/>
      <w:r>
        <w:t>commenced</w:t>
      </w:r>
      <w:proofErr w:type="gramEnd"/>
      <w:r>
        <w:t xml:space="preserve"> erythromycin and received DTCV. Pre- and post-treatment nasopharyngeal swabs reported only normal flora. Figure 1 shows the patient’s wound post treatment. Three household contacts and the GP who provided wound care received erythromycin </w:t>
      </w:r>
      <w:proofErr w:type="gramStart"/>
      <w:r>
        <w:t>prophylaxis;</w:t>
      </w:r>
      <w:proofErr w:type="gramEnd"/>
      <w:r>
        <w:t xml:space="preserve"> none of their nasopharyngeal swabs isolated </w:t>
      </w:r>
      <w:r w:rsidRPr="00793C29">
        <w:rPr>
          <w:rStyle w:val="Emphasis"/>
          <w:b w:val="0"/>
          <w:bCs w:val="0"/>
        </w:rPr>
        <w:t>Corynebacterium</w:t>
      </w:r>
      <w:r>
        <w:t xml:space="preserve">. The GP and one household contact received a DTCV, the other two household contacts </w:t>
      </w:r>
      <w:proofErr w:type="gramStart"/>
      <w:r>
        <w:t>were considered</w:t>
      </w:r>
      <w:proofErr w:type="gramEnd"/>
      <w:r>
        <w:t xml:space="preserve"> up to date. </w:t>
      </w:r>
    </w:p>
    <w:p w14:paraId="276ECC8E" w14:textId="6A2C21A0" w:rsidR="00964C13" w:rsidRDefault="00964C13" w:rsidP="00793C29">
      <w:pPr>
        <w:divId w:val="1637644058"/>
      </w:pPr>
      <w:r>
        <w:t xml:space="preserve">The case lived with two dogs, whose mouth swabs </w:t>
      </w:r>
      <w:proofErr w:type="gramStart"/>
      <w:r>
        <w:t>tested</w:t>
      </w:r>
      <w:proofErr w:type="gramEnd"/>
      <w:r>
        <w:t xml:space="preserve"> positive for toxin gene-bearing </w:t>
      </w:r>
      <w:r w:rsidRPr="00793C29">
        <w:rPr>
          <w:rStyle w:val="Emphasis"/>
          <w:b w:val="0"/>
          <w:bCs w:val="0"/>
        </w:rPr>
        <w:t xml:space="preserve">C. </w:t>
      </w:r>
      <w:proofErr w:type="spellStart"/>
      <w:r w:rsidRPr="00793C29">
        <w:rPr>
          <w:rStyle w:val="Emphasis"/>
          <w:b w:val="0"/>
          <w:bCs w:val="0"/>
        </w:rPr>
        <w:t>ulcerans</w:t>
      </w:r>
      <w:proofErr w:type="spellEnd"/>
      <w:r>
        <w:t xml:space="preserve"> which matched the owner’s sample on genome sequencing prior to treatment with erythromycin. Post-treatment swabs from the dogs were negative. Infection control advice </w:t>
      </w:r>
      <w:proofErr w:type="gramStart"/>
      <w:r>
        <w:t>was provided</w:t>
      </w:r>
      <w:proofErr w:type="gramEnd"/>
      <w:r>
        <w:t xml:space="preserve"> to the short-term kennel facility attended by one of the</w:t>
      </w:r>
      <w:r w:rsidR="00A703AF">
        <w:t> </w:t>
      </w:r>
      <w:r>
        <w:t>dogs.</w:t>
      </w:r>
    </w:p>
    <w:p w14:paraId="3ADEA5BA" w14:textId="77777777" w:rsidR="00264167" w:rsidRDefault="00264167">
      <w:pPr>
        <w:rPr>
          <w:rFonts w:asciiTheme="majorHAnsi" w:eastAsiaTheme="majorEastAsia" w:hAnsiTheme="majorHAnsi" w:cstheme="majorBidi"/>
          <w:b/>
          <w:bCs/>
          <w:sz w:val="26"/>
          <w:szCs w:val="26"/>
        </w:rPr>
      </w:pPr>
      <w:r>
        <w:br w:type="page"/>
      </w:r>
    </w:p>
    <w:p w14:paraId="62A06886" w14:textId="77777777" w:rsidR="00B95DEA" w:rsidRPr="00EC77FA" w:rsidRDefault="00B95DEA" w:rsidP="00EC77FA">
      <w:pPr>
        <w:pStyle w:val="CDIFigures"/>
        <w:divId w:val="1637644058"/>
      </w:pPr>
      <w:r w:rsidRPr="00EC77FA">
        <w:rPr>
          <w:rStyle w:val="Strong"/>
          <w:b/>
          <w:bCs w:val="0"/>
        </w:rPr>
        <w:lastRenderedPageBreak/>
        <w:t xml:space="preserve">Figure 1: Left lower leg ulcer of Case Two, four weeks after initial swab collection which was positive for toxigenic </w:t>
      </w:r>
      <w:r w:rsidRPr="00EC77FA">
        <w:rPr>
          <w:rStyle w:val="Strong"/>
          <w:b/>
          <w:bCs w:val="0"/>
          <w:i/>
          <w:iCs/>
        </w:rPr>
        <w:t xml:space="preserve">C. </w:t>
      </w:r>
      <w:proofErr w:type="spellStart"/>
      <w:r w:rsidRPr="00EC77FA">
        <w:rPr>
          <w:rStyle w:val="Strong"/>
          <w:b/>
          <w:bCs w:val="0"/>
          <w:i/>
          <w:iCs/>
        </w:rPr>
        <w:t>ulcerans</w:t>
      </w:r>
      <w:proofErr w:type="spellEnd"/>
      <w:r w:rsidRPr="00EC77FA">
        <w:rPr>
          <w:rStyle w:val="Strong"/>
          <w:b/>
          <w:bCs w:val="0"/>
        </w:rPr>
        <w:t xml:space="preserve"> and two weeks after completing 14 days of erythromycin </w:t>
      </w:r>
      <w:proofErr w:type="gramStart"/>
      <w:r w:rsidRPr="00EC77FA">
        <w:rPr>
          <w:rStyle w:val="Strong"/>
          <w:b/>
          <w:bCs w:val="0"/>
        </w:rPr>
        <w:t>treatment</w:t>
      </w:r>
      <w:proofErr w:type="gramEnd"/>
    </w:p>
    <w:p w14:paraId="3ED6D8C3" w14:textId="77777777" w:rsidR="00B95DEA" w:rsidRDefault="00B95DEA" w:rsidP="00B95DEA">
      <w:pPr>
        <w:divId w:val="1637644058"/>
        <w:rPr>
          <w:rFonts w:eastAsia="Times New Roman"/>
          <w:lang w:val="en-GB"/>
        </w:rPr>
      </w:pPr>
      <w:r>
        <w:rPr>
          <w:rFonts w:eastAsia="Times New Roman"/>
          <w:noProof/>
          <w:lang w:val="en-GB"/>
        </w:rPr>
        <w:drawing>
          <wp:inline distT="0" distB="0" distL="0" distR="0" wp14:anchorId="534682E3" wp14:editId="4C05C2CE">
            <wp:extent cx="2537716" cy="3382939"/>
            <wp:effectExtent l="19050" t="19050" r="15240" b="27305"/>
            <wp:docPr id="6" name="Picture 6" descr="Figure1 shows a left lower leg ulcer of Case Two which has still not completely healed even though it is four weeks after initial swab collection (positive for toxigenic C ulcerans) and two weeks after completing 14 days of erythromycin trea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1 shows a left lower leg ulcer of Case Two which has still not completely healed even though it is four weeks after initial swab collection (positive for toxigenic C ulcerans) and two weeks after completing 14 days of erythromycin treatment"/>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548358" cy="3397126"/>
                    </a:xfrm>
                    <a:prstGeom prst="rect">
                      <a:avLst/>
                    </a:prstGeom>
                    <a:ln w="3175">
                      <a:solidFill>
                        <a:schemeClr val="tx1"/>
                      </a:solidFill>
                    </a:ln>
                  </pic:spPr>
                </pic:pic>
              </a:graphicData>
            </a:graphic>
          </wp:inline>
        </w:drawing>
      </w:r>
    </w:p>
    <w:p w14:paraId="60AA217A" w14:textId="29C6635D" w:rsidR="00964C13" w:rsidRPr="00793C29" w:rsidRDefault="00964C13" w:rsidP="00793C29">
      <w:pPr>
        <w:pStyle w:val="Heading2"/>
        <w:divId w:val="1637644058"/>
      </w:pPr>
      <w:r w:rsidRPr="00793C29">
        <w:t xml:space="preserve">Case Three </w:t>
      </w:r>
    </w:p>
    <w:p w14:paraId="79D32081" w14:textId="77777777" w:rsidR="00964C13" w:rsidRDefault="00964C13" w:rsidP="00793C29">
      <w:pPr>
        <w:divId w:val="1637644058"/>
      </w:pPr>
      <w:r>
        <w:t xml:space="preserve">A 44-year-old female with type 2 diabetes mellitus and no travel history presented to her GP on 19 November 2018 with a week of painful discharge from a non-healing toe amputation wound from three years previously. She had no respiratory symptoms. The wound </w:t>
      </w:r>
      <w:proofErr w:type="gramStart"/>
      <w:r>
        <w:t>was dressed</w:t>
      </w:r>
      <w:proofErr w:type="gramEnd"/>
      <w:r>
        <w:t>, and its swab cultured. On 28</w:t>
      </w:r>
      <w:r>
        <w:rPr>
          <w:vertAlign w:val="superscript"/>
        </w:rPr>
        <w:t xml:space="preserve"> </w:t>
      </w:r>
      <w:r>
        <w:t xml:space="preserve">November 2018, toxin gene-bearing </w:t>
      </w:r>
      <w:r w:rsidRPr="00793C29">
        <w:rPr>
          <w:rStyle w:val="Emphasis"/>
          <w:b w:val="0"/>
          <w:bCs w:val="0"/>
        </w:rPr>
        <w:t xml:space="preserve">C. </w:t>
      </w:r>
      <w:proofErr w:type="spellStart"/>
      <w:r w:rsidRPr="00793C29">
        <w:rPr>
          <w:rStyle w:val="Emphasis"/>
          <w:b w:val="0"/>
          <w:bCs w:val="0"/>
        </w:rPr>
        <w:t>ulcerans</w:t>
      </w:r>
      <w:proofErr w:type="spellEnd"/>
      <w:r>
        <w:t xml:space="preserve"> </w:t>
      </w:r>
      <w:proofErr w:type="gramStart"/>
      <w:r>
        <w:t>was notified</w:t>
      </w:r>
      <w:proofErr w:type="gramEnd"/>
      <w:r>
        <w:t xml:space="preserve"> to WMPHU. The patient </w:t>
      </w:r>
      <w:proofErr w:type="gramStart"/>
      <w:r>
        <w:t>commenced</w:t>
      </w:r>
      <w:proofErr w:type="gramEnd"/>
      <w:r>
        <w:t xml:space="preserve"> erythromycin prophylaxis and received DTCV. Pre- and post-treatment nasopharyngeal swabs did not isolate </w:t>
      </w:r>
      <w:r w:rsidRPr="00793C29">
        <w:rPr>
          <w:rStyle w:val="Emphasis"/>
          <w:b w:val="0"/>
          <w:bCs w:val="0"/>
        </w:rPr>
        <w:t xml:space="preserve">C. </w:t>
      </w:r>
      <w:proofErr w:type="spellStart"/>
      <w:r w:rsidRPr="00793C29">
        <w:rPr>
          <w:rStyle w:val="Emphasis"/>
          <w:b w:val="0"/>
          <w:bCs w:val="0"/>
        </w:rPr>
        <w:t>ulcerans</w:t>
      </w:r>
      <w:proofErr w:type="spellEnd"/>
      <w:r>
        <w:t xml:space="preserve">. The wound healed post treatment (Figure 2). All five household and household-like or intimate contacts </w:t>
      </w:r>
      <w:proofErr w:type="gramStart"/>
      <w:r>
        <w:t>identified</w:t>
      </w:r>
      <w:proofErr w:type="gramEnd"/>
      <w:r>
        <w:t xml:space="preserve"> were asymptomatic, received erythromycin prophylaxis and were offered DTCV with nasopharyngeal and throat swabs culture negative.</w:t>
      </w:r>
    </w:p>
    <w:p w14:paraId="3392F73D" w14:textId="77777777" w:rsidR="00964C13" w:rsidRDefault="00964C13" w:rsidP="00793C29">
      <w:pPr>
        <w:divId w:val="1637644058"/>
      </w:pPr>
      <w:r>
        <w:t xml:space="preserve">A healthy cat in the household did not have </w:t>
      </w:r>
      <w:r w:rsidRPr="00793C29">
        <w:rPr>
          <w:rStyle w:val="Emphasis"/>
          <w:b w:val="0"/>
          <w:bCs w:val="0"/>
        </w:rPr>
        <w:t xml:space="preserve">C. </w:t>
      </w:r>
      <w:proofErr w:type="spellStart"/>
      <w:r w:rsidRPr="00793C29">
        <w:rPr>
          <w:rStyle w:val="Emphasis"/>
          <w:b w:val="0"/>
          <w:bCs w:val="0"/>
        </w:rPr>
        <w:t>ulcerans</w:t>
      </w:r>
      <w:proofErr w:type="spellEnd"/>
      <w:r>
        <w:t xml:space="preserve"> isolated from nasopharyngeal swabs. A household dog with an offensive-smelling ear discharge was euthanised and cremated two weeks before the case developed symptoms. Another immunocompromised human contact of this dog was negative for </w:t>
      </w:r>
      <w:r w:rsidRPr="00793C29">
        <w:rPr>
          <w:rStyle w:val="Emphasis"/>
          <w:b w:val="0"/>
          <w:bCs w:val="0"/>
        </w:rPr>
        <w:t xml:space="preserve">C. </w:t>
      </w:r>
      <w:proofErr w:type="spellStart"/>
      <w:r w:rsidRPr="00793C29">
        <w:rPr>
          <w:rStyle w:val="Emphasis"/>
          <w:b w:val="0"/>
          <w:bCs w:val="0"/>
        </w:rPr>
        <w:t>ulcerans</w:t>
      </w:r>
      <w:proofErr w:type="spellEnd"/>
      <w:r>
        <w:t xml:space="preserve"> from nasopharyngeal swabs. </w:t>
      </w:r>
    </w:p>
    <w:p w14:paraId="443ECBD2" w14:textId="77777777" w:rsidR="00B95DEA" w:rsidRDefault="00B95DEA">
      <w:pPr>
        <w:rPr>
          <w:rFonts w:asciiTheme="majorHAnsi" w:eastAsiaTheme="majorEastAsia" w:hAnsiTheme="majorHAnsi" w:cstheme="majorBidi"/>
          <w:b/>
          <w:bCs/>
          <w:sz w:val="26"/>
          <w:szCs w:val="26"/>
        </w:rPr>
      </w:pPr>
      <w:r>
        <w:br w:type="page"/>
      </w:r>
    </w:p>
    <w:p w14:paraId="381DFEE9" w14:textId="77777777" w:rsidR="00B95DEA" w:rsidRPr="00660426" w:rsidRDefault="00B95DEA" w:rsidP="00660426">
      <w:pPr>
        <w:pStyle w:val="CDIFigures"/>
        <w:divId w:val="1637644058"/>
      </w:pPr>
      <w:r w:rsidRPr="00660426">
        <w:rPr>
          <w:rStyle w:val="Strong"/>
          <w:b/>
          <w:bCs w:val="0"/>
        </w:rPr>
        <w:lastRenderedPageBreak/>
        <w:t xml:space="preserve">Figure 2: Wound from previous right great toe amputation of Case Three: (A) before debridement, (B) after debridement, and (C) after completion of erythromycin </w:t>
      </w:r>
      <w:proofErr w:type="gramStart"/>
      <w:r w:rsidRPr="00660426">
        <w:rPr>
          <w:rStyle w:val="Strong"/>
          <w:b/>
          <w:bCs w:val="0"/>
        </w:rPr>
        <w:t>treatment</w:t>
      </w:r>
      <w:proofErr w:type="gramEnd"/>
    </w:p>
    <w:p w14:paraId="71C91412" w14:textId="77777777" w:rsidR="00B95DEA" w:rsidRDefault="00B95DEA" w:rsidP="00B95DEA">
      <w:pPr>
        <w:divId w:val="1637644058"/>
        <w:rPr>
          <w:rFonts w:eastAsia="Times New Roman"/>
          <w:lang w:val="en-GB"/>
        </w:rPr>
      </w:pPr>
      <w:r>
        <w:rPr>
          <w:rFonts w:eastAsia="Times New Roman"/>
          <w:noProof/>
          <w:lang w:val="en-GB"/>
        </w:rPr>
        <w:drawing>
          <wp:inline distT="0" distB="0" distL="0" distR="0" wp14:anchorId="4A13F82A" wp14:editId="28B5AA63">
            <wp:extent cx="1591194" cy="2036240"/>
            <wp:effectExtent l="19050" t="19050" r="28575" b="21590"/>
            <wp:docPr id="2" name="Picture 2" descr="Wound from previous right great toe amputation of Case two: a) before debridement b) after debridement and c) after completion of erythromycin treatmen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ound from previous right great toe amputation of Case two: a) before debridement b) after debridement and c) after completion of erythromycin treatment.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91194" cy="2036240"/>
                    </a:xfrm>
                    <a:prstGeom prst="rect">
                      <a:avLst/>
                    </a:prstGeom>
                    <a:noFill/>
                    <a:ln w="3175">
                      <a:solidFill>
                        <a:schemeClr val="tx1"/>
                      </a:solidFill>
                    </a:ln>
                  </pic:spPr>
                </pic:pic>
              </a:graphicData>
            </a:graphic>
          </wp:inline>
        </w:drawing>
      </w:r>
      <w:r>
        <w:rPr>
          <w:rFonts w:eastAsia="Times New Roman"/>
          <w:noProof/>
          <w:lang w:val="en-GB"/>
        </w:rPr>
        <w:drawing>
          <wp:inline distT="0" distB="0" distL="0" distR="0" wp14:anchorId="39AD29B8" wp14:editId="7B1C6038">
            <wp:extent cx="1658256" cy="2042337"/>
            <wp:effectExtent l="19050" t="19050" r="18415" b="1524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8256" cy="2042337"/>
                    </a:xfrm>
                    <a:prstGeom prst="rect">
                      <a:avLst/>
                    </a:prstGeom>
                    <a:noFill/>
                    <a:ln w="3175">
                      <a:solidFill>
                        <a:schemeClr val="tx1"/>
                      </a:solidFill>
                    </a:ln>
                  </pic:spPr>
                </pic:pic>
              </a:graphicData>
            </a:graphic>
          </wp:inline>
        </w:drawing>
      </w:r>
      <w:r>
        <w:rPr>
          <w:rFonts w:eastAsia="Times New Roman"/>
          <w:noProof/>
          <w:lang w:val="en-GB"/>
        </w:rPr>
        <w:drawing>
          <wp:inline distT="0" distB="0" distL="0" distR="0" wp14:anchorId="2E358DF9" wp14:editId="5C4DD05D">
            <wp:extent cx="1784590" cy="2042160"/>
            <wp:effectExtent l="19050" t="19050" r="25400" b="1524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87501" cy="2045492"/>
                    </a:xfrm>
                    <a:prstGeom prst="rect">
                      <a:avLst/>
                    </a:prstGeom>
                    <a:noFill/>
                    <a:ln w="3175">
                      <a:solidFill>
                        <a:schemeClr val="tx1"/>
                      </a:solidFill>
                    </a:ln>
                  </pic:spPr>
                </pic:pic>
              </a:graphicData>
            </a:graphic>
          </wp:inline>
        </w:drawing>
      </w:r>
    </w:p>
    <w:p w14:paraId="2823BB19" w14:textId="060D388A" w:rsidR="00964C13" w:rsidRPr="00793C29" w:rsidRDefault="00964C13" w:rsidP="00793C29">
      <w:pPr>
        <w:pStyle w:val="Heading2"/>
        <w:divId w:val="1637644058"/>
      </w:pPr>
      <w:r w:rsidRPr="00793C29">
        <w:t xml:space="preserve">Case Four </w:t>
      </w:r>
    </w:p>
    <w:p w14:paraId="7DCD830C" w14:textId="77777777" w:rsidR="00964C13" w:rsidRDefault="00964C13" w:rsidP="00793C29">
      <w:pPr>
        <w:divId w:val="1637644058"/>
      </w:pPr>
      <w:r>
        <w:t xml:space="preserve">A 22-year-old female presented to her local GP in September 2020 after a burn injury at home. The </w:t>
      </w:r>
      <w:proofErr w:type="gramStart"/>
      <w:r>
        <w:t>initial</w:t>
      </w:r>
      <w:proofErr w:type="gramEnd"/>
      <w:r>
        <w:t xml:space="preserve"> injury was described as light pink covering the dorsal surface of the right foot. Five days later there was change in colour and increase in slough, with infection confirmed by a wound swab revealing heavy growth of </w:t>
      </w:r>
      <w:r w:rsidRPr="00793C29">
        <w:rPr>
          <w:rStyle w:val="Emphasis"/>
          <w:b w:val="0"/>
          <w:bCs w:val="0"/>
        </w:rPr>
        <w:t>Staphylococcus aureus</w:t>
      </w:r>
      <w:r>
        <w:t xml:space="preserve"> and </w:t>
      </w:r>
      <w:r w:rsidRPr="00793C29">
        <w:rPr>
          <w:rStyle w:val="Emphasis"/>
          <w:b w:val="0"/>
          <w:bCs w:val="0"/>
        </w:rPr>
        <w:t xml:space="preserve">Corynebacterium </w:t>
      </w:r>
      <w:proofErr w:type="spellStart"/>
      <w:r w:rsidRPr="00793C29">
        <w:rPr>
          <w:rStyle w:val="Emphasis"/>
          <w:b w:val="0"/>
          <w:bCs w:val="0"/>
        </w:rPr>
        <w:t>ulcerans</w:t>
      </w:r>
      <w:proofErr w:type="spellEnd"/>
      <w:r w:rsidRPr="00793C29">
        <w:rPr>
          <w:rStyle w:val="Emphasis"/>
          <w:b w:val="0"/>
          <w:bCs w:val="0"/>
        </w:rPr>
        <w:t xml:space="preserve">, </w:t>
      </w:r>
      <w:r>
        <w:t>with moderate growth of</w:t>
      </w:r>
      <w:r w:rsidRPr="00793C29">
        <w:rPr>
          <w:rStyle w:val="Emphasis"/>
          <w:b w:val="0"/>
          <w:bCs w:val="0"/>
        </w:rPr>
        <w:t xml:space="preserve"> Streptococcus</w:t>
      </w:r>
      <w:r>
        <w:t xml:space="preserve"> </w:t>
      </w:r>
      <w:r w:rsidRPr="00793C29">
        <w:rPr>
          <w:rStyle w:val="Emphasis"/>
          <w:b w:val="0"/>
          <w:bCs w:val="0"/>
        </w:rPr>
        <w:t>sp</w:t>
      </w:r>
      <w:r>
        <w:t xml:space="preserve">. The </w:t>
      </w:r>
      <w:r w:rsidRPr="00793C29">
        <w:rPr>
          <w:rStyle w:val="Emphasis"/>
          <w:b w:val="0"/>
          <w:bCs w:val="0"/>
        </w:rPr>
        <w:t xml:space="preserve">C. </w:t>
      </w:r>
      <w:proofErr w:type="spellStart"/>
      <w:r w:rsidRPr="00793C29">
        <w:rPr>
          <w:rStyle w:val="Emphasis"/>
          <w:b w:val="0"/>
          <w:bCs w:val="0"/>
        </w:rPr>
        <w:t>ulcerans</w:t>
      </w:r>
      <w:proofErr w:type="spellEnd"/>
      <w:r w:rsidRPr="00793C29">
        <w:rPr>
          <w:rStyle w:val="Emphasis"/>
          <w:b w:val="0"/>
          <w:bCs w:val="0"/>
        </w:rPr>
        <w:t xml:space="preserve"> </w:t>
      </w:r>
      <w:r>
        <w:t xml:space="preserve">isolate was toxin gene positive and notified to MNPHU. Interview revealed no history of overseas travel, and no contact with raw animal products or animals other than a household dog. The case reported no direct wound contact with the dog and kept the wound covered other than for showers, although dog hair </w:t>
      </w:r>
      <w:proofErr w:type="gramStart"/>
      <w:r>
        <w:t>was reported</w:t>
      </w:r>
      <w:proofErr w:type="gramEnd"/>
      <w:r>
        <w:t xml:space="preserve"> to be common in the environment. One household contact was </w:t>
      </w:r>
      <w:proofErr w:type="gramStart"/>
      <w:r>
        <w:t>identified</w:t>
      </w:r>
      <w:proofErr w:type="gramEnd"/>
      <w:r>
        <w:t xml:space="preserve">, who was well and was up to date with vaccinations. Antibiotics were organised for both case and household contact and the case </w:t>
      </w:r>
      <w:proofErr w:type="gramStart"/>
      <w:r>
        <w:t>was</w:t>
      </w:r>
      <w:proofErr w:type="gramEnd"/>
      <w:r>
        <w:t xml:space="preserve"> provided with a booster DTCV. Infectious Disease specialist advice was </w:t>
      </w:r>
      <w:proofErr w:type="gramStart"/>
      <w:r>
        <w:t>sought</w:t>
      </w:r>
      <w:proofErr w:type="gramEnd"/>
      <w:r>
        <w:t xml:space="preserve"> due to penicillin resistance of the </w:t>
      </w:r>
      <w:r w:rsidRPr="00793C29">
        <w:rPr>
          <w:rStyle w:val="Emphasis"/>
          <w:b w:val="0"/>
          <w:bCs w:val="0"/>
        </w:rPr>
        <w:t xml:space="preserve">C. </w:t>
      </w:r>
      <w:proofErr w:type="spellStart"/>
      <w:r w:rsidRPr="00793C29">
        <w:rPr>
          <w:rStyle w:val="Emphasis"/>
          <w:b w:val="0"/>
          <w:bCs w:val="0"/>
        </w:rPr>
        <w:t>ulcerans</w:t>
      </w:r>
      <w:proofErr w:type="spellEnd"/>
      <w:r w:rsidRPr="00793C29">
        <w:rPr>
          <w:rStyle w:val="Emphasis"/>
          <w:b w:val="0"/>
          <w:bCs w:val="0"/>
        </w:rPr>
        <w:t xml:space="preserve"> </w:t>
      </w:r>
      <w:r>
        <w:t xml:space="preserve">isolate, resulting in switching from flucloxacillin to doxycycline for treatment. The wound completely healed within days of </w:t>
      </w:r>
      <w:proofErr w:type="gramStart"/>
      <w:r>
        <w:t>commencing</w:t>
      </w:r>
      <w:proofErr w:type="gramEnd"/>
      <w:r>
        <w:t xml:space="preserve"> doxycycline. Nose and throat swabs of the case and contact did not have </w:t>
      </w:r>
      <w:r w:rsidRPr="00793C29">
        <w:rPr>
          <w:rStyle w:val="Emphasis"/>
          <w:b w:val="0"/>
          <w:bCs w:val="0"/>
        </w:rPr>
        <w:t>Corynebacterium</w:t>
      </w:r>
      <w:r>
        <w:t xml:space="preserve"> isolated. </w:t>
      </w:r>
    </w:p>
    <w:p w14:paraId="502962D0" w14:textId="12250F55" w:rsidR="00964C13" w:rsidRDefault="00964C13" w:rsidP="00793C29">
      <w:pPr>
        <w:divId w:val="1637644058"/>
      </w:pPr>
      <w:r>
        <w:t xml:space="preserve">The dog was asymptomatic with no visible skin infections; however, nose swabs were positive for </w:t>
      </w:r>
      <w:r w:rsidRPr="00793C29">
        <w:rPr>
          <w:rStyle w:val="Emphasis"/>
          <w:b w:val="0"/>
          <w:bCs w:val="0"/>
        </w:rPr>
        <w:t>C.</w:t>
      </w:r>
      <w:r w:rsidR="00BC64C6">
        <w:rPr>
          <w:rStyle w:val="Emphasis"/>
          <w:b w:val="0"/>
          <w:bCs w:val="0"/>
        </w:rPr>
        <w:t xml:space="preserve"> </w:t>
      </w:r>
      <w:proofErr w:type="spellStart"/>
      <w:r w:rsidRPr="00793C29">
        <w:rPr>
          <w:rStyle w:val="Emphasis"/>
          <w:b w:val="0"/>
          <w:bCs w:val="0"/>
        </w:rPr>
        <w:t>ulcerans</w:t>
      </w:r>
      <w:proofErr w:type="spellEnd"/>
      <w:r>
        <w:t xml:space="preserve">, with toxin gene polymerase chain reaction (PCR) also positive. On advice from Biosecurity Queensland veterinarians, the dog </w:t>
      </w:r>
      <w:proofErr w:type="gramStart"/>
      <w:r>
        <w:t>was treated</w:t>
      </w:r>
      <w:proofErr w:type="gramEnd"/>
      <w:r>
        <w:t xml:space="preserve"> with doxycycline for 14 days. After another 14 days the dog was re-swabbed but showed persistent nasal carriage of </w:t>
      </w:r>
      <w:r w:rsidRPr="00793C29">
        <w:rPr>
          <w:rStyle w:val="Emphasis"/>
          <w:b w:val="0"/>
          <w:bCs w:val="0"/>
        </w:rPr>
        <w:t>C.</w:t>
      </w:r>
      <w:r w:rsidR="00BC64C6">
        <w:rPr>
          <w:rStyle w:val="Emphasis"/>
          <w:b w:val="0"/>
          <w:bCs w:val="0"/>
        </w:rPr>
        <w:t xml:space="preserve"> </w:t>
      </w:r>
      <w:proofErr w:type="spellStart"/>
      <w:r w:rsidRPr="00793C29">
        <w:rPr>
          <w:rStyle w:val="Emphasis"/>
          <w:b w:val="0"/>
          <w:bCs w:val="0"/>
        </w:rPr>
        <w:t>ulcerans</w:t>
      </w:r>
      <w:proofErr w:type="spellEnd"/>
      <w:r>
        <w:t xml:space="preserve">. Despite </w:t>
      </w:r>
      <w:proofErr w:type="gramStart"/>
      <w:r>
        <w:t>being advised</w:t>
      </w:r>
      <w:proofErr w:type="gramEnd"/>
      <w:r>
        <w:t xml:space="preserve"> of the risks, the case declined further treatment or swabbing of the dog. Advice was provided to the case </w:t>
      </w:r>
      <w:proofErr w:type="gramStart"/>
      <w:r>
        <w:t>regarding</w:t>
      </w:r>
      <w:proofErr w:type="gramEnd"/>
      <w:r>
        <w:t xml:space="preserve"> cleaning the home to minimise exposure to potential environmental contamination. </w:t>
      </w:r>
    </w:p>
    <w:p w14:paraId="5EC09E5A" w14:textId="77777777" w:rsidR="00964C13" w:rsidRPr="00793C29" w:rsidRDefault="00964C13" w:rsidP="00793C29">
      <w:pPr>
        <w:pStyle w:val="Heading2"/>
        <w:divId w:val="1637644058"/>
      </w:pPr>
      <w:r w:rsidRPr="00793C29">
        <w:t xml:space="preserve">Case Five </w:t>
      </w:r>
    </w:p>
    <w:p w14:paraId="1E87C5E7" w14:textId="77777777" w:rsidR="00964C13" w:rsidRDefault="00964C13" w:rsidP="00793C29">
      <w:pPr>
        <w:divId w:val="1637644058"/>
      </w:pPr>
      <w:r>
        <w:t xml:space="preserve">An 85-year-old female </w:t>
      </w:r>
      <w:proofErr w:type="gramStart"/>
      <w:r>
        <w:t>was admitted</w:t>
      </w:r>
      <w:proofErr w:type="gramEnd"/>
      <w:r>
        <w:t xml:space="preserve"> to hospital on 27 January 2023 with a non-healing wound on her right knee after a fall while visiting an island off the Queensland coast in November 2022. The wound accumulated fluid and </w:t>
      </w:r>
      <w:proofErr w:type="gramStart"/>
      <w:r>
        <w:t>was drained</w:t>
      </w:r>
      <w:proofErr w:type="gramEnd"/>
      <w:r>
        <w:t xml:space="preserve"> under sterile conditions by her GP two days after the fall, but the wound continued to discharge. She had no respiratory symptoms. She </w:t>
      </w:r>
      <w:proofErr w:type="gramStart"/>
      <w:r>
        <w:t>commenced</w:t>
      </w:r>
      <w:proofErr w:type="gramEnd"/>
      <w:r>
        <w:t xml:space="preserve"> clindamycin on admission after a swab was taken. Toxin gene-bearing C. </w:t>
      </w:r>
      <w:proofErr w:type="spellStart"/>
      <w:r w:rsidRPr="00793C29">
        <w:rPr>
          <w:rStyle w:val="Emphasis"/>
          <w:b w:val="0"/>
          <w:bCs w:val="0"/>
        </w:rPr>
        <w:t>ulcerans</w:t>
      </w:r>
      <w:proofErr w:type="spellEnd"/>
      <w:r>
        <w:t xml:space="preserve"> </w:t>
      </w:r>
      <w:proofErr w:type="gramStart"/>
      <w:r>
        <w:t>was notified</w:t>
      </w:r>
      <w:proofErr w:type="gramEnd"/>
      <w:r>
        <w:t xml:space="preserve"> to Sunshine Coast Public Health Unit on 3 February 2023. Antibiotics had </w:t>
      </w:r>
      <w:proofErr w:type="gramStart"/>
      <w:r>
        <w:t>been changed</w:t>
      </w:r>
      <w:proofErr w:type="gramEnd"/>
      <w:r>
        <w:t xml:space="preserve"> to vancomycin several days before notification because of concerns about multi-resistant </w:t>
      </w:r>
      <w:r w:rsidRPr="00793C29">
        <w:rPr>
          <w:rStyle w:val="Emphasis"/>
          <w:b w:val="0"/>
          <w:bCs w:val="0"/>
        </w:rPr>
        <w:t>Staphylococcus aureus</w:t>
      </w:r>
      <w:r>
        <w:t xml:space="preserve">. Culture found a </w:t>
      </w:r>
      <w:r w:rsidRPr="00793C29">
        <w:rPr>
          <w:rStyle w:val="Emphasis"/>
          <w:b w:val="0"/>
          <w:bCs w:val="0"/>
        </w:rPr>
        <w:t xml:space="preserve">C. </w:t>
      </w:r>
      <w:proofErr w:type="spellStart"/>
      <w:r w:rsidRPr="00793C29">
        <w:rPr>
          <w:rStyle w:val="Emphasis"/>
          <w:b w:val="0"/>
          <w:bCs w:val="0"/>
        </w:rPr>
        <w:t>ulcerans</w:t>
      </w:r>
      <w:proofErr w:type="spellEnd"/>
      <w:r w:rsidRPr="00793C29">
        <w:rPr>
          <w:rStyle w:val="Emphasis"/>
          <w:b w:val="0"/>
          <w:bCs w:val="0"/>
        </w:rPr>
        <w:t xml:space="preserve"> </w:t>
      </w:r>
      <w:r>
        <w:t xml:space="preserve">resistant to penicillin and clindamycin, with sensitivity to vancomycin, tetracycline, and erythromycin. A nasal swab performed after the receipt of four days of intravenous vancomycin did not detect </w:t>
      </w:r>
      <w:r w:rsidRPr="00793C29">
        <w:rPr>
          <w:rStyle w:val="Emphasis"/>
          <w:b w:val="0"/>
          <w:bCs w:val="0"/>
        </w:rPr>
        <w:t xml:space="preserve">C. </w:t>
      </w:r>
      <w:proofErr w:type="spellStart"/>
      <w:r w:rsidRPr="00793C29">
        <w:rPr>
          <w:rStyle w:val="Emphasis"/>
          <w:b w:val="0"/>
          <w:bCs w:val="0"/>
        </w:rPr>
        <w:t>ulcerans</w:t>
      </w:r>
      <w:proofErr w:type="spellEnd"/>
      <w:r>
        <w:t xml:space="preserve">. The throat swabs of close contacts were negative for </w:t>
      </w:r>
      <w:r w:rsidRPr="00793C29">
        <w:rPr>
          <w:rStyle w:val="Emphasis"/>
          <w:b w:val="0"/>
          <w:bCs w:val="0"/>
        </w:rPr>
        <w:t>Corynebacterium</w:t>
      </w:r>
      <w:r>
        <w:t xml:space="preserve">. They received erythromycin with their DTCV status considered up to date. </w:t>
      </w:r>
    </w:p>
    <w:p w14:paraId="59BFF546" w14:textId="574B86C0" w:rsidR="00964C13" w:rsidRDefault="00964C13" w:rsidP="00793C29">
      <w:pPr>
        <w:divId w:val="1637644058"/>
      </w:pPr>
      <w:r>
        <w:lastRenderedPageBreak/>
        <w:t xml:space="preserve">There were four companion animals (two dogs and two cats) in the household. All four had pharyngeal throat swabs taken that were positive for toxin gene-bearing </w:t>
      </w:r>
      <w:r w:rsidRPr="00793C29">
        <w:rPr>
          <w:rStyle w:val="Emphasis"/>
          <w:b w:val="0"/>
          <w:bCs w:val="0"/>
        </w:rPr>
        <w:t xml:space="preserve">C. </w:t>
      </w:r>
      <w:proofErr w:type="spellStart"/>
      <w:r w:rsidRPr="00793C29">
        <w:rPr>
          <w:rStyle w:val="Emphasis"/>
          <w:b w:val="0"/>
          <w:bCs w:val="0"/>
        </w:rPr>
        <w:t>ulcerans</w:t>
      </w:r>
      <w:proofErr w:type="spellEnd"/>
      <w:r>
        <w:t xml:space="preserve">, with the same antimicrobial sensitivities detected in the sample obtained from the case. All animals received a course of erythromycin, but no clearance swabs </w:t>
      </w:r>
      <w:proofErr w:type="gramStart"/>
      <w:r>
        <w:t>were</w:t>
      </w:r>
      <w:r w:rsidR="00955762">
        <w:t> </w:t>
      </w:r>
      <w:r>
        <w:t>performed</w:t>
      </w:r>
      <w:proofErr w:type="gramEnd"/>
      <w:r>
        <w:t xml:space="preserve">. </w:t>
      </w:r>
    </w:p>
    <w:p w14:paraId="34316DC6" w14:textId="77777777" w:rsidR="00964C13" w:rsidRPr="00793C29" w:rsidRDefault="00964C13" w:rsidP="00793C29">
      <w:pPr>
        <w:pStyle w:val="Heading2"/>
        <w:divId w:val="1637644058"/>
      </w:pPr>
      <w:r w:rsidRPr="00793C29">
        <w:t xml:space="preserve">Laboratory findings </w:t>
      </w:r>
    </w:p>
    <w:p w14:paraId="674D1B9F" w14:textId="77777777" w:rsidR="00964C13" w:rsidRDefault="00964C13" w:rsidP="00793C29">
      <w:pPr>
        <w:divId w:val="1637644058"/>
      </w:pPr>
      <w:r>
        <w:t xml:space="preserve">Table 1 shows the number of </w:t>
      </w:r>
      <w:r w:rsidRPr="00793C29">
        <w:rPr>
          <w:rStyle w:val="Emphasis"/>
          <w:b w:val="0"/>
          <w:bCs w:val="0"/>
        </w:rPr>
        <w:t xml:space="preserve">C. </w:t>
      </w:r>
      <w:proofErr w:type="spellStart"/>
      <w:r w:rsidRPr="00793C29">
        <w:rPr>
          <w:rStyle w:val="Emphasis"/>
          <w:b w:val="0"/>
          <w:bCs w:val="0"/>
        </w:rPr>
        <w:t>ulcerans</w:t>
      </w:r>
      <w:proofErr w:type="spellEnd"/>
      <w:r>
        <w:t xml:space="preserve"> isolates referred to QHFSS for toxin gene testing and the number and percentage positive for the toxin gene over the years of this case series (January 2015 – February 2023). </w:t>
      </w:r>
      <w:proofErr w:type="gramStart"/>
      <w:r>
        <w:t>Some of</w:t>
      </w:r>
      <w:proofErr w:type="gramEnd"/>
      <w:r>
        <w:t xml:space="preserve"> these referred isolates may come from cases outside Queensland. The toxin gene was detected in approximately 45% of isolates; but as identification of an isolate as </w:t>
      </w:r>
      <w:r w:rsidRPr="00793C29">
        <w:rPr>
          <w:rStyle w:val="Emphasis"/>
          <w:b w:val="0"/>
          <w:bCs w:val="0"/>
        </w:rPr>
        <w:t xml:space="preserve">C. </w:t>
      </w:r>
      <w:proofErr w:type="spellStart"/>
      <w:r w:rsidRPr="00793C29">
        <w:rPr>
          <w:rStyle w:val="Emphasis"/>
          <w:b w:val="0"/>
          <w:bCs w:val="0"/>
        </w:rPr>
        <w:t>ulcerans</w:t>
      </w:r>
      <w:proofErr w:type="spellEnd"/>
      <w:r>
        <w:t xml:space="preserve"> relies on the information provided by the </w:t>
      </w:r>
      <w:proofErr w:type="gramStart"/>
      <w:r>
        <w:t>submitting</w:t>
      </w:r>
      <w:proofErr w:type="gramEnd"/>
      <w:r>
        <w:t xml:space="preserve"> laboratory, the proportion of </w:t>
      </w:r>
      <w:r w:rsidRPr="00793C29">
        <w:rPr>
          <w:rStyle w:val="Emphasis"/>
          <w:b w:val="0"/>
          <w:bCs w:val="0"/>
        </w:rPr>
        <w:t xml:space="preserve">C. </w:t>
      </w:r>
      <w:proofErr w:type="spellStart"/>
      <w:r w:rsidRPr="00793C29">
        <w:rPr>
          <w:rStyle w:val="Emphasis"/>
          <w:b w:val="0"/>
          <w:bCs w:val="0"/>
        </w:rPr>
        <w:t>ulcerans</w:t>
      </w:r>
      <w:proofErr w:type="spellEnd"/>
      <w:r>
        <w:t xml:space="preserve"> carrying the toxin gene may actually be lower. </w:t>
      </w:r>
    </w:p>
    <w:p w14:paraId="142982AC" w14:textId="77777777" w:rsidR="00964C13" w:rsidRDefault="00964C13" w:rsidP="00793C29">
      <w:pPr>
        <w:divId w:val="1637644058"/>
      </w:pPr>
      <w:r>
        <w:t xml:space="preserve">MLST analysis showed that the isolates of human cases and their respective animals were the same typing where animal samples were available. Cases One, Three and Four were sequence type (ST) 325, as was Case Four’s dog, with the other human cases and their respective animals ST514 (Table 2). With no epidemiological links, spatial or temporal association, these strains were unsurprisingly distantly related via higher resolution core SNP analysis (Figure 3). Figure 3A and 3B show separate phylogenetic trees built using core SNP analysis for the cases and their pets, together with the previously sequenced strains. ST325 and ST514 isolates </w:t>
      </w:r>
      <w:proofErr w:type="gramStart"/>
      <w:r>
        <w:t>were analysed</w:t>
      </w:r>
      <w:proofErr w:type="gramEnd"/>
      <w:r>
        <w:t xml:space="preserve"> separately due to there being a large genetic distance between these two STs. Core SNP typing showed the strains from cases and their pets were more closely related to each other than to the other cases as </w:t>
      </w:r>
      <w:proofErr w:type="gramStart"/>
      <w:r>
        <w:t>demonstrated</w:t>
      </w:r>
      <w:proofErr w:type="gramEnd"/>
      <w:r>
        <w:t xml:space="preserve"> by the long branch lengths between cases in Figure 3, and the relatively short branch lengths between cases and their pets. </w:t>
      </w:r>
    </w:p>
    <w:p w14:paraId="1786C725" w14:textId="57776193" w:rsidR="00964C13" w:rsidRDefault="00964C13" w:rsidP="00793C29">
      <w:pPr>
        <w:divId w:val="1637644058"/>
      </w:pPr>
      <w:r>
        <w:t xml:space="preserve">Analysis of the full length of the </w:t>
      </w:r>
      <w:r w:rsidRPr="00793C29">
        <w:rPr>
          <w:rStyle w:val="Emphasis"/>
          <w:b w:val="0"/>
          <w:bCs w:val="0"/>
        </w:rPr>
        <w:t xml:space="preserve">tox </w:t>
      </w:r>
      <w:r>
        <w:t xml:space="preserve">genes revealed Cases One, Three and Four to have the same toxin gene sequence as </w:t>
      </w:r>
      <w:r w:rsidRPr="00793C29">
        <w:rPr>
          <w:rStyle w:val="Emphasis"/>
          <w:b w:val="0"/>
          <w:bCs w:val="0"/>
        </w:rPr>
        <w:t xml:space="preserve">C. </w:t>
      </w:r>
      <w:proofErr w:type="spellStart"/>
      <w:r w:rsidRPr="00793C29">
        <w:rPr>
          <w:rStyle w:val="Emphasis"/>
          <w:b w:val="0"/>
          <w:bCs w:val="0"/>
        </w:rPr>
        <w:t>ulcerans</w:t>
      </w:r>
      <w:proofErr w:type="spellEnd"/>
      <w:r>
        <w:t xml:space="preserve"> strain 0102 (</w:t>
      </w:r>
      <w:proofErr w:type="spellStart"/>
      <w:r>
        <w:t>Genbank</w:t>
      </w:r>
      <w:proofErr w:type="spellEnd"/>
      <w:r>
        <w:t xml:space="preserve"> accession AP012284), whereas the toxin gene sequence for Cases Two and Five varied from this sequence by one amino acid and were identical to </w:t>
      </w:r>
      <w:r w:rsidRPr="00793C29">
        <w:rPr>
          <w:rStyle w:val="Emphasis"/>
          <w:b w:val="0"/>
          <w:bCs w:val="0"/>
        </w:rPr>
        <w:t xml:space="preserve">C. </w:t>
      </w:r>
      <w:proofErr w:type="spellStart"/>
      <w:r w:rsidRPr="00793C29">
        <w:rPr>
          <w:rStyle w:val="Emphasis"/>
          <w:b w:val="0"/>
          <w:bCs w:val="0"/>
        </w:rPr>
        <w:t>ulcerans</w:t>
      </w:r>
      <w:proofErr w:type="spellEnd"/>
      <w:r>
        <w:t xml:space="preserve"> strain FRC58 (</w:t>
      </w:r>
      <w:proofErr w:type="spellStart"/>
      <w:r>
        <w:t>Genbank</w:t>
      </w:r>
      <w:proofErr w:type="spellEnd"/>
      <w:r>
        <w:t xml:space="preserve"> accession CP011913).</w:t>
      </w:r>
    </w:p>
    <w:p w14:paraId="0B4C9872" w14:textId="77777777" w:rsidR="0093651A" w:rsidRPr="00315CAA" w:rsidRDefault="0093651A" w:rsidP="0093651A">
      <w:pPr>
        <w:pStyle w:val="CDIFigures"/>
        <w:divId w:val="1637644058"/>
      </w:pPr>
      <w:r w:rsidRPr="00315CAA">
        <w:rPr>
          <w:rStyle w:val="Strong"/>
          <w:b/>
          <w:bCs w:val="0"/>
        </w:rPr>
        <w:t xml:space="preserve">Table 1: Number of </w:t>
      </w:r>
      <w:r w:rsidRPr="00AC0211">
        <w:rPr>
          <w:rStyle w:val="Strong"/>
          <w:b/>
          <w:bCs w:val="0"/>
          <w:i/>
          <w:iCs/>
        </w:rPr>
        <w:t xml:space="preserve">C. </w:t>
      </w:r>
      <w:proofErr w:type="spellStart"/>
      <w:r w:rsidRPr="00AC0211">
        <w:rPr>
          <w:rStyle w:val="Strong"/>
          <w:b/>
          <w:bCs w:val="0"/>
          <w:i/>
          <w:iCs/>
        </w:rPr>
        <w:t>ulcerans</w:t>
      </w:r>
      <w:proofErr w:type="spellEnd"/>
      <w:r w:rsidRPr="00315CAA">
        <w:rPr>
          <w:rStyle w:val="Strong"/>
          <w:b/>
          <w:bCs w:val="0"/>
        </w:rPr>
        <w:t xml:space="preserve"> isolates referred to QHFSS, and percentage with toxin gene detected, January 2015 – February 2023</w:t>
      </w:r>
      <w:r w:rsidRPr="00315CAA">
        <w:t xml:space="preserve"> </w:t>
      </w:r>
    </w:p>
    <w:tbl>
      <w:tblPr>
        <w:tblStyle w:val="CDI-StandardTable"/>
        <w:tblW w:w="0" w:type="auto"/>
        <w:tblLook w:val="04A0" w:firstRow="1" w:lastRow="0" w:firstColumn="1" w:lastColumn="0" w:noHBand="0" w:noVBand="1"/>
        <w:tblDescription w:val="A table detailing the number of referred C. ulcerans isolates each year from 2015 to February 2023, and the propotion with a toxin gene detected. Of 29 isolates referred to QHFSS during this period, 13 (45%) had a toxin gene detected."/>
      </w:tblPr>
      <w:tblGrid>
        <w:gridCol w:w="3480"/>
        <w:gridCol w:w="3480"/>
        <w:gridCol w:w="3480"/>
      </w:tblGrid>
      <w:tr w:rsidR="0093651A" w:rsidRPr="003E04C4" w14:paraId="60A79660" w14:textId="77777777" w:rsidTr="0093651A">
        <w:trPr>
          <w:cnfStyle w:val="100000000000" w:firstRow="1" w:lastRow="0" w:firstColumn="0" w:lastColumn="0" w:oddVBand="0" w:evenVBand="0" w:oddHBand="0" w:evenHBand="0" w:firstRowFirstColumn="0" w:firstRowLastColumn="0" w:lastRowFirstColumn="0" w:lastRowLastColumn="0"/>
          <w:divId w:val="1637644058"/>
        </w:trPr>
        <w:tc>
          <w:tcPr>
            <w:tcW w:w="3480" w:type="dxa"/>
            <w:hideMark/>
          </w:tcPr>
          <w:p w14:paraId="14810F0E" w14:textId="77777777" w:rsidR="0093651A" w:rsidRPr="003E04C4" w:rsidRDefault="0093651A" w:rsidP="0020132E">
            <w:pPr>
              <w:pStyle w:val="NormalWeb"/>
              <w:rPr>
                <w:sz w:val="18"/>
                <w:szCs w:val="18"/>
              </w:rPr>
            </w:pPr>
            <w:r w:rsidRPr="003E04C4">
              <w:rPr>
                <w:sz w:val="18"/>
                <w:szCs w:val="18"/>
              </w:rPr>
              <w:t>Year</w:t>
            </w:r>
          </w:p>
        </w:tc>
        <w:tc>
          <w:tcPr>
            <w:tcW w:w="3480" w:type="dxa"/>
            <w:hideMark/>
          </w:tcPr>
          <w:p w14:paraId="362B440F" w14:textId="77777777" w:rsidR="0093651A" w:rsidRPr="003E04C4" w:rsidRDefault="0093651A" w:rsidP="0020132E">
            <w:pPr>
              <w:pStyle w:val="NormalWeb"/>
              <w:rPr>
                <w:sz w:val="18"/>
                <w:szCs w:val="18"/>
              </w:rPr>
            </w:pPr>
            <w:r w:rsidRPr="003E04C4">
              <w:rPr>
                <w:sz w:val="18"/>
                <w:szCs w:val="18"/>
              </w:rPr>
              <w:t xml:space="preserve">Total </w:t>
            </w:r>
            <w:r w:rsidRPr="00947F77">
              <w:rPr>
                <w:i/>
                <w:iCs/>
                <w:sz w:val="18"/>
                <w:szCs w:val="18"/>
              </w:rPr>
              <w:t xml:space="preserve">C. </w:t>
            </w:r>
            <w:proofErr w:type="spellStart"/>
            <w:r w:rsidRPr="00947F77">
              <w:rPr>
                <w:i/>
                <w:iCs/>
                <w:sz w:val="18"/>
                <w:szCs w:val="18"/>
              </w:rPr>
              <w:t>ulcerans</w:t>
            </w:r>
            <w:proofErr w:type="spellEnd"/>
            <w:r w:rsidRPr="003E04C4">
              <w:rPr>
                <w:sz w:val="18"/>
                <w:szCs w:val="18"/>
              </w:rPr>
              <w:t xml:space="preserve"> isolates referred</w:t>
            </w:r>
          </w:p>
        </w:tc>
        <w:tc>
          <w:tcPr>
            <w:tcW w:w="3480" w:type="dxa"/>
            <w:hideMark/>
          </w:tcPr>
          <w:p w14:paraId="34DEC13A" w14:textId="77777777" w:rsidR="0093651A" w:rsidRPr="003E04C4" w:rsidRDefault="0093651A" w:rsidP="0020132E">
            <w:pPr>
              <w:pStyle w:val="NormalWeb"/>
              <w:rPr>
                <w:sz w:val="18"/>
                <w:szCs w:val="18"/>
              </w:rPr>
            </w:pPr>
            <w:r w:rsidRPr="003E04C4">
              <w:rPr>
                <w:sz w:val="18"/>
                <w:szCs w:val="18"/>
                <w:lang w:val="en-US"/>
              </w:rPr>
              <w:t>Toxin gene detected</w:t>
            </w:r>
            <w:r w:rsidRPr="003E04C4">
              <w:rPr>
                <w:sz w:val="18"/>
                <w:szCs w:val="18"/>
                <w:lang w:val="en-US"/>
              </w:rPr>
              <w:br/>
              <w:t>Number (%)</w:t>
            </w:r>
          </w:p>
        </w:tc>
      </w:tr>
      <w:tr w:rsidR="0093651A" w:rsidRPr="003E04C4" w14:paraId="385E4694" w14:textId="77777777" w:rsidTr="0093651A">
        <w:trPr>
          <w:divId w:val="1637644058"/>
        </w:trPr>
        <w:tc>
          <w:tcPr>
            <w:tcW w:w="3480" w:type="dxa"/>
            <w:hideMark/>
          </w:tcPr>
          <w:p w14:paraId="1840C595" w14:textId="77777777" w:rsidR="0093651A" w:rsidRPr="003E04C4" w:rsidRDefault="0093651A" w:rsidP="0020132E">
            <w:pPr>
              <w:pStyle w:val="NormalWeb"/>
              <w:rPr>
                <w:sz w:val="18"/>
                <w:szCs w:val="18"/>
              </w:rPr>
            </w:pPr>
            <w:r w:rsidRPr="003E04C4">
              <w:rPr>
                <w:sz w:val="18"/>
                <w:szCs w:val="18"/>
              </w:rPr>
              <w:t>2015</w:t>
            </w:r>
          </w:p>
        </w:tc>
        <w:tc>
          <w:tcPr>
            <w:tcW w:w="3480" w:type="dxa"/>
            <w:hideMark/>
          </w:tcPr>
          <w:p w14:paraId="07E89D67" w14:textId="77777777" w:rsidR="0093651A" w:rsidRPr="003E04C4" w:rsidRDefault="0093651A" w:rsidP="0020132E">
            <w:pPr>
              <w:pStyle w:val="NormalWeb"/>
              <w:rPr>
                <w:sz w:val="18"/>
                <w:szCs w:val="18"/>
              </w:rPr>
            </w:pPr>
            <w:r w:rsidRPr="003E04C4">
              <w:rPr>
                <w:sz w:val="18"/>
                <w:szCs w:val="18"/>
              </w:rPr>
              <w:t>4</w:t>
            </w:r>
          </w:p>
        </w:tc>
        <w:tc>
          <w:tcPr>
            <w:tcW w:w="3480" w:type="dxa"/>
            <w:hideMark/>
          </w:tcPr>
          <w:p w14:paraId="01EB3BB5" w14:textId="77777777" w:rsidR="0093651A" w:rsidRPr="003E04C4" w:rsidRDefault="0093651A" w:rsidP="0020132E">
            <w:pPr>
              <w:pStyle w:val="NormalWeb"/>
              <w:rPr>
                <w:sz w:val="18"/>
                <w:szCs w:val="18"/>
              </w:rPr>
            </w:pPr>
            <w:r w:rsidRPr="003E04C4">
              <w:rPr>
                <w:sz w:val="18"/>
                <w:szCs w:val="18"/>
                <w:lang w:val="en-US"/>
              </w:rPr>
              <w:t>3 (75)</w:t>
            </w:r>
          </w:p>
        </w:tc>
      </w:tr>
      <w:tr w:rsidR="0093651A" w:rsidRPr="003E04C4" w14:paraId="3DAFE5B4" w14:textId="77777777" w:rsidTr="0093651A">
        <w:trPr>
          <w:cnfStyle w:val="000000010000" w:firstRow="0" w:lastRow="0" w:firstColumn="0" w:lastColumn="0" w:oddVBand="0" w:evenVBand="0" w:oddHBand="0" w:evenHBand="1" w:firstRowFirstColumn="0" w:firstRowLastColumn="0" w:lastRowFirstColumn="0" w:lastRowLastColumn="0"/>
          <w:divId w:val="1637644058"/>
        </w:trPr>
        <w:tc>
          <w:tcPr>
            <w:tcW w:w="3480" w:type="dxa"/>
            <w:hideMark/>
          </w:tcPr>
          <w:p w14:paraId="13C65B9C" w14:textId="77777777" w:rsidR="0093651A" w:rsidRPr="003E04C4" w:rsidRDefault="0093651A" w:rsidP="0020132E">
            <w:pPr>
              <w:pStyle w:val="NormalWeb"/>
              <w:rPr>
                <w:sz w:val="18"/>
                <w:szCs w:val="18"/>
              </w:rPr>
            </w:pPr>
            <w:r w:rsidRPr="003E04C4">
              <w:rPr>
                <w:sz w:val="18"/>
                <w:szCs w:val="18"/>
              </w:rPr>
              <w:t>2016</w:t>
            </w:r>
          </w:p>
        </w:tc>
        <w:tc>
          <w:tcPr>
            <w:tcW w:w="3480" w:type="dxa"/>
            <w:hideMark/>
          </w:tcPr>
          <w:p w14:paraId="3BB530DC" w14:textId="77777777" w:rsidR="0093651A" w:rsidRPr="003E04C4" w:rsidRDefault="0093651A" w:rsidP="0020132E">
            <w:pPr>
              <w:pStyle w:val="NormalWeb"/>
              <w:rPr>
                <w:sz w:val="18"/>
                <w:szCs w:val="18"/>
              </w:rPr>
            </w:pPr>
            <w:r w:rsidRPr="003E04C4">
              <w:rPr>
                <w:sz w:val="18"/>
                <w:szCs w:val="18"/>
              </w:rPr>
              <w:t>1</w:t>
            </w:r>
          </w:p>
        </w:tc>
        <w:tc>
          <w:tcPr>
            <w:tcW w:w="3480" w:type="dxa"/>
            <w:hideMark/>
          </w:tcPr>
          <w:p w14:paraId="312042D0" w14:textId="77777777" w:rsidR="0093651A" w:rsidRPr="003E04C4" w:rsidRDefault="0093651A" w:rsidP="0020132E">
            <w:pPr>
              <w:pStyle w:val="NormalWeb"/>
              <w:rPr>
                <w:sz w:val="18"/>
                <w:szCs w:val="18"/>
              </w:rPr>
            </w:pPr>
            <w:r w:rsidRPr="003E04C4">
              <w:rPr>
                <w:sz w:val="18"/>
                <w:szCs w:val="18"/>
                <w:lang w:val="en-US"/>
              </w:rPr>
              <w:t>0 (0)</w:t>
            </w:r>
          </w:p>
        </w:tc>
      </w:tr>
      <w:tr w:rsidR="0093651A" w:rsidRPr="003E04C4" w14:paraId="33A5B339" w14:textId="77777777" w:rsidTr="0093651A">
        <w:trPr>
          <w:divId w:val="1637644058"/>
        </w:trPr>
        <w:tc>
          <w:tcPr>
            <w:tcW w:w="3480" w:type="dxa"/>
            <w:hideMark/>
          </w:tcPr>
          <w:p w14:paraId="200BF073" w14:textId="77777777" w:rsidR="0093651A" w:rsidRPr="003E04C4" w:rsidRDefault="0093651A" w:rsidP="0020132E">
            <w:pPr>
              <w:pStyle w:val="NormalWeb"/>
              <w:rPr>
                <w:sz w:val="18"/>
                <w:szCs w:val="18"/>
              </w:rPr>
            </w:pPr>
            <w:r w:rsidRPr="003E04C4">
              <w:rPr>
                <w:sz w:val="18"/>
                <w:szCs w:val="18"/>
              </w:rPr>
              <w:t>2017</w:t>
            </w:r>
          </w:p>
        </w:tc>
        <w:tc>
          <w:tcPr>
            <w:tcW w:w="3480" w:type="dxa"/>
            <w:hideMark/>
          </w:tcPr>
          <w:p w14:paraId="05143F40" w14:textId="77777777" w:rsidR="0093651A" w:rsidRPr="003E04C4" w:rsidRDefault="0093651A" w:rsidP="0020132E">
            <w:pPr>
              <w:pStyle w:val="NormalWeb"/>
              <w:rPr>
                <w:sz w:val="18"/>
                <w:szCs w:val="18"/>
              </w:rPr>
            </w:pPr>
            <w:r w:rsidRPr="003E04C4">
              <w:rPr>
                <w:sz w:val="18"/>
                <w:szCs w:val="18"/>
              </w:rPr>
              <w:t>2</w:t>
            </w:r>
          </w:p>
        </w:tc>
        <w:tc>
          <w:tcPr>
            <w:tcW w:w="3480" w:type="dxa"/>
            <w:hideMark/>
          </w:tcPr>
          <w:p w14:paraId="74CB3B0F" w14:textId="77777777" w:rsidR="0093651A" w:rsidRPr="003E04C4" w:rsidRDefault="0093651A" w:rsidP="0020132E">
            <w:pPr>
              <w:pStyle w:val="NormalWeb"/>
              <w:rPr>
                <w:sz w:val="18"/>
                <w:szCs w:val="18"/>
              </w:rPr>
            </w:pPr>
            <w:r w:rsidRPr="003E04C4">
              <w:rPr>
                <w:sz w:val="18"/>
                <w:szCs w:val="18"/>
                <w:lang w:val="en-US"/>
              </w:rPr>
              <w:t>1 (50)</w:t>
            </w:r>
          </w:p>
        </w:tc>
      </w:tr>
      <w:tr w:rsidR="0093651A" w:rsidRPr="003E04C4" w14:paraId="58962749" w14:textId="77777777" w:rsidTr="0093651A">
        <w:trPr>
          <w:cnfStyle w:val="000000010000" w:firstRow="0" w:lastRow="0" w:firstColumn="0" w:lastColumn="0" w:oddVBand="0" w:evenVBand="0" w:oddHBand="0" w:evenHBand="1" w:firstRowFirstColumn="0" w:firstRowLastColumn="0" w:lastRowFirstColumn="0" w:lastRowLastColumn="0"/>
          <w:divId w:val="1637644058"/>
        </w:trPr>
        <w:tc>
          <w:tcPr>
            <w:tcW w:w="3480" w:type="dxa"/>
            <w:hideMark/>
          </w:tcPr>
          <w:p w14:paraId="76D96673" w14:textId="77777777" w:rsidR="0093651A" w:rsidRPr="003E04C4" w:rsidRDefault="0093651A" w:rsidP="0020132E">
            <w:pPr>
              <w:pStyle w:val="NormalWeb"/>
              <w:rPr>
                <w:sz w:val="18"/>
                <w:szCs w:val="18"/>
              </w:rPr>
            </w:pPr>
            <w:r w:rsidRPr="003E04C4">
              <w:rPr>
                <w:sz w:val="18"/>
                <w:szCs w:val="18"/>
              </w:rPr>
              <w:t>2018</w:t>
            </w:r>
          </w:p>
        </w:tc>
        <w:tc>
          <w:tcPr>
            <w:tcW w:w="3480" w:type="dxa"/>
            <w:hideMark/>
          </w:tcPr>
          <w:p w14:paraId="0D3C3454" w14:textId="77777777" w:rsidR="0093651A" w:rsidRPr="003E04C4" w:rsidRDefault="0093651A" w:rsidP="0020132E">
            <w:pPr>
              <w:pStyle w:val="NormalWeb"/>
              <w:rPr>
                <w:sz w:val="18"/>
                <w:szCs w:val="18"/>
              </w:rPr>
            </w:pPr>
            <w:r w:rsidRPr="003E04C4">
              <w:rPr>
                <w:sz w:val="18"/>
                <w:szCs w:val="18"/>
              </w:rPr>
              <w:t>8</w:t>
            </w:r>
          </w:p>
        </w:tc>
        <w:tc>
          <w:tcPr>
            <w:tcW w:w="3480" w:type="dxa"/>
            <w:hideMark/>
          </w:tcPr>
          <w:p w14:paraId="59B03961" w14:textId="77777777" w:rsidR="0093651A" w:rsidRPr="003E04C4" w:rsidRDefault="0093651A" w:rsidP="0020132E">
            <w:pPr>
              <w:pStyle w:val="NormalWeb"/>
              <w:rPr>
                <w:sz w:val="18"/>
                <w:szCs w:val="18"/>
              </w:rPr>
            </w:pPr>
            <w:r w:rsidRPr="003E04C4">
              <w:rPr>
                <w:sz w:val="18"/>
                <w:szCs w:val="18"/>
                <w:lang w:val="en-US"/>
              </w:rPr>
              <w:t>3 (38)</w:t>
            </w:r>
          </w:p>
        </w:tc>
      </w:tr>
      <w:tr w:rsidR="0093651A" w:rsidRPr="003E04C4" w14:paraId="0498CAF0" w14:textId="77777777" w:rsidTr="0093651A">
        <w:trPr>
          <w:divId w:val="1637644058"/>
        </w:trPr>
        <w:tc>
          <w:tcPr>
            <w:tcW w:w="3480" w:type="dxa"/>
            <w:hideMark/>
          </w:tcPr>
          <w:p w14:paraId="136E0EB0" w14:textId="77777777" w:rsidR="0093651A" w:rsidRPr="003E04C4" w:rsidRDefault="0093651A" w:rsidP="0020132E">
            <w:pPr>
              <w:pStyle w:val="NormalWeb"/>
              <w:rPr>
                <w:sz w:val="18"/>
                <w:szCs w:val="18"/>
              </w:rPr>
            </w:pPr>
            <w:r w:rsidRPr="003E04C4">
              <w:rPr>
                <w:sz w:val="18"/>
                <w:szCs w:val="18"/>
              </w:rPr>
              <w:t>2019</w:t>
            </w:r>
          </w:p>
        </w:tc>
        <w:tc>
          <w:tcPr>
            <w:tcW w:w="3480" w:type="dxa"/>
            <w:hideMark/>
          </w:tcPr>
          <w:p w14:paraId="00363063" w14:textId="77777777" w:rsidR="0093651A" w:rsidRPr="003E04C4" w:rsidRDefault="0093651A" w:rsidP="0020132E">
            <w:pPr>
              <w:pStyle w:val="NormalWeb"/>
              <w:rPr>
                <w:sz w:val="18"/>
                <w:szCs w:val="18"/>
              </w:rPr>
            </w:pPr>
            <w:r w:rsidRPr="003E04C4">
              <w:rPr>
                <w:sz w:val="18"/>
                <w:szCs w:val="18"/>
              </w:rPr>
              <w:t>0</w:t>
            </w:r>
          </w:p>
        </w:tc>
        <w:tc>
          <w:tcPr>
            <w:tcW w:w="3480" w:type="dxa"/>
            <w:hideMark/>
          </w:tcPr>
          <w:p w14:paraId="39EAED27" w14:textId="77777777" w:rsidR="0093651A" w:rsidRPr="003E04C4" w:rsidRDefault="0093651A" w:rsidP="0020132E">
            <w:pPr>
              <w:pStyle w:val="NormalWeb"/>
              <w:rPr>
                <w:sz w:val="18"/>
                <w:szCs w:val="18"/>
              </w:rPr>
            </w:pPr>
            <w:r w:rsidRPr="003E04C4">
              <w:rPr>
                <w:sz w:val="18"/>
                <w:szCs w:val="18"/>
                <w:lang w:val="en-US"/>
              </w:rPr>
              <w:t>0 (0)</w:t>
            </w:r>
          </w:p>
        </w:tc>
      </w:tr>
      <w:tr w:rsidR="0093651A" w:rsidRPr="003E04C4" w14:paraId="5E9B28E4" w14:textId="77777777" w:rsidTr="0093651A">
        <w:trPr>
          <w:cnfStyle w:val="000000010000" w:firstRow="0" w:lastRow="0" w:firstColumn="0" w:lastColumn="0" w:oddVBand="0" w:evenVBand="0" w:oddHBand="0" w:evenHBand="1" w:firstRowFirstColumn="0" w:firstRowLastColumn="0" w:lastRowFirstColumn="0" w:lastRowLastColumn="0"/>
          <w:divId w:val="1637644058"/>
        </w:trPr>
        <w:tc>
          <w:tcPr>
            <w:tcW w:w="3480" w:type="dxa"/>
            <w:hideMark/>
          </w:tcPr>
          <w:p w14:paraId="74AE0BE9" w14:textId="77777777" w:rsidR="0093651A" w:rsidRPr="003E04C4" w:rsidRDefault="0093651A" w:rsidP="0020132E">
            <w:pPr>
              <w:pStyle w:val="NormalWeb"/>
              <w:rPr>
                <w:sz w:val="18"/>
                <w:szCs w:val="18"/>
              </w:rPr>
            </w:pPr>
            <w:r w:rsidRPr="003E04C4">
              <w:rPr>
                <w:sz w:val="18"/>
                <w:szCs w:val="18"/>
              </w:rPr>
              <w:t>2020</w:t>
            </w:r>
          </w:p>
        </w:tc>
        <w:tc>
          <w:tcPr>
            <w:tcW w:w="3480" w:type="dxa"/>
            <w:hideMark/>
          </w:tcPr>
          <w:p w14:paraId="540BE8B9" w14:textId="77777777" w:rsidR="0093651A" w:rsidRPr="003E04C4" w:rsidRDefault="0093651A" w:rsidP="0020132E">
            <w:pPr>
              <w:pStyle w:val="NormalWeb"/>
              <w:rPr>
                <w:sz w:val="18"/>
                <w:szCs w:val="18"/>
              </w:rPr>
            </w:pPr>
            <w:r w:rsidRPr="003E04C4">
              <w:rPr>
                <w:sz w:val="18"/>
                <w:szCs w:val="18"/>
              </w:rPr>
              <w:t>8</w:t>
            </w:r>
          </w:p>
        </w:tc>
        <w:tc>
          <w:tcPr>
            <w:tcW w:w="3480" w:type="dxa"/>
            <w:hideMark/>
          </w:tcPr>
          <w:p w14:paraId="67EBDD71" w14:textId="77777777" w:rsidR="0093651A" w:rsidRPr="003E04C4" w:rsidRDefault="0093651A" w:rsidP="0020132E">
            <w:pPr>
              <w:pStyle w:val="NormalWeb"/>
              <w:rPr>
                <w:sz w:val="18"/>
                <w:szCs w:val="18"/>
              </w:rPr>
            </w:pPr>
            <w:r w:rsidRPr="003E04C4">
              <w:rPr>
                <w:sz w:val="18"/>
                <w:szCs w:val="18"/>
                <w:lang w:val="en-US"/>
              </w:rPr>
              <w:t>3 (38)</w:t>
            </w:r>
          </w:p>
        </w:tc>
      </w:tr>
      <w:tr w:rsidR="0093651A" w:rsidRPr="003E04C4" w14:paraId="4282F79F" w14:textId="77777777" w:rsidTr="0093651A">
        <w:trPr>
          <w:divId w:val="1637644058"/>
        </w:trPr>
        <w:tc>
          <w:tcPr>
            <w:tcW w:w="3480" w:type="dxa"/>
            <w:hideMark/>
          </w:tcPr>
          <w:p w14:paraId="017CA1CD" w14:textId="77777777" w:rsidR="0093651A" w:rsidRPr="003E04C4" w:rsidRDefault="0093651A" w:rsidP="0020132E">
            <w:pPr>
              <w:pStyle w:val="NormalWeb"/>
              <w:rPr>
                <w:sz w:val="18"/>
                <w:szCs w:val="18"/>
              </w:rPr>
            </w:pPr>
            <w:r w:rsidRPr="003E04C4">
              <w:rPr>
                <w:sz w:val="18"/>
                <w:szCs w:val="18"/>
              </w:rPr>
              <w:t>2021</w:t>
            </w:r>
          </w:p>
        </w:tc>
        <w:tc>
          <w:tcPr>
            <w:tcW w:w="3480" w:type="dxa"/>
            <w:hideMark/>
          </w:tcPr>
          <w:p w14:paraId="2557E953" w14:textId="77777777" w:rsidR="0093651A" w:rsidRPr="003E04C4" w:rsidRDefault="0093651A" w:rsidP="0020132E">
            <w:pPr>
              <w:pStyle w:val="NormalWeb"/>
              <w:rPr>
                <w:sz w:val="18"/>
                <w:szCs w:val="18"/>
              </w:rPr>
            </w:pPr>
            <w:r w:rsidRPr="003E04C4">
              <w:rPr>
                <w:sz w:val="18"/>
                <w:szCs w:val="18"/>
              </w:rPr>
              <w:t>3</w:t>
            </w:r>
          </w:p>
        </w:tc>
        <w:tc>
          <w:tcPr>
            <w:tcW w:w="3480" w:type="dxa"/>
            <w:hideMark/>
          </w:tcPr>
          <w:p w14:paraId="389EE34E" w14:textId="77777777" w:rsidR="0093651A" w:rsidRPr="003E04C4" w:rsidRDefault="0093651A" w:rsidP="0020132E">
            <w:pPr>
              <w:pStyle w:val="NormalWeb"/>
              <w:rPr>
                <w:sz w:val="18"/>
                <w:szCs w:val="18"/>
              </w:rPr>
            </w:pPr>
            <w:r w:rsidRPr="003E04C4">
              <w:rPr>
                <w:sz w:val="18"/>
                <w:szCs w:val="18"/>
                <w:lang w:val="en-US"/>
              </w:rPr>
              <w:t>2 (67)</w:t>
            </w:r>
          </w:p>
        </w:tc>
      </w:tr>
      <w:tr w:rsidR="0093651A" w:rsidRPr="003E04C4" w14:paraId="081FF3CB" w14:textId="77777777" w:rsidTr="0093651A">
        <w:trPr>
          <w:cnfStyle w:val="000000010000" w:firstRow="0" w:lastRow="0" w:firstColumn="0" w:lastColumn="0" w:oddVBand="0" w:evenVBand="0" w:oddHBand="0" w:evenHBand="1" w:firstRowFirstColumn="0" w:firstRowLastColumn="0" w:lastRowFirstColumn="0" w:lastRowLastColumn="0"/>
          <w:divId w:val="1637644058"/>
        </w:trPr>
        <w:tc>
          <w:tcPr>
            <w:tcW w:w="3480" w:type="dxa"/>
            <w:hideMark/>
          </w:tcPr>
          <w:p w14:paraId="35626D79" w14:textId="77777777" w:rsidR="0093651A" w:rsidRPr="003E04C4" w:rsidRDefault="0093651A" w:rsidP="0020132E">
            <w:pPr>
              <w:pStyle w:val="NormalWeb"/>
              <w:rPr>
                <w:sz w:val="18"/>
                <w:szCs w:val="18"/>
              </w:rPr>
            </w:pPr>
            <w:r w:rsidRPr="003E04C4">
              <w:rPr>
                <w:sz w:val="18"/>
                <w:szCs w:val="18"/>
              </w:rPr>
              <w:t>2022</w:t>
            </w:r>
          </w:p>
        </w:tc>
        <w:tc>
          <w:tcPr>
            <w:tcW w:w="3480" w:type="dxa"/>
            <w:hideMark/>
          </w:tcPr>
          <w:p w14:paraId="1C0E8537" w14:textId="77777777" w:rsidR="0093651A" w:rsidRPr="003E04C4" w:rsidRDefault="0093651A" w:rsidP="0020132E">
            <w:pPr>
              <w:pStyle w:val="NormalWeb"/>
              <w:rPr>
                <w:sz w:val="18"/>
                <w:szCs w:val="18"/>
              </w:rPr>
            </w:pPr>
            <w:r w:rsidRPr="003E04C4">
              <w:rPr>
                <w:sz w:val="18"/>
                <w:szCs w:val="18"/>
              </w:rPr>
              <w:t>1</w:t>
            </w:r>
          </w:p>
        </w:tc>
        <w:tc>
          <w:tcPr>
            <w:tcW w:w="3480" w:type="dxa"/>
            <w:hideMark/>
          </w:tcPr>
          <w:p w14:paraId="741942AE" w14:textId="77777777" w:rsidR="0093651A" w:rsidRPr="003E04C4" w:rsidRDefault="0093651A" w:rsidP="0020132E">
            <w:pPr>
              <w:pStyle w:val="NormalWeb"/>
              <w:rPr>
                <w:sz w:val="18"/>
                <w:szCs w:val="18"/>
              </w:rPr>
            </w:pPr>
            <w:r w:rsidRPr="003E04C4">
              <w:rPr>
                <w:sz w:val="18"/>
                <w:szCs w:val="18"/>
                <w:lang w:val="en-US"/>
              </w:rPr>
              <w:t>0 (0)</w:t>
            </w:r>
          </w:p>
        </w:tc>
      </w:tr>
      <w:tr w:rsidR="0093651A" w:rsidRPr="003E04C4" w14:paraId="2291803F" w14:textId="77777777" w:rsidTr="0093651A">
        <w:trPr>
          <w:divId w:val="1637644058"/>
        </w:trPr>
        <w:tc>
          <w:tcPr>
            <w:tcW w:w="3480" w:type="dxa"/>
            <w:hideMark/>
          </w:tcPr>
          <w:p w14:paraId="4CD8597C" w14:textId="77777777" w:rsidR="0093651A" w:rsidRPr="003E04C4" w:rsidRDefault="0093651A" w:rsidP="0020132E">
            <w:pPr>
              <w:pStyle w:val="NormalWeb"/>
              <w:rPr>
                <w:sz w:val="18"/>
                <w:szCs w:val="18"/>
              </w:rPr>
            </w:pPr>
            <w:r w:rsidRPr="003E04C4">
              <w:rPr>
                <w:sz w:val="18"/>
                <w:szCs w:val="18"/>
              </w:rPr>
              <w:t>2023 (to February)</w:t>
            </w:r>
          </w:p>
        </w:tc>
        <w:tc>
          <w:tcPr>
            <w:tcW w:w="3480" w:type="dxa"/>
            <w:hideMark/>
          </w:tcPr>
          <w:p w14:paraId="22EDC05E" w14:textId="77777777" w:rsidR="0093651A" w:rsidRPr="003E04C4" w:rsidRDefault="0093651A" w:rsidP="0020132E">
            <w:pPr>
              <w:pStyle w:val="NormalWeb"/>
              <w:rPr>
                <w:sz w:val="18"/>
                <w:szCs w:val="18"/>
              </w:rPr>
            </w:pPr>
            <w:r w:rsidRPr="003E04C4">
              <w:rPr>
                <w:sz w:val="18"/>
                <w:szCs w:val="18"/>
              </w:rPr>
              <w:t>2</w:t>
            </w:r>
          </w:p>
        </w:tc>
        <w:tc>
          <w:tcPr>
            <w:tcW w:w="3480" w:type="dxa"/>
            <w:hideMark/>
          </w:tcPr>
          <w:p w14:paraId="15F99338" w14:textId="77777777" w:rsidR="0093651A" w:rsidRPr="003E04C4" w:rsidRDefault="0093651A" w:rsidP="0020132E">
            <w:pPr>
              <w:pStyle w:val="NormalWeb"/>
              <w:rPr>
                <w:sz w:val="18"/>
                <w:szCs w:val="18"/>
              </w:rPr>
            </w:pPr>
            <w:r w:rsidRPr="003E04C4">
              <w:rPr>
                <w:sz w:val="18"/>
                <w:szCs w:val="18"/>
                <w:lang w:val="en-US"/>
              </w:rPr>
              <w:t>1 (50)</w:t>
            </w:r>
          </w:p>
        </w:tc>
      </w:tr>
      <w:tr w:rsidR="0093651A" w:rsidRPr="00947F77" w14:paraId="54535227" w14:textId="77777777" w:rsidTr="0093651A">
        <w:trPr>
          <w:cnfStyle w:val="000000010000" w:firstRow="0" w:lastRow="0" w:firstColumn="0" w:lastColumn="0" w:oddVBand="0" w:evenVBand="0" w:oddHBand="0" w:evenHBand="1" w:firstRowFirstColumn="0" w:firstRowLastColumn="0" w:lastRowFirstColumn="0" w:lastRowLastColumn="0"/>
          <w:divId w:val="1637644058"/>
        </w:trPr>
        <w:tc>
          <w:tcPr>
            <w:tcW w:w="3480" w:type="dxa"/>
            <w:shd w:val="clear" w:color="auto" w:fill="F7ECDD"/>
            <w:hideMark/>
          </w:tcPr>
          <w:p w14:paraId="42F1AD81" w14:textId="77777777" w:rsidR="0093651A" w:rsidRPr="00947F77" w:rsidRDefault="0093651A" w:rsidP="0020132E">
            <w:pPr>
              <w:pStyle w:val="NormalWeb"/>
              <w:rPr>
                <w:b/>
                <w:bCs/>
                <w:sz w:val="18"/>
                <w:szCs w:val="18"/>
              </w:rPr>
            </w:pPr>
            <w:r w:rsidRPr="00947F77">
              <w:rPr>
                <w:b/>
                <w:bCs/>
                <w:sz w:val="18"/>
                <w:szCs w:val="18"/>
              </w:rPr>
              <w:t>Total</w:t>
            </w:r>
          </w:p>
        </w:tc>
        <w:tc>
          <w:tcPr>
            <w:tcW w:w="3480" w:type="dxa"/>
            <w:shd w:val="clear" w:color="auto" w:fill="F7ECDD"/>
            <w:hideMark/>
          </w:tcPr>
          <w:p w14:paraId="4C9A05AE" w14:textId="77777777" w:rsidR="0093651A" w:rsidRPr="00947F77" w:rsidRDefault="0093651A" w:rsidP="0020132E">
            <w:pPr>
              <w:pStyle w:val="NormalWeb"/>
              <w:rPr>
                <w:b/>
                <w:bCs/>
                <w:sz w:val="18"/>
                <w:szCs w:val="18"/>
              </w:rPr>
            </w:pPr>
            <w:r w:rsidRPr="00947F77">
              <w:rPr>
                <w:b/>
                <w:bCs/>
                <w:sz w:val="18"/>
                <w:szCs w:val="18"/>
              </w:rPr>
              <w:t>29</w:t>
            </w:r>
          </w:p>
        </w:tc>
        <w:tc>
          <w:tcPr>
            <w:tcW w:w="3480" w:type="dxa"/>
            <w:shd w:val="clear" w:color="auto" w:fill="F7ECDD"/>
            <w:hideMark/>
          </w:tcPr>
          <w:p w14:paraId="4BD8B98E" w14:textId="77777777" w:rsidR="0093651A" w:rsidRPr="00947F77" w:rsidRDefault="0093651A" w:rsidP="0020132E">
            <w:pPr>
              <w:pStyle w:val="NormalWeb"/>
              <w:rPr>
                <w:b/>
                <w:bCs/>
                <w:sz w:val="18"/>
                <w:szCs w:val="18"/>
              </w:rPr>
            </w:pPr>
            <w:r w:rsidRPr="00947F77">
              <w:rPr>
                <w:b/>
                <w:bCs/>
                <w:sz w:val="18"/>
                <w:szCs w:val="18"/>
                <w:lang w:val="en-US"/>
              </w:rPr>
              <w:t>13 (45)</w:t>
            </w:r>
          </w:p>
        </w:tc>
      </w:tr>
    </w:tbl>
    <w:p w14:paraId="56B8D191" w14:textId="0DAC39C9" w:rsidR="0093651A" w:rsidRDefault="0093651A" w:rsidP="00793C29">
      <w:pPr>
        <w:divId w:val="1637644058"/>
      </w:pPr>
    </w:p>
    <w:p w14:paraId="233180FB" w14:textId="77777777" w:rsidR="0093651A" w:rsidRDefault="0093651A">
      <w:r>
        <w:br w:type="page"/>
      </w:r>
    </w:p>
    <w:p w14:paraId="1A97F1B7" w14:textId="77777777" w:rsidR="00481EAD" w:rsidRDefault="00481EAD" w:rsidP="00481EAD">
      <w:pPr>
        <w:pStyle w:val="NormalWeb"/>
        <w:divId w:val="1637644058"/>
        <w:rPr>
          <w:lang w:val="en-GB"/>
        </w:rPr>
      </w:pPr>
      <w:r>
        <w:rPr>
          <w:rStyle w:val="Strong"/>
          <w:lang w:val="en-GB"/>
        </w:rPr>
        <w:lastRenderedPageBreak/>
        <w:t xml:space="preserve">Table 2: Case details and laboratory </w:t>
      </w:r>
      <w:proofErr w:type="gramStart"/>
      <w:r>
        <w:rPr>
          <w:rStyle w:val="Strong"/>
          <w:lang w:val="en-GB"/>
        </w:rPr>
        <w:t>typing</w:t>
      </w:r>
      <w:proofErr w:type="gramEnd"/>
      <w:r>
        <w:rPr>
          <w:lang w:val="en-GB"/>
        </w:rPr>
        <w:t xml:space="preserve"> </w:t>
      </w:r>
    </w:p>
    <w:tbl>
      <w:tblPr>
        <w:tblStyle w:val="CDI-StandardTable"/>
        <w:tblW w:w="0" w:type="auto"/>
        <w:tblLook w:val="04A0" w:firstRow="1" w:lastRow="0" w:firstColumn="1" w:lastColumn="0" w:noHBand="0" w:noVBand="1"/>
        <w:tblDescription w:val="This table compares the MLST determined for each human case. For Cases Two, Four and Five, companion animals were also found to be infected, in each instance with the same MLST as the corresponding human case. MLST ST325 was determined for Cases One, Three, and Four, while MLST ST514 was determined for Cases Two and Five."/>
      </w:tblPr>
      <w:tblGrid>
        <w:gridCol w:w="2088"/>
        <w:gridCol w:w="2088"/>
        <w:gridCol w:w="2088"/>
        <w:gridCol w:w="2088"/>
        <w:gridCol w:w="2088"/>
      </w:tblGrid>
      <w:tr w:rsidR="00481EAD" w:rsidRPr="003B0461" w14:paraId="3D3E70C4" w14:textId="77777777" w:rsidTr="00481EAD">
        <w:trPr>
          <w:cnfStyle w:val="100000000000" w:firstRow="1" w:lastRow="0" w:firstColumn="0" w:lastColumn="0" w:oddVBand="0" w:evenVBand="0" w:oddHBand="0" w:evenHBand="0" w:firstRowFirstColumn="0" w:firstRowLastColumn="0" w:lastRowFirstColumn="0" w:lastRowLastColumn="0"/>
          <w:divId w:val="1637644058"/>
        </w:trPr>
        <w:tc>
          <w:tcPr>
            <w:tcW w:w="2088" w:type="dxa"/>
            <w:tcBorders>
              <w:bottom w:val="single" w:sz="4" w:space="0" w:color="808080" w:themeColor="background1" w:themeShade="80"/>
            </w:tcBorders>
            <w:hideMark/>
          </w:tcPr>
          <w:p w14:paraId="5220BB6B" w14:textId="77777777" w:rsidR="00481EAD" w:rsidRPr="003B0461" w:rsidRDefault="00481EAD" w:rsidP="0020132E">
            <w:pPr>
              <w:pStyle w:val="NormalWeb"/>
              <w:rPr>
                <w:sz w:val="18"/>
                <w:szCs w:val="18"/>
              </w:rPr>
            </w:pPr>
            <w:r w:rsidRPr="003B0461">
              <w:rPr>
                <w:sz w:val="18"/>
                <w:szCs w:val="18"/>
              </w:rPr>
              <w:t>Case</w:t>
            </w:r>
          </w:p>
        </w:tc>
        <w:tc>
          <w:tcPr>
            <w:tcW w:w="2088" w:type="dxa"/>
            <w:tcBorders>
              <w:bottom w:val="single" w:sz="4" w:space="0" w:color="808080" w:themeColor="background1" w:themeShade="80"/>
            </w:tcBorders>
            <w:hideMark/>
          </w:tcPr>
          <w:p w14:paraId="4CC2CBB7" w14:textId="77777777" w:rsidR="00481EAD" w:rsidRPr="003B0461" w:rsidRDefault="00481EAD" w:rsidP="0020132E">
            <w:pPr>
              <w:pStyle w:val="NormalWeb"/>
              <w:rPr>
                <w:sz w:val="18"/>
                <w:szCs w:val="18"/>
              </w:rPr>
            </w:pPr>
            <w:r w:rsidRPr="003B0461">
              <w:rPr>
                <w:sz w:val="18"/>
                <w:szCs w:val="18"/>
              </w:rPr>
              <w:t>Year</w:t>
            </w:r>
          </w:p>
        </w:tc>
        <w:tc>
          <w:tcPr>
            <w:tcW w:w="2088" w:type="dxa"/>
            <w:tcBorders>
              <w:bottom w:val="single" w:sz="4" w:space="0" w:color="808080" w:themeColor="background1" w:themeShade="80"/>
            </w:tcBorders>
            <w:hideMark/>
          </w:tcPr>
          <w:p w14:paraId="680E0F22" w14:textId="77777777" w:rsidR="00481EAD" w:rsidRPr="003B0461" w:rsidRDefault="00481EAD" w:rsidP="0020132E">
            <w:pPr>
              <w:pStyle w:val="NormalWeb"/>
              <w:rPr>
                <w:sz w:val="18"/>
                <w:szCs w:val="18"/>
              </w:rPr>
            </w:pPr>
            <w:r w:rsidRPr="003B0461">
              <w:rPr>
                <w:sz w:val="18"/>
                <w:szCs w:val="18"/>
              </w:rPr>
              <w:t>Patient strain</w:t>
            </w:r>
          </w:p>
        </w:tc>
        <w:tc>
          <w:tcPr>
            <w:tcW w:w="2088" w:type="dxa"/>
            <w:tcBorders>
              <w:bottom w:val="single" w:sz="4" w:space="0" w:color="808080" w:themeColor="background1" w:themeShade="80"/>
            </w:tcBorders>
            <w:hideMark/>
          </w:tcPr>
          <w:p w14:paraId="7E677B84" w14:textId="77777777" w:rsidR="00481EAD" w:rsidRPr="003B0461" w:rsidRDefault="00481EAD" w:rsidP="0020132E">
            <w:pPr>
              <w:pStyle w:val="NormalWeb"/>
              <w:rPr>
                <w:sz w:val="18"/>
                <w:szCs w:val="18"/>
              </w:rPr>
            </w:pPr>
            <w:r w:rsidRPr="003B0461">
              <w:rPr>
                <w:sz w:val="18"/>
                <w:szCs w:val="18"/>
              </w:rPr>
              <w:t>Companion animal strains</w:t>
            </w:r>
          </w:p>
        </w:tc>
        <w:tc>
          <w:tcPr>
            <w:tcW w:w="2088" w:type="dxa"/>
            <w:tcBorders>
              <w:bottom w:val="single" w:sz="4" w:space="0" w:color="808080" w:themeColor="background1" w:themeShade="80"/>
            </w:tcBorders>
            <w:hideMark/>
          </w:tcPr>
          <w:p w14:paraId="62FA73EF" w14:textId="77777777" w:rsidR="00481EAD" w:rsidRPr="003B0461" w:rsidRDefault="00481EAD" w:rsidP="0020132E">
            <w:pPr>
              <w:pStyle w:val="NormalWeb"/>
              <w:rPr>
                <w:sz w:val="18"/>
                <w:szCs w:val="18"/>
              </w:rPr>
            </w:pPr>
            <w:r w:rsidRPr="003B0461">
              <w:rPr>
                <w:sz w:val="18"/>
                <w:szCs w:val="18"/>
                <w:lang w:val="en-US"/>
              </w:rPr>
              <w:t>MLST</w:t>
            </w:r>
          </w:p>
        </w:tc>
      </w:tr>
      <w:tr w:rsidR="00481EAD" w:rsidRPr="003B0461" w14:paraId="239F3FFF" w14:textId="77777777" w:rsidTr="00481EAD">
        <w:trPr>
          <w:divId w:val="1637644058"/>
        </w:trPr>
        <w:tc>
          <w:tcPr>
            <w:tcW w:w="20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1F78D9FC" w14:textId="77777777" w:rsidR="00481EAD" w:rsidRPr="003B0461" w:rsidRDefault="00481EAD" w:rsidP="0020132E">
            <w:pPr>
              <w:pStyle w:val="NormalWeb"/>
              <w:rPr>
                <w:sz w:val="18"/>
                <w:szCs w:val="18"/>
              </w:rPr>
            </w:pPr>
            <w:r w:rsidRPr="003B0461">
              <w:rPr>
                <w:sz w:val="18"/>
                <w:szCs w:val="18"/>
              </w:rPr>
              <w:t>One</w:t>
            </w:r>
          </w:p>
        </w:tc>
        <w:tc>
          <w:tcPr>
            <w:tcW w:w="20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A4F56A9" w14:textId="77777777" w:rsidR="00481EAD" w:rsidRPr="003B0461" w:rsidRDefault="00481EAD" w:rsidP="0020132E">
            <w:pPr>
              <w:pStyle w:val="NormalWeb"/>
              <w:rPr>
                <w:sz w:val="18"/>
                <w:szCs w:val="18"/>
              </w:rPr>
            </w:pPr>
            <w:r w:rsidRPr="003B0461">
              <w:rPr>
                <w:sz w:val="18"/>
                <w:szCs w:val="18"/>
              </w:rPr>
              <w:t>2015</w:t>
            </w:r>
          </w:p>
        </w:tc>
        <w:tc>
          <w:tcPr>
            <w:tcW w:w="20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50BC817D" w14:textId="77777777" w:rsidR="00481EAD" w:rsidRPr="003B0461" w:rsidRDefault="00481EAD" w:rsidP="0020132E">
            <w:pPr>
              <w:pStyle w:val="NormalWeb"/>
              <w:rPr>
                <w:sz w:val="18"/>
                <w:szCs w:val="18"/>
              </w:rPr>
            </w:pPr>
            <w:r w:rsidRPr="003B0461">
              <w:rPr>
                <w:sz w:val="18"/>
                <w:szCs w:val="18"/>
              </w:rPr>
              <w:t>C1</w:t>
            </w:r>
          </w:p>
        </w:tc>
        <w:tc>
          <w:tcPr>
            <w:tcW w:w="20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AC0680F" w14:textId="77777777" w:rsidR="00481EAD" w:rsidRPr="003B0461" w:rsidRDefault="00481EAD" w:rsidP="0020132E">
            <w:pPr>
              <w:pStyle w:val="NormalWeb"/>
              <w:rPr>
                <w:sz w:val="18"/>
                <w:szCs w:val="18"/>
              </w:rPr>
            </w:pPr>
            <w:proofErr w:type="gramStart"/>
            <w:r w:rsidRPr="003B0461">
              <w:rPr>
                <w:sz w:val="18"/>
                <w:szCs w:val="18"/>
              </w:rPr>
              <w:t>None available</w:t>
            </w:r>
            <w:proofErr w:type="gramEnd"/>
          </w:p>
        </w:tc>
        <w:tc>
          <w:tcPr>
            <w:tcW w:w="20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264E482" w14:textId="77777777" w:rsidR="00481EAD" w:rsidRPr="003B0461" w:rsidRDefault="00481EAD" w:rsidP="0020132E">
            <w:pPr>
              <w:pStyle w:val="NormalWeb"/>
              <w:rPr>
                <w:sz w:val="18"/>
                <w:szCs w:val="18"/>
              </w:rPr>
            </w:pPr>
            <w:r w:rsidRPr="003B0461">
              <w:rPr>
                <w:sz w:val="18"/>
                <w:szCs w:val="18"/>
              </w:rPr>
              <w:t>ST325</w:t>
            </w:r>
          </w:p>
        </w:tc>
      </w:tr>
      <w:tr w:rsidR="00481EAD" w:rsidRPr="003B0461" w14:paraId="40C4CD27" w14:textId="77777777" w:rsidTr="00481EAD">
        <w:trPr>
          <w:cnfStyle w:val="000000010000" w:firstRow="0" w:lastRow="0" w:firstColumn="0" w:lastColumn="0" w:oddVBand="0" w:evenVBand="0" w:oddHBand="0" w:evenHBand="1" w:firstRowFirstColumn="0" w:firstRowLastColumn="0" w:lastRowFirstColumn="0" w:lastRowLastColumn="0"/>
          <w:divId w:val="1637644058"/>
        </w:trPr>
        <w:tc>
          <w:tcPr>
            <w:tcW w:w="20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2F66DB5A" w14:textId="77777777" w:rsidR="00481EAD" w:rsidRPr="003B0461" w:rsidRDefault="00481EAD" w:rsidP="0020132E">
            <w:pPr>
              <w:pStyle w:val="NormalWeb"/>
              <w:rPr>
                <w:sz w:val="18"/>
                <w:szCs w:val="18"/>
              </w:rPr>
            </w:pPr>
            <w:r w:rsidRPr="003B0461">
              <w:rPr>
                <w:sz w:val="18"/>
                <w:szCs w:val="18"/>
                <w:lang w:val="en-US"/>
              </w:rPr>
              <w:t>Two</w:t>
            </w:r>
          </w:p>
        </w:tc>
        <w:tc>
          <w:tcPr>
            <w:tcW w:w="20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17F9CAA3" w14:textId="77777777" w:rsidR="00481EAD" w:rsidRPr="003B0461" w:rsidRDefault="00481EAD" w:rsidP="0020132E">
            <w:pPr>
              <w:pStyle w:val="NormalWeb"/>
              <w:rPr>
                <w:sz w:val="18"/>
                <w:szCs w:val="18"/>
              </w:rPr>
            </w:pPr>
            <w:r w:rsidRPr="003B0461">
              <w:rPr>
                <w:sz w:val="18"/>
                <w:szCs w:val="18"/>
              </w:rPr>
              <w:t>2018</w:t>
            </w:r>
          </w:p>
        </w:tc>
        <w:tc>
          <w:tcPr>
            <w:tcW w:w="20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4DF98DE" w14:textId="77777777" w:rsidR="00481EAD" w:rsidRPr="003B0461" w:rsidRDefault="00481EAD" w:rsidP="0020132E">
            <w:pPr>
              <w:pStyle w:val="NormalWeb"/>
              <w:rPr>
                <w:sz w:val="18"/>
                <w:szCs w:val="18"/>
              </w:rPr>
            </w:pPr>
            <w:r w:rsidRPr="003B0461">
              <w:rPr>
                <w:sz w:val="18"/>
                <w:szCs w:val="18"/>
              </w:rPr>
              <w:t>C2</w:t>
            </w:r>
          </w:p>
        </w:tc>
        <w:tc>
          <w:tcPr>
            <w:tcW w:w="20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0F86BB1" w14:textId="77777777" w:rsidR="00481EAD" w:rsidRPr="003B0461" w:rsidRDefault="00481EAD" w:rsidP="0020132E">
            <w:pPr>
              <w:pStyle w:val="NormalWeb"/>
              <w:rPr>
                <w:sz w:val="18"/>
                <w:szCs w:val="18"/>
              </w:rPr>
            </w:pPr>
            <w:r w:rsidRPr="003B0461">
              <w:rPr>
                <w:sz w:val="18"/>
                <w:szCs w:val="18"/>
              </w:rPr>
              <w:t>C2 Dog 1</w:t>
            </w:r>
            <w:r>
              <w:rPr>
                <w:sz w:val="18"/>
                <w:szCs w:val="18"/>
              </w:rPr>
              <w:br/>
            </w:r>
            <w:r w:rsidRPr="003B0461">
              <w:rPr>
                <w:sz w:val="18"/>
                <w:szCs w:val="18"/>
              </w:rPr>
              <w:t>C2 Dog2</w:t>
            </w:r>
          </w:p>
        </w:tc>
        <w:tc>
          <w:tcPr>
            <w:tcW w:w="20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0548467D" w14:textId="77777777" w:rsidR="00481EAD" w:rsidRPr="003B0461" w:rsidRDefault="00481EAD" w:rsidP="0020132E">
            <w:pPr>
              <w:pStyle w:val="NormalWeb"/>
              <w:rPr>
                <w:sz w:val="18"/>
                <w:szCs w:val="18"/>
              </w:rPr>
            </w:pPr>
            <w:r w:rsidRPr="003B0461">
              <w:rPr>
                <w:sz w:val="18"/>
                <w:szCs w:val="18"/>
              </w:rPr>
              <w:t>ST514</w:t>
            </w:r>
          </w:p>
        </w:tc>
      </w:tr>
      <w:tr w:rsidR="00481EAD" w:rsidRPr="003B0461" w14:paraId="216E69FB" w14:textId="77777777" w:rsidTr="00481EAD">
        <w:trPr>
          <w:divId w:val="1637644058"/>
        </w:trPr>
        <w:tc>
          <w:tcPr>
            <w:tcW w:w="20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58FF1D4B" w14:textId="77777777" w:rsidR="00481EAD" w:rsidRPr="003B0461" w:rsidRDefault="00481EAD" w:rsidP="0020132E">
            <w:pPr>
              <w:pStyle w:val="NormalWeb"/>
              <w:rPr>
                <w:sz w:val="18"/>
                <w:szCs w:val="18"/>
              </w:rPr>
            </w:pPr>
            <w:r w:rsidRPr="003B0461">
              <w:rPr>
                <w:sz w:val="18"/>
                <w:szCs w:val="18"/>
                <w:lang w:val="en-US"/>
              </w:rPr>
              <w:t>Three</w:t>
            </w:r>
          </w:p>
        </w:tc>
        <w:tc>
          <w:tcPr>
            <w:tcW w:w="20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4E13B511" w14:textId="77777777" w:rsidR="00481EAD" w:rsidRPr="003B0461" w:rsidRDefault="00481EAD" w:rsidP="0020132E">
            <w:pPr>
              <w:pStyle w:val="NormalWeb"/>
              <w:rPr>
                <w:sz w:val="18"/>
                <w:szCs w:val="18"/>
              </w:rPr>
            </w:pPr>
            <w:r w:rsidRPr="003B0461">
              <w:rPr>
                <w:sz w:val="18"/>
                <w:szCs w:val="18"/>
              </w:rPr>
              <w:t>2018</w:t>
            </w:r>
          </w:p>
        </w:tc>
        <w:tc>
          <w:tcPr>
            <w:tcW w:w="20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5161973" w14:textId="77777777" w:rsidR="00481EAD" w:rsidRPr="003B0461" w:rsidRDefault="00481EAD" w:rsidP="0020132E">
            <w:pPr>
              <w:pStyle w:val="NormalWeb"/>
              <w:rPr>
                <w:sz w:val="18"/>
                <w:szCs w:val="18"/>
              </w:rPr>
            </w:pPr>
            <w:r w:rsidRPr="003B0461">
              <w:rPr>
                <w:sz w:val="18"/>
                <w:szCs w:val="18"/>
              </w:rPr>
              <w:t>C3</w:t>
            </w:r>
          </w:p>
        </w:tc>
        <w:tc>
          <w:tcPr>
            <w:tcW w:w="20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1BDB4D89" w14:textId="77777777" w:rsidR="00481EAD" w:rsidRPr="003B0461" w:rsidRDefault="00481EAD" w:rsidP="0020132E">
            <w:pPr>
              <w:pStyle w:val="NormalWeb"/>
              <w:rPr>
                <w:sz w:val="18"/>
                <w:szCs w:val="18"/>
              </w:rPr>
            </w:pPr>
            <w:proofErr w:type="gramStart"/>
            <w:r w:rsidRPr="003B0461">
              <w:rPr>
                <w:sz w:val="18"/>
                <w:szCs w:val="18"/>
              </w:rPr>
              <w:t>None available</w:t>
            </w:r>
            <w:proofErr w:type="gramEnd"/>
          </w:p>
        </w:tc>
        <w:tc>
          <w:tcPr>
            <w:tcW w:w="20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473A44CE" w14:textId="77777777" w:rsidR="00481EAD" w:rsidRPr="003B0461" w:rsidRDefault="00481EAD" w:rsidP="0020132E">
            <w:pPr>
              <w:pStyle w:val="NormalWeb"/>
              <w:rPr>
                <w:sz w:val="18"/>
                <w:szCs w:val="18"/>
              </w:rPr>
            </w:pPr>
            <w:r w:rsidRPr="003B0461">
              <w:rPr>
                <w:sz w:val="18"/>
                <w:szCs w:val="18"/>
              </w:rPr>
              <w:t>ST325</w:t>
            </w:r>
          </w:p>
        </w:tc>
      </w:tr>
      <w:tr w:rsidR="00481EAD" w:rsidRPr="003B0461" w14:paraId="2AE10F74" w14:textId="77777777" w:rsidTr="00481EAD">
        <w:trPr>
          <w:cnfStyle w:val="000000010000" w:firstRow="0" w:lastRow="0" w:firstColumn="0" w:lastColumn="0" w:oddVBand="0" w:evenVBand="0" w:oddHBand="0" w:evenHBand="1" w:firstRowFirstColumn="0" w:firstRowLastColumn="0" w:lastRowFirstColumn="0" w:lastRowLastColumn="0"/>
          <w:divId w:val="1637644058"/>
        </w:trPr>
        <w:tc>
          <w:tcPr>
            <w:tcW w:w="20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23E47F2D" w14:textId="77777777" w:rsidR="00481EAD" w:rsidRPr="003B0461" w:rsidRDefault="00481EAD" w:rsidP="0020132E">
            <w:pPr>
              <w:pStyle w:val="NormalWeb"/>
              <w:rPr>
                <w:sz w:val="18"/>
                <w:szCs w:val="18"/>
              </w:rPr>
            </w:pPr>
            <w:r w:rsidRPr="003B0461">
              <w:rPr>
                <w:sz w:val="18"/>
                <w:szCs w:val="18"/>
                <w:lang w:val="en-US"/>
              </w:rPr>
              <w:t>Four</w:t>
            </w:r>
          </w:p>
        </w:tc>
        <w:tc>
          <w:tcPr>
            <w:tcW w:w="20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0FEFB5A5" w14:textId="77777777" w:rsidR="00481EAD" w:rsidRPr="003B0461" w:rsidRDefault="00481EAD" w:rsidP="0020132E">
            <w:pPr>
              <w:pStyle w:val="NormalWeb"/>
              <w:rPr>
                <w:sz w:val="18"/>
                <w:szCs w:val="18"/>
              </w:rPr>
            </w:pPr>
            <w:r w:rsidRPr="003B0461">
              <w:rPr>
                <w:sz w:val="18"/>
                <w:szCs w:val="18"/>
              </w:rPr>
              <w:t>2020</w:t>
            </w:r>
          </w:p>
        </w:tc>
        <w:tc>
          <w:tcPr>
            <w:tcW w:w="20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A183BAD" w14:textId="77777777" w:rsidR="00481EAD" w:rsidRPr="003B0461" w:rsidRDefault="00481EAD" w:rsidP="0020132E">
            <w:pPr>
              <w:pStyle w:val="NormalWeb"/>
              <w:rPr>
                <w:sz w:val="18"/>
                <w:szCs w:val="18"/>
              </w:rPr>
            </w:pPr>
            <w:r w:rsidRPr="003B0461">
              <w:rPr>
                <w:sz w:val="18"/>
                <w:szCs w:val="18"/>
              </w:rPr>
              <w:t>C4</w:t>
            </w:r>
          </w:p>
        </w:tc>
        <w:tc>
          <w:tcPr>
            <w:tcW w:w="20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0EB659A8" w14:textId="77777777" w:rsidR="00481EAD" w:rsidRPr="003B0461" w:rsidRDefault="00481EAD" w:rsidP="0020132E">
            <w:pPr>
              <w:pStyle w:val="NormalWeb"/>
              <w:rPr>
                <w:sz w:val="18"/>
                <w:szCs w:val="18"/>
              </w:rPr>
            </w:pPr>
            <w:r w:rsidRPr="003B0461">
              <w:rPr>
                <w:sz w:val="18"/>
                <w:szCs w:val="18"/>
              </w:rPr>
              <w:t xml:space="preserve">C4 Dog sample </w:t>
            </w:r>
            <w:proofErr w:type="gramStart"/>
            <w:r w:rsidRPr="003B0461">
              <w:rPr>
                <w:sz w:val="18"/>
                <w:szCs w:val="18"/>
              </w:rPr>
              <w:t>1</w:t>
            </w:r>
            <w:proofErr w:type="gramEnd"/>
            <w:r>
              <w:rPr>
                <w:sz w:val="18"/>
                <w:szCs w:val="18"/>
              </w:rPr>
              <w:br/>
            </w:r>
            <w:r w:rsidRPr="003B0461">
              <w:rPr>
                <w:sz w:val="18"/>
                <w:szCs w:val="18"/>
              </w:rPr>
              <w:t>C4 Dog sample 2</w:t>
            </w:r>
          </w:p>
        </w:tc>
        <w:tc>
          <w:tcPr>
            <w:tcW w:w="20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049A349D" w14:textId="77777777" w:rsidR="00481EAD" w:rsidRPr="003B0461" w:rsidRDefault="00481EAD" w:rsidP="0020132E">
            <w:pPr>
              <w:pStyle w:val="NormalWeb"/>
              <w:rPr>
                <w:sz w:val="18"/>
                <w:szCs w:val="18"/>
              </w:rPr>
            </w:pPr>
            <w:r w:rsidRPr="003B0461">
              <w:rPr>
                <w:sz w:val="18"/>
                <w:szCs w:val="18"/>
              </w:rPr>
              <w:t>ST325</w:t>
            </w:r>
          </w:p>
        </w:tc>
      </w:tr>
      <w:tr w:rsidR="00481EAD" w:rsidRPr="003B0461" w14:paraId="4DA3FDE2" w14:textId="77777777" w:rsidTr="00481EAD">
        <w:trPr>
          <w:divId w:val="1637644058"/>
        </w:trPr>
        <w:tc>
          <w:tcPr>
            <w:tcW w:w="20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171A9342" w14:textId="77777777" w:rsidR="00481EAD" w:rsidRPr="003B0461" w:rsidRDefault="00481EAD" w:rsidP="0020132E">
            <w:pPr>
              <w:pStyle w:val="NormalWeb"/>
              <w:rPr>
                <w:sz w:val="18"/>
                <w:szCs w:val="18"/>
              </w:rPr>
            </w:pPr>
            <w:r w:rsidRPr="003B0461">
              <w:rPr>
                <w:sz w:val="18"/>
                <w:szCs w:val="18"/>
                <w:lang w:val="en-US"/>
              </w:rPr>
              <w:t>Five</w:t>
            </w:r>
          </w:p>
        </w:tc>
        <w:tc>
          <w:tcPr>
            <w:tcW w:w="20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19014B4" w14:textId="77777777" w:rsidR="00481EAD" w:rsidRPr="003B0461" w:rsidRDefault="00481EAD" w:rsidP="0020132E">
            <w:pPr>
              <w:pStyle w:val="NormalWeb"/>
              <w:rPr>
                <w:sz w:val="18"/>
                <w:szCs w:val="18"/>
              </w:rPr>
            </w:pPr>
            <w:r w:rsidRPr="003B0461">
              <w:rPr>
                <w:sz w:val="18"/>
                <w:szCs w:val="18"/>
              </w:rPr>
              <w:t>2023</w:t>
            </w:r>
          </w:p>
        </w:tc>
        <w:tc>
          <w:tcPr>
            <w:tcW w:w="20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3F773367" w14:textId="77777777" w:rsidR="00481EAD" w:rsidRPr="003B0461" w:rsidRDefault="00481EAD" w:rsidP="0020132E">
            <w:pPr>
              <w:pStyle w:val="NormalWeb"/>
              <w:rPr>
                <w:sz w:val="18"/>
                <w:szCs w:val="18"/>
              </w:rPr>
            </w:pPr>
            <w:r w:rsidRPr="003B0461">
              <w:rPr>
                <w:sz w:val="18"/>
                <w:szCs w:val="18"/>
              </w:rPr>
              <w:t>C5</w:t>
            </w:r>
          </w:p>
        </w:tc>
        <w:tc>
          <w:tcPr>
            <w:tcW w:w="20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5AFBD38D" w14:textId="77777777" w:rsidR="00481EAD" w:rsidRPr="003B0461" w:rsidRDefault="00481EAD" w:rsidP="0020132E">
            <w:pPr>
              <w:pStyle w:val="NormalWeb"/>
              <w:rPr>
                <w:sz w:val="18"/>
                <w:szCs w:val="18"/>
              </w:rPr>
            </w:pPr>
            <w:r w:rsidRPr="003B0461">
              <w:rPr>
                <w:sz w:val="18"/>
                <w:szCs w:val="18"/>
              </w:rPr>
              <w:t>C5 Cat 1</w:t>
            </w:r>
            <w:r>
              <w:rPr>
                <w:sz w:val="18"/>
                <w:szCs w:val="18"/>
              </w:rPr>
              <w:br/>
            </w:r>
            <w:r w:rsidRPr="003B0461">
              <w:rPr>
                <w:sz w:val="18"/>
                <w:szCs w:val="18"/>
              </w:rPr>
              <w:t>C5 Cat 2</w:t>
            </w:r>
            <w:r>
              <w:rPr>
                <w:sz w:val="18"/>
                <w:szCs w:val="18"/>
              </w:rPr>
              <w:br/>
            </w:r>
            <w:r w:rsidRPr="003B0461">
              <w:rPr>
                <w:sz w:val="18"/>
                <w:szCs w:val="18"/>
              </w:rPr>
              <w:t>C5 Dog 1</w:t>
            </w:r>
            <w:r>
              <w:rPr>
                <w:sz w:val="18"/>
                <w:szCs w:val="18"/>
              </w:rPr>
              <w:br/>
            </w:r>
            <w:r w:rsidRPr="003B0461">
              <w:rPr>
                <w:sz w:val="18"/>
                <w:szCs w:val="18"/>
              </w:rPr>
              <w:t>C5 Dog 2</w:t>
            </w:r>
          </w:p>
        </w:tc>
        <w:tc>
          <w:tcPr>
            <w:tcW w:w="20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09EFBFF6" w14:textId="77777777" w:rsidR="00481EAD" w:rsidRPr="003B0461" w:rsidRDefault="00481EAD" w:rsidP="0020132E">
            <w:pPr>
              <w:pStyle w:val="NormalWeb"/>
              <w:rPr>
                <w:sz w:val="18"/>
                <w:szCs w:val="18"/>
              </w:rPr>
            </w:pPr>
            <w:r w:rsidRPr="003B0461">
              <w:rPr>
                <w:sz w:val="18"/>
                <w:szCs w:val="18"/>
                <w:lang w:val="en-US"/>
              </w:rPr>
              <w:t>ST514</w:t>
            </w:r>
          </w:p>
        </w:tc>
      </w:tr>
    </w:tbl>
    <w:p w14:paraId="33D6BFDA" w14:textId="221582B3" w:rsidR="00B921FA" w:rsidRPr="00362129" w:rsidRDefault="00B921FA" w:rsidP="00B921FA">
      <w:pPr>
        <w:pStyle w:val="CDIFigures"/>
        <w:divId w:val="1637644058"/>
      </w:pPr>
      <w:r w:rsidRPr="00362129">
        <w:rPr>
          <w:rStyle w:val="Strong"/>
          <w:b/>
          <w:bCs w:val="0"/>
        </w:rPr>
        <w:t xml:space="preserve">Figure 3: Phylogenetic maximum likelihood tree built using SNP typing of (A) ST325 and (B) ST514 C. </w:t>
      </w:r>
      <w:proofErr w:type="spellStart"/>
      <w:r w:rsidRPr="00362129">
        <w:rPr>
          <w:rStyle w:val="Strong"/>
          <w:b/>
          <w:bCs w:val="0"/>
          <w:i/>
          <w:iCs/>
        </w:rPr>
        <w:t>ulcerans</w:t>
      </w:r>
      <w:proofErr w:type="spellEnd"/>
      <w:r w:rsidR="00722A88">
        <w:rPr>
          <w:rStyle w:val="Strong"/>
          <w:b/>
          <w:bCs w:val="0"/>
          <w:i/>
          <w:iCs/>
        </w:rPr>
        <w:t> </w:t>
      </w:r>
      <w:proofErr w:type="spellStart"/>
      <w:proofErr w:type="gramStart"/>
      <w:r w:rsidRPr="00362129">
        <w:rPr>
          <w:rStyle w:val="Strong"/>
          <w:b/>
          <w:bCs w:val="0"/>
        </w:rPr>
        <w:t>isolates</w:t>
      </w:r>
      <w:r w:rsidRPr="00D91C39">
        <w:rPr>
          <w:rStyle w:val="Strong"/>
          <w:b/>
          <w:bCs w:val="0"/>
          <w:vertAlign w:val="superscript"/>
        </w:rPr>
        <w:t>a</w:t>
      </w:r>
      <w:proofErr w:type="spellEnd"/>
      <w:proofErr w:type="gramEnd"/>
    </w:p>
    <w:p w14:paraId="70D19890" w14:textId="4E217A19" w:rsidR="00B921FA" w:rsidRDefault="00B921FA" w:rsidP="00B921FA">
      <w:pPr>
        <w:divId w:val="1637644058"/>
        <w:rPr>
          <w:rFonts w:eastAsia="Times New Roman"/>
          <w:lang w:val="en-GB"/>
        </w:rPr>
      </w:pPr>
      <w:r>
        <w:rPr>
          <w:rFonts w:eastAsia="Times New Roman"/>
          <w:noProof/>
          <w:lang w:val="en-GB"/>
        </w:rPr>
        <w:drawing>
          <wp:inline distT="0" distB="0" distL="0" distR="0" wp14:anchorId="7C7E6CBB" wp14:editId="16C15FF7">
            <wp:extent cx="6625424" cy="2491670"/>
            <wp:effectExtent l="0" t="0" r="4445" b="4445"/>
            <wp:docPr id="5" name="Picture 5" descr="Figure 3: Phylogenetic tree of  human and companion animal isolates: A. ST325 tree shows human Case Four and two samples from Case Four’s dog as closely clustered on the tree while those of human Case One and Case Three (no companion animal samples) with long and different branch lengths from Case Four. B. ST514 tree shows Case Two and their two dogs’ isolates closely clustered while Case Five and their four animals’ samples closely clustered but remote from the Case Two clust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Figure 3: Phylogenetic tree of  human and companion animal isolates: A. ST325 tree shows human Case Four and two samples from Case Four’s dog as closely clustered on the tree while those of human Case One and Case Three (no companion animal samples) with long and different branch lengths from Case Four. B. ST514 tree shows Case Two and their two dogs’ isolates closely clustered while Case Five and their four animals’ samples closely clustered but remote from the Case Two cluster.&#10;"/>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6630065" cy="2493415"/>
                    </a:xfrm>
                    <a:prstGeom prst="rect">
                      <a:avLst/>
                    </a:prstGeom>
                  </pic:spPr>
                </pic:pic>
              </a:graphicData>
            </a:graphic>
          </wp:inline>
        </w:drawing>
      </w:r>
    </w:p>
    <w:p w14:paraId="4A625178" w14:textId="77777777" w:rsidR="000C58D0" w:rsidRPr="000C58D0" w:rsidRDefault="000C58D0" w:rsidP="000C58D0">
      <w:pPr>
        <w:pStyle w:val="CDIfootnotes"/>
        <w:divId w:val="1637644058"/>
      </w:pPr>
      <w:proofErr w:type="gramStart"/>
      <w:r w:rsidRPr="000C58D0">
        <w:t>a</w:t>
      </w:r>
      <w:proofErr w:type="gramEnd"/>
      <w:r w:rsidRPr="000C58D0">
        <w:tab/>
        <w:t xml:space="preserve">Isolates from the two ST groups were analysed separately to aid in visualisation of the branch lengths on the trees. Related isolates have labels in the same colour and the colour of the circles </w:t>
      </w:r>
      <w:proofErr w:type="gramStart"/>
      <w:r w:rsidRPr="000C58D0">
        <w:t>indicates</w:t>
      </w:r>
      <w:proofErr w:type="gramEnd"/>
      <w:r w:rsidRPr="000C58D0">
        <w:t xml:space="preserve"> the source of the isolate (human or animal) as indicated in the legend. Labels </w:t>
      </w:r>
      <w:proofErr w:type="gramStart"/>
      <w:r w:rsidRPr="000C58D0">
        <w:t>indicate</w:t>
      </w:r>
      <w:proofErr w:type="gramEnd"/>
      <w:r w:rsidRPr="000C58D0">
        <w:t xml:space="preserve"> cases as detailed in Table 2. Branch length represents genetic distance as </w:t>
      </w:r>
      <w:proofErr w:type="gramStart"/>
      <w:r w:rsidRPr="000C58D0">
        <w:t>indicated</w:t>
      </w:r>
      <w:proofErr w:type="gramEnd"/>
      <w:r w:rsidRPr="000C58D0">
        <w:t xml:space="preserve"> in the scale bars.</w:t>
      </w:r>
    </w:p>
    <w:p w14:paraId="289294EF" w14:textId="1F96A200" w:rsidR="00964C13" w:rsidRPr="00793C29" w:rsidRDefault="00964C13" w:rsidP="00793C29">
      <w:pPr>
        <w:pStyle w:val="Heading1"/>
        <w:divId w:val="1637644058"/>
      </w:pPr>
      <w:r w:rsidRPr="00793C29">
        <w:t xml:space="preserve">Discussion </w:t>
      </w:r>
    </w:p>
    <w:p w14:paraId="1A685B09" w14:textId="77777777" w:rsidR="00964C13" w:rsidRDefault="00964C13" w:rsidP="00793C29">
      <w:pPr>
        <w:divId w:val="1637644058"/>
      </w:pPr>
      <w:r>
        <w:t xml:space="preserve">No secondary or co-primary cases were </w:t>
      </w:r>
      <w:proofErr w:type="gramStart"/>
      <w:r>
        <w:t>identified</w:t>
      </w:r>
      <w:proofErr w:type="gramEnd"/>
      <w:r>
        <w:t xml:space="preserve"> among household contacts of these five cases. Consistent with guidelines in other </w:t>
      </w:r>
      <w:proofErr w:type="gramStart"/>
      <w:r>
        <w:t>jurisdictions</w:t>
      </w:r>
      <w:proofErr w:type="gramEnd"/>
      <w:r>
        <w:t xml:space="preserve">, previous Queensland guidelines advocated for the same isolation and quarantine restrictions for cases and contacts of toxigenic </w:t>
      </w:r>
      <w:r w:rsidRPr="00793C29">
        <w:rPr>
          <w:rStyle w:val="Emphasis"/>
          <w:b w:val="0"/>
          <w:bCs w:val="0"/>
        </w:rPr>
        <w:t xml:space="preserve">C. </w:t>
      </w:r>
      <w:proofErr w:type="spellStart"/>
      <w:r w:rsidRPr="00793C29">
        <w:rPr>
          <w:rStyle w:val="Emphasis"/>
          <w:b w:val="0"/>
          <w:bCs w:val="0"/>
        </w:rPr>
        <w:t>ulcerans</w:t>
      </w:r>
      <w:proofErr w:type="spellEnd"/>
      <w:r w:rsidRPr="00793C29">
        <w:rPr>
          <w:rStyle w:val="Emphasis"/>
          <w:b w:val="0"/>
          <w:bCs w:val="0"/>
        </w:rPr>
        <w:t xml:space="preserve"> </w:t>
      </w:r>
      <w:r>
        <w:t xml:space="preserve">as for toxigenic </w:t>
      </w:r>
      <w:r w:rsidRPr="00793C29">
        <w:rPr>
          <w:rStyle w:val="Emphasis"/>
          <w:b w:val="0"/>
          <w:bCs w:val="0"/>
        </w:rPr>
        <w:t>C. diphtheriae</w:t>
      </w:r>
      <w:r>
        <w:t xml:space="preserve">. The rationale for these restrictions was application of the precautionary principle in the context of uncertainty around whether transmission of </w:t>
      </w:r>
      <w:r w:rsidRPr="00793C29">
        <w:rPr>
          <w:rStyle w:val="Emphasis"/>
          <w:b w:val="0"/>
          <w:bCs w:val="0"/>
        </w:rPr>
        <w:t xml:space="preserve">C. </w:t>
      </w:r>
      <w:proofErr w:type="spellStart"/>
      <w:r w:rsidRPr="00793C29">
        <w:rPr>
          <w:rStyle w:val="Emphasis"/>
          <w:b w:val="0"/>
          <w:bCs w:val="0"/>
        </w:rPr>
        <w:t>ulcerans</w:t>
      </w:r>
      <w:proofErr w:type="spellEnd"/>
      <w:r w:rsidRPr="00793C29">
        <w:rPr>
          <w:rStyle w:val="Emphasis"/>
          <w:b w:val="0"/>
          <w:bCs w:val="0"/>
        </w:rPr>
        <w:t xml:space="preserve"> </w:t>
      </w:r>
      <w:r>
        <w:t xml:space="preserve">was purely zoonotic. The possibility of human-to-human transmission of </w:t>
      </w:r>
      <w:r w:rsidRPr="00793C29">
        <w:rPr>
          <w:rStyle w:val="Emphasis"/>
          <w:b w:val="0"/>
          <w:bCs w:val="0"/>
        </w:rPr>
        <w:t xml:space="preserve">C. </w:t>
      </w:r>
      <w:proofErr w:type="spellStart"/>
      <w:r w:rsidRPr="00793C29">
        <w:rPr>
          <w:rStyle w:val="Emphasis"/>
          <w:b w:val="0"/>
          <w:bCs w:val="0"/>
        </w:rPr>
        <w:t>ulcerans</w:t>
      </w:r>
      <w:proofErr w:type="spellEnd"/>
      <w:r w:rsidRPr="00793C29">
        <w:rPr>
          <w:rStyle w:val="Emphasis"/>
          <w:b w:val="0"/>
          <w:bCs w:val="0"/>
        </w:rPr>
        <w:t xml:space="preserve"> </w:t>
      </w:r>
      <w:r>
        <w:t>has previously been raised, although reports of these rare instances speculate whether other identified cases have been co-primary or secondary infections.</w:t>
      </w:r>
      <w:r>
        <w:rPr>
          <w:vertAlign w:val="superscript"/>
        </w:rPr>
        <w:t>1,16</w:t>
      </w:r>
      <w:r>
        <w:t xml:space="preserve"> Likely transmission of </w:t>
      </w:r>
      <w:r w:rsidRPr="00793C29">
        <w:rPr>
          <w:rStyle w:val="Emphasis"/>
          <w:b w:val="0"/>
          <w:bCs w:val="0"/>
        </w:rPr>
        <w:t xml:space="preserve">C. </w:t>
      </w:r>
      <w:proofErr w:type="spellStart"/>
      <w:r w:rsidRPr="00793C29">
        <w:rPr>
          <w:rStyle w:val="Emphasis"/>
          <w:b w:val="0"/>
          <w:bCs w:val="0"/>
        </w:rPr>
        <w:t>ulcerans</w:t>
      </w:r>
      <w:proofErr w:type="spellEnd"/>
      <w:r>
        <w:t xml:space="preserve"> among rhesus macaques has also been reported.</w:t>
      </w:r>
      <w:r>
        <w:rPr>
          <w:vertAlign w:val="superscript"/>
        </w:rPr>
        <w:t>17</w:t>
      </w:r>
      <w:r>
        <w:t xml:space="preserve"> In contrast to the spread of </w:t>
      </w:r>
      <w:r w:rsidRPr="00793C29">
        <w:rPr>
          <w:rStyle w:val="Emphasis"/>
          <w:b w:val="0"/>
          <w:bCs w:val="0"/>
        </w:rPr>
        <w:t>C. diphtheriae</w:t>
      </w:r>
      <w:r>
        <w:t xml:space="preserve">, the authors are not aware of any clearly described transmission of </w:t>
      </w:r>
      <w:r w:rsidRPr="00793C29">
        <w:rPr>
          <w:rStyle w:val="Emphasis"/>
          <w:b w:val="0"/>
          <w:bCs w:val="0"/>
        </w:rPr>
        <w:t xml:space="preserve">C. </w:t>
      </w:r>
      <w:proofErr w:type="spellStart"/>
      <w:r w:rsidRPr="00793C29">
        <w:rPr>
          <w:rStyle w:val="Emphasis"/>
          <w:b w:val="0"/>
          <w:bCs w:val="0"/>
        </w:rPr>
        <w:t>ulcerans</w:t>
      </w:r>
      <w:proofErr w:type="spellEnd"/>
      <w:r>
        <w:t xml:space="preserve"> between humans. Management of cases and contacts with prolonged periods of restriction therefore appears unwarranted. Findings of this case series support a move away from quarantine/exclusion of close contacts in the most recent Queensland diphtheria guidelines.</w:t>
      </w:r>
      <w:r>
        <w:rPr>
          <w:vertAlign w:val="superscript"/>
        </w:rPr>
        <w:t>9</w:t>
      </w:r>
      <w:r>
        <w:t xml:space="preserve"> Principles of caution are still maintained in the guidelines, </w:t>
      </w:r>
      <w:r>
        <w:lastRenderedPageBreak/>
        <w:t xml:space="preserve">particularly in relation to ascertainment of co-primary cases through respiratory screening (as well as detecting the theoretical possibility of secondary cases) together with vaccination and clearance antibiotic administration. </w:t>
      </w:r>
    </w:p>
    <w:p w14:paraId="30792350" w14:textId="77777777" w:rsidR="00964C13" w:rsidRDefault="00964C13" w:rsidP="00793C29">
      <w:pPr>
        <w:divId w:val="1637644058"/>
      </w:pPr>
      <w:r>
        <w:t xml:space="preserve">Worldwide, reports of toxigenic </w:t>
      </w:r>
      <w:r w:rsidRPr="00793C29">
        <w:rPr>
          <w:rStyle w:val="Emphasis"/>
          <w:b w:val="0"/>
          <w:bCs w:val="0"/>
        </w:rPr>
        <w:t xml:space="preserve">C. </w:t>
      </w:r>
      <w:proofErr w:type="spellStart"/>
      <w:r w:rsidRPr="00793C29">
        <w:rPr>
          <w:rStyle w:val="Emphasis"/>
          <w:b w:val="0"/>
          <w:bCs w:val="0"/>
        </w:rPr>
        <w:t>ulcerans</w:t>
      </w:r>
      <w:proofErr w:type="spellEnd"/>
      <w:r>
        <w:t xml:space="preserve"> detections are increasing, although it is possible that the relatively recent introduction of matrix assisted laser desorption/ionization time-of-flight (MALDI-TOF) mass spectrometry has enabled the increase in the number of isolates undergoing testing for tox genes, rather than a true increase in disease incidence.</w:t>
      </w:r>
      <w:r>
        <w:rPr>
          <w:vertAlign w:val="superscript"/>
        </w:rPr>
        <w:t>1,6,18</w:t>
      </w:r>
      <w:r>
        <w:t xml:space="preserve"> In Queensland, however, toxigenic </w:t>
      </w:r>
      <w:r w:rsidRPr="00793C29">
        <w:rPr>
          <w:rStyle w:val="Emphasis"/>
          <w:b w:val="0"/>
          <w:bCs w:val="0"/>
        </w:rPr>
        <w:t xml:space="preserve">C. </w:t>
      </w:r>
      <w:proofErr w:type="spellStart"/>
      <w:r w:rsidRPr="00793C29">
        <w:rPr>
          <w:rStyle w:val="Emphasis"/>
          <w:b w:val="0"/>
          <w:bCs w:val="0"/>
        </w:rPr>
        <w:t>ulcerans</w:t>
      </w:r>
      <w:proofErr w:type="spellEnd"/>
      <w:r w:rsidRPr="00793C29">
        <w:rPr>
          <w:rStyle w:val="Emphasis"/>
          <w:b w:val="0"/>
          <w:bCs w:val="0"/>
        </w:rPr>
        <w:t xml:space="preserve"> </w:t>
      </w:r>
      <w:r>
        <w:t xml:space="preserve">is still a rare disease, with a total of just nine cases notified between 2005 and 2023. </w:t>
      </w:r>
    </w:p>
    <w:p w14:paraId="324C92FF" w14:textId="77777777" w:rsidR="00964C13" w:rsidRDefault="00964C13" w:rsidP="00793C29">
      <w:pPr>
        <w:divId w:val="1637644058"/>
      </w:pPr>
      <w:r>
        <w:t xml:space="preserve">Though there are no proven links from Cases One and Three to domestic pets, there is considerable circumstantial evidence to implicate these transmission links: both pets had discharges from a wound or ear, but the first had been treated with antibiotics and the other was cremated before swabbing for </w:t>
      </w:r>
      <w:r w:rsidRPr="00793C29">
        <w:rPr>
          <w:rStyle w:val="Emphasis"/>
          <w:b w:val="0"/>
          <w:bCs w:val="0"/>
        </w:rPr>
        <w:t xml:space="preserve">C. </w:t>
      </w:r>
      <w:proofErr w:type="spellStart"/>
      <w:r w:rsidRPr="00793C29">
        <w:rPr>
          <w:rStyle w:val="Emphasis"/>
          <w:b w:val="0"/>
          <w:bCs w:val="0"/>
        </w:rPr>
        <w:t>ulcerans</w:t>
      </w:r>
      <w:proofErr w:type="spellEnd"/>
      <w:r>
        <w:t xml:space="preserve"> could be done. </w:t>
      </w:r>
    </w:p>
    <w:p w14:paraId="3EB01FCC" w14:textId="77777777" w:rsidR="00964C13" w:rsidRDefault="00964C13" w:rsidP="00793C29">
      <w:pPr>
        <w:divId w:val="1637644058"/>
      </w:pPr>
      <w:r>
        <w:t xml:space="preserve">The other cases have convincing evidence of transmission, though the direction of transmission is unknown. Case two appears to be the first reported proven instance of transmission between dogs and a human with cutaneous diphtheria disease in Australia. </w:t>
      </w:r>
    </w:p>
    <w:p w14:paraId="05C0A2D0" w14:textId="77777777" w:rsidR="00964C13" w:rsidRDefault="00964C13" w:rsidP="00793C29">
      <w:pPr>
        <w:divId w:val="1637644058"/>
      </w:pPr>
      <w:r>
        <w:t xml:space="preserve">Interestingly, ST325 was the sequence type </w:t>
      </w:r>
      <w:proofErr w:type="gramStart"/>
      <w:r>
        <w:t>identified</w:t>
      </w:r>
      <w:proofErr w:type="gramEnd"/>
      <w:r>
        <w:t xml:space="preserve"> for the toxin gene positive </w:t>
      </w:r>
      <w:r w:rsidRPr="00793C29">
        <w:rPr>
          <w:rStyle w:val="Emphasis"/>
          <w:b w:val="0"/>
          <w:bCs w:val="0"/>
        </w:rPr>
        <w:t xml:space="preserve">C. </w:t>
      </w:r>
      <w:proofErr w:type="spellStart"/>
      <w:r w:rsidRPr="00793C29">
        <w:rPr>
          <w:rStyle w:val="Emphasis"/>
          <w:b w:val="0"/>
          <w:bCs w:val="0"/>
        </w:rPr>
        <w:t>ulcerans</w:t>
      </w:r>
      <w:proofErr w:type="spellEnd"/>
      <w:r w:rsidRPr="00793C29">
        <w:rPr>
          <w:rStyle w:val="Emphasis"/>
          <w:b w:val="0"/>
          <w:bCs w:val="0"/>
        </w:rPr>
        <w:t xml:space="preserve"> </w:t>
      </w:r>
      <w:r>
        <w:t>isolates from Cases One, Three and Four, and from Case Four’s dog. This ST has been previously reported as a potentially zoonotic ST isolated from both symptomatic and asymptomatic humans and companion animals in Europe.</w:t>
      </w:r>
      <w:r>
        <w:rPr>
          <w:vertAlign w:val="superscript"/>
        </w:rPr>
        <w:t>19,20</w:t>
      </w:r>
      <w:r>
        <w:t xml:space="preserve"> Cases Two and Five and their pets were </w:t>
      </w:r>
      <w:proofErr w:type="gramStart"/>
      <w:r>
        <w:t>identified</w:t>
      </w:r>
      <w:proofErr w:type="gramEnd"/>
      <w:r>
        <w:t xml:space="preserve"> to be positive for toxin gene-bearing </w:t>
      </w:r>
      <w:r w:rsidRPr="00793C29">
        <w:rPr>
          <w:rStyle w:val="Emphasis"/>
          <w:b w:val="0"/>
          <w:bCs w:val="0"/>
        </w:rPr>
        <w:t xml:space="preserve">C. </w:t>
      </w:r>
      <w:proofErr w:type="spellStart"/>
      <w:r w:rsidRPr="00793C29">
        <w:rPr>
          <w:rStyle w:val="Emphasis"/>
          <w:b w:val="0"/>
          <w:bCs w:val="0"/>
        </w:rPr>
        <w:t>ulcerans</w:t>
      </w:r>
      <w:proofErr w:type="spellEnd"/>
      <w:r w:rsidRPr="00793C29">
        <w:rPr>
          <w:rStyle w:val="Emphasis"/>
          <w:b w:val="0"/>
          <w:bCs w:val="0"/>
        </w:rPr>
        <w:t xml:space="preserve"> </w:t>
      </w:r>
      <w:r>
        <w:t>ST514. This ST has also been previously reported as being present within a human case and corresponding contact animal.</w:t>
      </w:r>
      <w:r>
        <w:rPr>
          <w:vertAlign w:val="superscript"/>
        </w:rPr>
        <w:t>21</w:t>
      </w:r>
      <w:r>
        <w:t xml:space="preserve"> This highlights the ongoing need for </w:t>
      </w:r>
      <w:proofErr w:type="gramStart"/>
      <w:r>
        <w:t>appropriate sampling</w:t>
      </w:r>
      <w:proofErr w:type="gramEnd"/>
      <w:r>
        <w:t xml:space="preserve"> of companion animals and molecular typing to continue to expand understanding around risk of zoonotic transmission and association with particular genotypes. </w:t>
      </w:r>
    </w:p>
    <w:p w14:paraId="4A32C6E6" w14:textId="77777777" w:rsidR="00964C13" w:rsidRDefault="00964C13" w:rsidP="00793C29">
      <w:pPr>
        <w:divId w:val="1637644058"/>
      </w:pPr>
      <w:r>
        <w:t xml:space="preserve">Cases Two and Three clustered temporally and geographically, but there were no epidemiological links and isolates were of different sequence types. </w:t>
      </w:r>
    </w:p>
    <w:p w14:paraId="19054E62" w14:textId="77777777" w:rsidR="00964C13" w:rsidRDefault="00964C13" w:rsidP="00793C29">
      <w:pPr>
        <w:divId w:val="1637644058"/>
      </w:pPr>
      <w:r>
        <w:t xml:space="preserve">The co-operation between human and veterinary health practitioners to safeguard human health via a One Health approach was an important aspect of these investigations. Although toxigenic </w:t>
      </w:r>
      <w:r w:rsidRPr="00793C29">
        <w:rPr>
          <w:rStyle w:val="Emphasis"/>
          <w:b w:val="0"/>
          <w:bCs w:val="0"/>
        </w:rPr>
        <w:t xml:space="preserve">C. </w:t>
      </w:r>
      <w:proofErr w:type="spellStart"/>
      <w:r w:rsidRPr="00793C29">
        <w:rPr>
          <w:rStyle w:val="Emphasis"/>
          <w:b w:val="0"/>
          <w:bCs w:val="0"/>
        </w:rPr>
        <w:t>ulcerans</w:t>
      </w:r>
      <w:proofErr w:type="spellEnd"/>
      <w:r w:rsidRPr="00793C29">
        <w:rPr>
          <w:rStyle w:val="Emphasis"/>
          <w:b w:val="0"/>
          <w:bCs w:val="0"/>
        </w:rPr>
        <w:t xml:space="preserve"> </w:t>
      </w:r>
      <w:r>
        <w:t xml:space="preserve">carriage is not notifiable to veterinary authorities in Queensland, support from Biosecurity Queensland was necessary to eradicate colonisation from the dogs. </w:t>
      </w:r>
    </w:p>
    <w:p w14:paraId="7B9CBD7F" w14:textId="77777777" w:rsidR="00964C13" w:rsidRDefault="00964C13" w:rsidP="00793C29">
      <w:pPr>
        <w:divId w:val="1637644058"/>
      </w:pPr>
      <w:r>
        <w:t xml:space="preserve">As toxigenic </w:t>
      </w:r>
      <w:r w:rsidRPr="00793C29">
        <w:rPr>
          <w:rStyle w:val="Emphasis"/>
          <w:b w:val="0"/>
          <w:bCs w:val="0"/>
        </w:rPr>
        <w:t xml:space="preserve">C. </w:t>
      </w:r>
      <w:proofErr w:type="spellStart"/>
      <w:r w:rsidRPr="00793C29">
        <w:rPr>
          <w:rStyle w:val="Emphasis"/>
          <w:b w:val="0"/>
          <w:bCs w:val="0"/>
        </w:rPr>
        <w:t>ulcerans</w:t>
      </w:r>
      <w:proofErr w:type="spellEnd"/>
      <w:r>
        <w:t xml:space="preserve"> has caused respiratory diphtheria and toxin-mediated disease, this report also serves as a reminder for the need to </w:t>
      </w:r>
      <w:proofErr w:type="gramStart"/>
      <w:r>
        <w:t>maintain</w:t>
      </w:r>
      <w:proofErr w:type="gramEnd"/>
      <w:r>
        <w:t xml:space="preserve"> high coverage rates of diphtheria vaccination to ensure this emerging zoonosis does not result in future diphtheria fatalities. </w:t>
      </w:r>
    </w:p>
    <w:p w14:paraId="471E9E4F" w14:textId="77777777" w:rsidR="00964C13" w:rsidRPr="00793C29" w:rsidRDefault="00964C13" w:rsidP="00793C29">
      <w:pPr>
        <w:pStyle w:val="Heading1"/>
        <w:divId w:val="1637644058"/>
      </w:pPr>
      <w:r w:rsidRPr="00793C29">
        <w:t xml:space="preserve">Funding </w:t>
      </w:r>
    </w:p>
    <w:p w14:paraId="7CAC0933" w14:textId="77777777" w:rsidR="00964C13" w:rsidRDefault="00964C13" w:rsidP="00793C29">
      <w:pPr>
        <w:divId w:val="1637644058"/>
      </w:pPr>
      <w:r>
        <w:t xml:space="preserve">This work received no specific grant from any funding agency. </w:t>
      </w:r>
    </w:p>
    <w:p w14:paraId="6EE9D4D2" w14:textId="77777777" w:rsidR="00964C13" w:rsidRPr="00793C29" w:rsidRDefault="00964C13" w:rsidP="00793C29">
      <w:pPr>
        <w:pStyle w:val="Heading1"/>
        <w:divId w:val="1637644058"/>
      </w:pPr>
      <w:r w:rsidRPr="00793C29">
        <w:t xml:space="preserve">Acknowledgements </w:t>
      </w:r>
    </w:p>
    <w:p w14:paraId="1B9680B1" w14:textId="67CE7ADF" w:rsidR="00964C13" w:rsidRDefault="00964C13" w:rsidP="00793C29">
      <w:pPr>
        <w:divId w:val="1637644058"/>
      </w:pPr>
      <w:r>
        <w:t xml:space="preserve">The authors wish to thank staff at Metro North, West Moreton, Metro South and Sunshine Coast Public Health Units for contact tracing; Janine Barrett, Fiona Thompson and Joanne </w:t>
      </w:r>
      <w:proofErr w:type="spellStart"/>
      <w:r>
        <w:t>Mollinger</w:t>
      </w:r>
      <w:proofErr w:type="spellEnd"/>
      <w:r>
        <w:t xml:space="preserve"> from Biosecurity, Department of Agriculture and Fisheries, Queensland for support in testing the dogs, sourcing veterinarian advice and advising their veterinarians on appropriate courses of antibiotics; private pathology laboratory staff for culturing swabs; and all the </w:t>
      </w:r>
      <w:r>
        <w:lastRenderedPageBreak/>
        <w:t xml:space="preserve">Public Health Physicians around Queensland who participated in numerous Expert Advisory Groups for these cases. This publication made use of the </w:t>
      </w:r>
      <w:r w:rsidRPr="00793C29">
        <w:rPr>
          <w:rStyle w:val="Emphasis"/>
          <w:b w:val="0"/>
          <w:bCs w:val="0"/>
        </w:rPr>
        <w:t>Corynebacterium diphtheriae</w:t>
      </w:r>
      <w:r>
        <w:t xml:space="preserve"> MLST website (https://pubmlst.org/cdiphtheriae/) sited at the University of Oxford and funded by the </w:t>
      </w:r>
      <w:r w:rsidR="000B2B35">
        <w:t>Welcome</w:t>
      </w:r>
      <w:r>
        <w:t xml:space="preserve"> Trust.</w:t>
      </w:r>
    </w:p>
    <w:p w14:paraId="77D3B846" w14:textId="77777777" w:rsidR="00964C13" w:rsidRPr="00793C29" w:rsidRDefault="00964C13" w:rsidP="00793C29">
      <w:pPr>
        <w:pStyle w:val="Heading1"/>
        <w:divId w:val="1637644058"/>
      </w:pPr>
      <w:r w:rsidRPr="00793C29">
        <w:t xml:space="preserve">Author details </w:t>
      </w:r>
    </w:p>
    <w:p w14:paraId="10515B8E" w14:textId="77777777" w:rsidR="00964C13" w:rsidRDefault="00964C13" w:rsidP="00756E97">
      <w:pPr>
        <w:divId w:val="1637644058"/>
      </w:pPr>
      <w:r>
        <w:t>Dr Vicki G Slinko,</w:t>
      </w:r>
      <w:r>
        <w:rPr>
          <w:vertAlign w:val="superscript"/>
        </w:rPr>
        <w:t xml:space="preserve">1,2 </w:t>
      </w:r>
      <w:r>
        <w:t>Ms Christine JD Guglielmino,</w:t>
      </w:r>
      <w:r>
        <w:rPr>
          <w:vertAlign w:val="superscript"/>
        </w:rPr>
        <w:t>3</w:t>
      </w:r>
      <w:r>
        <w:t xml:space="preserve"> Dr Alexandra M Uren,</w:t>
      </w:r>
      <w:r>
        <w:rPr>
          <w:vertAlign w:val="superscript"/>
        </w:rPr>
        <w:t>4</w:t>
      </w:r>
      <w:r>
        <w:t xml:space="preserve"> Dr James KG Smith,</w:t>
      </w:r>
      <w:r>
        <w:rPr>
          <w:vertAlign w:val="superscript"/>
        </w:rPr>
        <w:t>4</w:t>
      </w:r>
      <w:r>
        <w:t xml:space="preserve"> Ms Deborah Neucom,</w:t>
      </w:r>
      <w:r>
        <w:rPr>
          <w:vertAlign w:val="superscript"/>
        </w:rPr>
        <w:t>5</w:t>
      </w:r>
      <w:r>
        <w:t xml:space="preserve"> Dr Nicolas R Smoll,</w:t>
      </w:r>
      <w:r>
        <w:rPr>
          <w:vertAlign w:val="superscript"/>
        </w:rPr>
        <w:t>5</w:t>
      </w:r>
      <w:r>
        <w:t xml:space="preserve"> Dr Rikki MA Graham,</w:t>
      </w:r>
      <w:r>
        <w:rPr>
          <w:vertAlign w:val="superscript"/>
        </w:rPr>
        <w:t>3</w:t>
      </w:r>
      <w:r>
        <w:t xml:space="preserve"> Dr Ning-Xia Fang,</w:t>
      </w:r>
      <w:r>
        <w:rPr>
          <w:vertAlign w:val="superscript"/>
        </w:rPr>
        <w:t>3</w:t>
      </w:r>
      <w:r>
        <w:t xml:space="preserve"> Ms Helen V Smith,</w:t>
      </w:r>
      <w:r>
        <w:rPr>
          <w:vertAlign w:val="superscript"/>
        </w:rPr>
        <w:t>3</w:t>
      </w:r>
      <w:r>
        <w:t xml:space="preserve"> Ms Amanda E Armstrong,</w:t>
      </w:r>
      <w:r>
        <w:rPr>
          <w:vertAlign w:val="superscript"/>
        </w:rPr>
        <w:t>1</w:t>
      </w:r>
      <w:r>
        <w:t xml:space="preserve"> Ms Alison A Kenny,</w:t>
      </w:r>
      <w:r>
        <w:rPr>
          <w:vertAlign w:val="superscript"/>
        </w:rPr>
        <w:t>1</w:t>
      </w:r>
      <w:r>
        <w:t xml:space="preserve"> Ms Janet L Farmer,</w:t>
      </w:r>
      <w:r>
        <w:rPr>
          <w:vertAlign w:val="superscript"/>
        </w:rPr>
        <w:t>1</w:t>
      </w:r>
      <w:r>
        <w:t xml:space="preserve"> Dr Catherine A Quagliotto,</w:t>
      </w:r>
      <w:r>
        <w:rPr>
          <w:vertAlign w:val="superscript"/>
        </w:rPr>
        <w:t>1</w:t>
      </w:r>
      <w:r>
        <w:t xml:space="preserve"> Dr Amy V Jennison</w:t>
      </w:r>
      <w:r>
        <w:rPr>
          <w:vertAlign w:val="superscript"/>
        </w:rPr>
        <w:t xml:space="preserve">3 </w:t>
      </w:r>
    </w:p>
    <w:p w14:paraId="1C320F76" w14:textId="77777777" w:rsidR="00964C13" w:rsidRPr="00793C29" w:rsidRDefault="00964C13" w:rsidP="00793C29">
      <w:pPr>
        <w:pStyle w:val="ListParagraph"/>
        <w:numPr>
          <w:ilvl w:val="0"/>
          <w:numId w:val="9"/>
        </w:numPr>
        <w:divId w:val="1637644058"/>
        <w:rPr>
          <w:rFonts w:eastAsia="Times New Roman"/>
        </w:rPr>
      </w:pPr>
      <w:r w:rsidRPr="00793C29">
        <w:rPr>
          <w:rFonts w:eastAsia="Times New Roman"/>
        </w:rPr>
        <w:t xml:space="preserve">West Moreton Public Health Unit, Queensland Health, Ipswich, Australia </w:t>
      </w:r>
    </w:p>
    <w:p w14:paraId="4787D02C" w14:textId="77777777" w:rsidR="00964C13" w:rsidRPr="00793C29" w:rsidRDefault="00964C13" w:rsidP="00793C29">
      <w:pPr>
        <w:pStyle w:val="ListParagraph"/>
        <w:numPr>
          <w:ilvl w:val="0"/>
          <w:numId w:val="9"/>
        </w:numPr>
        <w:divId w:val="1637644058"/>
        <w:rPr>
          <w:rFonts w:eastAsia="Times New Roman"/>
        </w:rPr>
      </w:pPr>
      <w:r w:rsidRPr="00793C29">
        <w:rPr>
          <w:rFonts w:eastAsia="Times New Roman"/>
        </w:rPr>
        <w:t xml:space="preserve">School of Public Health, University of Queensland, Herston, Australia </w:t>
      </w:r>
    </w:p>
    <w:p w14:paraId="404A0B90" w14:textId="77777777" w:rsidR="00964C13" w:rsidRPr="00793C29" w:rsidRDefault="00964C13" w:rsidP="00793C29">
      <w:pPr>
        <w:pStyle w:val="ListParagraph"/>
        <w:numPr>
          <w:ilvl w:val="0"/>
          <w:numId w:val="9"/>
        </w:numPr>
        <w:divId w:val="1637644058"/>
        <w:rPr>
          <w:rFonts w:eastAsia="Times New Roman"/>
        </w:rPr>
      </w:pPr>
      <w:r w:rsidRPr="00793C29">
        <w:rPr>
          <w:rFonts w:eastAsia="Times New Roman"/>
        </w:rPr>
        <w:t xml:space="preserve">Public Health Microbiology, Queensland Health Forensic and Scientific Services, Brisbane, Australia </w:t>
      </w:r>
    </w:p>
    <w:p w14:paraId="73AA7C82" w14:textId="77777777" w:rsidR="00964C13" w:rsidRPr="00793C29" w:rsidRDefault="00964C13" w:rsidP="00793C29">
      <w:pPr>
        <w:pStyle w:val="ListParagraph"/>
        <w:numPr>
          <w:ilvl w:val="0"/>
          <w:numId w:val="9"/>
        </w:numPr>
        <w:divId w:val="1637644058"/>
        <w:rPr>
          <w:rFonts w:eastAsia="Times New Roman"/>
        </w:rPr>
      </w:pPr>
      <w:r w:rsidRPr="00793C29">
        <w:rPr>
          <w:rFonts w:eastAsia="Times New Roman"/>
        </w:rPr>
        <w:t xml:space="preserve">Metro North Public Health Unit, Queensland Health, Brisbane, Australia </w:t>
      </w:r>
    </w:p>
    <w:p w14:paraId="6E778853" w14:textId="77777777" w:rsidR="00964C13" w:rsidRPr="00793C29" w:rsidRDefault="00964C13" w:rsidP="00793C29">
      <w:pPr>
        <w:pStyle w:val="ListParagraph"/>
        <w:numPr>
          <w:ilvl w:val="0"/>
          <w:numId w:val="9"/>
        </w:numPr>
        <w:divId w:val="1637644058"/>
        <w:rPr>
          <w:rFonts w:eastAsia="Times New Roman"/>
        </w:rPr>
      </w:pPr>
      <w:r w:rsidRPr="00793C29">
        <w:rPr>
          <w:rFonts w:eastAsia="Times New Roman"/>
        </w:rPr>
        <w:t xml:space="preserve">Sunshine Coast Public Health Unit, Queensland Health, Maroochydore, Australia </w:t>
      </w:r>
    </w:p>
    <w:p w14:paraId="7AB5D727" w14:textId="77777777" w:rsidR="00964C13" w:rsidRPr="00793C29" w:rsidRDefault="00964C13" w:rsidP="00927A2D">
      <w:pPr>
        <w:pStyle w:val="Heading2"/>
        <w:spacing w:after="200"/>
        <w:divId w:val="1637644058"/>
      </w:pPr>
      <w:r w:rsidRPr="00793C29">
        <w:t xml:space="preserve">Corresponding author </w:t>
      </w:r>
    </w:p>
    <w:p w14:paraId="2D0BEEE0" w14:textId="77777777" w:rsidR="00964C13" w:rsidRDefault="00964C13" w:rsidP="00756E97">
      <w:pPr>
        <w:divId w:val="1637644058"/>
      </w:pPr>
      <w:r>
        <w:t xml:space="preserve">Dr Vicki G </w:t>
      </w:r>
      <w:proofErr w:type="spellStart"/>
      <w:r>
        <w:t>Slinko</w:t>
      </w:r>
      <w:proofErr w:type="spellEnd"/>
      <w:r>
        <w:t xml:space="preserve"> </w:t>
      </w:r>
    </w:p>
    <w:p w14:paraId="3DD7DD05" w14:textId="77777777" w:rsidR="00964C13" w:rsidRDefault="00964C13" w:rsidP="00756E97">
      <w:pPr>
        <w:divId w:val="1637644058"/>
      </w:pPr>
      <w:r>
        <w:t xml:space="preserve">Gold Coast Public Health Unit, 45 Chisholm Road, Carrara, Queensland 4211. </w:t>
      </w:r>
    </w:p>
    <w:p w14:paraId="1D46D3E6" w14:textId="77777777" w:rsidR="00964C13" w:rsidRDefault="00964C13" w:rsidP="00756E97">
      <w:pPr>
        <w:divId w:val="1637644058"/>
      </w:pPr>
      <w:r>
        <w:t xml:space="preserve">Phone 07 5667 3200 </w:t>
      </w:r>
    </w:p>
    <w:p w14:paraId="413BD22E" w14:textId="77777777" w:rsidR="00964C13" w:rsidRDefault="00964C13" w:rsidP="00756E97">
      <w:pPr>
        <w:divId w:val="1637644058"/>
      </w:pPr>
      <w:r>
        <w:t>Email: vicki.slinko@health.qld.gov.au</w:t>
      </w:r>
    </w:p>
    <w:p w14:paraId="2EFB0E52" w14:textId="77777777" w:rsidR="00964C13" w:rsidRPr="00793C29" w:rsidRDefault="00964C13" w:rsidP="00793C29">
      <w:pPr>
        <w:pStyle w:val="Heading1"/>
        <w:divId w:val="1637644058"/>
      </w:pPr>
      <w:r w:rsidRPr="00793C29">
        <w:t xml:space="preserve">References </w:t>
      </w:r>
    </w:p>
    <w:p w14:paraId="706130EF" w14:textId="77777777" w:rsidR="00964C13" w:rsidRPr="00793C29" w:rsidRDefault="00964C13" w:rsidP="00793C29">
      <w:pPr>
        <w:pStyle w:val="ListParagraph"/>
        <w:numPr>
          <w:ilvl w:val="0"/>
          <w:numId w:val="10"/>
        </w:numPr>
        <w:divId w:val="1637644058"/>
        <w:rPr>
          <w:rFonts w:eastAsia="Times New Roman"/>
        </w:rPr>
      </w:pPr>
      <w:r w:rsidRPr="00793C29">
        <w:rPr>
          <w:rFonts w:eastAsia="Times New Roman"/>
        </w:rPr>
        <w:t xml:space="preserve">Wagner KS, White JM, </w:t>
      </w:r>
      <w:proofErr w:type="spellStart"/>
      <w:r w:rsidRPr="00793C29">
        <w:rPr>
          <w:rFonts w:eastAsia="Times New Roman"/>
        </w:rPr>
        <w:t>Lucenko</w:t>
      </w:r>
      <w:proofErr w:type="spellEnd"/>
      <w:r w:rsidRPr="00793C29">
        <w:rPr>
          <w:rFonts w:eastAsia="Times New Roman"/>
        </w:rPr>
        <w:t xml:space="preserve"> I, Mercer D, Crowcroft NS, Neal S et al. Diphtheria in the </w:t>
      </w:r>
      <w:proofErr w:type="spellStart"/>
      <w:r w:rsidRPr="00793C29">
        <w:rPr>
          <w:rFonts w:eastAsia="Times New Roman"/>
        </w:rPr>
        <w:t>postepidemic</w:t>
      </w:r>
      <w:proofErr w:type="spellEnd"/>
      <w:r w:rsidRPr="00793C29">
        <w:rPr>
          <w:rFonts w:eastAsia="Times New Roman"/>
        </w:rPr>
        <w:t xml:space="preserve"> period, Europe, 2000–2009. </w:t>
      </w:r>
      <w:proofErr w:type="spellStart"/>
      <w:r w:rsidRPr="00793C29">
        <w:rPr>
          <w:rStyle w:val="Emphasis"/>
          <w:rFonts w:eastAsia="Times New Roman"/>
          <w:b w:val="0"/>
          <w:bCs w:val="0"/>
        </w:rPr>
        <w:t>Emerg</w:t>
      </w:r>
      <w:proofErr w:type="spellEnd"/>
      <w:r w:rsidRPr="00793C29">
        <w:rPr>
          <w:rStyle w:val="Emphasis"/>
          <w:rFonts w:eastAsia="Times New Roman"/>
          <w:b w:val="0"/>
          <w:bCs w:val="0"/>
        </w:rPr>
        <w:t xml:space="preserve"> Infect Dis.</w:t>
      </w:r>
      <w:r w:rsidRPr="00793C29">
        <w:rPr>
          <w:rFonts w:eastAsia="Times New Roman"/>
        </w:rPr>
        <w:t xml:space="preserve"> 2012;18(2):217–25. </w:t>
      </w:r>
      <w:proofErr w:type="spellStart"/>
      <w:r w:rsidRPr="00793C29">
        <w:rPr>
          <w:rFonts w:eastAsia="Times New Roman"/>
        </w:rPr>
        <w:t>doi</w:t>
      </w:r>
      <w:proofErr w:type="spellEnd"/>
      <w:r w:rsidRPr="00793C29">
        <w:rPr>
          <w:rFonts w:eastAsia="Times New Roman"/>
        </w:rPr>
        <w:t xml:space="preserve">: https://doi.org/10.3201/eid1802.110987. </w:t>
      </w:r>
    </w:p>
    <w:p w14:paraId="5B9F3629" w14:textId="77777777" w:rsidR="00964C13" w:rsidRPr="00793C29" w:rsidRDefault="00964C13" w:rsidP="00793C29">
      <w:pPr>
        <w:pStyle w:val="ListParagraph"/>
        <w:numPr>
          <w:ilvl w:val="0"/>
          <w:numId w:val="10"/>
        </w:numPr>
        <w:divId w:val="1637644058"/>
        <w:rPr>
          <w:rFonts w:eastAsia="Times New Roman"/>
        </w:rPr>
      </w:pPr>
      <w:r w:rsidRPr="00793C29">
        <w:rPr>
          <w:rFonts w:eastAsia="Times New Roman"/>
        </w:rPr>
        <w:t xml:space="preserve">Urakawa T, </w:t>
      </w:r>
      <w:proofErr w:type="spellStart"/>
      <w:r w:rsidRPr="00793C29">
        <w:rPr>
          <w:rFonts w:eastAsia="Times New Roman"/>
        </w:rPr>
        <w:t>Seto</w:t>
      </w:r>
      <w:proofErr w:type="spellEnd"/>
      <w:r w:rsidRPr="00793C29">
        <w:rPr>
          <w:rFonts w:eastAsia="Times New Roman"/>
        </w:rPr>
        <w:t xml:space="preserve"> J, Yamamoto A, Nakajima T, </w:t>
      </w:r>
      <w:proofErr w:type="spellStart"/>
      <w:r w:rsidRPr="00793C29">
        <w:rPr>
          <w:rFonts w:eastAsia="Times New Roman"/>
        </w:rPr>
        <w:t>Goto</w:t>
      </w:r>
      <w:proofErr w:type="spellEnd"/>
      <w:r w:rsidRPr="00793C29">
        <w:rPr>
          <w:rFonts w:eastAsia="Times New Roman"/>
        </w:rPr>
        <w:t xml:space="preserve"> S. Subcutaneous abscess formation in the upper extremity caused by toxigenic </w:t>
      </w:r>
      <w:r w:rsidRPr="00793C29">
        <w:rPr>
          <w:rStyle w:val="Emphasis"/>
          <w:rFonts w:eastAsia="Times New Roman"/>
          <w:b w:val="0"/>
          <w:bCs w:val="0"/>
        </w:rPr>
        <w:t xml:space="preserve">Corynebacterium </w:t>
      </w:r>
      <w:proofErr w:type="spellStart"/>
      <w:r w:rsidRPr="00793C29">
        <w:rPr>
          <w:rStyle w:val="Emphasis"/>
          <w:rFonts w:eastAsia="Times New Roman"/>
          <w:b w:val="0"/>
          <w:bCs w:val="0"/>
        </w:rPr>
        <w:t>ulcerans</w:t>
      </w:r>
      <w:proofErr w:type="spellEnd"/>
      <w:r w:rsidRPr="00793C29">
        <w:rPr>
          <w:rFonts w:eastAsia="Times New Roman"/>
        </w:rPr>
        <w:t xml:space="preserve">. </w:t>
      </w:r>
      <w:r w:rsidRPr="00793C29">
        <w:rPr>
          <w:rStyle w:val="Emphasis"/>
          <w:rFonts w:eastAsia="Times New Roman"/>
          <w:b w:val="0"/>
          <w:bCs w:val="0"/>
        </w:rPr>
        <w:t xml:space="preserve">J Med </w:t>
      </w:r>
      <w:proofErr w:type="spellStart"/>
      <w:r w:rsidRPr="00793C29">
        <w:rPr>
          <w:rStyle w:val="Emphasis"/>
          <w:rFonts w:eastAsia="Times New Roman"/>
          <w:b w:val="0"/>
          <w:bCs w:val="0"/>
        </w:rPr>
        <w:t>Microbiol</w:t>
      </w:r>
      <w:proofErr w:type="spellEnd"/>
      <w:r w:rsidRPr="00793C29">
        <w:rPr>
          <w:rFonts w:eastAsia="Times New Roman"/>
        </w:rPr>
        <w:t xml:space="preserve">. 2013;62(3):489–93. </w:t>
      </w:r>
      <w:proofErr w:type="spellStart"/>
      <w:r w:rsidRPr="00793C29">
        <w:rPr>
          <w:rFonts w:eastAsia="Times New Roman"/>
        </w:rPr>
        <w:t>doi</w:t>
      </w:r>
      <w:proofErr w:type="spellEnd"/>
      <w:r w:rsidRPr="00793C29">
        <w:rPr>
          <w:rFonts w:eastAsia="Times New Roman"/>
        </w:rPr>
        <w:t xml:space="preserve">: https://doi.org/10.1099/jmm.0.051458-0. </w:t>
      </w:r>
    </w:p>
    <w:p w14:paraId="05EDAE1F" w14:textId="77777777" w:rsidR="00964C13" w:rsidRPr="00793C29" w:rsidRDefault="00964C13" w:rsidP="00793C29">
      <w:pPr>
        <w:pStyle w:val="ListParagraph"/>
        <w:numPr>
          <w:ilvl w:val="0"/>
          <w:numId w:val="10"/>
        </w:numPr>
        <w:divId w:val="1637644058"/>
        <w:rPr>
          <w:rFonts w:eastAsia="Times New Roman"/>
        </w:rPr>
      </w:pPr>
      <w:r w:rsidRPr="00793C29">
        <w:rPr>
          <w:rFonts w:eastAsia="Times New Roman"/>
        </w:rPr>
        <w:t xml:space="preserve">Tiwari TSP, </w:t>
      </w:r>
      <w:proofErr w:type="spellStart"/>
      <w:r w:rsidRPr="00793C29">
        <w:rPr>
          <w:rFonts w:eastAsia="Times New Roman"/>
        </w:rPr>
        <w:t>Golaz</w:t>
      </w:r>
      <w:proofErr w:type="spellEnd"/>
      <w:r w:rsidRPr="00793C29">
        <w:rPr>
          <w:rFonts w:eastAsia="Times New Roman"/>
        </w:rPr>
        <w:t xml:space="preserve"> A, Yu DT, </w:t>
      </w:r>
      <w:proofErr w:type="spellStart"/>
      <w:r w:rsidRPr="00793C29">
        <w:rPr>
          <w:rFonts w:eastAsia="Times New Roman"/>
        </w:rPr>
        <w:t>Ehresmann</w:t>
      </w:r>
      <w:proofErr w:type="spellEnd"/>
      <w:r w:rsidRPr="00793C29">
        <w:rPr>
          <w:rFonts w:eastAsia="Times New Roman"/>
        </w:rPr>
        <w:t xml:space="preserve"> KR, Jones TF, Hill HE et al. Investigations of </w:t>
      </w:r>
      <w:proofErr w:type="gramStart"/>
      <w:r w:rsidRPr="00793C29">
        <w:rPr>
          <w:rFonts w:eastAsia="Times New Roman"/>
        </w:rPr>
        <w:t>2</w:t>
      </w:r>
      <w:proofErr w:type="gramEnd"/>
      <w:r w:rsidRPr="00793C29">
        <w:rPr>
          <w:rFonts w:eastAsia="Times New Roman"/>
        </w:rPr>
        <w:t xml:space="preserve"> cases of diphtheria-like illness due to toxigenic </w:t>
      </w:r>
      <w:r w:rsidRPr="00793C29">
        <w:rPr>
          <w:rStyle w:val="Emphasis"/>
          <w:rFonts w:eastAsia="Times New Roman"/>
          <w:b w:val="0"/>
          <w:bCs w:val="0"/>
        </w:rPr>
        <w:t xml:space="preserve">Corynebacterium </w:t>
      </w:r>
      <w:proofErr w:type="spellStart"/>
      <w:r w:rsidRPr="00793C29">
        <w:rPr>
          <w:rStyle w:val="Emphasis"/>
          <w:rFonts w:eastAsia="Times New Roman"/>
          <w:b w:val="0"/>
          <w:bCs w:val="0"/>
        </w:rPr>
        <w:t>ulcerans</w:t>
      </w:r>
      <w:proofErr w:type="spellEnd"/>
      <w:r w:rsidRPr="00793C29">
        <w:rPr>
          <w:rFonts w:eastAsia="Times New Roman"/>
        </w:rPr>
        <w:t xml:space="preserve">. </w:t>
      </w:r>
      <w:r w:rsidRPr="00793C29">
        <w:rPr>
          <w:rStyle w:val="Emphasis"/>
          <w:rFonts w:eastAsia="Times New Roman"/>
          <w:b w:val="0"/>
          <w:bCs w:val="0"/>
        </w:rPr>
        <w:t>Clin Infect Dis.</w:t>
      </w:r>
      <w:r w:rsidRPr="00793C29">
        <w:rPr>
          <w:rFonts w:eastAsia="Times New Roman"/>
        </w:rPr>
        <w:t xml:space="preserve"> 2008;46(3):395–401. </w:t>
      </w:r>
      <w:proofErr w:type="spellStart"/>
      <w:r w:rsidRPr="00793C29">
        <w:rPr>
          <w:rFonts w:eastAsia="Times New Roman"/>
        </w:rPr>
        <w:t>doi</w:t>
      </w:r>
      <w:proofErr w:type="spellEnd"/>
      <w:r w:rsidRPr="00793C29">
        <w:rPr>
          <w:rFonts w:eastAsia="Times New Roman"/>
        </w:rPr>
        <w:t xml:space="preserve">: https://doi.org/10.1086/525262. </w:t>
      </w:r>
    </w:p>
    <w:p w14:paraId="0A3D8BF8" w14:textId="77777777" w:rsidR="00964C13" w:rsidRPr="00793C29" w:rsidRDefault="00964C13" w:rsidP="00793C29">
      <w:pPr>
        <w:pStyle w:val="ListParagraph"/>
        <w:numPr>
          <w:ilvl w:val="0"/>
          <w:numId w:val="10"/>
        </w:numPr>
        <w:divId w:val="1637644058"/>
        <w:rPr>
          <w:rFonts w:eastAsia="Times New Roman"/>
        </w:rPr>
      </w:pPr>
      <w:proofErr w:type="spellStart"/>
      <w:r w:rsidRPr="00793C29">
        <w:rPr>
          <w:rFonts w:eastAsia="Times New Roman"/>
        </w:rPr>
        <w:t>DeWinter</w:t>
      </w:r>
      <w:proofErr w:type="spellEnd"/>
      <w:r w:rsidRPr="00793C29">
        <w:rPr>
          <w:rFonts w:eastAsia="Times New Roman"/>
        </w:rPr>
        <w:t xml:space="preserve"> LM, Bernard KA, Romney MG. Human clinical isolates of </w:t>
      </w:r>
      <w:r w:rsidRPr="00793C29">
        <w:rPr>
          <w:rStyle w:val="Emphasis"/>
          <w:rFonts w:eastAsia="Times New Roman"/>
          <w:b w:val="0"/>
          <w:bCs w:val="0"/>
        </w:rPr>
        <w:t>Corynebacterium diphtheriae</w:t>
      </w:r>
      <w:r w:rsidRPr="00793C29">
        <w:rPr>
          <w:rFonts w:eastAsia="Times New Roman"/>
        </w:rPr>
        <w:t xml:space="preserve"> and </w:t>
      </w:r>
      <w:r w:rsidRPr="00793C29">
        <w:rPr>
          <w:rStyle w:val="Emphasis"/>
          <w:rFonts w:eastAsia="Times New Roman"/>
          <w:b w:val="0"/>
          <w:bCs w:val="0"/>
        </w:rPr>
        <w:t xml:space="preserve">Corynebacterium </w:t>
      </w:r>
      <w:proofErr w:type="spellStart"/>
      <w:r w:rsidRPr="00793C29">
        <w:rPr>
          <w:rStyle w:val="Emphasis"/>
          <w:rFonts w:eastAsia="Times New Roman"/>
          <w:b w:val="0"/>
          <w:bCs w:val="0"/>
        </w:rPr>
        <w:t>ulcerans</w:t>
      </w:r>
      <w:proofErr w:type="spellEnd"/>
      <w:r w:rsidRPr="00793C29">
        <w:rPr>
          <w:rFonts w:eastAsia="Times New Roman"/>
        </w:rPr>
        <w:t xml:space="preserve"> collected in Canada from 1999 to 2003 but not fitting reporting criteria for cases of diphtheria. </w:t>
      </w:r>
      <w:r w:rsidRPr="00793C29">
        <w:rPr>
          <w:rStyle w:val="Emphasis"/>
          <w:rFonts w:eastAsia="Times New Roman"/>
          <w:b w:val="0"/>
          <w:bCs w:val="0"/>
        </w:rPr>
        <w:t xml:space="preserve">J Clin </w:t>
      </w:r>
      <w:proofErr w:type="spellStart"/>
      <w:r w:rsidRPr="00793C29">
        <w:rPr>
          <w:rStyle w:val="Emphasis"/>
          <w:rFonts w:eastAsia="Times New Roman"/>
          <w:b w:val="0"/>
          <w:bCs w:val="0"/>
        </w:rPr>
        <w:t>Microbiol</w:t>
      </w:r>
      <w:proofErr w:type="spellEnd"/>
      <w:r w:rsidRPr="00793C29">
        <w:rPr>
          <w:rStyle w:val="Emphasis"/>
          <w:rFonts w:eastAsia="Times New Roman"/>
          <w:b w:val="0"/>
          <w:bCs w:val="0"/>
        </w:rPr>
        <w:t>.</w:t>
      </w:r>
      <w:r w:rsidRPr="00793C29">
        <w:rPr>
          <w:rFonts w:eastAsia="Times New Roman"/>
        </w:rPr>
        <w:t xml:space="preserve"> 2005;43(7):3447–9. </w:t>
      </w:r>
      <w:proofErr w:type="spellStart"/>
      <w:r w:rsidRPr="00793C29">
        <w:rPr>
          <w:rFonts w:eastAsia="Times New Roman"/>
        </w:rPr>
        <w:t>doi</w:t>
      </w:r>
      <w:proofErr w:type="spellEnd"/>
      <w:r w:rsidRPr="00793C29">
        <w:rPr>
          <w:rFonts w:eastAsia="Times New Roman"/>
        </w:rPr>
        <w:t xml:space="preserve">: https://doi.org/10.1128/JCM.43.7.3447-3449.2005. </w:t>
      </w:r>
    </w:p>
    <w:p w14:paraId="762F5F1D" w14:textId="77777777" w:rsidR="00964C13" w:rsidRPr="00793C29" w:rsidRDefault="00964C13" w:rsidP="00793C29">
      <w:pPr>
        <w:pStyle w:val="ListParagraph"/>
        <w:numPr>
          <w:ilvl w:val="0"/>
          <w:numId w:val="10"/>
        </w:numPr>
        <w:divId w:val="1637644058"/>
        <w:rPr>
          <w:rFonts w:eastAsia="Times New Roman"/>
        </w:rPr>
      </w:pPr>
      <w:r w:rsidRPr="00793C29">
        <w:rPr>
          <w:rFonts w:eastAsia="Times New Roman"/>
        </w:rPr>
        <w:t xml:space="preserve">Queensland State Government, Office of the Queensland Parliamentary Counsel. Public Health Act 2005. [Legislation.] Brisbane: Queensland Health; 2005. Available from: https://www.legislation.qld.gov.au/view/html/inforce/current/act-2005-048. </w:t>
      </w:r>
    </w:p>
    <w:p w14:paraId="1260DA51" w14:textId="77777777" w:rsidR="00964C13" w:rsidRPr="00793C29" w:rsidRDefault="00964C13" w:rsidP="00793C29">
      <w:pPr>
        <w:pStyle w:val="ListParagraph"/>
        <w:numPr>
          <w:ilvl w:val="0"/>
          <w:numId w:val="10"/>
        </w:numPr>
        <w:divId w:val="1637644058"/>
        <w:rPr>
          <w:rFonts w:eastAsia="Times New Roman"/>
        </w:rPr>
      </w:pPr>
      <w:r w:rsidRPr="00793C29">
        <w:rPr>
          <w:rFonts w:eastAsia="Times New Roman"/>
        </w:rPr>
        <w:t xml:space="preserve">Dias AA, Santos LS, </w:t>
      </w:r>
      <w:proofErr w:type="spellStart"/>
      <w:r w:rsidRPr="00793C29">
        <w:rPr>
          <w:rFonts w:eastAsia="Times New Roman"/>
        </w:rPr>
        <w:t>Sabbadini</w:t>
      </w:r>
      <w:proofErr w:type="spellEnd"/>
      <w:r w:rsidRPr="00793C29">
        <w:rPr>
          <w:rFonts w:eastAsia="Times New Roman"/>
        </w:rPr>
        <w:t xml:space="preserve"> PS, Santos CS, Silva Junior FC, </w:t>
      </w:r>
      <w:proofErr w:type="spellStart"/>
      <w:r w:rsidRPr="00793C29">
        <w:rPr>
          <w:rFonts w:eastAsia="Times New Roman"/>
        </w:rPr>
        <w:t>Napoleão</w:t>
      </w:r>
      <w:proofErr w:type="spellEnd"/>
      <w:r w:rsidRPr="00793C29">
        <w:rPr>
          <w:rFonts w:eastAsia="Times New Roman"/>
        </w:rPr>
        <w:t xml:space="preserve"> F et al. </w:t>
      </w:r>
      <w:proofErr w:type="spellStart"/>
      <w:r w:rsidRPr="00793C29">
        <w:rPr>
          <w:rFonts w:eastAsia="Times New Roman"/>
        </w:rPr>
        <w:t>Difteria</w:t>
      </w:r>
      <w:proofErr w:type="spellEnd"/>
      <w:r w:rsidRPr="00793C29">
        <w:rPr>
          <w:rFonts w:eastAsia="Times New Roman"/>
        </w:rPr>
        <w:t xml:space="preserve"> </w:t>
      </w:r>
      <w:proofErr w:type="spellStart"/>
      <w:r w:rsidRPr="00793C29">
        <w:rPr>
          <w:rFonts w:eastAsia="Times New Roman"/>
        </w:rPr>
        <w:t>pelo</w:t>
      </w:r>
      <w:proofErr w:type="spellEnd"/>
      <w:r w:rsidRPr="00793C29">
        <w:rPr>
          <w:rFonts w:eastAsia="Times New Roman"/>
        </w:rPr>
        <w:t xml:space="preserve"> </w:t>
      </w:r>
      <w:r w:rsidRPr="00793C29">
        <w:rPr>
          <w:rStyle w:val="Emphasis"/>
          <w:rFonts w:eastAsia="Times New Roman"/>
          <w:b w:val="0"/>
          <w:bCs w:val="0"/>
        </w:rPr>
        <w:t xml:space="preserve">Corynebacterium </w:t>
      </w:r>
      <w:proofErr w:type="spellStart"/>
      <w:r w:rsidRPr="00793C29">
        <w:rPr>
          <w:rStyle w:val="Emphasis"/>
          <w:rFonts w:eastAsia="Times New Roman"/>
          <w:b w:val="0"/>
          <w:bCs w:val="0"/>
        </w:rPr>
        <w:t>ulcerans</w:t>
      </w:r>
      <w:proofErr w:type="spellEnd"/>
      <w:r w:rsidRPr="00793C29">
        <w:rPr>
          <w:rFonts w:eastAsia="Times New Roman"/>
        </w:rPr>
        <w:t xml:space="preserve">: </w:t>
      </w:r>
      <w:proofErr w:type="spellStart"/>
      <w:r w:rsidRPr="00793C29">
        <w:rPr>
          <w:rFonts w:eastAsia="Times New Roman"/>
        </w:rPr>
        <w:t>uma</w:t>
      </w:r>
      <w:proofErr w:type="spellEnd"/>
      <w:r w:rsidRPr="00793C29">
        <w:rPr>
          <w:rFonts w:eastAsia="Times New Roman"/>
        </w:rPr>
        <w:t xml:space="preserve"> </w:t>
      </w:r>
      <w:proofErr w:type="spellStart"/>
      <w:r w:rsidRPr="00793C29">
        <w:rPr>
          <w:rFonts w:eastAsia="Times New Roman"/>
        </w:rPr>
        <w:t>zoonose</w:t>
      </w:r>
      <w:proofErr w:type="spellEnd"/>
      <w:r w:rsidRPr="00793C29">
        <w:rPr>
          <w:rFonts w:eastAsia="Times New Roman"/>
        </w:rPr>
        <w:t xml:space="preserve"> </w:t>
      </w:r>
      <w:proofErr w:type="spellStart"/>
      <w:r w:rsidRPr="00793C29">
        <w:rPr>
          <w:rFonts w:eastAsia="Times New Roman"/>
        </w:rPr>
        <w:t>emergente</w:t>
      </w:r>
      <w:proofErr w:type="spellEnd"/>
      <w:r w:rsidRPr="00793C29">
        <w:rPr>
          <w:rFonts w:eastAsia="Times New Roman"/>
        </w:rPr>
        <w:t xml:space="preserve"> no </w:t>
      </w:r>
      <w:proofErr w:type="spellStart"/>
      <w:r w:rsidRPr="00793C29">
        <w:rPr>
          <w:rFonts w:eastAsia="Times New Roman"/>
        </w:rPr>
        <w:t>Brasil</w:t>
      </w:r>
      <w:proofErr w:type="spellEnd"/>
      <w:r w:rsidRPr="00793C29">
        <w:rPr>
          <w:rFonts w:eastAsia="Times New Roman"/>
        </w:rPr>
        <w:t xml:space="preserve"> e no </w:t>
      </w:r>
      <w:proofErr w:type="spellStart"/>
      <w:r w:rsidRPr="00793C29">
        <w:rPr>
          <w:rFonts w:eastAsia="Times New Roman"/>
        </w:rPr>
        <w:t>mundo</w:t>
      </w:r>
      <w:proofErr w:type="spellEnd"/>
      <w:r w:rsidRPr="00793C29">
        <w:rPr>
          <w:rFonts w:eastAsia="Times New Roman"/>
        </w:rPr>
        <w:t>. [</w:t>
      </w:r>
      <w:r w:rsidRPr="00793C29">
        <w:rPr>
          <w:rStyle w:val="Emphasis"/>
          <w:rFonts w:eastAsia="Times New Roman"/>
          <w:b w:val="0"/>
          <w:bCs w:val="0"/>
        </w:rPr>
        <w:t xml:space="preserve">Corynebacterium </w:t>
      </w:r>
      <w:proofErr w:type="spellStart"/>
      <w:r w:rsidRPr="00793C29">
        <w:rPr>
          <w:rStyle w:val="Emphasis"/>
          <w:rFonts w:eastAsia="Times New Roman"/>
          <w:b w:val="0"/>
          <w:bCs w:val="0"/>
        </w:rPr>
        <w:t>ulcerans</w:t>
      </w:r>
      <w:proofErr w:type="spellEnd"/>
      <w:r w:rsidRPr="00793C29">
        <w:rPr>
          <w:rFonts w:eastAsia="Times New Roman"/>
        </w:rPr>
        <w:t xml:space="preserve"> diphtheria: an </w:t>
      </w:r>
      <w:r w:rsidRPr="00793C29">
        <w:rPr>
          <w:rFonts w:eastAsia="Times New Roman"/>
        </w:rPr>
        <w:lastRenderedPageBreak/>
        <w:t xml:space="preserve">emerging zoonosis in Brazil and worldwide.] </w:t>
      </w:r>
      <w:r w:rsidRPr="00793C29">
        <w:rPr>
          <w:rStyle w:val="Emphasis"/>
          <w:rFonts w:eastAsia="Times New Roman"/>
          <w:b w:val="0"/>
          <w:bCs w:val="0"/>
        </w:rPr>
        <w:t xml:space="preserve">Rev </w:t>
      </w:r>
      <w:proofErr w:type="spellStart"/>
      <w:r w:rsidRPr="00793C29">
        <w:rPr>
          <w:rStyle w:val="Emphasis"/>
          <w:rFonts w:eastAsia="Times New Roman"/>
          <w:b w:val="0"/>
          <w:bCs w:val="0"/>
        </w:rPr>
        <w:t>Saúde</w:t>
      </w:r>
      <w:proofErr w:type="spellEnd"/>
      <w:r w:rsidRPr="00793C29">
        <w:rPr>
          <w:rStyle w:val="Emphasis"/>
          <w:rFonts w:eastAsia="Times New Roman"/>
          <w:b w:val="0"/>
          <w:bCs w:val="0"/>
        </w:rPr>
        <w:t xml:space="preserve"> </w:t>
      </w:r>
      <w:proofErr w:type="spellStart"/>
      <w:r w:rsidRPr="00793C29">
        <w:rPr>
          <w:rStyle w:val="Emphasis"/>
          <w:rFonts w:eastAsia="Times New Roman"/>
          <w:b w:val="0"/>
          <w:bCs w:val="0"/>
        </w:rPr>
        <w:t>Pública</w:t>
      </w:r>
      <w:proofErr w:type="spellEnd"/>
      <w:r w:rsidRPr="00793C29">
        <w:rPr>
          <w:rStyle w:val="Emphasis"/>
          <w:rFonts w:eastAsia="Times New Roman"/>
          <w:b w:val="0"/>
          <w:bCs w:val="0"/>
        </w:rPr>
        <w:t>.</w:t>
      </w:r>
      <w:r w:rsidRPr="00793C29">
        <w:rPr>
          <w:rFonts w:eastAsia="Times New Roman"/>
        </w:rPr>
        <w:t xml:space="preserve"> 2011;45(6):1176–91. </w:t>
      </w:r>
      <w:proofErr w:type="spellStart"/>
      <w:r w:rsidRPr="00793C29">
        <w:rPr>
          <w:rFonts w:eastAsia="Times New Roman"/>
        </w:rPr>
        <w:t>doi</w:t>
      </w:r>
      <w:proofErr w:type="spellEnd"/>
      <w:r w:rsidRPr="00793C29">
        <w:rPr>
          <w:rFonts w:eastAsia="Times New Roman"/>
        </w:rPr>
        <w:t xml:space="preserve">: https://doi.org/10.1590/S0034-89102011000600021. </w:t>
      </w:r>
    </w:p>
    <w:p w14:paraId="28A415CA" w14:textId="77777777" w:rsidR="00964C13" w:rsidRPr="00793C29" w:rsidRDefault="00964C13" w:rsidP="00793C29">
      <w:pPr>
        <w:pStyle w:val="ListParagraph"/>
        <w:numPr>
          <w:ilvl w:val="0"/>
          <w:numId w:val="10"/>
        </w:numPr>
        <w:divId w:val="1637644058"/>
        <w:rPr>
          <w:rFonts w:eastAsia="Times New Roman"/>
        </w:rPr>
      </w:pPr>
      <w:r w:rsidRPr="00793C29">
        <w:rPr>
          <w:rFonts w:eastAsia="Times New Roman"/>
        </w:rPr>
        <w:t>Koopman JS, Campbell J. The role of cutaneous diphtheria infections in a diphtheria epidemic.</w:t>
      </w:r>
      <w:r w:rsidRPr="00793C29">
        <w:rPr>
          <w:rStyle w:val="Emphasis"/>
          <w:rFonts w:eastAsia="Times New Roman"/>
          <w:b w:val="0"/>
          <w:bCs w:val="0"/>
        </w:rPr>
        <w:t xml:space="preserve"> J Infect Dis.</w:t>
      </w:r>
      <w:r w:rsidRPr="00793C29">
        <w:rPr>
          <w:rFonts w:eastAsia="Times New Roman"/>
        </w:rPr>
        <w:t xml:space="preserve"> 1975;131(3):239–44. </w:t>
      </w:r>
      <w:proofErr w:type="spellStart"/>
      <w:r w:rsidRPr="00793C29">
        <w:rPr>
          <w:rFonts w:eastAsia="Times New Roman"/>
        </w:rPr>
        <w:t>doi</w:t>
      </w:r>
      <w:proofErr w:type="spellEnd"/>
      <w:r w:rsidRPr="00793C29">
        <w:rPr>
          <w:rFonts w:eastAsia="Times New Roman"/>
        </w:rPr>
        <w:t xml:space="preserve">: https://doi.org/10.1093/infdis/131.3.239. </w:t>
      </w:r>
    </w:p>
    <w:p w14:paraId="39E4C159" w14:textId="77777777" w:rsidR="00964C13" w:rsidRPr="00793C29" w:rsidRDefault="00964C13" w:rsidP="00793C29">
      <w:pPr>
        <w:pStyle w:val="ListParagraph"/>
        <w:numPr>
          <w:ilvl w:val="0"/>
          <w:numId w:val="10"/>
        </w:numPr>
        <w:divId w:val="1637644058"/>
        <w:rPr>
          <w:rFonts w:eastAsia="Times New Roman"/>
        </w:rPr>
      </w:pPr>
      <w:proofErr w:type="spellStart"/>
      <w:r w:rsidRPr="00793C29">
        <w:rPr>
          <w:rFonts w:eastAsia="Times New Roman"/>
        </w:rPr>
        <w:t>Zakikhany</w:t>
      </w:r>
      <w:proofErr w:type="spellEnd"/>
      <w:r w:rsidRPr="00793C29">
        <w:rPr>
          <w:rFonts w:eastAsia="Times New Roman"/>
        </w:rPr>
        <w:t xml:space="preserve"> K, Neal S, </w:t>
      </w:r>
      <w:proofErr w:type="spellStart"/>
      <w:r w:rsidRPr="00793C29">
        <w:rPr>
          <w:rFonts w:eastAsia="Times New Roman"/>
        </w:rPr>
        <w:t>Efstratiou</w:t>
      </w:r>
      <w:proofErr w:type="spellEnd"/>
      <w:r w:rsidRPr="00793C29">
        <w:rPr>
          <w:rFonts w:eastAsia="Times New Roman"/>
        </w:rPr>
        <w:t xml:space="preserve"> A. </w:t>
      </w:r>
      <w:proofErr w:type="gramStart"/>
      <w:r w:rsidRPr="00793C29">
        <w:rPr>
          <w:rFonts w:eastAsia="Times New Roman"/>
        </w:rPr>
        <w:t>Emergence</w:t>
      </w:r>
      <w:proofErr w:type="gramEnd"/>
      <w:r w:rsidRPr="00793C29">
        <w:rPr>
          <w:rFonts w:eastAsia="Times New Roman"/>
        </w:rPr>
        <w:t xml:space="preserve"> and molecular characterisation of non-toxigenic tox gene-bearing </w:t>
      </w:r>
      <w:r w:rsidRPr="00793C29">
        <w:rPr>
          <w:rStyle w:val="Emphasis"/>
          <w:rFonts w:eastAsia="Times New Roman"/>
          <w:b w:val="0"/>
          <w:bCs w:val="0"/>
        </w:rPr>
        <w:t xml:space="preserve">Corynebacterium diphtheriae </w:t>
      </w:r>
      <w:r w:rsidRPr="00793C29">
        <w:rPr>
          <w:rFonts w:eastAsia="Times New Roman"/>
        </w:rPr>
        <w:t xml:space="preserve">biovar mitis in the United Kingdom, 2003–2012. </w:t>
      </w:r>
      <w:r w:rsidRPr="00793C29">
        <w:rPr>
          <w:rStyle w:val="Emphasis"/>
          <w:rFonts w:eastAsia="Times New Roman"/>
          <w:b w:val="0"/>
          <w:bCs w:val="0"/>
        </w:rPr>
        <w:t xml:space="preserve">Euro </w:t>
      </w:r>
      <w:proofErr w:type="spellStart"/>
      <w:r w:rsidRPr="00793C29">
        <w:rPr>
          <w:rStyle w:val="Emphasis"/>
          <w:rFonts w:eastAsia="Times New Roman"/>
          <w:b w:val="0"/>
          <w:bCs w:val="0"/>
        </w:rPr>
        <w:t>Surveill</w:t>
      </w:r>
      <w:proofErr w:type="spellEnd"/>
      <w:r w:rsidRPr="00793C29">
        <w:rPr>
          <w:rStyle w:val="Emphasis"/>
          <w:rFonts w:eastAsia="Times New Roman"/>
          <w:b w:val="0"/>
          <w:bCs w:val="0"/>
        </w:rPr>
        <w:t>.</w:t>
      </w:r>
      <w:r w:rsidRPr="00793C29">
        <w:rPr>
          <w:rFonts w:eastAsia="Times New Roman"/>
        </w:rPr>
        <w:t xml:space="preserve"> 2014;19(22):20819. </w:t>
      </w:r>
      <w:proofErr w:type="spellStart"/>
      <w:r w:rsidRPr="00793C29">
        <w:rPr>
          <w:rFonts w:eastAsia="Times New Roman"/>
        </w:rPr>
        <w:t>doi</w:t>
      </w:r>
      <w:proofErr w:type="spellEnd"/>
      <w:r w:rsidRPr="00793C29">
        <w:rPr>
          <w:rFonts w:eastAsia="Times New Roman"/>
        </w:rPr>
        <w:t xml:space="preserve">: https://doi.org/10.2807/1560-7917.ES2014.19.22.20819. </w:t>
      </w:r>
    </w:p>
    <w:p w14:paraId="17DA3A71" w14:textId="77777777" w:rsidR="00964C13" w:rsidRPr="00793C29" w:rsidRDefault="00964C13" w:rsidP="00793C29">
      <w:pPr>
        <w:pStyle w:val="ListParagraph"/>
        <w:numPr>
          <w:ilvl w:val="0"/>
          <w:numId w:val="10"/>
        </w:numPr>
        <w:divId w:val="1637644058"/>
        <w:rPr>
          <w:rFonts w:eastAsia="Times New Roman"/>
        </w:rPr>
      </w:pPr>
      <w:r w:rsidRPr="00793C29">
        <w:rPr>
          <w:rFonts w:eastAsia="Times New Roman"/>
        </w:rPr>
        <w:t xml:space="preserve">Queensland Health. Diphtheria: Queensland Health Guidelines for Public Health Units. [Internet.] Brisbane: Queensland Health; June 2019. [Accessed on 11 May 2023.] Available from: https://www.health.qld.gov.au/cdcg/index/diphtheria. </w:t>
      </w:r>
    </w:p>
    <w:p w14:paraId="2A00C2FD" w14:textId="77777777" w:rsidR="00964C13" w:rsidRPr="00793C29" w:rsidRDefault="00964C13" w:rsidP="00793C29">
      <w:pPr>
        <w:pStyle w:val="ListParagraph"/>
        <w:numPr>
          <w:ilvl w:val="0"/>
          <w:numId w:val="10"/>
        </w:numPr>
        <w:divId w:val="1637644058"/>
        <w:rPr>
          <w:rFonts w:eastAsia="Times New Roman"/>
        </w:rPr>
      </w:pPr>
      <w:r w:rsidRPr="00793C29">
        <w:rPr>
          <w:rFonts w:eastAsia="Times New Roman"/>
        </w:rPr>
        <w:t xml:space="preserve">Nakao H, Popovic T. Development of a direct PCR assay for detection of the diphtheria toxin gene. </w:t>
      </w:r>
      <w:r w:rsidRPr="00793C29">
        <w:rPr>
          <w:rStyle w:val="Emphasis"/>
          <w:rFonts w:eastAsia="Times New Roman"/>
          <w:b w:val="0"/>
          <w:bCs w:val="0"/>
        </w:rPr>
        <w:t xml:space="preserve">J Clin </w:t>
      </w:r>
      <w:proofErr w:type="spellStart"/>
      <w:r w:rsidRPr="00793C29">
        <w:rPr>
          <w:rStyle w:val="Emphasis"/>
          <w:rFonts w:eastAsia="Times New Roman"/>
          <w:b w:val="0"/>
          <w:bCs w:val="0"/>
        </w:rPr>
        <w:t>Microbiol</w:t>
      </w:r>
      <w:proofErr w:type="spellEnd"/>
      <w:r w:rsidRPr="00793C29">
        <w:rPr>
          <w:rStyle w:val="Emphasis"/>
          <w:rFonts w:eastAsia="Times New Roman"/>
          <w:b w:val="0"/>
          <w:bCs w:val="0"/>
        </w:rPr>
        <w:t>.</w:t>
      </w:r>
      <w:r w:rsidRPr="00793C29">
        <w:rPr>
          <w:rFonts w:eastAsia="Times New Roman"/>
        </w:rPr>
        <w:t xml:space="preserve"> 1997;35(7):1651–5. </w:t>
      </w:r>
      <w:proofErr w:type="spellStart"/>
      <w:r w:rsidRPr="00793C29">
        <w:rPr>
          <w:rFonts w:eastAsia="Times New Roman"/>
        </w:rPr>
        <w:t>doi</w:t>
      </w:r>
      <w:proofErr w:type="spellEnd"/>
      <w:r w:rsidRPr="00793C29">
        <w:rPr>
          <w:rFonts w:eastAsia="Times New Roman"/>
        </w:rPr>
        <w:t xml:space="preserve">: https://doi.org/10.1128/jcm.35.7.1651-1655.1997. </w:t>
      </w:r>
    </w:p>
    <w:p w14:paraId="7A4537C0" w14:textId="77777777" w:rsidR="00964C13" w:rsidRPr="00793C29" w:rsidRDefault="00964C13" w:rsidP="00793C29">
      <w:pPr>
        <w:pStyle w:val="ListParagraph"/>
        <w:numPr>
          <w:ilvl w:val="0"/>
          <w:numId w:val="10"/>
        </w:numPr>
        <w:divId w:val="1637644058"/>
        <w:rPr>
          <w:rFonts w:eastAsia="Times New Roman"/>
        </w:rPr>
      </w:pPr>
      <w:proofErr w:type="spellStart"/>
      <w:r w:rsidRPr="00793C29">
        <w:rPr>
          <w:rFonts w:eastAsia="Times New Roman"/>
        </w:rPr>
        <w:t>Schuhegger</w:t>
      </w:r>
      <w:proofErr w:type="spellEnd"/>
      <w:r w:rsidRPr="00793C29">
        <w:rPr>
          <w:rFonts w:eastAsia="Times New Roman"/>
        </w:rPr>
        <w:t xml:space="preserve"> R, </w:t>
      </w:r>
      <w:proofErr w:type="spellStart"/>
      <w:r w:rsidRPr="00793C29">
        <w:rPr>
          <w:rFonts w:eastAsia="Times New Roman"/>
        </w:rPr>
        <w:t>Lindermayer</w:t>
      </w:r>
      <w:proofErr w:type="spellEnd"/>
      <w:r w:rsidRPr="00793C29">
        <w:rPr>
          <w:rFonts w:eastAsia="Times New Roman"/>
        </w:rPr>
        <w:t xml:space="preserve"> M, Kugler R, </w:t>
      </w:r>
      <w:proofErr w:type="spellStart"/>
      <w:r w:rsidRPr="00793C29">
        <w:rPr>
          <w:rFonts w:eastAsia="Times New Roman"/>
        </w:rPr>
        <w:t>Heesemann</w:t>
      </w:r>
      <w:proofErr w:type="spellEnd"/>
      <w:r w:rsidRPr="00793C29">
        <w:rPr>
          <w:rFonts w:eastAsia="Times New Roman"/>
        </w:rPr>
        <w:t xml:space="preserve"> J, Busch U, Sing A. Detection of toxigenic </w:t>
      </w:r>
      <w:r w:rsidRPr="00793C29">
        <w:rPr>
          <w:rStyle w:val="Emphasis"/>
          <w:rFonts w:eastAsia="Times New Roman"/>
          <w:b w:val="0"/>
          <w:bCs w:val="0"/>
        </w:rPr>
        <w:t>Corynebacterium diphtheriae</w:t>
      </w:r>
      <w:r w:rsidRPr="00793C29">
        <w:rPr>
          <w:rFonts w:eastAsia="Times New Roman"/>
        </w:rPr>
        <w:t xml:space="preserve"> and </w:t>
      </w:r>
      <w:r w:rsidRPr="00793C29">
        <w:rPr>
          <w:rStyle w:val="Emphasis"/>
          <w:rFonts w:eastAsia="Times New Roman"/>
          <w:b w:val="0"/>
          <w:bCs w:val="0"/>
        </w:rPr>
        <w:t xml:space="preserve">Corynebacterium </w:t>
      </w:r>
      <w:proofErr w:type="spellStart"/>
      <w:r w:rsidRPr="00793C29">
        <w:rPr>
          <w:rStyle w:val="Emphasis"/>
          <w:rFonts w:eastAsia="Times New Roman"/>
          <w:b w:val="0"/>
          <w:bCs w:val="0"/>
        </w:rPr>
        <w:t>ulcerans</w:t>
      </w:r>
      <w:proofErr w:type="spellEnd"/>
      <w:r w:rsidRPr="00793C29">
        <w:rPr>
          <w:rFonts w:eastAsia="Times New Roman"/>
        </w:rPr>
        <w:t xml:space="preserve"> strains by a novel real-time PCR. </w:t>
      </w:r>
      <w:r w:rsidRPr="00793C29">
        <w:rPr>
          <w:rStyle w:val="Emphasis"/>
          <w:rFonts w:eastAsia="Times New Roman"/>
          <w:b w:val="0"/>
          <w:bCs w:val="0"/>
        </w:rPr>
        <w:t xml:space="preserve">J Clin </w:t>
      </w:r>
      <w:proofErr w:type="spellStart"/>
      <w:r w:rsidRPr="00793C29">
        <w:rPr>
          <w:rStyle w:val="Emphasis"/>
          <w:rFonts w:eastAsia="Times New Roman"/>
          <w:b w:val="0"/>
          <w:bCs w:val="0"/>
        </w:rPr>
        <w:t>Microbiol</w:t>
      </w:r>
      <w:proofErr w:type="spellEnd"/>
      <w:r w:rsidRPr="00793C29">
        <w:rPr>
          <w:rFonts w:eastAsia="Times New Roman"/>
        </w:rPr>
        <w:t xml:space="preserve">. 2008;46(8):2822–3. </w:t>
      </w:r>
      <w:proofErr w:type="spellStart"/>
      <w:r w:rsidRPr="00793C29">
        <w:rPr>
          <w:rFonts w:eastAsia="Times New Roman"/>
        </w:rPr>
        <w:t>doi</w:t>
      </w:r>
      <w:proofErr w:type="spellEnd"/>
      <w:r w:rsidRPr="00793C29">
        <w:rPr>
          <w:rFonts w:eastAsia="Times New Roman"/>
        </w:rPr>
        <w:t xml:space="preserve">: https://doi.org/10.1128/JCM.01010-08. </w:t>
      </w:r>
    </w:p>
    <w:p w14:paraId="4C78CAC4" w14:textId="77777777" w:rsidR="00964C13" w:rsidRPr="00793C29" w:rsidRDefault="00964C13" w:rsidP="00793C29">
      <w:pPr>
        <w:pStyle w:val="ListParagraph"/>
        <w:numPr>
          <w:ilvl w:val="0"/>
          <w:numId w:val="10"/>
        </w:numPr>
        <w:divId w:val="1637644058"/>
        <w:rPr>
          <w:rFonts w:eastAsia="Times New Roman"/>
        </w:rPr>
      </w:pPr>
      <w:r w:rsidRPr="00793C29">
        <w:rPr>
          <w:rFonts w:eastAsia="Times New Roman"/>
        </w:rPr>
        <w:t xml:space="preserve">Bolger AM, Lohse M, </w:t>
      </w:r>
      <w:proofErr w:type="spellStart"/>
      <w:r w:rsidRPr="00793C29">
        <w:rPr>
          <w:rFonts w:eastAsia="Times New Roman"/>
        </w:rPr>
        <w:t>Usadel</w:t>
      </w:r>
      <w:proofErr w:type="spellEnd"/>
      <w:r w:rsidRPr="00793C29">
        <w:rPr>
          <w:rFonts w:eastAsia="Times New Roman"/>
        </w:rPr>
        <w:t xml:space="preserve"> B. </w:t>
      </w:r>
      <w:proofErr w:type="spellStart"/>
      <w:r w:rsidRPr="00793C29">
        <w:rPr>
          <w:rFonts w:eastAsia="Times New Roman"/>
        </w:rPr>
        <w:t>Trimmomatic</w:t>
      </w:r>
      <w:proofErr w:type="spellEnd"/>
      <w:r w:rsidRPr="00793C29">
        <w:rPr>
          <w:rFonts w:eastAsia="Times New Roman"/>
        </w:rPr>
        <w:t xml:space="preserve">: a flexible trimmer for Illumina sequence data. </w:t>
      </w:r>
      <w:r w:rsidRPr="00793C29">
        <w:rPr>
          <w:rStyle w:val="Emphasis"/>
          <w:rFonts w:eastAsia="Times New Roman"/>
          <w:b w:val="0"/>
          <w:bCs w:val="0"/>
        </w:rPr>
        <w:t>Bioinformatics.</w:t>
      </w:r>
      <w:r w:rsidRPr="00793C29">
        <w:rPr>
          <w:rFonts w:eastAsia="Times New Roman"/>
        </w:rPr>
        <w:t xml:space="preserve"> 2014;30(15):2114–20. </w:t>
      </w:r>
      <w:proofErr w:type="spellStart"/>
      <w:r w:rsidRPr="00793C29">
        <w:rPr>
          <w:rFonts w:eastAsia="Times New Roman"/>
        </w:rPr>
        <w:t>doi</w:t>
      </w:r>
      <w:proofErr w:type="spellEnd"/>
      <w:r w:rsidRPr="00793C29">
        <w:rPr>
          <w:rFonts w:eastAsia="Times New Roman"/>
        </w:rPr>
        <w:t xml:space="preserve">: https://doi.org/10.1093/bioinformatics/btu170. </w:t>
      </w:r>
    </w:p>
    <w:p w14:paraId="5107B185" w14:textId="77777777" w:rsidR="00964C13" w:rsidRPr="00793C29" w:rsidRDefault="00964C13" w:rsidP="00793C29">
      <w:pPr>
        <w:pStyle w:val="ListParagraph"/>
        <w:numPr>
          <w:ilvl w:val="0"/>
          <w:numId w:val="10"/>
        </w:numPr>
        <w:divId w:val="1637644058"/>
        <w:rPr>
          <w:rFonts w:eastAsia="Times New Roman"/>
        </w:rPr>
      </w:pPr>
      <w:proofErr w:type="spellStart"/>
      <w:r w:rsidRPr="00793C29">
        <w:rPr>
          <w:rFonts w:eastAsia="Times New Roman"/>
        </w:rPr>
        <w:t>Bankevich</w:t>
      </w:r>
      <w:proofErr w:type="spellEnd"/>
      <w:r w:rsidRPr="00793C29">
        <w:rPr>
          <w:rFonts w:eastAsia="Times New Roman"/>
        </w:rPr>
        <w:t xml:space="preserve"> A, </w:t>
      </w:r>
      <w:proofErr w:type="spellStart"/>
      <w:r w:rsidRPr="00793C29">
        <w:rPr>
          <w:rFonts w:eastAsia="Times New Roman"/>
        </w:rPr>
        <w:t>Nurk</w:t>
      </w:r>
      <w:proofErr w:type="spellEnd"/>
      <w:r w:rsidRPr="00793C29">
        <w:rPr>
          <w:rFonts w:eastAsia="Times New Roman"/>
        </w:rPr>
        <w:t xml:space="preserve"> S, </w:t>
      </w:r>
      <w:proofErr w:type="spellStart"/>
      <w:r w:rsidRPr="00793C29">
        <w:rPr>
          <w:rFonts w:eastAsia="Times New Roman"/>
        </w:rPr>
        <w:t>Antipov</w:t>
      </w:r>
      <w:proofErr w:type="spellEnd"/>
      <w:r w:rsidRPr="00793C29">
        <w:rPr>
          <w:rFonts w:eastAsia="Times New Roman"/>
        </w:rPr>
        <w:t xml:space="preserve"> D, </w:t>
      </w:r>
      <w:proofErr w:type="spellStart"/>
      <w:r w:rsidRPr="00793C29">
        <w:rPr>
          <w:rFonts w:eastAsia="Times New Roman"/>
        </w:rPr>
        <w:t>Gurevich</w:t>
      </w:r>
      <w:proofErr w:type="spellEnd"/>
      <w:r w:rsidRPr="00793C29">
        <w:rPr>
          <w:rFonts w:eastAsia="Times New Roman"/>
        </w:rPr>
        <w:t xml:space="preserve"> AA, </w:t>
      </w:r>
      <w:proofErr w:type="spellStart"/>
      <w:r w:rsidRPr="00793C29">
        <w:rPr>
          <w:rFonts w:eastAsia="Times New Roman"/>
        </w:rPr>
        <w:t>Dvorkin</w:t>
      </w:r>
      <w:proofErr w:type="spellEnd"/>
      <w:r w:rsidRPr="00793C29">
        <w:rPr>
          <w:rFonts w:eastAsia="Times New Roman"/>
        </w:rPr>
        <w:t xml:space="preserve"> M, Kulikov AS et al. </w:t>
      </w:r>
      <w:proofErr w:type="spellStart"/>
      <w:r w:rsidRPr="00793C29">
        <w:rPr>
          <w:rFonts w:eastAsia="Times New Roman"/>
        </w:rPr>
        <w:t>SPAdes</w:t>
      </w:r>
      <w:proofErr w:type="spellEnd"/>
      <w:r w:rsidRPr="00793C29">
        <w:rPr>
          <w:rFonts w:eastAsia="Times New Roman"/>
        </w:rPr>
        <w:t xml:space="preserve">: a new genome assembly algorithm and its applications to single-cell sequencing. </w:t>
      </w:r>
      <w:r w:rsidRPr="00793C29">
        <w:rPr>
          <w:rStyle w:val="Emphasis"/>
          <w:rFonts w:eastAsia="Times New Roman"/>
          <w:b w:val="0"/>
          <w:bCs w:val="0"/>
        </w:rPr>
        <w:t xml:space="preserve">J </w:t>
      </w:r>
      <w:proofErr w:type="spellStart"/>
      <w:r w:rsidRPr="00793C29">
        <w:rPr>
          <w:rStyle w:val="Emphasis"/>
          <w:rFonts w:eastAsia="Times New Roman"/>
          <w:b w:val="0"/>
          <w:bCs w:val="0"/>
        </w:rPr>
        <w:t>Comput</w:t>
      </w:r>
      <w:proofErr w:type="spellEnd"/>
      <w:r w:rsidRPr="00793C29">
        <w:rPr>
          <w:rStyle w:val="Emphasis"/>
          <w:rFonts w:eastAsia="Times New Roman"/>
          <w:b w:val="0"/>
          <w:bCs w:val="0"/>
        </w:rPr>
        <w:t xml:space="preserve"> Biol</w:t>
      </w:r>
      <w:r w:rsidRPr="00793C29">
        <w:rPr>
          <w:rFonts w:eastAsia="Times New Roman"/>
        </w:rPr>
        <w:t xml:space="preserve">. 2012;19(5):455–77. </w:t>
      </w:r>
      <w:proofErr w:type="spellStart"/>
      <w:r w:rsidRPr="00793C29">
        <w:rPr>
          <w:rFonts w:eastAsia="Times New Roman"/>
        </w:rPr>
        <w:t>doi</w:t>
      </w:r>
      <w:proofErr w:type="spellEnd"/>
      <w:r w:rsidRPr="00793C29">
        <w:rPr>
          <w:rFonts w:eastAsia="Times New Roman"/>
        </w:rPr>
        <w:t xml:space="preserve">: https://doi.org/10.1089/cmb.2012.0021. </w:t>
      </w:r>
    </w:p>
    <w:p w14:paraId="2F321FDF" w14:textId="77777777" w:rsidR="00964C13" w:rsidRPr="00793C29" w:rsidRDefault="00964C13" w:rsidP="00793C29">
      <w:pPr>
        <w:pStyle w:val="ListParagraph"/>
        <w:numPr>
          <w:ilvl w:val="0"/>
          <w:numId w:val="10"/>
        </w:numPr>
        <w:divId w:val="1637644058"/>
        <w:rPr>
          <w:rFonts w:eastAsia="Times New Roman"/>
        </w:rPr>
      </w:pPr>
      <w:r w:rsidRPr="00793C29">
        <w:rPr>
          <w:rFonts w:eastAsia="Times New Roman"/>
        </w:rPr>
        <w:t xml:space="preserve">Bolt F, </w:t>
      </w:r>
      <w:proofErr w:type="spellStart"/>
      <w:r w:rsidRPr="00793C29">
        <w:rPr>
          <w:rFonts w:eastAsia="Times New Roman"/>
        </w:rPr>
        <w:t>Cassiday</w:t>
      </w:r>
      <w:proofErr w:type="spellEnd"/>
      <w:r w:rsidRPr="00793C29">
        <w:rPr>
          <w:rFonts w:eastAsia="Times New Roman"/>
        </w:rPr>
        <w:t xml:space="preserve"> P, </w:t>
      </w:r>
      <w:proofErr w:type="spellStart"/>
      <w:r w:rsidRPr="00793C29">
        <w:rPr>
          <w:rFonts w:eastAsia="Times New Roman"/>
        </w:rPr>
        <w:t>Tondella</w:t>
      </w:r>
      <w:proofErr w:type="spellEnd"/>
      <w:r w:rsidRPr="00793C29">
        <w:rPr>
          <w:rFonts w:eastAsia="Times New Roman"/>
        </w:rPr>
        <w:t xml:space="preserve"> ML, </w:t>
      </w:r>
      <w:proofErr w:type="spellStart"/>
      <w:r w:rsidRPr="00793C29">
        <w:rPr>
          <w:rFonts w:eastAsia="Times New Roman"/>
        </w:rPr>
        <w:t>Dezoysa</w:t>
      </w:r>
      <w:proofErr w:type="spellEnd"/>
      <w:r w:rsidRPr="00793C29">
        <w:rPr>
          <w:rFonts w:eastAsia="Times New Roman"/>
        </w:rPr>
        <w:t xml:space="preserve"> A, </w:t>
      </w:r>
      <w:proofErr w:type="spellStart"/>
      <w:r w:rsidRPr="00793C29">
        <w:rPr>
          <w:rFonts w:eastAsia="Times New Roman"/>
        </w:rPr>
        <w:t>Efstratiou</w:t>
      </w:r>
      <w:proofErr w:type="spellEnd"/>
      <w:r w:rsidRPr="00793C29">
        <w:rPr>
          <w:rFonts w:eastAsia="Times New Roman"/>
        </w:rPr>
        <w:t xml:space="preserve"> A, Sing A et al. </w:t>
      </w:r>
      <w:proofErr w:type="spellStart"/>
      <w:r w:rsidRPr="00793C29">
        <w:rPr>
          <w:rFonts w:eastAsia="Times New Roman"/>
        </w:rPr>
        <w:t>Multilocus</w:t>
      </w:r>
      <w:proofErr w:type="spellEnd"/>
      <w:r w:rsidRPr="00793C29">
        <w:rPr>
          <w:rFonts w:eastAsia="Times New Roman"/>
        </w:rPr>
        <w:t xml:space="preserve"> sequence typing </w:t>
      </w:r>
      <w:proofErr w:type="gramStart"/>
      <w:r w:rsidRPr="00793C29">
        <w:rPr>
          <w:rFonts w:eastAsia="Times New Roman"/>
        </w:rPr>
        <w:t>identifies</w:t>
      </w:r>
      <w:proofErr w:type="gramEnd"/>
      <w:r w:rsidRPr="00793C29">
        <w:rPr>
          <w:rFonts w:eastAsia="Times New Roman"/>
        </w:rPr>
        <w:t xml:space="preserve"> evidence for recombination and two distinct lineages of </w:t>
      </w:r>
      <w:r w:rsidRPr="00793C29">
        <w:rPr>
          <w:rStyle w:val="Emphasis"/>
          <w:rFonts w:eastAsia="Times New Roman"/>
          <w:b w:val="0"/>
          <w:bCs w:val="0"/>
        </w:rPr>
        <w:t>Corynebacterium diphtheriae</w:t>
      </w:r>
      <w:r w:rsidRPr="00793C29">
        <w:rPr>
          <w:rFonts w:eastAsia="Times New Roman"/>
        </w:rPr>
        <w:t xml:space="preserve">. </w:t>
      </w:r>
      <w:r w:rsidRPr="00793C29">
        <w:rPr>
          <w:rStyle w:val="Emphasis"/>
          <w:rFonts w:eastAsia="Times New Roman"/>
          <w:b w:val="0"/>
          <w:bCs w:val="0"/>
        </w:rPr>
        <w:t xml:space="preserve">J Clin </w:t>
      </w:r>
      <w:proofErr w:type="spellStart"/>
      <w:r w:rsidRPr="00793C29">
        <w:rPr>
          <w:rStyle w:val="Emphasis"/>
          <w:rFonts w:eastAsia="Times New Roman"/>
          <w:b w:val="0"/>
          <w:bCs w:val="0"/>
        </w:rPr>
        <w:t>Microbiol</w:t>
      </w:r>
      <w:proofErr w:type="spellEnd"/>
      <w:r w:rsidRPr="00793C29">
        <w:rPr>
          <w:rFonts w:eastAsia="Times New Roman"/>
        </w:rPr>
        <w:t xml:space="preserve">. 2010;48(11):4177–85. </w:t>
      </w:r>
      <w:proofErr w:type="spellStart"/>
      <w:r w:rsidRPr="00793C29">
        <w:rPr>
          <w:rFonts w:eastAsia="Times New Roman"/>
        </w:rPr>
        <w:t>doi</w:t>
      </w:r>
      <w:proofErr w:type="spellEnd"/>
      <w:r w:rsidRPr="00793C29">
        <w:rPr>
          <w:rFonts w:eastAsia="Times New Roman"/>
        </w:rPr>
        <w:t xml:space="preserve">: https://doi.org/10.1128/JCM.00274-10. </w:t>
      </w:r>
    </w:p>
    <w:p w14:paraId="30FD7EB6" w14:textId="77777777" w:rsidR="00964C13" w:rsidRPr="00793C29" w:rsidRDefault="00964C13" w:rsidP="00793C29">
      <w:pPr>
        <w:pStyle w:val="ListParagraph"/>
        <w:numPr>
          <w:ilvl w:val="0"/>
          <w:numId w:val="10"/>
        </w:numPr>
        <w:divId w:val="1637644058"/>
        <w:rPr>
          <w:rFonts w:eastAsia="Times New Roman"/>
        </w:rPr>
      </w:pPr>
      <w:r w:rsidRPr="00793C29">
        <w:rPr>
          <w:rFonts w:eastAsia="Times New Roman"/>
        </w:rPr>
        <w:t xml:space="preserve">Seemann T. </w:t>
      </w:r>
      <w:r w:rsidRPr="00793C29">
        <w:rPr>
          <w:rStyle w:val="Emphasis"/>
          <w:rFonts w:eastAsia="Times New Roman"/>
          <w:b w:val="0"/>
          <w:bCs w:val="0"/>
        </w:rPr>
        <w:t>Snippy.</w:t>
      </w:r>
      <w:r w:rsidRPr="00793C29">
        <w:rPr>
          <w:rFonts w:eastAsia="Times New Roman"/>
        </w:rPr>
        <w:t xml:space="preserve"> San Francisco: </w:t>
      </w:r>
      <w:proofErr w:type="spellStart"/>
      <w:r w:rsidRPr="00793C29">
        <w:rPr>
          <w:rFonts w:eastAsia="Times New Roman"/>
        </w:rPr>
        <w:t>Github</w:t>
      </w:r>
      <w:proofErr w:type="spellEnd"/>
      <w:r w:rsidRPr="00793C29">
        <w:rPr>
          <w:rFonts w:eastAsia="Times New Roman"/>
        </w:rPr>
        <w:t>; February 24</w:t>
      </w:r>
      <w:proofErr w:type="gramStart"/>
      <w:r w:rsidRPr="00793C29">
        <w:rPr>
          <w:rFonts w:eastAsia="Times New Roman"/>
        </w:rPr>
        <w:t xml:space="preserve"> 2023</w:t>
      </w:r>
      <w:proofErr w:type="gramEnd"/>
      <w:r w:rsidRPr="00793C29">
        <w:rPr>
          <w:rFonts w:eastAsia="Times New Roman"/>
        </w:rPr>
        <w:t>. [Accessed on March 1</w:t>
      </w:r>
      <w:proofErr w:type="gramStart"/>
      <w:r w:rsidRPr="00793C29">
        <w:rPr>
          <w:rFonts w:eastAsia="Times New Roman"/>
        </w:rPr>
        <w:t xml:space="preserve"> 2023</w:t>
      </w:r>
      <w:proofErr w:type="gramEnd"/>
      <w:r w:rsidRPr="00793C29">
        <w:rPr>
          <w:rFonts w:eastAsia="Times New Roman"/>
        </w:rPr>
        <w:t xml:space="preserve">.] Available from: https://github.com/tseemann/snippy. </w:t>
      </w:r>
    </w:p>
    <w:p w14:paraId="07F2D7A6" w14:textId="77777777" w:rsidR="00964C13" w:rsidRPr="00793C29" w:rsidRDefault="00964C13" w:rsidP="00793C29">
      <w:pPr>
        <w:pStyle w:val="ListParagraph"/>
        <w:numPr>
          <w:ilvl w:val="0"/>
          <w:numId w:val="10"/>
        </w:numPr>
        <w:divId w:val="1637644058"/>
        <w:rPr>
          <w:rFonts w:eastAsia="Times New Roman"/>
        </w:rPr>
      </w:pPr>
      <w:r w:rsidRPr="00793C29">
        <w:rPr>
          <w:rFonts w:eastAsia="Times New Roman"/>
        </w:rPr>
        <w:t xml:space="preserve">Konrad R, </w:t>
      </w:r>
      <w:proofErr w:type="spellStart"/>
      <w:r w:rsidRPr="00793C29">
        <w:rPr>
          <w:rFonts w:eastAsia="Times New Roman"/>
        </w:rPr>
        <w:t>Hörmansdorfer</w:t>
      </w:r>
      <w:proofErr w:type="spellEnd"/>
      <w:r w:rsidRPr="00793C29">
        <w:rPr>
          <w:rFonts w:eastAsia="Times New Roman"/>
        </w:rPr>
        <w:t xml:space="preserve"> S, Sing A. Possible human-to-human transmission of toxigenic </w:t>
      </w:r>
      <w:r w:rsidRPr="00793C29">
        <w:rPr>
          <w:rStyle w:val="Emphasis"/>
          <w:rFonts w:eastAsia="Times New Roman"/>
          <w:b w:val="0"/>
          <w:bCs w:val="0"/>
        </w:rPr>
        <w:t xml:space="preserve">Corynebacterium </w:t>
      </w:r>
      <w:proofErr w:type="spellStart"/>
      <w:r w:rsidRPr="00793C29">
        <w:rPr>
          <w:rStyle w:val="Emphasis"/>
          <w:rFonts w:eastAsia="Times New Roman"/>
          <w:b w:val="0"/>
          <w:bCs w:val="0"/>
        </w:rPr>
        <w:t>ulcerans</w:t>
      </w:r>
      <w:proofErr w:type="spellEnd"/>
      <w:r w:rsidRPr="00793C29">
        <w:rPr>
          <w:rFonts w:eastAsia="Times New Roman"/>
        </w:rPr>
        <w:t xml:space="preserve">. </w:t>
      </w:r>
      <w:r w:rsidRPr="00793C29">
        <w:rPr>
          <w:rStyle w:val="Emphasis"/>
          <w:rFonts w:eastAsia="Times New Roman"/>
          <w:b w:val="0"/>
          <w:bCs w:val="0"/>
        </w:rPr>
        <w:t xml:space="preserve">Clin </w:t>
      </w:r>
      <w:proofErr w:type="spellStart"/>
      <w:r w:rsidRPr="00793C29">
        <w:rPr>
          <w:rStyle w:val="Emphasis"/>
          <w:rFonts w:eastAsia="Times New Roman"/>
          <w:b w:val="0"/>
          <w:bCs w:val="0"/>
        </w:rPr>
        <w:t>Microbiol</w:t>
      </w:r>
      <w:proofErr w:type="spellEnd"/>
      <w:r w:rsidRPr="00793C29">
        <w:rPr>
          <w:rStyle w:val="Emphasis"/>
          <w:rFonts w:eastAsia="Times New Roman"/>
          <w:b w:val="0"/>
          <w:bCs w:val="0"/>
        </w:rPr>
        <w:t xml:space="preserve"> Infect</w:t>
      </w:r>
      <w:r w:rsidRPr="00793C29">
        <w:rPr>
          <w:rFonts w:eastAsia="Times New Roman"/>
        </w:rPr>
        <w:t xml:space="preserve">. 2015;21(8):768–71. </w:t>
      </w:r>
      <w:proofErr w:type="spellStart"/>
      <w:r w:rsidRPr="00793C29">
        <w:rPr>
          <w:rFonts w:eastAsia="Times New Roman"/>
        </w:rPr>
        <w:t>doi</w:t>
      </w:r>
      <w:proofErr w:type="spellEnd"/>
      <w:r w:rsidRPr="00793C29">
        <w:rPr>
          <w:rFonts w:eastAsia="Times New Roman"/>
        </w:rPr>
        <w:t xml:space="preserve">: https://doi.org/10.1016/j.cmi.2015.05.021. </w:t>
      </w:r>
    </w:p>
    <w:p w14:paraId="0A47B261" w14:textId="77777777" w:rsidR="00964C13" w:rsidRPr="00793C29" w:rsidRDefault="00964C13" w:rsidP="00793C29">
      <w:pPr>
        <w:pStyle w:val="ListParagraph"/>
        <w:numPr>
          <w:ilvl w:val="0"/>
          <w:numId w:val="10"/>
        </w:numPr>
        <w:divId w:val="1637644058"/>
        <w:rPr>
          <w:rFonts w:eastAsia="Times New Roman"/>
        </w:rPr>
      </w:pPr>
      <w:r w:rsidRPr="00793C29">
        <w:rPr>
          <w:rFonts w:eastAsia="Times New Roman"/>
        </w:rPr>
        <w:t xml:space="preserve">Thomas A, </w:t>
      </w:r>
      <w:proofErr w:type="spellStart"/>
      <w:r w:rsidRPr="00793C29">
        <w:rPr>
          <w:rFonts w:eastAsia="Times New Roman"/>
        </w:rPr>
        <w:t>Slifka</w:t>
      </w:r>
      <w:proofErr w:type="spellEnd"/>
      <w:r w:rsidRPr="00793C29">
        <w:rPr>
          <w:rFonts w:eastAsia="Times New Roman"/>
        </w:rPr>
        <w:t xml:space="preserve"> AM, Hendrickson SM, </w:t>
      </w:r>
      <w:proofErr w:type="spellStart"/>
      <w:r w:rsidRPr="00793C29">
        <w:rPr>
          <w:rFonts w:eastAsia="Times New Roman"/>
        </w:rPr>
        <w:t>Amanna</w:t>
      </w:r>
      <w:proofErr w:type="spellEnd"/>
      <w:r w:rsidRPr="00793C29">
        <w:rPr>
          <w:rFonts w:eastAsia="Times New Roman"/>
        </w:rPr>
        <w:t xml:space="preserve"> IJ, </w:t>
      </w:r>
      <w:proofErr w:type="spellStart"/>
      <w:r w:rsidRPr="00793C29">
        <w:rPr>
          <w:rFonts w:eastAsia="Times New Roman"/>
        </w:rPr>
        <w:t>Slifka</w:t>
      </w:r>
      <w:proofErr w:type="spellEnd"/>
      <w:r w:rsidRPr="00793C29">
        <w:rPr>
          <w:rFonts w:eastAsia="Times New Roman"/>
        </w:rPr>
        <w:t xml:space="preserve"> MK. Active circulation of </w:t>
      </w:r>
      <w:r w:rsidRPr="00793C29">
        <w:rPr>
          <w:rStyle w:val="Emphasis"/>
          <w:rFonts w:eastAsia="Times New Roman"/>
          <w:b w:val="0"/>
          <w:bCs w:val="0"/>
        </w:rPr>
        <w:t xml:space="preserve">Corynebacterium </w:t>
      </w:r>
      <w:proofErr w:type="spellStart"/>
      <w:r w:rsidRPr="00793C29">
        <w:rPr>
          <w:rStyle w:val="Emphasis"/>
          <w:rFonts w:eastAsia="Times New Roman"/>
          <w:b w:val="0"/>
          <w:bCs w:val="0"/>
        </w:rPr>
        <w:t>ulcerans</w:t>
      </w:r>
      <w:proofErr w:type="spellEnd"/>
      <w:r w:rsidRPr="00793C29">
        <w:rPr>
          <w:rFonts w:eastAsia="Times New Roman"/>
        </w:rPr>
        <w:t xml:space="preserve"> among nonhuman primates. </w:t>
      </w:r>
      <w:proofErr w:type="spellStart"/>
      <w:r w:rsidRPr="00793C29">
        <w:rPr>
          <w:rStyle w:val="Emphasis"/>
          <w:rFonts w:eastAsia="Times New Roman"/>
          <w:b w:val="0"/>
          <w:bCs w:val="0"/>
        </w:rPr>
        <w:t>Microbiol</w:t>
      </w:r>
      <w:proofErr w:type="spellEnd"/>
      <w:r w:rsidRPr="00793C29">
        <w:rPr>
          <w:rStyle w:val="Emphasis"/>
          <w:rFonts w:eastAsia="Times New Roman"/>
          <w:b w:val="0"/>
          <w:bCs w:val="0"/>
        </w:rPr>
        <w:t xml:space="preserve"> </w:t>
      </w:r>
      <w:proofErr w:type="spellStart"/>
      <w:r w:rsidRPr="00793C29">
        <w:rPr>
          <w:rStyle w:val="Emphasis"/>
          <w:rFonts w:eastAsia="Times New Roman"/>
          <w:b w:val="0"/>
          <w:bCs w:val="0"/>
        </w:rPr>
        <w:t>Spectr</w:t>
      </w:r>
      <w:proofErr w:type="spellEnd"/>
      <w:r w:rsidRPr="00793C29">
        <w:rPr>
          <w:rFonts w:eastAsia="Times New Roman"/>
        </w:rPr>
        <w:t>. 2022;10(4</w:t>
      </w:r>
      <w:proofErr w:type="gramStart"/>
      <w:r w:rsidRPr="00793C29">
        <w:rPr>
          <w:rFonts w:eastAsia="Times New Roman"/>
        </w:rPr>
        <w:t>):e</w:t>
      </w:r>
      <w:proofErr w:type="gramEnd"/>
      <w:r w:rsidRPr="00793C29">
        <w:rPr>
          <w:rFonts w:eastAsia="Times New Roman"/>
        </w:rPr>
        <w:t xml:space="preserve">0089422. </w:t>
      </w:r>
      <w:proofErr w:type="spellStart"/>
      <w:r w:rsidRPr="00793C29">
        <w:rPr>
          <w:rFonts w:eastAsia="Times New Roman"/>
        </w:rPr>
        <w:t>doi</w:t>
      </w:r>
      <w:proofErr w:type="spellEnd"/>
      <w:r w:rsidRPr="00793C29">
        <w:rPr>
          <w:rFonts w:eastAsia="Times New Roman"/>
        </w:rPr>
        <w:t xml:space="preserve">: https://doi.org/10.1128/spectrum.00894-22. </w:t>
      </w:r>
    </w:p>
    <w:p w14:paraId="7B92FA1E" w14:textId="77777777" w:rsidR="00964C13" w:rsidRPr="00793C29" w:rsidRDefault="00964C13" w:rsidP="00793C29">
      <w:pPr>
        <w:pStyle w:val="ListParagraph"/>
        <w:numPr>
          <w:ilvl w:val="0"/>
          <w:numId w:val="10"/>
        </w:numPr>
        <w:divId w:val="1637644058"/>
        <w:rPr>
          <w:rFonts w:eastAsia="Times New Roman"/>
        </w:rPr>
      </w:pPr>
      <w:r w:rsidRPr="00793C29">
        <w:rPr>
          <w:rFonts w:eastAsia="Times New Roman"/>
        </w:rPr>
        <w:t xml:space="preserve">Martini H, </w:t>
      </w:r>
      <w:proofErr w:type="spellStart"/>
      <w:r w:rsidRPr="00793C29">
        <w:rPr>
          <w:rFonts w:eastAsia="Times New Roman"/>
        </w:rPr>
        <w:t>Soetens</w:t>
      </w:r>
      <w:proofErr w:type="spellEnd"/>
      <w:r w:rsidRPr="00793C29">
        <w:rPr>
          <w:rFonts w:eastAsia="Times New Roman"/>
        </w:rPr>
        <w:t xml:space="preserve"> O, </w:t>
      </w:r>
      <w:proofErr w:type="spellStart"/>
      <w:r w:rsidRPr="00793C29">
        <w:rPr>
          <w:rFonts w:eastAsia="Times New Roman"/>
        </w:rPr>
        <w:t>Litt</w:t>
      </w:r>
      <w:proofErr w:type="spellEnd"/>
      <w:r w:rsidRPr="00793C29">
        <w:rPr>
          <w:rFonts w:eastAsia="Times New Roman"/>
        </w:rPr>
        <w:t xml:space="preserve"> D, Fry NK, </w:t>
      </w:r>
      <w:proofErr w:type="spellStart"/>
      <w:r w:rsidRPr="00793C29">
        <w:rPr>
          <w:rFonts w:eastAsia="Times New Roman"/>
        </w:rPr>
        <w:t>Detemmerman</w:t>
      </w:r>
      <w:proofErr w:type="spellEnd"/>
      <w:r w:rsidRPr="00793C29">
        <w:rPr>
          <w:rFonts w:eastAsia="Times New Roman"/>
        </w:rPr>
        <w:t xml:space="preserve"> L, </w:t>
      </w:r>
      <w:proofErr w:type="spellStart"/>
      <w:r w:rsidRPr="00793C29">
        <w:rPr>
          <w:rFonts w:eastAsia="Times New Roman"/>
        </w:rPr>
        <w:t>Wybo</w:t>
      </w:r>
      <w:proofErr w:type="spellEnd"/>
      <w:r w:rsidRPr="00793C29">
        <w:rPr>
          <w:rFonts w:eastAsia="Times New Roman"/>
        </w:rPr>
        <w:t xml:space="preserve"> I et al. Diphtheria in Belgium: 2010–2017. </w:t>
      </w:r>
      <w:r w:rsidRPr="00793C29">
        <w:rPr>
          <w:rStyle w:val="Emphasis"/>
          <w:rFonts w:eastAsia="Times New Roman"/>
          <w:b w:val="0"/>
          <w:bCs w:val="0"/>
        </w:rPr>
        <w:t xml:space="preserve">J Med </w:t>
      </w:r>
      <w:proofErr w:type="spellStart"/>
      <w:r w:rsidRPr="00793C29">
        <w:rPr>
          <w:rStyle w:val="Emphasis"/>
          <w:rFonts w:eastAsia="Times New Roman"/>
          <w:b w:val="0"/>
          <w:bCs w:val="0"/>
        </w:rPr>
        <w:t>Microbiol</w:t>
      </w:r>
      <w:proofErr w:type="spellEnd"/>
      <w:r w:rsidRPr="00793C29">
        <w:rPr>
          <w:rFonts w:eastAsia="Times New Roman"/>
        </w:rPr>
        <w:t xml:space="preserve">. 2019;68(10):1517–25. </w:t>
      </w:r>
      <w:proofErr w:type="spellStart"/>
      <w:r w:rsidRPr="00793C29">
        <w:rPr>
          <w:rFonts w:eastAsia="Times New Roman"/>
        </w:rPr>
        <w:t>doi</w:t>
      </w:r>
      <w:proofErr w:type="spellEnd"/>
      <w:r w:rsidRPr="00793C29">
        <w:rPr>
          <w:rFonts w:eastAsia="Times New Roman"/>
        </w:rPr>
        <w:t xml:space="preserve">: https://doi.org/10.1099/jmm.0.001039. </w:t>
      </w:r>
    </w:p>
    <w:p w14:paraId="50924AA8" w14:textId="77777777" w:rsidR="00964C13" w:rsidRPr="00793C29" w:rsidRDefault="00964C13" w:rsidP="00793C29">
      <w:pPr>
        <w:pStyle w:val="ListParagraph"/>
        <w:numPr>
          <w:ilvl w:val="0"/>
          <w:numId w:val="10"/>
        </w:numPr>
        <w:divId w:val="1637644058"/>
        <w:rPr>
          <w:rFonts w:eastAsia="Times New Roman"/>
        </w:rPr>
      </w:pPr>
      <w:r w:rsidRPr="00793C29">
        <w:rPr>
          <w:rFonts w:eastAsia="Times New Roman"/>
        </w:rPr>
        <w:t xml:space="preserve">König C, </w:t>
      </w:r>
      <w:proofErr w:type="spellStart"/>
      <w:r w:rsidRPr="00793C29">
        <w:rPr>
          <w:rFonts w:eastAsia="Times New Roman"/>
        </w:rPr>
        <w:t>Meinel</w:t>
      </w:r>
      <w:proofErr w:type="spellEnd"/>
      <w:r w:rsidRPr="00793C29">
        <w:rPr>
          <w:rFonts w:eastAsia="Times New Roman"/>
        </w:rPr>
        <w:t xml:space="preserve"> DM, </w:t>
      </w:r>
      <w:proofErr w:type="spellStart"/>
      <w:r w:rsidRPr="00793C29">
        <w:rPr>
          <w:rFonts w:eastAsia="Times New Roman"/>
        </w:rPr>
        <w:t>Margos</w:t>
      </w:r>
      <w:proofErr w:type="spellEnd"/>
      <w:r w:rsidRPr="00793C29">
        <w:rPr>
          <w:rFonts w:eastAsia="Times New Roman"/>
        </w:rPr>
        <w:t xml:space="preserve"> G, Konrad R, Sing A. </w:t>
      </w:r>
      <w:proofErr w:type="spellStart"/>
      <w:r w:rsidRPr="00793C29">
        <w:rPr>
          <w:rFonts w:eastAsia="Times New Roman"/>
        </w:rPr>
        <w:t>Multilocus</w:t>
      </w:r>
      <w:proofErr w:type="spellEnd"/>
      <w:r w:rsidRPr="00793C29">
        <w:rPr>
          <w:rFonts w:eastAsia="Times New Roman"/>
        </w:rPr>
        <w:t xml:space="preserve"> sequence typing of </w:t>
      </w:r>
      <w:r w:rsidRPr="00793C29">
        <w:rPr>
          <w:rStyle w:val="Emphasis"/>
          <w:rFonts w:eastAsia="Times New Roman"/>
          <w:b w:val="0"/>
          <w:bCs w:val="0"/>
        </w:rPr>
        <w:t xml:space="preserve">Corynebacterium </w:t>
      </w:r>
      <w:proofErr w:type="spellStart"/>
      <w:r w:rsidRPr="00793C29">
        <w:rPr>
          <w:rStyle w:val="Emphasis"/>
          <w:rFonts w:eastAsia="Times New Roman"/>
          <w:b w:val="0"/>
          <w:bCs w:val="0"/>
        </w:rPr>
        <w:t>ulcerans</w:t>
      </w:r>
      <w:proofErr w:type="spellEnd"/>
      <w:r w:rsidRPr="00793C29">
        <w:rPr>
          <w:rFonts w:eastAsia="Times New Roman"/>
        </w:rPr>
        <w:t xml:space="preserve"> </w:t>
      </w:r>
      <w:proofErr w:type="gramStart"/>
      <w:r w:rsidRPr="00793C29">
        <w:rPr>
          <w:rFonts w:eastAsia="Times New Roman"/>
        </w:rPr>
        <w:t>provides</w:t>
      </w:r>
      <w:proofErr w:type="gramEnd"/>
      <w:r w:rsidRPr="00793C29">
        <w:rPr>
          <w:rFonts w:eastAsia="Times New Roman"/>
        </w:rPr>
        <w:t xml:space="preserve"> evidence for zoonotic transmission and for increased prevalence of certain sequence types among toxigenic strains. </w:t>
      </w:r>
      <w:r w:rsidRPr="00793C29">
        <w:rPr>
          <w:rStyle w:val="Emphasis"/>
          <w:rFonts w:eastAsia="Times New Roman"/>
          <w:b w:val="0"/>
          <w:bCs w:val="0"/>
        </w:rPr>
        <w:t xml:space="preserve">J Clin </w:t>
      </w:r>
      <w:proofErr w:type="spellStart"/>
      <w:r w:rsidRPr="00793C29">
        <w:rPr>
          <w:rStyle w:val="Emphasis"/>
          <w:rFonts w:eastAsia="Times New Roman"/>
          <w:b w:val="0"/>
          <w:bCs w:val="0"/>
        </w:rPr>
        <w:t>Microbiol</w:t>
      </w:r>
      <w:proofErr w:type="spellEnd"/>
      <w:r w:rsidRPr="00793C29">
        <w:rPr>
          <w:rFonts w:eastAsia="Times New Roman"/>
        </w:rPr>
        <w:t xml:space="preserve">. 2014;52(12):4318–24. </w:t>
      </w:r>
      <w:proofErr w:type="spellStart"/>
      <w:r w:rsidRPr="00793C29">
        <w:rPr>
          <w:rFonts w:eastAsia="Times New Roman"/>
        </w:rPr>
        <w:t>doi</w:t>
      </w:r>
      <w:proofErr w:type="spellEnd"/>
      <w:r w:rsidRPr="00793C29">
        <w:rPr>
          <w:rFonts w:eastAsia="Times New Roman"/>
        </w:rPr>
        <w:t xml:space="preserve">: https://doi.org/10.1128/JCM.02291-14. </w:t>
      </w:r>
    </w:p>
    <w:p w14:paraId="1746EF51" w14:textId="77777777" w:rsidR="00964C13" w:rsidRPr="00793C29" w:rsidRDefault="00964C13" w:rsidP="00793C29">
      <w:pPr>
        <w:pStyle w:val="ListParagraph"/>
        <w:numPr>
          <w:ilvl w:val="0"/>
          <w:numId w:val="10"/>
        </w:numPr>
        <w:divId w:val="1637644058"/>
        <w:rPr>
          <w:rFonts w:eastAsia="Times New Roman"/>
        </w:rPr>
      </w:pPr>
      <w:proofErr w:type="spellStart"/>
      <w:r w:rsidRPr="00793C29">
        <w:rPr>
          <w:rFonts w:eastAsia="Times New Roman"/>
        </w:rPr>
        <w:t>Carfora</w:t>
      </w:r>
      <w:proofErr w:type="spellEnd"/>
      <w:r w:rsidRPr="00793C29">
        <w:rPr>
          <w:rFonts w:eastAsia="Times New Roman"/>
        </w:rPr>
        <w:t xml:space="preserve"> V, </w:t>
      </w:r>
      <w:proofErr w:type="spellStart"/>
      <w:r w:rsidRPr="00793C29">
        <w:rPr>
          <w:rFonts w:eastAsia="Times New Roman"/>
        </w:rPr>
        <w:t>Scarampella</w:t>
      </w:r>
      <w:proofErr w:type="spellEnd"/>
      <w:r w:rsidRPr="00793C29">
        <w:rPr>
          <w:rFonts w:eastAsia="Times New Roman"/>
        </w:rPr>
        <w:t xml:space="preserve"> F, </w:t>
      </w:r>
      <w:proofErr w:type="spellStart"/>
      <w:r w:rsidRPr="00793C29">
        <w:rPr>
          <w:rFonts w:eastAsia="Times New Roman"/>
        </w:rPr>
        <w:t>Iurescia</w:t>
      </w:r>
      <w:proofErr w:type="spellEnd"/>
      <w:r w:rsidRPr="00793C29">
        <w:rPr>
          <w:rFonts w:eastAsia="Times New Roman"/>
        </w:rPr>
        <w:t xml:space="preserve"> M, </w:t>
      </w:r>
      <w:proofErr w:type="spellStart"/>
      <w:r w:rsidRPr="00793C29">
        <w:rPr>
          <w:rFonts w:eastAsia="Times New Roman"/>
        </w:rPr>
        <w:t>Donati</w:t>
      </w:r>
      <w:proofErr w:type="spellEnd"/>
      <w:r w:rsidRPr="00793C29">
        <w:rPr>
          <w:rFonts w:eastAsia="Times New Roman"/>
        </w:rPr>
        <w:t xml:space="preserve"> V, </w:t>
      </w:r>
      <w:proofErr w:type="spellStart"/>
      <w:r w:rsidRPr="00793C29">
        <w:rPr>
          <w:rFonts w:eastAsia="Times New Roman"/>
        </w:rPr>
        <w:t>Stravino</w:t>
      </w:r>
      <w:proofErr w:type="spellEnd"/>
      <w:r w:rsidRPr="00793C29">
        <w:rPr>
          <w:rFonts w:eastAsia="Times New Roman"/>
        </w:rPr>
        <w:t xml:space="preserve"> F, Lorenzetti S et al. Non-toxigenic </w:t>
      </w:r>
      <w:r w:rsidRPr="00793C29">
        <w:rPr>
          <w:rStyle w:val="Emphasis"/>
          <w:rFonts w:eastAsia="Times New Roman"/>
          <w:b w:val="0"/>
          <w:bCs w:val="0"/>
        </w:rPr>
        <w:t xml:space="preserve">Corynebacterium </w:t>
      </w:r>
      <w:proofErr w:type="spellStart"/>
      <w:r w:rsidRPr="00793C29">
        <w:rPr>
          <w:rStyle w:val="Emphasis"/>
          <w:rFonts w:eastAsia="Times New Roman"/>
          <w:b w:val="0"/>
          <w:bCs w:val="0"/>
        </w:rPr>
        <w:t>ulcerans</w:t>
      </w:r>
      <w:proofErr w:type="spellEnd"/>
      <w:r w:rsidRPr="00793C29">
        <w:rPr>
          <w:rFonts w:eastAsia="Times New Roman"/>
        </w:rPr>
        <w:t xml:space="preserve"> sequence types 325 and 339 isolated from two dogs with ulcerative lesions in Italy. </w:t>
      </w:r>
      <w:r w:rsidRPr="00793C29">
        <w:rPr>
          <w:rStyle w:val="Emphasis"/>
          <w:rFonts w:eastAsia="Times New Roman"/>
          <w:b w:val="0"/>
          <w:bCs w:val="0"/>
        </w:rPr>
        <w:t xml:space="preserve">J Vet </w:t>
      </w:r>
      <w:proofErr w:type="spellStart"/>
      <w:r w:rsidRPr="00793C29">
        <w:rPr>
          <w:rStyle w:val="Emphasis"/>
          <w:rFonts w:eastAsia="Times New Roman"/>
          <w:b w:val="0"/>
          <w:bCs w:val="0"/>
        </w:rPr>
        <w:t>Diagn</w:t>
      </w:r>
      <w:proofErr w:type="spellEnd"/>
      <w:r w:rsidRPr="00793C29">
        <w:rPr>
          <w:rStyle w:val="Emphasis"/>
          <w:rFonts w:eastAsia="Times New Roman"/>
          <w:b w:val="0"/>
          <w:bCs w:val="0"/>
        </w:rPr>
        <w:t xml:space="preserve"> Invest</w:t>
      </w:r>
      <w:r w:rsidRPr="00793C29">
        <w:rPr>
          <w:rFonts w:eastAsia="Times New Roman"/>
        </w:rPr>
        <w:t xml:space="preserve">. 2018;30(3):447–50. </w:t>
      </w:r>
      <w:proofErr w:type="spellStart"/>
      <w:r w:rsidRPr="00793C29">
        <w:rPr>
          <w:rFonts w:eastAsia="Times New Roman"/>
        </w:rPr>
        <w:t>doi</w:t>
      </w:r>
      <w:proofErr w:type="spellEnd"/>
      <w:r w:rsidRPr="00793C29">
        <w:rPr>
          <w:rFonts w:eastAsia="Times New Roman"/>
        </w:rPr>
        <w:t xml:space="preserve">: https://doi.org/10.1177/1040638718764786. </w:t>
      </w:r>
    </w:p>
    <w:p w14:paraId="1757B990" w14:textId="77777777" w:rsidR="00964C13" w:rsidRPr="00793C29" w:rsidRDefault="00964C13" w:rsidP="00793C29">
      <w:pPr>
        <w:pStyle w:val="ListParagraph"/>
        <w:numPr>
          <w:ilvl w:val="0"/>
          <w:numId w:val="10"/>
        </w:numPr>
        <w:divId w:val="1637644058"/>
        <w:rPr>
          <w:rFonts w:eastAsia="Times New Roman"/>
        </w:rPr>
      </w:pPr>
      <w:r w:rsidRPr="00793C29">
        <w:rPr>
          <w:rFonts w:eastAsia="Times New Roman"/>
        </w:rPr>
        <w:t xml:space="preserve">Hoefer A, </w:t>
      </w:r>
      <w:proofErr w:type="spellStart"/>
      <w:r w:rsidRPr="00793C29">
        <w:rPr>
          <w:rFonts w:eastAsia="Times New Roman"/>
        </w:rPr>
        <w:t>Pampaka</w:t>
      </w:r>
      <w:proofErr w:type="spellEnd"/>
      <w:r w:rsidRPr="00793C29">
        <w:rPr>
          <w:rFonts w:eastAsia="Times New Roman"/>
        </w:rPr>
        <w:t xml:space="preserve"> D, Herrera-León S, </w:t>
      </w:r>
      <w:proofErr w:type="spellStart"/>
      <w:r w:rsidRPr="00793C29">
        <w:rPr>
          <w:rFonts w:eastAsia="Times New Roman"/>
        </w:rPr>
        <w:t>Peiró</w:t>
      </w:r>
      <w:proofErr w:type="spellEnd"/>
      <w:r w:rsidRPr="00793C29">
        <w:rPr>
          <w:rFonts w:eastAsia="Times New Roman"/>
        </w:rPr>
        <w:t xml:space="preserve"> S, </w:t>
      </w:r>
      <w:proofErr w:type="spellStart"/>
      <w:r w:rsidRPr="00793C29">
        <w:rPr>
          <w:rFonts w:eastAsia="Times New Roman"/>
        </w:rPr>
        <w:t>Varona</w:t>
      </w:r>
      <w:proofErr w:type="spellEnd"/>
      <w:r w:rsidRPr="00793C29">
        <w:rPr>
          <w:rFonts w:eastAsia="Times New Roman"/>
        </w:rPr>
        <w:t xml:space="preserve"> S, López-</w:t>
      </w:r>
      <w:proofErr w:type="spellStart"/>
      <w:r w:rsidRPr="00793C29">
        <w:rPr>
          <w:rFonts w:eastAsia="Times New Roman"/>
        </w:rPr>
        <w:t>Perea</w:t>
      </w:r>
      <w:proofErr w:type="spellEnd"/>
      <w:r w:rsidRPr="00793C29">
        <w:rPr>
          <w:rFonts w:eastAsia="Times New Roman"/>
        </w:rPr>
        <w:t xml:space="preserve"> N et al. Molecular and epidemiological characterization of toxigenic and nontoxigenic </w:t>
      </w:r>
      <w:r w:rsidRPr="00793C29">
        <w:rPr>
          <w:rStyle w:val="Emphasis"/>
          <w:rFonts w:eastAsia="Times New Roman"/>
          <w:b w:val="0"/>
          <w:bCs w:val="0"/>
        </w:rPr>
        <w:t xml:space="preserve">Corynebacterium diphtheriae, Corynebacterium </w:t>
      </w:r>
      <w:proofErr w:type="spellStart"/>
      <w:r w:rsidRPr="00793C29">
        <w:rPr>
          <w:rStyle w:val="Emphasis"/>
          <w:rFonts w:eastAsia="Times New Roman"/>
          <w:b w:val="0"/>
          <w:bCs w:val="0"/>
        </w:rPr>
        <w:t>belfantii</w:t>
      </w:r>
      <w:proofErr w:type="spellEnd"/>
      <w:r w:rsidRPr="00793C29">
        <w:rPr>
          <w:rStyle w:val="Emphasis"/>
          <w:rFonts w:eastAsia="Times New Roman"/>
          <w:b w:val="0"/>
          <w:bCs w:val="0"/>
        </w:rPr>
        <w:t xml:space="preserve">, Corynebacterium </w:t>
      </w:r>
      <w:proofErr w:type="spellStart"/>
      <w:r w:rsidRPr="00793C29">
        <w:rPr>
          <w:rStyle w:val="Emphasis"/>
          <w:rFonts w:eastAsia="Times New Roman"/>
          <w:b w:val="0"/>
          <w:bCs w:val="0"/>
        </w:rPr>
        <w:t>rouxii</w:t>
      </w:r>
      <w:proofErr w:type="spellEnd"/>
      <w:r w:rsidRPr="00793C29">
        <w:rPr>
          <w:rStyle w:val="Emphasis"/>
          <w:rFonts w:eastAsia="Times New Roman"/>
          <w:b w:val="0"/>
          <w:bCs w:val="0"/>
        </w:rPr>
        <w:t>,</w:t>
      </w:r>
      <w:r w:rsidRPr="00793C29">
        <w:rPr>
          <w:rFonts w:eastAsia="Times New Roman"/>
        </w:rPr>
        <w:t xml:space="preserve"> and </w:t>
      </w:r>
      <w:r w:rsidRPr="00793C29">
        <w:rPr>
          <w:rStyle w:val="Emphasis"/>
          <w:rFonts w:eastAsia="Times New Roman"/>
          <w:b w:val="0"/>
          <w:bCs w:val="0"/>
        </w:rPr>
        <w:t xml:space="preserve">Corynebacterium </w:t>
      </w:r>
      <w:proofErr w:type="spellStart"/>
      <w:r w:rsidRPr="00793C29">
        <w:rPr>
          <w:rStyle w:val="Emphasis"/>
          <w:rFonts w:eastAsia="Times New Roman"/>
          <w:b w:val="0"/>
          <w:bCs w:val="0"/>
        </w:rPr>
        <w:t>ulcerans</w:t>
      </w:r>
      <w:proofErr w:type="spellEnd"/>
      <w:r w:rsidRPr="00793C29">
        <w:rPr>
          <w:rFonts w:eastAsia="Times New Roman"/>
        </w:rPr>
        <w:t xml:space="preserve"> isolates </w:t>
      </w:r>
      <w:proofErr w:type="gramStart"/>
      <w:r w:rsidRPr="00793C29">
        <w:rPr>
          <w:rFonts w:eastAsia="Times New Roman"/>
        </w:rPr>
        <w:t>identified</w:t>
      </w:r>
      <w:proofErr w:type="gramEnd"/>
      <w:r w:rsidRPr="00793C29">
        <w:rPr>
          <w:rFonts w:eastAsia="Times New Roman"/>
        </w:rPr>
        <w:t xml:space="preserve"> in Spain from 2014 to 2019. </w:t>
      </w:r>
      <w:r w:rsidRPr="00793C29">
        <w:rPr>
          <w:rStyle w:val="Emphasis"/>
          <w:rFonts w:eastAsia="Times New Roman"/>
          <w:b w:val="0"/>
          <w:bCs w:val="0"/>
        </w:rPr>
        <w:t xml:space="preserve">J Clin </w:t>
      </w:r>
      <w:proofErr w:type="spellStart"/>
      <w:r w:rsidRPr="00793C29">
        <w:rPr>
          <w:rStyle w:val="Emphasis"/>
          <w:rFonts w:eastAsia="Times New Roman"/>
          <w:b w:val="0"/>
          <w:bCs w:val="0"/>
        </w:rPr>
        <w:t>Microbiol</w:t>
      </w:r>
      <w:proofErr w:type="spellEnd"/>
      <w:r w:rsidRPr="00793C29">
        <w:rPr>
          <w:rStyle w:val="Emphasis"/>
          <w:rFonts w:eastAsia="Times New Roman"/>
          <w:b w:val="0"/>
          <w:bCs w:val="0"/>
        </w:rPr>
        <w:t>.</w:t>
      </w:r>
      <w:r w:rsidRPr="00793C29">
        <w:rPr>
          <w:rFonts w:eastAsia="Times New Roman"/>
        </w:rPr>
        <w:t xml:space="preserve"> 2021;59(3</w:t>
      </w:r>
      <w:proofErr w:type="gramStart"/>
      <w:r w:rsidRPr="00793C29">
        <w:rPr>
          <w:rFonts w:eastAsia="Times New Roman"/>
        </w:rPr>
        <w:t>):e</w:t>
      </w:r>
      <w:proofErr w:type="gramEnd"/>
      <w:r w:rsidRPr="00793C29">
        <w:rPr>
          <w:rFonts w:eastAsia="Times New Roman"/>
        </w:rPr>
        <w:t xml:space="preserve">02410-20. </w:t>
      </w:r>
      <w:proofErr w:type="spellStart"/>
      <w:r w:rsidRPr="00793C29">
        <w:rPr>
          <w:rFonts w:eastAsia="Times New Roman"/>
        </w:rPr>
        <w:t>doi</w:t>
      </w:r>
      <w:proofErr w:type="spellEnd"/>
      <w:r w:rsidRPr="00793C29">
        <w:rPr>
          <w:rFonts w:eastAsia="Times New Roman"/>
        </w:rPr>
        <w:t>: https://doi.org/10.1128/JCM.02410-20.</w:t>
      </w:r>
    </w:p>
    <w:p w14:paraId="79D50460" w14:textId="77777777" w:rsidR="008B5348" w:rsidRDefault="008B5348">
      <w:pPr>
        <w:rPr>
          <w:rStyle w:val="A10"/>
        </w:rPr>
        <w:sectPr w:rsidR="008B5348" w:rsidSect="00A30C37">
          <w:headerReference w:type="default" r:id="rId15"/>
          <w:footerReference w:type="default" r:id="rId16"/>
          <w:footerReference w:type="first" r:id="rId17"/>
          <w:pgSz w:w="11906" w:h="16838"/>
          <w:pgMar w:top="720" w:right="720" w:bottom="1134" w:left="720" w:header="709" w:footer="284" w:gutter="0"/>
          <w:cols w:space="708"/>
          <w:titlePg/>
          <w:docGrid w:linePitch="360"/>
        </w:sectPr>
      </w:pPr>
    </w:p>
    <w:p w14:paraId="7C15C1CB"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69B890BD"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68959692" w14:textId="77777777" w:rsidR="000A5F42" w:rsidRPr="000606CC" w:rsidRDefault="000A5F42" w:rsidP="000A5F42">
      <w:pPr>
        <w:pStyle w:val="NoSpacing"/>
        <w:rPr>
          <w:rStyle w:val="URI"/>
          <w:rFonts w:cstheme="minorHAnsi"/>
          <w:sz w:val="20"/>
          <w:szCs w:val="18"/>
        </w:rPr>
      </w:pPr>
    </w:p>
    <w:p w14:paraId="4DBE5F2A"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 xml:space="preserve">Communicable Diseases Intelligence (CDI) is a peer-reviewed scientific journal published by the Office of Health Protection, </w:t>
      </w:r>
      <w:r w:rsidR="001723AC">
        <w:rPr>
          <w:rStyle w:val="Strong"/>
          <w:rFonts w:cs="Calibri"/>
          <w:b w:val="0"/>
          <w:bCs w:val="0"/>
          <w:sz w:val="20"/>
          <w:szCs w:val="18"/>
        </w:rPr>
        <w:t xml:space="preserve">Department of </w:t>
      </w:r>
      <w:proofErr w:type="gramStart"/>
      <w:r w:rsidR="001723AC">
        <w:rPr>
          <w:rStyle w:val="Strong"/>
          <w:rFonts w:cs="Calibri"/>
          <w:b w:val="0"/>
          <w:bCs w:val="0"/>
          <w:sz w:val="20"/>
          <w:szCs w:val="18"/>
        </w:rPr>
        <w:t>Health</w:t>
      </w:r>
      <w:proofErr w:type="gramEnd"/>
      <w:r w:rsidR="001723AC">
        <w:rPr>
          <w:rStyle w:val="Strong"/>
          <w:rFonts w:cs="Calibri"/>
          <w:b w:val="0"/>
          <w:bCs w:val="0"/>
          <w:sz w:val="20"/>
          <w:szCs w:val="18"/>
        </w:rPr>
        <w:t xml:space="preserve"> and Aged Care</w:t>
      </w:r>
      <w:r w:rsidRPr="000606CC">
        <w:rPr>
          <w:rStyle w:val="Strong"/>
          <w:rFonts w:cs="Calibri"/>
          <w:b w:val="0"/>
          <w:bCs w:val="0"/>
          <w:sz w:val="20"/>
          <w:szCs w:val="18"/>
        </w:rPr>
        <w:t xml:space="preserve">. The journal aims to </w:t>
      </w:r>
      <w:proofErr w:type="gramStart"/>
      <w:r w:rsidRPr="000606CC">
        <w:rPr>
          <w:rStyle w:val="Strong"/>
          <w:rFonts w:cs="Calibri"/>
          <w:b w:val="0"/>
          <w:bCs w:val="0"/>
          <w:sz w:val="20"/>
          <w:szCs w:val="18"/>
        </w:rPr>
        <w:t>disseminate</w:t>
      </w:r>
      <w:proofErr w:type="gramEnd"/>
      <w:r w:rsidRPr="000606CC">
        <w:rPr>
          <w:rStyle w:val="Strong"/>
          <w:rFonts w:cs="Calibri"/>
          <w:b w:val="0"/>
          <w:bCs w:val="0"/>
          <w:sz w:val="20"/>
          <w:szCs w:val="18"/>
        </w:rPr>
        <w:t xml:space="preserve"> information on the epidemiology, surveillance, prevention and control of communicable diseases of relevance to Australia.</w:t>
      </w:r>
    </w:p>
    <w:p w14:paraId="1B55BF54" w14:textId="77777777" w:rsidR="000A5F42" w:rsidRPr="000606CC" w:rsidRDefault="000A5F42" w:rsidP="000A5F42">
      <w:pPr>
        <w:pStyle w:val="NoSpacing"/>
        <w:rPr>
          <w:rStyle w:val="Strong"/>
          <w:rFonts w:cstheme="minorHAnsi"/>
          <w:sz w:val="20"/>
          <w:szCs w:val="18"/>
        </w:rPr>
      </w:pPr>
    </w:p>
    <w:p w14:paraId="4399B0AA"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8B62FF">
        <w:rPr>
          <w:rFonts w:cstheme="minorHAnsi"/>
          <w:sz w:val="20"/>
          <w:szCs w:val="18"/>
        </w:rPr>
        <w:t>Christina Bareja</w:t>
      </w:r>
    </w:p>
    <w:p w14:paraId="7A1B379B"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01312AF3"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564966A5"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00CF75DF" w:rsidRPr="00CF75DF">
        <w:rPr>
          <w:rFonts w:cstheme="minorHAnsi"/>
          <w:sz w:val="20"/>
          <w:szCs w:val="18"/>
        </w:rPr>
        <w:t xml:space="preserve">David </w:t>
      </w:r>
      <w:proofErr w:type="spellStart"/>
      <w:r w:rsidR="00CF75DF" w:rsidRPr="00CF75DF">
        <w:rPr>
          <w:rFonts w:cstheme="minorHAnsi"/>
          <w:sz w:val="20"/>
          <w:szCs w:val="18"/>
        </w:rPr>
        <w:t>Durrheim</w:t>
      </w:r>
      <w:proofErr w:type="spellEnd"/>
      <w:r w:rsidR="00CF75DF" w:rsidRPr="00CF75DF">
        <w:rPr>
          <w:rFonts w:cstheme="minorHAnsi"/>
          <w:sz w:val="20"/>
          <w:szCs w:val="18"/>
        </w:rPr>
        <w:t xml:space="preserve">, Mark Ferson, Clare Huppatz, John Kaldor, Martyn Kirk, Meru </w:t>
      </w:r>
      <w:proofErr w:type="gramStart"/>
      <w:r w:rsidR="00CF75DF" w:rsidRPr="00CF75DF">
        <w:rPr>
          <w:rFonts w:cstheme="minorHAnsi"/>
          <w:sz w:val="20"/>
          <w:szCs w:val="18"/>
        </w:rPr>
        <w:t>Sheel</w:t>
      </w:r>
      <w:proofErr w:type="gramEnd"/>
      <w:r w:rsidR="00CF75DF" w:rsidRPr="00CF75DF">
        <w:rPr>
          <w:rFonts w:cstheme="minorHAnsi"/>
          <w:sz w:val="20"/>
          <w:szCs w:val="18"/>
        </w:rPr>
        <w:t xml:space="preserve"> and Steph</w:t>
      </w:r>
      <w:r w:rsidR="00CF75DF">
        <w:rPr>
          <w:rFonts w:cstheme="minorHAnsi"/>
          <w:sz w:val="20"/>
          <w:szCs w:val="18"/>
        </w:rPr>
        <w:t> </w:t>
      </w:r>
      <w:r w:rsidR="00CF75DF" w:rsidRPr="00CF75DF">
        <w:rPr>
          <w:rFonts w:cstheme="minorHAnsi"/>
          <w:sz w:val="20"/>
          <w:szCs w:val="18"/>
        </w:rPr>
        <w:t>Williams</w:t>
      </w:r>
    </w:p>
    <w:p w14:paraId="58F3B4E3" w14:textId="77777777" w:rsidR="000A5F42" w:rsidRPr="000606CC" w:rsidRDefault="000A5F42" w:rsidP="000A5F42">
      <w:pPr>
        <w:pStyle w:val="NoSpacing"/>
        <w:rPr>
          <w:rStyle w:val="Strong"/>
          <w:rFonts w:cstheme="minorHAnsi"/>
          <w:sz w:val="20"/>
          <w:szCs w:val="18"/>
        </w:rPr>
      </w:pPr>
    </w:p>
    <w:p w14:paraId="186F51D1" w14:textId="14C3F5DD"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8"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01A2813E" w14:textId="77777777" w:rsidR="000A5F42" w:rsidRPr="000606CC" w:rsidRDefault="000A5F42" w:rsidP="000A5F42">
      <w:pPr>
        <w:pStyle w:val="NoSpacing"/>
        <w:rPr>
          <w:rStyle w:val="Strong"/>
          <w:rFonts w:cstheme="minorHAnsi"/>
          <w:sz w:val="20"/>
          <w:szCs w:val="18"/>
        </w:rPr>
      </w:pPr>
    </w:p>
    <w:p w14:paraId="5244D17C" w14:textId="77777777" w:rsidR="000A5F42" w:rsidRPr="000606CC" w:rsidRDefault="000A5F42" w:rsidP="00E54BBD">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00E54BBD">
        <w:rPr>
          <w:rFonts w:cstheme="minorHAnsi"/>
          <w:sz w:val="20"/>
          <w:szCs w:val="18"/>
        </w:rPr>
        <w:t xml:space="preserve">CDI </w:t>
      </w:r>
      <w:proofErr w:type="gramStart"/>
      <w:r w:rsidR="00E54BBD">
        <w:rPr>
          <w:rFonts w:cstheme="minorHAnsi"/>
          <w:sz w:val="20"/>
          <w:szCs w:val="18"/>
        </w:rPr>
        <w:t>is produced</w:t>
      </w:r>
      <w:proofErr w:type="gramEnd"/>
      <w:r w:rsidR="00E54BBD">
        <w:rPr>
          <w:rFonts w:cstheme="minorHAnsi"/>
          <w:sz w:val="20"/>
          <w:szCs w:val="18"/>
        </w:rPr>
        <w:t xml:space="preserve"> by</w:t>
      </w:r>
      <w:r w:rsidR="00F74958">
        <w:rPr>
          <w:rFonts w:cstheme="minorHAnsi"/>
          <w:sz w:val="20"/>
          <w:szCs w:val="18"/>
        </w:rPr>
        <w:t xml:space="preserve"> the</w:t>
      </w:r>
      <w:r w:rsidR="00E54BBD">
        <w:rPr>
          <w:rFonts w:cstheme="minorHAnsi"/>
          <w:sz w:val="20"/>
          <w:szCs w:val="18"/>
        </w:rPr>
        <w:t xml:space="preserve"> </w:t>
      </w:r>
      <w:r w:rsidR="00E54BBD" w:rsidRPr="00E54BBD">
        <w:rPr>
          <w:rFonts w:cstheme="minorHAnsi"/>
          <w:sz w:val="20"/>
          <w:szCs w:val="18"/>
        </w:rPr>
        <w:t>Office of Health Protection, Australian Government Department of Health</w:t>
      </w:r>
      <w:r w:rsidR="00AE0209">
        <w:rPr>
          <w:rFonts w:cstheme="minorHAnsi"/>
          <w:sz w:val="20"/>
          <w:szCs w:val="18"/>
        </w:rPr>
        <w:t xml:space="preserve"> and Aged Care</w:t>
      </w:r>
      <w:r w:rsidR="00E54BBD" w:rsidRPr="00E54BBD">
        <w:rPr>
          <w:rFonts w:cstheme="minorHAnsi"/>
          <w:sz w:val="20"/>
          <w:szCs w:val="18"/>
        </w:rPr>
        <w:t>, GPO Box 9848, (MDP 6) CANBERRA ACT 2601</w:t>
      </w:r>
    </w:p>
    <w:p w14:paraId="35255119" w14:textId="77777777" w:rsidR="000A5F42" w:rsidRPr="000606CC" w:rsidRDefault="000A5F42" w:rsidP="000A5F42">
      <w:pPr>
        <w:pStyle w:val="NoSpacing"/>
        <w:rPr>
          <w:rStyle w:val="Strong"/>
          <w:rFonts w:cstheme="minorHAnsi"/>
          <w:sz w:val="20"/>
          <w:szCs w:val="18"/>
        </w:rPr>
      </w:pPr>
    </w:p>
    <w:p w14:paraId="73A50339" w14:textId="3B431453"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9"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1C798511" w14:textId="77777777" w:rsidR="000A5F42" w:rsidRPr="000606CC" w:rsidRDefault="000A5F42" w:rsidP="000A5F42">
      <w:pPr>
        <w:pStyle w:val="NoSpacing"/>
        <w:rPr>
          <w:rStyle w:val="Strong"/>
          <w:rFonts w:cstheme="minorHAnsi"/>
          <w:sz w:val="20"/>
          <w:szCs w:val="18"/>
        </w:rPr>
      </w:pPr>
    </w:p>
    <w:p w14:paraId="7CF28B41" w14:textId="4CDC909B"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w:t>
      </w:r>
      <w:proofErr w:type="gramStart"/>
      <w:r w:rsidRPr="000606CC">
        <w:rPr>
          <w:rFonts w:cstheme="minorHAnsi"/>
          <w:sz w:val="20"/>
          <w:szCs w:val="18"/>
        </w:rPr>
        <w:t>regarding</w:t>
      </w:r>
      <w:proofErr w:type="gramEnd"/>
      <w:r w:rsidRPr="000606CC">
        <w:rPr>
          <w:rFonts w:cstheme="minorHAnsi"/>
          <w:sz w:val="20"/>
          <w:szCs w:val="18"/>
        </w:rPr>
        <w:t xml:space="preserve"> CDI can be found at: </w:t>
      </w:r>
      <w:hyperlink r:id="rId20"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7FD531A6" w14:textId="5398E07F"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w:t>
      </w:r>
      <w:proofErr w:type="gramStart"/>
      <w:r w:rsidRPr="000606CC">
        <w:rPr>
          <w:rFonts w:cstheme="minorHAnsi"/>
          <w:sz w:val="20"/>
          <w:szCs w:val="18"/>
        </w:rPr>
        <w:t>be directed</w:t>
      </w:r>
      <w:proofErr w:type="gramEnd"/>
      <w:r w:rsidRPr="000606CC">
        <w:rPr>
          <w:rFonts w:cstheme="minorHAnsi"/>
          <w:sz w:val="20"/>
          <w:szCs w:val="18"/>
        </w:rPr>
        <w:t xml:space="preserve"> to: </w:t>
      </w:r>
      <w:hyperlink r:id="rId21" w:history="1">
        <w:r w:rsidRPr="000606CC">
          <w:rPr>
            <w:rStyle w:val="Hyperlink"/>
            <w:rFonts w:cstheme="minorHAnsi"/>
            <w:sz w:val="20"/>
            <w:szCs w:val="18"/>
          </w:rPr>
          <w:t>cdi.editor@health.gov.au</w:t>
        </w:r>
      </w:hyperlink>
      <w:r w:rsidRPr="000606CC">
        <w:rPr>
          <w:rFonts w:cstheme="minorHAnsi"/>
          <w:sz w:val="20"/>
          <w:szCs w:val="18"/>
        </w:rPr>
        <w:t>.</w:t>
      </w:r>
    </w:p>
    <w:p w14:paraId="30DEA305" w14:textId="77777777" w:rsidR="000A5F42" w:rsidRPr="000606CC" w:rsidRDefault="000A5F42" w:rsidP="000A5F42">
      <w:pPr>
        <w:pStyle w:val="NoSpacing"/>
        <w:pBdr>
          <w:bottom w:val="single" w:sz="6" w:space="1" w:color="auto"/>
        </w:pBdr>
        <w:rPr>
          <w:rStyle w:val="Strong"/>
          <w:rFonts w:cstheme="minorHAnsi"/>
          <w:sz w:val="12"/>
          <w:szCs w:val="18"/>
        </w:rPr>
      </w:pPr>
    </w:p>
    <w:p w14:paraId="6820B814" w14:textId="77777777" w:rsidR="000A5F42" w:rsidRPr="000606CC" w:rsidRDefault="000A5F42" w:rsidP="000A5F42">
      <w:pPr>
        <w:pStyle w:val="NoSpacing"/>
        <w:rPr>
          <w:rFonts w:cstheme="minorHAnsi"/>
          <w:sz w:val="20"/>
          <w:szCs w:val="18"/>
        </w:rPr>
      </w:pPr>
    </w:p>
    <w:p w14:paraId="4A42B91F"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w:t>
      </w:r>
      <w:proofErr w:type="gramStart"/>
      <w:r w:rsidRPr="000606CC">
        <w:rPr>
          <w:rFonts w:cstheme="minorHAnsi"/>
          <w:sz w:val="20"/>
          <w:szCs w:val="18"/>
        </w:rPr>
        <w:t>is indexed</w:t>
      </w:r>
      <w:proofErr w:type="gramEnd"/>
      <w:r w:rsidRPr="000606CC">
        <w:rPr>
          <w:rFonts w:cstheme="minorHAnsi"/>
          <w:sz w:val="20"/>
          <w:szCs w:val="18"/>
        </w:rPr>
        <w:t xml:space="preserve">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7CC4BCA4" w14:textId="77777777" w:rsidR="000A5F42" w:rsidRPr="000606CC" w:rsidRDefault="000A5F42" w:rsidP="000A5F42">
      <w:pPr>
        <w:pStyle w:val="NoSpacing"/>
        <w:rPr>
          <w:rFonts w:cstheme="minorHAnsi"/>
          <w:sz w:val="20"/>
          <w:szCs w:val="18"/>
        </w:rPr>
      </w:pPr>
    </w:p>
    <w:p w14:paraId="2285CC60"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01FE4ED4"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852E2B">
        <w:rPr>
          <w:rFonts w:cstheme="minorHAnsi"/>
          <w:sz w:val="20"/>
          <w:szCs w:val="18"/>
        </w:rPr>
        <w:fldChar w:fldCharType="begin"/>
      </w:r>
      <w:r w:rsidR="00852E2B">
        <w:rPr>
          <w:rFonts w:cstheme="minorHAnsi"/>
          <w:sz w:val="20"/>
          <w:szCs w:val="18"/>
        </w:rPr>
        <w:instrText xml:space="preserve"> DOCPROPERTY  Year  \* MERGEFORMAT </w:instrText>
      </w:r>
      <w:r w:rsidR="00852E2B">
        <w:rPr>
          <w:rFonts w:cstheme="minorHAnsi"/>
          <w:sz w:val="20"/>
          <w:szCs w:val="18"/>
        </w:rPr>
        <w:fldChar w:fldCharType="separate"/>
      </w:r>
      <w:r w:rsidR="00146C37">
        <w:rPr>
          <w:rFonts w:cstheme="minorHAnsi"/>
          <w:sz w:val="20"/>
          <w:szCs w:val="18"/>
        </w:rPr>
        <w:t>2023</w:t>
      </w:r>
      <w:r w:rsidR="00852E2B">
        <w:rPr>
          <w:rFonts w:cstheme="minorHAnsi"/>
          <w:sz w:val="20"/>
          <w:szCs w:val="18"/>
        </w:rPr>
        <w:fldChar w:fldCharType="end"/>
      </w:r>
      <w:r w:rsidR="00852E2B">
        <w:rPr>
          <w:rFonts w:cstheme="minorHAnsi"/>
          <w:sz w:val="20"/>
          <w:szCs w:val="18"/>
        </w:rPr>
        <w:t xml:space="preserve"> </w:t>
      </w:r>
      <w:r w:rsidRPr="000606CC">
        <w:rPr>
          <w:rFonts w:cstheme="minorHAnsi"/>
          <w:sz w:val="20"/>
          <w:szCs w:val="18"/>
        </w:rPr>
        <w:t xml:space="preserve">Commonwealth of Australia as represented by the </w:t>
      </w:r>
      <w:r w:rsidR="001723AC">
        <w:rPr>
          <w:rFonts w:cstheme="minorHAnsi"/>
          <w:sz w:val="20"/>
          <w:szCs w:val="18"/>
        </w:rPr>
        <w:t>Department of Health and Aged Care</w:t>
      </w:r>
    </w:p>
    <w:p w14:paraId="1422C73A" w14:textId="289F83C4"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22"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1541B5FF" w14:textId="77777777" w:rsidR="000A5F42" w:rsidRPr="000606CC" w:rsidRDefault="000A5F42" w:rsidP="000A5F42">
      <w:pPr>
        <w:pStyle w:val="NoSpacing"/>
        <w:rPr>
          <w:rFonts w:cstheme="minorHAnsi"/>
          <w:sz w:val="20"/>
          <w:szCs w:val="18"/>
        </w:rPr>
      </w:pPr>
    </w:p>
    <w:p w14:paraId="14EFAB6A"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498FC8B0" w14:textId="562B94F6"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23"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2C12F735"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logos (including the </w:t>
      </w:r>
      <w:r w:rsidR="001723AC">
        <w:rPr>
          <w:rFonts w:cstheme="minorHAnsi"/>
          <w:sz w:val="20"/>
          <w:szCs w:val="18"/>
        </w:rPr>
        <w:t>Department of Health and Aged Care</w:t>
      </w:r>
      <w:r w:rsidRPr="000606CC">
        <w:rPr>
          <w:rFonts w:cstheme="minorHAnsi"/>
          <w:sz w:val="20"/>
          <w:szCs w:val="18"/>
        </w:rPr>
        <w:t xml:space="preserve">’s logo) and </w:t>
      </w:r>
      <w:proofErr w:type="gramStart"/>
      <w:r w:rsidRPr="000606CC">
        <w:rPr>
          <w:rFonts w:cstheme="minorHAnsi"/>
          <w:sz w:val="20"/>
          <w:szCs w:val="18"/>
        </w:rPr>
        <w:t>trademarks;</w:t>
      </w:r>
      <w:proofErr w:type="gramEnd"/>
    </w:p>
    <w:p w14:paraId="6EA27BFA"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w:t>
      </w:r>
      <w:proofErr w:type="gramStart"/>
      <w:r w:rsidRPr="000606CC">
        <w:rPr>
          <w:rFonts w:cstheme="minorHAnsi"/>
          <w:sz w:val="20"/>
          <w:szCs w:val="18"/>
        </w:rPr>
        <w:t>images;</w:t>
      </w:r>
      <w:proofErr w:type="gramEnd"/>
      <w:r w:rsidRPr="000606CC">
        <w:rPr>
          <w:rFonts w:cstheme="minorHAnsi"/>
          <w:sz w:val="20"/>
          <w:szCs w:val="18"/>
        </w:rPr>
        <w:t xml:space="preserve"> </w:t>
      </w:r>
    </w:p>
    <w:p w14:paraId="6A7B09D9"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0D35B68E"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60A92E90" w14:textId="77777777" w:rsidR="000A5F42" w:rsidRPr="000606CC" w:rsidRDefault="000A5F42" w:rsidP="000A5F42">
      <w:pPr>
        <w:pStyle w:val="NoSpacing"/>
        <w:rPr>
          <w:rStyle w:val="Strong"/>
          <w:rFonts w:cstheme="minorHAnsi"/>
          <w:sz w:val="20"/>
          <w:szCs w:val="18"/>
        </w:rPr>
      </w:pPr>
    </w:p>
    <w:p w14:paraId="556C475E"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 xml:space="preserve">Opinions expressed in Communicable Diseases Intelligence are those of the authors and not necessarily those of the Australian Government </w:t>
      </w:r>
      <w:r w:rsidR="001723AC">
        <w:rPr>
          <w:rFonts w:cstheme="minorHAnsi"/>
          <w:sz w:val="20"/>
          <w:szCs w:val="18"/>
        </w:rPr>
        <w:t>Department of Health and Aged Care</w:t>
      </w:r>
      <w:r w:rsidRPr="000606CC">
        <w:rPr>
          <w:rFonts w:cstheme="minorHAnsi"/>
          <w:sz w:val="20"/>
          <w:szCs w:val="18"/>
        </w:rPr>
        <w:t xml:space="preserve"> or the Communicable Diseases Network Australia. Data may be subject to revision.</w:t>
      </w:r>
    </w:p>
    <w:p w14:paraId="35FAC10F" w14:textId="77777777" w:rsidR="000A5F42" w:rsidRPr="000606CC" w:rsidRDefault="000A5F42" w:rsidP="000A5F42">
      <w:pPr>
        <w:pStyle w:val="NoSpacing"/>
        <w:rPr>
          <w:rStyle w:val="Strong"/>
          <w:rFonts w:cstheme="minorHAnsi"/>
          <w:sz w:val="20"/>
          <w:szCs w:val="18"/>
        </w:rPr>
      </w:pPr>
    </w:p>
    <w:p w14:paraId="6FCD231B" w14:textId="0556F310"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w:t>
      </w:r>
      <w:r w:rsidR="001723AC">
        <w:rPr>
          <w:rFonts w:cstheme="minorHAnsi"/>
          <w:sz w:val="20"/>
          <w:szCs w:val="18"/>
        </w:rPr>
        <w:t>Department of Health and Aged Care</w:t>
      </w:r>
      <w:r w:rsidRPr="000606CC">
        <w:rPr>
          <w:rFonts w:cstheme="minorHAnsi"/>
          <w:sz w:val="20"/>
          <w:szCs w:val="18"/>
        </w:rPr>
        <w:t xml:space="preserve">, GPO Box 9848, Canberra ACT 2601, or via e-mail to: </w:t>
      </w:r>
      <w:hyperlink r:id="rId24"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2BC8A7AA" w14:textId="77777777" w:rsidR="000A5F42" w:rsidRPr="000606CC" w:rsidRDefault="000A5F42" w:rsidP="000A5F42">
      <w:pPr>
        <w:pStyle w:val="NoSpacing"/>
        <w:rPr>
          <w:rStyle w:val="URI"/>
          <w:rFonts w:cstheme="minorHAnsi"/>
          <w:sz w:val="20"/>
          <w:szCs w:val="18"/>
        </w:rPr>
      </w:pPr>
    </w:p>
    <w:p w14:paraId="4BD4EB1D" w14:textId="2A56048D"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5" w:tooltip="Communicable Diseases Network Australia website" w:history="1">
        <w:r w:rsidRPr="000606CC">
          <w:rPr>
            <w:rStyle w:val="Hyperlink"/>
            <w:rFonts w:cstheme="minorHAnsi"/>
            <w:sz w:val="20"/>
            <w:szCs w:val="18"/>
          </w:rPr>
          <w:t>http://www.health.gov.au/cdna</w:t>
        </w:r>
      </w:hyperlink>
    </w:p>
    <w:sectPr w:rsidR="000A5F42" w:rsidRPr="000606CC" w:rsidSect="002B75A9">
      <w:headerReference w:type="default" r:id="rId26"/>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466B1" w14:textId="77777777" w:rsidR="00146C37" w:rsidRDefault="00146C37" w:rsidP="00E54DBA">
      <w:r>
        <w:separator/>
      </w:r>
    </w:p>
    <w:p w14:paraId="7E346AFD" w14:textId="77777777" w:rsidR="00146C37" w:rsidRDefault="00146C37"/>
    <w:p w14:paraId="3BF9722F" w14:textId="77777777" w:rsidR="00146C37" w:rsidRDefault="00146C37" w:rsidP="008714B0"/>
  </w:endnote>
  <w:endnote w:type="continuationSeparator" w:id="0">
    <w:p w14:paraId="306659CA" w14:textId="77777777" w:rsidR="00146C37" w:rsidRDefault="00146C37" w:rsidP="00E54DBA">
      <w:r>
        <w:continuationSeparator/>
      </w:r>
    </w:p>
    <w:p w14:paraId="618F60BD" w14:textId="77777777" w:rsidR="00146C37" w:rsidRDefault="00146C37"/>
    <w:p w14:paraId="547F2201" w14:textId="77777777" w:rsidR="00146C37" w:rsidRDefault="00146C37"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Corbel"/>
    <w:panose1 w:val="020B0503030403090204"/>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6762C" w14:textId="66904302"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3</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A443E3">
      <w:rPr>
        <w:noProof/>
        <w:sz w:val="18"/>
      </w:rPr>
      <w:t>3</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proofErr w:type="spellStart"/>
    <w:r w:rsidR="00CE342B" w:rsidRPr="00793C29">
      <w:rPr>
        <w:i/>
        <w:sz w:val="18"/>
      </w:rPr>
      <w:t>Commun</w:t>
    </w:r>
    <w:proofErr w:type="spellEnd"/>
    <w:r w:rsidR="00CE342B" w:rsidRPr="00793C29">
      <w:rPr>
        <w:i/>
        <w:sz w:val="18"/>
      </w:rPr>
      <w:t xml:space="preserve"> Dis </w:t>
    </w:r>
    <w:proofErr w:type="spellStart"/>
    <w:r w:rsidR="00CE342B" w:rsidRPr="00793C29">
      <w:rPr>
        <w:i/>
        <w:sz w:val="18"/>
      </w:rPr>
      <w:t>Intell</w:t>
    </w:r>
    <w:proofErr w:type="spellEnd"/>
    <w:r w:rsidR="00CE342B" w:rsidRPr="00793C29">
      <w:rPr>
        <w:i/>
        <w:sz w:val="18"/>
      </w:rPr>
      <w:t xml:space="preserve">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146C37">
      <w:rPr>
        <w:sz w:val="18"/>
      </w:rPr>
      <w:t>2023</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146C37">
      <w:rPr>
        <w:sz w:val="18"/>
      </w:rPr>
      <w:t>47</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0C10C7">
      <w:rPr>
        <w:sz w:val="18"/>
      </w:rPr>
      <w:t>https://doi.org/10.33321/cdi.2023.47.53</w:t>
    </w:r>
    <w:r w:rsidR="00CE342B">
      <w:rPr>
        <w:sz w:val="18"/>
      </w:rPr>
      <w:fldChar w:fldCharType="end"/>
    </w:r>
    <w:r w:rsidR="00231046">
      <w:rPr>
        <w:sz w:val="18"/>
      </w:rPr>
      <w:t xml:space="preserve"> </w:t>
    </w:r>
    <w:proofErr w:type="spellStart"/>
    <w:r w:rsidR="00231046" w:rsidRPr="00155582">
      <w:rPr>
        <w:sz w:val="18"/>
      </w:rPr>
      <w:t>Epub</w:t>
    </w:r>
    <w:proofErr w:type="spellEnd"/>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0C10C7">
      <w:rPr>
        <w:sz w:val="18"/>
      </w:rPr>
      <w:t>21/09/2023</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D171E" w14:textId="7AE57AA7"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A443E3">
      <w:rPr>
        <w:noProof/>
        <w:sz w:val="18"/>
      </w:rPr>
      <w:t>3</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proofErr w:type="spellStart"/>
    <w:r w:rsidR="00A164D5" w:rsidRPr="00793C29">
      <w:rPr>
        <w:i/>
        <w:sz w:val="18"/>
      </w:rPr>
      <w:t>Commun</w:t>
    </w:r>
    <w:proofErr w:type="spellEnd"/>
    <w:r w:rsidR="00A164D5" w:rsidRPr="00793C29">
      <w:rPr>
        <w:i/>
        <w:sz w:val="18"/>
      </w:rPr>
      <w:t xml:space="preserve"> Dis </w:t>
    </w:r>
    <w:proofErr w:type="spellStart"/>
    <w:r w:rsidR="00A164D5" w:rsidRPr="00793C29">
      <w:rPr>
        <w:i/>
        <w:sz w:val="18"/>
      </w:rPr>
      <w:t>Intell</w:t>
    </w:r>
    <w:proofErr w:type="spellEnd"/>
    <w:r w:rsidR="00A164D5" w:rsidRPr="00793C29">
      <w:rPr>
        <w:i/>
        <w:sz w:val="18"/>
      </w:rPr>
      <w:t xml:space="preserve">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146C37">
      <w:rPr>
        <w:sz w:val="18"/>
      </w:rPr>
      <w:t>2023</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146C37">
      <w:rPr>
        <w:sz w:val="18"/>
      </w:rPr>
      <w:t>47</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0C10C7">
      <w:rPr>
        <w:sz w:val="18"/>
      </w:rPr>
      <w:t>https://doi.org/10.33321/cdi.2023.47.53</w:t>
    </w:r>
    <w:r w:rsidR="00047B68">
      <w:rPr>
        <w:sz w:val="18"/>
      </w:rPr>
      <w:fldChar w:fldCharType="end"/>
    </w:r>
    <w:r w:rsidR="00C24725">
      <w:rPr>
        <w:sz w:val="18"/>
      </w:rPr>
      <w:t xml:space="preserve"> </w:t>
    </w:r>
    <w:proofErr w:type="spellStart"/>
    <w:r w:rsidRPr="00155582">
      <w:rPr>
        <w:sz w:val="18"/>
      </w:rPr>
      <w:t>Epub</w:t>
    </w:r>
    <w:proofErr w:type="spellEnd"/>
    <w:r w:rsidRPr="00155582">
      <w:rPr>
        <w:sz w:val="18"/>
      </w:rPr>
      <w:t xml:space="preserve"> </w:t>
    </w:r>
    <w:r w:rsidR="00422FEB">
      <w:rPr>
        <w:sz w:val="18"/>
      </w:rPr>
      <w:fldChar w:fldCharType="begin"/>
    </w:r>
    <w:r w:rsidR="00422FEB">
      <w:rPr>
        <w:sz w:val="18"/>
      </w:rPr>
      <w:instrText xml:space="preserve"> DOCPROPERTY  ePubDate  \* MERGEFORMAT </w:instrText>
    </w:r>
    <w:r w:rsidR="00422FEB">
      <w:rPr>
        <w:sz w:val="18"/>
      </w:rPr>
      <w:fldChar w:fldCharType="separate"/>
    </w:r>
    <w:r w:rsidR="000C10C7">
      <w:rPr>
        <w:sz w:val="18"/>
      </w:rPr>
      <w:t>21/09/2023</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CA6E1" w14:textId="77777777" w:rsidR="00146C37" w:rsidRPr="00B91FB5" w:rsidRDefault="00146C37" w:rsidP="00B91FB5">
      <w:pPr>
        <w:spacing w:after="0" w:line="240" w:lineRule="auto"/>
        <w:rPr>
          <w:sz w:val="18"/>
          <w:szCs w:val="18"/>
        </w:rPr>
      </w:pPr>
      <w:r w:rsidRPr="00B91FB5">
        <w:rPr>
          <w:sz w:val="18"/>
          <w:szCs w:val="18"/>
        </w:rPr>
        <w:separator/>
      </w:r>
    </w:p>
  </w:footnote>
  <w:footnote w:type="continuationSeparator" w:id="0">
    <w:p w14:paraId="62D747DE" w14:textId="77777777" w:rsidR="00146C37" w:rsidRDefault="00146C37" w:rsidP="00E54DBA">
      <w:r>
        <w:continuationSeparator/>
      </w:r>
    </w:p>
  </w:footnote>
  <w:footnote w:type="continuationNotice" w:id="1">
    <w:p w14:paraId="59A610F9" w14:textId="77777777" w:rsidR="00146C37" w:rsidRPr="00224EFF" w:rsidRDefault="00146C37"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093FE" w14:textId="157214FB" w:rsidR="00257484" w:rsidRPr="00A153B6" w:rsidRDefault="00311722"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F923C9">
          <w:t>Original article</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0EC0D" w14:textId="77777777" w:rsidR="008B5348" w:rsidRPr="000A5F42" w:rsidRDefault="008B5348" w:rsidP="009D797A">
    <w:pPr>
      <w:pStyle w:val="Header"/>
      <w:spacing w:after="0" w:line="240" w:lineRule="auto"/>
      <w:jc w:val="center"/>
      <w:rPr>
        <w:b/>
      </w:rPr>
    </w:pPr>
    <w:r w:rsidRPr="00E810C5">
      <w:rPr>
        <w:rFonts w:cs="Myriad Pro"/>
        <w:noProof/>
        <w:color w:val="211D1E"/>
        <w:sz w:val="16"/>
      </w:rPr>
      <w:drawing>
        <wp:inline distT="0" distB="0" distL="0" distR="0" wp14:anchorId="5C3F3EA4" wp14:editId="015307A7">
          <wp:extent cx="1971924" cy="593062"/>
          <wp:effectExtent l="0" t="0" r="0" b="0"/>
          <wp:docPr id="1" name="Picture 1" descr="Australian Government - Department of Health and Aged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 - Department of Health and Aged Care"/>
                  <pic:cNvPicPr/>
                </pic:nvPicPr>
                <pic:blipFill rotWithShape="1">
                  <a:blip r:embed="rId1">
                    <a:extLst>
                      <a:ext uri="{28A0092B-C50C-407E-A947-70E740481C1C}">
                        <a14:useLocalDpi xmlns:a14="http://schemas.microsoft.com/office/drawing/2010/main" val="0"/>
                      </a:ext>
                    </a:extLst>
                  </a:blip>
                  <a:srcRect t="11900" b="7160"/>
                  <a:stretch/>
                </pic:blipFill>
                <pic:spPr bwMode="auto">
                  <a:xfrm>
                    <a:off x="0" y="0"/>
                    <a:ext cx="2009585" cy="60438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553287"/>
    <w:multiLevelType w:val="hybridMultilevel"/>
    <w:tmpl w:val="1FD81D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D4C65AB"/>
    <w:multiLevelType w:val="multilevel"/>
    <w:tmpl w:val="1FC05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7B5F2D"/>
    <w:multiLevelType w:val="multilevel"/>
    <w:tmpl w:val="FD86C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763373B"/>
    <w:multiLevelType w:val="hybridMultilevel"/>
    <w:tmpl w:val="154ED35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46228535">
    <w:abstractNumId w:val="2"/>
  </w:num>
  <w:num w:numId="2" w16cid:durableId="222374233">
    <w:abstractNumId w:val="5"/>
  </w:num>
  <w:num w:numId="3" w16cid:durableId="1168133491">
    <w:abstractNumId w:val="6"/>
  </w:num>
  <w:num w:numId="4" w16cid:durableId="1067648642">
    <w:abstractNumId w:val="1"/>
  </w:num>
  <w:num w:numId="5" w16cid:durableId="1569874551">
    <w:abstractNumId w:val="8"/>
  </w:num>
  <w:num w:numId="6" w16cid:durableId="1493790611">
    <w:abstractNumId w:val="9"/>
  </w:num>
  <w:num w:numId="7" w16cid:durableId="1000279772">
    <w:abstractNumId w:val="3"/>
  </w:num>
  <w:num w:numId="8" w16cid:durableId="1285965994">
    <w:abstractNumId w:val="4"/>
  </w:num>
  <w:num w:numId="9" w16cid:durableId="1468742983">
    <w:abstractNumId w:val="0"/>
  </w:num>
  <w:num w:numId="10" w16cid:durableId="21237615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noPunctuationKerning/>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C37"/>
    <w:rsid w:val="00000B5B"/>
    <w:rsid w:val="00001611"/>
    <w:rsid w:val="000104A8"/>
    <w:rsid w:val="0001246E"/>
    <w:rsid w:val="000124B1"/>
    <w:rsid w:val="00016FE6"/>
    <w:rsid w:val="00031064"/>
    <w:rsid w:val="00031692"/>
    <w:rsid w:val="00032531"/>
    <w:rsid w:val="000325A0"/>
    <w:rsid w:val="000471BF"/>
    <w:rsid w:val="00047B68"/>
    <w:rsid w:val="00052600"/>
    <w:rsid w:val="0005643C"/>
    <w:rsid w:val="0006264A"/>
    <w:rsid w:val="00073D77"/>
    <w:rsid w:val="00081655"/>
    <w:rsid w:val="000864E0"/>
    <w:rsid w:val="000969B3"/>
    <w:rsid w:val="000A5F42"/>
    <w:rsid w:val="000B2B35"/>
    <w:rsid w:val="000C10C7"/>
    <w:rsid w:val="000C58D0"/>
    <w:rsid w:val="000D4B4D"/>
    <w:rsid w:val="00113D58"/>
    <w:rsid w:val="001200CB"/>
    <w:rsid w:val="001378A3"/>
    <w:rsid w:val="00146C37"/>
    <w:rsid w:val="00155582"/>
    <w:rsid w:val="00161590"/>
    <w:rsid w:val="00171CC0"/>
    <w:rsid w:val="001723AC"/>
    <w:rsid w:val="00175494"/>
    <w:rsid w:val="00175629"/>
    <w:rsid w:val="001830EC"/>
    <w:rsid w:val="00183534"/>
    <w:rsid w:val="0018758E"/>
    <w:rsid w:val="001A4A96"/>
    <w:rsid w:val="001A5D05"/>
    <w:rsid w:val="001A796C"/>
    <w:rsid w:val="001B2614"/>
    <w:rsid w:val="001B37B8"/>
    <w:rsid w:val="001B552F"/>
    <w:rsid w:val="001C0893"/>
    <w:rsid w:val="001C1303"/>
    <w:rsid w:val="001C70B2"/>
    <w:rsid w:val="001C7C3F"/>
    <w:rsid w:val="001D37C7"/>
    <w:rsid w:val="001D6888"/>
    <w:rsid w:val="001E4E1D"/>
    <w:rsid w:val="00224EFF"/>
    <w:rsid w:val="002276DC"/>
    <w:rsid w:val="00227E00"/>
    <w:rsid w:val="002307CB"/>
    <w:rsid w:val="00231046"/>
    <w:rsid w:val="00234F21"/>
    <w:rsid w:val="00242659"/>
    <w:rsid w:val="002428F7"/>
    <w:rsid w:val="0024315F"/>
    <w:rsid w:val="0024631C"/>
    <w:rsid w:val="00252C9A"/>
    <w:rsid w:val="00256309"/>
    <w:rsid w:val="00257484"/>
    <w:rsid w:val="00260636"/>
    <w:rsid w:val="00264167"/>
    <w:rsid w:val="00275C2F"/>
    <w:rsid w:val="00275C5C"/>
    <w:rsid w:val="00275C78"/>
    <w:rsid w:val="00280594"/>
    <w:rsid w:val="00281EE3"/>
    <w:rsid w:val="00284E4A"/>
    <w:rsid w:val="002A3799"/>
    <w:rsid w:val="002A3BCC"/>
    <w:rsid w:val="002A4516"/>
    <w:rsid w:val="002A569F"/>
    <w:rsid w:val="002A7066"/>
    <w:rsid w:val="002B001E"/>
    <w:rsid w:val="002B09B7"/>
    <w:rsid w:val="002B75A9"/>
    <w:rsid w:val="002C21B0"/>
    <w:rsid w:val="002E0D5E"/>
    <w:rsid w:val="002E2FB3"/>
    <w:rsid w:val="002F327B"/>
    <w:rsid w:val="00301626"/>
    <w:rsid w:val="003059EC"/>
    <w:rsid w:val="00311722"/>
    <w:rsid w:val="00316CCD"/>
    <w:rsid w:val="00324F7E"/>
    <w:rsid w:val="00330B67"/>
    <w:rsid w:val="003323BC"/>
    <w:rsid w:val="00346D42"/>
    <w:rsid w:val="00346E11"/>
    <w:rsid w:val="003601C0"/>
    <w:rsid w:val="003635F5"/>
    <w:rsid w:val="00372A88"/>
    <w:rsid w:val="00381A0F"/>
    <w:rsid w:val="003A1B3A"/>
    <w:rsid w:val="003A40F5"/>
    <w:rsid w:val="003B5B8C"/>
    <w:rsid w:val="003C7841"/>
    <w:rsid w:val="003D79B1"/>
    <w:rsid w:val="003E74EE"/>
    <w:rsid w:val="003F0552"/>
    <w:rsid w:val="003F3BC2"/>
    <w:rsid w:val="003F725B"/>
    <w:rsid w:val="00401ED1"/>
    <w:rsid w:val="0040224C"/>
    <w:rsid w:val="00413EE1"/>
    <w:rsid w:val="004164BB"/>
    <w:rsid w:val="0042000E"/>
    <w:rsid w:val="00421ECE"/>
    <w:rsid w:val="00422FEB"/>
    <w:rsid w:val="0042435E"/>
    <w:rsid w:val="004315F5"/>
    <w:rsid w:val="00433456"/>
    <w:rsid w:val="00433DFA"/>
    <w:rsid w:val="00435D67"/>
    <w:rsid w:val="00464A58"/>
    <w:rsid w:val="00473D2D"/>
    <w:rsid w:val="00481EAD"/>
    <w:rsid w:val="004A2125"/>
    <w:rsid w:val="004A38F6"/>
    <w:rsid w:val="004B4EB6"/>
    <w:rsid w:val="004B7DD3"/>
    <w:rsid w:val="004C083C"/>
    <w:rsid w:val="004C67C6"/>
    <w:rsid w:val="004D29DE"/>
    <w:rsid w:val="00510EAC"/>
    <w:rsid w:val="0053207E"/>
    <w:rsid w:val="00542A57"/>
    <w:rsid w:val="005612ED"/>
    <w:rsid w:val="00565974"/>
    <w:rsid w:val="005732C0"/>
    <w:rsid w:val="0057336D"/>
    <w:rsid w:val="0057489A"/>
    <w:rsid w:val="00574ACF"/>
    <w:rsid w:val="00581588"/>
    <w:rsid w:val="0058540B"/>
    <w:rsid w:val="00587C87"/>
    <w:rsid w:val="00590B80"/>
    <w:rsid w:val="005B3134"/>
    <w:rsid w:val="005B4E61"/>
    <w:rsid w:val="005B595A"/>
    <w:rsid w:val="005B66C2"/>
    <w:rsid w:val="005C66A6"/>
    <w:rsid w:val="005D2465"/>
    <w:rsid w:val="005E33DD"/>
    <w:rsid w:val="005E4229"/>
    <w:rsid w:val="005E5181"/>
    <w:rsid w:val="005E540E"/>
    <w:rsid w:val="005E55FB"/>
    <w:rsid w:val="005F16BB"/>
    <w:rsid w:val="00607115"/>
    <w:rsid w:val="00620768"/>
    <w:rsid w:val="0062594B"/>
    <w:rsid w:val="00631406"/>
    <w:rsid w:val="006324FF"/>
    <w:rsid w:val="006351D6"/>
    <w:rsid w:val="00636E0D"/>
    <w:rsid w:val="0064142F"/>
    <w:rsid w:val="00643CB4"/>
    <w:rsid w:val="00656427"/>
    <w:rsid w:val="00660255"/>
    <w:rsid w:val="00660426"/>
    <w:rsid w:val="00663EA5"/>
    <w:rsid w:val="006971F3"/>
    <w:rsid w:val="006C74A3"/>
    <w:rsid w:val="006D1381"/>
    <w:rsid w:val="006D31BC"/>
    <w:rsid w:val="006E7943"/>
    <w:rsid w:val="006F24EA"/>
    <w:rsid w:val="00704CA9"/>
    <w:rsid w:val="0071048D"/>
    <w:rsid w:val="00710F86"/>
    <w:rsid w:val="007111A8"/>
    <w:rsid w:val="00722A88"/>
    <w:rsid w:val="00723B5F"/>
    <w:rsid w:val="00731BC3"/>
    <w:rsid w:val="00741192"/>
    <w:rsid w:val="00743A33"/>
    <w:rsid w:val="00746080"/>
    <w:rsid w:val="0075144A"/>
    <w:rsid w:val="00756E97"/>
    <w:rsid w:val="00770A87"/>
    <w:rsid w:val="00786329"/>
    <w:rsid w:val="00792C7D"/>
    <w:rsid w:val="00793C29"/>
    <w:rsid w:val="00794A4D"/>
    <w:rsid w:val="007A5234"/>
    <w:rsid w:val="007B7854"/>
    <w:rsid w:val="007C3A3E"/>
    <w:rsid w:val="007C56A1"/>
    <w:rsid w:val="007C6454"/>
    <w:rsid w:val="007E01E0"/>
    <w:rsid w:val="007E5CA0"/>
    <w:rsid w:val="007F0B93"/>
    <w:rsid w:val="007F2ECA"/>
    <w:rsid w:val="00802960"/>
    <w:rsid w:val="00811708"/>
    <w:rsid w:val="00816B90"/>
    <w:rsid w:val="00817799"/>
    <w:rsid w:val="00822F5F"/>
    <w:rsid w:val="00824FD3"/>
    <w:rsid w:val="00826589"/>
    <w:rsid w:val="00834BCC"/>
    <w:rsid w:val="00850D54"/>
    <w:rsid w:val="00852E2B"/>
    <w:rsid w:val="008714B0"/>
    <w:rsid w:val="00876331"/>
    <w:rsid w:val="00880726"/>
    <w:rsid w:val="008A3544"/>
    <w:rsid w:val="008B48B8"/>
    <w:rsid w:val="008B5348"/>
    <w:rsid w:val="008B58F8"/>
    <w:rsid w:val="008B62FF"/>
    <w:rsid w:val="008C0712"/>
    <w:rsid w:val="008C4520"/>
    <w:rsid w:val="008C5F09"/>
    <w:rsid w:val="008D470F"/>
    <w:rsid w:val="008E1F8F"/>
    <w:rsid w:val="008E4768"/>
    <w:rsid w:val="008E6523"/>
    <w:rsid w:val="008E761E"/>
    <w:rsid w:val="008F77B3"/>
    <w:rsid w:val="009008F5"/>
    <w:rsid w:val="00904CC1"/>
    <w:rsid w:val="009066AF"/>
    <w:rsid w:val="00912050"/>
    <w:rsid w:val="00912E48"/>
    <w:rsid w:val="00912E68"/>
    <w:rsid w:val="0092746F"/>
    <w:rsid w:val="00927A2D"/>
    <w:rsid w:val="00935DC9"/>
    <w:rsid w:val="0093651A"/>
    <w:rsid w:val="009446C0"/>
    <w:rsid w:val="00955762"/>
    <w:rsid w:val="0096082E"/>
    <w:rsid w:val="00961347"/>
    <w:rsid w:val="00964C13"/>
    <w:rsid w:val="00967410"/>
    <w:rsid w:val="00967D73"/>
    <w:rsid w:val="0098119A"/>
    <w:rsid w:val="00984AAF"/>
    <w:rsid w:val="00991B09"/>
    <w:rsid w:val="00993CB2"/>
    <w:rsid w:val="009A5166"/>
    <w:rsid w:val="009A76F8"/>
    <w:rsid w:val="009B2B83"/>
    <w:rsid w:val="009C49F8"/>
    <w:rsid w:val="009D77CC"/>
    <w:rsid w:val="009D797A"/>
    <w:rsid w:val="009E2423"/>
    <w:rsid w:val="009E55D7"/>
    <w:rsid w:val="009F4150"/>
    <w:rsid w:val="009F5665"/>
    <w:rsid w:val="009F5DAD"/>
    <w:rsid w:val="00A01BCA"/>
    <w:rsid w:val="00A10458"/>
    <w:rsid w:val="00A153B6"/>
    <w:rsid w:val="00A164D5"/>
    <w:rsid w:val="00A273C3"/>
    <w:rsid w:val="00A30C37"/>
    <w:rsid w:val="00A36C65"/>
    <w:rsid w:val="00A41BBE"/>
    <w:rsid w:val="00A443E3"/>
    <w:rsid w:val="00A45BDD"/>
    <w:rsid w:val="00A46A0A"/>
    <w:rsid w:val="00A553F8"/>
    <w:rsid w:val="00A6708F"/>
    <w:rsid w:val="00A703AF"/>
    <w:rsid w:val="00A71BF6"/>
    <w:rsid w:val="00A72AF9"/>
    <w:rsid w:val="00A86342"/>
    <w:rsid w:val="00A86F9A"/>
    <w:rsid w:val="00AA35E6"/>
    <w:rsid w:val="00AA50B6"/>
    <w:rsid w:val="00AB3472"/>
    <w:rsid w:val="00AD0762"/>
    <w:rsid w:val="00AE0209"/>
    <w:rsid w:val="00AE3DCF"/>
    <w:rsid w:val="00AE4452"/>
    <w:rsid w:val="00AE7C38"/>
    <w:rsid w:val="00B01F99"/>
    <w:rsid w:val="00B02B37"/>
    <w:rsid w:val="00B05276"/>
    <w:rsid w:val="00B132DB"/>
    <w:rsid w:val="00B31427"/>
    <w:rsid w:val="00B33861"/>
    <w:rsid w:val="00B40DE2"/>
    <w:rsid w:val="00B50210"/>
    <w:rsid w:val="00B50D8D"/>
    <w:rsid w:val="00B53955"/>
    <w:rsid w:val="00B53BFC"/>
    <w:rsid w:val="00B63C79"/>
    <w:rsid w:val="00B6408A"/>
    <w:rsid w:val="00B6478A"/>
    <w:rsid w:val="00B714B8"/>
    <w:rsid w:val="00B74123"/>
    <w:rsid w:val="00B82C2C"/>
    <w:rsid w:val="00B8720B"/>
    <w:rsid w:val="00B876EF"/>
    <w:rsid w:val="00B91FB5"/>
    <w:rsid w:val="00B921FA"/>
    <w:rsid w:val="00B95DEA"/>
    <w:rsid w:val="00BA4697"/>
    <w:rsid w:val="00BB5378"/>
    <w:rsid w:val="00BC0BD3"/>
    <w:rsid w:val="00BC64C6"/>
    <w:rsid w:val="00BD0107"/>
    <w:rsid w:val="00BE0C33"/>
    <w:rsid w:val="00BE262C"/>
    <w:rsid w:val="00BE4C25"/>
    <w:rsid w:val="00BE6C3D"/>
    <w:rsid w:val="00C07606"/>
    <w:rsid w:val="00C12542"/>
    <w:rsid w:val="00C130EE"/>
    <w:rsid w:val="00C24725"/>
    <w:rsid w:val="00C30BA9"/>
    <w:rsid w:val="00C3541E"/>
    <w:rsid w:val="00C36A8F"/>
    <w:rsid w:val="00C42834"/>
    <w:rsid w:val="00C42FFA"/>
    <w:rsid w:val="00C507D8"/>
    <w:rsid w:val="00C51F5A"/>
    <w:rsid w:val="00C57018"/>
    <w:rsid w:val="00C62EAC"/>
    <w:rsid w:val="00C63F9F"/>
    <w:rsid w:val="00C7723C"/>
    <w:rsid w:val="00C838F5"/>
    <w:rsid w:val="00C841C0"/>
    <w:rsid w:val="00CA1AF4"/>
    <w:rsid w:val="00CA6068"/>
    <w:rsid w:val="00CB15E1"/>
    <w:rsid w:val="00CB3D46"/>
    <w:rsid w:val="00CC5712"/>
    <w:rsid w:val="00CD1A87"/>
    <w:rsid w:val="00CD35F3"/>
    <w:rsid w:val="00CD5C93"/>
    <w:rsid w:val="00CE342B"/>
    <w:rsid w:val="00CF320C"/>
    <w:rsid w:val="00CF3A4B"/>
    <w:rsid w:val="00CF4001"/>
    <w:rsid w:val="00CF75DF"/>
    <w:rsid w:val="00D05837"/>
    <w:rsid w:val="00D12D8A"/>
    <w:rsid w:val="00D13E0C"/>
    <w:rsid w:val="00D20752"/>
    <w:rsid w:val="00D25896"/>
    <w:rsid w:val="00D373A1"/>
    <w:rsid w:val="00D37C0F"/>
    <w:rsid w:val="00D45661"/>
    <w:rsid w:val="00D45943"/>
    <w:rsid w:val="00D47D22"/>
    <w:rsid w:val="00D514EB"/>
    <w:rsid w:val="00D51865"/>
    <w:rsid w:val="00D51D0C"/>
    <w:rsid w:val="00D74140"/>
    <w:rsid w:val="00DA6E56"/>
    <w:rsid w:val="00DA78DD"/>
    <w:rsid w:val="00DB1C65"/>
    <w:rsid w:val="00DC24E5"/>
    <w:rsid w:val="00DC6705"/>
    <w:rsid w:val="00DD2DE8"/>
    <w:rsid w:val="00DE38B4"/>
    <w:rsid w:val="00DE5D02"/>
    <w:rsid w:val="00DF2102"/>
    <w:rsid w:val="00E005A9"/>
    <w:rsid w:val="00E065BA"/>
    <w:rsid w:val="00E1166E"/>
    <w:rsid w:val="00E24DC0"/>
    <w:rsid w:val="00E2519C"/>
    <w:rsid w:val="00E25F2A"/>
    <w:rsid w:val="00E41455"/>
    <w:rsid w:val="00E42AD2"/>
    <w:rsid w:val="00E50856"/>
    <w:rsid w:val="00E538CC"/>
    <w:rsid w:val="00E54BBD"/>
    <w:rsid w:val="00E54DBA"/>
    <w:rsid w:val="00E63D7C"/>
    <w:rsid w:val="00E640D5"/>
    <w:rsid w:val="00E66E2E"/>
    <w:rsid w:val="00E67691"/>
    <w:rsid w:val="00E92237"/>
    <w:rsid w:val="00E951EF"/>
    <w:rsid w:val="00EA3D54"/>
    <w:rsid w:val="00EA56D9"/>
    <w:rsid w:val="00EA5CE3"/>
    <w:rsid w:val="00EB51C1"/>
    <w:rsid w:val="00EB5AE1"/>
    <w:rsid w:val="00EB5E0B"/>
    <w:rsid w:val="00EC2171"/>
    <w:rsid w:val="00EC77FA"/>
    <w:rsid w:val="00ED442D"/>
    <w:rsid w:val="00ED70C2"/>
    <w:rsid w:val="00EE18FF"/>
    <w:rsid w:val="00EE3E29"/>
    <w:rsid w:val="00EE489F"/>
    <w:rsid w:val="00F0647F"/>
    <w:rsid w:val="00F10CE3"/>
    <w:rsid w:val="00F12006"/>
    <w:rsid w:val="00F13443"/>
    <w:rsid w:val="00F14F3B"/>
    <w:rsid w:val="00F16362"/>
    <w:rsid w:val="00F207C7"/>
    <w:rsid w:val="00F36B6D"/>
    <w:rsid w:val="00F43FA3"/>
    <w:rsid w:val="00F55648"/>
    <w:rsid w:val="00F70046"/>
    <w:rsid w:val="00F748C2"/>
    <w:rsid w:val="00F74958"/>
    <w:rsid w:val="00F76C5C"/>
    <w:rsid w:val="00F81EF3"/>
    <w:rsid w:val="00F84496"/>
    <w:rsid w:val="00F85DCB"/>
    <w:rsid w:val="00F86F9C"/>
    <w:rsid w:val="00F90D76"/>
    <w:rsid w:val="00F923C9"/>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C4595E"/>
  <w15:docId w15:val="{56554FDD-7B2A-44F4-88CD-953068C88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5E5181"/>
    <w:pPr>
      <w:spacing w:after="0" w:line="240" w:lineRule="auto"/>
      <w:jc w:val="center"/>
    </w:pPr>
    <w:rPr>
      <w:rFonts w:ascii="Calibri" w:hAnsi="Calibri"/>
      <w:color w:val="000000" w:themeColor="text1"/>
    </w:rPr>
    <w:tblPr>
      <w:tblStyleRowBandSize w:val="1"/>
      <w:tblCellMar>
        <w:top w:w="57" w:type="dxa"/>
        <w:left w:w="57" w:type="dxa"/>
        <w:bottom w:w="57" w:type="dxa"/>
        <w:right w:w="57" w:type="dxa"/>
      </w:tblCellMar>
    </w:tblPr>
    <w:tcPr>
      <w:vAlign w:val="center"/>
    </w:tcPr>
    <w:tblStylePr w:type="firstRow">
      <w:pPr>
        <w:jc w:val="center"/>
      </w:pPr>
      <w:rPr>
        <w:rFonts w:asciiTheme="minorHAnsi" w:hAnsiTheme="minorHAnsi"/>
        <w:b/>
        <w:color w:val="FFFFFF" w:themeColor="background1"/>
        <w:sz w:val="22"/>
      </w:rPr>
      <w:tblPr/>
      <w:tcPr>
        <w:tcBorders>
          <w:insideH w:val="single" w:sz="4" w:space="0" w:color="F7ECDD"/>
          <w:insideV w:val="single" w:sz="4" w:space="0" w:color="F7ECDD"/>
        </w:tcBorders>
        <w:shd w:val="clear" w:color="auto" w:fill="404040" w:themeFill="text1" w:themeFillTint="BF"/>
      </w:tcPr>
    </w:tblStylePr>
    <w:tblStylePr w:type="lastRow">
      <w:rPr>
        <w:b/>
      </w:rPr>
      <w:tblPr/>
      <w:tcPr>
        <w:shd w:val="clear" w:color="auto" w:fill="F7ECDD"/>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styleId="UnresolvedMention">
    <w:name w:val="Unresolved Mention"/>
    <w:basedOn w:val="DefaultParagraphFont"/>
    <w:uiPriority w:val="99"/>
    <w:semiHidden/>
    <w:unhideWhenUsed/>
    <w:rsid w:val="00B50D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1637644058">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http://www.health.gov.au/cdi" TargetMode="External"/><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yperlink" Target="mailto:cdi.editor@health.gov.au" TargetMode="Externa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2.xml"/><Relationship Id="rId25" Type="http://schemas.openxmlformats.org/officeDocument/2006/relationships/hyperlink" Target="http://www.health.gov.au/cdna"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health.gov.au/cd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mailto:copyright@health.gov.au"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yperlink" Target="http://www.itsanhonour.gov.au/" TargetMode="External"/><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mailto:cdi.editor@health.gov.au" TargetMode="External"/><Relationship Id="rId4" Type="http://schemas.openxmlformats.org/officeDocument/2006/relationships/styles" Target="styles.xml"/><Relationship Id="rId9" Type="http://schemas.openxmlformats.org/officeDocument/2006/relationships/hyperlink" Target="http://health.gov.au/cdi" TargetMode="External"/><Relationship Id="rId14" Type="http://schemas.openxmlformats.org/officeDocument/2006/relationships/image" Target="media/image5.png"/><Relationship Id="rId22" Type="http://schemas.openxmlformats.org/officeDocument/2006/relationships/hyperlink" Target="https://creativecommons.org/licenses/by-nc-nd/4.0/legalcode"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ousek\OneDrive%20-%20Department%20of%20Health\Desktop\T%202023\template-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template-2023.dotx</Template>
  <TotalTime>22</TotalTime>
  <Pages>11</Pages>
  <Words>4455</Words>
  <Characters>27111</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Communicable Diseases Intelligence - Five zoonotic cases of toxigenic Corynebacterium ulcerans, Queensland, Australia</vt:lpstr>
    </vt:vector>
  </TitlesOfParts>
  <Company>Australian Government, Department of Health</Company>
  <LinksUpToDate>false</LinksUpToDate>
  <CharactersWithSpaces>31503</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Five zoonotic cases of toxigenic Corynebacterium ulcerans, Queensland, Australia</dc:title>
  <dc:subject>Five cases of toxigenic cutaneous Corynebacterium ulcerans from Queensland, Australia between 2015 and 2023 with links to their companion animals are described. Information is provided about clinical and microbiological findings including typing by MLST and whole genome sequencing, treatment and follow up of contacts and their domestic animals who had the same strain as their owners. No links were found between the human cases and there was no transmission to any close human contacts.</dc:subject>
  <dc:creator>Vicki G Slinko; Christine JD Guglielmino; Alexandra M Uren; James KG Smith; Deborah Neucom; Nicolas R Smoll; Rikki MA Graham; Ning-Xia Fang; Helen V Smith; Amanda E Armstrong; Alison A Kenny; Janet L Farmer; Catherine Quagliotto; Amy V Jennison</dc:creator>
  <cp:keywords>Corynebacterium ulcerans; Australia; diphtheria toxoid; zoonoses; public health; whole genome sequencing</cp:keywords>
  <dc:description>© Commonwealth of Australia CC BY-NC-ND ISSN: 2209-6051 (Online)</dc:description>
  <cp:lastModifiedBy>YOUSEFI, Kasra</cp:lastModifiedBy>
  <cp:revision>16</cp:revision>
  <cp:lastPrinted>2018-05-10T02:19:00Z</cp:lastPrinted>
  <dcterms:created xsi:type="dcterms:W3CDTF">2023-09-06T05:47:00Z</dcterms:created>
  <dcterms:modified xsi:type="dcterms:W3CDTF">2023-09-11T06:42:00Z</dcterms:modified>
  <cp:category>Original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2023</vt:lpwstr>
  </property>
  <property fmtid="{D5CDD505-2E9C-101B-9397-08002B2CF9AE}" pid="3" name="Vol">
    <vt:i4>47</vt:i4>
  </property>
  <property fmtid="{D5CDD505-2E9C-101B-9397-08002B2CF9AE}" pid="4" name="ePubDate">
    <vt:lpwstr>21/09/2023</vt:lpwstr>
  </property>
  <property fmtid="{D5CDD505-2E9C-101B-9397-08002B2CF9AE}" pid="5" name="DOI">
    <vt:lpwstr>https://doi.org/10.33321/cdi.2023.47.53</vt:lpwstr>
  </property>
</Properties>
</file>