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876B1" w14:textId="19EBDFEF" w:rsidR="00B50D8D" w:rsidRPr="00B50D8D" w:rsidRDefault="00B50D8D" w:rsidP="00B50D8D">
      <w:pPr>
        <w:pStyle w:val="CDIfootnotes"/>
      </w:pPr>
      <w:r w:rsidRPr="00B50D8D">
        <w:rPr>
          <w:i/>
          <w:iCs/>
        </w:rPr>
        <w:t>Communicable Diseases Intelligence</w:t>
      </w:r>
      <w:r w:rsidRPr="00B50D8D">
        <w:t xml:space="preserve">, Year </w:t>
      </w:r>
      <w:r w:rsidR="00241151">
        <w:fldChar w:fldCharType="begin"/>
      </w:r>
      <w:r w:rsidR="00241151">
        <w:instrText xml:space="preserve"> DOCPROPERTY  Year  \* MERGEFORMAT </w:instrText>
      </w:r>
      <w:r w:rsidR="00241151">
        <w:fldChar w:fldCharType="separate"/>
      </w:r>
      <w:r w:rsidR="00C2722E">
        <w:t>2023</w:t>
      </w:r>
      <w:r w:rsidR="00241151">
        <w:fldChar w:fldCharType="end"/>
      </w:r>
      <w:r w:rsidRPr="00B50D8D">
        <w:t xml:space="preserve">, Volume </w:t>
      </w:r>
      <w:r w:rsidR="00241151">
        <w:fldChar w:fldCharType="begin"/>
      </w:r>
      <w:r w:rsidR="00241151">
        <w:instrText xml:space="preserve"> DOCPROPERTY  Vol  \* MERGEFORMAT </w:instrText>
      </w:r>
      <w:r w:rsidR="00241151">
        <w:fldChar w:fldCharType="separate"/>
      </w:r>
      <w:r w:rsidR="00C2722E">
        <w:t>47</w:t>
      </w:r>
      <w:r w:rsidR="00241151">
        <w:fldChar w:fldCharType="end"/>
      </w:r>
    </w:p>
    <w:p w14:paraId="5F7E16A7" w14:textId="695660F6" w:rsidR="00B50D8D" w:rsidRPr="00B50D8D" w:rsidRDefault="00241151" w:rsidP="00B50D8D">
      <w:pPr>
        <w:pStyle w:val="CDIfootnotes"/>
      </w:pPr>
      <w:r>
        <w:fldChar w:fldCharType="begin"/>
      </w:r>
      <w:r>
        <w:instrText xml:space="preserve"> DOCPROPERTY  DOI  \* MERGEFORMAT </w:instrText>
      </w:r>
      <w:r>
        <w:fldChar w:fldCharType="separate"/>
      </w:r>
      <w:r w:rsidR="0093431B">
        <w:t>https://doi.org/10.33321/cdi.2023.47.56</w:t>
      </w:r>
      <w:r>
        <w:fldChar w:fldCharType="end"/>
      </w:r>
    </w:p>
    <w:p w14:paraId="0337E0E9" w14:textId="75BD3B50" w:rsidR="00B50D8D" w:rsidRPr="00B50D8D" w:rsidRDefault="00B50D8D" w:rsidP="00B50D8D">
      <w:pPr>
        <w:pStyle w:val="CDIfootnotes"/>
      </w:pPr>
      <w:r w:rsidRPr="00B50D8D">
        <w:t xml:space="preserve">Publication date: </w:t>
      </w:r>
      <w:r w:rsidR="00241151">
        <w:fldChar w:fldCharType="begin"/>
      </w:r>
      <w:r w:rsidR="00241151">
        <w:instrText xml:space="preserve"> DOCPROPERTY  ePubDate  \* MERGEFORMAT </w:instrText>
      </w:r>
      <w:r w:rsidR="00241151">
        <w:fldChar w:fldCharType="separate"/>
      </w:r>
      <w:r w:rsidR="006A18DD">
        <w:t>21/09/2023</w:t>
      </w:r>
      <w:r w:rsidR="00241151">
        <w:fldChar w:fldCharType="end"/>
      </w:r>
    </w:p>
    <w:p w14:paraId="11BC05C4" w14:textId="0EB65D4A" w:rsidR="00B50D8D" w:rsidRPr="00B50D8D" w:rsidRDefault="00241151" w:rsidP="00B50D8D">
      <w:pPr>
        <w:pStyle w:val="CDIfootnotes"/>
      </w:pPr>
      <w:hyperlink r:id="rId9" w:history="1">
        <w:r w:rsidR="00B50D8D" w:rsidRPr="00B50D8D">
          <w:rPr>
            <w:rStyle w:val="Hyperlink"/>
          </w:rPr>
          <w:t>http://health.gov.au/cdi</w:t>
        </w:r>
      </w:hyperlink>
      <w:r w:rsidR="00B50D8D" w:rsidRPr="00B50D8D">
        <w:t xml:space="preserve"> </w:t>
      </w:r>
    </w:p>
    <w:p w14:paraId="1B1394C4" w14:textId="77777777" w:rsidR="00F46060" w:rsidRDefault="00F46060" w:rsidP="00F46060">
      <w:pPr>
        <w:pStyle w:val="Title"/>
        <w:divId w:val="1964146631"/>
        <w:rPr>
          <w:rFonts w:eastAsia="Times New Roman"/>
          <w:sz w:val="48"/>
          <w:szCs w:val="48"/>
        </w:rPr>
      </w:pPr>
      <w:r>
        <w:rPr>
          <w:rFonts w:eastAsia="Times New Roman"/>
        </w:rPr>
        <w:t xml:space="preserve">The impact of the National Shingles Vaccination Program on the epidemiology of herpes zoster among adults ≥ 60 years in Victoria, Australia </w:t>
      </w:r>
    </w:p>
    <w:p w14:paraId="593EF4CC" w14:textId="77777777" w:rsidR="00F46060" w:rsidRDefault="00F46060" w:rsidP="00F46060">
      <w:pPr>
        <w:divId w:val="1964146631"/>
      </w:pPr>
      <w:bookmarkStart w:id="0" w:name="_Hlk145425655"/>
      <w:r>
        <w:t xml:space="preserve">Madeleine J </w:t>
      </w:r>
      <w:proofErr w:type="spellStart"/>
      <w:r>
        <w:t>Marsland</w:t>
      </w:r>
      <w:proofErr w:type="spellEnd"/>
      <w:r>
        <w:t xml:space="preserve">, Anna </w:t>
      </w:r>
      <w:proofErr w:type="spellStart"/>
      <w:r>
        <w:t>Glynn-Robinson</w:t>
      </w:r>
      <w:proofErr w:type="spellEnd"/>
      <w:r>
        <w:t xml:space="preserve">, Rebecca F Gang, Janet Strachan </w:t>
      </w:r>
    </w:p>
    <w:bookmarkEnd w:id="0"/>
    <w:p w14:paraId="5F422EE4" w14:textId="77777777" w:rsidR="00F46060" w:rsidRPr="00F46060" w:rsidRDefault="00F46060" w:rsidP="00F46060">
      <w:pPr>
        <w:pStyle w:val="Heading1"/>
        <w:divId w:val="1964146631"/>
      </w:pPr>
      <w:r w:rsidRPr="00F46060">
        <w:t xml:space="preserve">Abstract </w:t>
      </w:r>
    </w:p>
    <w:p w14:paraId="090DD98B" w14:textId="77777777" w:rsidR="00F46060" w:rsidRPr="00F46060" w:rsidRDefault="00F46060" w:rsidP="00F46060">
      <w:pPr>
        <w:pStyle w:val="Heading2"/>
        <w:divId w:val="1964146631"/>
      </w:pPr>
      <w:r w:rsidRPr="00F46060">
        <w:t xml:space="preserve">Introduction </w:t>
      </w:r>
    </w:p>
    <w:p w14:paraId="735F4E82" w14:textId="77777777" w:rsidR="00F46060" w:rsidRDefault="00F46060" w:rsidP="00F46060">
      <w:pPr>
        <w:divId w:val="1964146631"/>
      </w:pPr>
      <w:r>
        <w:t xml:space="preserve">In November 2016, Australia recommended herpes zoster (HZ) vaccination for adults aged ≥ 60 years and implemented a National Shingles Vaccination Program (NSVP) offering free HZ vaccination to adults aged 70–79 years. This study investigated trends in HZ epidemiology among Victorian adults aged ≥ 60 years and the impact of the NSVP in this population. </w:t>
      </w:r>
    </w:p>
    <w:p w14:paraId="2A53C717" w14:textId="77777777" w:rsidR="00F46060" w:rsidRPr="00F46060" w:rsidRDefault="00F46060" w:rsidP="00F46060">
      <w:pPr>
        <w:pStyle w:val="Heading2"/>
        <w:divId w:val="1964146631"/>
      </w:pPr>
      <w:r w:rsidRPr="00F46060">
        <w:t xml:space="preserve">Methods </w:t>
      </w:r>
    </w:p>
    <w:p w14:paraId="6B098C8D" w14:textId="77777777" w:rsidR="00F46060" w:rsidRDefault="00F46060" w:rsidP="00F46060">
      <w:pPr>
        <w:divId w:val="1964146631"/>
      </w:pPr>
      <w:r>
        <w:t xml:space="preserve">We conducted epidemiological analyses of routinely collected HZ surveillance data for Victorian adults aged ≥ 60 years who </w:t>
      </w:r>
      <w:proofErr w:type="gramStart"/>
      <w:r>
        <w:t>were notified</w:t>
      </w:r>
      <w:proofErr w:type="gramEnd"/>
      <w:r>
        <w:t xml:space="preserve"> as having a HZ illness or vaccination between 2012 and 2021. Annual incidence rates are presented for vaccinations, case notifications, emergency department presentations, </w:t>
      </w:r>
      <w:proofErr w:type="gramStart"/>
      <w:r>
        <w:t>hospitalisations</w:t>
      </w:r>
      <w:proofErr w:type="gramEnd"/>
      <w:r>
        <w:t xml:space="preserve"> and deaths by five-year age groups. Age-specific incidence rate ratios </w:t>
      </w:r>
      <w:proofErr w:type="gramStart"/>
      <w:r>
        <w:t>are calculated</w:t>
      </w:r>
      <w:proofErr w:type="gramEnd"/>
      <w:r>
        <w:t xml:space="preserve"> comparing the period prior to (1 January 2012 to 31 October 2016) and following (1 November 2016 to 31 December 2021) NSVP implementation. </w:t>
      </w:r>
    </w:p>
    <w:p w14:paraId="6861FD33" w14:textId="77777777" w:rsidR="00F46060" w:rsidRPr="00F46060" w:rsidRDefault="00F46060" w:rsidP="00F46060">
      <w:pPr>
        <w:pStyle w:val="Heading2"/>
        <w:divId w:val="1964146631"/>
      </w:pPr>
      <w:r w:rsidRPr="00F46060">
        <w:t xml:space="preserve">Results </w:t>
      </w:r>
    </w:p>
    <w:p w14:paraId="123B70A9" w14:textId="77777777" w:rsidR="00F46060" w:rsidRDefault="00F46060" w:rsidP="00F46060">
      <w:pPr>
        <w:divId w:val="1964146631"/>
      </w:pPr>
      <w:r>
        <w:t>HZ vaccination rates were highest among those eligible to receive free vaccination (70–79 years</w:t>
      </w:r>
      <w:proofErr w:type="gramStart"/>
      <w:r>
        <w:t>), but</w:t>
      </w:r>
      <w:proofErr w:type="gramEnd"/>
      <w:r>
        <w:t xml:space="preserve"> appear to have plateaued across all age groups and remained below full coverage. Incidence rate ratios showed a statistically significant increase (</w:t>
      </w:r>
      <w:r w:rsidRPr="00BB363F">
        <w:rPr>
          <w:rStyle w:val="Emphasis"/>
          <w:b w:val="0"/>
          <w:bCs w:val="0"/>
        </w:rPr>
        <w:t>p</w:t>
      </w:r>
      <w:r>
        <w:t xml:space="preserve"> &lt; 0.01) in HZ notifications across all age-groups. Emergency presentations and hospitalisations showed a statistically significant decline (</w:t>
      </w:r>
      <w:r w:rsidRPr="00BB363F">
        <w:rPr>
          <w:rStyle w:val="Emphasis"/>
          <w:b w:val="0"/>
          <w:bCs w:val="0"/>
        </w:rPr>
        <w:t>p</w:t>
      </w:r>
      <w:r>
        <w:t xml:space="preserve"> &lt; 0.05) among the 70–</w:t>
      </w:r>
      <w:proofErr w:type="gramStart"/>
      <w:r>
        <w:t>79 year old</w:t>
      </w:r>
      <w:proofErr w:type="gramEnd"/>
      <w:r>
        <w:t xml:space="preserve"> age groups; however, these rates remained consistent or increased among other age groups for whom vaccination is recommended. Mortality rates declined, particularly among those aged 85+ years. </w:t>
      </w:r>
    </w:p>
    <w:p w14:paraId="0D5DC2CA" w14:textId="77777777" w:rsidR="00F46060" w:rsidRPr="00F46060" w:rsidRDefault="00F46060" w:rsidP="00F46060">
      <w:pPr>
        <w:pStyle w:val="Heading2"/>
        <w:divId w:val="1964146631"/>
      </w:pPr>
      <w:r w:rsidRPr="00F46060">
        <w:t xml:space="preserve">Discussion </w:t>
      </w:r>
    </w:p>
    <w:p w14:paraId="6106661E" w14:textId="77777777" w:rsidR="00F46060" w:rsidRDefault="00F46060" w:rsidP="00F46060">
      <w:pPr>
        <w:divId w:val="1964146631"/>
      </w:pPr>
      <w:r>
        <w:t xml:space="preserve">HZ continues to cause significant disease among the older adult population in Victoria. The findings of this study suggest the NSVP has led to </w:t>
      </w:r>
      <w:proofErr w:type="gramStart"/>
      <w:r>
        <w:t>some</w:t>
      </w:r>
      <w:proofErr w:type="gramEnd"/>
      <w:r>
        <w:t xml:space="preserve"> changes in the epidemiology of HZ among the 70–79 years old age group in Victoria; however, there is less evidence that it has influenced other age groups for whom vaccination is recommended. An evaluation of the NSVP and epidemiology of HZ at a national level </w:t>
      </w:r>
      <w:proofErr w:type="gramStart"/>
      <w:r>
        <w:t>is required to</w:t>
      </w:r>
      <w:proofErr w:type="gramEnd"/>
      <w:r>
        <w:t xml:space="preserve"> identify strategies to improve vaccination coverage among the target populations. </w:t>
      </w:r>
    </w:p>
    <w:p w14:paraId="4D888994" w14:textId="77777777" w:rsidR="00F46060" w:rsidRDefault="00F46060" w:rsidP="00F46060">
      <w:pPr>
        <w:divId w:val="1964146631"/>
      </w:pPr>
      <w:r>
        <w:t>Keywords:</w:t>
      </w:r>
      <w:r>
        <w:rPr>
          <w:rStyle w:val="Strong"/>
        </w:rPr>
        <w:t xml:space="preserve"> </w:t>
      </w:r>
      <w:r>
        <w:t xml:space="preserve">Herpes zoster; herpes zoster vaccine; vaccine-preventable diseases; epidemiology </w:t>
      </w:r>
    </w:p>
    <w:p w14:paraId="7AF2656F" w14:textId="77777777" w:rsidR="004C3943" w:rsidRDefault="004C3943">
      <w:pPr>
        <w:rPr>
          <w:rFonts w:asciiTheme="majorHAnsi" w:eastAsiaTheme="majorEastAsia" w:hAnsiTheme="majorHAnsi" w:cstheme="majorBidi"/>
          <w:b/>
          <w:bCs/>
          <w:sz w:val="32"/>
          <w:szCs w:val="28"/>
        </w:rPr>
      </w:pPr>
      <w:r>
        <w:br w:type="page"/>
      </w:r>
    </w:p>
    <w:p w14:paraId="0A12D633" w14:textId="032D4666" w:rsidR="00F46060" w:rsidRPr="00F46060" w:rsidRDefault="00F46060" w:rsidP="00F46060">
      <w:pPr>
        <w:pStyle w:val="Heading1"/>
        <w:divId w:val="1964146631"/>
      </w:pPr>
      <w:r w:rsidRPr="00F46060">
        <w:lastRenderedPageBreak/>
        <w:t xml:space="preserve">Introduction </w:t>
      </w:r>
    </w:p>
    <w:p w14:paraId="0FB0176E" w14:textId="77777777" w:rsidR="00F46060" w:rsidRDefault="00F46060" w:rsidP="00F46060">
      <w:pPr>
        <w:divId w:val="1964146631"/>
      </w:pPr>
      <w:r>
        <w:t>Herpes zoster (HZ), commonly known as shingles, is a reactivation of varicella zoster virus (VZV) infection. The incidence of HZ is increasing globally among unvaccinated populations.</w:t>
      </w:r>
      <w:r>
        <w:rPr>
          <w:vertAlign w:val="superscript"/>
        </w:rPr>
        <w:t>1</w:t>
      </w:r>
      <w:r>
        <w:t xml:space="preserve"> The lifetime risk of HZ is approximately one in three,</w:t>
      </w:r>
      <w:r>
        <w:rPr>
          <w:vertAlign w:val="superscript"/>
        </w:rPr>
        <w:t>2,3</w:t>
      </w:r>
      <w:r>
        <w:t xml:space="preserve"> with incidence and complication rates highest amongst older adults.</w:t>
      </w:r>
      <w:r>
        <w:rPr>
          <w:vertAlign w:val="superscript"/>
        </w:rPr>
        <w:t>1,</w:t>
      </w:r>
      <w:proofErr w:type="gramStart"/>
      <w:r>
        <w:rPr>
          <w:vertAlign w:val="superscript"/>
        </w:rPr>
        <w:t>2</w:t>
      </w:r>
      <w:proofErr w:type="gramEnd"/>
      <w:r>
        <w:rPr>
          <w:vertAlign w:val="superscript"/>
        </w:rPr>
        <w:t xml:space="preserve"> </w:t>
      </w:r>
    </w:p>
    <w:p w14:paraId="717F9393" w14:textId="77777777" w:rsidR="00F46060" w:rsidRDefault="00F46060" w:rsidP="00F46060">
      <w:pPr>
        <w:divId w:val="1964146631"/>
      </w:pPr>
      <w:r>
        <w:t>There are two HZ vaccines approved for use within Australia: Zostavax, a live-attenuated single-dose HZ vaccine, and Shingrix, a recombinant vaccine containing VZV glycoprotein E antigen given as a two-dose schedule two to six months apart.</w:t>
      </w:r>
      <w:r>
        <w:rPr>
          <w:vertAlign w:val="superscript"/>
        </w:rPr>
        <w:t>2,4</w:t>
      </w:r>
      <w:r>
        <w:t xml:space="preserve"> Zostavax has been available in Australia since 2006, whilst Shingrix was registered for use in the private market in 2021.</w:t>
      </w:r>
      <w:r>
        <w:rPr>
          <w:vertAlign w:val="superscript"/>
        </w:rPr>
        <w:t>2,4</w:t>
      </w:r>
      <w:r>
        <w:t xml:space="preserve"> Shingrix has greater effectiveness across all age groups, particularly among older adults aged ≥ 80 years, for whom Zostavax has very poor effectiveness.</w:t>
      </w:r>
      <w:r>
        <w:rPr>
          <w:vertAlign w:val="superscript"/>
        </w:rPr>
        <w:t>3–5</w:t>
      </w:r>
      <w:r>
        <w:t xml:space="preserve"> Shingrix is also considered a safer vaccine and is recommended for immunocompromised individuals.</w:t>
      </w:r>
      <w:r>
        <w:rPr>
          <w:vertAlign w:val="superscript"/>
        </w:rPr>
        <w:t>3</w:t>
      </w:r>
      <w:r>
        <w:t xml:space="preserve"> Protection from Shingrix is thought to last for at least 10 years, whereas Zostavax effectiveness wanes within 5–10 years.</w:t>
      </w:r>
      <w:r>
        <w:rPr>
          <w:vertAlign w:val="superscript"/>
        </w:rPr>
        <w:t>3</w:t>
      </w:r>
      <w:r>
        <w:t xml:space="preserve"> </w:t>
      </w:r>
    </w:p>
    <w:p w14:paraId="464D6C95" w14:textId="77777777" w:rsidR="00F46060" w:rsidRDefault="00F46060" w:rsidP="00F46060">
      <w:pPr>
        <w:divId w:val="1964146631"/>
      </w:pPr>
      <w:r>
        <w:t>In November 2016, Australia implemented a National Shingles Vaccination Program (NSVP). The Australian Technical Advisory Group on Immunisation recommended HZ vaccination for all adults aged ≥ 60 years, with Zostavax to be provided free-of-charge under the National Immunisation Program (NIP) to adults aged 70 years, and a time-limited catch-up program implemented for adults aged 71–79 years (until October 2023).</w:t>
      </w:r>
      <w:r>
        <w:rPr>
          <w:vertAlign w:val="superscript"/>
        </w:rPr>
        <w:t>3,6,7</w:t>
      </w:r>
      <w:r>
        <w:t xml:space="preserve"> In 2022, HZ vaccine recommendations were expanded to include immunocompetent adults aged ≥ 50 years and severely immunocompromised individuals aged ≥ 18 years.</w:t>
      </w:r>
      <w:r>
        <w:rPr>
          <w:vertAlign w:val="superscript"/>
        </w:rPr>
        <w:t>3</w:t>
      </w:r>
      <w:r>
        <w:t xml:space="preserve"> In 2023, the Australian Government announced that Shingrix would replace Zostavax on the NIP, with funded vaccination for all adults aged 70 years, for Aboriginal and Torres Strait Islanders aged 50 years and over, and for severely immunocompromised adults aged ≥ 18 years meeting specified criteria.</w:t>
      </w:r>
      <w:r>
        <w:rPr>
          <w:vertAlign w:val="superscript"/>
        </w:rPr>
        <w:t xml:space="preserve">8 </w:t>
      </w:r>
    </w:p>
    <w:p w14:paraId="234B6579" w14:textId="77777777" w:rsidR="00F46060" w:rsidRDefault="00F46060" w:rsidP="00F46060">
      <w:pPr>
        <w:divId w:val="1964146631"/>
      </w:pPr>
      <w:r>
        <w:t>To date, few studies have examined the impact of the NSVP in Australia.</w:t>
      </w:r>
      <w:r>
        <w:rPr>
          <w:vertAlign w:val="superscript"/>
        </w:rPr>
        <w:t>9–16</w:t>
      </w:r>
      <w:r>
        <w:t xml:space="preserve"> Early studies found a significant decline in the incidence of HZ in the first two to three years following implementation.</w:t>
      </w:r>
      <w:r>
        <w:rPr>
          <w:vertAlign w:val="superscript"/>
        </w:rPr>
        <w:t>10,12,13</w:t>
      </w:r>
      <w:r>
        <w:t xml:space="preserve"> However, these studies also suggested waning immunity may impact vaccine effectiveness and noted the need for further evaluations.</w:t>
      </w:r>
      <w:r>
        <w:rPr>
          <w:vertAlign w:val="superscript"/>
        </w:rPr>
        <w:t>10,12,13</w:t>
      </w:r>
      <w:r>
        <w:t xml:space="preserve"> There remains limited evidence regarding the long term impact of the NSVP.</w:t>
      </w:r>
      <w:r>
        <w:rPr>
          <w:vertAlign w:val="superscript"/>
        </w:rPr>
        <w:t>4</w:t>
      </w:r>
      <w:r>
        <w:t xml:space="preserve"> </w:t>
      </w:r>
    </w:p>
    <w:p w14:paraId="1E80A887" w14:textId="77777777" w:rsidR="00F46060" w:rsidRDefault="00F46060" w:rsidP="00F46060">
      <w:pPr>
        <w:divId w:val="1964146631"/>
      </w:pPr>
      <w:r>
        <w:t xml:space="preserve">We investigated trends in HZ epidemiology among Victorian adults aged ≥ 60 years before and after implementation of the NSVP. </w:t>
      </w:r>
    </w:p>
    <w:p w14:paraId="48CE0727" w14:textId="77777777" w:rsidR="00F46060" w:rsidRPr="00F46060" w:rsidRDefault="00F46060" w:rsidP="00F46060">
      <w:pPr>
        <w:pStyle w:val="Heading1"/>
        <w:divId w:val="1964146631"/>
      </w:pPr>
      <w:r w:rsidRPr="00F46060">
        <w:t xml:space="preserve">Methods </w:t>
      </w:r>
    </w:p>
    <w:p w14:paraId="22F54148" w14:textId="77777777" w:rsidR="00F46060" w:rsidRDefault="00F46060" w:rsidP="00F46060">
      <w:pPr>
        <w:divId w:val="1964146631"/>
      </w:pPr>
      <w:r>
        <w:t xml:space="preserve">Data from 2012–2021 </w:t>
      </w:r>
      <w:proofErr w:type="gramStart"/>
      <w:r>
        <w:t>were extracted</w:t>
      </w:r>
      <w:proofErr w:type="gramEnd"/>
      <w:r>
        <w:t xml:space="preserve"> for persons aged ≥ 60 years, with those aged 70–79 years considered ‘NIP-eligible’. This included 58 months of data prior to implementation of the NSVP (1 January 2012 to 31 October 2016: ‘pre-NSVP’) and 62 months of data following implementation (1 November 2016 to 31 December 2021: ‘post-NSVP’). </w:t>
      </w:r>
    </w:p>
    <w:p w14:paraId="35D62007" w14:textId="77777777" w:rsidR="00F46060" w:rsidRDefault="00F46060" w:rsidP="00F46060">
      <w:pPr>
        <w:divId w:val="1964146631"/>
      </w:pPr>
      <w:r>
        <w:t>De-</w:t>
      </w:r>
      <w:proofErr w:type="gramStart"/>
      <w:r>
        <w:t>identified</w:t>
      </w:r>
      <w:proofErr w:type="gramEnd"/>
      <w:r>
        <w:t xml:space="preserve"> individual vaccination data were sourced from the Australian Immunisation Register (AIR) for both Zostavax and Shingrix vaccinations. Data on vaccines distributed under the NIP </w:t>
      </w:r>
      <w:proofErr w:type="gramStart"/>
      <w:r>
        <w:t>were sourced</w:t>
      </w:r>
      <w:proofErr w:type="gramEnd"/>
      <w:r>
        <w:t xml:space="preserve"> from internal Victorian Department of Health data. Analysis of vaccination data </w:t>
      </w:r>
      <w:proofErr w:type="gramStart"/>
      <w:r>
        <w:t>is focussed</w:t>
      </w:r>
      <w:proofErr w:type="gramEnd"/>
      <w:r>
        <w:t xml:space="preserve"> on the post-NSVP period, as there was low vaccine uptake and poor data quality during the pre-NSVP period. </w:t>
      </w:r>
    </w:p>
    <w:p w14:paraId="72978136" w14:textId="77777777" w:rsidR="00F46060" w:rsidRDefault="00F46060" w:rsidP="00F46060">
      <w:pPr>
        <w:divId w:val="1964146631"/>
      </w:pPr>
      <w:r>
        <w:t>De-identified HZ case notifications were sourced from the Victorian Public Health Event Surveillance System (PHESS) and included ‘probable’ (clinical evidence only) and ‘confirmed’ (clinical and laboratory evidence) varicella zoster (shingles) notifications,</w:t>
      </w:r>
      <w:r>
        <w:rPr>
          <w:vertAlign w:val="superscript"/>
        </w:rPr>
        <w:t>17</w:t>
      </w:r>
      <w:r>
        <w:t xml:space="preserve"> and varicella (unspecified) notifications.</w:t>
      </w:r>
      <w:r>
        <w:rPr>
          <w:vertAlign w:val="superscript"/>
        </w:rPr>
        <w:t>18</w:t>
      </w:r>
      <w:r>
        <w:t xml:space="preserve"> Zoster is a routine notifiable condition in Victoria, with notification required by medical practitioners and pathology services within five days of diagnosis.</w:t>
      </w:r>
      <w:r>
        <w:rPr>
          <w:vertAlign w:val="superscript"/>
        </w:rPr>
        <w:t>19</w:t>
      </w:r>
      <w:r>
        <w:t xml:space="preserve"> By including varicella unspecified cases (i.e. notifications based on laboratory evidence without clinical notification), there is a risk of including chickenpox cases in the analysis. However, as few people in the age groups investigated would have been experiencing their primary varicella infection, excluding this varicella classification would have led to an undercount of case notifications. HZ testing data </w:t>
      </w:r>
      <w:proofErr w:type="gramStart"/>
      <w:r>
        <w:t>were sourced</w:t>
      </w:r>
      <w:proofErr w:type="gramEnd"/>
      <w:r>
        <w:t xml:space="preserve"> from internal Victorian Department of Health data by surveying Victorian public and private laboratories. </w:t>
      </w:r>
    </w:p>
    <w:p w14:paraId="3944D833" w14:textId="77777777" w:rsidR="00F46060" w:rsidRDefault="00F46060" w:rsidP="00F46060">
      <w:pPr>
        <w:divId w:val="1964146631"/>
      </w:pPr>
      <w:r>
        <w:t xml:space="preserve">De-identified data on emergency department (ED) presentations and hospitalisations </w:t>
      </w:r>
      <w:proofErr w:type="gramStart"/>
      <w:r>
        <w:t>were sourced</w:t>
      </w:r>
      <w:proofErr w:type="gramEnd"/>
      <w:r>
        <w:t xml:space="preserve"> from the Victorian Emergency Minimum Dataset (VEMD) and the Victorian Admitted Episodes Database (VAED) using the </w:t>
      </w:r>
      <w:r w:rsidRPr="00BB363F">
        <w:rPr>
          <w:rStyle w:val="Emphasis"/>
          <w:b w:val="0"/>
          <w:bCs w:val="0"/>
        </w:rPr>
        <w:t>International Statistical Classification of Diseases and Related Health Problems, tenth revision, Australian Modification</w:t>
      </w:r>
      <w:r>
        <w:t xml:space="preserve"> (ICD-10-AM) code B02 (Zoster). Mortality data were sourced from the Registry of Births, </w:t>
      </w:r>
      <w:proofErr w:type="gramStart"/>
      <w:r>
        <w:t>Deaths</w:t>
      </w:r>
      <w:proofErr w:type="gramEnd"/>
      <w:r>
        <w:t xml:space="preserve"> and Marriages Victoria – Victorian Deaths Index (VDI) using the search terms ‘varicella OR shingles OR zoster OR herpes OR herpetic OR VZV (excluding records with simplex)’ as cause of death. Individuals </w:t>
      </w:r>
      <w:proofErr w:type="gramStart"/>
      <w:r>
        <w:t>were considered</w:t>
      </w:r>
      <w:proofErr w:type="gramEnd"/>
      <w:r>
        <w:t xml:space="preserve"> to have presented or died ‘due to’ HZ if their coded primary diagnosis or direct cause of death was HZ-related, and ‘with’ HZ if the ‘other’ or ‘antecedent’ listed condition or cause of death was HZ-related. </w:t>
      </w:r>
    </w:p>
    <w:p w14:paraId="2126DF71" w14:textId="77777777" w:rsidR="00F46060" w:rsidRDefault="00F46060" w:rsidP="00F46060">
      <w:pPr>
        <w:divId w:val="1964146631"/>
      </w:pPr>
      <w:r>
        <w:t xml:space="preserve">Age, </w:t>
      </w:r>
      <w:proofErr w:type="gramStart"/>
      <w:r>
        <w:t>sex</w:t>
      </w:r>
      <w:proofErr w:type="gramEnd"/>
      <w:r>
        <w:t xml:space="preserve"> and locality (Local Government Area or postcode) were extracted from all datasets, except vaccine distributions and laboratory testing survey data. Where age or confirmation of Victorian residence (locality) was not available, data </w:t>
      </w:r>
      <w:proofErr w:type="gramStart"/>
      <w:r>
        <w:t>were excluded</w:t>
      </w:r>
      <w:proofErr w:type="gramEnd"/>
      <w:r>
        <w:t xml:space="preserve">. Data analyses </w:t>
      </w:r>
      <w:proofErr w:type="gramStart"/>
      <w:r>
        <w:t>were undertaken</w:t>
      </w:r>
      <w:proofErr w:type="gramEnd"/>
      <w:r>
        <w:t xml:space="preserve"> using Stata v.16 </w:t>
      </w:r>
      <w:r>
        <w:rPr>
          <w:vertAlign w:val="superscript"/>
        </w:rPr>
        <w:t>20</w:t>
      </w:r>
      <w:r>
        <w:t xml:space="preserve"> and Microsoft Excel (2022). All datasets were descriptively analysed to </w:t>
      </w:r>
      <w:proofErr w:type="gramStart"/>
      <w:r>
        <w:t>identify</w:t>
      </w:r>
      <w:proofErr w:type="gramEnd"/>
      <w:r>
        <w:t xml:space="preserve"> changes over time and to produce summary statistics, including medians and interquartile ranges (IQRs). </w:t>
      </w:r>
    </w:p>
    <w:p w14:paraId="6B56AD64" w14:textId="77777777" w:rsidR="00F46060" w:rsidRDefault="00F46060" w:rsidP="00F46060">
      <w:pPr>
        <w:divId w:val="1964146631"/>
      </w:pPr>
      <w:r>
        <w:t>Age-specific rates were calculated for each year (2012–2021) using mid-year Estimated Resident Populations (ERPs) from the Australian Bureau of Statistics (ABS)</w:t>
      </w:r>
      <w:proofErr w:type="gramStart"/>
      <w:r>
        <w:rPr>
          <w:vertAlign w:val="superscript"/>
        </w:rPr>
        <w:t>21</w:t>
      </w:r>
      <w:proofErr w:type="gramEnd"/>
      <w:r>
        <w:t xml:space="preserve"> and expressed as rates per 100,000 population per year. Rates and incidence rate ratios (IRRs) with 95% confidence intervals (CI) </w:t>
      </w:r>
      <w:proofErr w:type="gramStart"/>
      <w:r>
        <w:t>were calculated</w:t>
      </w:r>
      <w:proofErr w:type="gramEnd"/>
      <w:r>
        <w:t xml:space="preserve"> using Poisson regression to compare the pre-NSVP period to the post-NSVP period and expressed as rates per 100,000 person-years by age group. </w:t>
      </w:r>
      <w:r w:rsidRPr="00BB363F">
        <w:rPr>
          <w:rStyle w:val="Emphasis"/>
          <w:b w:val="0"/>
          <w:bCs w:val="0"/>
        </w:rPr>
        <w:t>P</w:t>
      </w:r>
      <w:r>
        <w:t xml:space="preserve"> values </w:t>
      </w:r>
      <w:proofErr w:type="gramStart"/>
      <w:r>
        <w:t>were derived</w:t>
      </w:r>
      <w:proofErr w:type="gramEnd"/>
      <w:r>
        <w:t xml:space="preserve"> using the chi-square test. Crude test positivity rates </w:t>
      </w:r>
      <w:proofErr w:type="gramStart"/>
      <w:r>
        <w:t>were calculated</w:t>
      </w:r>
      <w:proofErr w:type="gramEnd"/>
      <w:r>
        <w:t xml:space="preserve"> by dividing the number of case notifications (PHESS) by the total HZ tests per year. Direct age standardisation was used to compare rates by sex using the Australian standard population </w:t>
      </w:r>
      <w:proofErr w:type="gramStart"/>
      <w:r>
        <w:t>2001.</w:t>
      </w:r>
      <w:r>
        <w:rPr>
          <w:vertAlign w:val="superscript"/>
        </w:rPr>
        <w:t>21</w:t>
      </w:r>
      <w:proofErr w:type="gramEnd"/>
      <w:r>
        <w:rPr>
          <w:vertAlign w:val="superscript"/>
        </w:rPr>
        <w:t xml:space="preserve"> </w:t>
      </w:r>
    </w:p>
    <w:p w14:paraId="7746D022" w14:textId="77777777" w:rsidR="00F46060" w:rsidRDefault="00F46060" w:rsidP="00F46060">
      <w:pPr>
        <w:divId w:val="1964146631"/>
      </w:pPr>
      <w:proofErr w:type="gramStart"/>
      <w:r>
        <w:t>Ethics approval was granted by the Australian National University Human Research Ethics Committee (protocol 2022/266)</w:t>
      </w:r>
      <w:proofErr w:type="gramEnd"/>
      <w:r>
        <w:t xml:space="preserve">. </w:t>
      </w:r>
    </w:p>
    <w:p w14:paraId="72AB9D76" w14:textId="77777777" w:rsidR="00F46060" w:rsidRPr="00F46060" w:rsidRDefault="00F46060" w:rsidP="00F46060">
      <w:pPr>
        <w:pStyle w:val="Heading1"/>
        <w:divId w:val="1964146631"/>
      </w:pPr>
      <w:r w:rsidRPr="00F46060">
        <w:t xml:space="preserve">Results </w:t>
      </w:r>
    </w:p>
    <w:p w14:paraId="3CC4B479" w14:textId="77777777" w:rsidR="00F46060" w:rsidRPr="00F46060" w:rsidRDefault="00F46060" w:rsidP="00F46060">
      <w:pPr>
        <w:pStyle w:val="Heading2"/>
        <w:divId w:val="1964146631"/>
      </w:pPr>
      <w:r w:rsidRPr="00F46060">
        <w:t xml:space="preserve">Vaccinations </w:t>
      </w:r>
    </w:p>
    <w:p w14:paraId="614C627E" w14:textId="77777777" w:rsidR="00F46060" w:rsidRDefault="00F46060" w:rsidP="00F46060">
      <w:pPr>
        <w:divId w:val="1964146631"/>
      </w:pPr>
      <w:r>
        <w:t xml:space="preserve">There were 302,667 individuals with HZ vaccinations recorded in the AIR, most (99.2%) of which occurred post-NSVP (Table 1). Vaccination rates (VRs) pre-NSVP were negligible (Table 2). </w:t>
      </w:r>
    </w:p>
    <w:p w14:paraId="4A6B6220" w14:textId="77777777" w:rsidR="00F46060" w:rsidRDefault="00F46060" w:rsidP="00F46060">
      <w:pPr>
        <w:divId w:val="1964146631"/>
      </w:pPr>
      <w:r>
        <w:t xml:space="preserve">Following the NSVP implementation, VRs increased across all age groups. However, VRs were consistently substantially higher in the NIP-eligible population (Figure 1A) than in the NIP-ineligible population (Figure 1B). Overall, females had a slightly higher age-standardised VR than did males, with VRs of, respectively, 2,529 and 2,325 per 100,000 population over the study period. </w:t>
      </w:r>
    </w:p>
    <w:p w14:paraId="14A0441D" w14:textId="77777777" w:rsidR="00F46060" w:rsidRDefault="00F46060" w:rsidP="00F46060">
      <w:pPr>
        <w:divId w:val="1964146631"/>
      </w:pPr>
      <w:r>
        <w:t xml:space="preserve">In 2016, VRs were highest in the 75–79 years age group, particularly those aged 78 and 79 years (Figure 1A; Table 3). From 2017, VRs were highest in the 70–74 years age group, with the highest VR in those aged 70 years (Table 3). VRs declined across all age groups from 2017 to 2020 before slightly increasing in 2021 (Figure 1A; Table 3; Figure 1B). VRs appear to have plateaued and remain low across all age </w:t>
      </w:r>
      <w:proofErr w:type="gramStart"/>
      <w:r>
        <w:t>groups, and</w:t>
      </w:r>
      <w:proofErr w:type="gramEnd"/>
      <w:r>
        <w:t xml:space="preserve"> are consistently lower among the age groups recommended to be vaccinated but not NIP-eligible (Figure 1B). </w:t>
      </w:r>
    </w:p>
    <w:p w14:paraId="6361C1E2" w14:textId="3A694322" w:rsidR="00F46060" w:rsidRDefault="00F46060" w:rsidP="00F46060">
      <w:pPr>
        <w:divId w:val="1964146631"/>
      </w:pPr>
      <w:r>
        <w:t>Across July–December 2021, the count of individuals vaccinated with Shingrix gradually increased. Zostavax predominated, particularly among those aged 70–74 (96.9% Zostavax, 3.1% Shingrix) and 75–79 years (93.8% Zostavax, 6.2% Shingrix). There was higher uptake of Shingrix among other age groups, particularly among those aged 60–64 years (50.2% Zostavax, 49.8% Shingrix) and 65–69 years (58.2% Zostavax, 41.8% Shingrix).</w:t>
      </w:r>
    </w:p>
    <w:p w14:paraId="3FAAD47C" w14:textId="77777777" w:rsidR="00D82AAF" w:rsidRPr="00FB12A1" w:rsidRDefault="00D82AAF" w:rsidP="00D82AAF">
      <w:pPr>
        <w:pStyle w:val="CDIFigures"/>
        <w:divId w:val="1964146631"/>
      </w:pPr>
      <w:r w:rsidRPr="00FB12A1">
        <w:rPr>
          <w:rStyle w:val="Strong"/>
          <w:b/>
          <w:bCs w:val="0"/>
        </w:rPr>
        <w:t xml:space="preserve">Table 1: Counts and characteristics of herpes zoster related cases, emergency department presentations, hospitalisations, </w:t>
      </w:r>
      <w:proofErr w:type="gramStart"/>
      <w:r w:rsidRPr="00FB12A1">
        <w:rPr>
          <w:rStyle w:val="Strong"/>
          <w:b/>
          <w:bCs w:val="0"/>
        </w:rPr>
        <w:t>deaths</w:t>
      </w:r>
      <w:proofErr w:type="gramEnd"/>
      <w:r w:rsidRPr="00FB12A1">
        <w:rPr>
          <w:rStyle w:val="Strong"/>
          <w:b/>
          <w:bCs w:val="0"/>
        </w:rPr>
        <w:t xml:space="preserve"> and vaccinations, prior to and following implementation of the National Shingles Vaccination Program (NSVP)</w:t>
      </w:r>
    </w:p>
    <w:tbl>
      <w:tblPr>
        <w:tblStyle w:val="CDI-StandardTable"/>
        <w:tblW w:w="0" w:type="auto"/>
        <w:tblLook w:val="04A0" w:firstRow="1" w:lastRow="0" w:firstColumn="1" w:lastColumn="0" w:noHBand="0" w:noVBand="1"/>
        <w:tblDescription w:val="Table 1 shows counts of notified cases, emergency department presentations, hospitalisations and deaths where herpes zoster was listed as the primary cause, and count of persons vaccinated for herpes zoster, comparing the period prior to implementation of the National Shingles Vaccination Program (January 2012 to October 2016) to the period following implementation of the National Shingles Vaccination Program (November 2016 to December 2021). Vaccination data only presents counts following implementation of the National Shingles Vaccination Program.&#10;"/>
      </w:tblPr>
      <w:tblGrid>
        <w:gridCol w:w="850"/>
        <w:gridCol w:w="1066"/>
        <w:gridCol w:w="818"/>
        <w:gridCol w:w="891"/>
        <w:gridCol w:w="820"/>
        <w:gridCol w:w="891"/>
        <w:gridCol w:w="826"/>
        <w:gridCol w:w="895"/>
        <w:gridCol w:w="814"/>
        <w:gridCol w:w="887"/>
        <w:gridCol w:w="814"/>
        <w:gridCol w:w="894"/>
      </w:tblGrid>
      <w:tr w:rsidR="00D82AAF" w:rsidRPr="00406CC2" w14:paraId="47865C90" w14:textId="77777777" w:rsidTr="009E49CC">
        <w:trPr>
          <w:cnfStyle w:val="100000000000" w:firstRow="1" w:lastRow="0" w:firstColumn="0" w:lastColumn="0" w:oddVBand="0" w:evenVBand="0" w:oddHBand="0" w:evenHBand="0" w:firstRowFirstColumn="0" w:firstRowLastColumn="0" w:lastRowFirstColumn="0" w:lastRowLastColumn="0"/>
          <w:divId w:val="1964146631"/>
          <w:tblHeader/>
        </w:trPr>
        <w:tc>
          <w:tcPr>
            <w:tcW w:w="851" w:type="dxa"/>
            <w:vMerge w:val="restart"/>
            <w:hideMark/>
          </w:tcPr>
          <w:p w14:paraId="17A6706B" w14:textId="77777777" w:rsidR="00D82AAF" w:rsidRPr="00406CC2" w:rsidRDefault="00D82AAF" w:rsidP="00A32EA1">
            <w:pPr>
              <w:pStyle w:val="NormalWeb"/>
              <w:rPr>
                <w:sz w:val="18"/>
                <w:szCs w:val="18"/>
              </w:rPr>
            </w:pPr>
            <w:r w:rsidRPr="00406CC2">
              <w:rPr>
                <w:sz w:val="18"/>
                <w:szCs w:val="18"/>
              </w:rPr>
              <w:t>Category</w:t>
            </w:r>
          </w:p>
        </w:tc>
        <w:tc>
          <w:tcPr>
            <w:tcW w:w="0" w:type="auto"/>
            <w:vMerge w:val="restart"/>
            <w:hideMark/>
          </w:tcPr>
          <w:p w14:paraId="67336467" w14:textId="77777777" w:rsidR="00D82AAF" w:rsidRPr="00406CC2" w:rsidRDefault="00D82AAF" w:rsidP="00A32EA1">
            <w:pPr>
              <w:pStyle w:val="NormalWeb"/>
              <w:rPr>
                <w:sz w:val="18"/>
                <w:szCs w:val="18"/>
              </w:rPr>
            </w:pPr>
            <w:r w:rsidRPr="00406CC2">
              <w:rPr>
                <w:sz w:val="18"/>
                <w:szCs w:val="18"/>
              </w:rPr>
              <w:t>Value</w:t>
            </w:r>
          </w:p>
        </w:tc>
        <w:tc>
          <w:tcPr>
            <w:tcW w:w="0" w:type="auto"/>
            <w:gridSpan w:val="2"/>
            <w:hideMark/>
          </w:tcPr>
          <w:p w14:paraId="399FB1B7" w14:textId="77777777" w:rsidR="00D82AAF" w:rsidRPr="00406CC2" w:rsidRDefault="00D82AAF" w:rsidP="00A32EA1">
            <w:pPr>
              <w:pStyle w:val="NormalWeb"/>
              <w:rPr>
                <w:sz w:val="18"/>
                <w:szCs w:val="18"/>
              </w:rPr>
            </w:pPr>
            <w:r w:rsidRPr="00406CC2">
              <w:rPr>
                <w:sz w:val="18"/>
                <w:szCs w:val="18"/>
              </w:rPr>
              <w:t xml:space="preserve">Notified </w:t>
            </w:r>
            <w:proofErr w:type="spellStart"/>
            <w:r w:rsidRPr="00406CC2">
              <w:rPr>
                <w:sz w:val="18"/>
                <w:szCs w:val="18"/>
              </w:rPr>
              <w:t>cases</w:t>
            </w:r>
            <w:r w:rsidRPr="00EA0CFC">
              <w:rPr>
                <w:sz w:val="18"/>
                <w:szCs w:val="18"/>
                <w:vertAlign w:val="superscript"/>
              </w:rPr>
              <w:t>a</w:t>
            </w:r>
            <w:proofErr w:type="spellEnd"/>
          </w:p>
        </w:tc>
        <w:tc>
          <w:tcPr>
            <w:tcW w:w="0" w:type="auto"/>
            <w:gridSpan w:val="2"/>
            <w:hideMark/>
          </w:tcPr>
          <w:p w14:paraId="3E717B58" w14:textId="77777777" w:rsidR="00D82AAF" w:rsidRPr="00406CC2" w:rsidRDefault="00D82AAF" w:rsidP="00A32EA1">
            <w:pPr>
              <w:pStyle w:val="NormalWeb"/>
              <w:rPr>
                <w:sz w:val="18"/>
                <w:szCs w:val="18"/>
              </w:rPr>
            </w:pPr>
            <w:r w:rsidRPr="00406CC2">
              <w:rPr>
                <w:sz w:val="18"/>
                <w:szCs w:val="18"/>
              </w:rPr>
              <w:t xml:space="preserve">ED </w:t>
            </w:r>
            <w:proofErr w:type="spellStart"/>
            <w:proofErr w:type="gramStart"/>
            <w:r w:rsidRPr="00406CC2">
              <w:rPr>
                <w:sz w:val="18"/>
                <w:szCs w:val="18"/>
              </w:rPr>
              <w:t>presentations</w:t>
            </w:r>
            <w:r w:rsidRPr="00EA0CFC">
              <w:rPr>
                <w:sz w:val="18"/>
                <w:szCs w:val="18"/>
                <w:vertAlign w:val="superscript"/>
              </w:rPr>
              <w:t>a,b</w:t>
            </w:r>
            <w:proofErr w:type="spellEnd"/>
            <w:proofErr w:type="gramEnd"/>
          </w:p>
        </w:tc>
        <w:tc>
          <w:tcPr>
            <w:tcW w:w="0" w:type="auto"/>
            <w:gridSpan w:val="2"/>
            <w:hideMark/>
          </w:tcPr>
          <w:p w14:paraId="2295ABD9" w14:textId="77777777" w:rsidR="00D82AAF" w:rsidRPr="00406CC2" w:rsidRDefault="00D82AAF" w:rsidP="00A32EA1">
            <w:pPr>
              <w:pStyle w:val="NormalWeb"/>
              <w:rPr>
                <w:sz w:val="18"/>
                <w:szCs w:val="18"/>
              </w:rPr>
            </w:pPr>
            <w:proofErr w:type="spellStart"/>
            <w:proofErr w:type="gramStart"/>
            <w:r w:rsidRPr="00406CC2">
              <w:rPr>
                <w:sz w:val="18"/>
                <w:szCs w:val="18"/>
              </w:rPr>
              <w:t>Hospitalisations</w:t>
            </w:r>
            <w:r w:rsidRPr="00EA0CFC">
              <w:rPr>
                <w:sz w:val="18"/>
                <w:szCs w:val="18"/>
                <w:vertAlign w:val="superscript"/>
              </w:rPr>
              <w:t>a,b</w:t>
            </w:r>
            <w:proofErr w:type="gramEnd"/>
            <w:r w:rsidRPr="00EA0CFC">
              <w:rPr>
                <w:sz w:val="18"/>
                <w:szCs w:val="18"/>
                <w:vertAlign w:val="superscript"/>
              </w:rPr>
              <w:t>,c</w:t>
            </w:r>
            <w:proofErr w:type="spellEnd"/>
          </w:p>
        </w:tc>
        <w:tc>
          <w:tcPr>
            <w:tcW w:w="0" w:type="auto"/>
            <w:gridSpan w:val="2"/>
            <w:hideMark/>
          </w:tcPr>
          <w:p w14:paraId="62EE653E" w14:textId="77777777" w:rsidR="00D82AAF" w:rsidRPr="00406CC2" w:rsidRDefault="00D82AAF" w:rsidP="00A32EA1">
            <w:pPr>
              <w:pStyle w:val="NormalWeb"/>
              <w:rPr>
                <w:sz w:val="18"/>
                <w:szCs w:val="18"/>
              </w:rPr>
            </w:pPr>
            <w:proofErr w:type="spellStart"/>
            <w:proofErr w:type="gramStart"/>
            <w:r w:rsidRPr="00406CC2">
              <w:rPr>
                <w:sz w:val="18"/>
                <w:szCs w:val="18"/>
              </w:rPr>
              <w:t>Deaths</w:t>
            </w:r>
            <w:r w:rsidRPr="00EA0CFC">
              <w:rPr>
                <w:sz w:val="18"/>
                <w:szCs w:val="18"/>
                <w:vertAlign w:val="superscript"/>
              </w:rPr>
              <w:t>a,d</w:t>
            </w:r>
            <w:proofErr w:type="gramEnd"/>
            <w:r w:rsidRPr="00EA0CFC">
              <w:rPr>
                <w:sz w:val="18"/>
                <w:szCs w:val="18"/>
                <w:vertAlign w:val="superscript"/>
              </w:rPr>
              <w:t>,e</w:t>
            </w:r>
            <w:proofErr w:type="spellEnd"/>
          </w:p>
        </w:tc>
        <w:tc>
          <w:tcPr>
            <w:tcW w:w="0" w:type="auto"/>
            <w:gridSpan w:val="2"/>
            <w:hideMark/>
          </w:tcPr>
          <w:p w14:paraId="6EAEEB50" w14:textId="77777777" w:rsidR="00D82AAF" w:rsidRPr="00406CC2" w:rsidRDefault="00D82AAF" w:rsidP="00A32EA1">
            <w:pPr>
              <w:pStyle w:val="NormalWeb"/>
              <w:rPr>
                <w:sz w:val="18"/>
                <w:szCs w:val="18"/>
              </w:rPr>
            </w:pPr>
            <w:r w:rsidRPr="00406CC2">
              <w:rPr>
                <w:sz w:val="18"/>
                <w:szCs w:val="18"/>
              </w:rPr>
              <w:t xml:space="preserve">Persons </w:t>
            </w:r>
            <w:proofErr w:type="spellStart"/>
            <w:proofErr w:type="gramStart"/>
            <w:r w:rsidRPr="00406CC2">
              <w:rPr>
                <w:sz w:val="18"/>
                <w:szCs w:val="18"/>
              </w:rPr>
              <w:t>vaccinated</w:t>
            </w:r>
            <w:r w:rsidRPr="00EA0CFC">
              <w:rPr>
                <w:sz w:val="18"/>
                <w:szCs w:val="18"/>
                <w:vertAlign w:val="superscript"/>
              </w:rPr>
              <w:t>a,f</w:t>
            </w:r>
            <w:proofErr w:type="spellEnd"/>
            <w:proofErr w:type="gramEnd"/>
          </w:p>
        </w:tc>
      </w:tr>
      <w:tr w:rsidR="00D82AAF" w:rsidRPr="00406CC2" w14:paraId="548699B9" w14:textId="77777777" w:rsidTr="009E49CC">
        <w:trPr>
          <w:cnfStyle w:val="100000000000" w:firstRow="1" w:lastRow="0" w:firstColumn="0" w:lastColumn="0" w:oddVBand="0" w:evenVBand="0" w:oddHBand="0" w:evenHBand="0" w:firstRowFirstColumn="0" w:firstRowLastColumn="0" w:lastRowFirstColumn="0" w:lastRowLastColumn="0"/>
          <w:divId w:val="1964146631"/>
          <w:tblHeader/>
        </w:trPr>
        <w:tc>
          <w:tcPr>
            <w:tcW w:w="851" w:type="dxa"/>
            <w:vMerge/>
            <w:hideMark/>
          </w:tcPr>
          <w:p w14:paraId="0899EDF0" w14:textId="77777777" w:rsidR="00D82AAF" w:rsidRPr="00406CC2" w:rsidRDefault="00D82AAF" w:rsidP="00A32EA1">
            <w:pPr>
              <w:rPr>
                <w:sz w:val="18"/>
                <w:szCs w:val="18"/>
              </w:rPr>
            </w:pPr>
          </w:p>
        </w:tc>
        <w:tc>
          <w:tcPr>
            <w:tcW w:w="0" w:type="auto"/>
            <w:vMerge/>
            <w:hideMark/>
          </w:tcPr>
          <w:p w14:paraId="1449B9B3" w14:textId="77777777" w:rsidR="00D82AAF" w:rsidRPr="00406CC2" w:rsidRDefault="00D82AAF" w:rsidP="00A32EA1">
            <w:pPr>
              <w:rPr>
                <w:sz w:val="18"/>
                <w:szCs w:val="18"/>
              </w:rPr>
            </w:pPr>
          </w:p>
        </w:tc>
        <w:tc>
          <w:tcPr>
            <w:tcW w:w="0" w:type="auto"/>
            <w:hideMark/>
          </w:tcPr>
          <w:p w14:paraId="6B65D3A1" w14:textId="77777777" w:rsidR="00D82AAF" w:rsidRPr="00406CC2" w:rsidRDefault="00D82AAF" w:rsidP="00A32EA1">
            <w:pPr>
              <w:pStyle w:val="NormalWeb"/>
              <w:rPr>
                <w:sz w:val="18"/>
                <w:szCs w:val="18"/>
              </w:rPr>
            </w:pPr>
            <w:r w:rsidRPr="00406CC2">
              <w:rPr>
                <w:sz w:val="18"/>
                <w:szCs w:val="18"/>
              </w:rPr>
              <w:t>Pre-NSVP</w:t>
            </w:r>
          </w:p>
        </w:tc>
        <w:tc>
          <w:tcPr>
            <w:tcW w:w="0" w:type="auto"/>
            <w:hideMark/>
          </w:tcPr>
          <w:p w14:paraId="3C74ABE5" w14:textId="77777777" w:rsidR="00D82AAF" w:rsidRPr="00406CC2" w:rsidRDefault="00D82AAF" w:rsidP="00A32EA1">
            <w:pPr>
              <w:pStyle w:val="NormalWeb"/>
              <w:rPr>
                <w:sz w:val="18"/>
                <w:szCs w:val="18"/>
              </w:rPr>
            </w:pPr>
            <w:r w:rsidRPr="00406CC2">
              <w:rPr>
                <w:sz w:val="18"/>
                <w:szCs w:val="18"/>
              </w:rPr>
              <w:t>Post-NSVP</w:t>
            </w:r>
          </w:p>
        </w:tc>
        <w:tc>
          <w:tcPr>
            <w:tcW w:w="0" w:type="auto"/>
            <w:hideMark/>
          </w:tcPr>
          <w:p w14:paraId="62F332F3" w14:textId="77777777" w:rsidR="00D82AAF" w:rsidRPr="00406CC2" w:rsidRDefault="00D82AAF" w:rsidP="00A32EA1">
            <w:pPr>
              <w:pStyle w:val="NormalWeb"/>
              <w:rPr>
                <w:sz w:val="18"/>
                <w:szCs w:val="18"/>
              </w:rPr>
            </w:pPr>
            <w:r w:rsidRPr="00406CC2">
              <w:rPr>
                <w:sz w:val="18"/>
                <w:szCs w:val="18"/>
              </w:rPr>
              <w:t>Pre-NSVP</w:t>
            </w:r>
          </w:p>
        </w:tc>
        <w:tc>
          <w:tcPr>
            <w:tcW w:w="0" w:type="auto"/>
            <w:hideMark/>
          </w:tcPr>
          <w:p w14:paraId="26F68E6A" w14:textId="77777777" w:rsidR="00D82AAF" w:rsidRPr="00406CC2" w:rsidRDefault="00D82AAF" w:rsidP="00A32EA1">
            <w:pPr>
              <w:pStyle w:val="NormalWeb"/>
              <w:rPr>
                <w:sz w:val="18"/>
                <w:szCs w:val="18"/>
              </w:rPr>
            </w:pPr>
            <w:r w:rsidRPr="00406CC2">
              <w:rPr>
                <w:sz w:val="18"/>
                <w:szCs w:val="18"/>
              </w:rPr>
              <w:t>Post-NSVP</w:t>
            </w:r>
          </w:p>
        </w:tc>
        <w:tc>
          <w:tcPr>
            <w:tcW w:w="0" w:type="auto"/>
            <w:hideMark/>
          </w:tcPr>
          <w:p w14:paraId="5BC22ED4" w14:textId="77777777" w:rsidR="00D82AAF" w:rsidRPr="00406CC2" w:rsidRDefault="00D82AAF" w:rsidP="00A32EA1">
            <w:pPr>
              <w:pStyle w:val="NormalWeb"/>
              <w:rPr>
                <w:sz w:val="18"/>
                <w:szCs w:val="18"/>
              </w:rPr>
            </w:pPr>
            <w:r w:rsidRPr="00406CC2">
              <w:rPr>
                <w:sz w:val="18"/>
                <w:szCs w:val="18"/>
              </w:rPr>
              <w:t>Pre-NSVP</w:t>
            </w:r>
          </w:p>
        </w:tc>
        <w:tc>
          <w:tcPr>
            <w:tcW w:w="0" w:type="auto"/>
            <w:hideMark/>
          </w:tcPr>
          <w:p w14:paraId="438B6F4E" w14:textId="77777777" w:rsidR="00D82AAF" w:rsidRPr="00406CC2" w:rsidRDefault="00D82AAF" w:rsidP="00A32EA1">
            <w:pPr>
              <w:pStyle w:val="NormalWeb"/>
              <w:rPr>
                <w:sz w:val="18"/>
                <w:szCs w:val="18"/>
              </w:rPr>
            </w:pPr>
            <w:r w:rsidRPr="00406CC2">
              <w:rPr>
                <w:sz w:val="18"/>
                <w:szCs w:val="18"/>
              </w:rPr>
              <w:t>Post-NSVP</w:t>
            </w:r>
          </w:p>
        </w:tc>
        <w:tc>
          <w:tcPr>
            <w:tcW w:w="0" w:type="auto"/>
            <w:hideMark/>
          </w:tcPr>
          <w:p w14:paraId="5739D994" w14:textId="77777777" w:rsidR="00D82AAF" w:rsidRPr="00406CC2" w:rsidRDefault="00D82AAF" w:rsidP="00A32EA1">
            <w:pPr>
              <w:pStyle w:val="NormalWeb"/>
              <w:rPr>
                <w:sz w:val="18"/>
                <w:szCs w:val="18"/>
              </w:rPr>
            </w:pPr>
            <w:r w:rsidRPr="00406CC2">
              <w:rPr>
                <w:sz w:val="18"/>
                <w:szCs w:val="18"/>
              </w:rPr>
              <w:t>Pre-NSVP</w:t>
            </w:r>
          </w:p>
        </w:tc>
        <w:tc>
          <w:tcPr>
            <w:tcW w:w="0" w:type="auto"/>
            <w:hideMark/>
          </w:tcPr>
          <w:p w14:paraId="615CDF3A" w14:textId="77777777" w:rsidR="00D82AAF" w:rsidRPr="00406CC2" w:rsidRDefault="00D82AAF" w:rsidP="00A32EA1">
            <w:pPr>
              <w:pStyle w:val="NormalWeb"/>
              <w:rPr>
                <w:sz w:val="18"/>
                <w:szCs w:val="18"/>
              </w:rPr>
            </w:pPr>
            <w:r w:rsidRPr="00406CC2">
              <w:rPr>
                <w:sz w:val="18"/>
                <w:szCs w:val="18"/>
              </w:rPr>
              <w:t>Post-NSVP</w:t>
            </w:r>
          </w:p>
        </w:tc>
        <w:tc>
          <w:tcPr>
            <w:tcW w:w="0" w:type="auto"/>
            <w:hideMark/>
          </w:tcPr>
          <w:p w14:paraId="42EC9374" w14:textId="77777777" w:rsidR="00D82AAF" w:rsidRPr="00406CC2" w:rsidRDefault="00D82AAF" w:rsidP="00A32EA1">
            <w:pPr>
              <w:pStyle w:val="NormalWeb"/>
              <w:rPr>
                <w:sz w:val="18"/>
                <w:szCs w:val="18"/>
              </w:rPr>
            </w:pPr>
            <w:r w:rsidRPr="00406CC2">
              <w:rPr>
                <w:sz w:val="18"/>
                <w:szCs w:val="18"/>
              </w:rPr>
              <w:t>Pre-NSVP</w:t>
            </w:r>
          </w:p>
        </w:tc>
        <w:tc>
          <w:tcPr>
            <w:tcW w:w="0" w:type="auto"/>
            <w:hideMark/>
          </w:tcPr>
          <w:p w14:paraId="08E1ABC0" w14:textId="77777777" w:rsidR="00D82AAF" w:rsidRPr="00406CC2" w:rsidRDefault="00D82AAF" w:rsidP="00A32EA1">
            <w:pPr>
              <w:pStyle w:val="NormalWeb"/>
              <w:rPr>
                <w:sz w:val="18"/>
                <w:szCs w:val="18"/>
              </w:rPr>
            </w:pPr>
            <w:r w:rsidRPr="00406CC2">
              <w:rPr>
                <w:sz w:val="18"/>
                <w:szCs w:val="18"/>
              </w:rPr>
              <w:t>Post-NSVP</w:t>
            </w:r>
          </w:p>
        </w:tc>
      </w:tr>
      <w:tr w:rsidR="00D82AAF" w:rsidRPr="00406CC2" w14:paraId="32F4AB57" w14:textId="77777777" w:rsidTr="009E49CC">
        <w:trPr>
          <w:divId w:val="1964146631"/>
        </w:trPr>
        <w:tc>
          <w:tcPr>
            <w:tcW w:w="851" w:type="dxa"/>
            <w:vMerge w:val="restart"/>
            <w:tcBorders>
              <w:left w:val="single" w:sz="4" w:space="0" w:color="auto"/>
              <w:right w:val="single" w:sz="4" w:space="0" w:color="auto"/>
            </w:tcBorders>
            <w:shd w:val="clear" w:color="auto" w:fill="auto"/>
            <w:hideMark/>
          </w:tcPr>
          <w:p w14:paraId="4AC43828" w14:textId="77777777" w:rsidR="00D82AAF" w:rsidRPr="00406CC2" w:rsidRDefault="00D82AAF" w:rsidP="00A32EA1">
            <w:pPr>
              <w:pStyle w:val="NormalWeb"/>
              <w:rPr>
                <w:sz w:val="18"/>
                <w:szCs w:val="18"/>
              </w:rPr>
            </w:pPr>
            <w:r w:rsidRPr="00406CC2">
              <w:rPr>
                <w:sz w:val="18"/>
                <w:szCs w:val="18"/>
              </w:rPr>
              <w:t>Age group (years)</w:t>
            </w:r>
          </w:p>
        </w:tc>
        <w:tc>
          <w:tcPr>
            <w:tcW w:w="0" w:type="auto"/>
            <w:tcBorders>
              <w:left w:val="single" w:sz="4" w:space="0" w:color="auto"/>
              <w:right w:val="single" w:sz="4" w:space="0" w:color="auto"/>
            </w:tcBorders>
            <w:shd w:val="clear" w:color="auto" w:fill="auto"/>
            <w:hideMark/>
          </w:tcPr>
          <w:p w14:paraId="64AB2A39" w14:textId="77777777" w:rsidR="00D82AAF" w:rsidRPr="00406CC2" w:rsidRDefault="00D82AAF" w:rsidP="00A32EA1">
            <w:pPr>
              <w:pStyle w:val="NormalWeb"/>
              <w:rPr>
                <w:sz w:val="18"/>
                <w:szCs w:val="18"/>
              </w:rPr>
            </w:pPr>
            <w:r w:rsidRPr="00406CC2">
              <w:rPr>
                <w:sz w:val="18"/>
                <w:szCs w:val="18"/>
              </w:rPr>
              <w:t>60–64</w:t>
            </w:r>
          </w:p>
        </w:tc>
        <w:tc>
          <w:tcPr>
            <w:tcW w:w="0" w:type="auto"/>
            <w:tcBorders>
              <w:left w:val="single" w:sz="4" w:space="0" w:color="auto"/>
              <w:right w:val="single" w:sz="4" w:space="0" w:color="auto"/>
            </w:tcBorders>
            <w:shd w:val="clear" w:color="auto" w:fill="auto"/>
            <w:hideMark/>
          </w:tcPr>
          <w:p w14:paraId="157FC8CB" w14:textId="77777777" w:rsidR="00D82AAF" w:rsidRPr="00406CC2" w:rsidRDefault="00D82AAF" w:rsidP="00A32EA1">
            <w:pPr>
              <w:pStyle w:val="NormalWeb"/>
              <w:rPr>
                <w:sz w:val="18"/>
                <w:szCs w:val="18"/>
              </w:rPr>
            </w:pPr>
            <w:r w:rsidRPr="00406CC2">
              <w:rPr>
                <w:sz w:val="18"/>
                <w:szCs w:val="18"/>
              </w:rPr>
              <w:t>2,335</w:t>
            </w:r>
          </w:p>
        </w:tc>
        <w:tc>
          <w:tcPr>
            <w:tcW w:w="0" w:type="auto"/>
            <w:tcBorders>
              <w:left w:val="single" w:sz="4" w:space="0" w:color="auto"/>
              <w:right w:val="single" w:sz="4" w:space="0" w:color="auto"/>
            </w:tcBorders>
            <w:shd w:val="clear" w:color="auto" w:fill="auto"/>
            <w:hideMark/>
          </w:tcPr>
          <w:p w14:paraId="6246BF6D" w14:textId="77777777" w:rsidR="00D82AAF" w:rsidRPr="00406CC2" w:rsidRDefault="00D82AAF" w:rsidP="00A32EA1">
            <w:pPr>
              <w:pStyle w:val="NormalWeb"/>
              <w:rPr>
                <w:sz w:val="18"/>
                <w:szCs w:val="18"/>
              </w:rPr>
            </w:pPr>
            <w:r w:rsidRPr="00406CC2">
              <w:rPr>
                <w:sz w:val="18"/>
                <w:szCs w:val="18"/>
              </w:rPr>
              <w:t>4,598</w:t>
            </w:r>
          </w:p>
        </w:tc>
        <w:tc>
          <w:tcPr>
            <w:tcW w:w="0" w:type="auto"/>
            <w:tcBorders>
              <w:left w:val="single" w:sz="4" w:space="0" w:color="auto"/>
              <w:right w:val="single" w:sz="4" w:space="0" w:color="auto"/>
            </w:tcBorders>
            <w:shd w:val="clear" w:color="auto" w:fill="auto"/>
            <w:hideMark/>
          </w:tcPr>
          <w:p w14:paraId="4F2AB4D4" w14:textId="77777777" w:rsidR="00D82AAF" w:rsidRPr="00406CC2" w:rsidRDefault="00D82AAF" w:rsidP="00A32EA1">
            <w:pPr>
              <w:pStyle w:val="NormalWeb"/>
              <w:rPr>
                <w:sz w:val="18"/>
                <w:szCs w:val="18"/>
              </w:rPr>
            </w:pPr>
            <w:r w:rsidRPr="00406CC2">
              <w:rPr>
                <w:sz w:val="18"/>
                <w:szCs w:val="18"/>
              </w:rPr>
              <w:t>923</w:t>
            </w:r>
          </w:p>
        </w:tc>
        <w:tc>
          <w:tcPr>
            <w:tcW w:w="0" w:type="auto"/>
            <w:tcBorders>
              <w:left w:val="single" w:sz="4" w:space="0" w:color="auto"/>
              <w:right w:val="single" w:sz="4" w:space="0" w:color="auto"/>
            </w:tcBorders>
            <w:shd w:val="clear" w:color="auto" w:fill="auto"/>
            <w:hideMark/>
          </w:tcPr>
          <w:p w14:paraId="34680900" w14:textId="77777777" w:rsidR="00D82AAF" w:rsidRPr="00406CC2" w:rsidRDefault="00D82AAF" w:rsidP="00A32EA1">
            <w:pPr>
              <w:pStyle w:val="NormalWeb"/>
              <w:rPr>
                <w:sz w:val="18"/>
                <w:szCs w:val="18"/>
              </w:rPr>
            </w:pPr>
            <w:r w:rsidRPr="00406CC2">
              <w:rPr>
                <w:sz w:val="18"/>
                <w:szCs w:val="18"/>
              </w:rPr>
              <w:t>1,330</w:t>
            </w:r>
          </w:p>
        </w:tc>
        <w:tc>
          <w:tcPr>
            <w:tcW w:w="0" w:type="auto"/>
            <w:tcBorders>
              <w:left w:val="single" w:sz="4" w:space="0" w:color="auto"/>
              <w:right w:val="single" w:sz="4" w:space="0" w:color="auto"/>
            </w:tcBorders>
            <w:shd w:val="clear" w:color="auto" w:fill="auto"/>
            <w:hideMark/>
          </w:tcPr>
          <w:p w14:paraId="162E12A1" w14:textId="77777777" w:rsidR="00D82AAF" w:rsidRPr="00406CC2" w:rsidRDefault="00D82AAF" w:rsidP="00A32EA1">
            <w:pPr>
              <w:pStyle w:val="NormalWeb"/>
              <w:rPr>
                <w:sz w:val="18"/>
                <w:szCs w:val="18"/>
              </w:rPr>
            </w:pPr>
            <w:r w:rsidRPr="00406CC2">
              <w:rPr>
                <w:sz w:val="18"/>
                <w:szCs w:val="18"/>
              </w:rPr>
              <w:t>248</w:t>
            </w:r>
          </w:p>
        </w:tc>
        <w:tc>
          <w:tcPr>
            <w:tcW w:w="0" w:type="auto"/>
            <w:tcBorders>
              <w:left w:val="single" w:sz="4" w:space="0" w:color="auto"/>
              <w:right w:val="single" w:sz="4" w:space="0" w:color="auto"/>
            </w:tcBorders>
            <w:shd w:val="clear" w:color="auto" w:fill="auto"/>
            <w:hideMark/>
          </w:tcPr>
          <w:p w14:paraId="008D64DD" w14:textId="77777777" w:rsidR="00D82AAF" w:rsidRPr="00406CC2" w:rsidRDefault="00D82AAF" w:rsidP="00A32EA1">
            <w:pPr>
              <w:pStyle w:val="NormalWeb"/>
              <w:rPr>
                <w:sz w:val="18"/>
                <w:szCs w:val="18"/>
              </w:rPr>
            </w:pPr>
            <w:r w:rsidRPr="00406CC2">
              <w:rPr>
                <w:sz w:val="18"/>
                <w:szCs w:val="18"/>
              </w:rPr>
              <w:t>351</w:t>
            </w:r>
          </w:p>
        </w:tc>
        <w:tc>
          <w:tcPr>
            <w:tcW w:w="0" w:type="auto"/>
            <w:tcBorders>
              <w:left w:val="single" w:sz="4" w:space="0" w:color="auto"/>
              <w:right w:val="single" w:sz="4" w:space="0" w:color="auto"/>
            </w:tcBorders>
            <w:shd w:val="clear" w:color="auto" w:fill="auto"/>
            <w:hideMark/>
          </w:tcPr>
          <w:p w14:paraId="4B631281" w14:textId="77777777" w:rsidR="00D82AAF" w:rsidRPr="00406CC2" w:rsidRDefault="00D82AAF" w:rsidP="00A32EA1">
            <w:pPr>
              <w:pStyle w:val="NormalWeb"/>
              <w:rPr>
                <w:sz w:val="18"/>
                <w:szCs w:val="18"/>
              </w:rPr>
            </w:pPr>
            <w:r w:rsidRPr="00406CC2">
              <w:rPr>
                <w:sz w:val="18"/>
                <w:szCs w:val="18"/>
              </w:rPr>
              <w:t>≤ 5</w:t>
            </w:r>
          </w:p>
        </w:tc>
        <w:tc>
          <w:tcPr>
            <w:tcW w:w="0" w:type="auto"/>
            <w:tcBorders>
              <w:left w:val="single" w:sz="4" w:space="0" w:color="auto"/>
              <w:right w:val="single" w:sz="4" w:space="0" w:color="auto"/>
            </w:tcBorders>
            <w:shd w:val="clear" w:color="auto" w:fill="auto"/>
            <w:hideMark/>
          </w:tcPr>
          <w:p w14:paraId="32C9BCC0" w14:textId="77777777" w:rsidR="00D82AAF" w:rsidRPr="00406CC2" w:rsidRDefault="00D82AAF" w:rsidP="00A32EA1">
            <w:pPr>
              <w:pStyle w:val="NormalWeb"/>
              <w:rPr>
                <w:sz w:val="18"/>
                <w:szCs w:val="18"/>
              </w:rPr>
            </w:pPr>
            <w:r w:rsidRPr="00406CC2">
              <w:rPr>
                <w:sz w:val="18"/>
                <w:szCs w:val="18"/>
              </w:rPr>
              <w:t>≤ 5</w:t>
            </w:r>
          </w:p>
        </w:tc>
        <w:tc>
          <w:tcPr>
            <w:tcW w:w="0" w:type="auto"/>
            <w:tcBorders>
              <w:left w:val="single" w:sz="4" w:space="0" w:color="auto"/>
              <w:right w:val="single" w:sz="4" w:space="0" w:color="auto"/>
            </w:tcBorders>
            <w:shd w:val="clear" w:color="auto" w:fill="auto"/>
            <w:hideMark/>
          </w:tcPr>
          <w:p w14:paraId="005AE78C" w14:textId="77777777" w:rsidR="00D82AAF" w:rsidRPr="00406CC2" w:rsidRDefault="00D82AAF" w:rsidP="00A32EA1">
            <w:pPr>
              <w:pStyle w:val="NormalWeb"/>
              <w:rPr>
                <w:sz w:val="18"/>
                <w:szCs w:val="18"/>
              </w:rPr>
            </w:pPr>
            <w:r w:rsidRPr="00406CC2">
              <w:rPr>
                <w:sz w:val="18"/>
                <w:szCs w:val="18"/>
              </w:rPr>
              <w:t>370</w:t>
            </w:r>
          </w:p>
        </w:tc>
        <w:tc>
          <w:tcPr>
            <w:tcW w:w="0" w:type="auto"/>
            <w:tcBorders>
              <w:left w:val="single" w:sz="4" w:space="0" w:color="auto"/>
              <w:right w:val="single" w:sz="4" w:space="0" w:color="auto"/>
            </w:tcBorders>
            <w:shd w:val="clear" w:color="auto" w:fill="auto"/>
            <w:hideMark/>
          </w:tcPr>
          <w:p w14:paraId="3A719883" w14:textId="77777777" w:rsidR="00D82AAF" w:rsidRPr="00406CC2" w:rsidRDefault="00D82AAF" w:rsidP="00A32EA1">
            <w:pPr>
              <w:pStyle w:val="NormalWeb"/>
              <w:rPr>
                <w:sz w:val="18"/>
                <w:szCs w:val="18"/>
              </w:rPr>
            </w:pPr>
            <w:r w:rsidRPr="00406CC2">
              <w:rPr>
                <w:sz w:val="18"/>
                <w:szCs w:val="18"/>
              </w:rPr>
              <w:t>7,486</w:t>
            </w:r>
          </w:p>
        </w:tc>
      </w:tr>
      <w:tr w:rsidR="00D82AAF" w:rsidRPr="00406CC2" w14:paraId="107D7244" w14:textId="77777777" w:rsidTr="009E49CC">
        <w:trPr>
          <w:cnfStyle w:val="000000010000" w:firstRow="0" w:lastRow="0" w:firstColumn="0" w:lastColumn="0" w:oddVBand="0" w:evenVBand="0" w:oddHBand="0" w:evenHBand="1" w:firstRowFirstColumn="0" w:firstRowLastColumn="0" w:lastRowFirstColumn="0" w:lastRowLastColumn="0"/>
          <w:divId w:val="1964146631"/>
        </w:trPr>
        <w:tc>
          <w:tcPr>
            <w:tcW w:w="851" w:type="dxa"/>
            <w:vMerge/>
            <w:tcBorders>
              <w:left w:val="single" w:sz="4" w:space="0" w:color="auto"/>
              <w:right w:val="single" w:sz="4" w:space="0" w:color="auto"/>
            </w:tcBorders>
            <w:shd w:val="clear" w:color="auto" w:fill="auto"/>
            <w:hideMark/>
          </w:tcPr>
          <w:p w14:paraId="6F5DF0FC" w14:textId="77777777" w:rsidR="00D82AAF" w:rsidRPr="00406CC2" w:rsidRDefault="00D82AAF" w:rsidP="00A32EA1">
            <w:pPr>
              <w:rPr>
                <w:sz w:val="18"/>
                <w:szCs w:val="18"/>
              </w:rPr>
            </w:pPr>
          </w:p>
        </w:tc>
        <w:tc>
          <w:tcPr>
            <w:tcW w:w="0" w:type="auto"/>
            <w:tcBorders>
              <w:left w:val="single" w:sz="4" w:space="0" w:color="auto"/>
              <w:right w:val="single" w:sz="4" w:space="0" w:color="auto"/>
            </w:tcBorders>
            <w:shd w:val="clear" w:color="auto" w:fill="auto"/>
            <w:hideMark/>
          </w:tcPr>
          <w:p w14:paraId="01F2DF39" w14:textId="77777777" w:rsidR="00D82AAF" w:rsidRPr="00406CC2" w:rsidRDefault="00D82AAF" w:rsidP="00A32EA1">
            <w:pPr>
              <w:pStyle w:val="NormalWeb"/>
              <w:rPr>
                <w:sz w:val="18"/>
                <w:szCs w:val="18"/>
              </w:rPr>
            </w:pPr>
            <w:r w:rsidRPr="00406CC2">
              <w:rPr>
                <w:sz w:val="18"/>
                <w:szCs w:val="18"/>
              </w:rPr>
              <w:t>65–69</w:t>
            </w:r>
          </w:p>
        </w:tc>
        <w:tc>
          <w:tcPr>
            <w:tcW w:w="0" w:type="auto"/>
            <w:tcBorders>
              <w:left w:val="single" w:sz="4" w:space="0" w:color="auto"/>
              <w:right w:val="single" w:sz="4" w:space="0" w:color="auto"/>
            </w:tcBorders>
            <w:shd w:val="clear" w:color="auto" w:fill="auto"/>
            <w:hideMark/>
          </w:tcPr>
          <w:p w14:paraId="5D6A41EE" w14:textId="77777777" w:rsidR="00D82AAF" w:rsidRPr="00406CC2" w:rsidRDefault="00D82AAF" w:rsidP="00A32EA1">
            <w:pPr>
              <w:pStyle w:val="NormalWeb"/>
              <w:rPr>
                <w:sz w:val="18"/>
                <w:szCs w:val="18"/>
              </w:rPr>
            </w:pPr>
            <w:r w:rsidRPr="00406CC2">
              <w:rPr>
                <w:sz w:val="18"/>
                <w:szCs w:val="18"/>
              </w:rPr>
              <w:t>2,288</w:t>
            </w:r>
          </w:p>
        </w:tc>
        <w:tc>
          <w:tcPr>
            <w:tcW w:w="0" w:type="auto"/>
            <w:tcBorders>
              <w:left w:val="single" w:sz="4" w:space="0" w:color="auto"/>
              <w:right w:val="single" w:sz="4" w:space="0" w:color="auto"/>
            </w:tcBorders>
            <w:shd w:val="clear" w:color="auto" w:fill="auto"/>
            <w:hideMark/>
          </w:tcPr>
          <w:p w14:paraId="50703874" w14:textId="77777777" w:rsidR="00D82AAF" w:rsidRPr="00406CC2" w:rsidRDefault="00D82AAF" w:rsidP="00A32EA1">
            <w:pPr>
              <w:pStyle w:val="NormalWeb"/>
              <w:rPr>
                <w:sz w:val="18"/>
                <w:szCs w:val="18"/>
              </w:rPr>
            </w:pPr>
            <w:r w:rsidRPr="00406CC2">
              <w:rPr>
                <w:sz w:val="18"/>
                <w:szCs w:val="18"/>
              </w:rPr>
              <w:t>2,702</w:t>
            </w:r>
          </w:p>
        </w:tc>
        <w:tc>
          <w:tcPr>
            <w:tcW w:w="0" w:type="auto"/>
            <w:tcBorders>
              <w:left w:val="single" w:sz="4" w:space="0" w:color="auto"/>
              <w:right w:val="single" w:sz="4" w:space="0" w:color="auto"/>
            </w:tcBorders>
            <w:shd w:val="clear" w:color="auto" w:fill="auto"/>
            <w:hideMark/>
          </w:tcPr>
          <w:p w14:paraId="7C32A7AF" w14:textId="77777777" w:rsidR="00D82AAF" w:rsidRPr="00406CC2" w:rsidRDefault="00D82AAF" w:rsidP="00A32EA1">
            <w:pPr>
              <w:pStyle w:val="NormalWeb"/>
              <w:rPr>
                <w:sz w:val="18"/>
                <w:szCs w:val="18"/>
              </w:rPr>
            </w:pPr>
            <w:r w:rsidRPr="00406CC2">
              <w:rPr>
                <w:sz w:val="18"/>
                <w:szCs w:val="18"/>
              </w:rPr>
              <w:t>931</w:t>
            </w:r>
          </w:p>
        </w:tc>
        <w:tc>
          <w:tcPr>
            <w:tcW w:w="0" w:type="auto"/>
            <w:tcBorders>
              <w:left w:val="single" w:sz="4" w:space="0" w:color="auto"/>
              <w:right w:val="single" w:sz="4" w:space="0" w:color="auto"/>
            </w:tcBorders>
            <w:shd w:val="clear" w:color="auto" w:fill="auto"/>
            <w:hideMark/>
          </w:tcPr>
          <w:p w14:paraId="3E57D3D8" w14:textId="77777777" w:rsidR="00D82AAF" w:rsidRPr="00406CC2" w:rsidRDefault="00D82AAF" w:rsidP="00A32EA1">
            <w:pPr>
              <w:pStyle w:val="NormalWeb"/>
              <w:rPr>
                <w:sz w:val="18"/>
                <w:szCs w:val="18"/>
              </w:rPr>
            </w:pPr>
            <w:r w:rsidRPr="00406CC2">
              <w:rPr>
                <w:sz w:val="18"/>
                <w:szCs w:val="18"/>
              </w:rPr>
              <w:t>1,394</w:t>
            </w:r>
          </w:p>
        </w:tc>
        <w:tc>
          <w:tcPr>
            <w:tcW w:w="0" w:type="auto"/>
            <w:tcBorders>
              <w:left w:val="single" w:sz="4" w:space="0" w:color="auto"/>
              <w:right w:val="single" w:sz="4" w:space="0" w:color="auto"/>
            </w:tcBorders>
            <w:shd w:val="clear" w:color="auto" w:fill="auto"/>
            <w:hideMark/>
          </w:tcPr>
          <w:p w14:paraId="4A66D544" w14:textId="77777777" w:rsidR="00D82AAF" w:rsidRPr="00406CC2" w:rsidRDefault="00D82AAF" w:rsidP="00A32EA1">
            <w:pPr>
              <w:pStyle w:val="NormalWeb"/>
              <w:rPr>
                <w:sz w:val="18"/>
                <w:szCs w:val="18"/>
              </w:rPr>
            </w:pPr>
            <w:r w:rsidRPr="00406CC2">
              <w:rPr>
                <w:sz w:val="18"/>
                <w:szCs w:val="18"/>
              </w:rPr>
              <w:t>335</w:t>
            </w:r>
          </w:p>
        </w:tc>
        <w:tc>
          <w:tcPr>
            <w:tcW w:w="0" w:type="auto"/>
            <w:tcBorders>
              <w:left w:val="single" w:sz="4" w:space="0" w:color="auto"/>
              <w:right w:val="single" w:sz="4" w:space="0" w:color="auto"/>
            </w:tcBorders>
            <w:shd w:val="clear" w:color="auto" w:fill="auto"/>
            <w:hideMark/>
          </w:tcPr>
          <w:p w14:paraId="66107CB3" w14:textId="77777777" w:rsidR="00D82AAF" w:rsidRPr="00406CC2" w:rsidRDefault="00D82AAF" w:rsidP="00A32EA1">
            <w:pPr>
              <w:pStyle w:val="NormalWeb"/>
              <w:rPr>
                <w:sz w:val="18"/>
                <w:szCs w:val="18"/>
              </w:rPr>
            </w:pPr>
            <w:r w:rsidRPr="00406CC2">
              <w:rPr>
                <w:sz w:val="18"/>
                <w:szCs w:val="18"/>
              </w:rPr>
              <w:t>444</w:t>
            </w:r>
          </w:p>
        </w:tc>
        <w:tc>
          <w:tcPr>
            <w:tcW w:w="0" w:type="auto"/>
            <w:tcBorders>
              <w:left w:val="single" w:sz="4" w:space="0" w:color="auto"/>
              <w:right w:val="single" w:sz="4" w:space="0" w:color="auto"/>
            </w:tcBorders>
            <w:shd w:val="clear" w:color="auto" w:fill="auto"/>
            <w:hideMark/>
          </w:tcPr>
          <w:p w14:paraId="218CC78E" w14:textId="77777777" w:rsidR="00D82AAF" w:rsidRPr="00406CC2" w:rsidRDefault="00D82AAF" w:rsidP="00A32EA1">
            <w:pPr>
              <w:pStyle w:val="NormalWeb"/>
              <w:rPr>
                <w:sz w:val="18"/>
                <w:szCs w:val="18"/>
              </w:rPr>
            </w:pPr>
            <w:r w:rsidRPr="00406CC2">
              <w:rPr>
                <w:sz w:val="18"/>
                <w:szCs w:val="18"/>
              </w:rPr>
              <w:t>≤ 5</w:t>
            </w:r>
          </w:p>
        </w:tc>
        <w:tc>
          <w:tcPr>
            <w:tcW w:w="0" w:type="auto"/>
            <w:tcBorders>
              <w:left w:val="single" w:sz="4" w:space="0" w:color="auto"/>
              <w:right w:val="single" w:sz="4" w:space="0" w:color="auto"/>
            </w:tcBorders>
            <w:shd w:val="clear" w:color="auto" w:fill="auto"/>
            <w:hideMark/>
          </w:tcPr>
          <w:p w14:paraId="30D054F9" w14:textId="77777777" w:rsidR="00D82AAF" w:rsidRPr="00406CC2" w:rsidRDefault="00D82AAF" w:rsidP="00A32EA1">
            <w:pPr>
              <w:pStyle w:val="NormalWeb"/>
              <w:rPr>
                <w:sz w:val="18"/>
                <w:szCs w:val="18"/>
              </w:rPr>
            </w:pPr>
            <w:r w:rsidRPr="00406CC2">
              <w:rPr>
                <w:sz w:val="18"/>
                <w:szCs w:val="18"/>
              </w:rPr>
              <w:t>≤ 5</w:t>
            </w:r>
          </w:p>
        </w:tc>
        <w:tc>
          <w:tcPr>
            <w:tcW w:w="0" w:type="auto"/>
            <w:tcBorders>
              <w:left w:val="single" w:sz="4" w:space="0" w:color="auto"/>
              <w:right w:val="single" w:sz="4" w:space="0" w:color="auto"/>
            </w:tcBorders>
            <w:shd w:val="clear" w:color="auto" w:fill="auto"/>
            <w:hideMark/>
          </w:tcPr>
          <w:p w14:paraId="4358ABC0" w14:textId="77777777" w:rsidR="00D82AAF" w:rsidRPr="00406CC2" w:rsidRDefault="00D82AAF" w:rsidP="00A32EA1">
            <w:pPr>
              <w:pStyle w:val="NormalWeb"/>
              <w:rPr>
                <w:sz w:val="18"/>
                <w:szCs w:val="18"/>
              </w:rPr>
            </w:pPr>
            <w:r w:rsidRPr="00406CC2">
              <w:rPr>
                <w:sz w:val="18"/>
                <w:szCs w:val="18"/>
              </w:rPr>
              <w:t>621</w:t>
            </w:r>
          </w:p>
        </w:tc>
        <w:tc>
          <w:tcPr>
            <w:tcW w:w="0" w:type="auto"/>
            <w:tcBorders>
              <w:left w:val="single" w:sz="4" w:space="0" w:color="auto"/>
              <w:right w:val="single" w:sz="4" w:space="0" w:color="auto"/>
            </w:tcBorders>
            <w:shd w:val="clear" w:color="auto" w:fill="auto"/>
            <w:hideMark/>
          </w:tcPr>
          <w:p w14:paraId="3BC1AFAE" w14:textId="77777777" w:rsidR="00D82AAF" w:rsidRPr="00406CC2" w:rsidRDefault="00D82AAF" w:rsidP="00A32EA1">
            <w:pPr>
              <w:pStyle w:val="NormalWeb"/>
              <w:rPr>
                <w:sz w:val="18"/>
                <w:szCs w:val="18"/>
              </w:rPr>
            </w:pPr>
            <w:r w:rsidRPr="00406CC2">
              <w:rPr>
                <w:sz w:val="18"/>
                <w:szCs w:val="18"/>
              </w:rPr>
              <w:t>11,744</w:t>
            </w:r>
          </w:p>
        </w:tc>
      </w:tr>
      <w:tr w:rsidR="00D82AAF" w:rsidRPr="00406CC2" w14:paraId="0704BBA9" w14:textId="77777777" w:rsidTr="009E49CC">
        <w:trPr>
          <w:divId w:val="1964146631"/>
        </w:trPr>
        <w:tc>
          <w:tcPr>
            <w:tcW w:w="851" w:type="dxa"/>
            <w:vMerge/>
            <w:tcBorders>
              <w:left w:val="single" w:sz="4" w:space="0" w:color="auto"/>
              <w:right w:val="single" w:sz="4" w:space="0" w:color="auto"/>
            </w:tcBorders>
            <w:shd w:val="clear" w:color="auto" w:fill="auto"/>
            <w:hideMark/>
          </w:tcPr>
          <w:p w14:paraId="37955C31" w14:textId="77777777" w:rsidR="00D82AAF" w:rsidRPr="00406CC2" w:rsidRDefault="00D82AAF" w:rsidP="00A32EA1">
            <w:pPr>
              <w:rPr>
                <w:sz w:val="18"/>
                <w:szCs w:val="18"/>
              </w:rPr>
            </w:pPr>
          </w:p>
        </w:tc>
        <w:tc>
          <w:tcPr>
            <w:tcW w:w="0" w:type="auto"/>
            <w:tcBorders>
              <w:left w:val="single" w:sz="4" w:space="0" w:color="auto"/>
              <w:right w:val="single" w:sz="4" w:space="0" w:color="auto"/>
            </w:tcBorders>
            <w:shd w:val="clear" w:color="auto" w:fill="auto"/>
            <w:hideMark/>
          </w:tcPr>
          <w:p w14:paraId="77FE9432" w14:textId="77777777" w:rsidR="00D82AAF" w:rsidRPr="00406CC2" w:rsidRDefault="00D82AAF" w:rsidP="00A32EA1">
            <w:pPr>
              <w:pStyle w:val="NormalWeb"/>
              <w:rPr>
                <w:sz w:val="18"/>
                <w:szCs w:val="18"/>
              </w:rPr>
            </w:pPr>
            <w:r w:rsidRPr="00406CC2">
              <w:rPr>
                <w:sz w:val="18"/>
                <w:szCs w:val="18"/>
              </w:rPr>
              <w:t>70–74</w:t>
            </w:r>
          </w:p>
        </w:tc>
        <w:tc>
          <w:tcPr>
            <w:tcW w:w="0" w:type="auto"/>
            <w:tcBorders>
              <w:left w:val="single" w:sz="4" w:space="0" w:color="auto"/>
              <w:right w:val="single" w:sz="4" w:space="0" w:color="auto"/>
            </w:tcBorders>
            <w:shd w:val="clear" w:color="auto" w:fill="auto"/>
            <w:hideMark/>
          </w:tcPr>
          <w:p w14:paraId="7C883E8B" w14:textId="77777777" w:rsidR="00D82AAF" w:rsidRPr="00406CC2" w:rsidRDefault="00D82AAF" w:rsidP="00A32EA1">
            <w:pPr>
              <w:pStyle w:val="NormalWeb"/>
              <w:rPr>
                <w:sz w:val="18"/>
                <w:szCs w:val="18"/>
              </w:rPr>
            </w:pPr>
            <w:r w:rsidRPr="00406CC2">
              <w:rPr>
                <w:sz w:val="18"/>
                <w:szCs w:val="18"/>
              </w:rPr>
              <w:t>1,732</w:t>
            </w:r>
          </w:p>
        </w:tc>
        <w:tc>
          <w:tcPr>
            <w:tcW w:w="0" w:type="auto"/>
            <w:tcBorders>
              <w:left w:val="single" w:sz="4" w:space="0" w:color="auto"/>
              <w:right w:val="single" w:sz="4" w:space="0" w:color="auto"/>
            </w:tcBorders>
            <w:shd w:val="clear" w:color="auto" w:fill="auto"/>
            <w:hideMark/>
          </w:tcPr>
          <w:p w14:paraId="11D4486B" w14:textId="77777777" w:rsidR="00D82AAF" w:rsidRPr="00406CC2" w:rsidRDefault="00D82AAF" w:rsidP="00A32EA1">
            <w:pPr>
              <w:pStyle w:val="NormalWeb"/>
              <w:rPr>
                <w:sz w:val="18"/>
                <w:szCs w:val="18"/>
              </w:rPr>
            </w:pPr>
            <w:r w:rsidRPr="00406CC2">
              <w:rPr>
                <w:sz w:val="18"/>
                <w:szCs w:val="18"/>
              </w:rPr>
              <w:t>3,112</w:t>
            </w:r>
          </w:p>
        </w:tc>
        <w:tc>
          <w:tcPr>
            <w:tcW w:w="0" w:type="auto"/>
            <w:tcBorders>
              <w:left w:val="single" w:sz="4" w:space="0" w:color="auto"/>
              <w:right w:val="single" w:sz="4" w:space="0" w:color="auto"/>
            </w:tcBorders>
            <w:shd w:val="clear" w:color="auto" w:fill="auto"/>
            <w:hideMark/>
          </w:tcPr>
          <w:p w14:paraId="17EAF655" w14:textId="77777777" w:rsidR="00D82AAF" w:rsidRPr="00406CC2" w:rsidRDefault="00D82AAF" w:rsidP="00A32EA1">
            <w:pPr>
              <w:pStyle w:val="NormalWeb"/>
              <w:rPr>
                <w:sz w:val="18"/>
                <w:szCs w:val="18"/>
              </w:rPr>
            </w:pPr>
            <w:r w:rsidRPr="00406CC2">
              <w:rPr>
                <w:sz w:val="18"/>
                <w:szCs w:val="18"/>
              </w:rPr>
              <w:t>851</w:t>
            </w:r>
          </w:p>
        </w:tc>
        <w:tc>
          <w:tcPr>
            <w:tcW w:w="0" w:type="auto"/>
            <w:tcBorders>
              <w:left w:val="single" w:sz="4" w:space="0" w:color="auto"/>
              <w:right w:val="single" w:sz="4" w:space="0" w:color="auto"/>
            </w:tcBorders>
            <w:shd w:val="clear" w:color="auto" w:fill="auto"/>
            <w:hideMark/>
          </w:tcPr>
          <w:p w14:paraId="2BF8DCF8" w14:textId="77777777" w:rsidR="00D82AAF" w:rsidRPr="00406CC2" w:rsidRDefault="00D82AAF" w:rsidP="00A32EA1">
            <w:pPr>
              <w:pStyle w:val="NormalWeb"/>
              <w:rPr>
                <w:sz w:val="18"/>
                <w:szCs w:val="18"/>
              </w:rPr>
            </w:pPr>
            <w:r w:rsidRPr="00406CC2">
              <w:rPr>
                <w:sz w:val="18"/>
                <w:szCs w:val="18"/>
              </w:rPr>
              <w:t>1,029</w:t>
            </w:r>
          </w:p>
        </w:tc>
        <w:tc>
          <w:tcPr>
            <w:tcW w:w="0" w:type="auto"/>
            <w:tcBorders>
              <w:left w:val="single" w:sz="4" w:space="0" w:color="auto"/>
              <w:right w:val="single" w:sz="4" w:space="0" w:color="auto"/>
            </w:tcBorders>
            <w:shd w:val="clear" w:color="auto" w:fill="auto"/>
            <w:hideMark/>
          </w:tcPr>
          <w:p w14:paraId="0541D184" w14:textId="77777777" w:rsidR="00D82AAF" w:rsidRPr="00406CC2" w:rsidRDefault="00D82AAF" w:rsidP="00A32EA1">
            <w:pPr>
              <w:pStyle w:val="NormalWeb"/>
              <w:rPr>
                <w:sz w:val="18"/>
                <w:szCs w:val="18"/>
              </w:rPr>
            </w:pPr>
            <w:r w:rsidRPr="00406CC2">
              <w:rPr>
                <w:sz w:val="18"/>
                <w:szCs w:val="18"/>
              </w:rPr>
              <w:t>348</w:t>
            </w:r>
          </w:p>
        </w:tc>
        <w:tc>
          <w:tcPr>
            <w:tcW w:w="0" w:type="auto"/>
            <w:tcBorders>
              <w:left w:val="single" w:sz="4" w:space="0" w:color="auto"/>
              <w:right w:val="single" w:sz="4" w:space="0" w:color="auto"/>
            </w:tcBorders>
            <w:shd w:val="clear" w:color="auto" w:fill="auto"/>
            <w:hideMark/>
          </w:tcPr>
          <w:p w14:paraId="490F6A01" w14:textId="77777777" w:rsidR="00D82AAF" w:rsidRPr="00406CC2" w:rsidRDefault="00D82AAF" w:rsidP="00A32EA1">
            <w:pPr>
              <w:pStyle w:val="NormalWeb"/>
              <w:rPr>
                <w:sz w:val="18"/>
                <w:szCs w:val="18"/>
              </w:rPr>
            </w:pPr>
            <w:r w:rsidRPr="00406CC2">
              <w:rPr>
                <w:sz w:val="18"/>
                <w:szCs w:val="18"/>
              </w:rPr>
              <w:t>394</w:t>
            </w:r>
          </w:p>
        </w:tc>
        <w:tc>
          <w:tcPr>
            <w:tcW w:w="0" w:type="auto"/>
            <w:tcBorders>
              <w:left w:val="single" w:sz="4" w:space="0" w:color="auto"/>
              <w:right w:val="single" w:sz="4" w:space="0" w:color="auto"/>
            </w:tcBorders>
            <w:shd w:val="clear" w:color="auto" w:fill="auto"/>
            <w:hideMark/>
          </w:tcPr>
          <w:p w14:paraId="6F6272EA" w14:textId="77777777" w:rsidR="00D82AAF" w:rsidRPr="00406CC2" w:rsidRDefault="00D82AAF" w:rsidP="00A32EA1">
            <w:pPr>
              <w:pStyle w:val="NormalWeb"/>
              <w:rPr>
                <w:sz w:val="18"/>
                <w:szCs w:val="18"/>
              </w:rPr>
            </w:pPr>
            <w:r w:rsidRPr="00406CC2">
              <w:rPr>
                <w:sz w:val="18"/>
                <w:szCs w:val="18"/>
              </w:rPr>
              <w:t>≤ 5</w:t>
            </w:r>
          </w:p>
        </w:tc>
        <w:tc>
          <w:tcPr>
            <w:tcW w:w="0" w:type="auto"/>
            <w:tcBorders>
              <w:left w:val="single" w:sz="4" w:space="0" w:color="auto"/>
              <w:right w:val="single" w:sz="4" w:space="0" w:color="auto"/>
            </w:tcBorders>
            <w:shd w:val="clear" w:color="auto" w:fill="auto"/>
            <w:hideMark/>
          </w:tcPr>
          <w:p w14:paraId="2EDF70F2" w14:textId="77777777" w:rsidR="00D82AAF" w:rsidRPr="00406CC2" w:rsidRDefault="00D82AAF" w:rsidP="00A32EA1">
            <w:pPr>
              <w:pStyle w:val="NormalWeb"/>
              <w:rPr>
                <w:sz w:val="18"/>
                <w:szCs w:val="18"/>
              </w:rPr>
            </w:pPr>
            <w:r w:rsidRPr="00406CC2">
              <w:rPr>
                <w:sz w:val="18"/>
                <w:szCs w:val="18"/>
              </w:rPr>
              <w:t>7</w:t>
            </w:r>
          </w:p>
        </w:tc>
        <w:tc>
          <w:tcPr>
            <w:tcW w:w="0" w:type="auto"/>
            <w:tcBorders>
              <w:left w:val="single" w:sz="4" w:space="0" w:color="auto"/>
              <w:right w:val="single" w:sz="4" w:space="0" w:color="auto"/>
            </w:tcBorders>
            <w:shd w:val="clear" w:color="auto" w:fill="auto"/>
            <w:hideMark/>
          </w:tcPr>
          <w:p w14:paraId="4CFCCA28" w14:textId="77777777" w:rsidR="00D82AAF" w:rsidRPr="00406CC2" w:rsidRDefault="00D82AAF" w:rsidP="00A32EA1">
            <w:pPr>
              <w:pStyle w:val="NormalWeb"/>
              <w:rPr>
                <w:sz w:val="18"/>
                <w:szCs w:val="18"/>
              </w:rPr>
            </w:pPr>
            <w:r w:rsidRPr="00406CC2">
              <w:rPr>
                <w:sz w:val="18"/>
                <w:szCs w:val="18"/>
              </w:rPr>
              <w:t>549</w:t>
            </w:r>
          </w:p>
        </w:tc>
        <w:tc>
          <w:tcPr>
            <w:tcW w:w="0" w:type="auto"/>
            <w:tcBorders>
              <w:left w:val="single" w:sz="4" w:space="0" w:color="auto"/>
              <w:right w:val="single" w:sz="4" w:space="0" w:color="auto"/>
            </w:tcBorders>
            <w:shd w:val="clear" w:color="auto" w:fill="auto"/>
            <w:hideMark/>
          </w:tcPr>
          <w:p w14:paraId="18E43CFF" w14:textId="77777777" w:rsidR="00D82AAF" w:rsidRPr="00406CC2" w:rsidRDefault="00D82AAF" w:rsidP="00A32EA1">
            <w:pPr>
              <w:pStyle w:val="NormalWeb"/>
              <w:rPr>
                <w:sz w:val="18"/>
                <w:szCs w:val="18"/>
              </w:rPr>
            </w:pPr>
            <w:r w:rsidRPr="00406CC2">
              <w:rPr>
                <w:sz w:val="18"/>
                <w:szCs w:val="18"/>
              </w:rPr>
              <w:t>187,614</w:t>
            </w:r>
          </w:p>
        </w:tc>
      </w:tr>
      <w:tr w:rsidR="00D82AAF" w:rsidRPr="00406CC2" w14:paraId="15E64089" w14:textId="77777777" w:rsidTr="009E49CC">
        <w:trPr>
          <w:cnfStyle w:val="000000010000" w:firstRow="0" w:lastRow="0" w:firstColumn="0" w:lastColumn="0" w:oddVBand="0" w:evenVBand="0" w:oddHBand="0" w:evenHBand="1" w:firstRowFirstColumn="0" w:firstRowLastColumn="0" w:lastRowFirstColumn="0" w:lastRowLastColumn="0"/>
          <w:divId w:val="1964146631"/>
        </w:trPr>
        <w:tc>
          <w:tcPr>
            <w:tcW w:w="851" w:type="dxa"/>
            <w:vMerge/>
            <w:tcBorders>
              <w:left w:val="single" w:sz="4" w:space="0" w:color="auto"/>
              <w:right w:val="single" w:sz="4" w:space="0" w:color="auto"/>
            </w:tcBorders>
            <w:shd w:val="clear" w:color="auto" w:fill="auto"/>
            <w:hideMark/>
          </w:tcPr>
          <w:p w14:paraId="5B9FFEA3" w14:textId="77777777" w:rsidR="00D82AAF" w:rsidRPr="00406CC2" w:rsidRDefault="00D82AAF" w:rsidP="00A32EA1">
            <w:pPr>
              <w:rPr>
                <w:sz w:val="18"/>
                <w:szCs w:val="18"/>
              </w:rPr>
            </w:pPr>
          </w:p>
        </w:tc>
        <w:tc>
          <w:tcPr>
            <w:tcW w:w="0" w:type="auto"/>
            <w:tcBorders>
              <w:left w:val="single" w:sz="4" w:space="0" w:color="auto"/>
              <w:right w:val="single" w:sz="4" w:space="0" w:color="auto"/>
            </w:tcBorders>
            <w:shd w:val="clear" w:color="auto" w:fill="auto"/>
            <w:hideMark/>
          </w:tcPr>
          <w:p w14:paraId="23F88E8E" w14:textId="77777777" w:rsidR="00D82AAF" w:rsidRPr="00406CC2" w:rsidRDefault="00D82AAF" w:rsidP="00A32EA1">
            <w:pPr>
              <w:pStyle w:val="NormalWeb"/>
              <w:rPr>
                <w:sz w:val="18"/>
                <w:szCs w:val="18"/>
              </w:rPr>
            </w:pPr>
            <w:r w:rsidRPr="00406CC2">
              <w:rPr>
                <w:sz w:val="18"/>
                <w:szCs w:val="18"/>
              </w:rPr>
              <w:t>75–79</w:t>
            </w:r>
          </w:p>
        </w:tc>
        <w:tc>
          <w:tcPr>
            <w:tcW w:w="0" w:type="auto"/>
            <w:tcBorders>
              <w:left w:val="single" w:sz="4" w:space="0" w:color="auto"/>
              <w:right w:val="single" w:sz="4" w:space="0" w:color="auto"/>
            </w:tcBorders>
            <w:shd w:val="clear" w:color="auto" w:fill="auto"/>
            <w:hideMark/>
          </w:tcPr>
          <w:p w14:paraId="1181A12D" w14:textId="77777777" w:rsidR="00D82AAF" w:rsidRPr="00406CC2" w:rsidRDefault="00D82AAF" w:rsidP="00A32EA1">
            <w:pPr>
              <w:pStyle w:val="NormalWeb"/>
              <w:rPr>
                <w:sz w:val="18"/>
                <w:szCs w:val="18"/>
              </w:rPr>
            </w:pPr>
            <w:r w:rsidRPr="00406CC2">
              <w:rPr>
                <w:sz w:val="18"/>
                <w:szCs w:val="18"/>
              </w:rPr>
              <w:t>1,474</w:t>
            </w:r>
          </w:p>
        </w:tc>
        <w:tc>
          <w:tcPr>
            <w:tcW w:w="0" w:type="auto"/>
            <w:tcBorders>
              <w:left w:val="single" w:sz="4" w:space="0" w:color="auto"/>
              <w:right w:val="single" w:sz="4" w:space="0" w:color="auto"/>
            </w:tcBorders>
            <w:shd w:val="clear" w:color="auto" w:fill="auto"/>
            <w:hideMark/>
          </w:tcPr>
          <w:p w14:paraId="3510E8AE" w14:textId="77777777" w:rsidR="00D82AAF" w:rsidRPr="00406CC2" w:rsidRDefault="00D82AAF" w:rsidP="00A32EA1">
            <w:pPr>
              <w:pStyle w:val="NormalWeb"/>
              <w:rPr>
                <w:sz w:val="18"/>
                <w:szCs w:val="18"/>
              </w:rPr>
            </w:pPr>
            <w:r w:rsidRPr="00406CC2">
              <w:rPr>
                <w:sz w:val="18"/>
                <w:szCs w:val="18"/>
              </w:rPr>
              <w:t>2,099</w:t>
            </w:r>
          </w:p>
        </w:tc>
        <w:tc>
          <w:tcPr>
            <w:tcW w:w="0" w:type="auto"/>
            <w:tcBorders>
              <w:left w:val="single" w:sz="4" w:space="0" w:color="auto"/>
              <w:right w:val="single" w:sz="4" w:space="0" w:color="auto"/>
            </w:tcBorders>
            <w:shd w:val="clear" w:color="auto" w:fill="auto"/>
            <w:hideMark/>
          </w:tcPr>
          <w:p w14:paraId="64BB30ED" w14:textId="77777777" w:rsidR="00D82AAF" w:rsidRPr="00406CC2" w:rsidRDefault="00D82AAF" w:rsidP="00A32EA1">
            <w:pPr>
              <w:pStyle w:val="NormalWeb"/>
              <w:rPr>
                <w:sz w:val="18"/>
                <w:szCs w:val="18"/>
              </w:rPr>
            </w:pPr>
            <w:r w:rsidRPr="00406CC2">
              <w:rPr>
                <w:sz w:val="18"/>
                <w:szCs w:val="18"/>
              </w:rPr>
              <w:t>784</w:t>
            </w:r>
          </w:p>
        </w:tc>
        <w:tc>
          <w:tcPr>
            <w:tcW w:w="0" w:type="auto"/>
            <w:tcBorders>
              <w:left w:val="single" w:sz="4" w:space="0" w:color="auto"/>
              <w:right w:val="single" w:sz="4" w:space="0" w:color="auto"/>
            </w:tcBorders>
            <w:shd w:val="clear" w:color="auto" w:fill="auto"/>
            <w:hideMark/>
          </w:tcPr>
          <w:p w14:paraId="7C50EC81" w14:textId="77777777" w:rsidR="00D82AAF" w:rsidRPr="00406CC2" w:rsidRDefault="00D82AAF" w:rsidP="00A32EA1">
            <w:pPr>
              <w:pStyle w:val="NormalWeb"/>
              <w:rPr>
                <w:sz w:val="18"/>
                <w:szCs w:val="18"/>
              </w:rPr>
            </w:pPr>
            <w:r w:rsidRPr="00406CC2">
              <w:rPr>
                <w:sz w:val="18"/>
                <w:szCs w:val="18"/>
              </w:rPr>
              <w:t>774</w:t>
            </w:r>
          </w:p>
        </w:tc>
        <w:tc>
          <w:tcPr>
            <w:tcW w:w="0" w:type="auto"/>
            <w:tcBorders>
              <w:left w:val="single" w:sz="4" w:space="0" w:color="auto"/>
              <w:right w:val="single" w:sz="4" w:space="0" w:color="auto"/>
            </w:tcBorders>
            <w:shd w:val="clear" w:color="auto" w:fill="auto"/>
            <w:hideMark/>
          </w:tcPr>
          <w:p w14:paraId="478E0D18" w14:textId="77777777" w:rsidR="00D82AAF" w:rsidRPr="00406CC2" w:rsidRDefault="00D82AAF" w:rsidP="00A32EA1">
            <w:pPr>
              <w:pStyle w:val="NormalWeb"/>
              <w:rPr>
                <w:sz w:val="18"/>
                <w:szCs w:val="18"/>
              </w:rPr>
            </w:pPr>
            <w:r w:rsidRPr="00406CC2">
              <w:rPr>
                <w:sz w:val="18"/>
                <w:szCs w:val="18"/>
              </w:rPr>
              <w:t>411</w:t>
            </w:r>
          </w:p>
        </w:tc>
        <w:tc>
          <w:tcPr>
            <w:tcW w:w="0" w:type="auto"/>
            <w:tcBorders>
              <w:left w:val="single" w:sz="4" w:space="0" w:color="auto"/>
              <w:right w:val="single" w:sz="4" w:space="0" w:color="auto"/>
            </w:tcBorders>
            <w:shd w:val="clear" w:color="auto" w:fill="auto"/>
            <w:hideMark/>
          </w:tcPr>
          <w:p w14:paraId="2F9931DA" w14:textId="77777777" w:rsidR="00D82AAF" w:rsidRPr="00406CC2" w:rsidRDefault="00D82AAF" w:rsidP="00A32EA1">
            <w:pPr>
              <w:pStyle w:val="NormalWeb"/>
              <w:rPr>
                <w:sz w:val="18"/>
                <w:szCs w:val="18"/>
              </w:rPr>
            </w:pPr>
            <w:r w:rsidRPr="00406CC2">
              <w:rPr>
                <w:sz w:val="18"/>
                <w:szCs w:val="18"/>
              </w:rPr>
              <w:t>435</w:t>
            </w:r>
          </w:p>
        </w:tc>
        <w:tc>
          <w:tcPr>
            <w:tcW w:w="0" w:type="auto"/>
            <w:tcBorders>
              <w:left w:val="single" w:sz="4" w:space="0" w:color="auto"/>
              <w:right w:val="single" w:sz="4" w:space="0" w:color="auto"/>
            </w:tcBorders>
            <w:shd w:val="clear" w:color="auto" w:fill="auto"/>
            <w:hideMark/>
          </w:tcPr>
          <w:p w14:paraId="231A53C3" w14:textId="77777777" w:rsidR="00D82AAF" w:rsidRPr="00406CC2" w:rsidRDefault="00D82AAF" w:rsidP="00A32EA1">
            <w:pPr>
              <w:pStyle w:val="NormalWeb"/>
              <w:rPr>
                <w:sz w:val="18"/>
                <w:szCs w:val="18"/>
              </w:rPr>
            </w:pPr>
            <w:r w:rsidRPr="00406CC2">
              <w:rPr>
                <w:sz w:val="18"/>
                <w:szCs w:val="18"/>
              </w:rPr>
              <w:t>14</w:t>
            </w:r>
          </w:p>
        </w:tc>
        <w:tc>
          <w:tcPr>
            <w:tcW w:w="0" w:type="auto"/>
            <w:tcBorders>
              <w:left w:val="single" w:sz="4" w:space="0" w:color="auto"/>
              <w:right w:val="single" w:sz="4" w:space="0" w:color="auto"/>
            </w:tcBorders>
            <w:shd w:val="clear" w:color="auto" w:fill="auto"/>
            <w:hideMark/>
          </w:tcPr>
          <w:p w14:paraId="440C11F8" w14:textId="77777777" w:rsidR="00D82AAF" w:rsidRPr="00406CC2" w:rsidRDefault="00D82AAF" w:rsidP="00A32EA1">
            <w:pPr>
              <w:pStyle w:val="NormalWeb"/>
              <w:rPr>
                <w:sz w:val="18"/>
                <w:szCs w:val="18"/>
              </w:rPr>
            </w:pPr>
            <w:r w:rsidRPr="00406CC2">
              <w:rPr>
                <w:sz w:val="18"/>
                <w:szCs w:val="18"/>
              </w:rPr>
              <w:t>6</w:t>
            </w:r>
          </w:p>
        </w:tc>
        <w:tc>
          <w:tcPr>
            <w:tcW w:w="0" w:type="auto"/>
            <w:tcBorders>
              <w:left w:val="single" w:sz="4" w:space="0" w:color="auto"/>
              <w:right w:val="single" w:sz="4" w:space="0" w:color="auto"/>
            </w:tcBorders>
            <w:shd w:val="clear" w:color="auto" w:fill="auto"/>
            <w:hideMark/>
          </w:tcPr>
          <w:p w14:paraId="1E1A1E6E" w14:textId="77777777" w:rsidR="00D82AAF" w:rsidRPr="00406CC2" w:rsidRDefault="00D82AAF" w:rsidP="00A32EA1">
            <w:pPr>
              <w:pStyle w:val="NormalWeb"/>
              <w:rPr>
                <w:sz w:val="18"/>
                <w:szCs w:val="18"/>
              </w:rPr>
            </w:pPr>
            <w:r w:rsidRPr="00406CC2">
              <w:rPr>
                <w:sz w:val="18"/>
                <w:szCs w:val="18"/>
              </w:rPr>
              <w:t>692</w:t>
            </w:r>
          </w:p>
        </w:tc>
        <w:tc>
          <w:tcPr>
            <w:tcW w:w="0" w:type="auto"/>
            <w:tcBorders>
              <w:left w:val="single" w:sz="4" w:space="0" w:color="auto"/>
              <w:right w:val="single" w:sz="4" w:space="0" w:color="auto"/>
            </w:tcBorders>
            <w:shd w:val="clear" w:color="auto" w:fill="auto"/>
            <w:hideMark/>
          </w:tcPr>
          <w:p w14:paraId="6B0E1270" w14:textId="77777777" w:rsidR="00D82AAF" w:rsidRPr="00406CC2" w:rsidRDefault="00D82AAF" w:rsidP="00A32EA1">
            <w:pPr>
              <w:pStyle w:val="NormalWeb"/>
              <w:rPr>
                <w:sz w:val="18"/>
                <w:szCs w:val="18"/>
              </w:rPr>
            </w:pPr>
            <w:r w:rsidRPr="00406CC2">
              <w:rPr>
                <w:sz w:val="18"/>
                <w:szCs w:val="18"/>
              </w:rPr>
              <w:t>82,160</w:t>
            </w:r>
          </w:p>
        </w:tc>
      </w:tr>
      <w:tr w:rsidR="00D82AAF" w:rsidRPr="00406CC2" w14:paraId="6F594A90" w14:textId="77777777" w:rsidTr="009E49CC">
        <w:trPr>
          <w:divId w:val="1964146631"/>
        </w:trPr>
        <w:tc>
          <w:tcPr>
            <w:tcW w:w="851" w:type="dxa"/>
            <w:vMerge/>
            <w:tcBorders>
              <w:left w:val="single" w:sz="4" w:space="0" w:color="auto"/>
              <w:right w:val="single" w:sz="4" w:space="0" w:color="auto"/>
            </w:tcBorders>
            <w:shd w:val="clear" w:color="auto" w:fill="auto"/>
            <w:hideMark/>
          </w:tcPr>
          <w:p w14:paraId="3D468656" w14:textId="77777777" w:rsidR="00D82AAF" w:rsidRPr="00406CC2" w:rsidRDefault="00D82AAF" w:rsidP="00A32EA1">
            <w:pPr>
              <w:rPr>
                <w:sz w:val="18"/>
                <w:szCs w:val="18"/>
              </w:rPr>
            </w:pPr>
          </w:p>
        </w:tc>
        <w:tc>
          <w:tcPr>
            <w:tcW w:w="0" w:type="auto"/>
            <w:tcBorders>
              <w:left w:val="single" w:sz="4" w:space="0" w:color="auto"/>
              <w:right w:val="single" w:sz="4" w:space="0" w:color="auto"/>
            </w:tcBorders>
            <w:shd w:val="clear" w:color="auto" w:fill="auto"/>
            <w:hideMark/>
          </w:tcPr>
          <w:p w14:paraId="559C5E6B" w14:textId="77777777" w:rsidR="00D82AAF" w:rsidRPr="00406CC2" w:rsidRDefault="00D82AAF" w:rsidP="00A32EA1">
            <w:pPr>
              <w:pStyle w:val="NormalWeb"/>
              <w:rPr>
                <w:sz w:val="18"/>
                <w:szCs w:val="18"/>
              </w:rPr>
            </w:pPr>
            <w:r w:rsidRPr="00406CC2">
              <w:rPr>
                <w:sz w:val="18"/>
                <w:szCs w:val="18"/>
              </w:rPr>
              <w:t>80–84</w:t>
            </w:r>
          </w:p>
        </w:tc>
        <w:tc>
          <w:tcPr>
            <w:tcW w:w="0" w:type="auto"/>
            <w:tcBorders>
              <w:left w:val="single" w:sz="4" w:space="0" w:color="auto"/>
              <w:right w:val="single" w:sz="4" w:space="0" w:color="auto"/>
            </w:tcBorders>
            <w:shd w:val="clear" w:color="auto" w:fill="auto"/>
            <w:hideMark/>
          </w:tcPr>
          <w:p w14:paraId="6ADF0C28" w14:textId="77777777" w:rsidR="00D82AAF" w:rsidRPr="00406CC2" w:rsidRDefault="00D82AAF" w:rsidP="00A32EA1">
            <w:pPr>
              <w:pStyle w:val="NormalWeb"/>
              <w:rPr>
                <w:sz w:val="18"/>
                <w:szCs w:val="18"/>
              </w:rPr>
            </w:pPr>
            <w:r w:rsidRPr="00406CC2">
              <w:rPr>
                <w:sz w:val="18"/>
                <w:szCs w:val="18"/>
              </w:rPr>
              <w:t>1,089</w:t>
            </w:r>
          </w:p>
        </w:tc>
        <w:tc>
          <w:tcPr>
            <w:tcW w:w="0" w:type="auto"/>
            <w:tcBorders>
              <w:left w:val="single" w:sz="4" w:space="0" w:color="auto"/>
              <w:right w:val="single" w:sz="4" w:space="0" w:color="auto"/>
            </w:tcBorders>
            <w:shd w:val="clear" w:color="auto" w:fill="auto"/>
            <w:hideMark/>
          </w:tcPr>
          <w:p w14:paraId="09E239D8" w14:textId="77777777" w:rsidR="00D82AAF" w:rsidRPr="00406CC2" w:rsidRDefault="00D82AAF" w:rsidP="00A32EA1">
            <w:pPr>
              <w:pStyle w:val="NormalWeb"/>
              <w:rPr>
                <w:sz w:val="18"/>
                <w:szCs w:val="18"/>
              </w:rPr>
            </w:pPr>
            <w:r w:rsidRPr="00406CC2">
              <w:rPr>
                <w:sz w:val="18"/>
                <w:szCs w:val="18"/>
              </w:rPr>
              <w:t>1,825</w:t>
            </w:r>
          </w:p>
        </w:tc>
        <w:tc>
          <w:tcPr>
            <w:tcW w:w="0" w:type="auto"/>
            <w:tcBorders>
              <w:left w:val="single" w:sz="4" w:space="0" w:color="auto"/>
              <w:right w:val="single" w:sz="4" w:space="0" w:color="auto"/>
            </w:tcBorders>
            <w:shd w:val="clear" w:color="auto" w:fill="auto"/>
            <w:hideMark/>
          </w:tcPr>
          <w:p w14:paraId="46D1C8BE" w14:textId="77777777" w:rsidR="00D82AAF" w:rsidRPr="00406CC2" w:rsidRDefault="00D82AAF" w:rsidP="00A32EA1">
            <w:pPr>
              <w:pStyle w:val="NormalWeb"/>
              <w:rPr>
                <w:sz w:val="18"/>
                <w:szCs w:val="18"/>
              </w:rPr>
            </w:pPr>
            <w:r w:rsidRPr="00406CC2">
              <w:rPr>
                <w:sz w:val="18"/>
                <w:szCs w:val="18"/>
              </w:rPr>
              <w:t>645</w:t>
            </w:r>
          </w:p>
        </w:tc>
        <w:tc>
          <w:tcPr>
            <w:tcW w:w="0" w:type="auto"/>
            <w:tcBorders>
              <w:left w:val="single" w:sz="4" w:space="0" w:color="auto"/>
              <w:right w:val="single" w:sz="4" w:space="0" w:color="auto"/>
            </w:tcBorders>
            <w:shd w:val="clear" w:color="auto" w:fill="auto"/>
            <w:hideMark/>
          </w:tcPr>
          <w:p w14:paraId="790F007B" w14:textId="77777777" w:rsidR="00D82AAF" w:rsidRPr="00406CC2" w:rsidRDefault="00D82AAF" w:rsidP="00A32EA1">
            <w:pPr>
              <w:pStyle w:val="NormalWeb"/>
              <w:rPr>
                <w:sz w:val="18"/>
                <w:szCs w:val="18"/>
              </w:rPr>
            </w:pPr>
            <w:r w:rsidRPr="00406CC2">
              <w:rPr>
                <w:sz w:val="18"/>
                <w:szCs w:val="18"/>
              </w:rPr>
              <w:t>743</w:t>
            </w:r>
          </w:p>
        </w:tc>
        <w:tc>
          <w:tcPr>
            <w:tcW w:w="0" w:type="auto"/>
            <w:tcBorders>
              <w:left w:val="single" w:sz="4" w:space="0" w:color="auto"/>
              <w:right w:val="single" w:sz="4" w:space="0" w:color="auto"/>
            </w:tcBorders>
            <w:shd w:val="clear" w:color="auto" w:fill="auto"/>
            <w:hideMark/>
          </w:tcPr>
          <w:p w14:paraId="4F925842" w14:textId="77777777" w:rsidR="00D82AAF" w:rsidRPr="00406CC2" w:rsidRDefault="00D82AAF" w:rsidP="00A32EA1">
            <w:pPr>
              <w:pStyle w:val="NormalWeb"/>
              <w:rPr>
                <w:sz w:val="18"/>
                <w:szCs w:val="18"/>
              </w:rPr>
            </w:pPr>
            <w:r w:rsidRPr="00406CC2">
              <w:rPr>
                <w:sz w:val="18"/>
                <w:szCs w:val="18"/>
              </w:rPr>
              <w:t>513</w:t>
            </w:r>
          </w:p>
        </w:tc>
        <w:tc>
          <w:tcPr>
            <w:tcW w:w="0" w:type="auto"/>
            <w:tcBorders>
              <w:left w:val="single" w:sz="4" w:space="0" w:color="auto"/>
              <w:right w:val="single" w:sz="4" w:space="0" w:color="auto"/>
            </w:tcBorders>
            <w:shd w:val="clear" w:color="auto" w:fill="auto"/>
            <w:hideMark/>
          </w:tcPr>
          <w:p w14:paraId="3C50B345" w14:textId="77777777" w:rsidR="00D82AAF" w:rsidRPr="00406CC2" w:rsidRDefault="00D82AAF" w:rsidP="00A32EA1">
            <w:pPr>
              <w:pStyle w:val="NormalWeb"/>
              <w:rPr>
                <w:sz w:val="18"/>
                <w:szCs w:val="18"/>
              </w:rPr>
            </w:pPr>
            <w:r w:rsidRPr="00406CC2">
              <w:rPr>
                <w:sz w:val="18"/>
                <w:szCs w:val="18"/>
              </w:rPr>
              <w:t>512</w:t>
            </w:r>
          </w:p>
        </w:tc>
        <w:tc>
          <w:tcPr>
            <w:tcW w:w="0" w:type="auto"/>
            <w:tcBorders>
              <w:left w:val="single" w:sz="4" w:space="0" w:color="auto"/>
              <w:right w:val="single" w:sz="4" w:space="0" w:color="auto"/>
            </w:tcBorders>
            <w:shd w:val="clear" w:color="auto" w:fill="auto"/>
            <w:hideMark/>
          </w:tcPr>
          <w:p w14:paraId="7EFA28FE" w14:textId="77777777" w:rsidR="00D82AAF" w:rsidRPr="00406CC2" w:rsidRDefault="00D82AAF" w:rsidP="00A32EA1">
            <w:pPr>
              <w:pStyle w:val="NormalWeb"/>
              <w:rPr>
                <w:sz w:val="18"/>
                <w:szCs w:val="18"/>
              </w:rPr>
            </w:pPr>
            <w:r w:rsidRPr="00406CC2">
              <w:rPr>
                <w:sz w:val="18"/>
                <w:szCs w:val="18"/>
              </w:rPr>
              <w:t>12</w:t>
            </w:r>
          </w:p>
        </w:tc>
        <w:tc>
          <w:tcPr>
            <w:tcW w:w="0" w:type="auto"/>
            <w:tcBorders>
              <w:left w:val="single" w:sz="4" w:space="0" w:color="auto"/>
              <w:right w:val="single" w:sz="4" w:space="0" w:color="auto"/>
            </w:tcBorders>
            <w:shd w:val="clear" w:color="auto" w:fill="auto"/>
            <w:hideMark/>
          </w:tcPr>
          <w:p w14:paraId="5E038AB0" w14:textId="77777777" w:rsidR="00D82AAF" w:rsidRPr="00406CC2" w:rsidRDefault="00D82AAF" w:rsidP="00A32EA1">
            <w:pPr>
              <w:pStyle w:val="NormalWeb"/>
              <w:rPr>
                <w:sz w:val="18"/>
                <w:szCs w:val="18"/>
              </w:rPr>
            </w:pPr>
            <w:r w:rsidRPr="00406CC2">
              <w:rPr>
                <w:sz w:val="18"/>
                <w:szCs w:val="18"/>
              </w:rPr>
              <w:t>13</w:t>
            </w:r>
          </w:p>
        </w:tc>
        <w:tc>
          <w:tcPr>
            <w:tcW w:w="0" w:type="auto"/>
            <w:tcBorders>
              <w:left w:val="single" w:sz="4" w:space="0" w:color="auto"/>
              <w:right w:val="single" w:sz="4" w:space="0" w:color="auto"/>
            </w:tcBorders>
            <w:shd w:val="clear" w:color="auto" w:fill="auto"/>
            <w:hideMark/>
          </w:tcPr>
          <w:p w14:paraId="48EC69DD" w14:textId="77777777" w:rsidR="00D82AAF" w:rsidRPr="00406CC2" w:rsidRDefault="00D82AAF" w:rsidP="00A32EA1">
            <w:pPr>
              <w:pStyle w:val="NormalWeb"/>
              <w:rPr>
                <w:sz w:val="18"/>
                <w:szCs w:val="18"/>
              </w:rPr>
            </w:pPr>
            <w:r w:rsidRPr="00406CC2">
              <w:rPr>
                <w:sz w:val="18"/>
                <w:szCs w:val="18"/>
              </w:rPr>
              <w:t>158</w:t>
            </w:r>
          </w:p>
        </w:tc>
        <w:tc>
          <w:tcPr>
            <w:tcW w:w="0" w:type="auto"/>
            <w:tcBorders>
              <w:left w:val="single" w:sz="4" w:space="0" w:color="auto"/>
              <w:right w:val="single" w:sz="4" w:space="0" w:color="auto"/>
            </w:tcBorders>
            <w:shd w:val="clear" w:color="auto" w:fill="auto"/>
            <w:hideMark/>
          </w:tcPr>
          <w:p w14:paraId="30A61AA7" w14:textId="77777777" w:rsidR="00D82AAF" w:rsidRPr="00406CC2" w:rsidRDefault="00D82AAF" w:rsidP="00A32EA1">
            <w:pPr>
              <w:pStyle w:val="NormalWeb"/>
              <w:rPr>
                <w:sz w:val="18"/>
                <w:szCs w:val="18"/>
              </w:rPr>
            </w:pPr>
            <w:r w:rsidRPr="00406CC2">
              <w:rPr>
                <w:sz w:val="18"/>
                <w:szCs w:val="18"/>
              </w:rPr>
              <w:t>6,845</w:t>
            </w:r>
          </w:p>
        </w:tc>
      </w:tr>
      <w:tr w:rsidR="00D82AAF" w:rsidRPr="00406CC2" w14:paraId="25A95B39" w14:textId="77777777" w:rsidTr="009E49CC">
        <w:trPr>
          <w:cnfStyle w:val="000000010000" w:firstRow="0" w:lastRow="0" w:firstColumn="0" w:lastColumn="0" w:oddVBand="0" w:evenVBand="0" w:oddHBand="0" w:evenHBand="1" w:firstRowFirstColumn="0" w:firstRowLastColumn="0" w:lastRowFirstColumn="0" w:lastRowLastColumn="0"/>
          <w:divId w:val="1964146631"/>
        </w:trPr>
        <w:tc>
          <w:tcPr>
            <w:tcW w:w="851" w:type="dxa"/>
            <w:vMerge/>
            <w:tcBorders>
              <w:left w:val="single" w:sz="4" w:space="0" w:color="auto"/>
              <w:bottom w:val="single" w:sz="4" w:space="0" w:color="auto"/>
              <w:right w:val="single" w:sz="4" w:space="0" w:color="auto"/>
            </w:tcBorders>
            <w:shd w:val="clear" w:color="auto" w:fill="auto"/>
            <w:hideMark/>
          </w:tcPr>
          <w:p w14:paraId="4F8E649B" w14:textId="77777777" w:rsidR="00D82AAF" w:rsidRPr="00406CC2" w:rsidRDefault="00D82AAF" w:rsidP="00A32EA1">
            <w:pPr>
              <w:rPr>
                <w:sz w:val="18"/>
                <w:szCs w:val="18"/>
              </w:rPr>
            </w:pPr>
          </w:p>
        </w:tc>
        <w:tc>
          <w:tcPr>
            <w:tcW w:w="0" w:type="auto"/>
            <w:tcBorders>
              <w:left w:val="single" w:sz="4" w:space="0" w:color="auto"/>
              <w:bottom w:val="single" w:sz="4" w:space="0" w:color="auto"/>
              <w:right w:val="single" w:sz="4" w:space="0" w:color="auto"/>
            </w:tcBorders>
            <w:shd w:val="clear" w:color="auto" w:fill="auto"/>
            <w:hideMark/>
          </w:tcPr>
          <w:p w14:paraId="24B67689" w14:textId="77777777" w:rsidR="00D82AAF" w:rsidRPr="00406CC2" w:rsidRDefault="00D82AAF" w:rsidP="00A32EA1">
            <w:pPr>
              <w:pStyle w:val="NormalWeb"/>
              <w:rPr>
                <w:sz w:val="18"/>
                <w:szCs w:val="18"/>
              </w:rPr>
            </w:pPr>
            <w:r w:rsidRPr="00406CC2">
              <w:rPr>
                <w:sz w:val="18"/>
                <w:szCs w:val="18"/>
              </w:rPr>
              <w:t>85+</w:t>
            </w:r>
          </w:p>
        </w:tc>
        <w:tc>
          <w:tcPr>
            <w:tcW w:w="0" w:type="auto"/>
            <w:tcBorders>
              <w:left w:val="single" w:sz="4" w:space="0" w:color="auto"/>
              <w:bottom w:val="single" w:sz="4" w:space="0" w:color="auto"/>
              <w:right w:val="single" w:sz="4" w:space="0" w:color="auto"/>
            </w:tcBorders>
            <w:shd w:val="clear" w:color="auto" w:fill="auto"/>
            <w:hideMark/>
          </w:tcPr>
          <w:p w14:paraId="06EE32A6" w14:textId="77777777" w:rsidR="00D82AAF" w:rsidRPr="00406CC2" w:rsidRDefault="00D82AAF" w:rsidP="00A32EA1">
            <w:pPr>
              <w:pStyle w:val="NormalWeb"/>
              <w:rPr>
                <w:sz w:val="18"/>
                <w:szCs w:val="18"/>
              </w:rPr>
            </w:pPr>
            <w:r w:rsidRPr="00406CC2">
              <w:rPr>
                <w:sz w:val="18"/>
                <w:szCs w:val="18"/>
              </w:rPr>
              <w:t>1,283</w:t>
            </w:r>
          </w:p>
        </w:tc>
        <w:tc>
          <w:tcPr>
            <w:tcW w:w="0" w:type="auto"/>
            <w:tcBorders>
              <w:left w:val="single" w:sz="4" w:space="0" w:color="auto"/>
              <w:bottom w:val="single" w:sz="4" w:space="0" w:color="auto"/>
              <w:right w:val="single" w:sz="4" w:space="0" w:color="auto"/>
            </w:tcBorders>
            <w:shd w:val="clear" w:color="auto" w:fill="auto"/>
            <w:hideMark/>
          </w:tcPr>
          <w:p w14:paraId="7B19CBB7" w14:textId="77777777" w:rsidR="00D82AAF" w:rsidRPr="00406CC2" w:rsidRDefault="00D82AAF" w:rsidP="00A32EA1">
            <w:pPr>
              <w:pStyle w:val="NormalWeb"/>
              <w:rPr>
                <w:sz w:val="18"/>
                <w:szCs w:val="18"/>
              </w:rPr>
            </w:pPr>
            <w:r w:rsidRPr="00406CC2">
              <w:rPr>
                <w:sz w:val="18"/>
                <w:szCs w:val="18"/>
              </w:rPr>
              <w:t>2,572</w:t>
            </w:r>
          </w:p>
        </w:tc>
        <w:tc>
          <w:tcPr>
            <w:tcW w:w="0" w:type="auto"/>
            <w:tcBorders>
              <w:left w:val="single" w:sz="4" w:space="0" w:color="auto"/>
              <w:bottom w:val="single" w:sz="4" w:space="0" w:color="auto"/>
              <w:right w:val="single" w:sz="4" w:space="0" w:color="auto"/>
            </w:tcBorders>
            <w:shd w:val="clear" w:color="auto" w:fill="auto"/>
            <w:hideMark/>
          </w:tcPr>
          <w:p w14:paraId="27A91B46" w14:textId="77777777" w:rsidR="00D82AAF" w:rsidRPr="00406CC2" w:rsidRDefault="00D82AAF" w:rsidP="00A32EA1">
            <w:pPr>
              <w:pStyle w:val="NormalWeb"/>
              <w:rPr>
                <w:sz w:val="18"/>
                <w:szCs w:val="18"/>
              </w:rPr>
            </w:pPr>
            <w:r w:rsidRPr="00406CC2">
              <w:rPr>
                <w:sz w:val="18"/>
                <w:szCs w:val="18"/>
              </w:rPr>
              <w:t>710</w:t>
            </w:r>
          </w:p>
        </w:tc>
        <w:tc>
          <w:tcPr>
            <w:tcW w:w="0" w:type="auto"/>
            <w:tcBorders>
              <w:left w:val="single" w:sz="4" w:space="0" w:color="auto"/>
              <w:bottom w:val="single" w:sz="4" w:space="0" w:color="auto"/>
              <w:right w:val="single" w:sz="4" w:space="0" w:color="auto"/>
            </w:tcBorders>
            <w:shd w:val="clear" w:color="auto" w:fill="auto"/>
            <w:hideMark/>
          </w:tcPr>
          <w:p w14:paraId="1D882692" w14:textId="77777777" w:rsidR="00D82AAF" w:rsidRPr="00406CC2" w:rsidRDefault="00D82AAF" w:rsidP="00A32EA1">
            <w:pPr>
              <w:pStyle w:val="NormalWeb"/>
              <w:rPr>
                <w:sz w:val="18"/>
                <w:szCs w:val="18"/>
              </w:rPr>
            </w:pPr>
            <w:r w:rsidRPr="00406CC2">
              <w:rPr>
                <w:sz w:val="18"/>
                <w:szCs w:val="18"/>
              </w:rPr>
              <w:t>896</w:t>
            </w:r>
          </w:p>
        </w:tc>
        <w:tc>
          <w:tcPr>
            <w:tcW w:w="0" w:type="auto"/>
            <w:tcBorders>
              <w:left w:val="single" w:sz="4" w:space="0" w:color="auto"/>
              <w:bottom w:val="single" w:sz="4" w:space="0" w:color="auto"/>
              <w:right w:val="single" w:sz="4" w:space="0" w:color="auto"/>
            </w:tcBorders>
            <w:shd w:val="clear" w:color="auto" w:fill="auto"/>
            <w:hideMark/>
          </w:tcPr>
          <w:p w14:paraId="0B3C7639" w14:textId="77777777" w:rsidR="00D82AAF" w:rsidRPr="00406CC2" w:rsidRDefault="00D82AAF" w:rsidP="00A32EA1">
            <w:pPr>
              <w:pStyle w:val="NormalWeb"/>
              <w:rPr>
                <w:sz w:val="18"/>
                <w:szCs w:val="18"/>
              </w:rPr>
            </w:pPr>
            <w:r w:rsidRPr="00406CC2">
              <w:rPr>
                <w:sz w:val="18"/>
                <w:szCs w:val="18"/>
              </w:rPr>
              <w:t>759</w:t>
            </w:r>
          </w:p>
        </w:tc>
        <w:tc>
          <w:tcPr>
            <w:tcW w:w="0" w:type="auto"/>
            <w:tcBorders>
              <w:left w:val="single" w:sz="4" w:space="0" w:color="auto"/>
              <w:bottom w:val="single" w:sz="4" w:space="0" w:color="auto"/>
              <w:right w:val="single" w:sz="4" w:space="0" w:color="auto"/>
            </w:tcBorders>
            <w:shd w:val="clear" w:color="auto" w:fill="auto"/>
            <w:hideMark/>
          </w:tcPr>
          <w:p w14:paraId="2990319D" w14:textId="77777777" w:rsidR="00D82AAF" w:rsidRPr="00406CC2" w:rsidRDefault="00D82AAF" w:rsidP="00A32EA1">
            <w:pPr>
              <w:pStyle w:val="NormalWeb"/>
              <w:rPr>
                <w:sz w:val="18"/>
                <w:szCs w:val="18"/>
              </w:rPr>
            </w:pPr>
            <w:r w:rsidRPr="00406CC2">
              <w:rPr>
                <w:sz w:val="18"/>
                <w:szCs w:val="18"/>
              </w:rPr>
              <w:t>1,122</w:t>
            </w:r>
          </w:p>
        </w:tc>
        <w:tc>
          <w:tcPr>
            <w:tcW w:w="0" w:type="auto"/>
            <w:tcBorders>
              <w:left w:val="single" w:sz="4" w:space="0" w:color="auto"/>
              <w:bottom w:val="single" w:sz="4" w:space="0" w:color="auto"/>
              <w:right w:val="single" w:sz="4" w:space="0" w:color="auto"/>
            </w:tcBorders>
            <w:shd w:val="clear" w:color="auto" w:fill="auto"/>
            <w:hideMark/>
          </w:tcPr>
          <w:p w14:paraId="1BCC23C3" w14:textId="77777777" w:rsidR="00D82AAF" w:rsidRPr="00406CC2" w:rsidRDefault="00D82AAF" w:rsidP="00A32EA1">
            <w:pPr>
              <w:pStyle w:val="NormalWeb"/>
              <w:rPr>
                <w:sz w:val="18"/>
                <w:szCs w:val="18"/>
              </w:rPr>
            </w:pPr>
            <w:r w:rsidRPr="00406CC2">
              <w:rPr>
                <w:sz w:val="18"/>
                <w:szCs w:val="18"/>
              </w:rPr>
              <w:t>69</w:t>
            </w:r>
          </w:p>
        </w:tc>
        <w:tc>
          <w:tcPr>
            <w:tcW w:w="0" w:type="auto"/>
            <w:tcBorders>
              <w:left w:val="single" w:sz="4" w:space="0" w:color="auto"/>
              <w:bottom w:val="single" w:sz="4" w:space="0" w:color="auto"/>
              <w:right w:val="single" w:sz="4" w:space="0" w:color="auto"/>
            </w:tcBorders>
            <w:shd w:val="clear" w:color="auto" w:fill="auto"/>
            <w:hideMark/>
          </w:tcPr>
          <w:p w14:paraId="0184AD83" w14:textId="77777777" w:rsidR="00D82AAF" w:rsidRPr="00406CC2" w:rsidRDefault="00D82AAF" w:rsidP="00A32EA1">
            <w:pPr>
              <w:pStyle w:val="NormalWeb"/>
              <w:rPr>
                <w:sz w:val="18"/>
                <w:szCs w:val="18"/>
              </w:rPr>
            </w:pPr>
            <w:r w:rsidRPr="00406CC2">
              <w:rPr>
                <w:sz w:val="18"/>
                <w:szCs w:val="18"/>
              </w:rPr>
              <w:t>57</w:t>
            </w:r>
          </w:p>
        </w:tc>
        <w:tc>
          <w:tcPr>
            <w:tcW w:w="0" w:type="auto"/>
            <w:tcBorders>
              <w:left w:val="single" w:sz="4" w:space="0" w:color="auto"/>
              <w:bottom w:val="single" w:sz="4" w:space="0" w:color="auto"/>
              <w:right w:val="single" w:sz="4" w:space="0" w:color="auto"/>
            </w:tcBorders>
            <w:shd w:val="clear" w:color="auto" w:fill="auto"/>
            <w:hideMark/>
          </w:tcPr>
          <w:p w14:paraId="5A011A82" w14:textId="77777777" w:rsidR="00D82AAF" w:rsidRPr="00406CC2" w:rsidRDefault="00D82AAF" w:rsidP="00A32EA1">
            <w:pPr>
              <w:pStyle w:val="NormalWeb"/>
              <w:rPr>
                <w:sz w:val="18"/>
                <w:szCs w:val="18"/>
              </w:rPr>
            </w:pPr>
            <w:r w:rsidRPr="00406CC2">
              <w:rPr>
                <w:sz w:val="18"/>
                <w:szCs w:val="18"/>
              </w:rPr>
              <w:t>129</w:t>
            </w:r>
          </w:p>
        </w:tc>
        <w:tc>
          <w:tcPr>
            <w:tcW w:w="0" w:type="auto"/>
            <w:tcBorders>
              <w:left w:val="single" w:sz="4" w:space="0" w:color="auto"/>
              <w:bottom w:val="single" w:sz="4" w:space="0" w:color="auto"/>
              <w:right w:val="single" w:sz="4" w:space="0" w:color="auto"/>
            </w:tcBorders>
            <w:shd w:val="clear" w:color="auto" w:fill="auto"/>
            <w:hideMark/>
          </w:tcPr>
          <w:p w14:paraId="7762D59A" w14:textId="77777777" w:rsidR="00D82AAF" w:rsidRPr="00406CC2" w:rsidRDefault="00D82AAF" w:rsidP="00A32EA1">
            <w:pPr>
              <w:pStyle w:val="NormalWeb"/>
              <w:rPr>
                <w:sz w:val="18"/>
                <w:szCs w:val="18"/>
              </w:rPr>
            </w:pPr>
            <w:r w:rsidRPr="00406CC2">
              <w:rPr>
                <w:sz w:val="18"/>
                <w:szCs w:val="18"/>
              </w:rPr>
              <w:t>4,299</w:t>
            </w:r>
          </w:p>
        </w:tc>
      </w:tr>
      <w:tr w:rsidR="00D82AAF" w:rsidRPr="00406CC2" w14:paraId="5B27D199" w14:textId="77777777" w:rsidTr="009E49CC">
        <w:trPr>
          <w:divId w:val="1964146631"/>
        </w:trPr>
        <w:tc>
          <w:tcPr>
            <w:tcW w:w="851" w:type="dxa"/>
            <w:vMerge w:val="restart"/>
            <w:tcBorders>
              <w:top w:val="single" w:sz="4" w:space="0" w:color="auto"/>
              <w:left w:val="single" w:sz="4" w:space="0" w:color="auto"/>
              <w:right w:val="single" w:sz="4" w:space="0" w:color="auto"/>
            </w:tcBorders>
            <w:shd w:val="clear" w:color="auto" w:fill="auto"/>
            <w:hideMark/>
          </w:tcPr>
          <w:p w14:paraId="6D1D714C" w14:textId="77777777" w:rsidR="00D82AAF" w:rsidRPr="00406CC2" w:rsidRDefault="00D82AAF" w:rsidP="00A32EA1">
            <w:pPr>
              <w:pStyle w:val="NormalWeb"/>
              <w:rPr>
                <w:sz w:val="18"/>
                <w:szCs w:val="18"/>
              </w:rPr>
            </w:pPr>
            <w:r w:rsidRPr="00406CC2">
              <w:rPr>
                <w:sz w:val="18"/>
                <w:szCs w:val="18"/>
              </w:rPr>
              <w:t>Sex</w:t>
            </w:r>
          </w:p>
        </w:tc>
        <w:tc>
          <w:tcPr>
            <w:tcW w:w="0" w:type="auto"/>
            <w:tcBorders>
              <w:top w:val="single" w:sz="4" w:space="0" w:color="auto"/>
              <w:left w:val="single" w:sz="4" w:space="0" w:color="auto"/>
              <w:right w:val="single" w:sz="4" w:space="0" w:color="auto"/>
            </w:tcBorders>
            <w:shd w:val="clear" w:color="auto" w:fill="auto"/>
            <w:hideMark/>
          </w:tcPr>
          <w:p w14:paraId="1D90576A" w14:textId="77777777" w:rsidR="00D82AAF" w:rsidRPr="00406CC2" w:rsidRDefault="00D82AAF" w:rsidP="00A32EA1">
            <w:pPr>
              <w:pStyle w:val="NormalWeb"/>
              <w:rPr>
                <w:sz w:val="18"/>
                <w:szCs w:val="18"/>
              </w:rPr>
            </w:pPr>
            <w:r w:rsidRPr="00406CC2">
              <w:rPr>
                <w:sz w:val="18"/>
                <w:szCs w:val="18"/>
              </w:rPr>
              <w:t>Male</w:t>
            </w:r>
          </w:p>
        </w:tc>
        <w:tc>
          <w:tcPr>
            <w:tcW w:w="0" w:type="auto"/>
            <w:tcBorders>
              <w:top w:val="single" w:sz="4" w:space="0" w:color="auto"/>
              <w:left w:val="single" w:sz="4" w:space="0" w:color="auto"/>
              <w:right w:val="single" w:sz="4" w:space="0" w:color="auto"/>
            </w:tcBorders>
            <w:shd w:val="clear" w:color="auto" w:fill="auto"/>
            <w:hideMark/>
          </w:tcPr>
          <w:p w14:paraId="45763913" w14:textId="77777777" w:rsidR="00D82AAF" w:rsidRPr="00406CC2" w:rsidRDefault="00D82AAF" w:rsidP="00A32EA1">
            <w:pPr>
              <w:pStyle w:val="NormalWeb"/>
              <w:rPr>
                <w:sz w:val="18"/>
                <w:szCs w:val="18"/>
              </w:rPr>
            </w:pPr>
            <w:r w:rsidRPr="00406CC2">
              <w:rPr>
                <w:sz w:val="18"/>
                <w:szCs w:val="18"/>
              </w:rPr>
              <w:t>4,366</w:t>
            </w:r>
          </w:p>
        </w:tc>
        <w:tc>
          <w:tcPr>
            <w:tcW w:w="0" w:type="auto"/>
            <w:tcBorders>
              <w:top w:val="single" w:sz="4" w:space="0" w:color="auto"/>
              <w:left w:val="single" w:sz="4" w:space="0" w:color="auto"/>
              <w:right w:val="single" w:sz="4" w:space="0" w:color="auto"/>
            </w:tcBorders>
            <w:shd w:val="clear" w:color="auto" w:fill="auto"/>
            <w:hideMark/>
          </w:tcPr>
          <w:p w14:paraId="63787740" w14:textId="77777777" w:rsidR="00D82AAF" w:rsidRPr="00406CC2" w:rsidRDefault="00D82AAF" w:rsidP="00A32EA1">
            <w:pPr>
              <w:pStyle w:val="NormalWeb"/>
              <w:rPr>
                <w:sz w:val="18"/>
                <w:szCs w:val="18"/>
              </w:rPr>
            </w:pPr>
            <w:r w:rsidRPr="00406CC2">
              <w:rPr>
                <w:sz w:val="18"/>
                <w:szCs w:val="18"/>
              </w:rPr>
              <w:t>7,896</w:t>
            </w:r>
          </w:p>
        </w:tc>
        <w:tc>
          <w:tcPr>
            <w:tcW w:w="0" w:type="auto"/>
            <w:tcBorders>
              <w:top w:val="single" w:sz="4" w:space="0" w:color="auto"/>
              <w:left w:val="single" w:sz="4" w:space="0" w:color="auto"/>
              <w:right w:val="single" w:sz="4" w:space="0" w:color="auto"/>
            </w:tcBorders>
            <w:shd w:val="clear" w:color="auto" w:fill="auto"/>
            <w:hideMark/>
          </w:tcPr>
          <w:p w14:paraId="1F83BAED" w14:textId="77777777" w:rsidR="00D82AAF" w:rsidRPr="00406CC2" w:rsidRDefault="00D82AAF" w:rsidP="00A32EA1">
            <w:pPr>
              <w:pStyle w:val="NormalWeb"/>
              <w:rPr>
                <w:sz w:val="18"/>
                <w:szCs w:val="18"/>
              </w:rPr>
            </w:pPr>
            <w:r w:rsidRPr="00406CC2">
              <w:rPr>
                <w:sz w:val="18"/>
                <w:szCs w:val="18"/>
              </w:rPr>
              <w:t>2,219</w:t>
            </w:r>
          </w:p>
        </w:tc>
        <w:tc>
          <w:tcPr>
            <w:tcW w:w="0" w:type="auto"/>
            <w:tcBorders>
              <w:top w:val="single" w:sz="4" w:space="0" w:color="auto"/>
              <w:left w:val="single" w:sz="4" w:space="0" w:color="auto"/>
              <w:right w:val="single" w:sz="4" w:space="0" w:color="auto"/>
            </w:tcBorders>
            <w:shd w:val="clear" w:color="auto" w:fill="auto"/>
            <w:hideMark/>
          </w:tcPr>
          <w:p w14:paraId="1BA6E66C" w14:textId="77777777" w:rsidR="00D82AAF" w:rsidRPr="00406CC2" w:rsidRDefault="00D82AAF" w:rsidP="00A32EA1">
            <w:pPr>
              <w:pStyle w:val="NormalWeb"/>
              <w:rPr>
                <w:sz w:val="18"/>
                <w:szCs w:val="18"/>
              </w:rPr>
            </w:pPr>
            <w:r w:rsidRPr="00406CC2">
              <w:rPr>
                <w:sz w:val="18"/>
                <w:szCs w:val="18"/>
              </w:rPr>
              <w:t>2,755</w:t>
            </w:r>
          </w:p>
        </w:tc>
        <w:tc>
          <w:tcPr>
            <w:tcW w:w="0" w:type="auto"/>
            <w:tcBorders>
              <w:top w:val="single" w:sz="4" w:space="0" w:color="auto"/>
              <w:left w:val="single" w:sz="4" w:space="0" w:color="auto"/>
              <w:right w:val="single" w:sz="4" w:space="0" w:color="auto"/>
            </w:tcBorders>
            <w:shd w:val="clear" w:color="auto" w:fill="auto"/>
            <w:hideMark/>
          </w:tcPr>
          <w:p w14:paraId="6CE28C48" w14:textId="77777777" w:rsidR="00D82AAF" w:rsidRPr="00406CC2" w:rsidRDefault="00D82AAF" w:rsidP="00A32EA1">
            <w:pPr>
              <w:pStyle w:val="NormalWeb"/>
              <w:rPr>
                <w:sz w:val="18"/>
                <w:szCs w:val="18"/>
              </w:rPr>
            </w:pPr>
            <w:r w:rsidRPr="00406CC2">
              <w:rPr>
                <w:sz w:val="18"/>
                <w:szCs w:val="18"/>
              </w:rPr>
              <w:t>1,079</w:t>
            </w:r>
          </w:p>
        </w:tc>
        <w:tc>
          <w:tcPr>
            <w:tcW w:w="0" w:type="auto"/>
            <w:tcBorders>
              <w:top w:val="single" w:sz="4" w:space="0" w:color="auto"/>
              <w:left w:val="single" w:sz="4" w:space="0" w:color="auto"/>
              <w:right w:val="single" w:sz="4" w:space="0" w:color="auto"/>
            </w:tcBorders>
            <w:shd w:val="clear" w:color="auto" w:fill="auto"/>
            <w:hideMark/>
          </w:tcPr>
          <w:p w14:paraId="4A2C9832" w14:textId="77777777" w:rsidR="00D82AAF" w:rsidRPr="00406CC2" w:rsidRDefault="00D82AAF" w:rsidP="00A32EA1">
            <w:pPr>
              <w:pStyle w:val="NormalWeb"/>
              <w:rPr>
                <w:sz w:val="18"/>
                <w:szCs w:val="18"/>
              </w:rPr>
            </w:pPr>
            <w:r w:rsidRPr="00406CC2">
              <w:rPr>
                <w:sz w:val="18"/>
                <w:szCs w:val="18"/>
              </w:rPr>
              <w:t>1,249</w:t>
            </w:r>
          </w:p>
        </w:tc>
        <w:tc>
          <w:tcPr>
            <w:tcW w:w="0" w:type="auto"/>
            <w:tcBorders>
              <w:top w:val="single" w:sz="4" w:space="0" w:color="auto"/>
              <w:left w:val="single" w:sz="4" w:space="0" w:color="auto"/>
              <w:right w:val="single" w:sz="4" w:space="0" w:color="auto"/>
            </w:tcBorders>
            <w:shd w:val="clear" w:color="auto" w:fill="auto"/>
            <w:hideMark/>
          </w:tcPr>
          <w:p w14:paraId="2BD7A1B0" w14:textId="77777777" w:rsidR="00D82AAF" w:rsidRPr="00406CC2" w:rsidRDefault="00D82AAF" w:rsidP="00A32EA1">
            <w:pPr>
              <w:pStyle w:val="NormalWeb"/>
              <w:rPr>
                <w:sz w:val="18"/>
                <w:szCs w:val="18"/>
              </w:rPr>
            </w:pPr>
            <w:r w:rsidRPr="00406CC2">
              <w:rPr>
                <w:sz w:val="18"/>
                <w:szCs w:val="18"/>
              </w:rPr>
              <w:t>37</w:t>
            </w:r>
          </w:p>
        </w:tc>
        <w:tc>
          <w:tcPr>
            <w:tcW w:w="0" w:type="auto"/>
            <w:tcBorders>
              <w:top w:val="single" w:sz="4" w:space="0" w:color="auto"/>
              <w:left w:val="single" w:sz="4" w:space="0" w:color="auto"/>
              <w:right w:val="single" w:sz="4" w:space="0" w:color="auto"/>
            </w:tcBorders>
            <w:shd w:val="clear" w:color="auto" w:fill="auto"/>
            <w:hideMark/>
          </w:tcPr>
          <w:p w14:paraId="0A62A985" w14:textId="77777777" w:rsidR="00D82AAF" w:rsidRPr="00406CC2" w:rsidRDefault="00D82AAF" w:rsidP="00A32EA1">
            <w:pPr>
              <w:pStyle w:val="NormalWeb"/>
              <w:rPr>
                <w:sz w:val="18"/>
                <w:szCs w:val="18"/>
              </w:rPr>
            </w:pPr>
            <w:r w:rsidRPr="00406CC2">
              <w:rPr>
                <w:sz w:val="18"/>
                <w:szCs w:val="18"/>
              </w:rPr>
              <w:t>36</w:t>
            </w:r>
          </w:p>
        </w:tc>
        <w:tc>
          <w:tcPr>
            <w:tcW w:w="0" w:type="auto"/>
            <w:tcBorders>
              <w:top w:val="single" w:sz="4" w:space="0" w:color="auto"/>
              <w:left w:val="single" w:sz="4" w:space="0" w:color="auto"/>
              <w:right w:val="single" w:sz="4" w:space="0" w:color="auto"/>
            </w:tcBorders>
            <w:shd w:val="clear" w:color="auto" w:fill="auto"/>
            <w:hideMark/>
          </w:tcPr>
          <w:p w14:paraId="060DF8DC" w14:textId="77777777" w:rsidR="00D82AAF" w:rsidRPr="00406CC2" w:rsidRDefault="00D82AAF" w:rsidP="00A32EA1">
            <w:pPr>
              <w:pStyle w:val="NormalWeb"/>
              <w:rPr>
                <w:sz w:val="18"/>
                <w:szCs w:val="18"/>
              </w:rPr>
            </w:pPr>
            <w:r w:rsidRPr="00406CC2">
              <w:rPr>
                <w:sz w:val="18"/>
                <w:szCs w:val="18"/>
              </w:rPr>
              <w:t>982</w:t>
            </w:r>
          </w:p>
        </w:tc>
        <w:tc>
          <w:tcPr>
            <w:tcW w:w="0" w:type="auto"/>
            <w:tcBorders>
              <w:top w:val="single" w:sz="4" w:space="0" w:color="auto"/>
              <w:left w:val="single" w:sz="4" w:space="0" w:color="auto"/>
              <w:right w:val="single" w:sz="4" w:space="0" w:color="auto"/>
            </w:tcBorders>
            <w:shd w:val="clear" w:color="auto" w:fill="auto"/>
            <w:hideMark/>
          </w:tcPr>
          <w:p w14:paraId="6110C379" w14:textId="77777777" w:rsidR="00D82AAF" w:rsidRPr="00406CC2" w:rsidRDefault="00D82AAF" w:rsidP="00A32EA1">
            <w:pPr>
              <w:pStyle w:val="NormalWeb"/>
              <w:rPr>
                <w:sz w:val="18"/>
                <w:szCs w:val="18"/>
              </w:rPr>
            </w:pPr>
            <w:r w:rsidRPr="00406CC2">
              <w:rPr>
                <w:sz w:val="18"/>
                <w:szCs w:val="18"/>
              </w:rPr>
              <w:t>137,196</w:t>
            </w:r>
          </w:p>
        </w:tc>
      </w:tr>
      <w:tr w:rsidR="00D82AAF" w:rsidRPr="00406CC2" w14:paraId="6D59196E" w14:textId="77777777" w:rsidTr="009E49CC">
        <w:trPr>
          <w:cnfStyle w:val="000000010000" w:firstRow="0" w:lastRow="0" w:firstColumn="0" w:lastColumn="0" w:oddVBand="0" w:evenVBand="0" w:oddHBand="0" w:evenHBand="1" w:firstRowFirstColumn="0" w:firstRowLastColumn="0" w:lastRowFirstColumn="0" w:lastRowLastColumn="0"/>
          <w:divId w:val="1964146631"/>
        </w:trPr>
        <w:tc>
          <w:tcPr>
            <w:tcW w:w="851" w:type="dxa"/>
            <w:vMerge/>
            <w:tcBorders>
              <w:left w:val="single" w:sz="4" w:space="0" w:color="auto"/>
              <w:right w:val="single" w:sz="4" w:space="0" w:color="auto"/>
            </w:tcBorders>
            <w:shd w:val="clear" w:color="auto" w:fill="auto"/>
            <w:hideMark/>
          </w:tcPr>
          <w:p w14:paraId="21A0AFDA" w14:textId="77777777" w:rsidR="00D82AAF" w:rsidRPr="00406CC2" w:rsidRDefault="00D82AAF" w:rsidP="00A32EA1">
            <w:pPr>
              <w:rPr>
                <w:sz w:val="18"/>
                <w:szCs w:val="18"/>
              </w:rPr>
            </w:pPr>
          </w:p>
        </w:tc>
        <w:tc>
          <w:tcPr>
            <w:tcW w:w="0" w:type="auto"/>
            <w:tcBorders>
              <w:left w:val="single" w:sz="4" w:space="0" w:color="auto"/>
              <w:right w:val="single" w:sz="4" w:space="0" w:color="auto"/>
            </w:tcBorders>
            <w:shd w:val="clear" w:color="auto" w:fill="auto"/>
            <w:hideMark/>
          </w:tcPr>
          <w:p w14:paraId="2C870CCC" w14:textId="77777777" w:rsidR="00D82AAF" w:rsidRPr="00406CC2" w:rsidRDefault="00D82AAF" w:rsidP="00A32EA1">
            <w:pPr>
              <w:pStyle w:val="NormalWeb"/>
              <w:rPr>
                <w:sz w:val="18"/>
                <w:szCs w:val="18"/>
              </w:rPr>
            </w:pPr>
            <w:r w:rsidRPr="00406CC2">
              <w:rPr>
                <w:sz w:val="18"/>
                <w:szCs w:val="18"/>
              </w:rPr>
              <w:t>Female</w:t>
            </w:r>
          </w:p>
        </w:tc>
        <w:tc>
          <w:tcPr>
            <w:tcW w:w="0" w:type="auto"/>
            <w:tcBorders>
              <w:left w:val="single" w:sz="4" w:space="0" w:color="auto"/>
              <w:right w:val="single" w:sz="4" w:space="0" w:color="auto"/>
            </w:tcBorders>
            <w:shd w:val="clear" w:color="auto" w:fill="auto"/>
            <w:hideMark/>
          </w:tcPr>
          <w:p w14:paraId="5402B657" w14:textId="77777777" w:rsidR="00D82AAF" w:rsidRPr="00406CC2" w:rsidRDefault="00D82AAF" w:rsidP="00A32EA1">
            <w:pPr>
              <w:pStyle w:val="NormalWeb"/>
              <w:rPr>
                <w:sz w:val="18"/>
                <w:szCs w:val="18"/>
              </w:rPr>
            </w:pPr>
            <w:r w:rsidRPr="00406CC2">
              <w:rPr>
                <w:sz w:val="18"/>
                <w:szCs w:val="18"/>
              </w:rPr>
              <w:t>5,814</w:t>
            </w:r>
          </w:p>
        </w:tc>
        <w:tc>
          <w:tcPr>
            <w:tcW w:w="0" w:type="auto"/>
            <w:tcBorders>
              <w:left w:val="single" w:sz="4" w:space="0" w:color="auto"/>
              <w:right w:val="single" w:sz="4" w:space="0" w:color="auto"/>
            </w:tcBorders>
            <w:shd w:val="clear" w:color="auto" w:fill="auto"/>
            <w:hideMark/>
          </w:tcPr>
          <w:p w14:paraId="071A0558" w14:textId="77777777" w:rsidR="00D82AAF" w:rsidRPr="00406CC2" w:rsidRDefault="00D82AAF" w:rsidP="00A32EA1">
            <w:pPr>
              <w:pStyle w:val="NormalWeb"/>
              <w:rPr>
                <w:sz w:val="18"/>
                <w:szCs w:val="18"/>
              </w:rPr>
            </w:pPr>
            <w:r w:rsidRPr="00406CC2">
              <w:rPr>
                <w:sz w:val="18"/>
                <w:szCs w:val="18"/>
              </w:rPr>
              <w:t>10,961</w:t>
            </w:r>
          </w:p>
        </w:tc>
        <w:tc>
          <w:tcPr>
            <w:tcW w:w="0" w:type="auto"/>
            <w:tcBorders>
              <w:left w:val="single" w:sz="4" w:space="0" w:color="auto"/>
              <w:right w:val="single" w:sz="4" w:space="0" w:color="auto"/>
            </w:tcBorders>
            <w:shd w:val="clear" w:color="auto" w:fill="auto"/>
            <w:hideMark/>
          </w:tcPr>
          <w:p w14:paraId="0C4BBD5D" w14:textId="77777777" w:rsidR="00D82AAF" w:rsidRPr="00406CC2" w:rsidRDefault="00D82AAF" w:rsidP="00A32EA1">
            <w:pPr>
              <w:pStyle w:val="NormalWeb"/>
              <w:rPr>
                <w:sz w:val="18"/>
                <w:szCs w:val="18"/>
              </w:rPr>
            </w:pPr>
            <w:r w:rsidRPr="00406CC2">
              <w:rPr>
                <w:sz w:val="18"/>
                <w:szCs w:val="18"/>
              </w:rPr>
              <w:t>2,625</w:t>
            </w:r>
          </w:p>
        </w:tc>
        <w:tc>
          <w:tcPr>
            <w:tcW w:w="0" w:type="auto"/>
            <w:tcBorders>
              <w:left w:val="single" w:sz="4" w:space="0" w:color="auto"/>
              <w:right w:val="single" w:sz="4" w:space="0" w:color="auto"/>
            </w:tcBorders>
            <w:shd w:val="clear" w:color="auto" w:fill="auto"/>
            <w:hideMark/>
          </w:tcPr>
          <w:p w14:paraId="50AC5BB2" w14:textId="77777777" w:rsidR="00D82AAF" w:rsidRPr="00406CC2" w:rsidRDefault="00D82AAF" w:rsidP="00A32EA1">
            <w:pPr>
              <w:pStyle w:val="NormalWeb"/>
              <w:rPr>
                <w:sz w:val="18"/>
                <w:szCs w:val="18"/>
              </w:rPr>
            </w:pPr>
            <w:r w:rsidRPr="00406CC2">
              <w:rPr>
                <w:sz w:val="18"/>
                <w:szCs w:val="18"/>
              </w:rPr>
              <w:t>3,411</w:t>
            </w:r>
          </w:p>
        </w:tc>
        <w:tc>
          <w:tcPr>
            <w:tcW w:w="0" w:type="auto"/>
            <w:tcBorders>
              <w:left w:val="single" w:sz="4" w:space="0" w:color="auto"/>
              <w:right w:val="single" w:sz="4" w:space="0" w:color="auto"/>
            </w:tcBorders>
            <w:shd w:val="clear" w:color="auto" w:fill="auto"/>
            <w:hideMark/>
          </w:tcPr>
          <w:p w14:paraId="7F469D5E" w14:textId="77777777" w:rsidR="00D82AAF" w:rsidRPr="00406CC2" w:rsidRDefault="00D82AAF" w:rsidP="00A32EA1">
            <w:pPr>
              <w:pStyle w:val="NormalWeb"/>
              <w:rPr>
                <w:sz w:val="18"/>
                <w:szCs w:val="18"/>
              </w:rPr>
            </w:pPr>
            <w:r w:rsidRPr="00406CC2">
              <w:rPr>
                <w:sz w:val="18"/>
                <w:szCs w:val="18"/>
              </w:rPr>
              <w:t>1,535</w:t>
            </w:r>
          </w:p>
        </w:tc>
        <w:tc>
          <w:tcPr>
            <w:tcW w:w="0" w:type="auto"/>
            <w:tcBorders>
              <w:left w:val="single" w:sz="4" w:space="0" w:color="auto"/>
              <w:right w:val="single" w:sz="4" w:space="0" w:color="auto"/>
            </w:tcBorders>
            <w:shd w:val="clear" w:color="auto" w:fill="auto"/>
            <w:hideMark/>
          </w:tcPr>
          <w:p w14:paraId="531019F4" w14:textId="77777777" w:rsidR="00D82AAF" w:rsidRPr="00406CC2" w:rsidRDefault="00D82AAF" w:rsidP="00A32EA1">
            <w:pPr>
              <w:pStyle w:val="NormalWeb"/>
              <w:rPr>
                <w:sz w:val="18"/>
                <w:szCs w:val="18"/>
              </w:rPr>
            </w:pPr>
            <w:r w:rsidRPr="00406CC2">
              <w:rPr>
                <w:sz w:val="18"/>
                <w:szCs w:val="18"/>
              </w:rPr>
              <w:t>2,009</w:t>
            </w:r>
          </w:p>
        </w:tc>
        <w:tc>
          <w:tcPr>
            <w:tcW w:w="0" w:type="auto"/>
            <w:tcBorders>
              <w:left w:val="single" w:sz="4" w:space="0" w:color="auto"/>
              <w:right w:val="single" w:sz="4" w:space="0" w:color="auto"/>
            </w:tcBorders>
            <w:shd w:val="clear" w:color="auto" w:fill="auto"/>
            <w:hideMark/>
          </w:tcPr>
          <w:p w14:paraId="2BC09AC1" w14:textId="77777777" w:rsidR="00D82AAF" w:rsidRPr="00406CC2" w:rsidRDefault="00D82AAF" w:rsidP="00A32EA1">
            <w:pPr>
              <w:pStyle w:val="NormalWeb"/>
              <w:rPr>
                <w:sz w:val="18"/>
                <w:szCs w:val="18"/>
              </w:rPr>
            </w:pPr>
            <w:r w:rsidRPr="00406CC2">
              <w:rPr>
                <w:sz w:val="18"/>
                <w:szCs w:val="18"/>
              </w:rPr>
              <w:t>64</w:t>
            </w:r>
          </w:p>
        </w:tc>
        <w:tc>
          <w:tcPr>
            <w:tcW w:w="0" w:type="auto"/>
            <w:tcBorders>
              <w:left w:val="single" w:sz="4" w:space="0" w:color="auto"/>
              <w:right w:val="single" w:sz="4" w:space="0" w:color="auto"/>
            </w:tcBorders>
            <w:shd w:val="clear" w:color="auto" w:fill="auto"/>
            <w:hideMark/>
          </w:tcPr>
          <w:p w14:paraId="16FDB449" w14:textId="77777777" w:rsidR="00D82AAF" w:rsidRPr="00406CC2" w:rsidRDefault="00D82AAF" w:rsidP="00A32EA1">
            <w:pPr>
              <w:pStyle w:val="NormalWeb"/>
              <w:rPr>
                <w:sz w:val="18"/>
                <w:szCs w:val="18"/>
              </w:rPr>
            </w:pPr>
            <w:r w:rsidRPr="00406CC2">
              <w:rPr>
                <w:sz w:val="18"/>
                <w:szCs w:val="18"/>
              </w:rPr>
              <w:t>52</w:t>
            </w:r>
          </w:p>
        </w:tc>
        <w:tc>
          <w:tcPr>
            <w:tcW w:w="0" w:type="auto"/>
            <w:tcBorders>
              <w:left w:val="single" w:sz="4" w:space="0" w:color="auto"/>
              <w:right w:val="single" w:sz="4" w:space="0" w:color="auto"/>
            </w:tcBorders>
            <w:shd w:val="clear" w:color="auto" w:fill="auto"/>
            <w:hideMark/>
          </w:tcPr>
          <w:p w14:paraId="1DFA03A7" w14:textId="77777777" w:rsidR="00D82AAF" w:rsidRPr="00406CC2" w:rsidRDefault="00D82AAF" w:rsidP="00A32EA1">
            <w:pPr>
              <w:pStyle w:val="NormalWeb"/>
              <w:rPr>
                <w:sz w:val="18"/>
                <w:szCs w:val="18"/>
              </w:rPr>
            </w:pPr>
            <w:r w:rsidRPr="00406CC2">
              <w:rPr>
                <w:sz w:val="18"/>
                <w:szCs w:val="18"/>
              </w:rPr>
              <w:t>1,537</w:t>
            </w:r>
          </w:p>
        </w:tc>
        <w:tc>
          <w:tcPr>
            <w:tcW w:w="0" w:type="auto"/>
            <w:tcBorders>
              <w:left w:val="single" w:sz="4" w:space="0" w:color="auto"/>
              <w:right w:val="single" w:sz="4" w:space="0" w:color="auto"/>
            </w:tcBorders>
            <w:shd w:val="clear" w:color="auto" w:fill="auto"/>
            <w:hideMark/>
          </w:tcPr>
          <w:p w14:paraId="1B6ADAD0" w14:textId="77777777" w:rsidR="00D82AAF" w:rsidRPr="00406CC2" w:rsidRDefault="00D82AAF" w:rsidP="00A32EA1">
            <w:pPr>
              <w:pStyle w:val="NormalWeb"/>
              <w:rPr>
                <w:sz w:val="18"/>
                <w:szCs w:val="18"/>
              </w:rPr>
            </w:pPr>
            <w:r w:rsidRPr="00406CC2">
              <w:rPr>
                <w:sz w:val="18"/>
                <w:szCs w:val="18"/>
              </w:rPr>
              <w:t>162,941</w:t>
            </w:r>
          </w:p>
        </w:tc>
      </w:tr>
      <w:tr w:rsidR="00D82AAF" w:rsidRPr="00406CC2" w14:paraId="7604C61D" w14:textId="77777777" w:rsidTr="009E49CC">
        <w:trPr>
          <w:divId w:val="1964146631"/>
        </w:trPr>
        <w:tc>
          <w:tcPr>
            <w:tcW w:w="851" w:type="dxa"/>
            <w:vMerge/>
            <w:tcBorders>
              <w:left w:val="single" w:sz="4" w:space="0" w:color="auto"/>
              <w:bottom w:val="single" w:sz="4" w:space="0" w:color="auto"/>
              <w:right w:val="single" w:sz="4" w:space="0" w:color="auto"/>
            </w:tcBorders>
            <w:shd w:val="clear" w:color="auto" w:fill="auto"/>
            <w:hideMark/>
          </w:tcPr>
          <w:p w14:paraId="0E316FD3" w14:textId="77777777" w:rsidR="00D82AAF" w:rsidRPr="00406CC2" w:rsidRDefault="00D82AAF" w:rsidP="00A32EA1">
            <w:pPr>
              <w:rPr>
                <w:sz w:val="18"/>
                <w:szCs w:val="18"/>
              </w:rPr>
            </w:pPr>
          </w:p>
        </w:tc>
        <w:tc>
          <w:tcPr>
            <w:tcW w:w="0" w:type="auto"/>
            <w:tcBorders>
              <w:left w:val="single" w:sz="4" w:space="0" w:color="auto"/>
              <w:bottom w:val="single" w:sz="4" w:space="0" w:color="auto"/>
              <w:right w:val="single" w:sz="4" w:space="0" w:color="auto"/>
            </w:tcBorders>
            <w:shd w:val="clear" w:color="auto" w:fill="auto"/>
            <w:hideMark/>
          </w:tcPr>
          <w:p w14:paraId="199BA3A2" w14:textId="77777777" w:rsidR="00D82AAF" w:rsidRPr="00406CC2" w:rsidRDefault="00D82AAF" w:rsidP="00A32EA1">
            <w:pPr>
              <w:pStyle w:val="NormalWeb"/>
              <w:rPr>
                <w:sz w:val="18"/>
                <w:szCs w:val="18"/>
              </w:rPr>
            </w:pPr>
            <w:r w:rsidRPr="00406CC2">
              <w:rPr>
                <w:sz w:val="18"/>
                <w:szCs w:val="18"/>
              </w:rPr>
              <w:t>Not specified</w:t>
            </w:r>
          </w:p>
        </w:tc>
        <w:tc>
          <w:tcPr>
            <w:tcW w:w="0" w:type="auto"/>
            <w:tcBorders>
              <w:left w:val="single" w:sz="4" w:space="0" w:color="auto"/>
              <w:bottom w:val="single" w:sz="4" w:space="0" w:color="auto"/>
              <w:right w:val="single" w:sz="4" w:space="0" w:color="auto"/>
            </w:tcBorders>
            <w:shd w:val="clear" w:color="auto" w:fill="auto"/>
            <w:hideMark/>
          </w:tcPr>
          <w:p w14:paraId="02E13740" w14:textId="77777777" w:rsidR="00D82AAF" w:rsidRPr="00406CC2" w:rsidRDefault="00D82AAF" w:rsidP="00A32EA1">
            <w:pPr>
              <w:pStyle w:val="NormalWeb"/>
              <w:rPr>
                <w:sz w:val="18"/>
                <w:szCs w:val="18"/>
              </w:rPr>
            </w:pPr>
            <w:r w:rsidRPr="00406CC2">
              <w:rPr>
                <w:sz w:val="18"/>
                <w:szCs w:val="18"/>
              </w:rPr>
              <w:t>21</w:t>
            </w:r>
          </w:p>
        </w:tc>
        <w:tc>
          <w:tcPr>
            <w:tcW w:w="0" w:type="auto"/>
            <w:tcBorders>
              <w:left w:val="single" w:sz="4" w:space="0" w:color="auto"/>
              <w:bottom w:val="single" w:sz="4" w:space="0" w:color="auto"/>
              <w:right w:val="single" w:sz="4" w:space="0" w:color="auto"/>
            </w:tcBorders>
            <w:shd w:val="clear" w:color="auto" w:fill="auto"/>
            <w:hideMark/>
          </w:tcPr>
          <w:p w14:paraId="15114AF9" w14:textId="77777777" w:rsidR="00D82AAF" w:rsidRPr="00406CC2" w:rsidRDefault="00D82AAF" w:rsidP="00A32EA1">
            <w:pPr>
              <w:pStyle w:val="NormalWeb"/>
              <w:rPr>
                <w:sz w:val="18"/>
                <w:szCs w:val="18"/>
              </w:rPr>
            </w:pPr>
            <w:r w:rsidRPr="00406CC2">
              <w:rPr>
                <w:sz w:val="18"/>
                <w:szCs w:val="18"/>
              </w:rPr>
              <w:t>51</w:t>
            </w:r>
          </w:p>
        </w:tc>
        <w:tc>
          <w:tcPr>
            <w:tcW w:w="0" w:type="auto"/>
            <w:tcBorders>
              <w:left w:val="single" w:sz="4" w:space="0" w:color="auto"/>
              <w:bottom w:val="single" w:sz="4" w:space="0" w:color="auto"/>
              <w:right w:val="single" w:sz="4" w:space="0" w:color="auto"/>
            </w:tcBorders>
            <w:shd w:val="clear" w:color="auto" w:fill="auto"/>
            <w:hideMark/>
          </w:tcPr>
          <w:p w14:paraId="5375F931" w14:textId="77777777" w:rsidR="00D82AAF" w:rsidRPr="00406CC2" w:rsidRDefault="00D82AAF" w:rsidP="00A32EA1">
            <w:pPr>
              <w:pStyle w:val="NormalWeb"/>
              <w:rPr>
                <w:sz w:val="18"/>
                <w:szCs w:val="18"/>
              </w:rPr>
            </w:pPr>
            <w:r w:rsidRPr="00406CC2">
              <w:rPr>
                <w:sz w:val="18"/>
                <w:szCs w:val="18"/>
              </w:rPr>
              <w:t>0</w:t>
            </w:r>
          </w:p>
        </w:tc>
        <w:tc>
          <w:tcPr>
            <w:tcW w:w="0" w:type="auto"/>
            <w:tcBorders>
              <w:left w:val="single" w:sz="4" w:space="0" w:color="auto"/>
              <w:bottom w:val="single" w:sz="4" w:space="0" w:color="auto"/>
              <w:right w:val="single" w:sz="4" w:space="0" w:color="auto"/>
            </w:tcBorders>
            <w:shd w:val="clear" w:color="auto" w:fill="auto"/>
            <w:hideMark/>
          </w:tcPr>
          <w:p w14:paraId="6FE5A942" w14:textId="77777777" w:rsidR="00D82AAF" w:rsidRPr="00406CC2" w:rsidRDefault="00D82AAF" w:rsidP="00A32EA1">
            <w:pPr>
              <w:pStyle w:val="NormalWeb"/>
              <w:rPr>
                <w:sz w:val="18"/>
                <w:szCs w:val="18"/>
              </w:rPr>
            </w:pPr>
            <w:r w:rsidRPr="00406CC2">
              <w:rPr>
                <w:sz w:val="18"/>
                <w:szCs w:val="18"/>
              </w:rPr>
              <w:t>0</w:t>
            </w:r>
          </w:p>
        </w:tc>
        <w:tc>
          <w:tcPr>
            <w:tcW w:w="0" w:type="auto"/>
            <w:tcBorders>
              <w:left w:val="single" w:sz="4" w:space="0" w:color="auto"/>
              <w:bottom w:val="single" w:sz="4" w:space="0" w:color="auto"/>
              <w:right w:val="single" w:sz="4" w:space="0" w:color="auto"/>
            </w:tcBorders>
            <w:shd w:val="clear" w:color="auto" w:fill="auto"/>
            <w:hideMark/>
          </w:tcPr>
          <w:p w14:paraId="589B4EB9" w14:textId="77777777" w:rsidR="00D82AAF" w:rsidRPr="00406CC2" w:rsidRDefault="00D82AAF" w:rsidP="00A32EA1">
            <w:pPr>
              <w:pStyle w:val="NormalWeb"/>
              <w:rPr>
                <w:sz w:val="18"/>
                <w:szCs w:val="18"/>
              </w:rPr>
            </w:pPr>
            <w:r w:rsidRPr="00406CC2">
              <w:rPr>
                <w:sz w:val="18"/>
                <w:szCs w:val="18"/>
              </w:rPr>
              <w:t>0</w:t>
            </w:r>
          </w:p>
        </w:tc>
        <w:tc>
          <w:tcPr>
            <w:tcW w:w="0" w:type="auto"/>
            <w:tcBorders>
              <w:left w:val="single" w:sz="4" w:space="0" w:color="auto"/>
              <w:bottom w:val="single" w:sz="4" w:space="0" w:color="auto"/>
              <w:right w:val="single" w:sz="4" w:space="0" w:color="auto"/>
            </w:tcBorders>
            <w:shd w:val="clear" w:color="auto" w:fill="auto"/>
            <w:hideMark/>
          </w:tcPr>
          <w:p w14:paraId="5927F1E3" w14:textId="77777777" w:rsidR="00D82AAF" w:rsidRPr="00406CC2" w:rsidRDefault="00D82AAF" w:rsidP="00A32EA1">
            <w:pPr>
              <w:pStyle w:val="NormalWeb"/>
              <w:rPr>
                <w:sz w:val="18"/>
                <w:szCs w:val="18"/>
              </w:rPr>
            </w:pPr>
            <w:r w:rsidRPr="00406CC2">
              <w:rPr>
                <w:sz w:val="18"/>
                <w:szCs w:val="18"/>
              </w:rPr>
              <w:t>0</w:t>
            </w:r>
          </w:p>
        </w:tc>
        <w:tc>
          <w:tcPr>
            <w:tcW w:w="0" w:type="auto"/>
            <w:tcBorders>
              <w:left w:val="single" w:sz="4" w:space="0" w:color="auto"/>
              <w:bottom w:val="single" w:sz="4" w:space="0" w:color="auto"/>
              <w:right w:val="single" w:sz="4" w:space="0" w:color="auto"/>
            </w:tcBorders>
            <w:shd w:val="clear" w:color="auto" w:fill="auto"/>
            <w:hideMark/>
          </w:tcPr>
          <w:p w14:paraId="6C7773C5" w14:textId="77777777" w:rsidR="00D82AAF" w:rsidRPr="00406CC2" w:rsidRDefault="00D82AAF" w:rsidP="00A32EA1">
            <w:pPr>
              <w:pStyle w:val="NormalWeb"/>
              <w:rPr>
                <w:sz w:val="18"/>
                <w:szCs w:val="18"/>
              </w:rPr>
            </w:pPr>
            <w:r w:rsidRPr="00406CC2">
              <w:rPr>
                <w:sz w:val="18"/>
                <w:szCs w:val="18"/>
              </w:rPr>
              <w:t>0</w:t>
            </w:r>
          </w:p>
        </w:tc>
        <w:tc>
          <w:tcPr>
            <w:tcW w:w="0" w:type="auto"/>
            <w:tcBorders>
              <w:left w:val="single" w:sz="4" w:space="0" w:color="auto"/>
              <w:bottom w:val="single" w:sz="4" w:space="0" w:color="auto"/>
              <w:right w:val="single" w:sz="4" w:space="0" w:color="auto"/>
            </w:tcBorders>
            <w:shd w:val="clear" w:color="auto" w:fill="auto"/>
            <w:hideMark/>
          </w:tcPr>
          <w:p w14:paraId="3DA13265" w14:textId="77777777" w:rsidR="00D82AAF" w:rsidRPr="00406CC2" w:rsidRDefault="00D82AAF" w:rsidP="00A32EA1">
            <w:pPr>
              <w:pStyle w:val="NormalWeb"/>
              <w:rPr>
                <w:sz w:val="18"/>
                <w:szCs w:val="18"/>
              </w:rPr>
            </w:pPr>
            <w:r w:rsidRPr="00406CC2">
              <w:rPr>
                <w:sz w:val="18"/>
                <w:szCs w:val="18"/>
              </w:rPr>
              <w:t>0</w:t>
            </w:r>
          </w:p>
        </w:tc>
        <w:tc>
          <w:tcPr>
            <w:tcW w:w="0" w:type="auto"/>
            <w:tcBorders>
              <w:left w:val="single" w:sz="4" w:space="0" w:color="auto"/>
              <w:bottom w:val="single" w:sz="4" w:space="0" w:color="auto"/>
              <w:right w:val="single" w:sz="4" w:space="0" w:color="auto"/>
            </w:tcBorders>
            <w:shd w:val="clear" w:color="auto" w:fill="auto"/>
            <w:hideMark/>
          </w:tcPr>
          <w:p w14:paraId="6C1720D5" w14:textId="77777777" w:rsidR="00D82AAF" w:rsidRPr="00406CC2" w:rsidRDefault="00D82AAF" w:rsidP="00A32EA1">
            <w:pPr>
              <w:pStyle w:val="NormalWeb"/>
              <w:rPr>
                <w:sz w:val="18"/>
                <w:szCs w:val="18"/>
              </w:rPr>
            </w:pPr>
            <w:r w:rsidRPr="00406CC2">
              <w:rPr>
                <w:sz w:val="18"/>
                <w:szCs w:val="18"/>
              </w:rPr>
              <w:t>0</w:t>
            </w:r>
          </w:p>
        </w:tc>
        <w:tc>
          <w:tcPr>
            <w:tcW w:w="0" w:type="auto"/>
            <w:tcBorders>
              <w:left w:val="single" w:sz="4" w:space="0" w:color="auto"/>
              <w:bottom w:val="single" w:sz="4" w:space="0" w:color="auto"/>
              <w:right w:val="single" w:sz="4" w:space="0" w:color="auto"/>
            </w:tcBorders>
            <w:shd w:val="clear" w:color="auto" w:fill="auto"/>
            <w:hideMark/>
          </w:tcPr>
          <w:p w14:paraId="4E538AE8" w14:textId="77777777" w:rsidR="00D82AAF" w:rsidRPr="00406CC2" w:rsidRDefault="00D82AAF" w:rsidP="00A32EA1">
            <w:pPr>
              <w:pStyle w:val="NormalWeb"/>
              <w:rPr>
                <w:sz w:val="18"/>
                <w:szCs w:val="18"/>
              </w:rPr>
            </w:pPr>
            <w:r w:rsidRPr="00406CC2">
              <w:rPr>
                <w:sz w:val="18"/>
                <w:szCs w:val="18"/>
              </w:rPr>
              <w:t>11</w:t>
            </w:r>
          </w:p>
        </w:tc>
      </w:tr>
      <w:tr w:rsidR="00D82AAF" w:rsidRPr="00EA0CFC" w14:paraId="12CEFB1A" w14:textId="77777777" w:rsidTr="009E49CC">
        <w:trPr>
          <w:cnfStyle w:val="000000010000" w:firstRow="0" w:lastRow="0" w:firstColumn="0" w:lastColumn="0" w:oddVBand="0" w:evenVBand="0" w:oddHBand="0" w:evenHBand="1" w:firstRowFirstColumn="0" w:firstRowLastColumn="0" w:lastRowFirstColumn="0" w:lastRowLastColumn="0"/>
          <w:divId w:val="1964146631"/>
        </w:trPr>
        <w:tc>
          <w:tcPr>
            <w:tcW w:w="851" w:type="dxa"/>
            <w:tcBorders>
              <w:top w:val="single" w:sz="4" w:space="0" w:color="auto"/>
              <w:left w:val="single" w:sz="4" w:space="0" w:color="auto"/>
              <w:bottom w:val="single" w:sz="4" w:space="0" w:color="auto"/>
            </w:tcBorders>
            <w:shd w:val="clear" w:color="auto" w:fill="F7ECDD"/>
            <w:hideMark/>
          </w:tcPr>
          <w:p w14:paraId="30312C97" w14:textId="77777777" w:rsidR="00D82AAF" w:rsidRPr="00EA0CFC" w:rsidRDefault="00D82AAF" w:rsidP="00A32EA1">
            <w:pPr>
              <w:pStyle w:val="NormalWeb"/>
              <w:rPr>
                <w:b/>
                <w:bCs/>
                <w:sz w:val="18"/>
                <w:szCs w:val="18"/>
              </w:rPr>
            </w:pPr>
            <w:r w:rsidRPr="00EA0CFC">
              <w:rPr>
                <w:b/>
                <w:bCs/>
                <w:sz w:val="18"/>
                <w:szCs w:val="18"/>
              </w:rPr>
              <w:t>Total</w:t>
            </w:r>
          </w:p>
        </w:tc>
        <w:tc>
          <w:tcPr>
            <w:tcW w:w="0" w:type="auto"/>
            <w:tcBorders>
              <w:top w:val="single" w:sz="4" w:space="0" w:color="auto"/>
              <w:bottom w:val="single" w:sz="4" w:space="0" w:color="auto"/>
            </w:tcBorders>
            <w:shd w:val="clear" w:color="auto" w:fill="F7ECDD"/>
            <w:hideMark/>
          </w:tcPr>
          <w:p w14:paraId="69885F9D" w14:textId="77777777" w:rsidR="00D82AAF" w:rsidRPr="00EA0CFC" w:rsidRDefault="00D82AAF" w:rsidP="00A32EA1">
            <w:pPr>
              <w:rPr>
                <w:b/>
                <w:bCs/>
                <w:sz w:val="18"/>
                <w:szCs w:val="18"/>
              </w:rPr>
            </w:pPr>
          </w:p>
        </w:tc>
        <w:tc>
          <w:tcPr>
            <w:tcW w:w="0" w:type="auto"/>
            <w:tcBorders>
              <w:top w:val="single" w:sz="4" w:space="0" w:color="auto"/>
              <w:bottom w:val="single" w:sz="4" w:space="0" w:color="auto"/>
            </w:tcBorders>
            <w:shd w:val="clear" w:color="auto" w:fill="F7ECDD"/>
            <w:hideMark/>
          </w:tcPr>
          <w:p w14:paraId="2FC9042B" w14:textId="77777777" w:rsidR="00D82AAF" w:rsidRPr="00EA0CFC" w:rsidRDefault="00D82AAF" w:rsidP="00A32EA1">
            <w:pPr>
              <w:pStyle w:val="NormalWeb"/>
              <w:rPr>
                <w:b/>
                <w:bCs/>
                <w:sz w:val="18"/>
                <w:szCs w:val="18"/>
              </w:rPr>
            </w:pPr>
            <w:r w:rsidRPr="00EA0CFC">
              <w:rPr>
                <w:b/>
                <w:bCs/>
                <w:sz w:val="18"/>
                <w:szCs w:val="18"/>
              </w:rPr>
              <w:t>10,201</w:t>
            </w:r>
          </w:p>
        </w:tc>
        <w:tc>
          <w:tcPr>
            <w:tcW w:w="0" w:type="auto"/>
            <w:tcBorders>
              <w:top w:val="single" w:sz="4" w:space="0" w:color="auto"/>
              <w:bottom w:val="single" w:sz="4" w:space="0" w:color="auto"/>
            </w:tcBorders>
            <w:shd w:val="clear" w:color="auto" w:fill="F7ECDD"/>
            <w:hideMark/>
          </w:tcPr>
          <w:p w14:paraId="4DB1C24F" w14:textId="77777777" w:rsidR="00D82AAF" w:rsidRPr="00EA0CFC" w:rsidRDefault="00D82AAF" w:rsidP="00A32EA1">
            <w:pPr>
              <w:pStyle w:val="NormalWeb"/>
              <w:rPr>
                <w:b/>
                <w:bCs/>
                <w:sz w:val="18"/>
                <w:szCs w:val="18"/>
              </w:rPr>
            </w:pPr>
            <w:r w:rsidRPr="00EA0CFC">
              <w:rPr>
                <w:b/>
                <w:bCs/>
                <w:sz w:val="18"/>
                <w:szCs w:val="18"/>
              </w:rPr>
              <w:t>18,908</w:t>
            </w:r>
          </w:p>
        </w:tc>
        <w:tc>
          <w:tcPr>
            <w:tcW w:w="0" w:type="auto"/>
            <w:tcBorders>
              <w:top w:val="single" w:sz="4" w:space="0" w:color="auto"/>
              <w:bottom w:val="single" w:sz="4" w:space="0" w:color="auto"/>
            </w:tcBorders>
            <w:shd w:val="clear" w:color="auto" w:fill="F7ECDD"/>
            <w:hideMark/>
          </w:tcPr>
          <w:p w14:paraId="37781EA0" w14:textId="77777777" w:rsidR="00D82AAF" w:rsidRPr="00EA0CFC" w:rsidRDefault="00D82AAF" w:rsidP="00A32EA1">
            <w:pPr>
              <w:pStyle w:val="NormalWeb"/>
              <w:rPr>
                <w:b/>
                <w:bCs/>
                <w:sz w:val="18"/>
                <w:szCs w:val="18"/>
              </w:rPr>
            </w:pPr>
            <w:r w:rsidRPr="00EA0CFC">
              <w:rPr>
                <w:b/>
                <w:bCs/>
                <w:sz w:val="18"/>
                <w:szCs w:val="18"/>
              </w:rPr>
              <w:t>4,844</w:t>
            </w:r>
          </w:p>
        </w:tc>
        <w:tc>
          <w:tcPr>
            <w:tcW w:w="0" w:type="auto"/>
            <w:tcBorders>
              <w:top w:val="single" w:sz="4" w:space="0" w:color="auto"/>
              <w:bottom w:val="single" w:sz="4" w:space="0" w:color="auto"/>
            </w:tcBorders>
            <w:shd w:val="clear" w:color="auto" w:fill="F7ECDD"/>
            <w:hideMark/>
          </w:tcPr>
          <w:p w14:paraId="163BB65F" w14:textId="77777777" w:rsidR="00D82AAF" w:rsidRPr="00EA0CFC" w:rsidRDefault="00D82AAF" w:rsidP="00A32EA1">
            <w:pPr>
              <w:pStyle w:val="NormalWeb"/>
              <w:rPr>
                <w:b/>
                <w:bCs/>
                <w:sz w:val="18"/>
                <w:szCs w:val="18"/>
              </w:rPr>
            </w:pPr>
            <w:r w:rsidRPr="00EA0CFC">
              <w:rPr>
                <w:b/>
                <w:bCs/>
                <w:sz w:val="18"/>
                <w:szCs w:val="18"/>
              </w:rPr>
              <w:t>6,166</w:t>
            </w:r>
          </w:p>
        </w:tc>
        <w:tc>
          <w:tcPr>
            <w:tcW w:w="0" w:type="auto"/>
            <w:tcBorders>
              <w:top w:val="single" w:sz="4" w:space="0" w:color="auto"/>
              <w:bottom w:val="single" w:sz="4" w:space="0" w:color="auto"/>
            </w:tcBorders>
            <w:shd w:val="clear" w:color="auto" w:fill="F7ECDD"/>
            <w:hideMark/>
          </w:tcPr>
          <w:p w14:paraId="0BD0109D" w14:textId="77777777" w:rsidR="00D82AAF" w:rsidRPr="00EA0CFC" w:rsidRDefault="00D82AAF" w:rsidP="00A32EA1">
            <w:pPr>
              <w:pStyle w:val="NormalWeb"/>
              <w:rPr>
                <w:b/>
                <w:bCs/>
                <w:sz w:val="18"/>
                <w:szCs w:val="18"/>
              </w:rPr>
            </w:pPr>
            <w:r w:rsidRPr="00EA0CFC">
              <w:rPr>
                <w:b/>
                <w:bCs/>
                <w:sz w:val="18"/>
                <w:szCs w:val="18"/>
              </w:rPr>
              <w:t>2,614</w:t>
            </w:r>
          </w:p>
        </w:tc>
        <w:tc>
          <w:tcPr>
            <w:tcW w:w="0" w:type="auto"/>
            <w:tcBorders>
              <w:top w:val="single" w:sz="4" w:space="0" w:color="auto"/>
              <w:bottom w:val="single" w:sz="4" w:space="0" w:color="auto"/>
            </w:tcBorders>
            <w:shd w:val="clear" w:color="auto" w:fill="F7ECDD"/>
            <w:hideMark/>
          </w:tcPr>
          <w:p w14:paraId="481A100E" w14:textId="77777777" w:rsidR="00D82AAF" w:rsidRPr="00EA0CFC" w:rsidRDefault="00D82AAF" w:rsidP="00A32EA1">
            <w:pPr>
              <w:pStyle w:val="NormalWeb"/>
              <w:rPr>
                <w:b/>
                <w:bCs/>
                <w:sz w:val="18"/>
                <w:szCs w:val="18"/>
              </w:rPr>
            </w:pPr>
            <w:r w:rsidRPr="00EA0CFC">
              <w:rPr>
                <w:b/>
                <w:bCs/>
                <w:sz w:val="18"/>
                <w:szCs w:val="18"/>
              </w:rPr>
              <w:t>3,258</w:t>
            </w:r>
          </w:p>
        </w:tc>
        <w:tc>
          <w:tcPr>
            <w:tcW w:w="0" w:type="auto"/>
            <w:tcBorders>
              <w:top w:val="single" w:sz="4" w:space="0" w:color="auto"/>
              <w:bottom w:val="single" w:sz="4" w:space="0" w:color="auto"/>
            </w:tcBorders>
            <w:shd w:val="clear" w:color="auto" w:fill="F7ECDD"/>
            <w:hideMark/>
          </w:tcPr>
          <w:p w14:paraId="2AE6CBB1" w14:textId="77777777" w:rsidR="00D82AAF" w:rsidRPr="00EA0CFC" w:rsidRDefault="00D82AAF" w:rsidP="00A32EA1">
            <w:pPr>
              <w:pStyle w:val="NormalWeb"/>
              <w:rPr>
                <w:b/>
                <w:bCs/>
                <w:sz w:val="18"/>
                <w:szCs w:val="18"/>
              </w:rPr>
            </w:pPr>
            <w:r w:rsidRPr="00EA0CFC">
              <w:rPr>
                <w:b/>
                <w:bCs/>
                <w:sz w:val="18"/>
                <w:szCs w:val="18"/>
              </w:rPr>
              <w:t>101</w:t>
            </w:r>
          </w:p>
        </w:tc>
        <w:tc>
          <w:tcPr>
            <w:tcW w:w="0" w:type="auto"/>
            <w:tcBorders>
              <w:top w:val="single" w:sz="4" w:space="0" w:color="auto"/>
              <w:bottom w:val="single" w:sz="4" w:space="0" w:color="auto"/>
            </w:tcBorders>
            <w:shd w:val="clear" w:color="auto" w:fill="F7ECDD"/>
            <w:hideMark/>
          </w:tcPr>
          <w:p w14:paraId="732120A3" w14:textId="77777777" w:rsidR="00D82AAF" w:rsidRPr="00EA0CFC" w:rsidRDefault="00D82AAF" w:rsidP="00A32EA1">
            <w:pPr>
              <w:pStyle w:val="NormalWeb"/>
              <w:rPr>
                <w:b/>
                <w:bCs/>
                <w:sz w:val="18"/>
                <w:szCs w:val="18"/>
              </w:rPr>
            </w:pPr>
            <w:r w:rsidRPr="00EA0CFC">
              <w:rPr>
                <w:b/>
                <w:bCs/>
                <w:sz w:val="18"/>
                <w:szCs w:val="18"/>
              </w:rPr>
              <w:t>88</w:t>
            </w:r>
          </w:p>
        </w:tc>
        <w:tc>
          <w:tcPr>
            <w:tcW w:w="0" w:type="auto"/>
            <w:tcBorders>
              <w:top w:val="single" w:sz="4" w:space="0" w:color="auto"/>
              <w:bottom w:val="single" w:sz="4" w:space="0" w:color="auto"/>
            </w:tcBorders>
            <w:shd w:val="clear" w:color="auto" w:fill="F7ECDD"/>
            <w:hideMark/>
          </w:tcPr>
          <w:p w14:paraId="58EDF72A" w14:textId="77777777" w:rsidR="00D82AAF" w:rsidRPr="00EA0CFC" w:rsidRDefault="00D82AAF" w:rsidP="00A32EA1">
            <w:pPr>
              <w:pStyle w:val="NormalWeb"/>
              <w:rPr>
                <w:b/>
                <w:bCs/>
                <w:sz w:val="18"/>
                <w:szCs w:val="18"/>
              </w:rPr>
            </w:pPr>
            <w:r w:rsidRPr="00EA0CFC">
              <w:rPr>
                <w:b/>
                <w:bCs/>
                <w:sz w:val="18"/>
                <w:szCs w:val="18"/>
              </w:rPr>
              <w:t>2,519</w:t>
            </w:r>
          </w:p>
        </w:tc>
        <w:tc>
          <w:tcPr>
            <w:tcW w:w="0" w:type="auto"/>
            <w:tcBorders>
              <w:top w:val="single" w:sz="4" w:space="0" w:color="auto"/>
              <w:bottom w:val="single" w:sz="4" w:space="0" w:color="auto"/>
              <w:right w:val="single" w:sz="4" w:space="0" w:color="auto"/>
            </w:tcBorders>
            <w:shd w:val="clear" w:color="auto" w:fill="F7ECDD"/>
            <w:hideMark/>
          </w:tcPr>
          <w:p w14:paraId="3C2FDA1A" w14:textId="77777777" w:rsidR="00D82AAF" w:rsidRPr="00EA0CFC" w:rsidRDefault="00D82AAF" w:rsidP="00A32EA1">
            <w:pPr>
              <w:pStyle w:val="NormalWeb"/>
              <w:rPr>
                <w:b/>
                <w:bCs/>
                <w:sz w:val="18"/>
                <w:szCs w:val="18"/>
              </w:rPr>
            </w:pPr>
            <w:r w:rsidRPr="00EA0CFC">
              <w:rPr>
                <w:b/>
                <w:bCs/>
                <w:sz w:val="18"/>
                <w:szCs w:val="18"/>
              </w:rPr>
              <w:t>300,148</w:t>
            </w:r>
          </w:p>
        </w:tc>
      </w:tr>
    </w:tbl>
    <w:p w14:paraId="2983DE40" w14:textId="77777777" w:rsidR="00D82AAF" w:rsidRDefault="00D82AAF" w:rsidP="00D82AAF">
      <w:pPr>
        <w:pStyle w:val="CDIfootnotes"/>
        <w:divId w:val="1964146631"/>
        <w:rPr>
          <w:lang w:val="en-GB"/>
        </w:rPr>
      </w:pPr>
      <w:r>
        <w:rPr>
          <w:lang w:val="en-GB"/>
        </w:rPr>
        <w:t>a</w:t>
      </w:r>
      <w:r>
        <w:rPr>
          <w:lang w:val="en-GB"/>
        </w:rPr>
        <w:tab/>
      </w:r>
      <w:proofErr w:type="gramStart"/>
      <w:r>
        <w:rPr>
          <w:lang w:val="en-GB"/>
        </w:rPr>
        <w:t>Pre-NSVP</w:t>
      </w:r>
      <w:proofErr w:type="gramEnd"/>
      <w:r>
        <w:rPr>
          <w:lang w:val="en-GB"/>
        </w:rPr>
        <w:t>: pre-implementation of the National Shingles Vaccination Program (NSVP), 1 January 2012 to 31 October 2016; Post-NSVP: post-implementation of the NSVP, 1 November 2016 to 31 December 2021.</w:t>
      </w:r>
    </w:p>
    <w:p w14:paraId="42F213DE" w14:textId="77777777" w:rsidR="00D82AAF" w:rsidRDefault="00D82AAF" w:rsidP="00D82AAF">
      <w:pPr>
        <w:pStyle w:val="CDIfootnotes"/>
        <w:divId w:val="1964146631"/>
        <w:rPr>
          <w:lang w:val="en-GB"/>
        </w:rPr>
      </w:pPr>
      <w:r>
        <w:rPr>
          <w:lang w:val="en-GB"/>
        </w:rPr>
        <w:t>b</w:t>
      </w:r>
      <w:r>
        <w:rPr>
          <w:lang w:val="en-GB"/>
        </w:rPr>
        <w:tab/>
        <w:t>Notification where HZ listed as a primary reason for presentation.</w:t>
      </w:r>
    </w:p>
    <w:p w14:paraId="5BF10496" w14:textId="77777777" w:rsidR="00D82AAF" w:rsidRDefault="00D82AAF" w:rsidP="00D82AAF">
      <w:pPr>
        <w:pStyle w:val="CDIfootnotes"/>
        <w:divId w:val="1964146631"/>
        <w:rPr>
          <w:lang w:val="en-GB"/>
        </w:rPr>
      </w:pPr>
      <w:r>
        <w:rPr>
          <w:lang w:val="en-GB"/>
        </w:rPr>
        <w:t>c</w:t>
      </w:r>
      <w:r>
        <w:rPr>
          <w:lang w:val="en-GB"/>
        </w:rPr>
        <w:tab/>
        <w:t>Mandatory reporting for public and private hospitals came into effect in September 2013.</w:t>
      </w:r>
    </w:p>
    <w:p w14:paraId="4849DFA2" w14:textId="77777777" w:rsidR="00D82AAF" w:rsidRDefault="00D82AAF" w:rsidP="00D82AAF">
      <w:pPr>
        <w:pStyle w:val="CDIfootnotes"/>
        <w:divId w:val="1964146631"/>
        <w:rPr>
          <w:lang w:val="en-GB"/>
        </w:rPr>
      </w:pPr>
      <w:r>
        <w:rPr>
          <w:lang w:val="en-GB"/>
        </w:rPr>
        <w:t>d</w:t>
      </w:r>
      <w:r>
        <w:rPr>
          <w:lang w:val="en-GB"/>
        </w:rPr>
        <w:tab/>
        <w:t>Counts of ≤ 5 were withheld to protect individual privacy.</w:t>
      </w:r>
    </w:p>
    <w:p w14:paraId="55152E54" w14:textId="77777777" w:rsidR="00D82AAF" w:rsidRDefault="00D82AAF" w:rsidP="00D82AAF">
      <w:pPr>
        <w:pStyle w:val="CDIfootnotes"/>
        <w:divId w:val="1964146631"/>
        <w:rPr>
          <w:lang w:val="en-GB"/>
        </w:rPr>
      </w:pPr>
      <w:r>
        <w:rPr>
          <w:lang w:val="en-GB"/>
        </w:rPr>
        <w:t>e</w:t>
      </w:r>
      <w:r>
        <w:rPr>
          <w:lang w:val="en-GB"/>
        </w:rPr>
        <w:tab/>
        <w:t>Notification where HZ listed as a primary cause of death.</w:t>
      </w:r>
    </w:p>
    <w:p w14:paraId="2709D7DC" w14:textId="52F21A0E" w:rsidR="00D82AAF" w:rsidRPr="00D82AAF" w:rsidRDefault="00D82AAF" w:rsidP="00D82AAF">
      <w:pPr>
        <w:pStyle w:val="CDIfootnotes"/>
        <w:divId w:val="1964146631"/>
        <w:rPr>
          <w:lang w:val="en-GB"/>
        </w:rPr>
      </w:pPr>
      <w:r>
        <w:rPr>
          <w:lang w:val="en-GB"/>
        </w:rPr>
        <w:t>f</w:t>
      </w:r>
      <w:r>
        <w:rPr>
          <w:lang w:val="en-GB"/>
        </w:rPr>
        <w:tab/>
        <w:t>Based on first dose of HZ vaccine given.</w:t>
      </w:r>
    </w:p>
    <w:p w14:paraId="2F94902B" w14:textId="77777777" w:rsidR="004C3943" w:rsidRDefault="004C3943">
      <w:pPr>
        <w:rPr>
          <w:rStyle w:val="Strong"/>
          <w:bCs w:val="0"/>
        </w:rPr>
      </w:pPr>
      <w:r>
        <w:rPr>
          <w:rStyle w:val="Strong"/>
          <w:b w:val="0"/>
          <w:bCs w:val="0"/>
        </w:rPr>
        <w:br w:type="page"/>
      </w:r>
    </w:p>
    <w:p w14:paraId="4398D6C9" w14:textId="402A3DE0" w:rsidR="00F87817" w:rsidRPr="00FB12A1" w:rsidRDefault="00F87817" w:rsidP="00F87817">
      <w:pPr>
        <w:pStyle w:val="CDIFigures"/>
        <w:divId w:val="1964146631"/>
      </w:pPr>
      <w:r w:rsidRPr="00FB12A1">
        <w:rPr>
          <w:rStyle w:val="Strong"/>
          <w:b/>
          <w:bCs w:val="0"/>
        </w:rPr>
        <w:t>Table 2: Crude notification incidence rates, emergency department presentation rates, hospitalisation rates, mortality rates and vaccination rates per 100,000 population per year for adults aged ≥ 60 years in Victoria, 2012 to 2021</w:t>
      </w:r>
    </w:p>
    <w:tbl>
      <w:tblPr>
        <w:tblStyle w:val="CDI-StandardTable"/>
        <w:tblW w:w="0" w:type="auto"/>
        <w:tblCellMar>
          <w:top w:w="28" w:type="dxa"/>
          <w:left w:w="142" w:type="dxa"/>
          <w:bottom w:w="28" w:type="dxa"/>
          <w:right w:w="142" w:type="dxa"/>
        </w:tblCellMar>
        <w:tblLook w:val="04A0" w:firstRow="1" w:lastRow="0" w:firstColumn="1" w:lastColumn="0" w:noHBand="0" w:noVBand="1"/>
        <w:tblDescription w:val="Table 2 shows annual crude notification rates per 100,000 population for herpes zoster notifications, emergency department presentations, hospitalisations, deaths and vaccinations for Victorian adults aged ≥60 years from 2012 to 2021.&#10;"/>
      </w:tblPr>
      <w:tblGrid>
        <w:gridCol w:w="649"/>
        <w:gridCol w:w="1963"/>
        <w:gridCol w:w="1963"/>
        <w:gridCol w:w="1964"/>
        <w:gridCol w:w="1963"/>
        <w:gridCol w:w="1964"/>
      </w:tblGrid>
      <w:tr w:rsidR="00F87817" w:rsidRPr="00406CC2" w14:paraId="4E3678FC" w14:textId="77777777" w:rsidTr="0028386E">
        <w:trPr>
          <w:cnfStyle w:val="100000000000" w:firstRow="1" w:lastRow="0" w:firstColumn="0" w:lastColumn="0" w:oddVBand="0" w:evenVBand="0" w:oddHBand="0" w:evenHBand="0" w:firstRowFirstColumn="0" w:firstRowLastColumn="0" w:lastRowFirstColumn="0" w:lastRowLastColumn="0"/>
          <w:divId w:val="1964146631"/>
          <w:tblHeader/>
        </w:trPr>
        <w:tc>
          <w:tcPr>
            <w:tcW w:w="0" w:type="auto"/>
            <w:vMerge w:val="restart"/>
            <w:hideMark/>
          </w:tcPr>
          <w:p w14:paraId="5974B8A8" w14:textId="77777777" w:rsidR="00F87817" w:rsidRPr="00406CC2" w:rsidRDefault="00F87817" w:rsidP="00A32EA1">
            <w:pPr>
              <w:pStyle w:val="NormalWeb"/>
              <w:rPr>
                <w:sz w:val="18"/>
                <w:szCs w:val="18"/>
              </w:rPr>
            </w:pPr>
            <w:r w:rsidRPr="00406CC2">
              <w:rPr>
                <w:sz w:val="18"/>
                <w:szCs w:val="18"/>
              </w:rPr>
              <w:t>Year</w:t>
            </w:r>
          </w:p>
        </w:tc>
        <w:tc>
          <w:tcPr>
            <w:tcW w:w="9817" w:type="dxa"/>
            <w:gridSpan w:val="5"/>
            <w:hideMark/>
          </w:tcPr>
          <w:p w14:paraId="6DDCE47D" w14:textId="77777777" w:rsidR="00F87817" w:rsidRPr="00406CC2" w:rsidRDefault="00F87817" w:rsidP="00A32EA1">
            <w:pPr>
              <w:pStyle w:val="NormalWeb"/>
              <w:rPr>
                <w:sz w:val="18"/>
                <w:szCs w:val="18"/>
              </w:rPr>
            </w:pPr>
            <w:r w:rsidRPr="00406CC2">
              <w:rPr>
                <w:sz w:val="18"/>
                <w:szCs w:val="18"/>
              </w:rPr>
              <w:t>Crude rate per 100,000 population per year for adults ≥ 60 years</w:t>
            </w:r>
          </w:p>
        </w:tc>
      </w:tr>
      <w:tr w:rsidR="00F87817" w:rsidRPr="00406CC2" w14:paraId="7CD229A9" w14:textId="77777777" w:rsidTr="0028386E">
        <w:trPr>
          <w:cnfStyle w:val="100000000000" w:firstRow="1" w:lastRow="0" w:firstColumn="0" w:lastColumn="0" w:oddVBand="0" w:evenVBand="0" w:oddHBand="0" w:evenHBand="0" w:firstRowFirstColumn="0" w:firstRowLastColumn="0" w:lastRowFirstColumn="0" w:lastRowLastColumn="0"/>
          <w:divId w:val="1964146631"/>
          <w:tblHeader/>
        </w:trPr>
        <w:tc>
          <w:tcPr>
            <w:tcW w:w="0" w:type="auto"/>
            <w:vMerge/>
            <w:hideMark/>
          </w:tcPr>
          <w:p w14:paraId="1ACC32D7" w14:textId="77777777" w:rsidR="00F87817" w:rsidRPr="00406CC2" w:rsidRDefault="00F87817" w:rsidP="00A32EA1">
            <w:pPr>
              <w:rPr>
                <w:sz w:val="18"/>
                <w:szCs w:val="18"/>
              </w:rPr>
            </w:pPr>
          </w:p>
        </w:tc>
        <w:tc>
          <w:tcPr>
            <w:tcW w:w="1963" w:type="dxa"/>
            <w:hideMark/>
          </w:tcPr>
          <w:p w14:paraId="26C72D09" w14:textId="77777777" w:rsidR="00F87817" w:rsidRPr="00406CC2" w:rsidRDefault="00F87817" w:rsidP="00A32EA1">
            <w:pPr>
              <w:pStyle w:val="NormalWeb"/>
              <w:rPr>
                <w:sz w:val="18"/>
                <w:szCs w:val="18"/>
              </w:rPr>
            </w:pPr>
            <w:r w:rsidRPr="00406CC2">
              <w:rPr>
                <w:sz w:val="18"/>
                <w:szCs w:val="18"/>
              </w:rPr>
              <w:t>Notification incidence rate</w:t>
            </w:r>
          </w:p>
        </w:tc>
        <w:tc>
          <w:tcPr>
            <w:tcW w:w="1963" w:type="dxa"/>
            <w:hideMark/>
          </w:tcPr>
          <w:p w14:paraId="42177E52" w14:textId="77777777" w:rsidR="00F87817" w:rsidRPr="00406CC2" w:rsidRDefault="00F87817" w:rsidP="00A32EA1">
            <w:pPr>
              <w:pStyle w:val="NormalWeb"/>
              <w:rPr>
                <w:sz w:val="18"/>
                <w:szCs w:val="18"/>
              </w:rPr>
            </w:pPr>
            <w:r w:rsidRPr="00406CC2">
              <w:rPr>
                <w:sz w:val="18"/>
                <w:szCs w:val="18"/>
              </w:rPr>
              <w:t>Emergency department presentation rate</w:t>
            </w:r>
          </w:p>
        </w:tc>
        <w:tc>
          <w:tcPr>
            <w:tcW w:w="1964" w:type="dxa"/>
            <w:hideMark/>
          </w:tcPr>
          <w:p w14:paraId="1A55F7A4" w14:textId="77777777" w:rsidR="00F87817" w:rsidRPr="00406CC2" w:rsidRDefault="00F87817" w:rsidP="00A32EA1">
            <w:pPr>
              <w:pStyle w:val="NormalWeb"/>
              <w:rPr>
                <w:sz w:val="18"/>
                <w:szCs w:val="18"/>
              </w:rPr>
            </w:pPr>
            <w:r w:rsidRPr="00406CC2">
              <w:rPr>
                <w:sz w:val="18"/>
                <w:szCs w:val="18"/>
              </w:rPr>
              <w:t>Hospitalisation rate</w:t>
            </w:r>
          </w:p>
        </w:tc>
        <w:tc>
          <w:tcPr>
            <w:tcW w:w="1963" w:type="dxa"/>
            <w:hideMark/>
          </w:tcPr>
          <w:p w14:paraId="6F0A1EF9" w14:textId="77777777" w:rsidR="00F87817" w:rsidRPr="00406CC2" w:rsidRDefault="00F87817" w:rsidP="00A32EA1">
            <w:pPr>
              <w:pStyle w:val="NormalWeb"/>
              <w:rPr>
                <w:sz w:val="18"/>
                <w:szCs w:val="18"/>
              </w:rPr>
            </w:pPr>
            <w:r w:rsidRPr="00406CC2">
              <w:rPr>
                <w:sz w:val="18"/>
                <w:szCs w:val="18"/>
              </w:rPr>
              <w:t>Mortality rate</w:t>
            </w:r>
          </w:p>
        </w:tc>
        <w:tc>
          <w:tcPr>
            <w:tcW w:w="1964" w:type="dxa"/>
            <w:hideMark/>
          </w:tcPr>
          <w:p w14:paraId="725332D6" w14:textId="77777777" w:rsidR="00F87817" w:rsidRPr="00406CC2" w:rsidRDefault="00F87817" w:rsidP="00A32EA1">
            <w:pPr>
              <w:pStyle w:val="NormalWeb"/>
              <w:rPr>
                <w:sz w:val="18"/>
                <w:szCs w:val="18"/>
              </w:rPr>
            </w:pPr>
            <w:r w:rsidRPr="00406CC2">
              <w:rPr>
                <w:sz w:val="18"/>
                <w:szCs w:val="18"/>
              </w:rPr>
              <w:t>Vaccination rate</w:t>
            </w:r>
          </w:p>
        </w:tc>
      </w:tr>
      <w:tr w:rsidR="00F87817" w:rsidRPr="00406CC2" w14:paraId="6B38F814" w14:textId="77777777" w:rsidTr="0028386E">
        <w:trPr>
          <w:divId w:val="1964146631"/>
        </w:trPr>
        <w:tc>
          <w:tcPr>
            <w:tcW w:w="0" w:type="auto"/>
            <w:hideMark/>
          </w:tcPr>
          <w:p w14:paraId="25952438" w14:textId="77777777" w:rsidR="00F87817" w:rsidRPr="00406CC2" w:rsidRDefault="00F87817" w:rsidP="00A32EA1">
            <w:pPr>
              <w:pStyle w:val="NormalWeb"/>
              <w:rPr>
                <w:sz w:val="18"/>
                <w:szCs w:val="18"/>
              </w:rPr>
            </w:pPr>
            <w:r w:rsidRPr="00406CC2">
              <w:rPr>
                <w:sz w:val="18"/>
                <w:szCs w:val="18"/>
              </w:rPr>
              <w:t>2012</w:t>
            </w:r>
          </w:p>
        </w:tc>
        <w:tc>
          <w:tcPr>
            <w:tcW w:w="1963" w:type="dxa"/>
            <w:hideMark/>
          </w:tcPr>
          <w:p w14:paraId="659B3A81" w14:textId="77777777" w:rsidR="00F87817" w:rsidRPr="00406CC2" w:rsidRDefault="00F87817" w:rsidP="00A32EA1">
            <w:pPr>
              <w:pStyle w:val="NormalWeb"/>
              <w:rPr>
                <w:sz w:val="18"/>
                <w:szCs w:val="18"/>
              </w:rPr>
            </w:pPr>
            <w:r w:rsidRPr="00406CC2">
              <w:rPr>
                <w:sz w:val="18"/>
                <w:szCs w:val="18"/>
              </w:rPr>
              <w:t>139.4</w:t>
            </w:r>
          </w:p>
        </w:tc>
        <w:tc>
          <w:tcPr>
            <w:tcW w:w="1963" w:type="dxa"/>
            <w:hideMark/>
          </w:tcPr>
          <w:p w14:paraId="0F204F9E" w14:textId="77777777" w:rsidR="00F87817" w:rsidRPr="00406CC2" w:rsidRDefault="00F87817" w:rsidP="00A32EA1">
            <w:pPr>
              <w:pStyle w:val="NormalWeb"/>
              <w:rPr>
                <w:sz w:val="18"/>
                <w:szCs w:val="18"/>
              </w:rPr>
            </w:pPr>
            <w:r w:rsidRPr="00406CC2">
              <w:rPr>
                <w:sz w:val="18"/>
                <w:szCs w:val="18"/>
              </w:rPr>
              <w:t>91.7</w:t>
            </w:r>
          </w:p>
        </w:tc>
        <w:tc>
          <w:tcPr>
            <w:tcW w:w="1964" w:type="dxa"/>
            <w:hideMark/>
          </w:tcPr>
          <w:p w14:paraId="659B1153" w14:textId="77777777" w:rsidR="00F87817" w:rsidRPr="00406CC2" w:rsidRDefault="00F87817" w:rsidP="00A32EA1">
            <w:pPr>
              <w:pStyle w:val="NormalWeb"/>
              <w:rPr>
                <w:sz w:val="18"/>
                <w:szCs w:val="18"/>
              </w:rPr>
            </w:pPr>
            <w:r w:rsidRPr="00406CC2">
              <w:rPr>
                <w:sz w:val="18"/>
                <w:szCs w:val="18"/>
              </w:rPr>
              <w:t>52.2</w:t>
            </w:r>
          </w:p>
        </w:tc>
        <w:tc>
          <w:tcPr>
            <w:tcW w:w="1963" w:type="dxa"/>
            <w:hideMark/>
          </w:tcPr>
          <w:p w14:paraId="08F48E73" w14:textId="77777777" w:rsidR="00F87817" w:rsidRPr="00406CC2" w:rsidRDefault="00F87817" w:rsidP="00A32EA1">
            <w:pPr>
              <w:pStyle w:val="NormalWeb"/>
              <w:rPr>
                <w:sz w:val="18"/>
                <w:szCs w:val="18"/>
              </w:rPr>
            </w:pPr>
            <w:r w:rsidRPr="00406CC2">
              <w:rPr>
                <w:sz w:val="18"/>
                <w:szCs w:val="18"/>
              </w:rPr>
              <w:t>1.7</w:t>
            </w:r>
          </w:p>
        </w:tc>
        <w:tc>
          <w:tcPr>
            <w:tcW w:w="1964" w:type="dxa"/>
            <w:hideMark/>
          </w:tcPr>
          <w:p w14:paraId="29097778" w14:textId="77777777" w:rsidR="00F87817" w:rsidRPr="00406CC2" w:rsidRDefault="00F87817" w:rsidP="00A32EA1">
            <w:pPr>
              <w:pStyle w:val="NormalWeb"/>
              <w:rPr>
                <w:sz w:val="18"/>
                <w:szCs w:val="18"/>
              </w:rPr>
            </w:pPr>
            <w:r w:rsidRPr="00406CC2">
              <w:rPr>
                <w:sz w:val="18"/>
                <w:szCs w:val="18"/>
              </w:rPr>
              <w:t>2.0</w:t>
            </w:r>
          </w:p>
        </w:tc>
      </w:tr>
      <w:tr w:rsidR="00F87817" w:rsidRPr="00406CC2" w14:paraId="3DB0827C" w14:textId="77777777" w:rsidTr="0028386E">
        <w:trPr>
          <w:cnfStyle w:val="000000010000" w:firstRow="0" w:lastRow="0" w:firstColumn="0" w:lastColumn="0" w:oddVBand="0" w:evenVBand="0" w:oddHBand="0" w:evenHBand="1" w:firstRowFirstColumn="0" w:firstRowLastColumn="0" w:lastRowFirstColumn="0" w:lastRowLastColumn="0"/>
          <w:divId w:val="1964146631"/>
        </w:trPr>
        <w:tc>
          <w:tcPr>
            <w:tcW w:w="0" w:type="auto"/>
            <w:hideMark/>
          </w:tcPr>
          <w:p w14:paraId="03920E08" w14:textId="77777777" w:rsidR="00F87817" w:rsidRPr="00406CC2" w:rsidRDefault="00F87817" w:rsidP="00A32EA1">
            <w:pPr>
              <w:pStyle w:val="NormalWeb"/>
              <w:rPr>
                <w:sz w:val="18"/>
                <w:szCs w:val="18"/>
              </w:rPr>
            </w:pPr>
            <w:r w:rsidRPr="00406CC2">
              <w:rPr>
                <w:sz w:val="18"/>
                <w:szCs w:val="18"/>
              </w:rPr>
              <w:t>2013</w:t>
            </w:r>
          </w:p>
        </w:tc>
        <w:tc>
          <w:tcPr>
            <w:tcW w:w="1963" w:type="dxa"/>
            <w:hideMark/>
          </w:tcPr>
          <w:p w14:paraId="1530F8A3" w14:textId="77777777" w:rsidR="00F87817" w:rsidRPr="00406CC2" w:rsidRDefault="00F87817" w:rsidP="00A32EA1">
            <w:pPr>
              <w:pStyle w:val="NormalWeb"/>
              <w:rPr>
                <w:sz w:val="18"/>
                <w:szCs w:val="18"/>
              </w:rPr>
            </w:pPr>
            <w:r w:rsidRPr="00406CC2">
              <w:rPr>
                <w:sz w:val="18"/>
                <w:szCs w:val="18"/>
              </w:rPr>
              <w:t>159.2</w:t>
            </w:r>
          </w:p>
        </w:tc>
        <w:tc>
          <w:tcPr>
            <w:tcW w:w="1963" w:type="dxa"/>
            <w:hideMark/>
          </w:tcPr>
          <w:p w14:paraId="12BF53BE" w14:textId="77777777" w:rsidR="00F87817" w:rsidRPr="00406CC2" w:rsidRDefault="00F87817" w:rsidP="00A32EA1">
            <w:pPr>
              <w:pStyle w:val="NormalWeb"/>
              <w:rPr>
                <w:sz w:val="18"/>
                <w:szCs w:val="18"/>
              </w:rPr>
            </w:pPr>
            <w:r w:rsidRPr="00406CC2">
              <w:rPr>
                <w:sz w:val="18"/>
                <w:szCs w:val="18"/>
              </w:rPr>
              <w:t>84.5</w:t>
            </w:r>
          </w:p>
        </w:tc>
        <w:tc>
          <w:tcPr>
            <w:tcW w:w="1964" w:type="dxa"/>
            <w:hideMark/>
          </w:tcPr>
          <w:p w14:paraId="50FC6149" w14:textId="77777777" w:rsidR="00F87817" w:rsidRPr="00406CC2" w:rsidRDefault="00F87817" w:rsidP="00A32EA1">
            <w:pPr>
              <w:pStyle w:val="NormalWeb"/>
              <w:rPr>
                <w:sz w:val="18"/>
                <w:szCs w:val="18"/>
              </w:rPr>
            </w:pPr>
            <w:r w:rsidRPr="00406CC2">
              <w:rPr>
                <w:sz w:val="18"/>
                <w:szCs w:val="18"/>
              </w:rPr>
              <w:t>42.8</w:t>
            </w:r>
          </w:p>
        </w:tc>
        <w:tc>
          <w:tcPr>
            <w:tcW w:w="1963" w:type="dxa"/>
            <w:hideMark/>
          </w:tcPr>
          <w:p w14:paraId="7D2D0F5F" w14:textId="77777777" w:rsidR="00F87817" w:rsidRPr="00406CC2" w:rsidRDefault="00F87817" w:rsidP="00A32EA1">
            <w:pPr>
              <w:pStyle w:val="NormalWeb"/>
              <w:rPr>
                <w:sz w:val="18"/>
                <w:szCs w:val="18"/>
              </w:rPr>
            </w:pPr>
            <w:r w:rsidRPr="00406CC2">
              <w:rPr>
                <w:sz w:val="18"/>
                <w:szCs w:val="18"/>
              </w:rPr>
              <w:t>2.4</w:t>
            </w:r>
          </w:p>
        </w:tc>
        <w:tc>
          <w:tcPr>
            <w:tcW w:w="1964" w:type="dxa"/>
            <w:hideMark/>
          </w:tcPr>
          <w:p w14:paraId="44B3B842" w14:textId="77777777" w:rsidR="00F87817" w:rsidRPr="00406CC2" w:rsidRDefault="00F87817" w:rsidP="00A32EA1">
            <w:pPr>
              <w:pStyle w:val="NormalWeb"/>
              <w:rPr>
                <w:sz w:val="18"/>
                <w:szCs w:val="18"/>
              </w:rPr>
            </w:pPr>
            <w:r w:rsidRPr="00406CC2">
              <w:rPr>
                <w:sz w:val="18"/>
                <w:szCs w:val="18"/>
              </w:rPr>
              <w:t>5.2</w:t>
            </w:r>
          </w:p>
        </w:tc>
      </w:tr>
      <w:tr w:rsidR="00F87817" w:rsidRPr="00406CC2" w14:paraId="11A21A49" w14:textId="77777777" w:rsidTr="0028386E">
        <w:trPr>
          <w:divId w:val="1964146631"/>
        </w:trPr>
        <w:tc>
          <w:tcPr>
            <w:tcW w:w="0" w:type="auto"/>
            <w:hideMark/>
          </w:tcPr>
          <w:p w14:paraId="378AA5F7" w14:textId="77777777" w:rsidR="00F87817" w:rsidRPr="00406CC2" w:rsidRDefault="00F87817" w:rsidP="00A32EA1">
            <w:pPr>
              <w:pStyle w:val="NormalWeb"/>
              <w:rPr>
                <w:sz w:val="18"/>
                <w:szCs w:val="18"/>
              </w:rPr>
            </w:pPr>
            <w:r w:rsidRPr="00406CC2">
              <w:rPr>
                <w:sz w:val="18"/>
                <w:szCs w:val="18"/>
              </w:rPr>
              <w:t>2014</w:t>
            </w:r>
          </w:p>
        </w:tc>
        <w:tc>
          <w:tcPr>
            <w:tcW w:w="1963" w:type="dxa"/>
            <w:hideMark/>
          </w:tcPr>
          <w:p w14:paraId="5D0DC32E" w14:textId="77777777" w:rsidR="00F87817" w:rsidRPr="00406CC2" w:rsidRDefault="00F87817" w:rsidP="00A32EA1">
            <w:pPr>
              <w:pStyle w:val="NormalWeb"/>
              <w:rPr>
                <w:sz w:val="18"/>
                <w:szCs w:val="18"/>
              </w:rPr>
            </w:pPr>
            <w:r w:rsidRPr="00406CC2">
              <w:rPr>
                <w:sz w:val="18"/>
                <w:szCs w:val="18"/>
              </w:rPr>
              <w:t>177.8</w:t>
            </w:r>
          </w:p>
        </w:tc>
        <w:tc>
          <w:tcPr>
            <w:tcW w:w="1963" w:type="dxa"/>
            <w:hideMark/>
          </w:tcPr>
          <w:p w14:paraId="74059C5E" w14:textId="77777777" w:rsidR="00F87817" w:rsidRPr="00406CC2" w:rsidRDefault="00F87817" w:rsidP="00A32EA1">
            <w:pPr>
              <w:pStyle w:val="NormalWeb"/>
              <w:rPr>
                <w:sz w:val="18"/>
                <w:szCs w:val="18"/>
              </w:rPr>
            </w:pPr>
            <w:r w:rsidRPr="00406CC2">
              <w:rPr>
                <w:sz w:val="18"/>
                <w:szCs w:val="18"/>
              </w:rPr>
              <w:t>81.9</w:t>
            </w:r>
          </w:p>
        </w:tc>
        <w:tc>
          <w:tcPr>
            <w:tcW w:w="1964" w:type="dxa"/>
            <w:hideMark/>
          </w:tcPr>
          <w:p w14:paraId="164CA821" w14:textId="77777777" w:rsidR="00F87817" w:rsidRPr="00406CC2" w:rsidRDefault="00F87817" w:rsidP="00A32EA1">
            <w:pPr>
              <w:pStyle w:val="NormalWeb"/>
              <w:rPr>
                <w:sz w:val="18"/>
                <w:szCs w:val="18"/>
              </w:rPr>
            </w:pPr>
            <w:r w:rsidRPr="00406CC2">
              <w:rPr>
                <w:sz w:val="18"/>
                <w:szCs w:val="18"/>
              </w:rPr>
              <w:t>44.3</w:t>
            </w:r>
          </w:p>
        </w:tc>
        <w:tc>
          <w:tcPr>
            <w:tcW w:w="1963" w:type="dxa"/>
            <w:hideMark/>
          </w:tcPr>
          <w:p w14:paraId="15DAB5B6" w14:textId="77777777" w:rsidR="00F87817" w:rsidRPr="00406CC2" w:rsidRDefault="00F87817" w:rsidP="00A32EA1">
            <w:pPr>
              <w:pStyle w:val="NormalWeb"/>
              <w:rPr>
                <w:sz w:val="18"/>
                <w:szCs w:val="18"/>
              </w:rPr>
            </w:pPr>
            <w:r w:rsidRPr="00406CC2">
              <w:rPr>
                <w:sz w:val="18"/>
                <w:szCs w:val="18"/>
              </w:rPr>
              <w:t>2.0</w:t>
            </w:r>
          </w:p>
        </w:tc>
        <w:tc>
          <w:tcPr>
            <w:tcW w:w="1964" w:type="dxa"/>
            <w:hideMark/>
          </w:tcPr>
          <w:p w14:paraId="0279B1AE" w14:textId="77777777" w:rsidR="00F87817" w:rsidRPr="00406CC2" w:rsidRDefault="00F87817" w:rsidP="00A32EA1">
            <w:pPr>
              <w:pStyle w:val="NormalWeb"/>
              <w:rPr>
                <w:sz w:val="18"/>
                <w:szCs w:val="18"/>
              </w:rPr>
            </w:pPr>
            <w:r w:rsidRPr="00406CC2">
              <w:rPr>
                <w:sz w:val="18"/>
                <w:szCs w:val="18"/>
              </w:rPr>
              <w:t>26.0</w:t>
            </w:r>
          </w:p>
        </w:tc>
      </w:tr>
      <w:tr w:rsidR="00F87817" w:rsidRPr="00406CC2" w14:paraId="54E19C22" w14:textId="77777777" w:rsidTr="0028386E">
        <w:trPr>
          <w:cnfStyle w:val="000000010000" w:firstRow="0" w:lastRow="0" w:firstColumn="0" w:lastColumn="0" w:oddVBand="0" w:evenVBand="0" w:oddHBand="0" w:evenHBand="1" w:firstRowFirstColumn="0" w:firstRowLastColumn="0" w:lastRowFirstColumn="0" w:lastRowLastColumn="0"/>
          <w:divId w:val="1964146631"/>
        </w:trPr>
        <w:tc>
          <w:tcPr>
            <w:tcW w:w="0" w:type="auto"/>
            <w:hideMark/>
          </w:tcPr>
          <w:p w14:paraId="12D70D3C" w14:textId="77777777" w:rsidR="00F87817" w:rsidRPr="00406CC2" w:rsidRDefault="00F87817" w:rsidP="00A32EA1">
            <w:pPr>
              <w:pStyle w:val="NormalWeb"/>
              <w:rPr>
                <w:sz w:val="18"/>
                <w:szCs w:val="18"/>
              </w:rPr>
            </w:pPr>
            <w:r w:rsidRPr="00406CC2">
              <w:rPr>
                <w:sz w:val="18"/>
                <w:szCs w:val="18"/>
              </w:rPr>
              <w:t>2015</w:t>
            </w:r>
          </w:p>
        </w:tc>
        <w:tc>
          <w:tcPr>
            <w:tcW w:w="1963" w:type="dxa"/>
            <w:hideMark/>
          </w:tcPr>
          <w:p w14:paraId="5F236F71" w14:textId="77777777" w:rsidR="00F87817" w:rsidRPr="00406CC2" w:rsidRDefault="00F87817" w:rsidP="00A32EA1">
            <w:pPr>
              <w:pStyle w:val="NormalWeb"/>
              <w:rPr>
                <w:sz w:val="18"/>
                <w:szCs w:val="18"/>
              </w:rPr>
            </w:pPr>
            <w:r w:rsidRPr="00406CC2">
              <w:rPr>
                <w:sz w:val="18"/>
                <w:szCs w:val="18"/>
              </w:rPr>
              <w:t>189.7</w:t>
            </w:r>
          </w:p>
        </w:tc>
        <w:tc>
          <w:tcPr>
            <w:tcW w:w="1963" w:type="dxa"/>
            <w:hideMark/>
          </w:tcPr>
          <w:p w14:paraId="6D77282D" w14:textId="77777777" w:rsidR="00F87817" w:rsidRPr="00406CC2" w:rsidRDefault="00F87817" w:rsidP="00A32EA1">
            <w:pPr>
              <w:pStyle w:val="NormalWeb"/>
              <w:rPr>
                <w:sz w:val="18"/>
                <w:szCs w:val="18"/>
              </w:rPr>
            </w:pPr>
            <w:r w:rsidRPr="00406CC2">
              <w:rPr>
                <w:sz w:val="18"/>
                <w:szCs w:val="18"/>
              </w:rPr>
              <w:t>86.2</w:t>
            </w:r>
          </w:p>
        </w:tc>
        <w:tc>
          <w:tcPr>
            <w:tcW w:w="1964" w:type="dxa"/>
            <w:hideMark/>
          </w:tcPr>
          <w:p w14:paraId="0F4D364B" w14:textId="77777777" w:rsidR="00F87817" w:rsidRPr="00406CC2" w:rsidRDefault="00F87817" w:rsidP="00A32EA1">
            <w:pPr>
              <w:pStyle w:val="NormalWeb"/>
              <w:rPr>
                <w:sz w:val="18"/>
                <w:szCs w:val="18"/>
              </w:rPr>
            </w:pPr>
            <w:r w:rsidRPr="00406CC2">
              <w:rPr>
                <w:sz w:val="18"/>
                <w:szCs w:val="18"/>
              </w:rPr>
              <w:t>45.2</w:t>
            </w:r>
          </w:p>
        </w:tc>
        <w:tc>
          <w:tcPr>
            <w:tcW w:w="1963" w:type="dxa"/>
            <w:hideMark/>
          </w:tcPr>
          <w:p w14:paraId="20289D1C" w14:textId="77777777" w:rsidR="00F87817" w:rsidRPr="00406CC2" w:rsidRDefault="00F87817" w:rsidP="00A32EA1">
            <w:pPr>
              <w:pStyle w:val="NormalWeb"/>
              <w:rPr>
                <w:sz w:val="18"/>
                <w:szCs w:val="18"/>
              </w:rPr>
            </w:pPr>
            <w:r w:rsidRPr="00406CC2">
              <w:rPr>
                <w:sz w:val="18"/>
                <w:szCs w:val="18"/>
              </w:rPr>
              <w:t>1.2</w:t>
            </w:r>
          </w:p>
        </w:tc>
        <w:tc>
          <w:tcPr>
            <w:tcW w:w="1964" w:type="dxa"/>
            <w:hideMark/>
          </w:tcPr>
          <w:p w14:paraId="5120080C" w14:textId="77777777" w:rsidR="00F87817" w:rsidRPr="00406CC2" w:rsidRDefault="00F87817" w:rsidP="00A32EA1">
            <w:pPr>
              <w:pStyle w:val="NormalWeb"/>
              <w:rPr>
                <w:sz w:val="18"/>
                <w:szCs w:val="18"/>
              </w:rPr>
            </w:pPr>
            <w:r w:rsidRPr="00406CC2">
              <w:rPr>
                <w:sz w:val="18"/>
                <w:szCs w:val="18"/>
              </w:rPr>
              <w:t>47.5</w:t>
            </w:r>
          </w:p>
        </w:tc>
      </w:tr>
      <w:tr w:rsidR="00F87817" w:rsidRPr="00406CC2" w14:paraId="3FD70FA8" w14:textId="77777777" w:rsidTr="0028386E">
        <w:trPr>
          <w:divId w:val="1964146631"/>
        </w:trPr>
        <w:tc>
          <w:tcPr>
            <w:tcW w:w="0" w:type="auto"/>
            <w:hideMark/>
          </w:tcPr>
          <w:p w14:paraId="6E2FB424" w14:textId="77777777" w:rsidR="00F87817" w:rsidRPr="00406CC2" w:rsidRDefault="00F87817" w:rsidP="00A32EA1">
            <w:pPr>
              <w:pStyle w:val="NormalWeb"/>
              <w:rPr>
                <w:sz w:val="18"/>
                <w:szCs w:val="18"/>
              </w:rPr>
            </w:pPr>
            <w:r w:rsidRPr="00406CC2">
              <w:rPr>
                <w:sz w:val="18"/>
                <w:szCs w:val="18"/>
              </w:rPr>
              <w:t>2016</w:t>
            </w:r>
          </w:p>
        </w:tc>
        <w:tc>
          <w:tcPr>
            <w:tcW w:w="1963" w:type="dxa"/>
            <w:hideMark/>
          </w:tcPr>
          <w:p w14:paraId="371EC995" w14:textId="77777777" w:rsidR="00F87817" w:rsidRPr="00406CC2" w:rsidRDefault="00F87817" w:rsidP="00A32EA1">
            <w:pPr>
              <w:pStyle w:val="NormalWeb"/>
              <w:rPr>
                <w:sz w:val="18"/>
                <w:szCs w:val="18"/>
              </w:rPr>
            </w:pPr>
            <w:r w:rsidRPr="00406CC2">
              <w:rPr>
                <w:sz w:val="18"/>
                <w:szCs w:val="18"/>
              </w:rPr>
              <w:t>233.6</w:t>
            </w:r>
          </w:p>
        </w:tc>
        <w:tc>
          <w:tcPr>
            <w:tcW w:w="1963" w:type="dxa"/>
            <w:hideMark/>
          </w:tcPr>
          <w:p w14:paraId="33282063" w14:textId="77777777" w:rsidR="00F87817" w:rsidRPr="00406CC2" w:rsidRDefault="00F87817" w:rsidP="00A32EA1">
            <w:pPr>
              <w:pStyle w:val="NormalWeb"/>
              <w:rPr>
                <w:sz w:val="18"/>
                <w:szCs w:val="18"/>
              </w:rPr>
            </w:pPr>
            <w:r w:rsidRPr="00406CC2">
              <w:rPr>
                <w:sz w:val="18"/>
                <w:szCs w:val="18"/>
              </w:rPr>
              <w:t>84.1</w:t>
            </w:r>
          </w:p>
        </w:tc>
        <w:tc>
          <w:tcPr>
            <w:tcW w:w="1964" w:type="dxa"/>
            <w:hideMark/>
          </w:tcPr>
          <w:p w14:paraId="256F45D7" w14:textId="77777777" w:rsidR="00F87817" w:rsidRPr="00406CC2" w:rsidRDefault="00F87817" w:rsidP="00A32EA1">
            <w:pPr>
              <w:pStyle w:val="NormalWeb"/>
              <w:rPr>
                <w:sz w:val="18"/>
                <w:szCs w:val="18"/>
              </w:rPr>
            </w:pPr>
            <w:r w:rsidRPr="00406CC2">
              <w:rPr>
                <w:sz w:val="18"/>
                <w:szCs w:val="18"/>
              </w:rPr>
              <w:t>45.6</w:t>
            </w:r>
          </w:p>
        </w:tc>
        <w:tc>
          <w:tcPr>
            <w:tcW w:w="1963" w:type="dxa"/>
            <w:hideMark/>
          </w:tcPr>
          <w:p w14:paraId="38D714B5" w14:textId="77777777" w:rsidR="00F87817" w:rsidRPr="00406CC2" w:rsidRDefault="00F87817" w:rsidP="00A32EA1">
            <w:pPr>
              <w:pStyle w:val="NormalWeb"/>
              <w:rPr>
                <w:sz w:val="18"/>
                <w:szCs w:val="18"/>
              </w:rPr>
            </w:pPr>
            <w:r w:rsidRPr="00406CC2">
              <w:rPr>
                <w:sz w:val="18"/>
                <w:szCs w:val="18"/>
              </w:rPr>
              <w:t>1.8</w:t>
            </w:r>
          </w:p>
        </w:tc>
        <w:tc>
          <w:tcPr>
            <w:tcW w:w="1964" w:type="dxa"/>
            <w:hideMark/>
          </w:tcPr>
          <w:p w14:paraId="2E424829" w14:textId="77777777" w:rsidR="00F87817" w:rsidRPr="00406CC2" w:rsidRDefault="00F87817" w:rsidP="00A32EA1">
            <w:pPr>
              <w:pStyle w:val="NormalWeb"/>
              <w:rPr>
                <w:sz w:val="18"/>
                <w:szCs w:val="18"/>
              </w:rPr>
            </w:pPr>
            <w:r w:rsidRPr="00406CC2">
              <w:rPr>
                <w:sz w:val="18"/>
                <w:szCs w:val="18"/>
              </w:rPr>
              <w:t>2,270.5</w:t>
            </w:r>
          </w:p>
        </w:tc>
      </w:tr>
      <w:tr w:rsidR="00F87817" w:rsidRPr="00406CC2" w14:paraId="14F4BC8E" w14:textId="77777777" w:rsidTr="0028386E">
        <w:trPr>
          <w:cnfStyle w:val="000000010000" w:firstRow="0" w:lastRow="0" w:firstColumn="0" w:lastColumn="0" w:oddVBand="0" w:evenVBand="0" w:oddHBand="0" w:evenHBand="1" w:firstRowFirstColumn="0" w:firstRowLastColumn="0" w:lastRowFirstColumn="0" w:lastRowLastColumn="0"/>
          <w:divId w:val="1964146631"/>
        </w:trPr>
        <w:tc>
          <w:tcPr>
            <w:tcW w:w="0" w:type="auto"/>
            <w:hideMark/>
          </w:tcPr>
          <w:p w14:paraId="388073CD" w14:textId="77777777" w:rsidR="00F87817" w:rsidRPr="00406CC2" w:rsidRDefault="00F87817" w:rsidP="00A32EA1">
            <w:pPr>
              <w:pStyle w:val="NormalWeb"/>
              <w:rPr>
                <w:sz w:val="18"/>
                <w:szCs w:val="18"/>
              </w:rPr>
            </w:pPr>
            <w:r w:rsidRPr="00406CC2">
              <w:rPr>
                <w:sz w:val="18"/>
                <w:szCs w:val="18"/>
              </w:rPr>
              <w:t>2017</w:t>
            </w:r>
          </w:p>
        </w:tc>
        <w:tc>
          <w:tcPr>
            <w:tcW w:w="1963" w:type="dxa"/>
            <w:hideMark/>
          </w:tcPr>
          <w:p w14:paraId="32E75C29" w14:textId="77777777" w:rsidR="00F87817" w:rsidRPr="00406CC2" w:rsidRDefault="00F87817" w:rsidP="00A32EA1">
            <w:pPr>
              <w:pStyle w:val="NormalWeb"/>
              <w:rPr>
                <w:sz w:val="18"/>
                <w:szCs w:val="18"/>
              </w:rPr>
            </w:pPr>
            <w:r w:rsidRPr="00406CC2">
              <w:rPr>
                <w:sz w:val="18"/>
                <w:szCs w:val="18"/>
              </w:rPr>
              <w:t>244.7</w:t>
            </w:r>
          </w:p>
        </w:tc>
        <w:tc>
          <w:tcPr>
            <w:tcW w:w="1963" w:type="dxa"/>
            <w:hideMark/>
          </w:tcPr>
          <w:p w14:paraId="70C75ED1" w14:textId="77777777" w:rsidR="00F87817" w:rsidRPr="00406CC2" w:rsidRDefault="00F87817" w:rsidP="00A32EA1">
            <w:pPr>
              <w:pStyle w:val="NormalWeb"/>
              <w:rPr>
                <w:sz w:val="18"/>
                <w:szCs w:val="18"/>
              </w:rPr>
            </w:pPr>
            <w:r w:rsidRPr="00406CC2">
              <w:rPr>
                <w:sz w:val="18"/>
                <w:szCs w:val="18"/>
              </w:rPr>
              <w:t>79.9</w:t>
            </w:r>
          </w:p>
        </w:tc>
        <w:tc>
          <w:tcPr>
            <w:tcW w:w="1964" w:type="dxa"/>
            <w:hideMark/>
          </w:tcPr>
          <w:p w14:paraId="2B8D7488" w14:textId="77777777" w:rsidR="00F87817" w:rsidRPr="00406CC2" w:rsidRDefault="00F87817" w:rsidP="00A32EA1">
            <w:pPr>
              <w:pStyle w:val="NormalWeb"/>
              <w:rPr>
                <w:sz w:val="18"/>
                <w:szCs w:val="18"/>
              </w:rPr>
            </w:pPr>
            <w:r w:rsidRPr="00406CC2">
              <w:rPr>
                <w:sz w:val="18"/>
                <w:szCs w:val="18"/>
              </w:rPr>
              <w:t>47.3</w:t>
            </w:r>
          </w:p>
        </w:tc>
        <w:tc>
          <w:tcPr>
            <w:tcW w:w="1963" w:type="dxa"/>
            <w:hideMark/>
          </w:tcPr>
          <w:p w14:paraId="6CBC61F1" w14:textId="77777777" w:rsidR="00F87817" w:rsidRPr="00406CC2" w:rsidRDefault="00F87817" w:rsidP="00A32EA1">
            <w:pPr>
              <w:pStyle w:val="NormalWeb"/>
              <w:rPr>
                <w:sz w:val="18"/>
                <w:szCs w:val="18"/>
              </w:rPr>
            </w:pPr>
            <w:r w:rsidRPr="00406CC2">
              <w:rPr>
                <w:sz w:val="18"/>
                <w:szCs w:val="18"/>
              </w:rPr>
              <w:t>1.8</w:t>
            </w:r>
          </w:p>
        </w:tc>
        <w:tc>
          <w:tcPr>
            <w:tcW w:w="1964" w:type="dxa"/>
            <w:hideMark/>
          </w:tcPr>
          <w:p w14:paraId="120640E8" w14:textId="77777777" w:rsidR="00F87817" w:rsidRPr="00406CC2" w:rsidRDefault="00F87817" w:rsidP="00A32EA1">
            <w:pPr>
              <w:pStyle w:val="NormalWeb"/>
              <w:rPr>
                <w:sz w:val="18"/>
                <w:szCs w:val="18"/>
              </w:rPr>
            </w:pPr>
            <w:r w:rsidRPr="00406CC2">
              <w:rPr>
                <w:sz w:val="18"/>
                <w:szCs w:val="18"/>
              </w:rPr>
              <w:t>8,120.0</w:t>
            </w:r>
          </w:p>
        </w:tc>
      </w:tr>
      <w:tr w:rsidR="00F87817" w:rsidRPr="00406CC2" w14:paraId="4DA35966" w14:textId="77777777" w:rsidTr="0028386E">
        <w:trPr>
          <w:divId w:val="1964146631"/>
        </w:trPr>
        <w:tc>
          <w:tcPr>
            <w:tcW w:w="0" w:type="auto"/>
            <w:hideMark/>
          </w:tcPr>
          <w:p w14:paraId="0BF256E0" w14:textId="77777777" w:rsidR="00F87817" w:rsidRPr="00406CC2" w:rsidRDefault="00F87817" w:rsidP="00A32EA1">
            <w:pPr>
              <w:pStyle w:val="NormalWeb"/>
              <w:rPr>
                <w:sz w:val="18"/>
                <w:szCs w:val="18"/>
              </w:rPr>
            </w:pPr>
            <w:r w:rsidRPr="00406CC2">
              <w:rPr>
                <w:sz w:val="18"/>
                <w:szCs w:val="18"/>
              </w:rPr>
              <w:t>2018</w:t>
            </w:r>
          </w:p>
        </w:tc>
        <w:tc>
          <w:tcPr>
            <w:tcW w:w="1963" w:type="dxa"/>
            <w:hideMark/>
          </w:tcPr>
          <w:p w14:paraId="6AFB8732" w14:textId="77777777" w:rsidR="00F87817" w:rsidRPr="00406CC2" w:rsidRDefault="00F87817" w:rsidP="00A32EA1">
            <w:pPr>
              <w:pStyle w:val="NormalWeb"/>
              <w:rPr>
                <w:sz w:val="18"/>
                <w:szCs w:val="18"/>
              </w:rPr>
            </w:pPr>
            <w:r w:rsidRPr="00406CC2">
              <w:rPr>
                <w:sz w:val="18"/>
                <w:szCs w:val="18"/>
              </w:rPr>
              <w:t>261.9</w:t>
            </w:r>
          </w:p>
        </w:tc>
        <w:tc>
          <w:tcPr>
            <w:tcW w:w="1963" w:type="dxa"/>
            <w:hideMark/>
          </w:tcPr>
          <w:p w14:paraId="4E7E6F5E" w14:textId="77777777" w:rsidR="00F87817" w:rsidRPr="00406CC2" w:rsidRDefault="00F87817" w:rsidP="00A32EA1">
            <w:pPr>
              <w:pStyle w:val="NormalWeb"/>
              <w:rPr>
                <w:sz w:val="18"/>
                <w:szCs w:val="18"/>
              </w:rPr>
            </w:pPr>
            <w:r w:rsidRPr="00406CC2">
              <w:rPr>
                <w:sz w:val="18"/>
                <w:szCs w:val="18"/>
              </w:rPr>
              <w:t>85.6</w:t>
            </w:r>
          </w:p>
        </w:tc>
        <w:tc>
          <w:tcPr>
            <w:tcW w:w="1964" w:type="dxa"/>
            <w:hideMark/>
          </w:tcPr>
          <w:p w14:paraId="638339B2" w14:textId="77777777" w:rsidR="00F87817" w:rsidRPr="00406CC2" w:rsidRDefault="00F87817" w:rsidP="00A32EA1">
            <w:pPr>
              <w:pStyle w:val="NormalWeb"/>
              <w:rPr>
                <w:sz w:val="18"/>
                <w:szCs w:val="18"/>
              </w:rPr>
            </w:pPr>
            <w:r w:rsidRPr="00406CC2">
              <w:rPr>
                <w:sz w:val="18"/>
                <w:szCs w:val="18"/>
              </w:rPr>
              <w:t>51.3</w:t>
            </w:r>
          </w:p>
        </w:tc>
        <w:tc>
          <w:tcPr>
            <w:tcW w:w="1963" w:type="dxa"/>
            <w:hideMark/>
          </w:tcPr>
          <w:p w14:paraId="3C49459E" w14:textId="77777777" w:rsidR="00F87817" w:rsidRPr="00406CC2" w:rsidRDefault="00F87817" w:rsidP="00A32EA1">
            <w:pPr>
              <w:pStyle w:val="NormalWeb"/>
              <w:rPr>
                <w:sz w:val="18"/>
                <w:szCs w:val="18"/>
              </w:rPr>
            </w:pPr>
            <w:r w:rsidRPr="00406CC2">
              <w:rPr>
                <w:sz w:val="18"/>
                <w:szCs w:val="18"/>
              </w:rPr>
              <w:t>1.3</w:t>
            </w:r>
          </w:p>
        </w:tc>
        <w:tc>
          <w:tcPr>
            <w:tcW w:w="1964" w:type="dxa"/>
            <w:hideMark/>
          </w:tcPr>
          <w:p w14:paraId="6200A413" w14:textId="77777777" w:rsidR="00F87817" w:rsidRPr="00406CC2" w:rsidRDefault="00F87817" w:rsidP="00A32EA1">
            <w:pPr>
              <w:pStyle w:val="NormalWeb"/>
              <w:rPr>
                <w:sz w:val="18"/>
                <w:szCs w:val="18"/>
              </w:rPr>
            </w:pPr>
            <w:r w:rsidRPr="00406CC2">
              <w:rPr>
                <w:sz w:val="18"/>
                <w:szCs w:val="18"/>
              </w:rPr>
              <w:t>3,879.8</w:t>
            </w:r>
          </w:p>
        </w:tc>
      </w:tr>
      <w:tr w:rsidR="00F87817" w:rsidRPr="00406CC2" w14:paraId="6A68CED8" w14:textId="77777777" w:rsidTr="0028386E">
        <w:trPr>
          <w:cnfStyle w:val="000000010000" w:firstRow="0" w:lastRow="0" w:firstColumn="0" w:lastColumn="0" w:oddVBand="0" w:evenVBand="0" w:oddHBand="0" w:evenHBand="1" w:firstRowFirstColumn="0" w:firstRowLastColumn="0" w:lastRowFirstColumn="0" w:lastRowLastColumn="0"/>
          <w:divId w:val="1964146631"/>
        </w:trPr>
        <w:tc>
          <w:tcPr>
            <w:tcW w:w="0" w:type="auto"/>
            <w:hideMark/>
          </w:tcPr>
          <w:p w14:paraId="0EA9787F" w14:textId="77777777" w:rsidR="00F87817" w:rsidRPr="00406CC2" w:rsidRDefault="00F87817" w:rsidP="00A32EA1">
            <w:pPr>
              <w:pStyle w:val="NormalWeb"/>
              <w:rPr>
                <w:sz w:val="18"/>
                <w:szCs w:val="18"/>
              </w:rPr>
            </w:pPr>
            <w:r w:rsidRPr="00406CC2">
              <w:rPr>
                <w:sz w:val="18"/>
                <w:szCs w:val="18"/>
              </w:rPr>
              <w:t>2019</w:t>
            </w:r>
          </w:p>
        </w:tc>
        <w:tc>
          <w:tcPr>
            <w:tcW w:w="1963" w:type="dxa"/>
            <w:hideMark/>
          </w:tcPr>
          <w:p w14:paraId="16805CD5" w14:textId="77777777" w:rsidR="00F87817" w:rsidRPr="00406CC2" w:rsidRDefault="00F87817" w:rsidP="00A32EA1">
            <w:pPr>
              <w:pStyle w:val="NormalWeb"/>
              <w:rPr>
                <w:sz w:val="18"/>
                <w:szCs w:val="18"/>
              </w:rPr>
            </w:pPr>
            <w:r w:rsidRPr="00406CC2">
              <w:rPr>
                <w:sz w:val="18"/>
                <w:szCs w:val="18"/>
              </w:rPr>
              <w:t>270.5</w:t>
            </w:r>
          </w:p>
        </w:tc>
        <w:tc>
          <w:tcPr>
            <w:tcW w:w="1963" w:type="dxa"/>
            <w:hideMark/>
          </w:tcPr>
          <w:p w14:paraId="55760FCD" w14:textId="77777777" w:rsidR="00F87817" w:rsidRPr="00406CC2" w:rsidRDefault="00F87817" w:rsidP="00A32EA1">
            <w:pPr>
              <w:pStyle w:val="NormalWeb"/>
              <w:rPr>
                <w:sz w:val="18"/>
                <w:szCs w:val="18"/>
              </w:rPr>
            </w:pPr>
            <w:r w:rsidRPr="00406CC2">
              <w:rPr>
                <w:sz w:val="18"/>
                <w:szCs w:val="18"/>
              </w:rPr>
              <w:t>88.2</w:t>
            </w:r>
          </w:p>
        </w:tc>
        <w:tc>
          <w:tcPr>
            <w:tcW w:w="1964" w:type="dxa"/>
            <w:hideMark/>
          </w:tcPr>
          <w:p w14:paraId="2D48FCB2" w14:textId="77777777" w:rsidR="00F87817" w:rsidRPr="00406CC2" w:rsidRDefault="00F87817" w:rsidP="00A32EA1">
            <w:pPr>
              <w:pStyle w:val="NormalWeb"/>
              <w:rPr>
                <w:sz w:val="18"/>
                <w:szCs w:val="18"/>
              </w:rPr>
            </w:pPr>
            <w:r w:rsidRPr="00406CC2">
              <w:rPr>
                <w:sz w:val="18"/>
                <w:szCs w:val="18"/>
              </w:rPr>
              <w:t>47.5</w:t>
            </w:r>
          </w:p>
        </w:tc>
        <w:tc>
          <w:tcPr>
            <w:tcW w:w="1963" w:type="dxa"/>
            <w:hideMark/>
          </w:tcPr>
          <w:p w14:paraId="64130E9B" w14:textId="77777777" w:rsidR="00F87817" w:rsidRPr="00406CC2" w:rsidRDefault="00F87817" w:rsidP="00A32EA1">
            <w:pPr>
              <w:pStyle w:val="NormalWeb"/>
              <w:rPr>
                <w:sz w:val="18"/>
                <w:szCs w:val="18"/>
              </w:rPr>
            </w:pPr>
            <w:r w:rsidRPr="00406CC2">
              <w:rPr>
                <w:sz w:val="18"/>
                <w:szCs w:val="18"/>
              </w:rPr>
              <w:t>0.8</w:t>
            </w:r>
          </w:p>
        </w:tc>
        <w:tc>
          <w:tcPr>
            <w:tcW w:w="1964" w:type="dxa"/>
            <w:hideMark/>
          </w:tcPr>
          <w:p w14:paraId="4A243743" w14:textId="77777777" w:rsidR="00F87817" w:rsidRPr="00406CC2" w:rsidRDefault="00F87817" w:rsidP="00A32EA1">
            <w:pPr>
              <w:pStyle w:val="NormalWeb"/>
              <w:rPr>
                <w:sz w:val="18"/>
                <w:szCs w:val="18"/>
              </w:rPr>
            </w:pPr>
            <w:r w:rsidRPr="00406CC2">
              <w:rPr>
                <w:sz w:val="18"/>
                <w:szCs w:val="18"/>
              </w:rPr>
              <w:t>2,927.2</w:t>
            </w:r>
          </w:p>
        </w:tc>
      </w:tr>
      <w:tr w:rsidR="00F87817" w:rsidRPr="00406CC2" w14:paraId="7B106CF1" w14:textId="77777777" w:rsidTr="0028386E">
        <w:trPr>
          <w:divId w:val="1964146631"/>
        </w:trPr>
        <w:tc>
          <w:tcPr>
            <w:tcW w:w="0" w:type="auto"/>
            <w:hideMark/>
          </w:tcPr>
          <w:p w14:paraId="51D41593" w14:textId="77777777" w:rsidR="00F87817" w:rsidRPr="00406CC2" w:rsidRDefault="00F87817" w:rsidP="00A32EA1">
            <w:pPr>
              <w:pStyle w:val="NormalWeb"/>
              <w:rPr>
                <w:sz w:val="18"/>
                <w:szCs w:val="18"/>
              </w:rPr>
            </w:pPr>
            <w:r w:rsidRPr="00406CC2">
              <w:rPr>
                <w:sz w:val="18"/>
                <w:szCs w:val="18"/>
              </w:rPr>
              <w:t>2020</w:t>
            </w:r>
          </w:p>
        </w:tc>
        <w:tc>
          <w:tcPr>
            <w:tcW w:w="1963" w:type="dxa"/>
            <w:hideMark/>
          </w:tcPr>
          <w:p w14:paraId="504C91D3" w14:textId="77777777" w:rsidR="00F87817" w:rsidRPr="00406CC2" w:rsidRDefault="00F87817" w:rsidP="00A32EA1">
            <w:pPr>
              <w:pStyle w:val="NormalWeb"/>
              <w:rPr>
                <w:sz w:val="18"/>
                <w:szCs w:val="18"/>
              </w:rPr>
            </w:pPr>
            <w:r w:rsidRPr="00406CC2">
              <w:rPr>
                <w:sz w:val="18"/>
                <w:szCs w:val="18"/>
              </w:rPr>
              <w:t>270.1</w:t>
            </w:r>
          </w:p>
        </w:tc>
        <w:tc>
          <w:tcPr>
            <w:tcW w:w="1963" w:type="dxa"/>
            <w:hideMark/>
          </w:tcPr>
          <w:p w14:paraId="24833B4C" w14:textId="77777777" w:rsidR="00F87817" w:rsidRPr="00406CC2" w:rsidRDefault="00F87817" w:rsidP="00A32EA1">
            <w:pPr>
              <w:pStyle w:val="NormalWeb"/>
              <w:rPr>
                <w:sz w:val="18"/>
                <w:szCs w:val="18"/>
              </w:rPr>
            </w:pPr>
            <w:r w:rsidRPr="00406CC2">
              <w:rPr>
                <w:sz w:val="18"/>
                <w:szCs w:val="18"/>
              </w:rPr>
              <w:t>85.8</w:t>
            </w:r>
          </w:p>
        </w:tc>
        <w:tc>
          <w:tcPr>
            <w:tcW w:w="1964" w:type="dxa"/>
            <w:hideMark/>
          </w:tcPr>
          <w:p w14:paraId="59869ECF" w14:textId="77777777" w:rsidR="00F87817" w:rsidRPr="00406CC2" w:rsidRDefault="00F87817" w:rsidP="00A32EA1">
            <w:pPr>
              <w:pStyle w:val="NormalWeb"/>
              <w:rPr>
                <w:sz w:val="18"/>
                <w:szCs w:val="18"/>
              </w:rPr>
            </w:pPr>
            <w:r w:rsidRPr="00406CC2">
              <w:rPr>
                <w:sz w:val="18"/>
                <w:szCs w:val="18"/>
              </w:rPr>
              <w:t>44.2</w:t>
            </w:r>
          </w:p>
        </w:tc>
        <w:tc>
          <w:tcPr>
            <w:tcW w:w="1963" w:type="dxa"/>
            <w:hideMark/>
          </w:tcPr>
          <w:p w14:paraId="1C8760FD" w14:textId="77777777" w:rsidR="00F87817" w:rsidRPr="00406CC2" w:rsidRDefault="00F87817" w:rsidP="00A32EA1">
            <w:pPr>
              <w:pStyle w:val="NormalWeb"/>
              <w:rPr>
                <w:sz w:val="18"/>
                <w:szCs w:val="18"/>
              </w:rPr>
            </w:pPr>
            <w:r w:rsidRPr="00406CC2">
              <w:rPr>
                <w:sz w:val="18"/>
                <w:szCs w:val="18"/>
              </w:rPr>
              <w:t>1.1</w:t>
            </w:r>
          </w:p>
        </w:tc>
        <w:tc>
          <w:tcPr>
            <w:tcW w:w="1964" w:type="dxa"/>
            <w:hideMark/>
          </w:tcPr>
          <w:p w14:paraId="10A09212" w14:textId="77777777" w:rsidR="00F87817" w:rsidRPr="00406CC2" w:rsidRDefault="00F87817" w:rsidP="00A32EA1">
            <w:pPr>
              <w:pStyle w:val="NormalWeb"/>
              <w:rPr>
                <w:sz w:val="18"/>
                <w:szCs w:val="18"/>
              </w:rPr>
            </w:pPr>
            <w:r w:rsidRPr="00406CC2">
              <w:rPr>
                <w:sz w:val="18"/>
                <w:szCs w:val="18"/>
              </w:rPr>
              <w:t>2,384.8</w:t>
            </w:r>
          </w:p>
        </w:tc>
      </w:tr>
      <w:tr w:rsidR="00F87817" w:rsidRPr="00406CC2" w14:paraId="6DC3EA9B" w14:textId="77777777" w:rsidTr="0028386E">
        <w:trPr>
          <w:cnfStyle w:val="000000010000" w:firstRow="0" w:lastRow="0" w:firstColumn="0" w:lastColumn="0" w:oddVBand="0" w:evenVBand="0" w:oddHBand="0" w:evenHBand="1" w:firstRowFirstColumn="0" w:firstRowLastColumn="0" w:lastRowFirstColumn="0" w:lastRowLastColumn="0"/>
          <w:divId w:val="1964146631"/>
        </w:trPr>
        <w:tc>
          <w:tcPr>
            <w:tcW w:w="0" w:type="auto"/>
            <w:hideMark/>
          </w:tcPr>
          <w:p w14:paraId="4030406D" w14:textId="77777777" w:rsidR="00F87817" w:rsidRPr="00406CC2" w:rsidRDefault="00F87817" w:rsidP="00A32EA1">
            <w:pPr>
              <w:pStyle w:val="NormalWeb"/>
              <w:rPr>
                <w:sz w:val="18"/>
                <w:szCs w:val="18"/>
              </w:rPr>
            </w:pPr>
            <w:r w:rsidRPr="00406CC2">
              <w:rPr>
                <w:sz w:val="18"/>
                <w:szCs w:val="18"/>
              </w:rPr>
              <w:t>2021</w:t>
            </w:r>
          </w:p>
        </w:tc>
        <w:tc>
          <w:tcPr>
            <w:tcW w:w="1963" w:type="dxa"/>
            <w:hideMark/>
          </w:tcPr>
          <w:p w14:paraId="16247E93" w14:textId="77777777" w:rsidR="00F87817" w:rsidRPr="00406CC2" w:rsidRDefault="00F87817" w:rsidP="00A32EA1">
            <w:pPr>
              <w:pStyle w:val="NormalWeb"/>
              <w:rPr>
                <w:sz w:val="18"/>
                <w:szCs w:val="18"/>
              </w:rPr>
            </w:pPr>
            <w:r w:rsidRPr="00406CC2">
              <w:rPr>
                <w:sz w:val="18"/>
                <w:szCs w:val="18"/>
              </w:rPr>
              <w:t>293.4</w:t>
            </w:r>
          </w:p>
        </w:tc>
        <w:tc>
          <w:tcPr>
            <w:tcW w:w="1963" w:type="dxa"/>
            <w:hideMark/>
          </w:tcPr>
          <w:p w14:paraId="1118933D" w14:textId="77777777" w:rsidR="00F87817" w:rsidRPr="00406CC2" w:rsidRDefault="00F87817" w:rsidP="00A32EA1">
            <w:pPr>
              <w:pStyle w:val="NormalWeb"/>
              <w:rPr>
                <w:sz w:val="18"/>
                <w:szCs w:val="18"/>
              </w:rPr>
            </w:pPr>
            <w:r w:rsidRPr="00406CC2">
              <w:rPr>
                <w:sz w:val="18"/>
                <w:szCs w:val="18"/>
              </w:rPr>
              <w:t>94.7</w:t>
            </w:r>
          </w:p>
        </w:tc>
        <w:tc>
          <w:tcPr>
            <w:tcW w:w="1964" w:type="dxa"/>
            <w:hideMark/>
          </w:tcPr>
          <w:p w14:paraId="76D549B9" w14:textId="77777777" w:rsidR="00F87817" w:rsidRPr="00406CC2" w:rsidRDefault="00F87817" w:rsidP="00A32EA1">
            <w:pPr>
              <w:pStyle w:val="NormalWeb"/>
              <w:rPr>
                <w:sz w:val="18"/>
                <w:szCs w:val="18"/>
              </w:rPr>
            </w:pPr>
            <w:r w:rsidRPr="00406CC2">
              <w:rPr>
                <w:sz w:val="18"/>
                <w:szCs w:val="18"/>
              </w:rPr>
              <w:t>41.0</w:t>
            </w:r>
          </w:p>
        </w:tc>
        <w:tc>
          <w:tcPr>
            <w:tcW w:w="1963" w:type="dxa"/>
            <w:hideMark/>
          </w:tcPr>
          <w:p w14:paraId="6F7A31BE" w14:textId="77777777" w:rsidR="00F87817" w:rsidRPr="00406CC2" w:rsidRDefault="00F87817" w:rsidP="00A32EA1">
            <w:pPr>
              <w:pStyle w:val="NormalWeb"/>
              <w:rPr>
                <w:sz w:val="18"/>
                <w:szCs w:val="18"/>
              </w:rPr>
            </w:pPr>
            <w:r w:rsidRPr="00406CC2">
              <w:rPr>
                <w:sz w:val="18"/>
                <w:szCs w:val="18"/>
              </w:rPr>
              <w:t>1.2</w:t>
            </w:r>
          </w:p>
        </w:tc>
        <w:tc>
          <w:tcPr>
            <w:tcW w:w="1964" w:type="dxa"/>
            <w:hideMark/>
          </w:tcPr>
          <w:p w14:paraId="3DD349D3" w14:textId="77777777" w:rsidR="00F87817" w:rsidRPr="00406CC2" w:rsidRDefault="00F87817" w:rsidP="00A32EA1">
            <w:pPr>
              <w:pStyle w:val="NormalWeb"/>
              <w:rPr>
                <w:sz w:val="18"/>
                <w:szCs w:val="18"/>
              </w:rPr>
            </w:pPr>
            <w:r w:rsidRPr="00406CC2">
              <w:rPr>
                <w:sz w:val="18"/>
                <w:szCs w:val="18"/>
              </w:rPr>
              <w:t>2,976.1</w:t>
            </w:r>
          </w:p>
        </w:tc>
      </w:tr>
    </w:tbl>
    <w:p w14:paraId="298E1026" w14:textId="77777777" w:rsidR="001D784F" w:rsidRPr="00FB12A1" w:rsidRDefault="001D784F" w:rsidP="001D784F">
      <w:pPr>
        <w:pStyle w:val="CDIFigures"/>
        <w:divId w:val="1964146631"/>
      </w:pPr>
      <w:r w:rsidRPr="00FB12A1">
        <w:rPr>
          <w:rStyle w:val="Strong"/>
          <w:b/>
          <w:bCs w:val="0"/>
        </w:rPr>
        <w:t>Table 3: Age specific vaccination rates per 100,000 population per year for 70–</w:t>
      </w:r>
      <w:proofErr w:type="gramStart"/>
      <w:r w:rsidRPr="00FB12A1">
        <w:rPr>
          <w:rStyle w:val="Strong"/>
          <w:b/>
          <w:bCs w:val="0"/>
        </w:rPr>
        <w:t>79 year-olds</w:t>
      </w:r>
      <w:proofErr w:type="gramEnd"/>
      <w:r w:rsidRPr="00FB12A1">
        <w:rPr>
          <w:rStyle w:val="Strong"/>
          <w:b/>
          <w:bCs w:val="0"/>
        </w:rPr>
        <w:t xml:space="preserve"> (NIP- eligible population) in Victoria, 2016 to 2021</w:t>
      </w:r>
      <w:r w:rsidRPr="00FB12A1">
        <w:t xml:space="preserve"> </w:t>
      </w:r>
    </w:p>
    <w:tbl>
      <w:tblPr>
        <w:tblStyle w:val="CDI-StandardTable"/>
        <w:tblW w:w="0" w:type="auto"/>
        <w:tblCellMar>
          <w:top w:w="28" w:type="dxa"/>
          <w:bottom w:w="28" w:type="dxa"/>
        </w:tblCellMar>
        <w:tblLook w:val="04A0" w:firstRow="1" w:lastRow="0" w:firstColumn="1" w:lastColumn="0" w:noHBand="0" w:noVBand="1"/>
        <w:tblDescription w:val="Table 3 shows annual age-specific vaccination rates per 100,000 population for Victorians aged 70 to 79 years (who are eligible for funded vaccine under the National Immunisation Program), from 2016 to 2021.&#10;"/>
      </w:tblPr>
      <w:tblGrid>
        <w:gridCol w:w="953"/>
        <w:gridCol w:w="1581"/>
        <w:gridCol w:w="1581"/>
        <w:gridCol w:w="1581"/>
        <w:gridCol w:w="1581"/>
        <w:gridCol w:w="1581"/>
        <w:gridCol w:w="1582"/>
      </w:tblGrid>
      <w:tr w:rsidR="001D784F" w:rsidRPr="00406CC2" w14:paraId="6B6153A6" w14:textId="77777777" w:rsidTr="0028386E">
        <w:trPr>
          <w:cnfStyle w:val="100000000000" w:firstRow="1" w:lastRow="0" w:firstColumn="0" w:lastColumn="0" w:oddVBand="0" w:evenVBand="0" w:oddHBand="0" w:evenHBand="0" w:firstRowFirstColumn="0" w:firstRowLastColumn="0" w:lastRowFirstColumn="0" w:lastRowLastColumn="0"/>
          <w:divId w:val="1964146631"/>
          <w:tblHeader/>
        </w:trPr>
        <w:tc>
          <w:tcPr>
            <w:tcW w:w="0" w:type="auto"/>
            <w:vMerge w:val="restart"/>
            <w:hideMark/>
          </w:tcPr>
          <w:p w14:paraId="4A0E48FC" w14:textId="77777777" w:rsidR="001D784F" w:rsidRPr="00406CC2" w:rsidRDefault="001D784F" w:rsidP="00A32EA1">
            <w:pPr>
              <w:pStyle w:val="NormalWeb"/>
              <w:rPr>
                <w:sz w:val="18"/>
                <w:szCs w:val="18"/>
              </w:rPr>
            </w:pPr>
            <w:r w:rsidRPr="00406CC2">
              <w:rPr>
                <w:sz w:val="18"/>
                <w:szCs w:val="18"/>
              </w:rPr>
              <w:t>Age (years)</w:t>
            </w:r>
          </w:p>
        </w:tc>
        <w:tc>
          <w:tcPr>
            <w:tcW w:w="9487" w:type="dxa"/>
            <w:gridSpan w:val="6"/>
            <w:hideMark/>
          </w:tcPr>
          <w:p w14:paraId="2112DAD1" w14:textId="77777777" w:rsidR="001D784F" w:rsidRPr="00406CC2" w:rsidRDefault="001D784F" w:rsidP="00A32EA1">
            <w:pPr>
              <w:pStyle w:val="NormalWeb"/>
              <w:rPr>
                <w:sz w:val="18"/>
                <w:szCs w:val="18"/>
              </w:rPr>
            </w:pPr>
            <w:r w:rsidRPr="00406CC2">
              <w:rPr>
                <w:sz w:val="18"/>
                <w:szCs w:val="18"/>
              </w:rPr>
              <w:t>Vaccination rate per 100,000 population per year</w:t>
            </w:r>
          </w:p>
        </w:tc>
      </w:tr>
      <w:tr w:rsidR="001D784F" w:rsidRPr="00406CC2" w14:paraId="149FAE24" w14:textId="77777777" w:rsidTr="0028386E">
        <w:trPr>
          <w:cnfStyle w:val="100000000000" w:firstRow="1" w:lastRow="0" w:firstColumn="0" w:lastColumn="0" w:oddVBand="0" w:evenVBand="0" w:oddHBand="0" w:evenHBand="0" w:firstRowFirstColumn="0" w:firstRowLastColumn="0" w:lastRowFirstColumn="0" w:lastRowLastColumn="0"/>
          <w:divId w:val="1964146631"/>
          <w:tblHeader/>
        </w:trPr>
        <w:tc>
          <w:tcPr>
            <w:tcW w:w="0" w:type="auto"/>
            <w:vMerge/>
            <w:hideMark/>
          </w:tcPr>
          <w:p w14:paraId="0FD2EB56" w14:textId="77777777" w:rsidR="001D784F" w:rsidRPr="00406CC2" w:rsidRDefault="001D784F" w:rsidP="00A32EA1">
            <w:pPr>
              <w:rPr>
                <w:sz w:val="18"/>
                <w:szCs w:val="18"/>
              </w:rPr>
            </w:pPr>
          </w:p>
        </w:tc>
        <w:tc>
          <w:tcPr>
            <w:tcW w:w="1581" w:type="dxa"/>
            <w:hideMark/>
          </w:tcPr>
          <w:p w14:paraId="299B089A" w14:textId="77777777" w:rsidR="001D784F" w:rsidRPr="00406CC2" w:rsidRDefault="001D784F" w:rsidP="00A32EA1">
            <w:pPr>
              <w:pStyle w:val="NormalWeb"/>
              <w:rPr>
                <w:sz w:val="18"/>
                <w:szCs w:val="18"/>
              </w:rPr>
            </w:pPr>
            <w:r w:rsidRPr="00406CC2">
              <w:rPr>
                <w:sz w:val="18"/>
                <w:szCs w:val="18"/>
              </w:rPr>
              <w:t>2016</w:t>
            </w:r>
          </w:p>
        </w:tc>
        <w:tc>
          <w:tcPr>
            <w:tcW w:w="1581" w:type="dxa"/>
            <w:hideMark/>
          </w:tcPr>
          <w:p w14:paraId="3BA5C4ED" w14:textId="77777777" w:rsidR="001D784F" w:rsidRPr="00406CC2" w:rsidRDefault="001D784F" w:rsidP="00A32EA1">
            <w:pPr>
              <w:pStyle w:val="NormalWeb"/>
              <w:rPr>
                <w:sz w:val="18"/>
                <w:szCs w:val="18"/>
              </w:rPr>
            </w:pPr>
            <w:r w:rsidRPr="00406CC2">
              <w:rPr>
                <w:sz w:val="18"/>
                <w:szCs w:val="18"/>
              </w:rPr>
              <w:t>2017</w:t>
            </w:r>
          </w:p>
        </w:tc>
        <w:tc>
          <w:tcPr>
            <w:tcW w:w="1581" w:type="dxa"/>
            <w:hideMark/>
          </w:tcPr>
          <w:p w14:paraId="61808ECA" w14:textId="77777777" w:rsidR="001D784F" w:rsidRPr="00406CC2" w:rsidRDefault="001D784F" w:rsidP="00A32EA1">
            <w:pPr>
              <w:pStyle w:val="NormalWeb"/>
              <w:rPr>
                <w:sz w:val="18"/>
                <w:szCs w:val="18"/>
              </w:rPr>
            </w:pPr>
            <w:r w:rsidRPr="00406CC2">
              <w:rPr>
                <w:sz w:val="18"/>
                <w:szCs w:val="18"/>
              </w:rPr>
              <w:t>2018</w:t>
            </w:r>
          </w:p>
        </w:tc>
        <w:tc>
          <w:tcPr>
            <w:tcW w:w="1581" w:type="dxa"/>
            <w:hideMark/>
          </w:tcPr>
          <w:p w14:paraId="1BF2BB4B" w14:textId="77777777" w:rsidR="001D784F" w:rsidRPr="00406CC2" w:rsidRDefault="001D784F" w:rsidP="00A32EA1">
            <w:pPr>
              <w:pStyle w:val="NormalWeb"/>
              <w:rPr>
                <w:sz w:val="18"/>
                <w:szCs w:val="18"/>
              </w:rPr>
            </w:pPr>
            <w:r w:rsidRPr="00406CC2">
              <w:rPr>
                <w:sz w:val="18"/>
                <w:szCs w:val="18"/>
              </w:rPr>
              <w:t>2019</w:t>
            </w:r>
          </w:p>
        </w:tc>
        <w:tc>
          <w:tcPr>
            <w:tcW w:w="1581" w:type="dxa"/>
            <w:hideMark/>
          </w:tcPr>
          <w:p w14:paraId="4A07F2E7" w14:textId="77777777" w:rsidR="001D784F" w:rsidRPr="00406CC2" w:rsidRDefault="001D784F" w:rsidP="00A32EA1">
            <w:pPr>
              <w:pStyle w:val="NormalWeb"/>
              <w:rPr>
                <w:sz w:val="18"/>
                <w:szCs w:val="18"/>
              </w:rPr>
            </w:pPr>
            <w:r w:rsidRPr="00406CC2">
              <w:rPr>
                <w:sz w:val="18"/>
                <w:szCs w:val="18"/>
              </w:rPr>
              <w:t>2020</w:t>
            </w:r>
          </w:p>
        </w:tc>
        <w:tc>
          <w:tcPr>
            <w:tcW w:w="1582" w:type="dxa"/>
            <w:hideMark/>
          </w:tcPr>
          <w:p w14:paraId="2DFE6CC6" w14:textId="77777777" w:rsidR="001D784F" w:rsidRPr="00406CC2" w:rsidRDefault="001D784F" w:rsidP="00A32EA1">
            <w:pPr>
              <w:pStyle w:val="NormalWeb"/>
              <w:rPr>
                <w:sz w:val="18"/>
                <w:szCs w:val="18"/>
              </w:rPr>
            </w:pPr>
            <w:r w:rsidRPr="00406CC2">
              <w:rPr>
                <w:sz w:val="18"/>
                <w:szCs w:val="18"/>
              </w:rPr>
              <w:t>2021</w:t>
            </w:r>
          </w:p>
        </w:tc>
      </w:tr>
      <w:tr w:rsidR="001D784F" w:rsidRPr="00406CC2" w14:paraId="7B6BAA49" w14:textId="77777777" w:rsidTr="0028386E">
        <w:trPr>
          <w:divId w:val="1964146631"/>
        </w:trPr>
        <w:tc>
          <w:tcPr>
            <w:tcW w:w="0" w:type="auto"/>
            <w:hideMark/>
          </w:tcPr>
          <w:p w14:paraId="4CE8561F" w14:textId="77777777" w:rsidR="001D784F" w:rsidRPr="00406CC2" w:rsidRDefault="001D784F" w:rsidP="00A32EA1">
            <w:pPr>
              <w:pStyle w:val="NormalWeb"/>
              <w:rPr>
                <w:sz w:val="18"/>
                <w:szCs w:val="18"/>
              </w:rPr>
            </w:pPr>
            <w:r w:rsidRPr="00406CC2">
              <w:rPr>
                <w:sz w:val="18"/>
                <w:szCs w:val="18"/>
              </w:rPr>
              <w:t>70</w:t>
            </w:r>
          </w:p>
        </w:tc>
        <w:tc>
          <w:tcPr>
            <w:tcW w:w="1581" w:type="dxa"/>
            <w:hideMark/>
          </w:tcPr>
          <w:p w14:paraId="083CC233" w14:textId="77777777" w:rsidR="001D784F" w:rsidRPr="00406CC2" w:rsidRDefault="001D784F" w:rsidP="00A32EA1">
            <w:pPr>
              <w:pStyle w:val="NormalWeb"/>
              <w:rPr>
                <w:sz w:val="18"/>
                <w:szCs w:val="18"/>
              </w:rPr>
            </w:pPr>
            <w:r w:rsidRPr="00406CC2">
              <w:rPr>
                <w:sz w:val="18"/>
                <w:szCs w:val="18"/>
              </w:rPr>
              <w:t>4,713</w:t>
            </w:r>
          </w:p>
        </w:tc>
        <w:tc>
          <w:tcPr>
            <w:tcW w:w="1581" w:type="dxa"/>
            <w:hideMark/>
          </w:tcPr>
          <w:p w14:paraId="1DF2D753" w14:textId="77777777" w:rsidR="001D784F" w:rsidRPr="00406CC2" w:rsidRDefault="001D784F" w:rsidP="00A32EA1">
            <w:pPr>
              <w:pStyle w:val="NormalWeb"/>
              <w:rPr>
                <w:sz w:val="18"/>
                <w:szCs w:val="18"/>
              </w:rPr>
            </w:pPr>
            <w:r w:rsidRPr="00406CC2">
              <w:rPr>
                <w:sz w:val="18"/>
                <w:szCs w:val="18"/>
              </w:rPr>
              <w:t>31,119</w:t>
            </w:r>
          </w:p>
        </w:tc>
        <w:tc>
          <w:tcPr>
            <w:tcW w:w="1581" w:type="dxa"/>
            <w:hideMark/>
          </w:tcPr>
          <w:p w14:paraId="083B58DB" w14:textId="77777777" w:rsidR="001D784F" w:rsidRPr="00406CC2" w:rsidRDefault="001D784F" w:rsidP="00A32EA1">
            <w:pPr>
              <w:pStyle w:val="NormalWeb"/>
              <w:rPr>
                <w:sz w:val="18"/>
                <w:szCs w:val="18"/>
              </w:rPr>
            </w:pPr>
            <w:r w:rsidRPr="00406CC2">
              <w:rPr>
                <w:sz w:val="18"/>
                <w:szCs w:val="18"/>
              </w:rPr>
              <w:t>28,485</w:t>
            </w:r>
          </w:p>
        </w:tc>
        <w:tc>
          <w:tcPr>
            <w:tcW w:w="1581" w:type="dxa"/>
            <w:hideMark/>
          </w:tcPr>
          <w:p w14:paraId="67CC8AE5" w14:textId="77777777" w:rsidR="001D784F" w:rsidRPr="00406CC2" w:rsidRDefault="001D784F" w:rsidP="00A32EA1">
            <w:pPr>
              <w:pStyle w:val="NormalWeb"/>
              <w:rPr>
                <w:sz w:val="18"/>
                <w:szCs w:val="18"/>
              </w:rPr>
            </w:pPr>
            <w:r w:rsidRPr="00406CC2">
              <w:rPr>
                <w:sz w:val="18"/>
                <w:szCs w:val="18"/>
              </w:rPr>
              <w:t>28,852</w:t>
            </w:r>
          </w:p>
        </w:tc>
        <w:tc>
          <w:tcPr>
            <w:tcW w:w="1581" w:type="dxa"/>
            <w:hideMark/>
          </w:tcPr>
          <w:p w14:paraId="2CF95C04" w14:textId="77777777" w:rsidR="001D784F" w:rsidRPr="00406CC2" w:rsidRDefault="001D784F" w:rsidP="00A32EA1">
            <w:pPr>
              <w:pStyle w:val="NormalWeb"/>
              <w:rPr>
                <w:sz w:val="18"/>
                <w:szCs w:val="18"/>
              </w:rPr>
            </w:pPr>
            <w:r w:rsidRPr="00406CC2">
              <w:rPr>
                <w:sz w:val="18"/>
                <w:szCs w:val="18"/>
              </w:rPr>
              <w:t>26,549</w:t>
            </w:r>
          </w:p>
        </w:tc>
        <w:tc>
          <w:tcPr>
            <w:tcW w:w="1582" w:type="dxa"/>
            <w:hideMark/>
          </w:tcPr>
          <w:p w14:paraId="754BE3B6" w14:textId="77777777" w:rsidR="001D784F" w:rsidRPr="00406CC2" w:rsidRDefault="001D784F" w:rsidP="00A32EA1">
            <w:pPr>
              <w:pStyle w:val="NormalWeb"/>
              <w:rPr>
                <w:sz w:val="18"/>
                <w:szCs w:val="18"/>
              </w:rPr>
            </w:pPr>
            <w:r w:rsidRPr="00406CC2">
              <w:rPr>
                <w:sz w:val="18"/>
                <w:szCs w:val="18"/>
              </w:rPr>
              <w:t>28,759</w:t>
            </w:r>
          </w:p>
        </w:tc>
      </w:tr>
      <w:tr w:rsidR="001D784F" w:rsidRPr="00406CC2" w14:paraId="166AB455" w14:textId="77777777" w:rsidTr="0028386E">
        <w:trPr>
          <w:cnfStyle w:val="000000010000" w:firstRow="0" w:lastRow="0" w:firstColumn="0" w:lastColumn="0" w:oddVBand="0" w:evenVBand="0" w:oddHBand="0" w:evenHBand="1" w:firstRowFirstColumn="0" w:firstRowLastColumn="0" w:lastRowFirstColumn="0" w:lastRowLastColumn="0"/>
          <w:divId w:val="1964146631"/>
        </w:trPr>
        <w:tc>
          <w:tcPr>
            <w:tcW w:w="0" w:type="auto"/>
            <w:hideMark/>
          </w:tcPr>
          <w:p w14:paraId="6C70A562" w14:textId="77777777" w:rsidR="001D784F" w:rsidRPr="00406CC2" w:rsidRDefault="001D784F" w:rsidP="00A32EA1">
            <w:pPr>
              <w:pStyle w:val="NormalWeb"/>
              <w:rPr>
                <w:sz w:val="18"/>
                <w:szCs w:val="18"/>
              </w:rPr>
            </w:pPr>
            <w:r w:rsidRPr="00406CC2">
              <w:rPr>
                <w:sz w:val="18"/>
                <w:szCs w:val="18"/>
              </w:rPr>
              <w:t>71</w:t>
            </w:r>
          </w:p>
        </w:tc>
        <w:tc>
          <w:tcPr>
            <w:tcW w:w="1581" w:type="dxa"/>
            <w:hideMark/>
          </w:tcPr>
          <w:p w14:paraId="38858BF9" w14:textId="77777777" w:rsidR="001D784F" w:rsidRPr="00406CC2" w:rsidRDefault="001D784F" w:rsidP="00A32EA1">
            <w:pPr>
              <w:pStyle w:val="NormalWeb"/>
              <w:rPr>
                <w:sz w:val="18"/>
                <w:szCs w:val="18"/>
              </w:rPr>
            </w:pPr>
            <w:r w:rsidRPr="00406CC2">
              <w:rPr>
                <w:sz w:val="18"/>
                <w:szCs w:val="18"/>
              </w:rPr>
              <w:t>4,954</w:t>
            </w:r>
          </w:p>
        </w:tc>
        <w:tc>
          <w:tcPr>
            <w:tcW w:w="1581" w:type="dxa"/>
            <w:hideMark/>
          </w:tcPr>
          <w:p w14:paraId="7657B488" w14:textId="77777777" w:rsidR="001D784F" w:rsidRPr="00406CC2" w:rsidRDefault="001D784F" w:rsidP="00A32EA1">
            <w:pPr>
              <w:pStyle w:val="NormalWeb"/>
              <w:rPr>
                <w:sz w:val="18"/>
                <w:szCs w:val="18"/>
              </w:rPr>
            </w:pPr>
            <w:r w:rsidRPr="00406CC2">
              <w:rPr>
                <w:sz w:val="18"/>
                <w:szCs w:val="18"/>
              </w:rPr>
              <w:t>22,247</w:t>
            </w:r>
          </w:p>
        </w:tc>
        <w:tc>
          <w:tcPr>
            <w:tcW w:w="1581" w:type="dxa"/>
            <w:hideMark/>
          </w:tcPr>
          <w:p w14:paraId="1DB5C6E2" w14:textId="77777777" w:rsidR="001D784F" w:rsidRPr="00406CC2" w:rsidRDefault="001D784F" w:rsidP="00A32EA1">
            <w:pPr>
              <w:pStyle w:val="NormalWeb"/>
              <w:rPr>
                <w:sz w:val="18"/>
                <w:szCs w:val="18"/>
              </w:rPr>
            </w:pPr>
            <w:r w:rsidRPr="00406CC2">
              <w:rPr>
                <w:sz w:val="18"/>
                <w:szCs w:val="18"/>
              </w:rPr>
              <w:t>10,004</w:t>
            </w:r>
          </w:p>
        </w:tc>
        <w:tc>
          <w:tcPr>
            <w:tcW w:w="1581" w:type="dxa"/>
            <w:hideMark/>
          </w:tcPr>
          <w:p w14:paraId="619BA125" w14:textId="77777777" w:rsidR="001D784F" w:rsidRPr="00406CC2" w:rsidRDefault="001D784F" w:rsidP="00A32EA1">
            <w:pPr>
              <w:pStyle w:val="NormalWeb"/>
              <w:rPr>
                <w:sz w:val="18"/>
                <w:szCs w:val="18"/>
              </w:rPr>
            </w:pPr>
            <w:r w:rsidRPr="00406CC2">
              <w:rPr>
                <w:sz w:val="18"/>
                <w:szCs w:val="18"/>
              </w:rPr>
              <w:t>8,976</w:t>
            </w:r>
          </w:p>
        </w:tc>
        <w:tc>
          <w:tcPr>
            <w:tcW w:w="1581" w:type="dxa"/>
            <w:hideMark/>
          </w:tcPr>
          <w:p w14:paraId="2A81E880" w14:textId="77777777" w:rsidR="001D784F" w:rsidRPr="00406CC2" w:rsidRDefault="001D784F" w:rsidP="00A32EA1">
            <w:pPr>
              <w:pStyle w:val="NormalWeb"/>
              <w:rPr>
                <w:sz w:val="18"/>
                <w:szCs w:val="18"/>
              </w:rPr>
            </w:pPr>
            <w:r w:rsidRPr="00406CC2">
              <w:rPr>
                <w:sz w:val="18"/>
                <w:szCs w:val="18"/>
              </w:rPr>
              <w:t>8,251</w:t>
            </w:r>
          </w:p>
        </w:tc>
        <w:tc>
          <w:tcPr>
            <w:tcW w:w="1582" w:type="dxa"/>
            <w:hideMark/>
          </w:tcPr>
          <w:p w14:paraId="54C14B18" w14:textId="77777777" w:rsidR="001D784F" w:rsidRPr="00406CC2" w:rsidRDefault="001D784F" w:rsidP="00A32EA1">
            <w:pPr>
              <w:pStyle w:val="NormalWeb"/>
              <w:rPr>
                <w:sz w:val="18"/>
                <w:szCs w:val="18"/>
              </w:rPr>
            </w:pPr>
            <w:r w:rsidRPr="00406CC2">
              <w:rPr>
                <w:sz w:val="18"/>
                <w:szCs w:val="18"/>
              </w:rPr>
              <w:t>12,107</w:t>
            </w:r>
          </w:p>
        </w:tc>
      </w:tr>
      <w:tr w:rsidR="001D784F" w:rsidRPr="00406CC2" w14:paraId="1E1F0D9F" w14:textId="77777777" w:rsidTr="0028386E">
        <w:trPr>
          <w:divId w:val="1964146631"/>
        </w:trPr>
        <w:tc>
          <w:tcPr>
            <w:tcW w:w="0" w:type="auto"/>
            <w:hideMark/>
          </w:tcPr>
          <w:p w14:paraId="1694E7D7" w14:textId="77777777" w:rsidR="001D784F" w:rsidRPr="00406CC2" w:rsidRDefault="001D784F" w:rsidP="00A32EA1">
            <w:pPr>
              <w:pStyle w:val="NormalWeb"/>
              <w:rPr>
                <w:sz w:val="18"/>
                <w:szCs w:val="18"/>
              </w:rPr>
            </w:pPr>
            <w:r w:rsidRPr="00406CC2">
              <w:rPr>
                <w:sz w:val="18"/>
                <w:szCs w:val="18"/>
              </w:rPr>
              <w:t>72</w:t>
            </w:r>
          </w:p>
        </w:tc>
        <w:tc>
          <w:tcPr>
            <w:tcW w:w="1581" w:type="dxa"/>
            <w:hideMark/>
          </w:tcPr>
          <w:p w14:paraId="698ED71A" w14:textId="77777777" w:rsidR="001D784F" w:rsidRPr="00406CC2" w:rsidRDefault="001D784F" w:rsidP="00A32EA1">
            <w:pPr>
              <w:pStyle w:val="NormalWeb"/>
              <w:rPr>
                <w:sz w:val="18"/>
                <w:szCs w:val="18"/>
              </w:rPr>
            </w:pPr>
            <w:r w:rsidRPr="00406CC2">
              <w:rPr>
                <w:sz w:val="18"/>
                <w:szCs w:val="18"/>
              </w:rPr>
              <w:t>5,191</w:t>
            </w:r>
          </w:p>
        </w:tc>
        <w:tc>
          <w:tcPr>
            <w:tcW w:w="1581" w:type="dxa"/>
            <w:hideMark/>
          </w:tcPr>
          <w:p w14:paraId="27DF02E6" w14:textId="77777777" w:rsidR="001D784F" w:rsidRPr="00406CC2" w:rsidRDefault="001D784F" w:rsidP="00A32EA1">
            <w:pPr>
              <w:pStyle w:val="NormalWeb"/>
              <w:rPr>
                <w:sz w:val="18"/>
                <w:szCs w:val="18"/>
              </w:rPr>
            </w:pPr>
            <w:r w:rsidRPr="00406CC2">
              <w:rPr>
                <w:sz w:val="18"/>
                <w:szCs w:val="18"/>
              </w:rPr>
              <w:t>22,212</w:t>
            </w:r>
          </w:p>
        </w:tc>
        <w:tc>
          <w:tcPr>
            <w:tcW w:w="1581" w:type="dxa"/>
            <w:hideMark/>
          </w:tcPr>
          <w:p w14:paraId="317EEE19" w14:textId="77777777" w:rsidR="001D784F" w:rsidRPr="00406CC2" w:rsidRDefault="001D784F" w:rsidP="00A32EA1">
            <w:pPr>
              <w:pStyle w:val="NormalWeb"/>
              <w:rPr>
                <w:sz w:val="18"/>
                <w:szCs w:val="18"/>
              </w:rPr>
            </w:pPr>
            <w:r w:rsidRPr="00406CC2">
              <w:rPr>
                <w:sz w:val="18"/>
                <w:szCs w:val="18"/>
              </w:rPr>
              <w:t>7,882</w:t>
            </w:r>
          </w:p>
        </w:tc>
        <w:tc>
          <w:tcPr>
            <w:tcW w:w="1581" w:type="dxa"/>
            <w:hideMark/>
          </w:tcPr>
          <w:p w14:paraId="6D8105ED" w14:textId="77777777" w:rsidR="001D784F" w:rsidRPr="00406CC2" w:rsidRDefault="001D784F" w:rsidP="00A32EA1">
            <w:pPr>
              <w:pStyle w:val="NormalWeb"/>
              <w:rPr>
                <w:sz w:val="18"/>
                <w:szCs w:val="18"/>
              </w:rPr>
            </w:pPr>
            <w:r w:rsidRPr="00406CC2">
              <w:rPr>
                <w:sz w:val="18"/>
                <w:szCs w:val="18"/>
              </w:rPr>
              <w:t>5,205</w:t>
            </w:r>
          </w:p>
        </w:tc>
        <w:tc>
          <w:tcPr>
            <w:tcW w:w="1581" w:type="dxa"/>
            <w:hideMark/>
          </w:tcPr>
          <w:p w14:paraId="09CD54EE" w14:textId="77777777" w:rsidR="001D784F" w:rsidRPr="00406CC2" w:rsidRDefault="001D784F" w:rsidP="00A32EA1">
            <w:pPr>
              <w:pStyle w:val="NormalWeb"/>
              <w:rPr>
                <w:sz w:val="18"/>
                <w:szCs w:val="18"/>
              </w:rPr>
            </w:pPr>
            <w:r w:rsidRPr="00406CC2">
              <w:rPr>
                <w:sz w:val="18"/>
                <w:szCs w:val="18"/>
              </w:rPr>
              <w:t>4,809</w:t>
            </w:r>
          </w:p>
        </w:tc>
        <w:tc>
          <w:tcPr>
            <w:tcW w:w="1582" w:type="dxa"/>
            <w:hideMark/>
          </w:tcPr>
          <w:p w14:paraId="253FDD71" w14:textId="77777777" w:rsidR="001D784F" w:rsidRPr="00406CC2" w:rsidRDefault="001D784F" w:rsidP="00A32EA1">
            <w:pPr>
              <w:pStyle w:val="NormalWeb"/>
              <w:rPr>
                <w:sz w:val="18"/>
                <w:szCs w:val="18"/>
              </w:rPr>
            </w:pPr>
            <w:r w:rsidRPr="00406CC2">
              <w:rPr>
                <w:sz w:val="18"/>
                <w:szCs w:val="18"/>
              </w:rPr>
              <w:t>7,127</w:t>
            </w:r>
          </w:p>
        </w:tc>
      </w:tr>
      <w:tr w:rsidR="001D784F" w:rsidRPr="00406CC2" w14:paraId="7E423A69" w14:textId="77777777" w:rsidTr="0028386E">
        <w:trPr>
          <w:cnfStyle w:val="000000010000" w:firstRow="0" w:lastRow="0" w:firstColumn="0" w:lastColumn="0" w:oddVBand="0" w:evenVBand="0" w:oddHBand="0" w:evenHBand="1" w:firstRowFirstColumn="0" w:firstRowLastColumn="0" w:lastRowFirstColumn="0" w:lastRowLastColumn="0"/>
          <w:divId w:val="1964146631"/>
        </w:trPr>
        <w:tc>
          <w:tcPr>
            <w:tcW w:w="0" w:type="auto"/>
            <w:hideMark/>
          </w:tcPr>
          <w:p w14:paraId="285A50E0" w14:textId="77777777" w:rsidR="001D784F" w:rsidRPr="00406CC2" w:rsidRDefault="001D784F" w:rsidP="00A32EA1">
            <w:pPr>
              <w:pStyle w:val="NormalWeb"/>
              <w:rPr>
                <w:sz w:val="18"/>
                <w:szCs w:val="18"/>
              </w:rPr>
            </w:pPr>
            <w:r w:rsidRPr="00406CC2">
              <w:rPr>
                <w:sz w:val="18"/>
                <w:szCs w:val="18"/>
              </w:rPr>
              <w:t>73</w:t>
            </w:r>
          </w:p>
        </w:tc>
        <w:tc>
          <w:tcPr>
            <w:tcW w:w="1581" w:type="dxa"/>
            <w:hideMark/>
          </w:tcPr>
          <w:p w14:paraId="2BDD5920" w14:textId="77777777" w:rsidR="001D784F" w:rsidRPr="00406CC2" w:rsidRDefault="001D784F" w:rsidP="00A32EA1">
            <w:pPr>
              <w:pStyle w:val="NormalWeb"/>
              <w:rPr>
                <w:sz w:val="18"/>
                <w:szCs w:val="18"/>
              </w:rPr>
            </w:pPr>
            <w:r w:rsidRPr="00406CC2">
              <w:rPr>
                <w:sz w:val="18"/>
                <w:szCs w:val="18"/>
              </w:rPr>
              <w:t>5,676</w:t>
            </w:r>
          </w:p>
        </w:tc>
        <w:tc>
          <w:tcPr>
            <w:tcW w:w="1581" w:type="dxa"/>
            <w:hideMark/>
          </w:tcPr>
          <w:p w14:paraId="65B0D97E" w14:textId="77777777" w:rsidR="001D784F" w:rsidRPr="00406CC2" w:rsidRDefault="001D784F" w:rsidP="00A32EA1">
            <w:pPr>
              <w:pStyle w:val="NormalWeb"/>
              <w:rPr>
                <w:sz w:val="18"/>
                <w:szCs w:val="18"/>
              </w:rPr>
            </w:pPr>
            <w:r w:rsidRPr="00406CC2">
              <w:rPr>
                <w:sz w:val="18"/>
                <w:szCs w:val="18"/>
              </w:rPr>
              <w:t>22,101</w:t>
            </w:r>
          </w:p>
        </w:tc>
        <w:tc>
          <w:tcPr>
            <w:tcW w:w="1581" w:type="dxa"/>
            <w:hideMark/>
          </w:tcPr>
          <w:p w14:paraId="4C94B1CE" w14:textId="77777777" w:rsidR="001D784F" w:rsidRPr="00406CC2" w:rsidRDefault="001D784F" w:rsidP="00A32EA1">
            <w:pPr>
              <w:pStyle w:val="NormalWeb"/>
              <w:rPr>
                <w:sz w:val="18"/>
                <w:szCs w:val="18"/>
              </w:rPr>
            </w:pPr>
            <w:r w:rsidRPr="00406CC2">
              <w:rPr>
                <w:sz w:val="18"/>
                <w:szCs w:val="18"/>
              </w:rPr>
              <w:t>7,487</w:t>
            </w:r>
          </w:p>
        </w:tc>
        <w:tc>
          <w:tcPr>
            <w:tcW w:w="1581" w:type="dxa"/>
            <w:hideMark/>
          </w:tcPr>
          <w:p w14:paraId="7F760F69" w14:textId="77777777" w:rsidR="001D784F" w:rsidRPr="00406CC2" w:rsidRDefault="001D784F" w:rsidP="00A32EA1">
            <w:pPr>
              <w:pStyle w:val="NormalWeb"/>
              <w:rPr>
                <w:sz w:val="18"/>
                <w:szCs w:val="18"/>
              </w:rPr>
            </w:pPr>
            <w:r w:rsidRPr="00406CC2">
              <w:rPr>
                <w:sz w:val="18"/>
                <w:szCs w:val="18"/>
              </w:rPr>
              <w:t>4,314</w:t>
            </w:r>
          </w:p>
        </w:tc>
        <w:tc>
          <w:tcPr>
            <w:tcW w:w="1581" w:type="dxa"/>
            <w:hideMark/>
          </w:tcPr>
          <w:p w14:paraId="6F3A3EB4" w14:textId="77777777" w:rsidR="001D784F" w:rsidRPr="00406CC2" w:rsidRDefault="001D784F" w:rsidP="00A32EA1">
            <w:pPr>
              <w:pStyle w:val="NormalWeb"/>
              <w:rPr>
                <w:sz w:val="18"/>
                <w:szCs w:val="18"/>
              </w:rPr>
            </w:pPr>
            <w:r w:rsidRPr="00406CC2">
              <w:rPr>
                <w:sz w:val="18"/>
                <w:szCs w:val="18"/>
              </w:rPr>
              <w:t>3,334</w:t>
            </w:r>
          </w:p>
        </w:tc>
        <w:tc>
          <w:tcPr>
            <w:tcW w:w="1582" w:type="dxa"/>
            <w:hideMark/>
          </w:tcPr>
          <w:p w14:paraId="2884807E" w14:textId="77777777" w:rsidR="001D784F" w:rsidRPr="00406CC2" w:rsidRDefault="001D784F" w:rsidP="00A32EA1">
            <w:pPr>
              <w:pStyle w:val="NormalWeb"/>
              <w:rPr>
                <w:sz w:val="18"/>
                <w:szCs w:val="18"/>
              </w:rPr>
            </w:pPr>
            <w:r w:rsidRPr="00406CC2">
              <w:rPr>
                <w:sz w:val="18"/>
                <w:szCs w:val="18"/>
              </w:rPr>
              <w:t>4,726</w:t>
            </w:r>
          </w:p>
        </w:tc>
      </w:tr>
      <w:tr w:rsidR="001D784F" w:rsidRPr="00406CC2" w14:paraId="64EEDDB4" w14:textId="77777777" w:rsidTr="0028386E">
        <w:trPr>
          <w:divId w:val="1964146631"/>
        </w:trPr>
        <w:tc>
          <w:tcPr>
            <w:tcW w:w="0" w:type="auto"/>
            <w:hideMark/>
          </w:tcPr>
          <w:p w14:paraId="4DC7C9C7" w14:textId="77777777" w:rsidR="001D784F" w:rsidRPr="00406CC2" w:rsidRDefault="001D784F" w:rsidP="00A32EA1">
            <w:pPr>
              <w:pStyle w:val="NormalWeb"/>
              <w:rPr>
                <w:sz w:val="18"/>
                <w:szCs w:val="18"/>
              </w:rPr>
            </w:pPr>
            <w:r w:rsidRPr="00406CC2">
              <w:rPr>
                <w:sz w:val="18"/>
                <w:szCs w:val="18"/>
              </w:rPr>
              <w:t>74</w:t>
            </w:r>
          </w:p>
        </w:tc>
        <w:tc>
          <w:tcPr>
            <w:tcW w:w="1581" w:type="dxa"/>
            <w:hideMark/>
          </w:tcPr>
          <w:p w14:paraId="0494A60C" w14:textId="77777777" w:rsidR="001D784F" w:rsidRPr="00406CC2" w:rsidRDefault="001D784F" w:rsidP="00A32EA1">
            <w:pPr>
              <w:pStyle w:val="NormalWeb"/>
              <w:rPr>
                <w:sz w:val="18"/>
                <w:szCs w:val="18"/>
              </w:rPr>
            </w:pPr>
            <w:r w:rsidRPr="00406CC2">
              <w:rPr>
                <w:sz w:val="18"/>
                <w:szCs w:val="18"/>
              </w:rPr>
              <w:t>5,780</w:t>
            </w:r>
          </w:p>
        </w:tc>
        <w:tc>
          <w:tcPr>
            <w:tcW w:w="1581" w:type="dxa"/>
            <w:hideMark/>
          </w:tcPr>
          <w:p w14:paraId="55B2CA2A" w14:textId="77777777" w:rsidR="001D784F" w:rsidRPr="00406CC2" w:rsidRDefault="001D784F" w:rsidP="00A32EA1">
            <w:pPr>
              <w:pStyle w:val="NormalWeb"/>
              <w:rPr>
                <w:sz w:val="18"/>
                <w:szCs w:val="18"/>
              </w:rPr>
            </w:pPr>
            <w:r w:rsidRPr="00406CC2">
              <w:rPr>
                <w:sz w:val="18"/>
                <w:szCs w:val="18"/>
              </w:rPr>
              <w:t>22,272</w:t>
            </w:r>
          </w:p>
        </w:tc>
        <w:tc>
          <w:tcPr>
            <w:tcW w:w="1581" w:type="dxa"/>
            <w:hideMark/>
          </w:tcPr>
          <w:p w14:paraId="470282C0" w14:textId="77777777" w:rsidR="001D784F" w:rsidRPr="00406CC2" w:rsidRDefault="001D784F" w:rsidP="00A32EA1">
            <w:pPr>
              <w:pStyle w:val="NormalWeb"/>
              <w:rPr>
                <w:sz w:val="18"/>
                <w:szCs w:val="18"/>
              </w:rPr>
            </w:pPr>
            <w:r w:rsidRPr="00406CC2">
              <w:rPr>
                <w:sz w:val="18"/>
                <w:szCs w:val="18"/>
              </w:rPr>
              <w:t>6,983</w:t>
            </w:r>
          </w:p>
        </w:tc>
        <w:tc>
          <w:tcPr>
            <w:tcW w:w="1581" w:type="dxa"/>
            <w:hideMark/>
          </w:tcPr>
          <w:p w14:paraId="465EE341" w14:textId="77777777" w:rsidR="001D784F" w:rsidRPr="00406CC2" w:rsidRDefault="001D784F" w:rsidP="00A32EA1">
            <w:pPr>
              <w:pStyle w:val="NormalWeb"/>
              <w:rPr>
                <w:sz w:val="18"/>
                <w:szCs w:val="18"/>
              </w:rPr>
            </w:pPr>
            <w:r w:rsidRPr="00406CC2">
              <w:rPr>
                <w:sz w:val="18"/>
                <w:szCs w:val="18"/>
              </w:rPr>
              <w:t>4,227</w:t>
            </w:r>
          </w:p>
        </w:tc>
        <w:tc>
          <w:tcPr>
            <w:tcW w:w="1581" w:type="dxa"/>
            <w:hideMark/>
          </w:tcPr>
          <w:p w14:paraId="414116D8" w14:textId="77777777" w:rsidR="001D784F" w:rsidRPr="00406CC2" w:rsidRDefault="001D784F" w:rsidP="00A32EA1">
            <w:pPr>
              <w:pStyle w:val="NormalWeb"/>
              <w:rPr>
                <w:sz w:val="18"/>
                <w:szCs w:val="18"/>
              </w:rPr>
            </w:pPr>
            <w:r w:rsidRPr="00406CC2">
              <w:rPr>
                <w:sz w:val="18"/>
                <w:szCs w:val="18"/>
              </w:rPr>
              <w:t>2,550</w:t>
            </w:r>
          </w:p>
        </w:tc>
        <w:tc>
          <w:tcPr>
            <w:tcW w:w="1582" w:type="dxa"/>
            <w:hideMark/>
          </w:tcPr>
          <w:p w14:paraId="79163B53" w14:textId="77777777" w:rsidR="001D784F" w:rsidRPr="00406CC2" w:rsidRDefault="001D784F" w:rsidP="00A32EA1">
            <w:pPr>
              <w:pStyle w:val="NormalWeb"/>
              <w:rPr>
                <w:sz w:val="18"/>
                <w:szCs w:val="18"/>
              </w:rPr>
            </w:pPr>
            <w:r w:rsidRPr="00406CC2">
              <w:rPr>
                <w:sz w:val="18"/>
                <w:szCs w:val="18"/>
              </w:rPr>
              <w:t>3,277</w:t>
            </w:r>
          </w:p>
        </w:tc>
      </w:tr>
      <w:tr w:rsidR="001D784F" w:rsidRPr="00406CC2" w14:paraId="5A0F522C" w14:textId="77777777" w:rsidTr="0028386E">
        <w:trPr>
          <w:cnfStyle w:val="000000010000" w:firstRow="0" w:lastRow="0" w:firstColumn="0" w:lastColumn="0" w:oddVBand="0" w:evenVBand="0" w:oddHBand="0" w:evenHBand="1" w:firstRowFirstColumn="0" w:firstRowLastColumn="0" w:lastRowFirstColumn="0" w:lastRowLastColumn="0"/>
          <w:divId w:val="1964146631"/>
        </w:trPr>
        <w:tc>
          <w:tcPr>
            <w:tcW w:w="0" w:type="auto"/>
            <w:hideMark/>
          </w:tcPr>
          <w:p w14:paraId="3ABC3AA7" w14:textId="77777777" w:rsidR="001D784F" w:rsidRPr="00406CC2" w:rsidRDefault="001D784F" w:rsidP="00A32EA1">
            <w:pPr>
              <w:pStyle w:val="NormalWeb"/>
              <w:rPr>
                <w:sz w:val="18"/>
                <w:szCs w:val="18"/>
              </w:rPr>
            </w:pPr>
            <w:r w:rsidRPr="00406CC2">
              <w:rPr>
                <w:sz w:val="18"/>
                <w:szCs w:val="18"/>
              </w:rPr>
              <w:t>75</w:t>
            </w:r>
          </w:p>
        </w:tc>
        <w:tc>
          <w:tcPr>
            <w:tcW w:w="1581" w:type="dxa"/>
            <w:hideMark/>
          </w:tcPr>
          <w:p w14:paraId="6222E099" w14:textId="77777777" w:rsidR="001D784F" w:rsidRPr="00406CC2" w:rsidRDefault="001D784F" w:rsidP="00A32EA1">
            <w:pPr>
              <w:pStyle w:val="NormalWeb"/>
              <w:rPr>
                <w:sz w:val="18"/>
                <w:szCs w:val="18"/>
              </w:rPr>
            </w:pPr>
            <w:r w:rsidRPr="00406CC2">
              <w:rPr>
                <w:sz w:val="18"/>
                <w:szCs w:val="18"/>
              </w:rPr>
              <w:t>6,383</w:t>
            </w:r>
          </w:p>
        </w:tc>
        <w:tc>
          <w:tcPr>
            <w:tcW w:w="1581" w:type="dxa"/>
            <w:hideMark/>
          </w:tcPr>
          <w:p w14:paraId="6F0F35CE" w14:textId="77777777" w:rsidR="001D784F" w:rsidRPr="00406CC2" w:rsidRDefault="001D784F" w:rsidP="00A32EA1">
            <w:pPr>
              <w:pStyle w:val="NormalWeb"/>
              <w:rPr>
                <w:sz w:val="18"/>
                <w:szCs w:val="18"/>
              </w:rPr>
            </w:pPr>
            <w:r w:rsidRPr="00406CC2">
              <w:rPr>
                <w:sz w:val="18"/>
                <w:szCs w:val="18"/>
              </w:rPr>
              <w:t>22,850</w:t>
            </w:r>
          </w:p>
        </w:tc>
        <w:tc>
          <w:tcPr>
            <w:tcW w:w="1581" w:type="dxa"/>
            <w:hideMark/>
          </w:tcPr>
          <w:p w14:paraId="35901314" w14:textId="77777777" w:rsidR="001D784F" w:rsidRPr="00406CC2" w:rsidRDefault="001D784F" w:rsidP="00A32EA1">
            <w:pPr>
              <w:pStyle w:val="NormalWeb"/>
              <w:rPr>
                <w:sz w:val="18"/>
                <w:szCs w:val="18"/>
              </w:rPr>
            </w:pPr>
            <w:r w:rsidRPr="00406CC2">
              <w:rPr>
                <w:sz w:val="18"/>
                <w:szCs w:val="18"/>
              </w:rPr>
              <w:t>7,744</w:t>
            </w:r>
          </w:p>
        </w:tc>
        <w:tc>
          <w:tcPr>
            <w:tcW w:w="1581" w:type="dxa"/>
            <w:hideMark/>
          </w:tcPr>
          <w:p w14:paraId="7338A7D3" w14:textId="77777777" w:rsidR="001D784F" w:rsidRPr="00406CC2" w:rsidRDefault="001D784F" w:rsidP="00A32EA1">
            <w:pPr>
              <w:pStyle w:val="NormalWeb"/>
              <w:rPr>
                <w:sz w:val="18"/>
                <w:szCs w:val="18"/>
              </w:rPr>
            </w:pPr>
            <w:r w:rsidRPr="00406CC2">
              <w:rPr>
                <w:sz w:val="18"/>
                <w:szCs w:val="18"/>
              </w:rPr>
              <w:t>4,795</w:t>
            </w:r>
          </w:p>
        </w:tc>
        <w:tc>
          <w:tcPr>
            <w:tcW w:w="1581" w:type="dxa"/>
            <w:hideMark/>
          </w:tcPr>
          <w:p w14:paraId="5F8B4761" w14:textId="77777777" w:rsidR="001D784F" w:rsidRPr="00406CC2" w:rsidRDefault="001D784F" w:rsidP="00A32EA1">
            <w:pPr>
              <w:pStyle w:val="NormalWeb"/>
              <w:rPr>
                <w:sz w:val="18"/>
                <w:szCs w:val="18"/>
              </w:rPr>
            </w:pPr>
            <w:r w:rsidRPr="00406CC2">
              <w:rPr>
                <w:sz w:val="18"/>
                <w:szCs w:val="18"/>
              </w:rPr>
              <w:t>2,779</w:t>
            </w:r>
          </w:p>
        </w:tc>
        <w:tc>
          <w:tcPr>
            <w:tcW w:w="1582" w:type="dxa"/>
            <w:hideMark/>
          </w:tcPr>
          <w:p w14:paraId="7D3E4CA5" w14:textId="77777777" w:rsidR="001D784F" w:rsidRPr="00406CC2" w:rsidRDefault="001D784F" w:rsidP="00A32EA1">
            <w:pPr>
              <w:pStyle w:val="NormalWeb"/>
              <w:rPr>
                <w:sz w:val="18"/>
                <w:szCs w:val="18"/>
              </w:rPr>
            </w:pPr>
            <w:r w:rsidRPr="00406CC2">
              <w:rPr>
                <w:sz w:val="18"/>
                <w:szCs w:val="18"/>
              </w:rPr>
              <w:t>3,032</w:t>
            </w:r>
          </w:p>
        </w:tc>
      </w:tr>
      <w:tr w:rsidR="001D784F" w:rsidRPr="00406CC2" w14:paraId="7B200741" w14:textId="77777777" w:rsidTr="0028386E">
        <w:trPr>
          <w:divId w:val="1964146631"/>
        </w:trPr>
        <w:tc>
          <w:tcPr>
            <w:tcW w:w="0" w:type="auto"/>
            <w:hideMark/>
          </w:tcPr>
          <w:p w14:paraId="18D0421F" w14:textId="77777777" w:rsidR="001D784F" w:rsidRPr="00406CC2" w:rsidRDefault="001D784F" w:rsidP="00A32EA1">
            <w:pPr>
              <w:pStyle w:val="NormalWeb"/>
              <w:rPr>
                <w:sz w:val="18"/>
                <w:szCs w:val="18"/>
              </w:rPr>
            </w:pPr>
            <w:r w:rsidRPr="00406CC2">
              <w:rPr>
                <w:sz w:val="18"/>
                <w:szCs w:val="18"/>
              </w:rPr>
              <w:t>76</w:t>
            </w:r>
          </w:p>
        </w:tc>
        <w:tc>
          <w:tcPr>
            <w:tcW w:w="1581" w:type="dxa"/>
            <w:hideMark/>
          </w:tcPr>
          <w:p w14:paraId="08855477" w14:textId="77777777" w:rsidR="001D784F" w:rsidRPr="00406CC2" w:rsidRDefault="001D784F" w:rsidP="00A32EA1">
            <w:pPr>
              <w:pStyle w:val="NormalWeb"/>
              <w:rPr>
                <w:sz w:val="18"/>
                <w:szCs w:val="18"/>
              </w:rPr>
            </w:pPr>
            <w:r w:rsidRPr="00406CC2">
              <w:rPr>
                <w:sz w:val="18"/>
                <w:szCs w:val="18"/>
              </w:rPr>
              <w:t>6,804</w:t>
            </w:r>
          </w:p>
        </w:tc>
        <w:tc>
          <w:tcPr>
            <w:tcW w:w="1581" w:type="dxa"/>
            <w:hideMark/>
          </w:tcPr>
          <w:p w14:paraId="7E060B5B" w14:textId="77777777" w:rsidR="001D784F" w:rsidRPr="00406CC2" w:rsidRDefault="001D784F" w:rsidP="00A32EA1">
            <w:pPr>
              <w:pStyle w:val="NormalWeb"/>
              <w:rPr>
                <w:sz w:val="18"/>
                <w:szCs w:val="18"/>
              </w:rPr>
            </w:pPr>
            <w:r w:rsidRPr="00406CC2">
              <w:rPr>
                <w:sz w:val="18"/>
                <w:szCs w:val="18"/>
              </w:rPr>
              <w:t>22,314</w:t>
            </w:r>
          </w:p>
        </w:tc>
        <w:tc>
          <w:tcPr>
            <w:tcW w:w="1581" w:type="dxa"/>
            <w:hideMark/>
          </w:tcPr>
          <w:p w14:paraId="48EE8FC1" w14:textId="77777777" w:rsidR="001D784F" w:rsidRPr="00406CC2" w:rsidRDefault="001D784F" w:rsidP="00A32EA1">
            <w:pPr>
              <w:pStyle w:val="NormalWeb"/>
              <w:rPr>
                <w:sz w:val="18"/>
                <w:szCs w:val="18"/>
              </w:rPr>
            </w:pPr>
            <w:r w:rsidRPr="00406CC2">
              <w:rPr>
                <w:sz w:val="18"/>
                <w:szCs w:val="18"/>
              </w:rPr>
              <w:t>6,721</w:t>
            </w:r>
          </w:p>
        </w:tc>
        <w:tc>
          <w:tcPr>
            <w:tcW w:w="1581" w:type="dxa"/>
            <w:hideMark/>
          </w:tcPr>
          <w:p w14:paraId="030DB5F6" w14:textId="77777777" w:rsidR="001D784F" w:rsidRPr="00406CC2" w:rsidRDefault="001D784F" w:rsidP="00A32EA1">
            <w:pPr>
              <w:pStyle w:val="NormalWeb"/>
              <w:rPr>
                <w:sz w:val="18"/>
                <w:szCs w:val="18"/>
              </w:rPr>
            </w:pPr>
            <w:r w:rsidRPr="00406CC2">
              <w:rPr>
                <w:sz w:val="18"/>
                <w:szCs w:val="18"/>
              </w:rPr>
              <w:t>4,025</w:t>
            </w:r>
          </w:p>
        </w:tc>
        <w:tc>
          <w:tcPr>
            <w:tcW w:w="1581" w:type="dxa"/>
            <w:hideMark/>
          </w:tcPr>
          <w:p w14:paraId="400A3F7C" w14:textId="77777777" w:rsidR="001D784F" w:rsidRPr="00406CC2" w:rsidRDefault="001D784F" w:rsidP="00A32EA1">
            <w:pPr>
              <w:pStyle w:val="NormalWeb"/>
              <w:rPr>
                <w:sz w:val="18"/>
                <w:szCs w:val="18"/>
              </w:rPr>
            </w:pPr>
            <w:r w:rsidRPr="00406CC2">
              <w:rPr>
                <w:sz w:val="18"/>
                <w:szCs w:val="18"/>
              </w:rPr>
              <w:t>2,480</w:t>
            </w:r>
          </w:p>
        </w:tc>
        <w:tc>
          <w:tcPr>
            <w:tcW w:w="1582" w:type="dxa"/>
            <w:hideMark/>
          </w:tcPr>
          <w:p w14:paraId="64325CD3" w14:textId="77777777" w:rsidR="001D784F" w:rsidRPr="00406CC2" w:rsidRDefault="001D784F" w:rsidP="00A32EA1">
            <w:pPr>
              <w:pStyle w:val="NormalWeb"/>
              <w:rPr>
                <w:sz w:val="18"/>
                <w:szCs w:val="18"/>
              </w:rPr>
            </w:pPr>
            <w:r w:rsidRPr="00406CC2">
              <w:rPr>
                <w:sz w:val="18"/>
                <w:szCs w:val="18"/>
              </w:rPr>
              <w:t>2,668</w:t>
            </w:r>
          </w:p>
        </w:tc>
      </w:tr>
      <w:tr w:rsidR="001D784F" w:rsidRPr="00406CC2" w14:paraId="163BCA2C" w14:textId="77777777" w:rsidTr="0028386E">
        <w:trPr>
          <w:cnfStyle w:val="000000010000" w:firstRow="0" w:lastRow="0" w:firstColumn="0" w:lastColumn="0" w:oddVBand="0" w:evenVBand="0" w:oddHBand="0" w:evenHBand="1" w:firstRowFirstColumn="0" w:firstRowLastColumn="0" w:lastRowFirstColumn="0" w:lastRowLastColumn="0"/>
          <w:divId w:val="1964146631"/>
        </w:trPr>
        <w:tc>
          <w:tcPr>
            <w:tcW w:w="0" w:type="auto"/>
            <w:hideMark/>
          </w:tcPr>
          <w:p w14:paraId="16C34B71" w14:textId="77777777" w:rsidR="001D784F" w:rsidRPr="00406CC2" w:rsidRDefault="001D784F" w:rsidP="00A32EA1">
            <w:pPr>
              <w:pStyle w:val="NormalWeb"/>
              <w:rPr>
                <w:sz w:val="18"/>
                <w:szCs w:val="18"/>
              </w:rPr>
            </w:pPr>
            <w:r w:rsidRPr="00406CC2">
              <w:rPr>
                <w:sz w:val="18"/>
                <w:szCs w:val="18"/>
              </w:rPr>
              <w:t>77</w:t>
            </w:r>
          </w:p>
        </w:tc>
        <w:tc>
          <w:tcPr>
            <w:tcW w:w="1581" w:type="dxa"/>
            <w:hideMark/>
          </w:tcPr>
          <w:p w14:paraId="5D31E738" w14:textId="77777777" w:rsidR="001D784F" w:rsidRPr="00406CC2" w:rsidRDefault="001D784F" w:rsidP="00A32EA1">
            <w:pPr>
              <w:pStyle w:val="NormalWeb"/>
              <w:rPr>
                <w:sz w:val="18"/>
                <w:szCs w:val="18"/>
              </w:rPr>
            </w:pPr>
            <w:r w:rsidRPr="00406CC2">
              <w:rPr>
                <w:sz w:val="18"/>
                <w:szCs w:val="18"/>
              </w:rPr>
              <w:t>7,764</w:t>
            </w:r>
          </w:p>
        </w:tc>
        <w:tc>
          <w:tcPr>
            <w:tcW w:w="1581" w:type="dxa"/>
            <w:hideMark/>
          </w:tcPr>
          <w:p w14:paraId="5E803FE2" w14:textId="77777777" w:rsidR="001D784F" w:rsidRPr="00406CC2" w:rsidRDefault="001D784F" w:rsidP="00A32EA1">
            <w:pPr>
              <w:pStyle w:val="NormalWeb"/>
              <w:rPr>
                <w:sz w:val="18"/>
                <w:szCs w:val="18"/>
              </w:rPr>
            </w:pPr>
            <w:r w:rsidRPr="00406CC2">
              <w:rPr>
                <w:sz w:val="18"/>
                <w:szCs w:val="18"/>
              </w:rPr>
              <w:t>21,566</w:t>
            </w:r>
          </w:p>
        </w:tc>
        <w:tc>
          <w:tcPr>
            <w:tcW w:w="1581" w:type="dxa"/>
            <w:hideMark/>
          </w:tcPr>
          <w:p w14:paraId="791FBA8F" w14:textId="77777777" w:rsidR="001D784F" w:rsidRPr="00406CC2" w:rsidRDefault="001D784F" w:rsidP="00A32EA1">
            <w:pPr>
              <w:pStyle w:val="NormalWeb"/>
              <w:rPr>
                <w:sz w:val="18"/>
                <w:szCs w:val="18"/>
              </w:rPr>
            </w:pPr>
            <w:r w:rsidRPr="00406CC2">
              <w:rPr>
                <w:sz w:val="18"/>
                <w:szCs w:val="18"/>
              </w:rPr>
              <w:t>6,674</w:t>
            </w:r>
          </w:p>
        </w:tc>
        <w:tc>
          <w:tcPr>
            <w:tcW w:w="1581" w:type="dxa"/>
            <w:hideMark/>
          </w:tcPr>
          <w:p w14:paraId="5144EAA5" w14:textId="77777777" w:rsidR="001D784F" w:rsidRPr="00406CC2" w:rsidRDefault="001D784F" w:rsidP="00A32EA1">
            <w:pPr>
              <w:pStyle w:val="NormalWeb"/>
              <w:rPr>
                <w:sz w:val="18"/>
                <w:szCs w:val="18"/>
              </w:rPr>
            </w:pPr>
            <w:r w:rsidRPr="00406CC2">
              <w:rPr>
                <w:sz w:val="18"/>
                <w:szCs w:val="18"/>
              </w:rPr>
              <w:t>3,430</w:t>
            </w:r>
          </w:p>
        </w:tc>
        <w:tc>
          <w:tcPr>
            <w:tcW w:w="1581" w:type="dxa"/>
            <w:hideMark/>
          </w:tcPr>
          <w:p w14:paraId="5BEAAEF4" w14:textId="77777777" w:rsidR="001D784F" w:rsidRPr="00406CC2" w:rsidRDefault="001D784F" w:rsidP="00A32EA1">
            <w:pPr>
              <w:pStyle w:val="NormalWeb"/>
              <w:rPr>
                <w:sz w:val="18"/>
                <w:szCs w:val="18"/>
              </w:rPr>
            </w:pPr>
            <w:r w:rsidRPr="00406CC2">
              <w:rPr>
                <w:sz w:val="18"/>
                <w:szCs w:val="18"/>
              </w:rPr>
              <w:t>2,210</w:t>
            </w:r>
          </w:p>
        </w:tc>
        <w:tc>
          <w:tcPr>
            <w:tcW w:w="1582" w:type="dxa"/>
            <w:hideMark/>
          </w:tcPr>
          <w:p w14:paraId="5546BFE0" w14:textId="77777777" w:rsidR="001D784F" w:rsidRPr="00406CC2" w:rsidRDefault="001D784F" w:rsidP="00A32EA1">
            <w:pPr>
              <w:pStyle w:val="NormalWeb"/>
              <w:rPr>
                <w:sz w:val="18"/>
                <w:szCs w:val="18"/>
              </w:rPr>
            </w:pPr>
            <w:r w:rsidRPr="00406CC2">
              <w:rPr>
                <w:sz w:val="18"/>
                <w:szCs w:val="18"/>
              </w:rPr>
              <w:t>2,333</w:t>
            </w:r>
          </w:p>
        </w:tc>
      </w:tr>
      <w:tr w:rsidR="001D784F" w:rsidRPr="00406CC2" w14:paraId="162C6416" w14:textId="77777777" w:rsidTr="0028386E">
        <w:trPr>
          <w:divId w:val="1964146631"/>
        </w:trPr>
        <w:tc>
          <w:tcPr>
            <w:tcW w:w="0" w:type="auto"/>
            <w:hideMark/>
          </w:tcPr>
          <w:p w14:paraId="0EC7ACA4" w14:textId="77777777" w:rsidR="001D784F" w:rsidRPr="00406CC2" w:rsidRDefault="001D784F" w:rsidP="00A32EA1">
            <w:pPr>
              <w:pStyle w:val="NormalWeb"/>
              <w:rPr>
                <w:sz w:val="18"/>
                <w:szCs w:val="18"/>
              </w:rPr>
            </w:pPr>
            <w:r w:rsidRPr="00406CC2">
              <w:rPr>
                <w:sz w:val="18"/>
                <w:szCs w:val="18"/>
              </w:rPr>
              <w:t>78</w:t>
            </w:r>
          </w:p>
        </w:tc>
        <w:tc>
          <w:tcPr>
            <w:tcW w:w="1581" w:type="dxa"/>
            <w:hideMark/>
          </w:tcPr>
          <w:p w14:paraId="1D36BAF7" w14:textId="77777777" w:rsidR="001D784F" w:rsidRPr="00406CC2" w:rsidRDefault="001D784F" w:rsidP="00A32EA1">
            <w:pPr>
              <w:pStyle w:val="NormalWeb"/>
              <w:rPr>
                <w:sz w:val="18"/>
                <w:szCs w:val="18"/>
              </w:rPr>
            </w:pPr>
            <w:r w:rsidRPr="00406CC2">
              <w:rPr>
                <w:sz w:val="18"/>
                <w:szCs w:val="18"/>
              </w:rPr>
              <w:t>10,157</w:t>
            </w:r>
          </w:p>
        </w:tc>
        <w:tc>
          <w:tcPr>
            <w:tcW w:w="1581" w:type="dxa"/>
            <w:hideMark/>
          </w:tcPr>
          <w:p w14:paraId="57AF4FB9" w14:textId="77777777" w:rsidR="001D784F" w:rsidRPr="00406CC2" w:rsidRDefault="001D784F" w:rsidP="00A32EA1">
            <w:pPr>
              <w:pStyle w:val="NormalWeb"/>
              <w:rPr>
                <w:sz w:val="18"/>
                <w:szCs w:val="18"/>
              </w:rPr>
            </w:pPr>
            <w:r w:rsidRPr="00406CC2">
              <w:rPr>
                <w:sz w:val="18"/>
                <w:szCs w:val="18"/>
              </w:rPr>
              <w:t>22,020</w:t>
            </w:r>
          </w:p>
        </w:tc>
        <w:tc>
          <w:tcPr>
            <w:tcW w:w="1581" w:type="dxa"/>
            <w:hideMark/>
          </w:tcPr>
          <w:p w14:paraId="7B925CAC" w14:textId="77777777" w:rsidR="001D784F" w:rsidRPr="00406CC2" w:rsidRDefault="001D784F" w:rsidP="00A32EA1">
            <w:pPr>
              <w:pStyle w:val="NormalWeb"/>
              <w:rPr>
                <w:sz w:val="18"/>
                <w:szCs w:val="18"/>
              </w:rPr>
            </w:pPr>
            <w:r w:rsidRPr="00406CC2">
              <w:rPr>
                <w:sz w:val="18"/>
                <w:szCs w:val="18"/>
              </w:rPr>
              <w:t>6,807</w:t>
            </w:r>
          </w:p>
        </w:tc>
        <w:tc>
          <w:tcPr>
            <w:tcW w:w="1581" w:type="dxa"/>
            <w:hideMark/>
          </w:tcPr>
          <w:p w14:paraId="38FA24FA" w14:textId="77777777" w:rsidR="001D784F" w:rsidRPr="00406CC2" w:rsidRDefault="001D784F" w:rsidP="00A32EA1">
            <w:pPr>
              <w:pStyle w:val="NormalWeb"/>
              <w:rPr>
                <w:sz w:val="18"/>
                <w:szCs w:val="18"/>
              </w:rPr>
            </w:pPr>
            <w:r w:rsidRPr="00406CC2">
              <w:rPr>
                <w:sz w:val="18"/>
                <w:szCs w:val="18"/>
              </w:rPr>
              <w:t>3,416</w:t>
            </w:r>
          </w:p>
        </w:tc>
        <w:tc>
          <w:tcPr>
            <w:tcW w:w="1581" w:type="dxa"/>
            <w:hideMark/>
          </w:tcPr>
          <w:p w14:paraId="6F695346" w14:textId="77777777" w:rsidR="001D784F" w:rsidRPr="00406CC2" w:rsidRDefault="001D784F" w:rsidP="00A32EA1">
            <w:pPr>
              <w:pStyle w:val="NormalWeb"/>
              <w:rPr>
                <w:sz w:val="18"/>
                <w:szCs w:val="18"/>
              </w:rPr>
            </w:pPr>
            <w:r w:rsidRPr="00406CC2">
              <w:rPr>
                <w:sz w:val="18"/>
                <w:szCs w:val="18"/>
              </w:rPr>
              <w:t>2,075</w:t>
            </w:r>
          </w:p>
        </w:tc>
        <w:tc>
          <w:tcPr>
            <w:tcW w:w="1582" w:type="dxa"/>
            <w:hideMark/>
          </w:tcPr>
          <w:p w14:paraId="36AC9712" w14:textId="77777777" w:rsidR="001D784F" w:rsidRPr="00406CC2" w:rsidRDefault="001D784F" w:rsidP="00A32EA1">
            <w:pPr>
              <w:pStyle w:val="NormalWeb"/>
              <w:rPr>
                <w:sz w:val="18"/>
                <w:szCs w:val="18"/>
              </w:rPr>
            </w:pPr>
            <w:r w:rsidRPr="00406CC2">
              <w:rPr>
                <w:sz w:val="18"/>
                <w:szCs w:val="18"/>
              </w:rPr>
              <w:t>2,328</w:t>
            </w:r>
          </w:p>
        </w:tc>
      </w:tr>
      <w:tr w:rsidR="001D784F" w:rsidRPr="00406CC2" w14:paraId="56F60131" w14:textId="77777777" w:rsidTr="0028386E">
        <w:trPr>
          <w:cnfStyle w:val="000000010000" w:firstRow="0" w:lastRow="0" w:firstColumn="0" w:lastColumn="0" w:oddVBand="0" w:evenVBand="0" w:oddHBand="0" w:evenHBand="1" w:firstRowFirstColumn="0" w:firstRowLastColumn="0" w:lastRowFirstColumn="0" w:lastRowLastColumn="0"/>
          <w:divId w:val="1964146631"/>
        </w:trPr>
        <w:tc>
          <w:tcPr>
            <w:tcW w:w="0" w:type="auto"/>
            <w:hideMark/>
          </w:tcPr>
          <w:p w14:paraId="40084B9A" w14:textId="77777777" w:rsidR="001D784F" w:rsidRPr="00406CC2" w:rsidRDefault="001D784F" w:rsidP="00A32EA1">
            <w:pPr>
              <w:pStyle w:val="NormalWeb"/>
              <w:rPr>
                <w:sz w:val="18"/>
                <w:szCs w:val="18"/>
              </w:rPr>
            </w:pPr>
            <w:r w:rsidRPr="00406CC2">
              <w:rPr>
                <w:sz w:val="18"/>
                <w:szCs w:val="18"/>
              </w:rPr>
              <w:t>79</w:t>
            </w:r>
          </w:p>
        </w:tc>
        <w:tc>
          <w:tcPr>
            <w:tcW w:w="1581" w:type="dxa"/>
            <w:hideMark/>
          </w:tcPr>
          <w:p w14:paraId="194921D9" w14:textId="77777777" w:rsidR="001D784F" w:rsidRPr="00406CC2" w:rsidRDefault="001D784F" w:rsidP="00A32EA1">
            <w:pPr>
              <w:pStyle w:val="NormalWeb"/>
              <w:rPr>
                <w:sz w:val="18"/>
                <w:szCs w:val="18"/>
              </w:rPr>
            </w:pPr>
            <w:r w:rsidRPr="00406CC2">
              <w:rPr>
                <w:sz w:val="18"/>
                <w:szCs w:val="18"/>
              </w:rPr>
              <w:t>15,654</w:t>
            </w:r>
          </w:p>
        </w:tc>
        <w:tc>
          <w:tcPr>
            <w:tcW w:w="1581" w:type="dxa"/>
            <w:hideMark/>
          </w:tcPr>
          <w:p w14:paraId="25A43F93" w14:textId="77777777" w:rsidR="001D784F" w:rsidRPr="00406CC2" w:rsidRDefault="001D784F" w:rsidP="00A32EA1">
            <w:pPr>
              <w:pStyle w:val="NormalWeb"/>
              <w:rPr>
                <w:sz w:val="18"/>
                <w:szCs w:val="18"/>
              </w:rPr>
            </w:pPr>
            <w:r w:rsidRPr="00406CC2">
              <w:rPr>
                <w:sz w:val="18"/>
                <w:szCs w:val="18"/>
              </w:rPr>
              <w:t>21,068</w:t>
            </w:r>
          </w:p>
        </w:tc>
        <w:tc>
          <w:tcPr>
            <w:tcW w:w="1581" w:type="dxa"/>
            <w:hideMark/>
          </w:tcPr>
          <w:p w14:paraId="2927B7A8" w14:textId="77777777" w:rsidR="001D784F" w:rsidRPr="00406CC2" w:rsidRDefault="001D784F" w:rsidP="00A32EA1">
            <w:pPr>
              <w:pStyle w:val="NormalWeb"/>
              <w:rPr>
                <w:sz w:val="18"/>
                <w:szCs w:val="18"/>
              </w:rPr>
            </w:pPr>
            <w:r w:rsidRPr="00406CC2">
              <w:rPr>
                <w:sz w:val="18"/>
                <w:szCs w:val="18"/>
              </w:rPr>
              <w:t>7,198</w:t>
            </w:r>
          </w:p>
        </w:tc>
        <w:tc>
          <w:tcPr>
            <w:tcW w:w="1581" w:type="dxa"/>
            <w:hideMark/>
          </w:tcPr>
          <w:p w14:paraId="73BD65EB" w14:textId="77777777" w:rsidR="001D784F" w:rsidRPr="00406CC2" w:rsidRDefault="001D784F" w:rsidP="00A32EA1">
            <w:pPr>
              <w:pStyle w:val="NormalWeb"/>
              <w:rPr>
                <w:sz w:val="18"/>
                <w:szCs w:val="18"/>
              </w:rPr>
            </w:pPr>
            <w:r w:rsidRPr="00406CC2">
              <w:rPr>
                <w:sz w:val="18"/>
                <w:szCs w:val="18"/>
              </w:rPr>
              <w:t>4,091</w:t>
            </w:r>
          </w:p>
        </w:tc>
        <w:tc>
          <w:tcPr>
            <w:tcW w:w="1581" w:type="dxa"/>
            <w:hideMark/>
          </w:tcPr>
          <w:p w14:paraId="43FBE9EC" w14:textId="77777777" w:rsidR="001D784F" w:rsidRPr="00406CC2" w:rsidRDefault="001D784F" w:rsidP="00A32EA1">
            <w:pPr>
              <w:pStyle w:val="NormalWeb"/>
              <w:rPr>
                <w:sz w:val="18"/>
                <w:szCs w:val="18"/>
              </w:rPr>
            </w:pPr>
            <w:r w:rsidRPr="00406CC2">
              <w:rPr>
                <w:sz w:val="18"/>
                <w:szCs w:val="18"/>
              </w:rPr>
              <w:t>2,304</w:t>
            </w:r>
          </w:p>
        </w:tc>
        <w:tc>
          <w:tcPr>
            <w:tcW w:w="1582" w:type="dxa"/>
            <w:hideMark/>
          </w:tcPr>
          <w:p w14:paraId="3249DED3" w14:textId="77777777" w:rsidR="001D784F" w:rsidRPr="00406CC2" w:rsidRDefault="001D784F" w:rsidP="00A32EA1">
            <w:pPr>
              <w:pStyle w:val="NormalWeb"/>
              <w:rPr>
                <w:sz w:val="18"/>
                <w:szCs w:val="18"/>
              </w:rPr>
            </w:pPr>
            <w:r w:rsidRPr="00406CC2">
              <w:rPr>
                <w:sz w:val="18"/>
                <w:szCs w:val="18"/>
              </w:rPr>
              <w:t>2,484</w:t>
            </w:r>
          </w:p>
        </w:tc>
      </w:tr>
    </w:tbl>
    <w:p w14:paraId="24725F43" w14:textId="77777777" w:rsidR="007B1DD6" w:rsidRDefault="007B1DD6" w:rsidP="00F46060">
      <w:pPr>
        <w:divId w:val="1964146631"/>
      </w:pPr>
    </w:p>
    <w:p w14:paraId="3857E188" w14:textId="3096CE3A" w:rsidR="00F46060" w:rsidRDefault="00F46060" w:rsidP="00F46060">
      <w:pPr>
        <w:divId w:val="1964146631"/>
      </w:pPr>
      <w:r>
        <w:t xml:space="preserve">AIR data </w:t>
      </w:r>
      <w:proofErr w:type="gramStart"/>
      <w:r>
        <w:t>indicated</w:t>
      </w:r>
      <w:proofErr w:type="gramEnd"/>
      <w:r>
        <w:t xml:space="preserve"> most persons only received one HZ vaccine dose (n = 296,174), with 294,027 receiving a single Zostavax, and 2,147 receiving a single Shingrix. Of those who received multiple HZ vaccine doses (n = 6,493), the most common combination was two doses of Zostavax (n = 5,545), with other combinations far less frequent: two doses of Shingrix (n = 566), Zostavax followed by Shingrix (n = 258), Zostavax followed by two doses of Shingrix (n = 59), and three doses of Zostavax (n = 54). Other dose combinations, while reported, accounted for less than 0.2% of recipients (11/6,493). Of the 3,041 who received Shingrix, 1,595 were eligible to receive a second dose during the study period (first dose received more than two months before study conclusion), and 627 (39.3%) </w:t>
      </w:r>
      <w:proofErr w:type="gramStart"/>
      <w:r>
        <w:t>were fully vaccinated</w:t>
      </w:r>
      <w:proofErr w:type="gramEnd"/>
      <w:r>
        <w:t xml:space="preserve">. The recommended time interval between Shingrix doses is two to six months. The median time interval between doses was 70 days (IQR: 63–84 days). </w:t>
      </w:r>
    </w:p>
    <w:p w14:paraId="1E73DD80" w14:textId="77777777" w:rsidR="00F46060" w:rsidRDefault="00F46060" w:rsidP="00F46060">
      <w:pPr>
        <w:divId w:val="1964146631"/>
      </w:pPr>
      <w:r>
        <w:t xml:space="preserve">Internal vaccine distribution data, for vaccines intended for use by the NIP-eligible population, </w:t>
      </w:r>
      <w:proofErr w:type="gramStart"/>
      <w:r>
        <w:t>were compared</w:t>
      </w:r>
      <w:proofErr w:type="gramEnd"/>
      <w:r>
        <w:t xml:space="preserve"> with AIR vaccination data. Across 2016 and 2017, </w:t>
      </w:r>
      <w:proofErr w:type="gramStart"/>
      <w:r>
        <w:t>approximately double</w:t>
      </w:r>
      <w:proofErr w:type="gramEnd"/>
      <w:r>
        <w:t xml:space="preserve"> the number of herpes zoster doses recorded in AIR (n = 276,159) were distributed across Victoria (n = 525,035). However, the discrepancies between these two datasets have narrowed in </w:t>
      </w:r>
      <w:proofErr w:type="gramStart"/>
      <w:r>
        <w:t>subsequent</w:t>
      </w:r>
      <w:proofErr w:type="gramEnd"/>
      <w:r>
        <w:t xml:space="preserve"> years (2018 to 2021).</w:t>
      </w:r>
    </w:p>
    <w:p w14:paraId="20FC1A4E" w14:textId="77777777" w:rsidR="009A3E80" w:rsidRPr="00406CC2" w:rsidRDefault="009A3E80" w:rsidP="009A3E80">
      <w:pPr>
        <w:pStyle w:val="CDIFigures"/>
        <w:divId w:val="1964146631"/>
      </w:pPr>
      <w:r w:rsidRPr="00406CC2">
        <w:rPr>
          <w:rStyle w:val="Strong"/>
          <w:b/>
          <w:bCs w:val="0"/>
        </w:rPr>
        <w:t>Figure 1: Age-specific rates of HZ vaccinations aged 60 years and over by 5-year age groups, Victoria, Australia 2016–2021</w:t>
      </w:r>
    </w:p>
    <w:p w14:paraId="0289D8D0" w14:textId="77777777" w:rsidR="009A3E80" w:rsidRDefault="009A3E80" w:rsidP="009A3E80">
      <w:pPr>
        <w:pStyle w:val="CDIfootnotes"/>
        <w:divId w:val="1964146631"/>
        <w:rPr>
          <w:lang w:val="en-GB"/>
        </w:rPr>
      </w:pPr>
      <w:r>
        <w:rPr>
          <w:lang w:val="en-GB"/>
        </w:rPr>
        <w:t>A: NIP-eligible age groups, ages 70–79 years</w:t>
      </w:r>
    </w:p>
    <w:p w14:paraId="7D4F590F" w14:textId="77777777" w:rsidR="009A3E80" w:rsidRDefault="009A3E80" w:rsidP="009A3E80">
      <w:pPr>
        <w:divId w:val="1964146631"/>
        <w:rPr>
          <w:rFonts w:eastAsia="Times New Roman"/>
          <w:lang w:val="en-GB"/>
        </w:rPr>
      </w:pPr>
      <w:r>
        <w:rPr>
          <w:rFonts w:eastAsia="Times New Roman"/>
          <w:noProof/>
          <w:lang w:val="en-GB"/>
        </w:rPr>
        <w:drawing>
          <wp:inline distT="0" distB="0" distL="0" distR="0" wp14:anchorId="5676AC91" wp14:editId="7D027CE0">
            <wp:extent cx="5825324" cy="3771543"/>
            <wp:effectExtent l="0" t="0" r="0" b="635"/>
            <wp:docPr id="7" name="Picture 7" descr="Figure 1 presents two line charts showing the annual age-specific herpes zoster vaccination rates for Victorians aged ≥60 years by five-year age groups, from 2016 to 2021. Figure 1A presents data for the 70 – 74 and 75 – 79 year age groups, who are eligible for funded vaccination, and Figure 1B presents data for the 60 – 64, 65 – 69, 80 – 84, and 85+ year age groups, who are recommended to be vaccinated but are not eligible to receive funded vaccination. Vaccination rates rapidly rise from 2016 to 2017 across all age groups, and peak in 2017. Vaccination rates subsequently decline to a trough in 2020 among all age groups. Vaccination rates are consistently much higher (approximately 20-fold higher) among the 70 – 74 and 75 – 79 year age groups compared to the other investigated age groups, with the 70 – 74 year age group having the highest vaccination rate from 2017 to 202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presents two line charts showing the annual age-specific herpes zoster vaccination rates for Victorians aged ≥60 years by five-year age groups, from 2016 to 2021. Figure 1A presents data for the 70 – 74 and 75 – 79 year age groups, who are eligible for funded vaccination, and Figure 1B presents data for the 60 – 64, 65 – 69, 80 – 84, and 85+ year age groups, who are recommended to be vaccinated but are not eligible to receive funded vaccination. Vaccination rates rapidly rise from 2016 to 2017 across all age groups, and peak in 2017. Vaccination rates subsequently decline to a trough in 2020 among all age groups. Vaccination rates are consistently much higher (approximately 20-fold higher) among the 70 – 74 and 75 – 79 year age groups compared to the other investigated age groups, with the 70 – 74 year age group having the highest vaccination rate from 2017 to 2021. "/>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848119" cy="3786301"/>
                    </a:xfrm>
                    <a:prstGeom prst="rect">
                      <a:avLst/>
                    </a:prstGeom>
                  </pic:spPr>
                </pic:pic>
              </a:graphicData>
            </a:graphic>
          </wp:inline>
        </w:drawing>
      </w:r>
    </w:p>
    <w:p w14:paraId="681888D0" w14:textId="77777777" w:rsidR="009A3E80" w:rsidRDefault="009A3E80" w:rsidP="009A3E80">
      <w:pPr>
        <w:divId w:val="1964146631"/>
        <w:rPr>
          <w:lang w:val="en-GB"/>
        </w:rPr>
      </w:pPr>
      <w:r>
        <w:rPr>
          <w:lang w:val="en-GB"/>
        </w:rPr>
        <w:t>B: NIP-ineligible age groups, ages 60–69 and 80+ years</w:t>
      </w:r>
    </w:p>
    <w:p w14:paraId="104587C8" w14:textId="77777777" w:rsidR="009A3E80" w:rsidRDefault="009A3E80" w:rsidP="009A3E80">
      <w:pPr>
        <w:divId w:val="1964146631"/>
        <w:rPr>
          <w:rFonts w:eastAsia="Times New Roman"/>
          <w:lang w:val="en-GB"/>
        </w:rPr>
      </w:pPr>
      <w:r>
        <w:rPr>
          <w:rFonts w:eastAsia="Times New Roman"/>
          <w:noProof/>
          <w:lang w:val="en-GB"/>
        </w:rPr>
        <w:drawing>
          <wp:inline distT="0" distB="0" distL="0" distR="0" wp14:anchorId="6DD41DFC" wp14:editId="642D12DB">
            <wp:extent cx="5596724" cy="3660281"/>
            <wp:effectExtent l="0" t="0" r="444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612749" cy="3670762"/>
                    </a:xfrm>
                    <a:prstGeom prst="rect">
                      <a:avLst/>
                    </a:prstGeom>
                  </pic:spPr>
                </pic:pic>
              </a:graphicData>
            </a:graphic>
          </wp:inline>
        </w:drawing>
      </w:r>
    </w:p>
    <w:p w14:paraId="5E0528BA" w14:textId="0F95881F" w:rsidR="00F46060" w:rsidRPr="00F46060" w:rsidRDefault="00F46060" w:rsidP="00F46060">
      <w:pPr>
        <w:pStyle w:val="Heading1"/>
        <w:divId w:val="1964146631"/>
      </w:pPr>
      <w:r w:rsidRPr="00F46060">
        <w:t xml:space="preserve">Case notifications </w:t>
      </w:r>
    </w:p>
    <w:p w14:paraId="06F84E60" w14:textId="77777777" w:rsidR="00F46060" w:rsidRDefault="00F46060" w:rsidP="00F46060">
      <w:pPr>
        <w:divId w:val="1964146631"/>
      </w:pPr>
      <w:r>
        <w:t xml:space="preserve">There were 29,109 cases notified over the period (Table 1): 27.4% (7,985/29,109) were ‘varicella herpes zoster’ and 72.6% (21,124/29,109) were ‘varicella unspecified’. Age-standardised rates showed females had a slightly higher average notification incidence rate (NIR) than males, 239.0 compared with 202.7 per 100,000 population over the study period. </w:t>
      </w:r>
    </w:p>
    <w:p w14:paraId="7EE37471" w14:textId="77777777" w:rsidR="00F46060" w:rsidRDefault="00F46060" w:rsidP="00F46060">
      <w:pPr>
        <w:divId w:val="1964146631"/>
      </w:pPr>
      <w:r>
        <w:t xml:space="preserve">Annual crude NIRs increased between 2012 and 2021 from 139.4 to 293.4 per 100,000 per year (Table 2). Age-specific NIRs steadily increased among most age groups under investigation and were highest amongst adults aged 85+ years (Figure 2). However, NIRs for the 70–74 and 75–79 years age groups both declined between 2016 and 2018, from 242.2 to 205.9 per 100,000 population per year and from 237.2 to 198.8 per 100,000 population per year </w:t>
      </w:r>
      <w:proofErr w:type="gramStart"/>
      <w:r>
        <w:t>respectively, and</w:t>
      </w:r>
      <w:proofErr w:type="gramEnd"/>
      <w:r>
        <w:t xml:space="preserve"> remained below 2016 levels before rising and peaking in 2021 (Figure 2). When comparing NIRs between the pre-NSVP and post-NSVP periods, there was a statistically significant increase in zoster notifications post-NSVP in all age groups (</w:t>
      </w:r>
      <w:r w:rsidRPr="00BB363F">
        <w:rPr>
          <w:rStyle w:val="Emphasis"/>
          <w:b w:val="0"/>
          <w:bCs w:val="0"/>
        </w:rPr>
        <w:t>p</w:t>
      </w:r>
      <w:r>
        <w:t xml:space="preserve"> &lt; 0.001) (Table 4). </w:t>
      </w:r>
    </w:p>
    <w:p w14:paraId="76F6FC66" w14:textId="58855B55" w:rsidR="00F46060" w:rsidRDefault="00F46060" w:rsidP="00F46060">
      <w:pPr>
        <w:divId w:val="1964146631"/>
      </w:pPr>
      <w:r>
        <w:t>The total number of HZ tests performed in Victoria rose between 2012 and 2021, with a peak in testing occurring in 2019 (Figure 3). The crude test positivity also rose during this period.</w:t>
      </w:r>
    </w:p>
    <w:p w14:paraId="7C3DBDE0" w14:textId="77777777" w:rsidR="00F46060" w:rsidRPr="00F46060" w:rsidRDefault="00F46060" w:rsidP="00F46060">
      <w:pPr>
        <w:pStyle w:val="Heading2"/>
        <w:divId w:val="1964146631"/>
      </w:pPr>
      <w:r w:rsidRPr="00F46060">
        <w:t xml:space="preserve">Emergency department presentations </w:t>
      </w:r>
    </w:p>
    <w:p w14:paraId="67AA3F12" w14:textId="77777777" w:rsidR="00F46060" w:rsidRDefault="00F46060" w:rsidP="00F46060">
      <w:pPr>
        <w:divId w:val="1964146631"/>
      </w:pPr>
      <w:r>
        <w:t xml:space="preserve">There were 11,825 HZ-related ED presentations recorded, of which 11,010 (93.1%) </w:t>
      </w:r>
      <w:proofErr w:type="gramStart"/>
      <w:r>
        <w:t>were coded</w:t>
      </w:r>
      <w:proofErr w:type="gramEnd"/>
      <w:r>
        <w:t xml:space="preserve"> as presenting due to HZ (primary illness) (Table 1). Age-standardised rates comparing sex were similar for females and males, respectively at 84.7 and 87.3 per 100,000 population over the study period. </w:t>
      </w:r>
    </w:p>
    <w:p w14:paraId="094289C2" w14:textId="77777777" w:rsidR="00F46060" w:rsidRDefault="00F46060" w:rsidP="00F46060">
      <w:pPr>
        <w:divId w:val="1964146631"/>
      </w:pPr>
      <w:r>
        <w:t xml:space="preserve">Crude ED rates remained consistent over the study period (Table 2), with age-specific ED rates declining among the 70–74, 75–79 and 80–84 years age groups but increasing among the 60–64 and 65–69 years age groups (Figure 4). Incidence rate ratios comparing the pre-NSVP to the post-NSVP period showed statistically significant decreases for the 70–74 and 75–79 years age groups, and statistically significant increases for the 60–64 and 65–69 years age groups (Table 4). </w:t>
      </w:r>
    </w:p>
    <w:p w14:paraId="419E2FDB" w14:textId="77777777" w:rsidR="00417635" w:rsidRDefault="00417635">
      <w:pPr>
        <w:rPr>
          <w:rFonts w:asciiTheme="majorHAnsi" w:eastAsiaTheme="majorEastAsia" w:hAnsiTheme="majorHAnsi" w:cstheme="majorBidi"/>
          <w:b/>
          <w:bCs/>
          <w:sz w:val="32"/>
          <w:szCs w:val="28"/>
        </w:rPr>
      </w:pPr>
      <w:r>
        <w:br w:type="page"/>
      </w:r>
    </w:p>
    <w:p w14:paraId="78988491" w14:textId="4743790E" w:rsidR="008A7AE0" w:rsidRPr="00D269AF" w:rsidRDefault="008A7AE0" w:rsidP="008A7AE0">
      <w:pPr>
        <w:pStyle w:val="CDIFigures"/>
        <w:divId w:val="1964146631"/>
      </w:pPr>
      <w:r w:rsidRPr="00D269AF">
        <w:rPr>
          <w:rStyle w:val="Strong"/>
          <w:b/>
          <w:bCs w:val="0"/>
        </w:rPr>
        <w:t>Table 4: Rates and incidence rate ratios comparing prior to and following implementation of the National Shingles Vaccination Program (NSVP) for cases, emergency department presentations and hospitalisations by five-year age</w:t>
      </w:r>
      <w:r>
        <w:rPr>
          <w:rStyle w:val="Strong"/>
          <w:b/>
          <w:bCs w:val="0"/>
        </w:rPr>
        <w:t> </w:t>
      </w:r>
      <w:proofErr w:type="gramStart"/>
      <w:r w:rsidRPr="00D269AF">
        <w:rPr>
          <w:rStyle w:val="Strong"/>
          <w:b/>
          <w:bCs w:val="0"/>
        </w:rPr>
        <w:t>groups</w:t>
      </w:r>
      <w:proofErr w:type="gramEnd"/>
    </w:p>
    <w:tbl>
      <w:tblPr>
        <w:tblStyle w:val="CDI-StandardTable"/>
        <w:tblW w:w="0" w:type="auto"/>
        <w:tblLook w:val="04A0" w:firstRow="1" w:lastRow="0" w:firstColumn="1" w:lastColumn="0" w:noHBand="0" w:noVBand="1"/>
        <w:tblDescription w:val="Table 4 shows incidence rates for herpes zoster case notifications, emergency department presentations and hospitalisations comparing the period prior to implementation of the National Shingles Vaccination Program (January 2012 to October 2016) to the period following implementation of the National Shingles Vaccination Program (November 2016 to December 2021), for Victorian adults ≥60 years by five-year age groups. Incidence rate ratios are calculated with 95% confidence intervals and p-values presented.&#10;"/>
      </w:tblPr>
      <w:tblGrid>
        <w:gridCol w:w="1423"/>
        <w:gridCol w:w="1433"/>
        <w:gridCol w:w="2078"/>
        <w:gridCol w:w="2154"/>
        <w:gridCol w:w="1056"/>
        <w:gridCol w:w="1056"/>
        <w:gridCol w:w="1057"/>
      </w:tblGrid>
      <w:tr w:rsidR="008A7AE0" w:rsidRPr="00406CC2" w14:paraId="59433A5B" w14:textId="77777777" w:rsidTr="008A7AE0">
        <w:trPr>
          <w:cnfStyle w:val="100000000000" w:firstRow="1" w:lastRow="0" w:firstColumn="0" w:lastColumn="0" w:oddVBand="0" w:evenVBand="0" w:oddHBand="0" w:evenHBand="0" w:firstRowFirstColumn="0" w:firstRowLastColumn="0" w:lastRowFirstColumn="0" w:lastRowLastColumn="0"/>
          <w:divId w:val="1964146631"/>
          <w:tblHeader/>
        </w:trPr>
        <w:tc>
          <w:tcPr>
            <w:tcW w:w="0" w:type="auto"/>
            <w:vMerge w:val="restart"/>
            <w:hideMark/>
          </w:tcPr>
          <w:p w14:paraId="0E22AD88" w14:textId="77777777" w:rsidR="008A7AE0" w:rsidRPr="00406CC2" w:rsidRDefault="008A7AE0" w:rsidP="00A32EA1">
            <w:pPr>
              <w:pStyle w:val="NormalWeb"/>
              <w:rPr>
                <w:sz w:val="18"/>
                <w:szCs w:val="18"/>
              </w:rPr>
            </w:pPr>
            <w:r w:rsidRPr="00406CC2">
              <w:rPr>
                <w:sz w:val="18"/>
                <w:szCs w:val="18"/>
              </w:rPr>
              <w:t>Category</w:t>
            </w:r>
          </w:p>
        </w:tc>
        <w:tc>
          <w:tcPr>
            <w:tcW w:w="0" w:type="auto"/>
            <w:vMerge w:val="restart"/>
            <w:hideMark/>
          </w:tcPr>
          <w:p w14:paraId="636801D0" w14:textId="77777777" w:rsidR="008A7AE0" w:rsidRPr="00406CC2" w:rsidRDefault="008A7AE0" w:rsidP="00A32EA1">
            <w:pPr>
              <w:pStyle w:val="NormalWeb"/>
              <w:rPr>
                <w:sz w:val="18"/>
                <w:szCs w:val="18"/>
              </w:rPr>
            </w:pPr>
            <w:r w:rsidRPr="00406CC2">
              <w:rPr>
                <w:sz w:val="18"/>
                <w:szCs w:val="18"/>
              </w:rPr>
              <w:t>Age group (years)</w:t>
            </w:r>
          </w:p>
        </w:tc>
        <w:tc>
          <w:tcPr>
            <w:tcW w:w="0" w:type="auto"/>
            <w:vMerge w:val="restart"/>
            <w:hideMark/>
          </w:tcPr>
          <w:p w14:paraId="281A6660" w14:textId="77777777" w:rsidR="008A7AE0" w:rsidRPr="00406CC2" w:rsidRDefault="008A7AE0" w:rsidP="00A32EA1">
            <w:pPr>
              <w:pStyle w:val="NormalWeb"/>
              <w:rPr>
                <w:sz w:val="18"/>
                <w:szCs w:val="18"/>
              </w:rPr>
            </w:pPr>
            <w:r w:rsidRPr="00406CC2">
              <w:rPr>
                <w:sz w:val="18"/>
                <w:szCs w:val="18"/>
              </w:rPr>
              <w:t xml:space="preserve">Pre-NSVP incidence </w:t>
            </w:r>
            <w:proofErr w:type="spellStart"/>
            <w:proofErr w:type="gramStart"/>
            <w:r w:rsidRPr="00406CC2">
              <w:rPr>
                <w:sz w:val="18"/>
                <w:szCs w:val="18"/>
              </w:rPr>
              <w:t>rate</w:t>
            </w:r>
            <w:r w:rsidRPr="00EB222C">
              <w:rPr>
                <w:sz w:val="18"/>
                <w:szCs w:val="18"/>
                <w:vertAlign w:val="superscript"/>
              </w:rPr>
              <w:t>a,b</w:t>
            </w:r>
            <w:proofErr w:type="spellEnd"/>
            <w:proofErr w:type="gramEnd"/>
          </w:p>
        </w:tc>
        <w:tc>
          <w:tcPr>
            <w:tcW w:w="0" w:type="auto"/>
            <w:vMerge w:val="restart"/>
            <w:hideMark/>
          </w:tcPr>
          <w:p w14:paraId="17D6343D" w14:textId="77777777" w:rsidR="008A7AE0" w:rsidRPr="00406CC2" w:rsidRDefault="008A7AE0" w:rsidP="00A32EA1">
            <w:pPr>
              <w:pStyle w:val="NormalWeb"/>
              <w:rPr>
                <w:sz w:val="18"/>
                <w:szCs w:val="18"/>
              </w:rPr>
            </w:pPr>
            <w:r w:rsidRPr="00406CC2">
              <w:rPr>
                <w:sz w:val="18"/>
                <w:szCs w:val="18"/>
              </w:rPr>
              <w:t xml:space="preserve">Post-NSVP incidence </w:t>
            </w:r>
            <w:proofErr w:type="spellStart"/>
            <w:proofErr w:type="gramStart"/>
            <w:r w:rsidRPr="00406CC2">
              <w:rPr>
                <w:sz w:val="18"/>
                <w:szCs w:val="18"/>
              </w:rPr>
              <w:t>rate</w:t>
            </w:r>
            <w:r w:rsidRPr="00EB222C">
              <w:rPr>
                <w:sz w:val="18"/>
                <w:szCs w:val="18"/>
                <w:vertAlign w:val="superscript"/>
              </w:rPr>
              <w:t>a,b</w:t>
            </w:r>
            <w:proofErr w:type="spellEnd"/>
            <w:proofErr w:type="gramEnd"/>
          </w:p>
        </w:tc>
        <w:tc>
          <w:tcPr>
            <w:tcW w:w="3169" w:type="dxa"/>
            <w:gridSpan w:val="3"/>
            <w:hideMark/>
          </w:tcPr>
          <w:p w14:paraId="0F9EC6F4" w14:textId="77777777" w:rsidR="008A7AE0" w:rsidRPr="00406CC2" w:rsidRDefault="008A7AE0" w:rsidP="00A32EA1">
            <w:pPr>
              <w:pStyle w:val="NormalWeb"/>
              <w:rPr>
                <w:sz w:val="18"/>
                <w:szCs w:val="18"/>
              </w:rPr>
            </w:pPr>
            <w:r w:rsidRPr="00406CC2">
              <w:rPr>
                <w:sz w:val="18"/>
                <w:szCs w:val="18"/>
              </w:rPr>
              <w:t>Comparison</w:t>
            </w:r>
          </w:p>
        </w:tc>
      </w:tr>
      <w:tr w:rsidR="008A7AE0" w:rsidRPr="00406CC2" w14:paraId="3CD19D56" w14:textId="77777777" w:rsidTr="008A7AE0">
        <w:trPr>
          <w:cnfStyle w:val="100000000000" w:firstRow="1" w:lastRow="0" w:firstColumn="0" w:lastColumn="0" w:oddVBand="0" w:evenVBand="0" w:oddHBand="0" w:evenHBand="0" w:firstRowFirstColumn="0" w:firstRowLastColumn="0" w:lastRowFirstColumn="0" w:lastRowLastColumn="0"/>
          <w:divId w:val="1964146631"/>
          <w:tblHeader/>
        </w:trPr>
        <w:tc>
          <w:tcPr>
            <w:tcW w:w="0" w:type="auto"/>
            <w:vMerge/>
            <w:tcBorders>
              <w:bottom w:val="single" w:sz="4" w:space="0" w:color="808080" w:themeColor="background1" w:themeShade="80"/>
            </w:tcBorders>
            <w:hideMark/>
          </w:tcPr>
          <w:p w14:paraId="0322AC59" w14:textId="77777777" w:rsidR="008A7AE0" w:rsidRPr="00406CC2" w:rsidRDefault="008A7AE0" w:rsidP="00A32EA1">
            <w:pPr>
              <w:rPr>
                <w:sz w:val="18"/>
                <w:szCs w:val="18"/>
              </w:rPr>
            </w:pPr>
          </w:p>
        </w:tc>
        <w:tc>
          <w:tcPr>
            <w:tcW w:w="0" w:type="auto"/>
            <w:vMerge/>
            <w:tcBorders>
              <w:bottom w:val="single" w:sz="4" w:space="0" w:color="808080" w:themeColor="background1" w:themeShade="80"/>
            </w:tcBorders>
            <w:hideMark/>
          </w:tcPr>
          <w:p w14:paraId="643A8C66" w14:textId="77777777" w:rsidR="008A7AE0" w:rsidRPr="00406CC2" w:rsidRDefault="008A7AE0" w:rsidP="00A32EA1">
            <w:pPr>
              <w:rPr>
                <w:sz w:val="18"/>
                <w:szCs w:val="18"/>
              </w:rPr>
            </w:pPr>
          </w:p>
        </w:tc>
        <w:tc>
          <w:tcPr>
            <w:tcW w:w="0" w:type="auto"/>
            <w:vMerge/>
            <w:tcBorders>
              <w:bottom w:val="single" w:sz="4" w:space="0" w:color="808080" w:themeColor="background1" w:themeShade="80"/>
            </w:tcBorders>
            <w:hideMark/>
          </w:tcPr>
          <w:p w14:paraId="35291C7E" w14:textId="77777777" w:rsidR="008A7AE0" w:rsidRPr="00406CC2" w:rsidRDefault="008A7AE0" w:rsidP="00A32EA1">
            <w:pPr>
              <w:rPr>
                <w:sz w:val="18"/>
                <w:szCs w:val="18"/>
              </w:rPr>
            </w:pPr>
          </w:p>
        </w:tc>
        <w:tc>
          <w:tcPr>
            <w:tcW w:w="0" w:type="auto"/>
            <w:vMerge/>
            <w:tcBorders>
              <w:bottom w:val="single" w:sz="4" w:space="0" w:color="808080" w:themeColor="background1" w:themeShade="80"/>
            </w:tcBorders>
            <w:hideMark/>
          </w:tcPr>
          <w:p w14:paraId="0536ECC9" w14:textId="77777777" w:rsidR="008A7AE0" w:rsidRPr="00406CC2" w:rsidRDefault="008A7AE0" w:rsidP="00A32EA1">
            <w:pPr>
              <w:rPr>
                <w:sz w:val="18"/>
                <w:szCs w:val="18"/>
              </w:rPr>
            </w:pPr>
          </w:p>
        </w:tc>
        <w:tc>
          <w:tcPr>
            <w:tcW w:w="1056" w:type="dxa"/>
            <w:tcBorders>
              <w:bottom w:val="single" w:sz="4" w:space="0" w:color="808080" w:themeColor="background1" w:themeShade="80"/>
            </w:tcBorders>
            <w:hideMark/>
          </w:tcPr>
          <w:p w14:paraId="27269AC9" w14:textId="77777777" w:rsidR="008A7AE0" w:rsidRPr="00406CC2" w:rsidRDefault="008A7AE0" w:rsidP="00A32EA1">
            <w:pPr>
              <w:pStyle w:val="NormalWeb"/>
              <w:rPr>
                <w:sz w:val="18"/>
                <w:szCs w:val="18"/>
              </w:rPr>
            </w:pPr>
            <w:proofErr w:type="spellStart"/>
            <w:r w:rsidRPr="00406CC2">
              <w:rPr>
                <w:sz w:val="18"/>
                <w:szCs w:val="18"/>
              </w:rPr>
              <w:t>IRR</w:t>
            </w:r>
            <w:r w:rsidRPr="00EB222C">
              <w:rPr>
                <w:sz w:val="18"/>
                <w:szCs w:val="18"/>
                <w:vertAlign w:val="superscript"/>
              </w:rPr>
              <w:t>c</w:t>
            </w:r>
            <w:proofErr w:type="spellEnd"/>
          </w:p>
        </w:tc>
        <w:tc>
          <w:tcPr>
            <w:tcW w:w="1056" w:type="dxa"/>
            <w:tcBorders>
              <w:bottom w:val="single" w:sz="4" w:space="0" w:color="808080" w:themeColor="background1" w:themeShade="80"/>
            </w:tcBorders>
            <w:hideMark/>
          </w:tcPr>
          <w:p w14:paraId="0F0CDA9A" w14:textId="77777777" w:rsidR="008A7AE0" w:rsidRPr="00406CC2" w:rsidRDefault="008A7AE0" w:rsidP="00A32EA1">
            <w:pPr>
              <w:pStyle w:val="NormalWeb"/>
              <w:rPr>
                <w:sz w:val="18"/>
                <w:szCs w:val="18"/>
              </w:rPr>
            </w:pPr>
            <w:proofErr w:type="gramStart"/>
            <w:r w:rsidRPr="00406CC2">
              <w:rPr>
                <w:sz w:val="18"/>
                <w:szCs w:val="18"/>
              </w:rPr>
              <w:t>95%</w:t>
            </w:r>
            <w:proofErr w:type="gramEnd"/>
            <w:r w:rsidRPr="00406CC2">
              <w:rPr>
                <w:sz w:val="18"/>
                <w:szCs w:val="18"/>
              </w:rPr>
              <w:t xml:space="preserve"> </w:t>
            </w:r>
            <w:proofErr w:type="spellStart"/>
            <w:r w:rsidRPr="00406CC2">
              <w:rPr>
                <w:sz w:val="18"/>
                <w:szCs w:val="18"/>
              </w:rPr>
              <w:t>CI</w:t>
            </w:r>
            <w:r w:rsidRPr="00EB222C">
              <w:rPr>
                <w:sz w:val="18"/>
                <w:szCs w:val="18"/>
                <w:vertAlign w:val="superscript"/>
              </w:rPr>
              <w:t>d</w:t>
            </w:r>
            <w:proofErr w:type="spellEnd"/>
          </w:p>
        </w:tc>
        <w:tc>
          <w:tcPr>
            <w:tcW w:w="1057" w:type="dxa"/>
            <w:tcBorders>
              <w:bottom w:val="single" w:sz="4" w:space="0" w:color="808080" w:themeColor="background1" w:themeShade="80"/>
            </w:tcBorders>
            <w:hideMark/>
          </w:tcPr>
          <w:p w14:paraId="7B2B07A7" w14:textId="77777777" w:rsidR="008A7AE0" w:rsidRPr="00406CC2" w:rsidRDefault="008A7AE0" w:rsidP="00A32EA1">
            <w:pPr>
              <w:pStyle w:val="NormalWeb"/>
              <w:rPr>
                <w:sz w:val="18"/>
                <w:szCs w:val="18"/>
              </w:rPr>
            </w:pPr>
            <w:r w:rsidRPr="00EB222C">
              <w:rPr>
                <w:i/>
                <w:iCs/>
                <w:sz w:val="18"/>
                <w:szCs w:val="18"/>
              </w:rPr>
              <w:t>p</w:t>
            </w:r>
            <w:r w:rsidRPr="00406CC2">
              <w:rPr>
                <w:sz w:val="18"/>
                <w:szCs w:val="18"/>
              </w:rPr>
              <w:t xml:space="preserve"> value</w:t>
            </w:r>
          </w:p>
        </w:tc>
      </w:tr>
      <w:tr w:rsidR="008A7AE0" w:rsidRPr="00406CC2" w14:paraId="47F800D0" w14:textId="77777777" w:rsidTr="008A7AE0">
        <w:trPr>
          <w:divId w:val="1964146631"/>
        </w:trPr>
        <w:tc>
          <w:tcPr>
            <w:tcW w:w="0" w:type="auto"/>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08DB5E5" w14:textId="77777777" w:rsidR="008A7AE0" w:rsidRPr="00406CC2" w:rsidRDefault="008A7AE0" w:rsidP="00A32EA1">
            <w:pPr>
              <w:pStyle w:val="NormalWeb"/>
              <w:rPr>
                <w:sz w:val="18"/>
                <w:szCs w:val="18"/>
              </w:rPr>
            </w:pPr>
            <w:r w:rsidRPr="00406CC2">
              <w:rPr>
                <w:sz w:val="18"/>
                <w:szCs w:val="18"/>
              </w:rPr>
              <w:t>Case notifications</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788013C" w14:textId="77777777" w:rsidR="008A7AE0" w:rsidRPr="00406CC2" w:rsidRDefault="008A7AE0" w:rsidP="00A32EA1">
            <w:pPr>
              <w:pStyle w:val="NormalWeb"/>
              <w:rPr>
                <w:sz w:val="18"/>
                <w:szCs w:val="18"/>
              </w:rPr>
            </w:pPr>
            <w:r w:rsidRPr="00406CC2">
              <w:rPr>
                <w:sz w:val="18"/>
                <w:szCs w:val="18"/>
              </w:rPr>
              <w:t>60–64</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7A43BFA" w14:textId="77777777" w:rsidR="008A7AE0" w:rsidRPr="00406CC2" w:rsidRDefault="008A7AE0" w:rsidP="00A32EA1">
            <w:pPr>
              <w:pStyle w:val="NormalWeb"/>
              <w:rPr>
                <w:sz w:val="18"/>
                <w:szCs w:val="18"/>
              </w:rPr>
            </w:pPr>
            <w:r w:rsidRPr="00406CC2">
              <w:rPr>
                <w:sz w:val="18"/>
                <w:szCs w:val="18"/>
              </w:rPr>
              <w:t>155.9</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29DD637" w14:textId="77777777" w:rsidR="008A7AE0" w:rsidRPr="00406CC2" w:rsidRDefault="008A7AE0" w:rsidP="00A32EA1">
            <w:pPr>
              <w:pStyle w:val="NormalWeb"/>
              <w:rPr>
                <w:sz w:val="18"/>
                <w:szCs w:val="18"/>
              </w:rPr>
            </w:pPr>
            <w:r w:rsidRPr="00406CC2">
              <w:rPr>
                <w:sz w:val="18"/>
                <w:szCs w:val="18"/>
              </w:rPr>
              <w:t>255.9</w:t>
            </w:r>
          </w:p>
        </w:tc>
        <w:tc>
          <w:tcPr>
            <w:tcW w:w="10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C2FC124" w14:textId="77777777" w:rsidR="008A7AE0" w:rsidRPr="00406CC2" w:rsidRDefault="008A7AE0" w:rsidP="00A32EA1">
            <w:pPr>
              <w:pStyle w:val="NormalWeb"/>
              <w:rPr>
                <w:sz w:val="18"/>
                <w:szCs w:val="18"/>
              </w:rPr>
            </w:pPr>
            <w:r w:rsidRPr="00406CC2">
              <w:rPr>
                <w:sz w:val="18"/>
                <w:szCs w:val="18"/>
              </w:rPr>
              <w:t>1.64</w:t>
            </w:r>
          </w:p>
        </w:tc>
        <w:tc>
          <w:tcPr>
            <w:tcW w:w="10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F114EA7" w14:textId="77777777" w:rsidR="008A7AE0" w:rsidRPr="00406CC2" w:rsidRDefault="008A7AE0" w:rsidP="00A32EA1">
            <w:pPr>
              <w:pStyle w:val="NormalWeb"/>
              <w:rPr>
                <w:sz w:val="18"/>
                <w:szCs w:val="18"/>
              </w:rPr>
            </w:pPr>
            <w:r w:rsidRPr="00406CC2">
              <w:rPr>
                <w:sz w:val="18"/>
                <w:szCs w:val="18"/>
              </w:rPr>
              <w:t>1.56–1.73</w:t>
            </w:r>
          </w:p>
        </w:tc>
        <w:tc>
          <w:tcPr>
            <w:tcW w:w="10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6034EF0" w14:textId="77777777" w:rsidR="008A7AE0" w:rsidRPr="00406CC2" w:rsidRDefault="008A7AE0" w:rsidP="00A32EA1">
            <w:pPr>
              <w:pStyle w:val="NormalWeb"/>
              <w:rPr>
                <w:sz w:val="18"/>
                <w:szCs w:val="18"/>
              </w:rPr>
            </w:pPr>
            <w:r w:rsidRPr="00406CC2">
              <w:rPr>
                <w:sz w:val="18"/>
                <w:szCs w:val="18"/>
              </w:rPr>
              <w:t>&lt; 0.001</w:t>
            </w:r>
          </w:p>
        </w:tc>
      </w:tr>
      <w:tr w:rsidR="008A7AE0" w:rsidRPr="00406CC2" w14:paraId="73666B15" w14:textId="77777777" w:rsidTr="008A7AE0">
        <w:trPr>
          <w:cnfStyle w:val="000000010000" w:firstRow="0" w:lastRow="0" w:firstColumn="0" w:lastColumn="0" w:oddVBand="0" w:evenVBand="0" w:oddHBand="0" w:evenHBand="1" w:firstRowFirstColumn="0" w:firstRowLastColumn="0" w:lastRowFirstColumn="0" w:lastRowLastColumn="0"/>
          <w:divId w:val="1964146631"/>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0440B2D" w14:textId="77777777" w:rsidR="008A7AE0" w:rsidRPr="00406CC2" w:rsidRDefault="008A7AE0" w:rsidP="00A32EA1">
            <w:pPr>
              <w:rPr>
                <w:sz w:val="18"/>
                <w:szCs w:val="18"/>
              </w:rPr>
            </w:pP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D6D6822" w14:textId="77777777" w:rsidR="008A7AE0" w:rsidRPr="00406CC2" w:rsidRDefault="008A7AE0" w:rsidP="00A32EA1">
            <w:pPr>
              <w:pStyle w:val="NormalWeb"/>
              <w:rPr>
                <w:sz w:val="18"/>
                <w:szCs w:val="18"/>
              </w:rPr>
            </w:pPr>
            <w:r w:rsidRPr="00406CC2">
              <w:rPr>
                <w:sz w:val="18"/>
                <w:szCs w:val="18"/>
              </w:rPr>
              <w:t>65–69</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940AF54" w14:textId="77777777" w:rsidR="008A7AE0" w:rsidRPr="00406CC2" w:rsidRDefault="008A7AE0" w:rsidP="00A32EA1">
            <w:pPr>
              <w:pStyle w:val="NormalWeb"/>
              <w:rPr>
                <w:sz w:val="18"/>
                <w:szCs w:val="18"/>
              </w:rPr>
            </w:pPr>
            <w:r w:rsidRPr="00406CC2">
              <w:rPr>
                <w:sz w:val="18"/>
                <w:szCs w:val="18"/>
              </w:rPr>
              <w:t>173.3</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192EE3A" w14:textId="77777777" w:rsidR="008A7AE0" w:rsidRPr="00406CC2" w:rsidRDefault="008A7AE0" w:rsidP="00A32EA1">
            <w:pPr>
              <w:pStyle w:val="NormalWeb"/>
              <w:rPr>
                <w:sz w:val="18"/>
                <w:szCs w:val="18"/>
              </w:rPr>
            </w:pPr>
            <w:r w:rsidRPr="00406CC2">
              <w:rPr>
                <w:sz w:val="18"/>
                <w:szCs w:val="18"/>
              </w:rPr>
              <w:t>297.4</w:t>
            </w:r>
          </w:p>
        </w:tc>
        <w:tc>
          <w:tcPr>
            <w:tcW w:w="10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CC9F033" w14:textId="77777777" w:rsidR="008A7AE0" w:rsidRPr="00406CC2" w:rsidRDefault="008A7AE0" w:rsidP="00A32EA1">
            <w:pPr>
              <w:pStyle w:val="NormalWeb"/>
              <w:rPr>
                <w:sz w:val="18"/>
                <w:szCs w:val="18"/>
              </w:rPr>
            </w:pPr>
            <w:r w:rsidRPr="00406CC2">
              <w:rPr>
                <w:sz w:val="18"/>
                <w:szCs w:val="18"/>
              </w:rPr>
              <w:t>1.72</w:t>
            </w:r>
          </w:p>
        </w:tc>
        <w:tc>
          <w:tcPr>
            <w:tcW w:w="10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A10B927" w14:textId="77777777" w:rsidR="008A7AE0" w:rsidRPr="00406CC2" w:rsidRDefault="008A7AE0" w:rsidP="00A32EA1">
            <w:pPr>
              <w:pStyle w:val="NormalWeb"/>
              <w:rPr>
                <w:sz w:val="18"/>
                <w:szCs w:val="18"/>
              </w:rPr>
            </w:pPr>
            <w:r w:rsidRPr="00406CC2">
              <w:rPr>
                <w:sz w:val="18"/>
                <w:szCs w:val="18"/>
              </w:rPr>
              <w:t>1.63–1.80</w:t>
            </w:r>
          </w:p>
        </w:tc>
        <w:tc>
          <w:tcPr>
            <w:tcW w:w="10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E9C0B32" w14:textId="77777777" w:rsidR="008A7AE0" w:rsidRPr="00406CC2" w:rsidRDefault="008A7AE0" w:rsidP="00A32EA1">
            <w:pPr>
              <w:pStyle w:val="NormalWeb"/>
              <w:rPr>
                <w:sz w:val="18"/>
                <w:szCs w:val="18"/>
              </w:rPr>
            </w:pPr>
            <w:r w:rsidRPr="00406CC2">
              <w:rPr>
                <w:sz w:val="18"/>
                <w:szCs w:val="18"/>
              </w:rPr>
              <w:t>&lt; 0.001</w:t>
            </w:r>
          </w:p>
        </w:tc>
      </w:tr>
      <w:tr w:rsidR="008A7AE0" w:rsidRPr="00406CC2" w14:paraId="008E52F4" w14:textId="77777777" w:rsidTr="008A7AE0">
        <w:trPr>
          <w:divId w:val="1964146631"/>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B26F074" w14:textId="77777777" w:rsidR="008A7AE0" w:rsidRPr="00406CC2" w:rsidRDefault="008A7AE0" w:rsidP="00A32EA1">
            <w:pPr>
              <w:rPr>
                <w:sz w:val="18"/>
                <w:szCs w:val="18"/>
              </w:rPr>
            </w:pP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FE3544D" w14:textId="77777777" w:rsidR="008A7AE0" w:rsidRPr="00406CC2" w:rsidRDefault="008A7AE0" w:rsidP="00A32EA1">
            <w:pPr>
              <w:pStyle w:val="NormalWeb"/>
              <w:rPr>
                <w:sz w:val="18"/>
                <w:szCs w:val="18"/>
              </w:rPr>
            </w:pPr>
            <w:r w:rsidRPr="00406CC2">
              <w:rPr>
                <w:sz w:val="18"/>
                <w:szCs w:val="18"/>
              </w:rPr>
              <w:t>70–74</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F25F6B9" w14:textId="77777777" w:rsidR="008A7AE0" w:rsidRPr="00406CC2" w:rsidRDefault="008A7AE0" w:rsidP="00A32EA1">
            <w:pPr>
              <w:pStyle w:val="NormalWeb"/>
              <w:rPr>
                <w:sz w:val="18"/>
                <w:szCs w:val="18"/>
              </w:rPr>
            </w:pPr>
            <w:r w:rsidRPr="00406CC2">
              <w:rPr>
                <w:sz w:val="18"/>
                <w:szCs w:val="18"/>
              </w:rPr>
              <w:t>176.7</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E76EE7F" w14:textId="77777777" w:rsidR="008A7AE0" w:rsidRPr="00406CC2" w:rsidRDefault="008A7AE0" w:rsidP="00A32EA1">
            <w:pPr>
              <w:pStyle w:val="NormalWeb"/>
              <w:rPr>
                <w:sz w:val="18"/>
                <w:szCs w:val="18"/>
              </w:rPr>
            </w:pPr>
            <w:r w:rsidRPr="00406CC2">
              <w:rPr>
                <w:sz w:val="18"/>
                <w:szCs w:val="18"/>
              </w:rPr>
              <w:t>231.5</w:t>
            </w:r>
          </w:p>
        </w:tc>
        <w:tc>
          <w:tcPr>
            <w:tcW w:w="10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3A86F6E" w14:textId="77777777" w:rsidR="008A7AE0" w:rsidRPr="00406CC2" w:rsidRDefault="008A7AE0" w:rsidP="00A32EA1">
            <w:pPr>
              <w:pStyle w:val="NormalWeb"/>
              <w:rPr>
                <w:sz w:val="18"/>
                <w:szCs w:val="18"/>
              </w:rPr>
            </w:pPr>
            <w:r w:rsidRPr="00406CC2">
              <w:rPr>
                <w:sz w:val="18"/>
                <w:szCs w:val="18"/>
              </w:rPr>
              <w:t>1.31</w:t>
            </w:r>
          </w:p>
        </w:tc>
        <w:tc>
          <w:tcPr>
            <w:tcW w:w="10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FC79B03" w14:textId="77777777" w:rsidR="008A7AE0" w:rsidRPr="00406CC2" w:rsidRDefault="008A7AE0" w:rsidP="00A32EA1">
            <w:pPr>
              <w:pStyle w:val="NormalWeb"/>
              <w:rPr>
                <w:sz w:val="18"/>
                <w:szCs w:val="18"/>
              </w:rPr>
            </w:pPr>
            <w:r w:rsidRPr="00406CC2">
              <w:rPr>
                <w:sz w:val="18"/>
                <w:szCs w:val="18"/>
              </w:rPr>
              <w:t>1.23–1.39</w:t>
            </w:r>
          </w:p>
        </w:tc>
        <w:tc>
          <w:tcPr>
            <w:tcW w:w="10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792A9F0" w14:textId="77777777" w:rsidR="008A7AE0" w:rsidRPr="00406CC2" w:rsidRDefault="008A7AE0" w:rsidP="00A32EA1">
            <w:pPr>
              <w:pStyle w:val="NormalWeb"/>
              <w:rPr>
                <w:sz w:val="18"/>
                <w:szCs w:val="18"/>
              </w:rPr>
            </w:pPr>
            <w:r w:rsidRPr="00406CC2">
              <w:rPr>
                <w:sz w:val="18"/>
                <w:szCs w:val="18"/>
              </w:rPr>
              <w:t>&lt; 0.001</w:t>
            </w:r>
          </w:p>
        </w:tc>
      </w:tr>
      <w:tr w:rsidR="008A7AE0" w:rsidRPr="00406CC2" w14:paraId="7F1D7ECD" w14:textId="77777777" w:rsidTr="008A7AE0">
        <w:trPr>
          <w:cnfStyle w:val="000000010000" w:firstRow="0" w:lastRow="0" w:firstColumn="0" w:lastColumn="0" w:oddVBand="0" w:evenVBand="0" w:oddHBand="0" w:evenHBand="1" w:firstRowFirstColumn="0" w:firstRowLastColumn="0" w:lastRowFirstColumn="0" w:lastRowLastColumn="0"/>
          <w:divId w:val="1964146631"/>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F110A4B" w14:textId="77777777" w:rsidR="008A7AE0" w:rsidRPr="00406CC2" w:rsidRDefault="008A7AE0" w:rsidP="00A32EA1">
            <w:pPr>
              <w:rPr>
                <w:sz w:val="18"/>
                <w:szCs w:val="18"/>
              </w:rPr>
            </w:pP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BC4CD2A" w14:textId="77777777" w:rsidR="008A7AE0" w:rsidRPr="00406CC2" w:rsidRDefault="008A7AE0" w:rsidP="00A32EA1">
            <w:pPr>
              <w:pStyle w:val="NormalWeb"/>
              <w:rPr>
                <w:sz w:val="18"/>
                <w:szCs w:val="18"/>
              </w:rPr>
            </w:pPr>
            <w:r w:rsidRPr="00406CC2">
              <w:rPr>
                <w:sz w:val="18"/>
                <w:szCs w:val="18"/>
              </w:rPr>
              <w:t>75–79</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7FFBB9E" w14:textId="77777777" w:rsidR="008A7AE0" w:rsidRPr="00406CC2" w:rsidRDefault="008A7AE0" w:rsidP="00A32EA1">
            <w:pPr>
              <w:pStyle w:val="NormalWeb"/>
              <w:rPr>
                <w:sz w:val="18"/>
                <w:szCs w:val="18"/>
              </w:rPr>
            </w:pPr>
            <w:r w:rsidRPr="00406CC2">
              <w:rPr>
                <w:sz w:val="18"/>
                <w:szCs w:val="18"/>
              </w:rPr>
              <w:t>195.9</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8CD83E0" w14:textId="77777777" w:rsidR="008A7AE0" w:rsidRPr="00406CC2" w:rsidRDefault="008A7AE0" w:rsidP="00A32EA1">
            <w:pPr>
              <w:pStyle w:val="NormalWeb"/>
              <w:rPr>
                <w:sz w:val="18"/>
                <w:szCs w:val="18"/>
              </w:rPr>
            </w:pPr>
            <w:r w:rsidRPr="00406CC2">
              <w:rPr>
                <w:sz w:val="18"/>
                <w:szCs w:val="18"/>
              </w:rPr>
              <w:t>219.3</w:t>
            </w:r>
          </w:p>
        </w:tc>
        <w:tc>
          <w:tcPr>
            <w:tcW w:w="10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F48FC4C" w14:textId="77777777" w:rsidR="008A7AE0" w:rsidRPr="00406CC2" w:rsidRDefault="008A7AE0" w:rsidP="00A32EA1">
            <w:pPr>
              <w:pStyle w:val="NormalWeb"/>
              <w:rPr>
                <w:sz w:val="18"/>
                <w:szCs w:val="18"/>
              </w:rPr>
            </w:pPr>
            <w:r w:rsidRPr="00406CC2">
              <w:rPr>
                <w:sz w:val="18"/>
                <w:szCs w:val="18"/>
              </w:rPr>
              <w:t>1.12</w:t>
            </w:r>
          </w:p>
        </w:tc>
        <w:tc>
          <w:tcPr>
            <w:tcW w:w="10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E03B3DE" w14:textId="77777777" w:rsidR="008A7AE0" w:rsidRPr="00406CC2" w:rsidRDefault="008A7AE0" w:rsidP="00A32EA1">
            <w:pPr>
              <w:pStyle w:val="NormalWeb"/>
              <w:rPr>
                <w:sz w:val="18"/>
                <w:szCs w:val="18"/>
              </w:rPr>
            </w:pPr>
            <w:r w:rsidRPr="00406CC2">
              <w:rPr>
                <w:sz w:val="18"/>
                <w:szCs w:val="18"/>
              </w:rPr>
              <w:t>1.05–1.20</w:t>
            </w:r>
          </w:p>
        </w:tc>
        <w:tc>
          <w:tcPr>
            <w:tcW w:w="10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F1837B3" w14:textId="77777777" w:rsidR="008A7AE0" w:rsidRPr="00406CC2" w:rsidRDefault="008A7AE0" w:rsidP="00A32EA1">
            <w:pPr>
              <w:pStyle w:val="NormalWeb"/>
              <w:rPr>
                <w:sz w:val="18"/>
                <w:szCs w:val="18"/>
              </w:rPr>
            </w:pPr>
            <w:r w:rsidRPr="00406CC2">
              <w:rPr>
                <w:sz w:val="18"/>
                <w:szCs w:val="18"/>
              </w:rPr>
              <w:t>0.002</w:t>
            </w:r>
          </w:p>
        </w:tc>
      </w:tr>
      <w:tr w:rsidR="008A7AE0" w:rsidRPr="00406CC2" w14:paraId="72D03E23" w14:textId="77777777" w:rsidTr="008A7AE0">
        <w:trPr>
          <w:divId w:val="1964146631"/>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9968831" w14:textId="77777777" w:rsidR="008A7AE0" w:rsidRPr="00406CC2" w:rsidRDefault="008A7AE0" w:rsidP="00A32EA1">
            <w:pPr>
              <w:rPr>
                <w:sz w:val="18"/>
                <w:szCs w:val="18"/>
              </w:rPr>
            </w:pP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EF39440" w14:textId="77777777" w:rsidR="008A7AE0" w:rsidRPr="00406CC2" w:rsidRDefault="008A7AE0" w:rsidP="00A32EA1">
            <w:pPr>
              <w:pStyle w:val="NormalWeb"/>
              <w:rPr>
                <w:sz w:val="18"/>
                <w:szCs w:val="18"/>
              </w:rPr>
            </w:pPr>
            <w:r w:rsidRPr="00406CC2">
              <w:rPr>
                <w:sz w:val="18"/>
                <w:szCs w:val="18"/>
              </w:rPr>
              <w:t>80–84</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18B0390" w14:textId="77777777" w:rsidR="008A7AE0" w:rsidRPr="00406CC2" w:rsidRDefault="008A7AE0" w:rsidP="00A32EA1">
            <w:pPr>
              <w:pStyle w:val="NormalWeb"/>
              <w:rPr>
                <w:sz w:val="18"/>
                <w:szCs w:val="18"/>
              </w:rPr>
            </w:pPr>
            <w:r w:rsidRPr="00406CC2">
              <w:rPr>
                <w:sz w:val="18"/>
                <w:szCs w:val="18"/>
              </w:rPr>
              <w:t>193.0</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D147A83" w14:textId="77777777" w:rsidR="008A7AE0" w:rsidRPr="00406CC2" w:rsidRDefault="008A7AE0" w:rsidP="00A32EA1">
            <w:pPr>
              <w:pStyle w:val="NormalWeb"/>
              <w:rPr>
                <w:sz w:val="18"/>
                <w:szCs w:val="18"/>
              </w:rPr>
            </w:pPr>
            <w:r w:rsidRPr="00406CC2">
              <w:rPr>
                <w:sz w:val="18"/>
                <w:szCs w:val="18"/>
              </w:rPr>
              <w:t>269.1</w:t>
            </w:r>
          </w:p>
        </w:tc>
        <w:tc>
          <w:tcPr>
            <w:tcW w:w="10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5ACCD34" w14:textId="77777777" w:rsidR="008A7AE0" w:rsidRPr="00406CC2" w:rsidRDefault="008A7AE0" w:rsidP="00A32EA1">
            <w:pPr>
              <w:pStyle w:val="NormalWeb"/>
              <w:rPr>
                <w:sz w:val="18"/>
                <w:szCs w:val="18"/>
              </w:rPr>
            </w:pPr>
            <w:r w:rsidRPr="00406CC2">
              <w:rPr>
                <w:sz w:val="18"/>
                <w:szCs w:val="18"/>
              </w:rPr>
              <w:t>1.39</w:t>
            </w:r>
          </w:p>
        </w:tc>
        <w:tc>
          <w:tcPr>
            <w:tcW w:w="10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1492705" w14:textId="77777777" w:rsidR="008A7AE0" w:rsidRPr="00406CC2" w:rsidRDefault="008A7AE0" w:rsidP="00A32EA1">
            <w:pPr>
              <w:pStyle w:val="NormalWeb"/>
              <w:rPr>
                <w:sz w:val="18"/>
                <w:szCs w:val="18"/>
              </w:rPr>
            </w:pPr>
            <w:r w:rsidRPr="00406CC2">
              <w:rPr>
                <w:sz w:val="18"/>
                <w:szCs w:val="18"/>
              </w:rPr>
              <w:t>1.29–1.50</w:t>
            </w:r>
          </w:p>
        </w:tc>
        <w:tc>
          <w:tcPr>
            <w:tcW w:w="10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E6AD092" w14:textId="77777777" w:rsidR="008A7AE0" w:rsidRPr="00406CC2" w:rsidRDefault="008A7AE0" w:rsidP="00A32EA1">
            <w:pPr>
              <w:pStyle w:val="NormalWeb"/>
              <w:rPr>
                <w:sz w:val="18"/>
                <w:szCs w:val="18"/>
              </w:rPr>
            </w:pPr>
            <w:r w:rsidRPr="00406CC2">
              <w:rPr>
                <w:sz w:val="18"/>
                <w:szCs w:val="18"/>
              </w:rPr>
              <w:t>&lt; 0.001</w:t>
            </w:r>
          </w:p>
        </w:tc>
      </w:tr>
      <w:tr w:rsidR="008A7AE0" w:rsidRPr="00406CC2" w14:paraId="7BC01A4B" w14:textId="77777777" w:rsidTr="008A7AE0">
        <w:trPr>
          <w:cnfStyle w:val="000000010000" w:firstRow="0" w:lastRow="0" w:firstColumn="0" w:lastColumn="0" w:oddVBand="0" w:evenVBand="0" w:oddHBand="0" w:evenHBand="1" w:firstRowFirstColumn="0" w:firstRowLastColumn="0" w:lastRowFirstColumn="0" w:lastRowLastColumn="0"/>
          <w:divId w:val="1964146631"/>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9ECC165" w14:textId="77777777" w:rsidR="008A7AE0" w:rsidRPr="00406CC2" w:rsidRDefault="008A7AE0" w:rsidP="00A32EA1">
            <w:pPr>
              <w:rPr>
                <w:sz w:val="18"/>
                <w:szCs w:val="18"/>
              </w:rPr>
            </w:pP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AC4231F" w14:textId="77777777" w:rsidR="008A7AE0" w:rsidRPr="00406CC2" w:rsidRDefault="008A7AE0" w:rsidP="00A32EA1">
            <w:pPr>
              <w:pStyle w:val="NormalWeb"/>
              <w:rPr>
                <w:sz w:val="18"/>
                <w:szCs w:val="18"/>
              </w:rPr>
            </w:pPr>
            <w:r w:rsidRPr="00406CC2">
              <w:rPr>
                <w:sz w:val="18"/>
                <w:szCs w:val="18"/>
              </w:rPr>
              <w:t>85+</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1843786" w14:textId="77777777" w:rsidR="008A7AE0" w:rsidRPr="00406CC2" w:rsidRDefault="008A7AE0" w:rsidP="00A32EA1">
            <w:pPr>
              <w:pStyle w:val="NormalWeb"/>
              <w:rPr>
                <w:sz w:val="18"/>
                <w:szCs w:val="18"/>
              </w:rPr>
            </w:pPr>
            <w:r w:rsidRPr="00406CC2">
              <w:rPr>
                <w:sz w:val="18"/>
                <w:szCs w:val="18"/>
              </w:rPr>
              <w:t>224.6</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852F2A9" w14:textId="77777777" w:rsidR="008A7AE0" w:rsidRPr="00406CC2" w:rsidRDefault="008A7AE0" w:rsidP="00A32EA1">
            <w:pPr>
              <w:pStyle w:val="NormalWeb"/>
              <w:rPr>
                <w:sz w:val="18"/>
                <w:szCs w:val="18"/>
              </w:rPr>
            </w:pPr>
            <w:r w:rsidRPr="00406CC2">
              <w:rPr>
                <w:sz w:val="18"/>
                <w:szCs w:val="18"/>
              </w:rPr>
              <w:t>364.3</w:t>
            </w:r>
          </w:p>
        </w:tc>
        <w:tc>
          <w:tcPr>
            <w:tcW w:w="10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1341537" w14:textId="77777777" w:rsidR="008A7AE0" w:rsidRPr="00406CC2" w:rsidRDefault="008A7AE0" w:rsidP="00A32EA1">
            <w:pPr>
              <w:pStyle w:val="NormalWeb"/>
              <w:rPr>
                <w:sz w:val="18"/>
                <w:szCs w:val="18"/>
              </w:rPr>
            </w:pPr>
            <w:r w:rsidRPr="00406CC2">
              <w:rPr>
                <w:sz w:val="18"/>
                <w:szCs w:val="18"/>
              </w:rPr>
              <w:t>1.62</w:t>
            </w:r>
          </w:p>
        </w:tc>
        <w:tc>
          <w:tcPr>
            <w:tcW w:w="10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61E8DF7" w14:textId="77777777" w:rsidR="008A7AE0" w:rsidRPr="00406CC2" w:rsidRDefault="008A7AE0" w:rsidP="00A32EA1">
            <w:pPr>
              <w:pStyle w:val="NormalWeb"/>
              <w:rPr>
                <w:sz w:val="18"/>
                <w:szCs w:val="18"/>
              </w:rPr>
            </w:pPr>
            <w:r w:rsidRPr="00406CC2">
              <w:rPr>
                <w:sz w:val="18"/>
                <w:szCs w:val="18"/>
              </w:rPr>
              <w:t>1.52–1.73</w:t>
            </w:r>
          </w:p>
        </w:tc>
        <w:tc>
          <w:tcPr>
            <w:tcW w:w="10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D38EBF0" w14:textId="77777777" w:rsidR="008A7AE0" w:rsidRPr="00406CC2" w:rsidRDefault="008A7AE0" w:rsidP="00A32EA1">
            <w:pPr>
              <w:pStyle w:val="NormalWeb"/>
              <w:rPr>
                <w:sz w:val="18"/>
                <w:szCs w:val="18"/>
              </w:rPr>
            </w:pPr>
            <w:r w:rsidRPr="00406CC2">
              <w:rPr>
                <w:sz w:val="18"/>
                <w:szCs w:val="18"/>
              </w:rPr>
              <w:t>&lt; 0.001</w:t>
            </w:r>
          </w:p>
        </w:tc>
      </w:tr>
      <w:tr w:rsidR="008A7AE0" w:rsidRPr="00406CC2" w14:paraId="69E61E10" w14:textId="77777777" w:rsidTr="008A7AE0">
        <w:trPr>
          <w:divId w:val="1964146631"/>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3BDB3B9" w14:textId="77777777" w:rsidR="008A7AE0" w:rsidRPr="00406CC2" w:rsidRDefault="008A7AE0" w:rsidP="00A32EA1">
            <w:pPr>
              <w:rPr>
                <w:sz w:val="18"/>
                <w:szCs w:val="18"/>
              </w:rPr>
            </w:pP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7ECDD"/>
            <w:hideMark/>
          </w:tcPr>
          <w:p w14:paraId="6FA47913" w14:textId="77777777" w:rsidR="008A7AE0" w:rsidRPr="004B08E0" w:rsidRDefault="008A7AE0" w:rsidP="00A32EA1">
            <w:pPr>
              <w:pStyle w:val="NormalWeb"/>
              <w:rPr>
                <w:b/>
                <w:bCs/>
                <w:sz w:val="18"/>
                <w:szCs w:val="18"/>
              </w:rPr>
            </w:pPr>
            <w:r w:rsidRPr="004B08E0">
              <w:rPr>
                <w:b/>
                <w:bCs/>
                <w:sz w:val="18"/>
                <w:szCs w:val="18"/>
              </w:rPr>
              <w:t>Total</w:t>
            </w:r>
          </w:p>
        </w:tc>
        <w:tc>
          <w:tcPr>
            <w:tcW w:w="0" w:type="auto"/>
            <w:tcBorders>
              <w:top w:val="single" w:sz="4" w:space="0" w:color="808080" w:themeColor="background1" w:themeShade="80"/>
              <w:bottom w:val="single" w:sz="4" w:space="0" w:color="808080" w:themeColor="background1" w:themeShade="80"/>
            </w:tcBorders>
            <w:shd w:val="clear" w:color="auto" w:fill="F7ECDD"/>
            <w:hideMark/>
          </w:tcPr>
          <w:p w14:paraId="13C5C8F0" w14:textId="77777777" w:rsidR="008A7AE0" w:rsidRPr="004B08E0" w:rsidRDefault="008A7AE0" w:rsidP="00A32EA1">
            <w:pPr>
              <w:pStyle w:val="NormalWeb"/>
              <w:rPr>
                <w:b/>
                <w:bCs/>
                <w:sz w:val="18"/>
                <w:szCs w:val="18"/>
              </w:rPr>
            </w:pPr>
            <w:r w:rsidRPr="004B08E0">
              <w:rPr>
                <w:b/>
                <w:bCs/>
                <w:sz w:val="18"/>
                <w:szCs w:val="18"/>
              </w:rPr>
              <w:t>179.4</w:t>
            </w:r>
          </w:p>
        </w:tc>
        <w:tc>
          <w:tcPr>
            <w:tcW w:w="0" w:type="auto"/>
            <w:tcBorders>
              <w:top w:val="single" w:sz="4" w:space="0" w:color="808080" w:themeColor="background1" w:themeShade="80"/>
              <w:bottom w:val="single" w:sz="4" w:space="0" w:color="808080" w:themeColor="background1" w:themeShade="80"/>
            </w:tcBorders>
            <w:shd w:val="clear" w:color="auto" w:fill="F7ECDD"/>
            <w:hideMark/>
          </w:tcPr>
          <w:p w14:paraId="25BA5C8E" w14:textId="77777777" w:rsidR="008A7AE0" w:rsidRPr="004B08E0" w:rsidRDefault="008A7AE0" w:rsidP="00A32EA1">
            <w:pPr>
              <w:pStyle w:val="NormalWeb"/>
              <w:rPr>
                <w:b/>
                <w:bCs/>
                <w:sz w:val="18"/>
                <w:szCs w:val="18"/>
              </w:rPr>
            </w:pPr>
            <w:r w:rsidRPr="004B08E0">
              <w:rPr>
                <w:b/>
                <w:bCs/>
                <w:sz w:val="18"/>
                <w:szCs w:val="18"/>
              </w:rPr>
              <w:t>267.7</w:t>
            </w:r>
          </w:p>
        </w:tc>
        <w:tc>
          <w:tcPr>
            <w:tcW w:w="1056" w:type="dxa"/>
            <w:tcBorders>
              <w:top w:val="single" w:sz="4" w:space="0" w:color="808080" w:themeColor="background1" w:themeShade="80"/>
              <w:bottom w:val="single" w:sz="4" w:space="0" w:color="808080" w:themeColor="background1" w:themeShade="80"/>
            </w:tcBorders>
            <w:shd w:val="clear" w:color="auto" w:fill="F7ECDD"/>
            <w:hideMark/>
          </w:tcPr>
          <w:p w14:paraId="797D845B" w14:textId="77777777" w:rsidR="008A7AE0" w:rsidRPr="004B08E0" w:rsidRDefault="008A7AE0" w:rsidP="00A32EA1">
            <w:pPr>
              <w:pStyle w:val="NormalWeb"/>
              <w:rPr>
                <w:b/>
                <w:bCs/>
                <w:sz w:val="18"/>
                <w:szCs w:val="18"/>
              </w:rPr>
            </w:pPr>
            <w:r w:rsidRPr="004B08E0">
              <w:rPr>
                <w:b/>
                <w:bCs/>
                <w:sz w:val="18"/>
                <w:szCs w:val="18"/>
              </w:rPr>
              <w:t>1.49</w:t>
            </w:r>
          </w:p>
        </w:tc>
        <w:tc>
          <w:tcPr>
            <w:tcW w:w="1056" w:type="dxa"/>
            <w:tcBorders>
              <w:top w:val="single" w:sz="4" w:space="0" w:color="808080" w:themeColor="background1" w:themeShade="80"/>
              <w:bottom w:val="single" w:sz="4" w:space="0" w:color="808080" w:themeColor="background1" w:themeShade="80"/>
            </w:tcBorders>
            <w:shd w:val="clear" w:color="auto" w:fill="F7ECDD"/>
            <w:hideMark/>
          </w:tcPr>
          <w:p w14:paraId="5F4B8FEB" w14:textId="77777777" w:rsidR="008A7AE0" w:rsidRPr="004B08E0" w:rsidRDefault="008A7AE0" w:rsidP="00A32EA1">
            <w:pPr>
              <w:pStyle w:val="NormalWeb"/>
              <w:rPr>
                <w:b/>
                <w:bCs/>
                <w:sz w:val="18"/>
                <w:szCs w:val="18"/>
              </w:rPr>
            </w:pPr>
            <w:r w:rsidRPr="004B08E0">
              <w:rPr>
                <w:b/>
                <w:bCs/>
                <w:sz w:val="18"/>
                <w:szCs w:val="18"/>
              </w:rPr>
              <w:t>1.46–1.53</w:t>
            </w:r>
          </w:p>
        </w:tc>
        <w:tc>
          <w:tcPr>
            <w:tcW w:w="1057"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70DD03C2" w14:textId="77777777" w:rsidR="008A7AE0" w:rsidRPr="004B08E0" w:rsidRDefault="008A7AE0" w:rsidP="00A32EA1">
            <w:pPr>
              <w:pStyle w:val="NormalWeb"/>
              <w:rPr>
                <w:b/>
                <w:bCs/>
                <w:sz w:val="18"/>
                <w:szCs w:val="18"/>
              </w:rPr>
            </w:pPr>
            <w:r w:rsidRPr="004B08E0">
              <w:rPr>
                <w:b/>
                <w:bCs/>
                <w:sz w:val="18"/>
                <w:szCs w:val="18"/>
              </w:rPr>
              <w:t>&lt; 0.001</w:t>
            </w:r>
          </w:p>
        </w:tc>
      </w:tr>
      <w:tr w:rsidR="008A7AE0" w:rsidRPr="00406CC2" w14:paraId="0A34A832" w14:textId="77777777" w:rsidTr="008A7AE0">
        <w:trPr>
          <w:cnfStyle w:val="000000010000" w:firstRow="0" w:lastRow="0" w:firstColumn="0" w:lastColumn="0" w:oddVBand="0" w:evenVBand="0" w:oddHBand="0" w:evenHBand="1" w:firstRowFirstColumn="0" w:firstRowLastColumn="0" w:lastRowFirstColumn="0" w:lastRowLastColumn="0"/>
          <w:divId w:val="1964146631"/>
        </w:trPr>
        <w:tc>
          <w:tcPr>
            <w:tcW w:w="0" w:type="auto"/>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C1C3DEE" w14:textId="77777777" w:rsidR="008A7AE0" w:rsidRPr="00406CC2" w:rsidRDefault="008A7AE0" w:rsidP="00A32EA1">
            <w:pPr>
              <w:pStyle w:val="NormalWeb"/>
              <w:rPr>
                <w:sz w:val="18"/>
                <w:szCs w:val="18"/>
              </w:rPr>
            </w:pPr>
            <w:r w:rsidRPr="00406CC2">
              <w:rPr>
                <w:sz w:val="18"/>
                <w:szCs w:val="18"/>
              </w:rPr>
              <w:t xml:space="preserve">ED </w:t>
            </w:r>
            <w:proofErr w:type="spellStart"/>
            <w:r w:rsidRPr="00406CC2">
              <w:rPr>
                <w:sz w:val="18"/>
                <w:szCs w:val="18"/>
              </w:rPr>
              <w:t>presentations</w:t>
            </w:r>
            <w:r w:rsidRPr="006D3D7E">
              <w:rPr>
                <w:sz w:val="18"/>
                <w:szCs w:val="18"/>
                <w:vertAlign w:val="superscript"/>
              </w:rPr>
              <w:t>e</w:t>
            </w:r>
            <w:proofErr w:type="spellEnd"/>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2809F71" w14:textId="77777777" w:rsidR="008A7AE0" w:rsidRPr="00406CC2" w:rsidRDefault="008A7AE0" w:rsidP="00A32EA1">
            <w:pPr>
              <w:pStyle w:val="NormalWeb"/>
              <w:rPr>
                <w:sz w:val="18"/>
                <w:szCs w:val="18"/>
              </w:rPr>
            </w:pPr>
            <w:r w:rsidRPr="00406CC2">
              <w:rPr>
                <w:sz w:val="18"/>
                <w:szCs w:val="18"/>
              </w:rPr>
              <w:t>60–64</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B716C92" w14:textId="77777777" w:rsidR="008A7AE0" w:rsidRPr="00406CC2" w:rsidRDefault="008A7AE0" w:rsidP="00A32EA1">
            <w:pPr>
              <w:pStyle w:val="NormalWeb"/>
              <w:rPr>
                <w:sz w:val="18"/>
                <w:szCs w:val="18"/>
              </w:rPr>
            </w:pPr>
            <w:r w:rsidRPr="00406CC2">
              <w:rPr>
                <w:sz w:val="18"/>
                <w:szCs w:val="18"/>
              </w:rPr>
              <w:t>61.6</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95EF190" w14:textId="77777777" w:rsidR="008A7AE0" w:rsidRPr="00406CC2" w:rsidRDefault="008A7AE0" w:rsidP="00A32EA1">
            <w:pPr>
              <w:pStyle w:val="NormalWeb"/>
              <w:rPr>
                <w:sz w:val="18"/>
                <w:szCs w:val="18"/>
              </w:rPr>
            </w:pPr>
            <w:r w:rsidRPr="00406CC2">
              <w:rPr>
                <w:sz w:val="18"/>
                <w:szCs w:val="18"/>
              </w:rPr>
              <w:t>74.0</w:t>
            </w:r>
          </w:p>
        </w:tc>
        <w:tc>
          <w:tcPr>
            <w:tcW w:w="10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A65D098" w14:textId="77777777" w:rsidR="008A7AE0" w:rsidRPr="00406CC2" w:rsidRDefault="008A7AE0" w:rsidP="00A32EA1">
            <w:pPr>
              <w:pStyle w:val="NormalWeb"/>
              <w:rPr>
                <w:sz w:val="18"/>
                <w:szCs w:val="18"/>
              </w:rPr>
            </w:pPr>
            <w:r w:rsidRPr="00406CC2">
              <w:rPr>
                <w:sz w:val="18"/>
                <w:szCs w:val="18"/>
              </w:rPr>
              <w:t>1.20</w:t>
            </w:r>
          </w:p>
        </w:tc>
        <w:tc>
          <w:tcPr>
            <w:tcW w:w="10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F00224C" w14:textId="77777777" w:rsidR="008A7AE0" w:rsidRPr="00406CC2" w:rsidRDefault="008A7AE0" w:rsidP="00A32EA1">
            <w:pPr>
              <w:pStyle w:val="NormalWeb"/>
              <w:rPr>
                <w:sz w:val="18"/>
                <w:szCs w:val="18"/>
              </w:rPr>
            </w:pPr>
            <w:r w:rsidRPr="00406CC2">
              <w:rPr>
                <w:sz w:val="18"/>
                <w:szCs w:val="18"/>
              </w:rPr>
              <w:t>1.10–1.31</w:t>
            </w:r>
          </w:p>
        </w:tc>
        <w:tc>
          <w:tcPr>
            <w:tcW w:w="10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3309799" w14:textId="77777777" w:rsidR="008A7AE0" w:rsidRPr="00406CC2" w:rsidRDefault="008A7AE0" w:rsidP="00A32EA1">
            <w:pPr>
              <w:pStyle w:val="NormalWeb"/>
              <w:rPr>
                <w:sz w:val="18"/>
                <w:szCs w:val="18"/>
              </w:rPr>
            </w:pPr>
            <w:r w:rsidRPr="00406CC2">
              <w:rPr>
                <w:sz w:val="18"/>
                <w:szCs w:val="18"/>
              </w:rPr>
              <w:t>&lt; 0.001</w:t>
            </w:r>
          </w:p>
        </w:tc>
      </w:tr>
      <w:tr w:rsidR="008A7AE0" w:rsidRPr="00406CC2" w14:paraId="21AD28C8" w14:textId="77777777" w:rsidTr="008A7AE0">
        <w:trPr>
          <w:divId w:val="1964146631"/>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12530F3" w14:textId="77777777" w:rsidR="008A7AE0" w:rsidRPr="00406CC2" w:rsidRDefault="008A7AE0" w:rsidP="00A32EA1">
            <w:pPr>
              <w:rPr>
                <w:sz w:val="18"/>
                <w:szCs w:val="18"/>
              </w:rPr>
            </w:pP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AD3A941" w14:textId="77777777" w:rsidR="008A7AE0" w:rsidRPr="00406CC2" w:rsidRDefault="008A7AE0" w:rsidP="00A32EA1">
            <w:pPr>
              <w:pStyle w:val="NormalWeb"/>
              <w:rPr>
                <w:sz w:val="18"/>
                <w:szCs w:val="18"/>
              </w:rPr>
            </w:pPr>
            <w:r w:rsidRPr="00406CC2">
              <w:rPr>
                <w:sz w:val="18"/>
                <w:szCs w:val="18"/>
              </w:rPr>
              <w:t>65–69</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510E753" w14:textId="77777777" w:rsidR="008A7AE0" w:rsidRPr="00406CC2" w:rsidRDefault="008A7AE0" w:rsidP="00A32EA1">
            <w:pPr>
              <w:pStyle w:val="NormalWeb"/>
              <w:rPr>
                <w:sz w:val="18"/>
                <w:szCs w:val="18"/>
              </w:rPr>
            </w:pPr>
            <w:r w:rsidRPr="00406CC2">
              <w:rPr>
                <w:sz w:val="18"/>
                <w:szCs w:val="18"/>
              </w:rPr>
              <w:t>70.5</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4872448" w14:textId="77777777" w:rsidR="008A7AE0" w:rsidRPr="00406CC2" w:rsidRDefault="008A7AE0" w:rsidP="00A32EA1">
            <w:pPr>
              <w:pStyle w:val="NormalWeb"/>
              <w:rPr>
                <w:sz w:val="18"/>
                <w:szCs w:val="18"/>
              </w:rPr>
            </w:pPr>
            <w:r w:rsidRPr="00406CC2">
              <w:rPr>
                <w:sz w:val="18"/>
                <w:szCs w:val="18"/>
              </w:rPr>
              <w:t>88.2</w:t>
            </w:r>
          </w:p>
        </w:tc>
        <w:tc>
          <w:tcPr>
            <w:tcW w:w="10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F87C2CA" w14:textId="77777777" w:rsidR="008A7AE0" w:rsidRPr="00406CC2" w:rsidRDefault="008A7AE0" w:rsidP="00A32EA1">
            <w:pPr>
              <w:pStyle w:val="NormalWeb"/>
              <w:rPr>
                <w:sz w:val="18"/>
                <w:szCs w:val="18"/>
              </w:rPr>
            </w:pPr>
            <w:r w:rsidRPr="00406CC2">
              <w:rPr>
                <w:sz w:val="18"/>
                <w:szCs w:val="18"/>
              </w:rPr>
              <w:t>1.25</w:t>
            </w:r>
          </w:p>
        </w:tc>
        <w:tc>
          <w:tcPr>
            <w:tcW w:w="10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64870AF" w14:textId="77777777" w:rsidR="008A7AE0" w:rsidRPr="00406CC2" w:rsidRDefault="008A7AE0" w:rsidP="00A32EA1">
            <w:pPr>
              <w:pStyle w:val="NormalWeb"/>
              <w:rPr>
                <w:sz w:val="18"/>
                <w:szCs w:val="18"/>
              </w:rPr>
            </w:pPr>
            <w:r w:rsidRPr="00406CC2">
              <w:rPr>
                <w:sz w:val="18"/>
                <w:szCs w:val="18"/>
              </w:rPr>
              <w:t>1.15–1.36</w:t>
            </w:r>
          </w:p>
        </w:tc>
        <w:tc>
          <w:tcPr>
            <w:tcW w:w="10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417D759" w14:textId="77777777" w:rsidR="008A7AE0" w:rsidRPr="00406CC2" w:rsidRDefault="008A7AE0" w:rsidP="00A32EA1">
            <w:pPr>
              <w:pStyle w:val="NormalWeb"/>
              <w:rPr>
                <w:sz w:val="18"/>
                <w:szCs w:val="18"/>
              </w:rPr>
            </w:pPr>
            <w:r w:rsidRPr="00406CC2">
              <w:rPr>
                <w:sz w:val="18"/>
                <w:szCs w:val="18"/>
              </w:rPr>
              <w:t>&lt; 0.001</w:t>
            </w:r>
          </w:p>
        </w:tc>
      </w:tr>
      <w:tr w:rsidR="008A7AE0" w:rsidRPr="00406CC2" w14:paraId="251D4D77" w14:textId="77777777" w:rsidTr="008A7AE0">
        <w:trPr>
          <w:cnfStyle w:val="000000010000" w:firstRow="0" w:lastRow="0" w:firstColumn="0" w:lastColumn="0" w:oddVBand="0" w:evenVBand="0" w:oddHBand="0" w:evenHBand="1" w:firstRowFirstColumn="0" w:firstRowLastColumn="0" w:lastRowFirstColumn="0" w:lastRowLastColumn="0"/>
          <w:divId w:val="1964146631"/>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B024405" w14:textId="77777777" w:rsidR="008A7AE0" w:rsidRPr="00406CC2" w:rsidRDefault="008A7AE0" w:rsidP="00A32EA1">
            <w:pPr>
              <w:rPr>
                <w:sz w:val="18"/>
                <w:szCs w:val="18"/>
              </w:rPr>
            </w:pP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0F8329B" w14:textId="77777777" w:rsidR="008A7AE0" w:rsidRPr="00406CC2" w:rsidRDefault="008A7AE0" w:rsidP="00A32EA1">
            <w:pPr>
              <w:pStyle w:val="NormalWeb"/>
              <w:rPr>
                <w:sz w:val="18"/>
                <w:szCs w:val="18"/>
              </w:rPr>
            </w:pPr>
            <w:r w:rsidRPr="00406CC2">
              <w:rPr>
                <w:sz w:val="18"/>
                <w:szCs w:val="18"/>
              </w:rPr>
              <w:t>70–74</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CBA4663" w14:textId="77777777" w:rsidR="008A7AE0" w:rsidRPr="00406CC2" w:rsidRDefault="008A7AE0" w:rsidP="00A32EA1">
            <w:pPr>
              <w:pStyle w:val="NormalWeb"/>
              <w:rPr>
                <w:sz w:val="18"/>
                <w:szCs w:val="18"/>
              </w:rPr>
            </w:pPr>
            <w:r w:rsidRPr="00406CC2">
              <w:rPr>
                <w:sz w:val="18"/>
                <w:szCs w:val="18"/>
              </w:rPr>
              <w:t>86.8</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12B3B54" w14:textId="77777777" w:rsidR="008A7AE0" w:rsidRPr="00406CC2" w:rsidRDefault="008A7AE0" w:rsidP="00A32EA1">
            <w:pPr>
              <w:pStyle w:val="NormalWeb"/>
              <w:rPr>
                <w:sz w:val="18"/>
                <w:szCs w:val="18"/>
              </w:rPr>
            </w:pPr>
            <w:r w:rsidRPr="00406CC2">
              <w:rPr>
                <w:sz w:val="18"/>
                <w:szCs w:val="18"/>
              </w:rPr>
              <w:t>76.5</w:t>
            </w:r>
          </w:p>
        </w:tc>
        <w:tc>
          <w:tcPr>
            <w:tcW w:w="10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28FC6A1" w14:textId="77777777" w:rsidR="008A7AE0" w:rsidRPr="00406CC2" w:rsidRDefault="008A7AE0" w:rsidP="00A32EA1">
            <w:pPr>
              <w:pStyle w:val="NormalWeb"/>
              <w:rPr>
                <w:sz w:val="18"/>
                <w:szCs w:val="18"/>
              </w:rPr>
            </w:pPr>
            <w:r w:rsidRPr="00406CC2">
              <w:rPr>
                <w:sz w:val="18"/>
                <w:szCs w:val="18"/>
              </w:rPr>
              <w:t>0.88</w:t>
            </w:r>
          </w:p>
        </w:tc>
        <w:tc>
          <w:tcPr>
            <w:tcW w:w="10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0C3E269" w14:textId="77777777" w:rsidR="008A7AE0" w:rsidRPr="00406CC2" w:rsidRDefault="008A7AE0" w:rsidP="00A32EA1">
            <w:pPr>
              <w:pStyle w:val="NormalWeb"/>
              <w:rPr>
                <w:sz w:val="18"/>
                <w:szCs w:val="18"/>
              </w:rPr>
            </w:pPr>
            <w:r w:rsidRPr="00406CC2">
              <w:rPr>
                <w:sz w:val="18"/>
                <w:szCs w:val="18"/>
              </w:rPr>
              <w:t>0.80–0.97</w:t>
            </w:r>
          </w:p>
        </w:tc>
        <w:tc>
          <w:tcPr>
            <w:tcW w:w="10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5D19A68" w14:textId="77777777" w:rsidR="008A7AE0" w:rsidRPr="00406CC2" w:rsidRDefault="008A7AE0" w:rsidP="00A32EA1">
            <w:pPr>
              <w:pStyle w:val="NormalWeb"/>
              <w:rPr>
                <w:sz w:val="18"/>
                <w:szCs w:val="18"/>
              </w:rPr>
            </w:pPr>
            <w:r w:rsidRPr="00406CC2">
              <w:rPr>
                <w:sz w:val="18"/>
                <w:szCs w:val="18"/>
              </w:rPr>
              <w:t>0.007</w:t>
            </w:r>
          </w:p>
        </w:tc>
      </w:tr>
      <w:tr w:rsidR="008A7AE0" w:rsidRPr="00406CC2" w14:paraId="2E2B39F4" w14:textId="77777777" w:rsidTr="008A7AE0">
        <w:trPr>
          <w:divId w:val="1964146631"/>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031A538" w14:textId="77777777" w:rsidR="008A7AE0" w:rsidRPr="00406CC2" w:rsidRDefault="008A7AE0" w:rsidP="00A32EA1">
            <w:pPr>
              <w:rPr>
                <w:sz w:val="18"/>
                <w:szCs w:val="18"/>
              </w:rPr>
            </w:pP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B9C5120" w14:textId="77777777" w:rsidR="008A7AE0" w:rsidRPr="00406CC2" w:rsidRDefault="008A7AE0" w:rsidP="00A32EA1">
            <w:pPr>
              <w:pStyle w:val="NormalWeb"/>
              <w:rPr>
                <w:sz w:val="18"/>
                <w:szCs w:val="18"/>
              </w:rPr>
            </w:pPr>
            <w:r w:rsidRPr="00406CC2">
              <w:rPr>
                <w:sz w:val="18"/>
                <w:szCs w:val="18"/>
              </w:rPr>
              <w:t>75–79</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6E11529" w14:textId="77777777" w:rsidR="008A7AE0" w:rsidRPr="00406CC2" w:rsidRDefault="008A7AE0" w:rsidP="00A32EA1">
            <w:pPr>
              <w:pStyle w:val="NormalWeb"/>
              <w:rPr>
                <w:sz w:val="18"/>
                <w:szCs w:val="18"/>
              </w:rPr>
            </w:pPr>
            <w:r w:rsidRPr="00406CC2">
              <w:rPr>
                <w:sz w:val="18"/>
                <w:szCs w:val="18"/>
              </w:rPr>
              <w:t>104.2</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3F5AC3F" w14:textId="77777777" w:rsidR="008A7AE0" w:rsidRPr="00406CC2" w:rsidRDefault="008A7AE0" w:rsidP="00A32EA1">
            <w:pPr>
              <w:pStyle w:val="NormalWeb"/>
              <w:rPr>
                <w:sz w:val="18"/>
                <w:szCs w:val="18"/>
              </w:rPr>
            </w:pPr>
            <w:r w:rsidRPr="00406CC2">
              <w:rPr>
                <w:sz w:val="18"/>
                <w:szCs w:val="18"/>
              </w:rPr>
              <w:t>80.9</w:t>
            </w:r>
          </w:p>
        </w:tc>
        <w:tc>
          <w:tcPr>
            <w:tcW w:w="10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2DDCB85" w14:textId="77777777" w:rsidR="008A7AE0" w:rsidRPr="00406CC2" w:rsidRDefault="008A7AE0" w:rsidP="00A32EA1">
            <w:pPr>
              <w:pStyle w:val="NormalWeb"/>
              <w:rPr>
                <w:sz w:val="18"/>
                <w:szCs w:val="18"/>
              </w:rPr>
            </w:pPr>
            <w:r w:rsidRPr="00406CC2">
              <w:rPr>
                <w:sz w:val="18"/>
                <w:szCs w:val="18"/>
              </w:rPr>
              <w:t>0.78</w:t>
            </w:r>
          </w:p>
        </w:tc>
        <w:tc>
          <w:tcPr>
            <w:tcW w:w="10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1D596F7" w14:textId="77777777" w:rsidR="008A7AE0" w:rsidRPr="00406CC2" w:rsidRDefault="008A7AE0" w:rsidP="00A32EA1">
            <w:pPr>
              <w:pStyle w:val="NormalWeb"/>
              <w:rPr>
                <w:sz w:val="18"/>
                <w:szCs w:val="18"/>
              </w:rPr>
            </w:pPr>
            <w:r w:rsidRPr="00406CC2">
              <w:rPr>
                <w:sz w:val="18"/>
                <w:szCs w:val="18"/>
              </w:rPr>
              <w:t>0.70–0.86</w:t>
            </w:r>
          </w:p>
        </w:tc>
        <w:tc>
          <w:tcPr>
            <w:tcW w:w="10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A0D6011" w14:textId="77777777" w:rsidR="008A7AE0" w:rsidRPr="00406CC2" w:rsidRDefault="008A7AE0" w:rsidP="00A32EA1">
            <w:pPr>
              <w:pStyle w:val="NormalWeb"/>
              <w:rPr>
                <w:sz w:val="18"/>
                <w:szCs w:val="18"/>
              </w:rPr>
            </w:pPr>
            <w:r w:rsidRPr="00406CC2">
              <w:rPr>
                <w:sz w:val="18"/>
                <w:szCs w:val="18"/>
              </w:rPr>
              <w:t>&lt; 0.001</w:t>
            </w:r>
          </w:p>
        </w:tc>
      </w:tr>
      <w:tr w:rsidR="008A7AE0" w:rsidRPr="00406CC2" w14:paraId="01F05ECF" w14:textId="77777777" w:rsidTr="008A7AE0">
        <w:trPr>
          <w:cnfStyle w:val="000000010000" w:firstRow="0" w:lastRow="0" w:firstColumn="0" w:lastColumn="0" w:oddVBand="0" w:evenVBand="0" w:oddHBand="0" w:evenHBand="1" w:firstRowFirstColumn="0" w:firstRowLastColumn="0" w:lastRowFirstColumn="0" w:lastRowLastColumn="0"/>
          <w:divId w:val="1964146631"/>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B5B0DF2" w14:textId="77777777" w:rsidR="008A7AE0" w:rsidRPr="00406CC2" w:rsidRDefault="008A7AE0" w:rsidP="00A32EA1">
            <w:pPr>
              <w:rPr>
                <w:sz w:val="18"/>
                <w:szCs w:val="18"/>
              </w:rPr>
            </w:pP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F32E19D" w14:textId="77777777" w:rsidR="008A7AE0" w:rsidRPr="00406CC2" w:rsidRDefault="008A7AE0" w:rsidP="00A32EA1">
            <w:pPr>
              <w:pStyle w:val="NormalWeb"/>
              <w:rPr>
                <w:sz w:val="18"/>
                <w:szCs w:val="18"/>
              </w:rPr>
            </w:pPr>
            <w:r w:rsidRPr="00406CC2">
              <w:rPr>
                <w:sz w:val="18"/>
                <w:szCs w:val="18"/>
              </w:rPr>
              <w:t>80–84</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E064908" w14:textId="77777777" w:rsidR="008A7AE0" w:rsidRPr="00406CC2" w:rsidRDefault="008A7AE0" w:rsidP="00A32EA1">
            <w:pPr>
              <w:pStyle w:val="NormalWeb"/>
              <w:rPr>
                <w:sz w:val="18"/>
                <w:szCs w:val="18"/>
              </w:rPr>
            </w:pPr>
            <w:r w:rsidRPr="00406CC2">
              <w:rPr>
                <w:sz w:val="18"/>
                <w:szCs w:val="18"/>
              </w:rPr>
              <w:t>114.3</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22CA1A2" w14:textId="77777777" w:rsidR="008A7AE0" w:rsidRPr="00406CC2" w:rsidRDefault="008A7AE0" w:rsidP="00A32EA1">
            <w:pPr>
              <w:pStyle w:val="NormalWeb"/>
              <w:rPr>
                <w:sz w:val="18"/>
                <w:szCs w:val="18"/>
              </w:rPr>
            </w:pPr>
            <w:r w:rsidRPr="00406CC2">
              <w:rPr>
                <w:sz w:val="18"/>
                <w:szCs w:val="18"/>
              </w:rPr>
              <w:t>109.6</w:t>
            </w:r>
          </w:p>
        </w:tc>
        <w:tc>
          <w:tcPr>
            <w:tcW w:w="10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54182A3" w14:textId="77777777" w:rsidR="008A7AE0" w:rsidRPr="00406CC2" w:rsidRDefault="008A7AE0" w:rsidP="00A32EA1">
            <w:pPr>
              <w:pStyle w:val="NormalWeb"/>
              <w:rPr>
                <w:sz w:val="18"/>
                <w:szCs w:val="18"/>
              </w:rPr>
            </w:pPr>
            <w:r w:rsidRPr="00406CC2">
              <w:rPr>
                <w:sz w:val="18"/>
                <w:szCs w:val="18"/>
              </w:rPr>
              <w:t>0.96</w:t>
            </w:r>
          </w:p>
        </w:tc>
        <w:tc>
          <w:tcPr>
            <w:tcW w:w="10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D3DAFA8" w14:textId="77777777" w:rsidR="008A7AE0" w:rsidRPr="00406CC2" w:rsidRDefault="008A7AE0" w:rsidP="00A32EA1">
            <w:pPr>
              <w:pStyle w:val="NormalWeb"/>
              <w:rPr>
                <w:sz w:val="18"/>
                <w:szCs w:val="18"/>
              </w:rPr>
            </w:pPr>
            <w:r w:rsidRPr="00406CC2">
              <w:rPr>
                <w:sz w:val="18"/>
                <w:szCs w:val="18"/>
              </w:rPr>
              <w:t>0.86–1.07</w:t>
            </w:r>
          </w:p>
        </w:tc>
        <w:tc>
          <w:tcPr>
            <w:tcW w:w="10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288B764" w14:textId="77777777" w:rsidR="008A7AE0" w:rsidRPr="00406CC2" w:rsidRDefault="008A7AE0" w:rsidP="00A32EA1">
            <w:pPr>
              <w:pStyle w:val="NormalWeb"/>
              <w:rPr>
                <w:sz w:val="18"/>
                <w:szCs w:val="18"/>
              </w:rPr>
            </w:pPr>
            <w:r w:rsidRPr="00406CC2">
              <w:rPr>
                <w:sz w:val="18"/>
                <w:szCs w:val="18"/>
              </w:rPr>
              <w:t>0.432</w:t>
            </w:r>
          </w:p>
        </w:tc>
      </w:tr>
      <w:tr w:rsidR="008A7AE0" w:rsidRPr="00406CC2" w14:paraId="0FC0A3C8" w14:textId="77777777" w:rsidTr="008A7AE0">
        <w:trPr>
          <w:divId w:val="1964146631"/>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D71D8D4" w14:textId="77777777" w:rsidR="008A7AE0" w:rsidRPr="00406CC2" w:rsidRDefault="008A7AE0" w:rsidP="00A32EA1">
            <w:pPr>
              <w:rPr>
                <w:sz w:val="18"/>
                <w:szCs w:val="18"/>
              </w:rPr>
            </w:pP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3982E9D" w14:textId="77777777" w:rsidR="008A7AE0" w:rsidRPr="00406CC2" w:rsidRDefault="008A7AE0" w:rsidP="00A32EA1">
            <w:pPr>
              <w:pStyle w:val="NormalWeb"/>
              <w:rPr>
                <w:sz w:val="18"/>
                <w:szCs w:val="18"/>
              </w:rPr>
            </w:pPr>
            <w:r w:rsidRPr="00406CC2">
              <w:rPr>
                <w:sz w:val="18"/>
                <w:szCs w:val="18"/>
              </w:rPr>
              <w:t>85+</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040EF50" w14:textId="77777777" w:rsidR="008A7AE0" w:rsidRPr="00406CC2" w:rsidRDefault="008A7AE0" w:rsidP="00A32EA1">
            <w:pPr>
              <w:pStyle w:val="NormalWeb"/>
              <w:rPr>
                <w:sz w:val="18"/>
                <w:szCs w:val="18"/>
              </w:rPr>
            </w:pPr>
            <w:r w:rsidRPr="00406CC2">
              <w:rPr>
                <w:sz w:val="18"/>
                <w:szCs w:val="18"/>
              </w:rPr>
              <w:t>124.3</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629A554" w14:textId="77777777" w:rsidR="008A7AE0" w:rsidRPr="00406CC2" w:rsidRDefault="008A7AE0" w:rsidP="00A32EA1">
            <w:pPr>
              <w:pStyle w:val="NormalWeb"/>
              <w:rPr>
                <w:sz w:val="18"/>
                <w:szCs w:val="18"/>
              </w:rPr>
            </w:pPr>
            <w:r w:rsidRPr="00406CC2">
              <w:rPr>
                <w:sz w:val="18"/>
                <w:szCs w:val="18"/>
              </w:rPr>
              <w:t>126.9</w:t>
            </w:r>
          </w:p>
        </w:tc>
        <w:tc>
          <w:tcPr>
            <w:tcW w:w="10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6B87C7A" w14:textId="77777777" w:rsidR="008A7AE0" w:rsidRPr="00406CC2" w:rsidRDefault="008A7AE0" w:rsidP="00A32EA1">
            <w:pPr>
              <w:pStyle w:val="NormalWeb"/>
              <w:rPr>
                <w:sz w:val="18"/>
                <w:szCs w:val="18"/>
              </w:rPr>
            </w:pPr>
            <w:r w:rsidRPr="00406CC2">
              <w:rPr>
                <w:sz w:val="18"/>
                <w:szCs w:val="18"/>
              </w:rPr>
              <w:t>1.02</w:t>
            </w:r>
          </w:p>
        </w:tc>
        <w:tc>
          <w:tcPr>
            <w:tcW w:w="10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E8C42EA" w14:textId="77777777" w:rsidR="008A7AE0" w:rsidRPr="00406CC2" w:rsidRDefault="008A7AE0" w:rsidP="00A32EA1">
            <w:pPr>
              <w:pStyle w:val="NormalWeb"/>
              <w:rPr>
                <w:sz w:val="18"/>
                <w:szCs w:val="18"/>
              </w:rPr>
            </w:pPr>
            <w:r w:rsidRPr="00406CC2">
              <w:rPr>
                <w:sz w:val="18"/>
                <w:szCs w:val="18"/>
              </w:rPr>
              <w:t>0.93–1.13</w:t>
            </w:r>
          </w:p>
        </w:tc>
        <w:tc>
          <w:tcPr>
            <w:tcW w:w="10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5EFE8BD" w14:textId="77777777" w:rsidR="008A7AE0" w:rsidRPr="00406CC2" w:rsidRDefault="008A7AE0" w:rsidP="00A32EA1">
            <w:pPr>
              <w:pStyle w:val="NormalWeb"/>
              <w:rPr>
                <w:sz w:val="18"/>
                <w:szCs w:val="18"/>
              </w:rPr>
            </w:pPr>
            <w:r w:rsidRPr="00406CC2">
              <w:rPr>
                <w:sz w:val="18"/>
                <w:szCs w:val="18"/>
              </w:rPr>
              <w:t>0.677</w:t>
            </w:r>
          </w:p>
        </w:tc>
      </w:tr>
      <w:tr w:rsidR="008A7AE0" w:rsidRPr="00406CC2" w14:paraId="2B374F73" w14:textId="77777777" w:rsidTr="008A7AE0">
        <w:trPr>
          <w:cnfStyle w:val="000000010000" w:firstRow="0" w:lastRow="0" w:firstColumn="0" w:lastColumn="0" w:oddVBand="0" w:evenVBand="0" w:oddHBand="0" w:evenHBand="1" w:firstRowFirstColumn="0" w:firstRowLastColumn="0" w:lastRowFirstColumn="0" w:lastRowLastColumn="0"/>
          <w:divId w:val="1964146631"/>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C57F2B7" w14:textId="77777777" w:rsidR="008A7AE0" w:rsidRPr="00406CC2" w:rsidRDefault="008A7AE0" w:rsidP="00A32EA1">
            <w:pPr>
              <w:rPr>
                <w:sz w:val="18"/>
                <w:szCs w:val="18"/>
              </w:rPr>
            </w:pP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7ECDD"/>
            <w:hideMark/>
          </w:tcPr>
          <w:p w14:paraId="05074621" w14:textId="77777777" w:rsidR="008A7AE0" w:rsidRPr="004B08E0" w:rsidRDefault="008A7AE0" w:rsidP="00A32EA1">
            <w:pPr>
              <w:pStyle w:val="NormalWeb"/>
              <w:rPr>
                <w:b/>
                <w:bCs/>
                <w:sz w:val="18"/>
                <w:szCs w:val="18"/>
              </w:rPr>
            </w:pPr>
            <w:r w:rsidRPr="004B08E0">
              <w:rPr>
                <w:b/>
                <w:bCs/>
                <w:sz w:val="18"/>
                <w:szCs w:val="18"/>
              </w:rPr>
              <w:t>Total</w:t>
            </w:r>
          </w:p>
        </w:tc>
        <w:tc>
          <w:tcPr>
            <w:tcW w:w="0" w:type="auto"/>
            <w:tcBorders>
              <w:top w:val="single" w:sz="4" w:space="0" w:color="808080" w:themeColor="background1" w:themeShade="80"/>
              <w:bottom w:val="single" w:sz="4" w:space="0" w:color="808080" w:themeColor="background1" w:themeShade="80"/>
            </w:tcBorders>
            <w:shd w:val="clear" w:color="auto" w:fill="F7ECDD"/>
            <w:hideMark/>
          </w:tcPr>
          <w:p w14:paraId="031A05FB" w14:textId="77777777" w:rsidR="008A7AE0" w:rsidRPr="004B08E0" w:rsidRDefault="008A7AE0" w:rsidP="00A32EA1">
            <w:pPr>
              <w:pStyle w:val="NormalWeb"/>
              <w:rPr>
                <w:b/>
                <w:bCs/>
                <w:sz w:val="18"/>
                <w:szCs w:val="18"/>
              </w:rPr>
            </w:pPr>
            <w:r w:rsidRPr="004B08E0">
              <w:rPr>
                <w:b/>
                <w:bCs/>
                <w:sz w:val="18"/>
                <w:szCs w:val="18"/>
              </w:rPr>
              <w:t>85.2</w:t>
            </w:r>
          </w:p>
        </w:tc>
        <w:tc>
          <w:tcPr>
            <w:tcW w:w="0" w:type="auto"/>
            <w:tcBorders>
              <w:top w:val="single" w:sz="4" w:space="0" w:color="808080" w:themeColor="background1" w:themeShade="80"/>
              <w:bottom w:val="single" w:sz="4" w:space="0" w:color="808080" w:themeColor="background1" w:themeShade="80"/>
            </w:tcBorders>
            <w:shd w:val="clear" w:color="auto" w:fill="F7ECDD"/>
            <w:hideMark/>
          </w:tcPr>
          <w:p w14:paraId="1864252F" w14:textId="77777777" w:rsidR="008A7AE0" w:rsidRPr="004B08E0" w:rsidRDefault="008A7AE0" w:rsidP="00A32EA1">
            <w:pPr>
              <w:pStyle w:val="NormalWeb"/>
              <w:rPr>
                <w:b/>
                <w:bCs/>
                <w:sz w:val="18"/>
                <w:szCs w:val="18"/>
              </w:rPr>
            </w:pPr>
            <w:r w:rsidRPr="004B08E0">
              <w:rPr>
                <w:b/>
                <w:bCs/>
                <w:sz w:val="18"/>
                <w:szCs w:val="18"/>
              </w:rPr>
              <w:t>87.3</w:t>
            </w:r>
          </w:p>
        </w:tc>
        <w:tc>
          <w:tcPr>
            <w:tcW w:w="1056" w:type="dxa"/>
            <w:tcBorders>
              <w:top w:val="single" w:sz="4" w:space="0" w:color="808080" w:themeColor="background1" w:themeShade="80"/>
              <w:bottom w:val="single" w:sz="4" w:space="0" w:color="808080" w:themeColor="background1" w:themeShade="80"/>
            </w:tcBorders>
            <w:shd w:val="clear" w:color="auto" w:fill="F7ECDD"/>
            <w:hideMark/>
          </w:tcPr>
          <w:p w14:paraId="54F33BFD" w14:textId="77777777" w:rsidR="008A7AE0" w:rsidRPr="004B08E0" w:rsidRDefault="008A7AE0" w:rsidP="00A32EA1">
            <w:pPr>
              <w:pStyle w:val="NormalWeb"/>
              <w:rPr>
                <w:b/>
                <w:bCs/>
                <w:sz w:val="18"/>
                <w:szCs w:val="18"/>
              </w:rPr>
            </w:pPr>
            <w:r w:rsidRPr="004B08E0">
              <w:rPr>
                <w:b/>
                <w:bCs/>
                <w:sz w:val="18"/>
                <w:szCs w:val="18"/>
              </w:rPr>
              <w:t>1.02</w:t>
            </w:r>
          </w:p>
        </w:tc>
        <w:tc>
          <w:tcPr>
            <w:tcW w:w="1056" w:type="dxa"/>
            <w:tcBorders>
              <w:top w:val="single" w:sz="4" w:space="0" w:color="808080" w:themeColor="background1" w:themeShade="80"/>
              <w:bottom w:val="single" w:sz="4" w:space="0" w:color="808080" w:themeColor="background1" w:themeShade="80"/>
            </w:tcBorders>
            <w:shd w:val="clear" w:color="auto" w:fill="F7ECDD"/>
            <w:hideMark/>
          </w:tcPr>
          <w:p w14:paraId="1251476F" w14:textId="77777777" w:rsidR="008A7AE0" w:rsidRPr="004B08E0" w:rsidRDefault="008A7AE0" w:rsidP="00A32EA1">
            <w:pPr>
              <w:pStyle w:val="NormalWeb"/>
              <w:rPr>
                <w:b/>
                <w:bCs/>
                <w:sz w:val="18"/>
                <w:szCs w:val="18"/>
              </w:rPr>
            </w:pPr>
            <w:r w:rsidRPr="004B08E0">
              <w:rPr>
                <w:b/>
                <w:bCs/>
                <w:sz w:val="18"/>
                <w:szCs w:val="18"/>
              </w:rPr>
              <w:t>0.99–1.06</w:t>
            </w:r>
          </w:p>
        </w:tc>
        <w:tc>
          <w:tcPr>
            <w:tcW w:w="1057"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532E1DBA" w14:textId="77777777" w:rsidR="008A7AE0" w:rsidRPr="004B08E0" w:rsidRDefault="008A7AE0" w:rsidP="00A32EA1">
            <w:pPr>
              <w:pStyle w:val="NormalWeb"/>
              <w:rPr>
                <w:b/>
                <w:bCs/>
                <w:sz w:val="18"/>
                <w:szCs w:val="18"/>
              </w:rPr>
            </w:pPr>
            <w:r w:rsidRPr="004B08E0">
              <w:rPr>
                <w:b/>
                <w:bCs/>
                <w:sz w:val="18"/>
                <w:szCs w:val="18"/>
              </w:rPr>
              <w:t>0.204</w:t>
            </w:r>
          </w:p>
        </w:tc>
      </w:tr>
      <w:tr w:rsidR="008A7AE0" w:rsidRPr="00406CC2" w14:paraId="187C3128" w14:textId="77777777" w:rsidTr="008A7AE0">
        <w:trPr>
          <w:divId w:val="1964146631"/>
        </w:trPr>
        <w:tc>
          <w:tcPr>
            <w:tcW w:w="0" w:type="auto"/>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3EFB151" w14:textId="77777777" w:rsidR="008A7AE0" w:rsidRPr="00406CC2" w:rsidRDefault="008A7AE0" w:rsidP="00A32EA1">
            <w:pPr>
              <w:pStyle w:val="NormalWeb"/>
              <w:rPr>
                <w:sz w:val="18"/>
                <w:szCs w:val="18"/>
              </w:rPr>
            </w:pPr>
            <w:r w:rsidRPr="00406CC2">
              <w:rPr>
                <w:sz w:val="18"/>
                <w:szCs w:val="18"/>
              </w:rPr>
              <w:t>Hospitalisations</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D722F4B" w14:textId="77777777" w:rsidR="008A7AE0" w:rsidRPr="00406CC2" w:rsidRDefault="008A7AE0" w:rsidP="00A32EA1">
            <w:pPr>
              <w:pStyle w:val="NormalWeb"/>
              <w:rPr>
                <w:sz w:val="18"/>
                <w:szCs w:val="18"/>
              </w:rPr>
            </w:pPr>
            <w:r w:rsidRPr="00406CC2">
              <w:rPr>
                <w:sz w:val="18"/>
                <w:szCs w:val="18"/>
              </w:rPr>
              <w:t>60–64</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08D12EF" w14:textId="77777777" w:rsidR="008A7AE0" w:rsidRPr="00406CC2" w:rsidRDefault="008A7AE0" w:rsidP="00A32EA1">
            <w:pPr>
              <w:pStyle w:val="NormalWeb"/>
              <w:rPr>
                <w:sz w:val="18"/>
                <w:szCs w:val="18"/>
              </w:rPr>
            </w:pPr>
            <w:r w:rsidRPr="00406CC2">
              <w:rPr>
                <w:sz w:val="18"/>
                <w:szCs w:val="18"/>
              </w:rPr>
              <w:t>16.6</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F1C279F" w14:textId="77777777" w:rsidR="008A7AE0" w:rsidRPr="00406CC2" w:rsidRDefault="008A7AE0" w:rsidP="00A32EA1">
            <w:pPr>
              <w:pStyle w:val="NormalWeb"/>
              <w:rPr>
                <w:sz w:val="18"/>
                <w:szCs w:val="18"/>
              </w:rPr>
            </w:pPr>
            <w:r w:rsidRPr="00406CC2">
              <w:rPr>
                <w:sz w:val="18"/>
                <w:szCs w:val="18"/>
              </w:rPr>
              <w:t>19.5</w:t>
            </w:r>
          </w:p>
        </w:tc>
        <w:tc>
          <w:tcPr>
            <w:tcW w:w="10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62905EE" w14:textId="77777777" w:rsidR="008A7AE0" w:rsidRPr="00406CC2" w:rsidRDefault="008A7AE0" w:rsidP="00A32EA1">
            <w:pPr>
              <w:pStyle w:val="NormalWeb"/>
              <w:rPr>
                <w:sz w:val="18"/>
                <w:szCs w:val="18"/>
              </w:rPr>
            </w:pPr>
            <w:r w:rsidRPr="00406CC2">
              <w:rPr>
                <w:sz w:val="18"/>
                <w:szCs w:val="18"/>
              </w:rPr>
              <w:t>1.18</w:t>
            </w:r>
          </w:p>
        </w:tc>
        <w:tc>
          <w:tcPr>
            <w:tcW w:w="10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ED56F61" w14:textId="77777777" w:rsidR="008A7AE0" w:rsidRPr="00406CC2" w:rsidRDefault="008A7AE0" w:rsidP="00A32EA1">
            <w:pPr>
              <w:pStyle w:val="NormalWeb"/>
              <w:rPr>
                <w:sz w:val="18"/>
                <w:szCs w:val="18"/>
              </w:rPr>
            </w:pPr>
            <w:r w:rsidRPr="00406CC2">
              <w:rPr>
                <w:sz w:val="18"/>
                <w:szCs w:val="18"/>
              </w:rPr>
              <w:t>1.00–1.39</w:t>
            </w:r>
          </w:p>
        </w:tc>
        <w:tc>
          <w:tcPr>
            <w:tcW w:w="10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D1E8FB6" w14:textId="77777777" w:rsidR="008A7AE0" w:rsidRPr="00406CC2" w:rsidRDefault="008A7AE0" w:rsidP="00A32EA1">
            <w:pPr>
              <w:pStyle w:val="NormalWeb"/>
              <w:rPr>
                <w:sz w:val="18"/>
                <w:szCs w:val="18"/>
              </w:rPr>
            </w:pPr>
            <w:r w:rsidRPr="00406CC2">
              <w:rPr>
                <w:sz w:val="18"/>
                <w:szCs w:val="18"/>
              </w:rPr>
              <w:t>0.046</w:t>
            </w:r>
          </w:p>
        </w:tc>
      </w:tr>
      <w:tr w:rsidR="008A7AE0" w:rsidRPr="00406CC2" w14:paraId="476808B1" w14:textId="77777777" w:rsidTr="008A7AE0">
        <w:trPr>
          <w:cnfStyle w:val="000000010000" w:firstRow="0" w:lastRow="0" w:firstColumn="0" w:lastColumn="0" w:oddVBand="0" w:evenVBand="0" w:oddHBand="0" w:evenHBand="1" w:firstRowFirstColumn="0" w:firstRowLastColumn="0" w:lastRowFirstColumn="0" w:lastRowLastColumn="0"/>
          <w:divId w:val="1964146631"/>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F767EB4" w14:textId="77777777" w:rsidR="008A7AE0" w:rsidRPr="00406CC2" w:rsidRDefault="008A7AE0" w:rsidP="00A32EA1">
            <w:pPr>
              <w:rPr>
                <w:sz w:val="18"/>
                <w:szCs w:val="18"/>
              </w:rPr>
            </w:pP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FE7C1EB" w14:textId="77777777" w:rsidR="008A7AE0" w:rsidRPr="00406CC2" w:rsidRDefault="008A7AE0" w:rsidP="00A32EA1">
            <w:pPr>
              <w:pStyle w:val="NormalWeb"/>
              <w:rPr>
                <w:sz w:val="18"/>
                <w:szCs w:val="18"/>
              </w:rPr>
            </w:pPr>
            <w:r w:rsidRPr="00406CC2">
              <w:rPr>
                <w:sz w:val="18"/>
                <w:szCs w:val="18"/>
              </w:rPr>
              <w:t>65–69</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9071807" w14:textId="77777777" w:rsidR="008A7AE0" w:rsidRPr="00406CC2" w:rsidRDefault="008A7AE0" w:rsidP="00A32EA1">
            <w:pPr>
              <w:pStyle w:val="NormalWeb"/>
              <w:rPr>
                <w:sz w:val="18"/>
                <w:szCs w:val="18"/>
              </w:rPr>
            </w:pPr>
            <w:r w:rsidRPr="00406CC2">
              <w:rPr>
                <w:sz w:val="18"/>
                <w:szCs w:val="18"/>
              </w:rPr>
              <w:t>25.4</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031C592" w14:textId="77777777" w:rsidR="008A7AE0" w:rsidRPr="00406CC2" w:rsidRDefault="008A7AE0" w:rsidP="00A32EA1">
            <w:pPr>
              <w:pStyle w:val="NormalWeb"/>
              <w:rPr>
                <w:sz w:val="18"/>
                <w:szCs w:val="18"/>
              </w:rPr>
            </w:pPr>
            <w:r w:rsidRPr="00406CC2">
              <w:rPr>
                <w:sz w:val="18"/>
                <w:szCs w:val="18"/>
              </w:rPr>
              <w:t>28.1</w:t>
            </w:r>
          </w:p>
        </w:tc>
        <w:tc>
          <w:tcPr>
            <w:tcW w:w="10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07543A3" w14:textId="77777777" w:rsidR="008A7AE0" w:rsidRPr="00406CC2" w:rsidRDefault="008A7AE0" w:rsidP="00A32EA1">
            <w:pPr>
              <w:pStyle w:val="NormalWeb"/>
              <w:rPr>
                <w:sz w:val="18"/>
                <w:szCs w:val="18"/>
              </w:rPr>
            </w:pPr>
            <w:r w:rsidRPr="00406CC2">
              <w:rPr>
                <w:sz w:val="18"/>
                <w:szCs w:val="18"/>
              </w:rPr>
              <w:t>1.11</w:t>
            </w:r>
          </w:p>
        </w:tc>
        <w:tc>
          <w:tcPr>
            <w:tcW w:w="10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DB096A3" w14:textId="77777777" w:rsidR="008A7AE0" w:rsidRPr="00406CC2" w:rsidRDefault="008A7AE0" w:rsidP="00A32EA1">
            <w:pPr>
              <w:pStyle w:val="NormalWeb"/>
              <w:rPr>
                <w:sz w:val="18"/>
                <w:szCs w:val="18"/>
              </w:rPr>
            </w:pPr>
            <w:r w:rsidRPr="00406CC2">
              <w:rPr>
                <w:sz w:val="18"/>
                <w:szCs w:val="18"/>
              </w:rPr>
              <w:t>0.96–1.28</w:t>
            </w:r>
          </w:p>
        </w:tc>
        <w:tc>
          <w:tcPr>
            <w:tcW w:w="10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A8FBD91" w14:textId="77777777" w:rsidR="008A7AE0" w:rsidRPr="00406CC2" w:rsidRDefault="008A7AE0" w:rsidP="00A32EA1">
            <w:pPr>
              <w:pStyle w:val="NormalWeb"/>
              <w:rPr>
                <w:sz w:val="18"/>
                <w:szCs w:val="18"/>
              </w:rPr>
            </w:pPr>
            <w:r w:rsidRPr="00406CC2">
              <w:rPr>
                <w:sz w:val="18"/>
                <w:szCs w:val="18"/>
              </w:rPr>
              <w:t>0.160</w:t>
            </w:r>
          </w:p>
        </w:tc>
      </w:tr>
      <w:tr w:rsidR="008A7AE0" w:rsidRPr="00406CC2" w14:paraId="0671E724" w14:textId="77777777" w:rsidTr="008A7AE0">
        <w:trPr>
          <w:divId w:val="1964146631"/>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D223DCC" w14:textId="77777777" w:rsidR="008A7AE0" w:rsidRPr="00406CC2" w:rsidRDefault="008A7AE0" w:rsidP="00A32EA1">
            <w:pPr>
              <w:rPr>
                <w:sz w:val="18"/>
                <w:szCs w:val="18"/>
              </w:rPr>
            </w:pP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5A9B099" w14:textId="77777777" w:rsidR="008A7AE0" w:rsidRPr="00406CC2" w:rsidRDefault="008A7AE0" w:rsidP="00A32EA1">
            <w:pPr>
              <w:pStyle w:val="NormalWeb"/>
              <w:rPr>
                <w:sz w:val="18"/>
                <w:szCs w:val="18"/>
              </w:rPr>
            </w:pPr>
            <w:r w:rsidRPr="00406CC2">
              <w:rPr>
                <w:sz w:val="18"/>
                <w:szCs w:val="18"/>
              </w:rPr>
              <w:t>70–74</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9E8B03A" w14:textId="77777777" w:rsidR="008A7AE0" w:rsidRPr="00406CC2" w:rsidRDefault="008A7AE0" w:rsidP="00A32EA1">
            <w:pPr>
              <w:pStyle w:val="NormalWeb"/>
              <w:rPr>
                <w:sz w:val="18"/>
                <w:szCs w:val="18"/>
              </w:rPr>
            </w:pPr>
            <w:r w:rsidRPr="00406CC2">
              <w:rPr>
                <w:sz w:val="18"/>
                <w:szCs w:val="18"/>
              </w:rPr>
              <w:t>35.5</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EBD8852" w14:textId="77777777" w:rsidR="008A7AE0" w:rsidRPr="00406CC2" w:rsidRDefault="008A7AE0" w:rsidP="00A32EA1">
            <w:pPr>
              <w:pStyle w:val="NormalWeb"/>
              <w:rPr>
                <w:sz w:val="18"/>
                <w:szCs w:val="18"/>
              </w:rPr>
            </w:pPr>
            <w:r w:rsidRPr="00406CC2">
              <w:rPr>
                <w:sz w:val="18"/>
                <w:szCs w:val="18"/>
              </w:rPr>
              <w:t>29.3</w:t>
            </w:r>
          </w:p>
        </w:tc>
        <w:tc>
          <w:tcPr>
            <w:tcW w:w="10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8239750" w14:textId="77777777" w:rsidR="008A7AE0" w:rsidRPr="00406CC2" w:rsidRDefault="008A7AE0" w:rsidP="00A32EA1">
            <w:pPr>
              <w:pStyle w:val="NormalWeb"/>
              <w:rPr>
                <w:sz w:val="18"/>
                <w:szCs w:val="18"/>
              </w:rPr>
            </w:pPr>
            <w:r w:rsidRPr="00406CC2">
              <w:rPr>
                <w:sz w:val="18"/>
                <w:szCs w:val="18"/>
              </w:rPr>
              <w:t>0.83</w:t>
            </w:r>
          </w:p>
        </w:tc>
        <w:tc>
          <w:tcPr>
            <w:tcW w:w="10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870DD10" w14:textId="77777777" w:rsidR="008A7AE0" w:rsidRPr="00406CC2" w:rsidRDefault="008A7AE0" w:rsidP="00A32EA1">
            <w:pPr>
              <w:pStyle w:val="NormalWeb"/>
              <w:rPr>
                <w:sz w:val="18"/>
                <w:szCs w:val="18"/>
              </w:rPr>
            </w:pPr>
            <w:r w:rsidRPr="00406CC2">
              <w:rPr>
                <w:sz w:val="18"/>
                <w:szCs w:val="18"/>
              </w:rPr>
              <w:t>0.71–0.95</w:t>
            </w:r>
          </w:p>
        </w:tc>
        <w:tc>
          <w:tcPr>
            <w:tcW w:w="10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CDD722C" w14:textId="77777777" w:rsidR="008A7AE0" w:rsidRPr="00406CC2" w:rsidRDefault="008A7AE0" w:rsidP="00A32EA1">
            <w:pPr>
              <w:pStyle w:val="NormalWeb"/>
              <w:rPr>
                <w:sz w:val="18"/>
                <w:szCs w:val="18"/>
              </w:rPr>
            </w:pPr>
            <w:r w:rsidRPr="00406CC2">
              <w:rPr>
                <w:sz w:val="18"/>
                <w:szCs w:val="18"/>
              </w:rPr>
              <w:t>0.009</w:t>
            </w:r>
          </w:p>
        </w:tc>
      </w:tr>
      <w:tr w:rsidR="008A7AE0" w:rsidRPr="00406CC2" w14:paraId="7B65F170" w14:textId="77777777" w:rsidTr="008A7AE0">
        <w:trPr>
          <w:cnfStyle w:val="000000010000" w:firstRow="0" w:lastRow="0" w:firstColumn="0" w:lastColumn="0" w:oddVBand="0" w:evenVBand="0" w:oddHBand="0" w:evenHBand="1" w:firstRowFirstColumn="0" w:firstRowLastColumn="0" w:lastRowFirstColumn="0" w:lastRowLastColumn="0"/>
          <w:divId w:val="1964146631"/>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ABD0BF2" w14:textId="77777777" w:rsidR="008A7AE0" w:rsidRPr="00406CC2" w:rsidRDefault="008A7AE0" w:rsidP="00A32EA1">
            <w:pPr>
              <w:rPr>
                <w:sz w:val="18"/>
                <w:szCs w:val="18"/>
              </w:rPr>
            </w:pP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18021C7" w14:textId="77777777" w:rsidR="008A7AE0" w:rsidRPr="00406CC2" w:rsidRDefault="008A7AE0" w:rsidP="00A32EA1">
            <w:pPr>
              <w:pStyle w:val="NormalWeb"/>
              <w:rPr>
                <w:sz w:val="18"/>
                <w:szCs w:val="18"/>
              </w:rPr>
            </w:pPr>
            <w:r w:rsidRPr="00406CC2">
              <w:rPr>
                <w:sz w:val="18"/>
                <w:szCs w:val="18"/>
              </w:rPr>
              <w:t>75–79</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B9C811F" w14:textId="77777777" w:rsidR="008A7AE0" w:rsidRPr="00406CC2" w:rsidRDefault="008A7AE0" w:rsidP="00A32EA1">
            <w:pPr>
              <w:pStyle w:val="NormalWeb"/>
              <w:rPr>
                <w:sz w:val="18"/>
                <w:szCs w:val="18"/>
              </w:rPr>
            </w:pPr>
            <w:r w:rsidRPr="00406CC2">
              <w:rPr>
                <w:sz w:val="18"/>
                <w:szCs w:val="18"/>
              </w:rPr>
              <w:t>54.6</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E125415" w14:textId="77777777" w:rsidR="008A7AE0" w:rsidRPr="00406CC2" w:rsidRDefault="008A7AE0" w:rsidP="00A32EA1">
            <w:pPr>
              <w:pStyle w:val="NormalWeb"/>
              <w:rPr>
                <w:sz w:val="18"/>
                <w:szCs w:val="18"/>
              </w:rPr>
            </w:pPr>
            <w:r w:rsidRPr="00406CC2">
              <w:rPr>
                <w:sz w:val="18"/>
                <w:szCs w:val="18"/>
              </w:rPr>
              <w:t>45.5</w:t>
            </w:r>
          </w:p>
        </w:tc>
        <w:tc>
          <w:tcPr>
            <w:tcW w:w="10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03090F5" w14:textId="77777777" w:rsidR="008A7AE0" w:rsidRPr="00406CC2" w:rsidRDefault="008A7AE0" w:rsidP="00A32EA1">
            <w:pPr>
              <w:pStyle w:val="NormalWeb"/>
              <w:rPr>
                <w:sz w:val="18"/>
                <w:szCs w:val="18"/>
              </w:rPr>
            </w:pPr>
            <w:r w:rsidRPr="00406CC2">
              <w:rPr>
                <w:sz w:val="18"/>
                <w:szCs w:val="18"/>
              </w:rPr>
              <w:t>0.83</w:t>
            </w:r>
          </w:p>
        </w:tc>
        <w:tc>
          <w:tcPr>
            <w:tcW w:w="10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235CCFC" w14:textId="77777777" w:rsidR="008A7AE0" w:rsidRPr="00406CC2" w:rsidRDefault="008A7AE0" w:rsidP="00A32EA1">
            <w:pPr>
              <w:pStyle w:val="NormalWeb"/>
              <w:rPr>
                <w:sz w:val="18"/>
                <w:szCs w:val="18"/>
              </w:rPr>
            </w:pPr>
            <w:r w:rsidRPr="00406CC2">
              <w:rPr>
                <w:sz w:val="18"/>
                <w:szCs w:val="18"/>
              </w:rPr>
              <w:t>0.73–0.95</w:t>
            </w:r>
          </w:p>
        </w:tc>
        <w:tc>
          <w:tcPr>
            <w:tcW w:w="10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7505D269" w14:textId="77777777" w:rsidR="008A7AE0" w:rsidRPr="00406CC2" w:rsidRDefault="008A7AE0" w:rsidP="00A32EA1">
            <w:pPr>
              <w:pStyle w:val="NormalWeb"/>
              <w:rPr>
                <w:sz w:val="18"/>
                <w:szCs w:val="18"/>
              </w:rPr>
            </w:pPr>
            <w:r w:rsidRPr="00406CC2">
              <w:rPr>
                <w:sz w:val="18"/>
                <w:szCs w:val="18"/>
              </w:rPr>
              <w:t>0.008</w:t>
            </w:r>
          </w:p>
        </w:tc>
      </w:tr>
      <w:tr w:rsidR="008A7AE0" w:rsidRPr="00406CC2" w14:paraId="085728F6" w14:textId="77777777" w:rsidTr="008A7AE0">
        <w:trPr>
          <w:divId w:val="1964146631"/>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0EC5A17" w14:textId="77777777" w:rsidR="008A7AE0" w:rsidRPr="00406CC2" w:rsidRDefault="008A7AE0" w:rsidP="00A32EA1">
            <w:pPr>
              <w:rPr>
                <w:sz w:val="18"/>
                <w:szCs w:val="18"/>
              </w:rPr>
            </w:pP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648D655" w14:textId="77777777" w:rsidR="008A7AE0" w:rsidRPr="00406CC2" w:rsidRDefault="008A7AE0" w:rsidP="00A32EA1">
            <w:pPr>
              <w:pStyle w:val="NormalWeb"/>
              <w:rPr>
                <w:sz w:val="18"/>
                <w:szCs w:val="18"/>
              </w:rPr>
            </w:pPr>
            <w:r w:rsidRPr="00406CC2">
              <w:rPr>
                <w:sz w:val="18"/>
                <w:szCs w:val="18"/>
              </w:rPr>
              <w:t>80–84</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3535AA3" w14:textId="77777777" w:rsidR="008A7AE0" w:rsidRPr="00406CC2" w:rsidRDefault="008A7AE0" w:rsidP="00A32EA1">
            <w:pPr>
              <w:pStyle w:val="NormalWeb"/>
              <w:rPr>
                <w:sz w:val="18"/>
                <w:szCs w:val="18"/>
              </w:rPr>
            </w:pPr>
            <w:r w:rsidRPr="00406CC2">
              <w:rPr>
                <w:sz w:val="18"/>
                <w:szCs w:val="18"/>
              </w:rPr>
              <w:t>90.9</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FC8FE4C" w14:textId="77777777" w:rsidR="008A7AE0" w:rsidRPr="00406CC2" w:rsidRDefault="008A7AE0" w:rsidP="00A32EA1">
            <w:pPr>
              <w:pStyle w:val="NormalWeb"/>
              <w:rPr>
                <w:sz w:val="18"/>
                <w:szCs w:val="18"/>
              </w:rPr>
            </w:pPr>
            <w:r w:rsidRPr="00406CC2">
              <w:rPr>
                <w:sz w:val="18"/>
                <w:szCs w:val="18"/>
              </w:rPr>
              <w:t>75.5</w:t>
            </w:r>
          </w:p>
        </w:tc>
        <w:tc>
          <w:tcPr>
            <w:tcW w:w="10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CD096B5" w14:textId="77777777" w:rsidR="008A7AE0" w:rsidRPr="00406CC2" w:rsidRDefault="008A7AE0" w:rsidP="00A32EA1">
            <w:pPr>
              <w:pStyle w:val="NormalWeb"/>
              <w:rPr>
                <w:sz w:val="18"/>
                <w:szCs w:val="18"/>
              </w:rPr>
            </w:pPr>
            <w:r w:rsidRPr="00406CC2">
              <w:rPr>
                <w:sz w:val="18"/>
                <w:szCs w:val="18"/>
              </w:rPr>
              <w:t>0.83</w:t>
            </w:r>
          </w:p>
        </w:tc>
        <w:tc>
          <w:tcPr>
            <w:tcW w:w="10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9326337" w14:textId="77777777" w:rsidR="008A7AE0" w:rsidRPr="00406CC2" w:rsidRDefault="008A7AE0" w:rsidP="00A32EA1">
            <w:pPr>
              <w:pStyle w:val="NormalWeb"/>
              <w:rPr>
                <w:sz w:val="18"/>
                <w:szCs w:val="18"/>
              </w:rPr>
            </w:pPr>
            <w:r w:rsidRPr="00406CC2">
              <w:rPr>
                <w:sz w:val="18"/>
                <w:szCs w:val="18"/>
              </w:rPr>
              <w:t>0.73–0.94</w:t>
            </w:r>
          </w:p>
        </w:tc>
        <w:tc>
          <w:tcPr>
            <w:tcW w:w="10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D14F711" w14:textId="77777777" w:rsidR="008A7AE0" w:rsidRPr="00406CC2" w:rsidRDefault="008A7AE0" w:rsidP="00A32EA1">
            <w:pPr>
              <w:pStyle w:val="NormalWeb"/>
              <w:rPr>
                <w:sz w:val="18"/>
                <w:szCs w:val="18"/>
              </w:rPr>
            </w:pPr>
            <w:r w:rsidRPr="00406CC2">
              <w:rPr>
                <w:sz w:val="18"/>
                <w:szCs w:val="18"/>
              </w:rPr>
              <w:t>0.003</w:t>
            </w:r>
          </w:p>
        </w:tc>
      </w:tr>
      <w:tr w:rsidR="008A7AE0" w:rsidRPr="00406CC2" w14:paraId="3D8D1A03" w14:textId="77777777" w:rsidTr="008A7AE0">
        <w:trPr>
          <w:cnfStyle w:val="000000010000" w:firstRow="0" w:lastRow="0" w:firstColumn="0" w:lastColumn="0" w:oddVBand="0" w:evenVBand="0" w:oddHBand="0" w:evenHBand="1" w:firstRowFirstColumn="0" w:firstRowLastColumn="0" w:lastRowFirstColumn="0" w:lastRowLastColumn="0"/>
          <w:divId w:val="1964146631"/>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2CB1A6B" w14:textId="77777777" w:rsidR="008A7AE0" w:rsidRPr="00406CC2" w:rsidRDefault="008A7AE0" w:rsidP="00A32EA1">
            <w:pPr>
              <w:rPr>
                <w:sz w:val="18"/>
                <w:szCs w:val="18"/>
              </w:rPr>
            </w:pP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4C1456D" w14:textId="77777777" w:rsidR="008A7AE0" w:rsidRPr="00406CC2" w:rsidRDefault="008A7AE0" w:rsidP="00A32EA1">
            <w:pPr>
              <w:pStyle w:val="NormalWeb"/>
              <w:rPr>
                <w:sz w:val="18"/>
                <w:szCs w:val="18"/>
              </w:rPr>
            </w:pPr>
            <w:r w:rsidRPr="00406CC2">
              <w:rPr>
                <w:sz w:val="18"/>
                <w:szCs w:val="18"/>
              </w:rPr>
              <w:t>85+</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5591362C" w14:textId="77777777" w:rsidR="008A7AE0" w:rsidRPr="00406CC2" w:rsidRDefault="008A7AE0" w:rsidP="00A32EA1">
            <w:pPr>
              <w:pStyle w:val="NormalWeb"/>
              <w:rPr>
                <w:sz w:val="18"/>
                <w:szCs w:val="18"/>
              </w:rPr>
            </w:pPr>
            <w:r w:rsidRPr="00406CC2">
              <w:rPr>
                <w:sz w:val="18"/>
                <w:szCs w:val="18"/>
              </w:rPr>
              <w:t>132.9</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3ED80C14" w14:textId="77777777" w:rsidR="008A7AE0" w:rsidRPr="00406CC2" w:rsidRDefault="008A7AE0" w:rsidP="00A32EA1">
            <w:pPr>
              <w:pStyle w:val="NormalWeb"/>
              <w:rPr>
                <w:sz w:val="18"/>
                <w:szCs w:val="18"/>
              </w:rPr>
            </w:pPr>
            <w:r w:rsidRPr="00406CC2">
              <w:rPr>
                <w:sz w:val="18"/>
                <w:szCs w:val="18"/>
              </w:rPr>
              <w:t>158.9</w:t>
            </w:r>
          </w:p>
        </w:tc>
        <w:tc>
          <w:tcPr>
            <w:tcW w:w="10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015429CB" w14:textId="77777777" w:rsidR="008A7AE0" w:rsidRPr="00406CC2" w:rsidRDefault="008A7AE0" w:rsidP="00A32EA1">
            <w:pPr>
              <w:pStyle w:val="NormalWeb"/>
              <w:rPr>
                <w:sz w:val="18"/>
                <w:szCs w:val="18"/>
              </w:rPr>
            </w:pPr>
            <w:r w:rsidRPr="00406CC2">
              <w:rPr>
                <w:sz w:val="18"/>
                <w:szCs w:val="18"/>
              </w:rPr>
              <w:t>1.20</w:t>
            </w:r>
          </w:p>
        </w:tc>
        <w:tc>
          <w:tcPr>
            <w:tcW w:w="10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14D41203" w14:textId="77777777" w:rsidR="008A7AE0" w:rsidRPr="00406CC2" w:rsidRDefault="008A7AE0" w:rsidP="00A32EA1">
            <w:pPr>
              <w:pStyle w:val="NormalWeb"/>
              <w:rPr>
                <w:sz w:val="18"/>
                <w:szCs w:val="18"/>
              </w:rPr>
            </w:pPr>
            <w:r w:rsidRPr="00406CC2">
              <w:rPr>
                <w:sz w:val="18"/>
                <w:szCs w:val="18"/>
              </w:rPr>
              <w:t>1.09–1.31</w:t>
            </w:r>
          </w:p>
        </w:tc>
        <w:tc>
          <w:tcPr>
            <w:tcW w:w="10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26C3B896" w14:textId="77777777" w:rsidR="008A7AE0" w:rsidRPr="00406CC2" w:rsidRDefault="008A7AE0" w:rsidP="00A32EA1">
            <w:pPr>
              <w:pStyle w:val="NormalWeb"/>
              <w:rPr>
                <w:sz w:val="18"/>
                <w:szCs w:val="18"/>
              </w:rPr>
            </w:pPr>
            <w:r w:rsidRPr="00406CC2">
              <w:rPr>
                <w:sz w:val="18"/>
                <w:szCs w:val="18"/>
              </w:rPr>
              <w:t>&lt; 0.001</w:t>
            </w:r>
          </w:p>
        </w:tc>
      </w:tr>
      <w:tr w:rsidR="008A7AE0" w:rsidRPr="00406CC2" w14:paraId="7A1D24A3" w14:textId="77777777" w:rsidTr="008A7AE0">
        <w:trPr>
          <w:divId w:val="1964146631"/>
        </w:trPr>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692BBA2B" w14:textId="77777777" w:rsidR="008A7AE0" w:rsidRPr="00406CC2" w:rsidRDefault="008A7AE0" w:rsidP="00A32EA1">
            <w:pPr>
              <w:rPr>
                <w:sz w:val="18"/>
                <w:szCs w:val="18"/>
              </w:rPr>
            </w:pP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F7ECDD"/>
            <w:hideMark/>
          </w:tcPr>
          <w:p w14:paraId="4D91FA4F" w14:textId="77777777" w:rsidR="008A7AE0" w:rsidRPr="004B08E0" w:rsidRDefault="008A7AE0" w:rsidP="00A32EA1">
            <w:pPr>
              <w:pStyle w:val="NormalWeb"/>
              <w:rPr>
                <w:b/>
                <w:bCs/>
                <w:sz w:val="18"/>
                <w:szCs w:val="18"/>
              </w:rPr>
            </w:pPr>
            <w:r w:rsidRPr="004B08E0">
              <w:rPr>
                <w:b/>
                <w:bCs/>
                <w:sz w:val="18"/>
                <w:szCs w:val="18"/>
              </w:rPr>
              <w:t>Total</w:t>
            </w:r>
          </w:p>
        </w:tc>
        <w:tc>
          <w:tcPr>
            <w:tcW w:w="0" w:type="auto"/>
            <w:tcBorders>
              <w:top w:val="single" w:sz="4" w:space="0" w:color="808080" w:themeColor="background1" w:themeShade="80"/>
              <w:bottom w:val="single" w:sz="4" w:space="0" w:color="808080" w:themeColor="background1" w:themeShade="80"/>
            </w:tcBorders>
            <w:shd w:val="clear" w:color="auto" w:fill="F7ECDD"/>
            <w:hideMark/>
          </w:tcPr>
          <w:p w14:paraId="743C77BF" w14:textId="77777777" w:rsidR="008A7AE0" w:rsidRPr="004B08E0" w:rsidRDefault="008A7AE0" w:rsidP="00A32EA1">
            <w:pPr>
              <w:pStyle w:val="NormalWeb"/>
              <w:rPr>
                <w:b/>
                <w:bCs/>
                <w:sz w:val="18"/>
                <w:szCs w:val="18"/>
              </w:rPr>
            </w:pPr>
            <w:r w:rsidRPr="004B08E0">
              <w:rPr>
                <w:b/>
                <w:bCs/>
                <w:sz w:val="18"/>
                <w:szCs w:val="18"/>
              </w:rPr>
              <w:t>46.0</w:t>
            </w:r>
          </w:p>
        </w:tc>
        <w:tc>
          <w:tcPr>
            <w:tcW w:w="0" w:type="auto"/>
            <w:tcBorders>
              <w:top w:val="single" w:sz="4" w:space="0" w:color="808080" w:themeColor="background1" w:themeShade="80"/>
              <w:bottom w:val="single" w:sz="4" w:space="0" w:color="808080" w:themeColor="background1" w:themeShade="80"/>
            </w:tcBorders>
            <w:shd w:val="clear" w:color="auto" w:fill="F7ECDD"/>
            <w:hideMark/>
          </w:tcPr>
          <w:p w14:paraId="4ECACC6D" w14:textId="77777777" w:rsidR="008A7AE0" w:rsidRPr="004B08E0" w:rsidRDefault="008A7AE0" w:rsidP="00A32EA1">
            <w:pPr>
              <w:pStyle w:val="NormalWeb"/>
              <w:rPr>
                <w:b/>
                <w:bCs/>
                <w:sz w:val="18"/>
                <w:szCs w:val="18"/>
              </w:rPr>
            </w:pPr>
            <w:r w:rsidRPr="004B08E0">
              <w:rPr>
                <w:b/>
                <w:bCs/>
                <w:sz w:val="18"/>
                <w:szCs w:val="18"/>
              </w:rPr>
              <w:t>46.1</w:t>
            </w:r>
          </w:p>
        </w:tc>
        <w:tc>
          <w:tcPr>
            <w:tcW w:w="1056" w:type="dxa"/>
            <w:tcBorders>
              <w:top w:val="single" w:sz="4" w:space="0" w:color="808080" w:themeColor="background1" w:themeShade="80"/>
              <w:bottom w:val="single" w:sz="4" w:space="0" w:color="808080" w:themeColor="background1" w:themeShade="80"/>
            </w:tcBorders>
            <w:shd w:val="clear" w:color="auto" w:fill="F7ECDD"/>
            <w:hideMark/>
          </w:tcPr>
          <w:p w14:paraId="55115D1E" w14:textId="77777777" w:rsidR="008A7AE0" w:rsidRPr="004B08E0" w:rsidRDefault="008A7AE0" w:rsidP="00A32EA1">
            <w:pPr>
              <w:pStyle w:val="NormalWeb"/>
              <w:rPr>
                <w:b/>
                <w:bCs/>
                <w:sz w:val="18"/>
                <w:szCs w:val="18"/>
              </w:rPr>
            </w:pPr>
            <w:r w:rsidRPr="004B08E0">
              <w:rPr>
                <w:b/>
                <w:bCs/>
                <w:sz w:val="18"/>
                <w:szCs w:val="18"/>
              </w:rPr>
              <w:t>1.00</w:t>
            </w:r>
          </w:p>
        </w:tc>
        <w:tc>
          <w:tcPr>
            <w:tcW w:w="1056" w:type="dxa"/>
            <w:tcBorders>
              <w:top w:val="single" w:sz="4" w:space="0" w:color="808080" w:themeColor="background1" w:themeShade="80"/>
              <w:bottom w:val="single" w:sz="4" w:space="0" w:color="808080" w:themeColor="background1" w:themeShade="80"/>
            </w:tcBorders>
            <w:shd w:val="clear" w:color="auto" w:fill="F7ECDD"/>
            <w:hideMark/>
          </w:tcPr>
          <w:p w14:paraId="162E3AD7" w14:textId="77777777" w:rsidR="008A7AE0" w:rsidRPr="004B08E0" w:rsidRDefault="008A7AE0" w:rsidP="00A32EA1">
            <w:pPr>
              <w:pStyle w:val="NormalWeb"/>
              <w:rPr>
                <w:b/>
                <w:bCs/>
                <w:sz w:val="18"/>
                <w:szCs w:val="18"/>
              </w:rPr>
            </w:pPr>
            <w:r w:rsidRPr="004B08E0">
              <w:rPr>
                <w:b/>
                <w:bCs/>
                <w:sz w:val="18"/>
                <w:szCs w:val="18"/>
              </w:rPr>
              <w:t>0.95–1.06</w:t>
            </w:r>
          </w:p>
        </w:tc>
        <w:tc>
          <w:tcPr>
            <w:tcW w:w="1057"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ECDD"/>
            <w:hideMark/>
          </w:tcPr>
          <w:p w14:paraId="06941603" w14:textId="77777777" w:rsidR="008A7AE0" w:rsidRPr="004B08E0" w:rsidRDefault="008A7AE0" w:rsidP="00A32EA1">
            <w:pPr>
              <w:pStyle w:val="NormalWeb"/>
              <w:rPr>
                <w:b/>
                <w:bCs/>
                <w:sz w:val="18"/>
                <w:szCs w:val="18"/>
              </w:rPr>
            </w:pPr>
            <w:r w:rsidRPr="004B08E0">
              <w:rPr>
                <w:b/>
                <w:bCs/>
                <w:sz w:val="18"/>
                <w:szCs w:val="18"/>
              </w:rPr>
              <w:t>0.900</w:t>
            </w:r>
          </w:p>
        </w:tc>
      </w:tr>
    </w:tbl>
    <w:p w14:paraId="4B138038" w14:textId="77777777" w:rsidR="008A7AE0" w:rsidRDefault="008A7AE0" w:rsidP="008A7AE0">
      <w:pPr>
        <w:pStyle w:val="CDIfootnotes"/>
        <w:divId w:val="1964146631"/>
        <w:rPr>
          <w:lang w:val="en-GB"/>
        </w:rPr>
      </w:pPr>
      <w:r>
        <w:rPr>
          <w:lang w:val="en-GB"/>
        </w:rPr>
        <w:t>a</w:t>
      </w:r>
      <w:r>
        <w:rPr>
          <w:lang w:val="en-GB"/>
        </w:rPr>
        <w:tab/>
        <w:t>Rate per 100,000 person-years.</w:t>
      </w:r>
    </w:p>
    <w:p w14:paraId="462AB9B0" w14:textId="77777777" w:rsidR="008A7AE0" w:rsidRDefault="008A7AE0" w:rsidP="008A7AE0">
      <w:pPr>
        <w:pStyle w:val="CDIfootnotes"/>
        <w:divId w:val="1964146631"/>
        <w:rPr>
          <w:lang w:val="en-GB"/>
        </w:rPr>
      </w:pPr>
      <w:r>
        <w:rPr>
          <w:lang w:val="en-GB"/>
        </w:rPr>
        <w:t>b</w:t>
      </w:r>
      <w:r>
        <w:rPr>
          <w:lang w:val="en-GB"/>
        </w:rPr>
        <w:tab/>
      </w:r>
      <w:proofErr w:type="gramStart"/>
      <w:r>
        <w:rPr>
          <w:lang w:val="en-GB"/>
        </w:rPr>
        <w:t>Pre-NSVP</w:t>
      </w:r>
      <w:proofErr w:type="gramEnd"/>
      <w:r>
        <w:rPr>
          <w:lang w:val="en-GB"/>
        </w:rPr>
        <w:t>: pre-implementation of the National Shingles Vaccination Program (NSVP), 1 January 2012 to 31 October 2016; Post-NSVP: post-implementation of the NSVP, 1 November 2016 to 31 December 2021.</w:t>
      </w:r>
    </w:p>
    <w:p w14:paraId="70226A81" w14:textId="77777777" w:rsidR="008A7AE0" w:rsidRDefault="008A7AE0" w:rsidP="008A7AE0">
      <w:pPr>
        <w:pStyle w:val="CDIfootnotes"/>
        <w:divId w:val="1964146631"/>
        <w:rPr>
          <w:lang w:val="en-GB"/>
        </w:rPr>
      </w:pPr>
      <w:r>
        <w:rPr>
          <w:lang w:val="en-GB"/>
        </w:rPr>
        <w:t>c</w:t>
      </w:r>
      <w:r>
        <w:rPr>
          <w:lang w:val="en-GB"/>
        </w:rPr>
        <w:tab/>
        <w:t>IRR: incidence rate ratio.</w:t>
      </w:r>
    </w:p>
    <w:p w14:paraId="735CC155" w14:textId="77777777" w:rsidR="008A7AE0" w:rsidRDefault="008A7AE0" w:rsidP="008A7AE0">
      <w:pPr>
        <w:pStyle w:val="CDIfootnotes"/>
        <w:divId w:val="1964146631"/>
        <w:rPr>
          <w:lang w:val="en-GB"/>
        </w:rPr>
      </w:pPr>
      <w:r>
        <w:rPr>
          <w:lang w:val="en-GB"/>
        </w:rPr>
        <w:t>d</w:t>
      </w:r>
      <w:r>
        <w:rPr>
          <w:lang w:val="en-GB"/>
        </w:rPr>
        <w:tab/>
        <w:t>95% CI: 95% confidence interval.</w:t>
      </w:r>
    </w:p>
    <w:p w14:paraId="4871DE6D" w14:textId="77777777" w:rsidR="008A7AE0" w:rsidRDefault="008A7AE0" w:rsidP="008A7AE0">
      <w:pPr>
        <w:pStyle w:val="CDIfootnotes"/>
        <w:divId w:val="1964146631"/>
        <w:rPr>
          <w:lang w:val="en-GB"/>
        </w:rPr>
      </w:pPr>
      <w:r>
        <w:rPr>
          <w:lang w:val="en-GB"/>
        </w:rPr>
        <w:t>e</w:t>
      </w:r>
      <w:r>
        <w:rPr>
          <w:lang w:val="en-GB"/>
        </w:rPr>
        <w:tab/>
        <w:t>ED: emergency department.</w:t>
      </w:r>
    </w:p>
    <w:p w14:paraId="485178EA" w14:textId="21D0B3DE" w:rsidR="008A7AE0" w:rsidRDefault="008A7AE0">
      <w:pPr>
        <w:rPr>
          <w:rStyle w:val="Strong"/>
          <w:bCs w:val="0"/>
        </w:rPr>
      </w:pPr>
      <w:r>
        <w:rPr>
          <w:rStyle w:val="Strong"/>
          <w:b w:val="0"/>
          <w:bCs w:val="0"/>
        </w:rPr>
        <w:br w:type="page"/>
      </w:r>
    </w:p>
    <w:p w14:paraId="6C9EB268" w14:textId="2A52DF69" w:rsidR="00417635" w:rsidRPr="003C4A90" w:rsidRDefault="00417635" w:rsidP="00417635">
      <w:pPr>
        <w:pStyle w:val="CDIFigures"/>
        <w:divId w:val="1964146631"/>
      </w:pPr>
      <w:r w:rsidRPr="003C4A90">
        <w:rPr>
          <w:rStyle w:val="Strong"/>
          <w:b/>
          <w:bCs w:val="0"/>
        </w:rPr>
        <w:t>Figure 2: Age-specific rates of HZ notified cases aged 60 years and over by 5-year age groups, Victoria, Australia 2012–2021</w:t>
      </w:r>
    </w:p>
    <w:p w14:paraId="4C8C17BF" w14:textId="6F8B82E0" w:rsidR="00417635" w:rsidRPr="004C3943" w:rsidRDefault="00417635" w:rsidP="00882A1C">
      <w:pPr>
        <w:jc w:val="center"/>
        <w:divId w:val="1964146631"/>
        <w:rPr>
          <w:rFonts w:eastAsia="Times New Roman"/>
          <w:lang w:val="en-GB"/>
        </w:rPr>
      </w:pPr>
      <w:r>
        <w:rPr>
          <w:rFonts w:eastAsia="Times New Roman"/>
          <w:noProof/>
          <w:lang w:val="en-GB"/>
        </w:rPr>
        <w:drawing>
          <wp:inline distT="0" distB="0" distL="0" distR="0" wp14:anchorId="71212A9A" wp14:editId="2226492A">
            <wp:extent cx="6171134" cy="4004476"/>
            <wp:effectExtent l="0" t="0" r="1270" b="0"/>
            <wp:docPr id="3" name="Picture 3" descr="Figure 2 shows a line chart of annual age-specific incidence rates of herpes zoster case notifications for Victorians aged ≥60 years by five-year age groups, from 2012 to 2021. Overall, the incidence rate increases over time across all age groups. The incidence rate initially declines amongst the 70 – 74 and 75 – 79 years age groups from 2016 to 2017, and remains below 2016 levels before peaking in 2021.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2 shows a line chart of annual age-specific incidence rates of herpes zoster case notifications for Victorians aged ≥60 years by five-year age groups, from 2012 to 2021. Overall, the incidence rate increases over time across all age groups. The incidence rate initially declines amongst the 70 – 74 and 75 – 79 years age groups from 2016 to 2017, and remains below 2016 levels before peaking in 2021. &#10;&#10;"/>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6188681" cy="4015862"/>
                    </a:xfrm>
                    <a:prstGeom prst="rect">
                      <a:avLst/>
                    </a:prstGeom>
                  </pic:spPr>
                </pic:pic>
              </a:graphicData>
            </a:graphic>
          </wp:inline>
        </w:drawing>
      </w:r>
    </w:p>
    <w:p w14:paraId="3577E409" w14:textId="77777777" w:rsidR="00417635" w:rsidRPr="003C4A90" w:rsidRDefault="00417635" w:rsidP="00417635">
      <w:pPr>
        <w:pStyle w:val="CDIFigures"/>
        <w:divId w:val="1964146631"/>
      </w:pPr>
      <w:r w:rsidRPr="003C4A90">
        <w:rPr>
          <w:rStyle w:val="Strong"/>
          <w:b/>
          <w:bCs w:val="0"/>
        </w:rPr>
        <w:t xml:space="preserve">Figure 3: HZ tests conducted by Victorian laboratories and crude test positivity rate, 2012 to </w:t>
      </w:r>
      <w:proofErr w:type="gramStart"/>
      <w:r w:rsidRPr="003C4A90">
        <w:rPr>
          <w:rStyle w:val="Strong"/>
          <w:b/>
          <w:bCs w:val="0"/>
        </w:rPr>
        <w:t>2021</w:t>
      </w:r>
      <w:proofErr w:type="gramEnd"/>
    </w:p>
    <w:p w14:paraId="53740B74" w14:textId="77777777" w:rsidR="00417635" w:rsidRDefault="00417635" w:rsidP="00882A1C">
      <w:pPr>
        <w:jc w:val="center"/>
        <w:divId w:val="1964146631"/>
      </w:pPr>
      <w:r>
        <w:rPr>
          <w:rFonts w:eastAsia="Times New Roman"/>
          <w:noProof/>
          <w:lang w:val="en-GB"/>
        </w:rPr>
        <w:drawing>
          <wp:inline distT="0" distB="0" distL="0" distR="0" wp14:anchorId="25E84758" wp14:editId="4DA375E0">
            <wp:extent cx="6053924" cy="3950571"/>
            <wp:effectExtent l="0" t="0" r="4445" b="0"/>
            <wp:docPr id="4" name="Picture 4" descr="Figure 3 shows a combined column and line graph. The columns depict the total number of herpes zoster tests performed in Victorian laboratories from 2012 to 2021, and shows that testing numbers steadily increased from 2012 to 2019 before slightly declining in 2020 and 2021. The line depicts the crude test positivity rate from 2012 to 2021, calculated by comparing testing numbers to case notifications. The line shows that the crude test positivity rate increased from 2012 to 2016, remained constant from 2016 to 2019, and then increased from 2019 to 202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 3 shows a combined column and line graph. The columns depict the total number of herpes zoster tests performed in Victorian laboratories from 2012 to 2021, and shows that testing numbers steadily increased from 2012 to 2019 before slightly declining in 2020 and 2021. The line depicts the crude test positivity rate from 2012 to 2021, calculated by comparing testing numbers to case notifications. The line shows that the crude test positivity rate increased from 2012 to 2016, remained constant from 2016 to 2019, and then increased from 2019 to 2021. "/>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6073248" cy="3963181"/>
                    </a:xfrm>
                    <a:prstGeom prst="rect">
                      <a:avLst/>
                    </a:prstGeom>
                  </pic:spPr>
                </pic:pic>
              </a:graphicData>
            </a:graphic>
          </wp:inline>
        </w:drawing>
      </w:r>
    </w:p>
    <w:p w14:paraId="3DE0DE59" w14:textId="77777777" w:rsidR="00D84AEC" w:rsidRDefault="00D84AEC" w:rsidP="00D84AEC">
      <w:pPr>
        <w:pStyle w:val="CDIFigures"/>
        <w:divId w:val="1964146631"/>
        <w:rPr>
          <w:lang w:val="en-GB"/>
        </w:rPr>
      </w:pPr>
      <w:r>
        <w:rPr>
          <w:lang w:val="en-GB"/>
        </w:rPr>
        <w:t>Figure 4: Age-specific rates of emergency department presentations due to HZ aged 60 years and over by five-year age groups, Victoria, Australia 2012–2021</w:t>
      </w:r>
    </w:p>
    <w:p w14:paraId="76BEC143" w14:textId="77777777" w:rsidR="00D84AEC" w:rsidRDefault="00D84AEC" w:rsidP="00882A1C">
      <w:pPr>
        <w:jc w:val="center"/>
        <w:divId w:val="1964146631"/>
        <w:rPr>
          <w:rFonts w:eastAsia="Times New Roman"/>
          <w:lang w:val="en-GB"/>
        </w:rPr>
      </w:pPr>
      <w:r>
        <w:rPr>
          <w:rFonts w:eastAsia="Times New Roman"/>
          <w:noProof/>
          <w:lang w:val="en-GB"/>
        </w:rPr>
        <w:drawing>
          <wp:inline distT="0" distB="0" distL="0" distR="0" wp14:anchorId="0F092BBE" wp14:editId="4B0D7CDA">
            <wp:extent cx="6625424" cy="4352059"/>
            <wp:effectExtent l="0" t="0" r="4445" b="0"/>
            <wp:docPr id="5" name="Picture 5" descr="Figure 4 shows a line chart of annual age-specific incidence rates of emergency department presentations due to herpes zoster for Victorians aged ≥60 years by five-year age groups, from 2012 to 2021. Overall, the incidence rate remains relatively constant over time across most age groups. However, the incidence rate decreases for the 70 – 74 and 75 – 79 age groups from 2012 to 2018 and 2017, respectively, before plateauing in recent year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igure 4 shows a line chart of annual age-specific incidence rates of emergency department presentations due to herpes zoster for Victorians aged ≥60 years by five-year age groups, from 2012 to 2021. Overall, the incidence rate remains relatively constant over time across most age groups. However, the incidence rate decreases for the 70 – 74 and 75 – 79 age groups from 2012 to 2018 and 2017, respectively, before plateauing in recent years.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31407" cy="4355989"/>
                    </a:xfrm>
                    <a:prstGeom prst="rect">
                      <a:avLst/>
                    </a:prstGeom>
                    <a:noFill/>
                    <a:ln>
                      <a:noFill/>
                    </a:ln>
                  </pic:spPr>
                </pic:pic>
              </a:graphicData>
            </a:graphic>
          </wp:inline>
        </w:drawing>
      </w:r>
    </w:p>
    <w:p w14:paraId="58AB8063" w14:textId="0DFF88EC" w:rsidR="00F46060" w:rsidRPr="00F46060" w:rsidRDefault="00F46060" w:rsidP="00F46060">
      <w:pPr>
        <w:pStyle w:val="Heading1"/>
        <w:divId w:val="1964146631"/>
      </w:pPr>
      <w:r w:rsidRPr="00F46060">
        <w:t xml:space="preserve">Hospitalisations </w:t>
      </w:r>
    </w:p>
    <w:p w14:paraId="4669368C" w14:textId="77777777" w:rsidR="00F46060" w:rsidRDefault="00F46060" w:rsidP="00F46060">
      <w:pPr>
        <w:divId w:val="1964146631"/>
      </w:pPr>
      <w:r>
        <w:t xml:space="preserve">There were 15,797 HZ-related hospitalisations recorded, of which 5,872 (37.2%) </w:t>
      </w:r>
      <w:proofErr w:type="gramStart"/>
      <w:r>
        <w:t>were coded</w:t>
      </w:r>
      <w:proofErr w:type="gramEnd"/>
      <w:r>
        <w:t xml:space="preserve"> as hospitalised due to HZ (primary illness) (Table 1). Among those hospitalised due to HZ, the median length of stay was 4 days (IQR: 1–9 days), and 66 (1.1%) </w:t>
      </w:r>
      <w:proofErr w:type="gramStart"/>
      <w:r>
        <w:t>required</w:t>
      </w:r>
      <w:proofErr w:type="gramEnd"/>
      <w:r>
        <w:t xml:space="preserve"> intensive care unit admission. Females had a slightly higher age-standardised hospitalisation rate (HR) than males, with respectively 48.3 and 40.6 hospitalisations per 100,000 population over the study period. </w:t>
      </w:r>
    </w:p>
    <w:p w14:paraId="4D5E77DE" w14:textId="77777777" w:rsidR="00F46060" w:rsidRDefault="00F46060" w:rsidP="00F46060">
      <w:pPr>
        <w:divId w:val="1964146631"/>
      </w:pPr>
      <w:r>
        <w:t xml:space="preserve">For those with a HZ-primary illness, crude HRs remained </w:t>
      </w:r>
      <w:proofErr w:type="gramStart"/>
      <w:r>
        <w:t>relatively stable</w:t>
      </w:r>
      <w:proofErr w:type="gramEnd"/>
      <w:r>
        <w:t xml:space="preserve"> (Table 2). From 2012 to 2021, age-specific HRs declined for the age groups 70–74, 75–79, and 80–84 years, but increased and remained highest among those aged 85+ years (Figure 5). IRRs comparing pre-NSVP to post-NSVP showed a statistically significant decline in hospitalisations for the 70–74, 75–79, and 80–84 years age groups, but a statistically significant increase for the 60–64 and 85+ years age groups (Table 4). </w:t>
      </w:r>
    </w:p>
    <w:p w14:paraId="760D3335" w14:textId="77777777" w:rsidR="006714D9" w:rsidRDefault="006714D9">
      <w:pPr>
        <w:rPr>
          <w:rFonts w:asciiTheme="majorHAnsi" w:eastAsiaTheme="majorEastAsia" w:hAnsiTheme="majorHAnsi" w:cstheme="majorBidi"/>
          <w:b/>
          <w:bCs/>
          <w:sz w:val="32"/>
          <w:szCs w:val="28"/>
        </w:rPr>
      </w:pPr>
      <w:r>
        <w:br w:type="page"/>
      </w:r>
    </w:p>
    <w:p w14:paraId="73725CA8" w14:textId="77777777" w:rsidR="006714D9" w:rsidRDefault="006714D9" w:rsidP="006714D9">
      <w:pPr>
        <w:pStyle w:val="CDIFigures"/>
        <w:divId w:val="1964146631"/>
        <w:rPr>
          <w:lang w:val="en-GB"/>
        </w:rPr>
      </w:pPr>
      <w:r>
        <w:rPr>
          <w:lang w:val="en-GB"/>
        </w:rPr>
        <w:t>Figure 5: Age-specific rates of hospitalisations due to HZ aged 60 years and over by five-year age groups, Victoria, Australia 2012–2021</w:t>
      </w:r>
    </w:p>
    <w:p w14:paraId="05598229" w14:textId="77777777" w:rsidR="006714D9" w:rsidRDefault="006714D9" w:rsidP="00A76240">
      <w:pPr>
        <w:jc w:val="center"/>
        <w:divId w:val="1964146631"/>
        <w:rPr>
          <w:rFonts w:eastAsia="Times New Roman"/>
          <w:lang w:val="en-GB"/>
        </w:rPr>
      </w:pPr>
      <w:r>
        <w:rPr>
          <w:rFonts w:eastAsia="Times New Roman"/>
          <w:noProof/>
          <w:lang w:val="en-GB"/>
        </w:rPr>
        <w:drawing>
          <wp:inline distT="0" distB="0" distL="0" distR="0" wp14:anchorId="55E30C60" wp14:editId="240D25B5">
            <wp:extent cx="6625424" cy="4289369"/>
            <wp:effectExtent l="0" t="0" r="0" b="0"/>
            <wp:docPr id="6" name="Picture 6" descr="Figure 5 shows a line chart of annual age-specific hospitalisation rates for presentations due to herpes zoster for Victorians aged ≥60 years by five-year age groups, from 2012 to 2021. Hospitalisation rates appear to decrease among the 70 – 74, 75 – 79, and 80 – 84 year age groups. The hospitalisation rates are highest among those aged 85+ years, followed by those aged 80 – 84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 5 shows a line chart of annual age-specific hospitalisation rates for presentations due to herpes zoster for Victorians aged ≥60 years by five-year age groups, from 2012 to 2021. Hospitalisation rates appear to decrease among the 70 – 74, 75 – 79, and 80 – 84 year age groups. The hospitalisation rates are highest among those aged 85+ years, followed by those aged 80 – 84 year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32818" cy="4294156"/>
                    </a:xfrm>
                    <a:prstGeom prst="rect">
                      <a:avLst/>
                    </a:prstGeom>
                    <a:noFill/>
                    <a:ln>
                      <a:noFill/>
                    </a:ln>
                  </pic:spPr>
                </pic:pic>
              </a:graphicData>
            </a:graphic>
          </wp:inline>
        </w:drawing>
      </w:r>
    </w:p>
    <w:p w14:paraId="3C2965C7" w14:textId="410EF657" w:rsidR="00F46060" w:rsidRPr="00F46060" w:rsidRDefault="00F46060" w:rsidP="00F46060">
      <w:pPr>
        <w:pStyle w:val="Heading1"/>
        <w:divId w:val="1964146631"/>
      </w:pPr>
      <w:r w:rsidRPr="00F46060">
        <w:t xml:space="preserve">Deaths </w:t>
      </w:r>
    </w:p>
    <w:p w14:paraId="1B324CE0" w14:textId="77777777" w:rsidR="00F46060" w:rsidRDefault="00F46060" w:rsidP="00F46060">
      <w:pPr>
        <w:divId w:val="1964146631"/>
      </w:pPr>
      <w:r>
        <w:t xml:space="preserve">A total of 341 death certificates </w:t>
      </w:r>
      <w:proofErr w:type="gramStart"/>
      <w:r>
        <w:t>indicated</w:t>
      </w:r>
      <w:proofErr w:type="gramEnd"/>
      <w:r>
        <w:t xml:space="preserve"> a HZ-related cause-of-death, with 189 (55.4%) listing a HZ-related primary cause. Most deaths occurred in the 85+ years age group and the majority were female (Table 1). The crude mortality rate associated with HZ declined between 2012 and 2021 (Table 2). The age-specific mortality rate for adults 85+ years declined from 12.1 (pre-NSVP) to 8.1 (post-NSVP) per 100,000 person-years. </w:t>
      </w:r>
    </w:p>
    <w:p w14:paraId="73BBEF16" w14:textId="77777777" w:rsidR="00F46060" w:rsidRPr="00F46060" w:rsidRDefault="00F46060" w:rsidP="00F46060">
      <w:pPr>
        <w:pStyle w:val="Heading1"/>
        <w:divId w:val="1964146631"/>
      </w:pPr>
      <w:r w:rsidRPr="00F46060">
        <w:t xml:space="preserve">Discussion </w:t>
      </w:r>
    </w:p>
    <w:p w14:paraId="0BD0044C" w14:textId="77777777" w:rsidR="00F46060" w:rsidRDefault="00F46060" w:rsidP="00F46060">
      <w:pPr>
        <w:divId w:val="1964146631"/>
      </w:pPr>
      <w:r>
        <w:t xml:space="preserve">We hypothesised that cases, ED presentations, hospitalisations and deaths would all decline following NSVP implementation. However, we found that HZ continues to cause significant disease among those aged ≥ 60 years. Vaccination uptake remains </w:t>
      </w:r>
      <w:proofErr w:type="gramStart"/>
      <w:r>
        <w:t>low, and</w:t>
      </w:r>
      <w:proofErr w:type="gramEnd"/>
      <w:r>
        <w:t xml:space="preserve"> is substantially lower among those for whom vaccination is recommended but who are not eligible for NIP-funded vaccine. Further work </w:t>
      </w:r>
      <w:proofErr w:type="gramStart"/>
      <w:r>
        <w:t>is needed</w:t>
      </w:r>
      <w:proofErr w:type="gramEnd"/>
      <w:r>
        <w:t xml:space="preserve"> to improve vaccination rates to reduce the burden of HZ in Victoria. </w:t>
      </w:r>
    </w:p>
    <w:p w14:paraId="4641A144" w14:textId="77777777" w:rsidR="00F46060" w:rsidRDefault="00F46060" w:rsidP="00F46060">
      <w:pPr>
        <w:divId w:val="1964146631"/>
      </w:pPr>
      <w:r>
        <w:t>Whilst NIRs initially declined amongst the NIP-eligible population as described in the literature,</w:t>
      </w:r>
      <w:r>
        <w:rPr>
          <w:vertAlign w:val="superscript"/>
        </w:rPr>
        <w:t>10,12,13</w:t>
      </w:r>
      <w:r>
        <w:t xml:space="preserve"> these gains have not </w:t>
      </w:r>
      <w:proofErr w:type="gramStart"/>
      <w:r>
        <w:t>been sustained</w:t>
      </w:r>
      <w:proofErr w:type="gramEnd"/>
      <w:r>
        <w:t>. This may be associated with waning vaccine effectiveness.</w:t>
      </w:r>
      <w:r>
        <w:rPr>
          <w:vertAlign w:val="superscript"/>
        </w:rPr>
        <w:t>10,12,13</w:t>
      </w:r>
      <w:r>
        <w:t xml:space="preserve"> However, previously published incidence rates of HZ are higher than we </w:t>
      </w:r>
      <w:proofErr w:type="gramStart"/>
      <w:r>
        <w:t>observed</w:t>
      </w:r>
      <w:proofErr w:type="gramEnd"/>
      <w:r>
        <w:t>,</w:t>
      </w:r>
      <w:r>
        <w:rPr>
          <w:vertAlign w:val="superscript"/>
        </w:rPr>
        <w:t>1,3</w:t>
      </w:r>
      <w:r>
        <w:t xml:space="preserve"> suggesting under-ascertainment of cases in our study. Individuals experiencing HZ may not present to healthcare settings or may not be </w:t>
      </w:r>
      <w:proofErr w:type="gramStart"/>
      <w:r>
        <w:t>tested</w:t>
      </w:r>
      <w:proofErr w:type="gramEnd"/>
      <w:r>
        <w:t xml:space="preserve"> for HZ. Although varicella is a notifiable condition in Victoria, </w:t>
      </w:r>
      <w:proofErr w:type="gramStart"/>
      <w:r>
        <w:t>the majority of</w:t>
      </w:r>
      <w:proofErr w:type="gramEnd"/>
      <w:r>
        <w:t xml:space="preserve"> notifications (72.6%) were for varicella unspecified, suggesting there may be underreporting of cases by medical practitioners. Testing data suggests that the increasing NIRs we </w:t>
      </w:r>
      <w:proofErr w:type="gramStart"/>
      <w:r>
        <w:t>observed</w:t>
      </w:r>
      <w:proofErr w:type="gramEnd"/>
      <w:r>
        <w:t xml:space="preserve"> may be associated with increased testing, and consequently higher case ascertainment over time, particularly as there is a reliance on notifications through laboratories rather than through clinical channels. Changes in case ascertainment may </w:t>
      </w:r>
      <w:proofErr w:type="gramStart"/>
      <w:r>
        <w:t>impact</w:t>
      </w:r>
      <w:proofErr w:type="gramEnd"/>
      <w:r>
        <w:t xml:space="preserve"> the use of notification data to accurately evaluate the NSVP and other HZ-related interventions. </w:t>
      </w:r>
    </w:p>
    <w:p w14:paraId="5ED47662" w14:textId="77777777" w:rsidR="00F46060" w:rsidRDefault="00F46060" w:rsidP="00F46060">
      <w:pPr>
        <w:divId w:val="1964146631"/>
      </w:pPr>
      <w:r>
        <w:t>Other investigations of the NSVP have used data sources such as antiviral prescription</w:t>
      </w:r>
      <w:r>
        <w:rPr>
          <w:vertAlign w:val="superscript"/>
        </w:rPr>
        <w:t>10,</w:t>
      </w:r>
      <w:proofErr w:type="gramStart"/>
      <w:r>
        <w:rPr>
          <w:vertAlign w:val="superscript"/>
        </w:rPr>
        <w:t>16</w:t>
      </w:r>
      <w:proofErr w:type="gramEnd"/>
      <w:r>
        <w:t xml:space="preserve"> and general practice data</w:t>
      </w:r>
      <w:r>
        <w:rPr>
          <w:vertAlign w:val="superscript"/>
        </w:rPr>
        <w:t>12,13</w:t>
      </w:r>
      <w:r>
        <w:t xml:space="preserve"> as proxies for disease incidence. Each of these approaches has strengths and limitations, with notification data capturing a wider range of health settings but </w:t>
      </w:r>
      <w:proofErr w:type="gramStart"/>
      <w:r>
        <w:t>likely providing</w:t>
      </w:r>
      <w:proofErr w:type="gramEnd"/>
      <w:r>
        <w:t xml:space="preserve"> an underestimate due to underreporting and a reliance on laboratory notifications. Using a combination of datasets would better support our understanding of the impact of the NSVP on disease incidence. </w:t>
      </w:r>
    </w:p>
    <w:p w14:paraId="17CE6EC9" w14:textId="77777777" w:rsidR="00F46060" w:rsidRDefault="00F46060" w:rsidP="00F46060">
      <w:pPr>
        <w:divId w:val="1964146631"/>
      </w:pPr>
      <w:r>
        <w:t xml:space="preserve">As the NSVP aims to reduce the severe complications of HZ, ED presentation and hospitalisation rates are important for assessing impact. Our study found that rates for both hospitalisation and ED presentations have fallen among the NIP-eligible (70–79 years) and 80–84 years age groups, who were NIP-ineligible at the time of </w:t>
      </w:r>
      <w:proofErr w:type="gramStart"/>
      <w:r>
        <w:t>diagnosis, but</w:t>
      </w:r>
      <w:proofErr w:type="gramEnd"/>
      <w:r>
        <w:t xml:space="preserve"> may have potentially been vaccinated when they were in the NIP-eligible age groups. This suggests the NSVP has contributed to a decline in severe complications among these age groups. However, annual hospitalisation rates </w:t>
      </w:r>
      <w:proofErr w:type="gramStart"/>
      <w:r>
        <w:t>demonstrate</w:t>
      </w:r>
      <w:proofErr w:type="gramEnd"/>
      <w:r>
        <w:t xml:space="preserve"> that this decline commenced prior to the NSVP when vaccination uptake remained very low, suggesting factors other than the NSVP may have also contributed to this decline. In contrast, ED presentation and hospitalisation rates have risen among the younger (60–69 years) and older (85+ years) age groups. Further work </w:t>
      </w:r>
      <w:proofErr w:type="gramStart"/>
      <w:r>
        <w:t>is needed</w:t>
      </w:r>
      <w:proofErr w:type="gramEnd"/>
      <w:r>
        <w:t xml:space="preserve"> to investigate reasons for both lower vaccination uptake and increased ED and hospitalisation rates within these groups. </w:t>
      </w:r>
    </w:p>
    <w:p w14:paraId="657CDF0C" w14:textId="77777777" w:rsidR="00F46060" w:rsidRDefault="00F46060" w:rsidP="00F46060">
      <w:pPr>
        <w:divId w:val="1964146631"/>
      </w:pPr>
      <w:r>
        <w:t xml:space="preserve">We found that the older age groups (80+ years), who are not eligible for NIP-funded HZ vaccination, had both the highest hospitalisation and highest death rates due to HZ. Death rates fell between the pre-NSVP and post-NSVP periods, with the greatest decline seen amongst those aged 85+ years. However, as vaccination uptake among this age group was </w:t>
      </w:r>
      <w:proofErr w:type="gramStart"/>
      <w:r>
        <w:t>very low</w:t>
      </w:r>
      <w:proofErr w:type="gramEnd"/>
      <w:r>
        <w:t>,</w:t>
      </w:r>
      <w:r>
        <w:rPr>
          <w:vertAlign w:val="superscript"/>
        </w:rPr>
        <w:t>22</w:t>
      </w:r>
      <w:r>
        <w:t xml:space="preserve"> this decline may be due to factors unrelated to the NSVP. The data suggest that while the number of deaths where HZ </w:t>
      </w:r>
      <w:proofErr w:type="gramStart"/>
      <w:r>
        <w:t>was listed</w:t>
      </w:r>
      <w:proofErr w:type="gramEnd"/>
      <w:r>
        <w:t xml:space="preserve"> as the primary cause decreased over the study period, the number of deaths where HZ was listed as an antecedent cause increased. Death due to HZ is rare,</w:t>
      </w:r>
      <w:proofErr w:type="gramStart"/>
      <w:r>
        <w:rPr>
          <w:vertAlign w:val="superscript"/>
        </w:rPr>
        <w:t>22</w:t>
      </w:r>
      <w:proofErr w:type="gramEnd"/>
      <w:r>
        <w:t xml:space="preserve"> and it is possible the rates observed were overestimated due to HZ being misclassified as a primary cause of death rather than an antecedent condition contributing to death. </w:t>
      </w:r>
    </w:p>
    <w:p w14:paraId="0285BAE3" w14:textId="77777777" w:rsidR="00F46060" w:rsidRDefault="00F46060" w:rsidP="00F46060">
      <w:pPr>
        <w:divId w:val="1964146631"/>
      </w:pPr>
      <w:r>
        <w:t xml:space="preserve">Improving vaccination rates in the target population should ideally lead to reduced levels of HZ disease, hospitalisations, and deaths. Several factors may be contributing to poor vaccination uptake; however, the cost associated with vaccination in the NIP-ineligible age groups is </w:t>
      </w:r>
      <w:proofErr w:type="gramStart"/>
      <w:r>
        <w:t>likely a</w:t>
      </w:r>
      <w:proofErr w:type="gramEnd"/>
      <w:r>
        <w:t xml:space="preserve"> key barrier. Targeted interventions</w:t>
      </w:r>
      <w:r>
        <w:rPr>
          <w:vertAlign w:val="superscript"/>
        </w:rPr>
        <w:t>11,</w:t>
      </w:r>
      <w:proofErr w:type="gramStart"/>
      <w:r>
        <w:rPr>
          <w:vertAlign w:val="superscript"/>
        </w:rPr>
        <w:t>14</w:t>
      </w:r>
      <w:proofErr w:type="gramEnd"/>
      <w:r>
        <w:t xml:space="preserve"> to increase vaccination uptake across all recommended age groups and consideration of expanding funded vaccine eligibility criteria are likely to be required into the future. </w:t>
      </w:r>
    </w:p>
    <w:p w14:paraId="5F5F3CAD" w14:textId="77777777" w:rsidR="00F46060" w:rsidRDefault="00F46060" w:rsidP="00F46060">
      <w:pPr>
        <w:divId w:val="1964146631"/>
      </w:pPr>
      <w:r>
        <w:t xml:space="preserve">In the </w:t>
      </w:r>
      <w:proofErr w:type="gramStart"/>
      <w:r>
        <w:t>initial</w:t>
      </w:r>
      <w:proofErr w:type="gramEnd"/>
      <w:r>
        <w:t xml:space="preserve"> six months following introduction of Shingrix to the private market, there was reasonable uptake among the NIP-ineligible Victorian populations despite the greater cost involved, with around half of younger age groups (60–69 years) utilising Shingrix rather than Zostavax. However, this was not consistent across the entire study population, with the overall uptake of Shingrix vaccination </w:t>
      </w:r>
      <w:proofErr w:type="gramStart"/>
      <w:r>
        <w:t>remaining</w:t>
      </w:r>
      <w:proofErr w:type="gramEnd"/>
      <w:r>
        <w:t xml:space="preserve"> low. With the Australian Government recently announcing Shingrix would replace Zostavax on the NIP,</w:t>
      </w:r>
      <w:r>
        <w:rPr>
          <w:vertAlign w:val="superscript"/>
        </w:rPr>
        <w:t>8</w:t>
      </w:r>
      <w:r>
        <w:t xml:space="preserve"> further investigation is required to understand how this will affect vaccination uptake, particularly given immunocompromised adults aged ≥ 18 years are recommended to receive Shingrix.</w:t>
      </w:r>
      <w:r>
        <w:rPr>
          <w:vertAlign w:val="superscript"/>
        </w:rPr>
        <w:t>3</w:t>
      </w:r>
      <w:r>
        <w:t xml:space="preserve"> Furthermore, with most individuals only receiving a first dose during the study period, there is a need to reinforce the importance of completing vaccinations within the recommended timeframe. </w:t>
      </w:r>
    </w:p>
    <w:p w14:paraId="63A7AB1D" w14:textId="77777777" w:rsidR="00F46060" w:rsidRDefault="00F46060" w:rsidP="00F46060">
      <w:pPr>
        <w:divId w:val="1964146631"/>
      </w:pPr>
      <w:r>
        <w:t>The COVID-19 pandemic may have influenced 2020 and 2021 data. Emerging evidence suggests that COVID-19 infection increases the risk of developing HZ, which may have led to increases in notification, ED presentation and hospitalisation rates.</w:t>
      </w:r>
      <w:r>
        <w:rPr>
          <w:vertAlign w:val="superscript"/>
        </w:rPr>
        <w:t>23</w:t>
      </w:r>
      <w:r>
        <w:t xml:space="preserve"> However, cases may alternatively have been less likely to present for mild infections due to restricted access and availability of medical care, as observed among other populations.</w:t>
      </w:r>
      <w:r>
        <w:rPr>
          <w:vertAlign w:val="superscript"/>
        </w:rPr>
        <w:t>24</w:t>
      </w:r>
      <w:r>
        <w:t xml:space="preserve"> Our results and prior research show a slight decline in VRs in 2020,</w:t>
      </w:r>
      <w:r>
        <w:rPr>
          <w:vertAlign w:val="superscript"/>
        </w:rPr>
        <w:t>24–26</w:t>
      </w:r>
      <w:r>
        <w:t xml:space="preserve"> which may be associated with deferred vaccinations or COVID-19 related vaccine hesitancy.</w:t>
      </w:r>
      <w:r>
        <w:rPr>
          <w:vertAlign w:val="superscript"/>
        </w:rPr>
        <w:t>25</w:t>
      </w:r>
      <w:r>
        <w:t xml:space="preserve"> As mandatory reporting of all NIP-listed vaccines only took effect from 1 July 2021, it is difficult to ascertain what factors influenced vaccination uptake for HZ prior to the pandemic. </w:t>
      </w:r>
    </w:p>
    <w:p w14:paraId="325C6874" w14:textId="77777777" w:rsidR="00F46060" w:rsidRDefault="00F46060" w:rsidP="00F46060">
      <w:pPr>
        <w:divId w:val="1964146631"/>
      </w:pPr>
      <w:r>
        <w:t xml:space="preserve">This study </w:t>
      </w:r>
      <w:proofErr w:type="gramStart"/>
      <w:r>
        <w:t>utilised</w:t>
      </w:r>
      <w:proofErr w:type="gramEnd"/>
      <w:r>
        <w:t xml:space="preserve"> routinely collected surveillance data, with several limitations. Though unlikely, </w:t>
      </w:r>
      <w:proofErr w:type="gramStart"/>
      <w:r>
        <w:t>some</w:t>
      </w:r>
      <w:proofErr w:type="gramEnd"/>
      <w:r>
        <w:t xml:space="preserve"> varicella zoster ‘unspecified’ cases may have been chickenpox, leading to an overcount of cases. As discussed, there are limitations in interpreting the notification and testing data. </w:t>
      </w:r>
      <w:proofErr w:type="gramStart"/>
      <w:r>
        <w:t>In particular, testing</w:t>
      </w:r>
      <w:proofErr w:type="gramEnd"/>
      <w:r>
        <w:t xml:space="preserve"> data were limited by gaps in laboratory records and by the use of multiplex testing, as some tests were conducted for other illnesses, and age analyses were not available. Changes to coding and reporting over time can impact on administrative datasets, for example hospitalisation rates in 2012 and 2013 may have been underreported as mandatory reporting for all conditions from both public and private hospitals only came into effect from September 2013.</w:t>
      </w:r>
      <w:r>
        <w:rPr>
          <w:vertAlign w:val="superscript"/>
        </w:rPr>
        <w:t>27</w:t>
      </w:r>
      <w:r>
        <w:t xml:space="preserve"> The use of ERPs to calculate annual vaccination rates poses limitations, as individuals previously vaccinated are included in the total estimated population, even when they are not recommended for additional vaccinations, and the population may change due to immigration and emigration from Victoria. Mandatory reporting to the AIR for all NIP vaccines only </w:t>
      </w:r>
      <w:proofErr w:type="gramStart"/>
      <w:r>
        <w:t>commenced</w:t>
      </w:r>
      <w:proofErr w:type="gramEnd"/>
      <w:r>
        <w:t xml:space="preserve"> in July 2021. The data suggests that, consistent with prior research,</w:t>
      </w:r>
      <w:r>
        <w:rPr>
          <w:vertAlign w:val="superscript"/>
        </w:rPr>
        <w:t>28</w:t>
      </w:r>
      <w:r>
        <w:t xml:space="preserve"> a substantial undercount of vaccinations likely occurred during the early years of the NSVP (</w:t>
      </w:r>
      <w:proofErr w:type="gramStart"/>
      <w:r>
        <w:t>i.e.</w:t>
      </w:r>
      <w:proofErr w:type="gramEnd"/>
      <w:r>
        <w:t xml:space="preserve"> 2016 and 2017). The introduction of mandatory reporting may be associated with the slight increase in VRs observed in </w:t>
      </w:r>
      <w:proofErr w:type="gramStart"/>
      <w:r>
        <w:t>2021, and</w:t>
      </w:r>
      <w:proofErr w:type="gramEnd"/>
      <w:r>
        <w:t xml:space="preserve"> will likely enable more accurate analysis of AIR data in the coming years. </w:t>
      </w:r>
    </w:p>
    <w:p w14:paraId="1E1FF9B8" w14:textId="77777777" w:rsidR="00F46060" w:rsidRDefault="00F46060" w:rsidP="00F46060">
      <w:pPr>
        <w:divId w:val="1964146631"/>
      </w:pPr>
      <w:r>
        <w:t xml:space="preserve">Despite these limitations, this analysis furthers our understanding of the possible </w:t>
      </w:r>
      <w:proofErr w:type="gramStart"/>
      <w:r>
        <w:t>impacts</w:t>
      </w:r>
      <w:proofErr w:type="gramEnd"/>
      <w:r>
        <w:t xml:space="preserve"> the NSVP has had on the epidemiology of HZ. Whilst this study focussed on Victoria, the NSVP is a national vaccination </w:t>
      </w:r>
      <w:proofErr w:type="gramStart"/>
      <w:r>
        <w:t>program</w:t>
      </w:r>
      <w:proofErr w:type="gramEnd"/>
      <w:r>
        <w:t xml:space="preserve"> and the results may be generalizable to other Australian states and territories. Our results suggest the NSVP may have led to a decline in severe complications of HZ amongst those eligible for funded vaccination. However, the burden of this disease may be increasing among those age groups recommended to </w:t>
      </w:r>
      <w:proofErr w:type="gramStart"/>
      <w:r>
        <w:t>be vaccinated</w:t>
      </w:r>
      <w:proofErr w:type="gramEnd"/>
      <w:r>
        <w:t xml:space="preserve"> but ineligible for NIP-funded vaccines. It will be important to increase vaccination coverage across all target populations to further reduce the burden of HZ in Victoria. The addition of Shingrix to the NIP is </w:t>
      </w:r>
      <w:proofErr w:type="gramStart"/>
      <w:r>
        <w:t>an important step</w:t>
      </w:r>
      <w:proofErr w:type="gramEnd"/>
      <w:r>
        <w:t>, given evidence suggests it is both more effective and provides longer protection.</w:t>
      </w:r>
      <w:r>
        <w:rPr>
          <w:vertAlign w:val="superscript"/>
        </w:rPr>
        <w:t>3</w:t>
      </w:r>
      <w:r>
        <w:t xml:space="preserve"> Although the age groups recommended for HZ vaccination have recently been expanded,</w:t>
      </w:r>
      <w:r>
        <w:rPr>
          <w:vertAlign w:val="superscript"/>
        </w:rPr>
        <w:t>3</w:t>
      </w:r>
      <w:r>
        <w:t xml:space="preserve"> eligibility for funded vaccination remains limited. Our results suggest the burden of disease is unlikely to decrease unless vaccination coverage increases. Consideration should </w:t>
      </w:r>
      <w:proofErr w:type="gramStart"/>
      <w:r>
        <w:t>be given</w:t>
      </w:r>
      <w:proofErr w:type="gramEnd"/>
      <w:r>
        <w:t xml:space="preserve"> to expanding the age groups eligible for NIP-funded HZ vaccination. Future evaluations need to </w:t>
      </w:r>
      <w:proofErr w:type="gramStart"/>
      <w:r>
        <w:t>be planned</w:t>
      </w:r>
      <w:proofErr w:type="gramEnd"/>
      <w:r>
        <w:t xml:space="preserve"> and implemented at a national level to better understand the impact of expanding NIP eligibility and to inform future decisions around funding for HZ vaccination. These evaluations would </w:t>
      </w:r>
      <w:proofErr w:type="gramStart"/>
      <w:r>
        <w:t>benefit</w:t>
      </w:r>
      <w:proofErr w:type="gramEnd"/>
      <w:r>
        <w:t xml:space="preserve"> from investigating HZ using linked datasets to analyse the role of vaccine effectiveness and its impacts on HZ epidemiology. </w:t>
      </w:r>
    </w:p>
    <w:p w14:paraId="4BBBB793" w14:textId="77777777" w:rsidR="00F46060" w:rsidRPr="00F46060" w:rsidRDefault="00F46060" w:rsidP="00F46060">
      <w:pPr>
        <w:pStyle w:val="Heading1"/>
        <w:divId w:val="1964146631"/>
      </w:pPr>
      <w:r w:rsidRPr="00F46060">
        <w:t xml:space="preserve">Acknowledgement </w:t>
      </w:r>
    </w:p>
    <w:p w14:paraId="7B7E50ED" w14:textId="77777777" w:rsidR="00F46060" w:rsidRDefault="00F46060" w:rsidP="00F46060">
      <w:pPr>
        <w:divId w:val="1964146631"/>
      </w:pPr>
      <w:r>
        <w:t xml:space="preserve">We wish to acknowledge the medical practitioners and pathology services who diagnosed and notified cases to the Department of Health, Victoria. We also acknowledge the public health officers, medical officers, </w:t>
      </w:r>
      <w:proofErr w:type="gramStart"/>
      <w:r>
        <w:t>epidemiologists</w:t>
      </w:r>
      <w:proofErr w:type="gramEnd"/>
      <w:r>
        <w:t xml:space="preserve"> and systems specialists in the </w:t>
      </w:r>
      <w:proofErr w:type="spellStart"/>
      <w:r>
        <w:t>statewide</w:t>
      </w:r>
      <w:proofErr w:type="spellEnd"/>
      <w:r>
        <w:t xml:space="preserve"> teams who, as part of Victoria’s new </w:t>
      </w:r>
      <w:proofErr w:type="spellStart"/>
      <w:r>
        <w:t>statewide</w:t>
      </w:r>
      <w:proofErr w:type="spellEnd"/>
      <w:r>
        <w:t xml:space="preserve"> Public Health network, have also contributed to the collection and curation of this dataset. </w:t>
      </w:r>
    </w:p>
    <w:p w14:paraId="37F37BB9" w14:textId="77777777" w:rsidR="00F46060" w:rsidRDefault="00F46060" w:rsidP="00F46060">
      <w:pPr>
        <w:divId w:val="1964146631"/>
      </w:pPr>
      <w:r>
        <w:t xml:space="preserve">Madeleine </w:t>
      </w:r>
      <w:proofErr w:type="spellStart"/>
      <w:r>
        <w:t>Marsland</w:t>
      </w:r>
      <w:proofErr w:type="spellEnd"/>
      <w:r>
        <w:t xml:space="preserve"> is a Master of Philosophy in Applied Epidemiology (MAE) Scholar with the Australian National University and </w:t>
      </w:r>
      <w:proofErr w:type="gramStart"/>
      <w:r>
        <w:t>is supported</w:t>
      </w:r>
      <w:proofErr w:type="gramEnd"/>
      <w:r>
        <w:t xml:space="preserve"> by a MAE scholarship funded by the Department of Health, Victoria. </w:t>
      </w:r>
    </w:p>
    <w:p w14:paraId="12DE4A24" w14:textId="77777777" w:rsidR="00F46060" w:rsidRPr="00F46060" w:rsidRDefault="00F46060" w:rsidP="00F46060">
      <w:pPr>
        <w:pStyle w:val="Heading1"/>
        <w:divId w:val="1964146631"/>
      </w:pPr>
      <w:r w:rsidRPr="00F46060">
        <w:t xml:space="preserve">Author details </w:t>
      </w:r>
    </w:p>
    <w:p w14:paraId="74CF0A10" w14:textId="77777777" w:rsidR="00F46060" w:rsidRDefault="00F46060" w:rsidP="00F46060">
      <w:pPr>
        <w:divId w:val="1964146631"/>
      </w:pPr>
      <w:r>
        <w:t>Dr Madeleine J Marsland,</w:t>
      </w:r>
      <w:r>
        <w:rPr>
          <w:vertAlign w:val="superscript"/>
        </w:rPr>
        <w:t>1, 2</w:t>
      </w:r>
      <w:r>
        <w:t xml:space="preserve"> Ms Anna Glynn-Robinson,</w:t>
      </w:r>
      <w:r>
        <w:rPr>
          <w:vertAlign w:val="superscript"/>
        </w:rPr>
        <w:t>2</w:t>
      </w:r>
      <w:r>
        <w:t xml:space="preserve"> Dr Rebecca F Gang,</w:t>
      </w:r>
      <w:r>
        <w:rPr>
          <w:vertAlign w:val="superscript"/>
        </w:rPr>
        <w:t>1</w:t>
      </w:r>
      <w:r>
        <w:t xml:space="preserve"> Ms Janet Strachan</w:t>
      </w:r>
      <w:r>
        <w:rPr>
          <w:vertAlign w:val="superscript"/>
        </w:rPr>
        <w:t xml:space="preserve">1 </w:t>
      </w:r>
    </w:p>
    <w:p w14:paraId="45C1F07D" w14:textId="77777777" w:rsidR="00F46060" w:rsidRPr="00F46060" w:rsidRDefault="00F46060" w:rsidP="00F46060">
      <w:pPr>
        <w:pStyle w:val="ListParagraph"/>
        <w:numPr>
          <w:ilvl w:val="0"/>
          <w:numId w:val="9"/>
        </w:numPr>
        <w:divId w:val="1964146631"/>
        <w:rPr>
          <w:rFonts w:eastAsia="Times New Roman"/>
        </w:rPr>
      </w:pPr>
      <w:r w:rsidRPr="00F46060">
        <w:rPr>
          <w:rFonts w:eastAsia="Times New Roman"/>
        </w:rPr>
        <w:t xml:space="preserve">Public Health Division, Department of Health, Victoria. </w:t>
      </w:r>
    </w:p>
    <w:p w14:paraId="3C33BBCF" w14:textId="77777777" w:rsidR="00F46060" w:rsidRPr="00F46060" w:rsidRDefault="00F46060" w:rsidP="00F46060">
      <w:pPr>
        <w:pStyle w:val="ListParagraph"/>
        <w:numPr>
          <w:ilvl w:val="0"/>
          <w:numId w:val="9"/>
        </w:numPr>
        <w:divId w:val="1964146631"/>
        <w:rPr>
          <w:rFonts w:eastAsia="Times New Roman"/>
        </w:rPr>
      </w:pPr>
      <w:r w:rsidRPr="00F46060">
        <w:rPr>
          <w:rFonts w:eastAsia="Times New Roman"/>
        </w:rPr>
        <w:t xml:space="preserve">National Centre for Epidemiology &amp; Population Health, Australian National University. </w:t>
      </w:r>
    </w:p>
    <w:p w14:paraId="27B8CA38" w14:textId="77777777" w:rsidR="00F46060" w:rsidRPr="00F46060" w:rsidRDefault="00F46060" w:rsidP="00967FC9">
      <w:pPr>
        <w:pStyle w:val="Heading2"/>
        <w:spacing w:after="200"/>
        <w:divId w:val="1964146631"/>
      </w:pPr>
      <w:r w:rsidRPr="00F46060">
        <w:t xml:space="preserve">Corresponding author </w:t>
      </w:r>
    </w:p>
    <w:p w14:paraId="77328DE6" w14:textId="77777777" w:rsidR="00F46060" w:rsidRDefault="00F46060" w:rsidP="00F46060">
      <w:pPr>
        <w:divId w:val="1964146631"/>
      </w:pPr>
      <w:r>
        <w:t xml:space="preserve">Dr Madeleine J </w:t>
      </w:r>
      <w:proofErr w:type="spellStart"/>
      <w:r>
        <w:t>Marsland</w:t>
      </w:r>
      <w:proofErr w:type="spellEnd"/>
      <w:r>
        <w:t xml:space="preserve"> </w:t>
      </w:r>
    </w:p>
    <w:p w14:paraId="697A9C4D" w14:textId="77777777" w:rsidR="00F46060" w:rsidRDefault="00F46060" w:rsidP="00F46060">
      <w:pPr>
        <w:divId w:val="1964146631"/>
      </w:pPr>
      <w:r>
        <w:t xml:space="preserve">Address: Victoria Department of Health, 50 Lonsdale Street, Melbourne, Victoria, </w:t>
      </w:r>
      <w:proofErr w:type="gramStart"/>
      <w:r>
        <w:t>3000</w:t>
      </w:r>
      <w:proofErr w:type="gramEnd"/>
      <w:r>
        <w:t xml:space="preserve"> </w:t>
      </w:r>
    </w:p>
    <w:p w14:paraId="1FCB179B" w14:textId="77777777" w:rsidR="00F46060" w:rsidRDefault="00F46060" w:rsidP="00F46060">
      <w:pPr>
        <w:divId w:val="1964146631"/>
      </w:pPr>
      <w:r>
        <w:t xml:space="preserve">Phone: 03 8850 7484 </w:t>
      </w:r>
    </w:p>
    <w:p w14:paraId="4D5562C9" w14:textId="77777777" w:rsidR="00F46060" w:rsidRDefault="00F46060" w:rsidP="00F46060">
      <w:pPr>
        <w:divId w:val="1964146631"/>
      </w:pPr>
      <w:r>
        <w:t>Email: madeleine.marsland@health.vic.gov.au; madeleine.marsland@anu.edu.au</w:t>
      </w:r>
    </w:p>
    <w:p w14:paraId="5FBB8BD0" w14:textId="77777777" w:rsidR="00F46060" w:rsidRPr="00F46060" w:rsidRDefault="00F46060" w:rsidP="00F46060">
      <w:pPr>
        <w:pStyle w:val="Heading1"/>
        <w:divId w:val="1964146631"/>
      </w:pPr>
      <w:r w:rsidRPr="00F46060">
        <w:t xml:space="preserve">References </w:t>
      </w:r>
    </w:p>
    <w:p w14:paraId="38EF9FC0" w14:textId="77777777" w:rsidR="00F46060" w:rsidRPr="00F46060" w:rsidRDefault="00F46060" w:rsidP="00F46060">
      <w:pPr>
        <w:pStyle w:val="ListParagraph"/>
        <w:numPr>
          <w:ilvl w:val="0"/>
          <w:numId w:val="10"/>
        </w:numPr>
        <w:divId w:val="1964146631"/>
        <w:rPr>
          <w:rFonts w:eastAsia="Times New Roman"/>
        </w:rPr>
      </w:pPr>
      <w:proofErr w:type="spellStart"/>
      <w:r w:rsidRPr="00F46060">
        <w:rPr>
          <w:rFonts w:eastAsia="Times New Roman"/>
        </w:rPr>
        <w:t>MacIntyre</w:t>
      </w:r>
      <w:proofErr w:type="spellEnd"/>
      <w:r w:rsidRPr="00F46060">
        <w:rPr>
          <w:rFonts w:eastAsia="Times New Roman"/>
        </w:rPr>
        <w:t xml:space="preserve"> R, Stein A, Harrison C, Britt H, </w:t>
      </w:r>
      <w:proofErr w:type="spellStart"/>
      <w:r w:rsidRPr="00F46060">
        <w:rPr>
          <w:rFonts w:eastAsia="Times New Roman"/>
        </w:rPr>
        <w:t>Mahimbo</w:t>
      </w:r>
      <w:proofErr w:type="spellEnd"/>
      <w:r w:rsidRPr="00F46060">
        <w:rPr>
          <w:rFonts w:eastAsia="Times New Roman"/>
        </w:rPr>
        <w:t xml:space="preserve"> A, Cunningham A. Increasing trends of herpes zoster in Australia. </w:t>
      </w:r>
      <w:proofErr w:type="spellStart"/>
      <w:r w:rsidRPr="00BB363F">
        <w:rPr>
          <w:rStyle w:val="Emphasis"/>
          <w:rFonts w:eastAsia="Times New Roman"/>
          <w:b w:val="0"/>
          <w:bCs w:val="0"/>
        </w:rPr>
        <w:t>PLoS</w:t>
      </w:r>
      <w:proofErr w:type="spellEnd"/>
      <w:r w:rsidRPr="00BB363F">
        <w:rPr>
          <w:rStyle w:val="Emphasis"/>
          <w:rFonts w:eastAsia="Times New Roman"/>
          <w:b w:val="0"/>
          <w:bCs w:val="0"/>
        </w:rPr>
        <w:t xml:space="preserve"> One</w:t>
      </w:r>
      <w:r w:rsidRPr="00F46060">
        <w:rPr>
          <w:rFonts w:eastAsia="Times New Roman"/>
        </w:rPr>
        <w:t>. 2015;10(4</w:t>
      </w:r>
      <w:proofErr w:type="gramStart"/>
      <w:r w:rsidRPr="00F46060">
        <w:rPr>
          <w:rFonts w:eastAsia="Times New Roman"/>
        </w:rPr>
        <w:t>):e</w:t>
      </w:r>
      <w:proofErr w:type="gramEnd"/>
      <w:r w:rsidRPr="00F46060">
        <w:rPr>
          <w:rFonts w:eastAsia="Times New Roman"/>
        </w:rPr>
        <w:t xml:space="preserve">0125025. </w:t>
      </w:r>
      <w:proofErr w:type="spellStart"/>
      <w:r w:rsidRPr="00F46060">
        <w:rPr>
          <w:rFonts w:eastAsia="Times New Roman"/>
        </w:rPr>
        <w:t>doi</w:t>
      </w:r>
      <w:proofErr w:type="spellEnd"/>
      <w:r w:rsidRPr="00F46060">
        <w:rPr>
          <w:rFonts w:eastAsia="Times New Roman"/>
        </w:rPr>
        <w:t xml:space="preserve">: https://doi.org/10.1371/journal.pone.0125025. </w:t>
      </w:r>
    </w:p>
    <w:p w14:paraId="5BD065E2" w14:textId="77777777" w:rsidR="00F46060" w:rsidRPr="00F46060" w:rsidRDefault="00F46060" w:rsidP="00F46060">
      <w:pPr>
        <w:pStyle w:val="ListParagraph"/>
        <w:numPr>
          <w:ilvl w:val="0"/>
          <w:numId w:val="10"/>
        </w:numPr>
        <w:divId w:val="1964146631"/>
        <w:rPr>
          <w:rFonts w:eastAsia="Times New Roman"/>
        </w:rPr>
      </w:pPr>
      <w:r w:rsidRPr="00F46060">
        <w:rPr>
          <w:rFonts w:eastAsia="Times New Roman"/>
        </w:rPr>
        <w:t xml:space="preserve">National Centre for Immunisation Research and Surveillance (NCIRS). </w:t>
      </w:r>
      <w:r w:rsidRPr="00BB363F">
        <w:rPr>
          <w:rStyle w:val="Emphasis"/>
          <w:rFonts w:eastAsia="Times New Roman"/>
          <w:b w:val="0"/>
          <w:bCs w:val="0"/>
        </w:rPr>
        <w:t>Zoster vaccines for Australian adults</w:t>
      </w:r>
      <w:r w:rsidRPr="00F46060">
        <w:rPr>
          <w:rFonts w:eastAsia="Times New Roman"/>
        </w:rPr>
        <w:t xml:space="preserve">. Sydney: NCIRS; July 2021. Available from: https://www.ncirs.org.au/sites/default/files/2021-07/Zoster%20vaccine%20for%20Australian%20adults%20fact%20sheet_19%20July%202021_Final.pdf. </w:t>
      </w:r>
    </w:p>
    <w:p w14:paraId="64E186D6" w14:textId="77777777" w:rsidR="00F46060" w:rsidRPr="00F46060" w:rsidRDefault="00F46060" w:rsidP="00F46060">
      <w:pPr>
        <w:pStyle w:val="ListParagraph"/>
        <w:numPr>
          <w:ilvl w:val="0"/>
          <w:numId w:val="10"/>
        </w:numPr>
        <w:divId w:val="1964146631"/>
        <w:rPr>
          <w:rFonts w:eastAsia="Times New Roman"/>
        </w:rPr>
      </w:pPr>
      <w:r w:rsidRPr="00F46060">
        <w:rPr>
          <w:rFonts w:eastAsia="Times New Roman"/>
        </w:rPr>
        <w:t>Australian Government Department of Health and Aged Care, Australian Immunisation Handbook. Zoster (herpes zoster). [Webpage.] Canberra: Australian Government Department of Health and Aged Care; 7 December 2022. [Accessed on May 7</w:t>
      </w:r>
      <w:proofErr w:type="gramStart"/>
      <w:r w:rsidRPr="00F46060">
        <w:rPr>
          <w:rFonts w:eastAsia="Times New Roman"/>
        </w:rPr>
        <w:t xml:space="preserve"> 2023</w:t>
      </w:r>
      <w:proofErr w:type="gramEnd"/>
      <w:r w:rsidRPr="00F46060">
        <w:rPr>
          <w:rFonts w:eastAsia="Times New Roman"/>
        </w:rPr>
        <w:t xml:space="preserve">.] Available from: https://immunisationhandbook.health.gov.au/vaccine-preventable-diseases/zoster-herpes-zoster. </w:t>
      </w:r>
    </w:p>
    <w:p w14:paraId="3AFEA39F" w14:textId="77777777" w:rsidR="00F46060" w:rsidRPr="00F46060" w:rsidRDefault="00F46060" w:rsidP="00F46060">
      <w:pPr>
        <w:pStyle w:val="ListParagraph"/>
        <w:numPr>
          <w:ilvl w:val="0"/>
          <w:numId w:val="10"/>
        </w:numPr>
        <w:divId w:val="1964146631"/>
        <w:rPr>
          <w:rFonts w:eastAsia="Times New Roman"/>
        </w:rPr>
      </w:pPr>
      <w:r w:rsidRPr="00F46060">
        <w:rPr>
          <w:rFonts w:eastAsia="Times New Roman"/>
        </w:rPr>
        <w:t xml:space="preserve">Jayasinghe S, Sheridan S, Macartney K. Herpes zoster vaccination in Australia: </w:t>
      </w:r>
      <w:proofErr w:type="gramStart"/>
      <w:r w:rsidRPr="00F46060">
        <w:rPr>
          <w:rFonts w:eastAsia="Times New Roman"/>
        </w:rPr>
        <w:t>what’s</w:t>
      </w:r>
      <w:proofErr w:type="gramEnd"/>
      <w:r w:rsidRPr="00F46060">
        <w:rPr>
          <w:rFonts w:eastAsia="Times New Roman"/>
        </w:rPr>
        <w:t xml:space="preserve"> available and who benefits? </w:t>
      </w:r>
      <w:r w:rsidRPr="00BB363F">
        <w:rPr>
          <w:rStyle w:val="Emphasis"/>
          <w:rFonts w:eastAsia="Times New Roman"/>
          <w:b w:val="0"/>
          <w:bCs w:val="0"/>
        </w:rPr>
        <w:t xml:space="preserve">Aust </w:t>
      </w:r>
      <w:proofErr w:type="spellStart"/>
      <w:r w:rsidRPr="00BB363F">
        <w:rPr>
          <w:rStyle w:val="Emphasis"/>
          <w:rFonts w:eastAsia="Times New Roman"/>
          <w:b w:val="0"/>
          <w:bCs w:val="0"/>
        </w:rPr>
        <w:t>Prescr</w:t>
      </w:r>
      <w:proofErr w:type="spellEnd"/>
      <w:r w:rsidRPr="00F46060">
        <w:rPr>
          <w:rFonts w:eastAsia="Times New Roman"/>
        </w:rPr>
        <w:t xml:space="preserve">. 2020;43(1):2–6. </w:t>
      </w:r>
      <w:proofErr w:type="spellStart"/>
      <w:r w:rsidRPr="00F46060">
        <w:rPr>
          <w:rFonts w:eastAsia="Times New Roman"/>
        </w:rPr>
        <w:t>doi</w:t>
      </w:r>
      <w:proofErr w:type="spellEnd"/>
      <w:r w:rsidRPr="00F46060">
        <w:rPr>
          <w:rFonts w:eastAsia="Times New Roman"/>
        </w:rPr>
        <w:t xml:space="preserve">: https://doi.org/10.18773/austprescr.2020.001. </w:t>
      </w:r>
    </w:p>
    <w:p w14:paraId="55D7E978" w14:textId="77777777" w:rsidR="00F46060" w:rsidRPr="00F46060" w:rsidRDefault="00F46060" w:rsidP="00F46060">
      <w:pPr>
        <w:pStyle w:val="ListParagraph"/>
        <w:numPr>
          <w:ilvl w:val="0"/>
          <w:numId w:val="10"/>
        </w:numPr>
        <w:divId w:val="1964146631"/>
        <w:rPr>
          <w:rFonts w:eastAsia="Times New Roman"/>
        </w:rPr>
      </w:pPr>
      <w:r w:rsidRPr="00F46060">
        <w:rPr>
          <w:rFonts w:eastAsia="Times New Roman"/>
        </w:rPr>
        <w:t xml:space="preserve">Cunningham AL, Heineman TC, Lal H, </w:t>
      </w:r>
      <w:proofErr w:type="spellStart"/>
      <w:r w:rsidRPr="00F46060">
        <w:rPr>
          <w:rFonts w:eastAsia="Times New Roman"/>
        </w:rPr>
        <w:t>Godeaux</w:t>
      </w:r>
      <w:proofErr w:type="spellEnd"/>
      <w:r w:rsidRPr="00F46060">
        <w:rPr>
          <w:rFonts w:eastAsia="Times New Roman"/>
        </w:rPr>
        <w:t xml:space="preserve"> O, </w:t>
      </w:r>
      <w:proofErr w:type="spellStart"/>
      <w:r w:rsidRPr="00F46060">
        <w:rPr>
          <w:rFonts w:eastAsia="Times New Roman"/>
        </w:rPr>
        <w:t>Chlibek</w:t>
      </w:r>
      <w:proofErr w:type="spellEnd"/>
      <w:r w:rsidRPr="00F46060">
        <w:rPr>
          <w:rFonts w:eastAsia="Times New Roman"/>
        </w:rPr>
        <w:t xml:space="preserve"> R, Hwang SJ et al. Immune responses to a recombinant glycoprotein E herpes zoster vaccine in adults aged 50 years or older. </w:t>
      </w:r>
      <w:r w:rsidRPr="00BB363F">
        <w:rPr>
          <w:rStyle w:val="Emphasis"/>
          <w:rFonts w:eastAsia="Times New Roman"/>
          <w:b w:val="0"/>
          <w:bCs w:val="0"/>
        </w:rPr>
        <w:t>J Infect Dis</w:t>
      </w:r>
      <w:r w:rsidRPr="00F46060">
        <w:rPr>
          <w:rFonts w:eastAsia="Times New Roman"/>
        </w:rPr>
        <w:t xml:space="preserve">. 2018;217(11):1750–60. </w:t>
      </w:r>
      <w:proofErr w:type="spellStart"/>
      <w:r w:rsidRPr="00F46060">
        <w:rPr>
          <w:rFonts w:eastAsia="Times New Roman"/>
        </w:rPr>
        <w:t>doi</w:t>
      </w:r>
      <w:proofErr w:type="spellEnd"/>
      <w:r w:rsidRPr="00F46060">
        <w:rPr>
          <w:rFonts w:eastAsia="Times New Roman"/>
        </w:rPr>
        <w:t xml:space="preserve">: https://doi.org/10.1093/infdis/jiy095. </w:t>
      </w:r>
    </w:p>
    <w:p w14:paraId="57249136" w14:textId="77777777" w:rsidR="00F46060" w:rsidRPr="00F46060" w:rsidRDefault="00F46060" w:rsidP="00F46060">
      <w:pPr>
        <w:pStyle w:val="ListParagraph"/>
        <w:numPr>
          <w:ilvl w:val="0"/>
          <w:numId w:val="10"/>
        </w:numPr>
        <w:divId w:val="1964146631"/>
        <w:rPr>
          <w:rFonts w:eastAsia="Times New Roman"/>
        </w:rPr>
      </w:pPr>
      <w:r w:rsidRPr="00F46060">
        <w:rPr>
          <w:rFonts w:eastAsia="Times New Roman"/>
        </w:rPr>
        <w:t xml:space="preserve">Australian Government Department of Health and Aged Care. Shingles (herpes zoster) vaccine. [Internet.] Canberra: Australian Government Department of Health and Aged Care; 28 September 2022. Available from: https://www.health.gov.au/topics/immunisation/vaccines/shingles-herpes-zoster-immunisation-service. </w:t>
      </w:r>
    </w:p>
    <w:p w14:paraId="30E39EAF" w14:textId="77777777" w:rsidR="00F46060" w:rsidRPr="00F46060" w:rsidRDefault="00F46060" w:rsidP="00F46060">
      <w:pPr>
        <w:pStyle w:val="ListParagraph"/>
        <w:numPr>
          <w:ilvl w:val="0"/>
          <w:numId w:val="10"/>
        </w:numPr>
        <w:divId w:val="1964146631"/>
        <w:rPr>
          <w:rFonts w:eastAsia="Times New Roman"/>
        </w:rPr>
      </w:pPr>
      <w:r w:rsidRPr="00F46060">
        <w:rPr>
          <w:rFonts w:eastAsia="Times New Roman"/>
        </w:rPr>
        <w:t xml:space="preserve">Australian Government Department of Health and Aged Care. National Immunisation Program: Shingles vaccination catch-up program extended. [Internet.] Canberra: Australian Government Department of Health and Aged Care; 15 October 2021. Available from: https://www.health.gov.au/news/national-immunisation-program-shingles-vaccination-catch-up-program-extended. </w:t>
      </w:r>
    </w:p>
    <w:p w14:paraId="274B5FCA" w14:textId="77777777" w:rsidR="00F46060" w:rsidRPr="00F46060" w:rsidRDefault="00F46060" w:rsidP="00F46060">
      <w:pPr>
        <w:pStyle w:val="ListParagraph"/>
        <w:numPr>
          <w:ilvl w:val="0"/>
          <w:numId w:val="10"/>
        </w:numPr>
        <w:divId w:val="1964146631"/>
        <w:rPr>
          <w:rFonts w:eastAsia="Times New Roman"/>
        </w:rPr>
      </w:pPr>
      <w:r w:rsidRPr="00F46060">
        <w:rPr>
          <w:rFonts w:eastAsia="Times New Roman"/>
        </w:rPr>
        <w:t xml:space="preserve">Services Australia. </w:t>
      </w:r>
      <w:r w:rsidRPr="00BB363F">
        <w:rPr>
          <w:rStyle w:val="Emphasis"/>
          <w:rFonts w:eastAsia="Times New Roman"/>
          <w:b w:val="0"/>
          <w:bCs w:val="0"/>
        </w:rPr>
        <w:t>Budget 2023-24. National Immunisation Program</w:t>
      </w:r>
      <w:r w:rsidRPr="00F46060">
        <w:rPr>
          <w:rFonts w:eastAsia="Times New Roman"/>
        </w:rPr>
        <w:t xml:space="preserve">. Canberra: Services Australia; 9 May 2023. [Accessed on 5 June 2023.] Available from: https://www.servicesaustralia.gov.au/sites/default/files/2023-05/budget-2023-24-may-health-and-disability-9.pdf. </w:t>
      </w:r>
    </w:p>
    <w:p w14:paraId="11A6956A" w14:textId="77777777" w:rsidR="00F46060" w:rsidRPr="00F46060" w:rsidRDefault="00F46060" w:rsidP="00F46060">
      <w:pPr>
        <w:pStyle w:val="ListParagraph"/>
        <w:numPr>
          <w:ilvl w:val="0"/>
          <w:numId w:val="10"/>
        </w:numPr>
        <w:divId w:val="1964146631"/>
        <w:rPr>
          <w:rFonts w:eastAsia="Times New Roman"/>
        </w:rPr>
      </w:pPr>
      <w:r w:rsidRPr="00F46060">
        <w:rPr>
          <w:rFonts w:eastAsia="Times New Roman"/>
        </w:rPr>
        <w:t xml:space="preserve">Lin J, Wood JG, Bernardo C, Stocks NP, Liu B. Herpes zoster vaccine coverage in Australia before and after introduction of a national vaccination program. </w:t>
      </w:r>
      <w:r w:rsidRPr="00BB363F">
        <w:rPr>
          <w:rStyle w:val="Emphasis"/>
          <w:rFonts w:eastAsia="Times New Roman"/>
          <w:b w:val="0"/>
          <w:bCs w:val="0"/>
        </w:rPr>
        <w:t>Vaccine</w:t>
      </w:r>
      <w:r w:rsidRPr="00F46060">
        <w:rPr>
          <w:rFonts w:eastAsia="Times New Roman"/>
        </w:rPr>
        <w:t xml:space="preserve">. 2020;38(20):3646–52. </w:t>
      </w:r>
      <w:proofErr w:type="spellStart"/>
      <w:r w:rsidRPr="00F46060">
        <w:rPr>
          <w:rFonts w:eastAsia="Times New Roman"/>
        </w:rPr>
        <w:t>doi</w:t>
      </w:r>
      <w:proofErr w:type="spellEnd"/>
      <w:r w:rsidRPr="00F46060">
        <w:rPr>
          <w:rFonts w:eastAsia="Times New Roman"/>
        </w:rPr>
        <w:t xml:space="preserve">: https://doi.org/10.1016/j.vaccine.2020.03.036. </w:t>
      </w:r>
    </w:p>
    <w:p w14:paraId="3EBEAC7E" w14:textId="77777777" w:rsidR="00F46060" w:rsidRPr="00F46060" w:rsidRDefault="00F46060" w:rsidP="00F46060">
      <w:pPr>
        <w:pStyle w:val="ListParagraph"/>
        <w:numPr>
          <w:ilvl w:val="0"/>
          <w:numId w:val="10"/>
        </w:numPr>
        <w:divId w:val="1964146631"/>
        <w:rPr>
          <w:rFonts w:eastAsia="Times New Roman"/>
        </w:rPr>
      </w:pPr>
      <w:proofErr w:type="spellStart"/>
      <w:r w:rsidRPr="00F46060">
        <w:rPr>
          <w:rFonts w:eastAsia="Times New Roman"/>
        </w:rPr>
        <w:t>Litt</w:t>
      </w:r>
      <w:proofErr w:type="spellEnd"/>
      <w:r w:rsidRPr="00F46060">
        <w:rPr>
          <w:rFonts w:eastAsia="Times New Roman"/>
        </w:rPr>
        <w:t xml:space="preserve"> J, </w:t>
      </w:r>
      <w:proofErr w:type="spellStart"/>
      <w:r w:rsidRPr="00F46060">
        <w:rPr>
          <w:rFonts w:eastAsia="Times New Roman"/>
        </w:rPr>
        <w:t>Booy</w:t>
      </w:r>
      <w:proofErr w:type="spellEnd"/>
      <w:r w:rsidRPr="00F46060">
        <w:rPr>
          <w:rFonts w:eastAsia="Times New Roman"/>
        </w:rPr>
        <w:t xml:space="preserve"> R, Bourke D, Dwyer DE, </w:t>
      </w:r>
      <w:proofErr w:type="spellStart"/>
      <w:r w:rsidRPr="00F46060">
        <w:rPr>
          <w:rFonts w:eastAsia="Times New Roman"/>
        </w:rPr>
        <w:t>Leeb</w:t>
      </w:r>
      <w:proofErr w:type="spellEnd"/>
      <w:r w:rsidRPr="00F46060">
        <w:rPr>
          <w:rFonts w:eastAsia="Times New Roman"/>
        </w:rPr>
        <w:t xml:space="preserve"> A, McCloud P et al. Early impact of the Australian national shingles vaccination program with the herpes zoster live attenuated vaccine. </w:t>
      </w:r>
      <w:r w:rsidRPr="00BB363F">
        <w:rPr>
          <w:rStyle w:val="Emphasis"/>
          <w:rFonts w:eastAsia="Times New Roman"/>
          <w:b w:val="0"/>
          <w:bCs w:val="0"/>
        </w:rPr>
        <w:t xml:space="preserve">Hum </w:t>
      </w:r>
      <w:proofErr w:type="spellStart"/>
      <w:r w:rsidRPr="00BB363F">
        <w:rPr>
          <w:rStyle w:val="Emphasis"/>
          <w:rFonts w:eastAsia="Times New Roman"/>
          <w:b w:val="0"/>
          <w:bCs w:val="0"/>
        </w:rPr>
        <w:t>Vaccin</w:t>
      </w:r>
      <w:proofErr w:type="spellEnd"/>
      <w:r w:rsidRPr="00BB363F">
        <w:rPr>
          <w:rStyle w:val="Emphasis"/>
          <w:rFonts w:eastAsia="Times New Roman"/>
          <w:b w:val="0"/>
          <w:bCs w:val="0"/>
        </w:rPr>
        <w:t xml:space="preserve"> </w:t>
      </w:r>
      <w:proofErr w:type="spellStart"/>
      <w:r w:rsidRPr="00BB363F">
        <w:rPr>
          <w:rStyle w:val="Emphasis"/>
          <w:rFonts w:eastAsia="Times New Roman"/>
          <w:b w:val="0"/>
          <w:bCs w:val="0"/>
        </w:rPr>
        <w:t>Immunother</w:t>
      </w:r>
      <w:proofErr w:type="spellEnd"/>
      <w:r w:rsidRPr="00F46060">
        <w:rPr>
          <w:rFonts w:eastAsia="Times New Roman"/>
        </w:rPr>
        <w:t xml:space="preserve">. 2020;16(12):3081–9. </w:t>
      </w:r>
      <w:proofErr w:type="spellStart"/>
      <w:r w:rsidRPr="00F46060">
        <w:rPr>
          <w:rFonts w:eastAsia="Times New Roman"/>
        </w:rPr>
        <w:t>doi</w:t>
      </w:r>
      <w:proofErr w:type="spellEnd"/>
      <w:r w:rsidRPr="00F46060">
        <w:rPr>
          <w:rFonts w:eastAsia="Times New Roman"/>
        </w:rPr>
        <w:t xml:space="preserve">: https://doi.org/10.1080/21645515.2020.1754702. </w:t>
      </w:r>
    </w:p>
    <w:p w14:paraId="33EC4553" w14:textId="77777777" w:rsidR="00F46060" w:rsidRPr="00F46060" w:rsidRDefault="00F46060" w:rsidP="00F46060">
      <w:pPr>
        <w:pStyle w:val="ListParagraph"/>
        <w:numPr>
          <w:ilvl w:val="0"/>
          <w:numId w:val="10"/>
        </w:numPr>
        <w:divId w:val="1964146631"/>
        <w:rPr>
          <w:rFonts w:eastAsia="Times New Roman"/>
        </w:rPr>
      </w:pPr>
      <w:r w:rsidRPr="00F46060">
        <w:rPr>
          <w:rFonts w:eastAsia="Times New Roman"/>
        </w:rPr>
        <w:t xml:space="preserve">Rashid H, Dey A, </w:t>
      </w:r>
      <w:proofErr w:type="spellStart"/>
      <w:r w:rsidRPr="00F46060">
        <w:rPr>
          <w:rFonts w:eastAsia="Times New Roman"/>
        </w:rPr>
        <w:t>Manocha</w:t>
      </w:r>
      <w:proofErr w:type="spellEnd"/>
      <w:r w:rsidRPr="00F46060">
        <w:rPr>
          <w:rFonts w:eastAsia="Times New Roman"/>
        </w:rPr>
        <w:t xml:space="preserve"> R, </w:t>
      </w:r>
      <w:proofErr w:type="spellStart"/>
      <w:r w:rsidRPr="00F46060">
        <w:rPr>
          <w:rFonts w:eastAsia="Times New Roman"/>
        </w:rPr>
        <w:t>Tashani</w:t>
      </w:r>
      <w:proofErr w:type="spellEnd"/>
      <w:r w:rsidRPr="00F46060">
        <w:rPr>
          <w:rFonts w:eastAsia="Times New Roman"/>
        </w:rPr>
        <w:t xml:space="preserve"> M, Macartney K, Beard F. Australia’s national zoster vaccination program: knowledge, </w:t>
      </w:r>
      <w:proofErr w:type="gramStart"/>
      <w:r w:rsidRPr="00F46060">
        <w:rPr>
          <w:rFonts w:eastAsia="Times New Roman"/>
        </w:rPr>
        <w:t>attitudes</w:t>
      </w:r>
      <w:proofErr w:type="gramEnd"/>
      <w:r w:rsidRPr="00F46060">
        <w:rPr>
          <w:rFonts w:eastAsia="Times New Roman"/>
        </w:rPr>
        <w:t xml:space="preserve"> and behaviour of general practitioners. </w:t>
      </w:r>
      <w:proofErr w:type="spellStart"/>
      <w:r w:rsidRPr="00BB363F">
        <w:rPr>
          <w:rStyle w:val="Emphasis"/>
          <w:rFonts w:eastAsia="Times New Roman"/>
          <w:b w:val="0"/>
          <w:bCs w:val="0"/>
        </w:rPr>
        <w:t>Commun</w:t>
      </w:r>
      <w:proofErr w:type="spellEnd"/>
      <w:r w:rsidRPr="00BB363F">
        <w:rPr>
          <w:rStyle w:val="Emphasis"/>
          <w:rFonts w:eastAsia="Times New Roman"/>
          <w:b w:val="0"/>
          <w:bCs w:val="0"/>
        </w:rPr>
        <w:t xml:space="preserve"> Dis </w:t>
      </w:r>
      <w:proofErr w:type="spellStart"/>
      <w:r w:rsidRPr="00BB363F">
        <w:rPr>
          <w:rStyle w:val="Emphasis"/>
          <w:rFonts w:eastAsia="Times New Roman"/>
          <w:b w:val="0"/>
          <w:bCs w:val="0"/>
        </w:rPr>
        <w:t>Intell</w:t>
      </w:r>
      <w:proofErr w:type="spellEnd"/>
      <w:r w:rsidRPr="00BB363F">
        <w:rPr>
          <w:rStyle w:val="Emphasis"/>
          <w:rFonts w:eastAsia="Times New Roman"/>
          <w:b w:val="0"/>
          <w:bCs w:val="0"/>
        </w:rPr>
        <w:t xml:space="preserve"> (2018)</w:t>
      </w:r>
      <w:r w:rsidRPr="00F46060">
        <w:rPr>
          <w:rFonts w:eastAsia="Times New Roman"/>
        </w:rPr>
        <w:t>. 2020;</w:t>
      </w:r>
      <w:proofErr w:type="gramStart"/>
      <w:r w:rsidRPr="00F46060">
        <w:rPr>
          <w:rFonts w:eastAsia="Times New Roman"/>
        </w:rPr>
        <w:t>44</w:t>
      </w:r>
      <w:proofErr w:type="gramEnd"/>
      <w:r w:rsidRPr="00F46060">
        <w:rPr>
          <w:rFonts w:eastAsia="Times New Roman"/>
        </w:rPr>
        <w:t xml:space="preserve">. </w:t>
      </w:r>
      <w:proofErr w:type="spellStart"/>
      <w:r w:rsidRPr="00F46060">
        <w:rPr>
          <w:rFonts w:eastAsia="Times New Roman"/>
        </w:rPr>
        <w:t>doi</w:t>
      </w:r>
      <w:proofErr w:type="spellEnd"/>
      <w:r w:rsidRPr="00F46060">
        <w:rPr>
          <w:rFonts w:eastAsia="Times New Roman"/>
        </w:rPr>
        <w:t xml:space="preserve">: https://doi.org/10.33321/cdi.2020.44.59. </w:t>
      </w:r>
    </w:p>
    <w:p w14:paraId="0A2C5C0B" w14:textId="77777777" w:rsidR="00F46060" w:rsidRPr="00F46060" w:rsidRDefault="00F46060" w:rsidP="00F46060">
      <w:pPr>
        <w:pStyle w:val="ListParagraph"/>
        <w:numPr>
          <w:ilvl w:val="0"/>
          <w:numId w:val="10"/>
        </w:numPr>
        <w:divId w:val="1964146631"/>
        <w:rPr>
          <w:rFonts w:eastAsia="Times New Roman"/>
        </w:rPr>
      </w:pPr>
      <w:r w:rsidRPr="00F46060">
        <w:rPr>
          <w:rFonts w:eastAsia="Times New Roman"/>
        </w:rPr>
        <w:t xml:space="preserve">Lin J, Dobbins T, Wood JG, Bernardo C, Stocks NP, Liu B. Effectiveness of the live-attenuated herpes zoster vaccine 2 years after its introduction in Australia. </w:t>
      </w:r>
      <w:r w:rsidRPr="00BB363F">
        <w:rPr>
          <w:rStyle w:val="Emphasis"/>
          <w:rFonts w:eastAsia="Times New Roman"/>
          <w:b w:val="0"/>
          <w:bCs w:val="0"/>
        </w:rPr>
        <w:t>Vaccine</w:t>
      </w:r>
      <w:r w:rsidRPr="00F46060">
        <w:rPr>
          <w:rFonts w:eastAsia="Times New Roman"/>
        </w:rPr>
        <w:t xml:space="preserve">. 2021;39(10):1493–8. </w:t>
      </w:r>
      <w:proofErr w:type="spellStart"/>
      <w:r w:rsidRPr="00F46060">
        <w:rPr>
          <w:rFonts w:eastAsia="Times New Roman"/>
        </w:rPr>
        <w:t>doi</w:t>
      </w:r>
      <w:proofErr w:type="spellEnd"/>
      <w:r w:rsidRPr="00F46060">
        <w:rPr>
          <w:rFonts w:eastAsia="Times New Roman"/>
        </w:rPr>
        <w:t xml:space="preserve">: https://doi.org/10.1016/j.vaccine.2021.01.067. </w:t>
      </w:r>
    </w:p>
    <w:p w14:paraId="62D3D222" w14:textId="77777777" w:rsidR="00F46060" w:rsidRPr="00F46060" w:rsidRDefault="00F46060" w:rsidP="00F46060">
      <w:pPr>
        <w:pStyle w:val="ListParagraph"/>
        <w:numPr>
          <w:ilvl w:val="0"/>
          <w:numId w:val="10"/>
        </w:numPr>
        <w:divId w:val="1964146631"/>
        <w:rPr>
          <w:rFonts w:eastAsia="Times New Roman"/>
        </w:rPr>
      </w:pPr>
      <w:r w:rsidRPr="00F46060">
        <w:rPr>
          <w:rFonts w:eastAsia="Times New Roman"/>
        </w:rPr>
        <w:t xml:space="preserve">Lin J, Dobbins T, Wood JG, Bernardo C, Stocks NP, Liu B. Impact of a national immunisation program on herpes zoster incidence in Australia. </w:t>
      </w:r>
      <w:r w:rsidRPr="00BB363F">
        <w:rPr>
          <w:rStyle w:val="Emphasis"/>
          <w:rFonts w:eastAsia="Times New Roman"/>
          <w:b w:val="0"/>
          <w:bCs w:val="0"/>
        </w:rPr>
        <w:t>J Infect</w:t>
      </w:r>
      <w:r w:rsidRPr="00F46060">
        <w:rPr>
          <w:rFonts w:eastAsia="Times New Roman"/>
        </w:rPr>
        <w:t xml:space="preserve">. 2022;84(4):537–41. </w:t>
      </w:r>
      <w:proofErr w:type="spellStart"/>
      <w:r w:rsidRPr="00F46060">
        <w:rPr>
          <w:rFonts w:eastAsia="Times New Roman"/>
        </w:rPr>
        <w:t>doi</w:t>
      </w:r>
      <w:proofErr w:type="spellEnd"/>
      <w:r w:rsidRPr="00F46060">
        <w:rPr>
          <w:rFonts w:eastAsia="Times New Roman"/>
        </w:rPr>
        <w:t xml:space="preserve">: https://doi.org/10.1016/j.jinf.2022.01.011. </w:t>
      </w:r>
    </w:p>
    <w:p w14:paraId="73314EC5" w14:textId="77777777" w:rsidR="00F46060" w:rsidRPr="00F46060" w:rsidRDefault="00F46060" w:rsidP="00F46060">
      <w:pPr>
        <w:pStyle w:val="ListParagraph"/>
        <w:numPr>
          <w:ilvl w:val="0"/>
          <w:numId w:val="10"/>
        </w:numPr>
        <w:divId w:val="1964146631"/>
        <w:rPr>
          <w:rFonts w:eastAsia="Times New Roman"/>
        </w:rPr>
      </w:pPr>
      <w:r w:rsidRPr="00F46060">
        <w:rPr>
          <w:rFonts w:eastAsia="Times New Roman"/>
        </w:rPr>
        <w:t xml:space="preserve">Lin J, Dobbins T, Wood JG, Hall JJ, Liu B. Impact of a structured older persons health assessment on herpes zoster vaccine uptake in Australian primary care. </w:t>
      </w:r>
      <w:proofErr w:type="spellStart"/>
      <w:r w:rsidRPr="00BB363F">
        <w:rPr>
          <w:rStyle w:val="Emphasis"/>
          <w:rFonts w:eastAsia="Times New Roman"/>
          <w:b w:val="0"/>
          <w:bCs w:val="0"/>
        </w:rPr>
        <w:t>Prev</w:t>
      </w:r>
      <w:proofErr w:type="spellEnd"/>
      <w:r w:rsidRPr="00BB363F">
        <w:rPr>
          <w:rStyle w:val="Emphasis"/>
          <w:rFonts w:eastAsia="Times New Roman"/>
          <w:b w:val="0"/>
          <w:bCs w:val="0"/>
        </w:rPr>
        <w:t xml:space="preserve"> Med</w:t>
      </w:r>
      <w:r w:rsidRPr="00F46060">
        <w:rPr>
          <w:rFonts w:eastAsia="Times New Roman"/>
        </w:rPr>
        <w:t xml:space="preserve">. </w:t>
      </w:r>
      <w:proofErr w:type="gramStart"/>
      <w:r w:rsidRPr="00F46060">
        <w:rPr>
          <w:rFonts w:eastAsia="Times New Roman"/>
        </w:rPr>
        <w:t>2022;155:106946</w:t>
      </w:r>
      <w:proofErr w:type="gramEnd"/>
      <w:r w:rsidRPr="00F46060">
        <w:rPr>
          <w:rFonts w:eastAsia="Times New Roman"/>
        </w:rPr>
        <w:t xml:space="preserve">. </w:t>
      </w:r>
      <w:proofErr w:type="spellStart"/>
      <w:r w:rsidRPr="00F46060">
        <w:rPr>
          <w:rFonts w:eastAsia="Times New Roman"/>
        </w:rPr>
        <w:t>doi</w:t>
      </w:r>
      <w:proofErr w:type="spellEnd"/>
      <w:r w:rsidRPr="00F46060">
        <w:rPr>
          <w:rFonts w:eastAsia="Times New Roman"/>
        </w:rPr>
        <w:t xml:space="preserve">: https://doi.org/10.1016/j.ypmed.2021.106946. </w:t>
      </w:r>
    </w:p>
    <w:p w14:paraId="45A7D566" w14:textId="77777777" w:rsidR="00F46060" w:rsidRPr="00F46060" w:rsidRDefault="00F46060" w:rsidP="00F46060">
      <w:pPr>
        <w:pStyle w:val="ListParagraph"/>
        <w:numPr>
          <w:ilvl w:val="0"/>
          <w:numId w:val="10"/>
        </w:numPr>
        <w:divId w:val="1964146631"/>
        <w:rPr>
          <w:rFonts w:eastAsia="Times New Roman"/>
        </w:rPr>
      </w:pPr>
      <w:r w:rsidRPr="00F46060">
        <w:rPr>
          <w:rFonts w:eastAsia="Times New Roman"/>
        </w:rPr>
        <w:t xml:space="preserve">NCIRS. </w:t>
      </w:r>
      <w:r w:rsidRPr="00BB363F">
        <w:rPr>
          <w:rStyle w:val="Emphasis"/>
          <w:rFonts w:eastAsia="Times New Roman"/>
          <w:b w:val="0"/>
          <w:bCs w:val="0"/>
        </w:rPr>
        <w:t>Evaluation of the National Shingles Vaccination Program Process and early impact evaluation. Final Report</w:t>
      </w:r>
      <w:r w:rsidRPr="00F46060">
        <w:rPr>
          <w:rFonts w:eastAsia="Times New Roman"/>
        </w:rPr>
        <w:t xml:space="preserve">. Sydney: NCIRS; 1 March 2019.Available from: https://ncirs.org.au/sites/default/files/2019-04/Shingles%20Program%20Evaluation%20Report_1%20March%202019_Final%20for%20web.pdf. </w:t>
      </w:r>
    </w:p>
    <w:p w14:paraId="52B29161" w14:textId="77777777" w:rsidR="00F46060" w:rsidRPr="00F46060" w:rsidRDefault="00F46060" w:rsidP="00F46060">
      <w:pPr>
        <w:pStyle w:val="ListParagraph"/>
        <w:numPr>
          <w:ilvl w:val="0"/>
          <w:numId w:val="10"/>
        </w:numPr>
        <w:divId w:val="1964146631"/>
        <w:rPr>
          <w:rFonts w:eastAsia="Times New Roman"/>
        </w:rPr>
      </w:pPr>
      <w:proofErr w:type="spellStart"/>
      <w:r w:rsidRPr="00F46060">
        <w:rPr>
          <w:rFonts w:eastAsia="Times New Roman"/>
        </w:rPr>
        <w:t>Phakey</w:t>
      </w:r>
      <w:proofErr w:type="spellEnd"/>
      <w:r w:rsidRPr="00F46060">
        <w:rPr>
          <w:rFonts w:eastAsia="Times New Roman"/>
        </w:rPr>
        <w:t xml:space="preserve"> S, Rogers SL, Hall AJ, Lim LL. Reduction in herpes zoster antiviral use since the introduction of the live-attenuated zoster vaccine on Australia’s National Immunisation Program: a population-based study from 1994 to 2019. </w:t>
      </w:r>
      <w:r w:rsidRPr="00BB363F">
        <w:rPr>
          <w:rStyle w:val="Emphasis"/>
          <w:rFonts w:eastAsia="Times New Roman"/>
          <w:b w:val="0"/>
          <w:bCs w:val="0"/>
        </w:rPr>
        <w:t xml:space="preserve">Infect Dis </w:t>
      </w:r>
      <w:proofErr w:type="spellStart"/>
      <w:r w:rsidRPr="00BB363F">
        <w:rPr>
          <w:rStyle w:val="Emphasis"/>
          <w:rFonts w:eastAsia="Times New Roman"/>
          <w:b w:val="0"/>
          <w:bCs w:val="0"/>
        </w:rPr>
        <w:t>Ther</w:t>
      </w:r>
      <w:proofErr w:type="spellEnd"/>
      <w:r w:rsidRPr="00F46060">
        <w:rPr>
          <w:rFonts w:eastAsia="Times New Roman"/>
        </w:rPr>
        <w:t xml:space="preserve">. 2023;12(2):711–26. </w:t>
      </w:r>
      <w:proofErr w:type="spellStart"/>
      <w:r w:rsidRPr="00F46060">
        <w:rPr>
          <w:rFonts w:eastAsia="Times New Roman"/>
        </w:rPr>
        <w:t>doi</w:t>
      </w:r>
      <w:proofErr w:type="spellEnd"/>
      <w:r w:rsidRPr="00F46060">
        <w:rPr>
          <w:rFonts w:eastAsia="Times New Roman"/>
        </w:rPr>
        <w:t xml:space="preserve">: https://doi.org/10.1007/s40121-022-00749-y. </w:t>
      </w:r>
    </w:p>
    <w:p w14:paraId="27802296" w14:textId="77777777" w:rsidR="00F46060" w:rsidRPr="00F46060" w:rsidRDefault="00F46060" w:rsidP="00F46060">
      <w:pPr>
        <w:pStyle w:val="ListParagraph"/>
        <w:numPr>
          <w:ilvl w:val="0"/>
          <w:numId w:val="10"/>
        </w:numPr>
        <w:divId w:val="1964146631"/>
        <w:rPr>
          <w:rFonts w:eastAsia="Times New Roman"/>
        </w:rPr>
      </w:pPr>
      <w:r w:rsidRPr="00F46060">
        <w:rPr>
          <w:rFonts w:eastAsia="Times New Roman"/>
        </w:rPr>
        <w:t xml:space="preserve">Communicable Diseases Network Australia (CDNA). </w:t>
      </w:r>
      <w:r w:rsidRPr="00BB363F">
        <w:rPr>
          <w:rStyle w:val="Emphasis"/>
          <w:rFonts w:eastAsia="Times New Roman"/>
          <w:b w:val="0"/>
          <w:bCs w:val="0"/>
        </w:rPr>
        <w:t>Varicella-zoster (shingles). Australian national notifiable diseases case definition</w:t>
      </w:r>
      <w:r w:rsidRPr="00F46060">
        <w:rPr>
          <w:rFonts w:eastAsia="Times New Roman"/>
        </w:rPr>
        <w:t xml:space="preserve">. Canberra: Australian Government Department of Health and Aged Care, CDNA; 1 January 2018. [Accessed on 13 October 2022.] Available from: https://www.health.gov.au/sites/default/files/documents/2022/06/varicella-zoster-shingles-surveillance-case-definition.pdf. </w:t>
      </w:r>
    </w:p>
    <w:p w14:paraId="79BBA0FE" w14:textId="77777777" w:rsidR="00F46060" w:rsidRPr="00F46060" w:rsidRDefault="00F46060" w:rsidP="00F46060">
      <w:pPr>
        <w:pStyle w:val="ListParagraph"/>
        <w:numPr>
          <w:ilvl w:val="0"/>
          <w:numId w:val="10"/>
        </w:numPr>
        <w:divId w:val="1964146631"/>
        <w:rPr>
          <w:rFonts w:eastAsia="Times New Roman"/>
        </w:rPr>
      </w:pPr>
      <w:r w:rsidRPr="00F46060">
        <w:rPr>
          <w:rFonts w:eastAsia="Times New Roman"/>
        </w:rPr>
        <w:t xml:space="preserve">CDNA. Varicella zoster (unspecified). Australian national notifiable diseases case definition. Canberra: Australian Government Department of Health and Aged Care, CDNA; 1 January 2018. [Accessed on 13 October 2022.] Available from: https://www.health.gov.au/sites/default/files/documents/2022/06/varicella-zoster-unspecified-surveillance-case-definition.pdf. </w:t>
      </w:r>
    </w:p>
    <w:p w14:paraId="2E1C1B92" w14:textId="77777777" w:rsidR="00F46060" w:rsidRPr="00F46060" w:rsidRDefault="00F46060" w:rsidP="00F46060">
      <w:pPr>
        <w:pStyle w:val="ListParagraph"/>
        <w:numPr>
          <w:ilvl w:val="0"/>
          <w:numId w:val="10"/>
        </w:numPr>
        <w:divId w:val="1964146631"/>
        <w:rPr>
          <w:rFonts w:eastAsia="Times New Roman"/>
        </w:rPr>
      </w:pPr>
      <w:r w:rsidRPr="00F46060">
        <w:rPr>
          <w:rFonts w:eastAsia="Times New Roman"/>
        </w:rPr>
        <w:t xml:space="preserve">Victoria State Government Department of Health. Notifiable infectious diseases, </w:t>
      </w:r>
      <w:proofErr w:type="gramStart"/>
      <w:r w:rsidRPr="00F46060">
        <w:rPr>
          <w:rFonts w:eastAsia="Times New Roman"/>
        </w:rPr>
        <w:t>conditions</w:t>
      </w:r>
      <w:proofErr w:type="gramEnd"/>
      <w:r w:rsidRPr="00F46060">
        <w:rPr>
          <w:rFonts w:eastAsia="Times New Roman"/>
        </w:rPr>
        <w:t xml:space="preserve"> and micro-organisms. [Webpage.] Melbourne: Victoria State Government Department of Health; 27 July 2023. [Accessed on 27 July 2023.] Available from: https://www.health.vic.gov.au/infectious-diseases/notifiable-infectious-diseases-conditions-and-micro-organisms. </w:t>
      </w:r>
    </w:p>
    <w:p w14:paraId="075A8E14" w14:textId="77777777" w:rsidR="00F46060" w:rsidRPr="00F46060" w:rsidRDefault="00F46060" w:rsidP="00F46060">
      <w:pPr>
        <w:pStyle w:val="ListParagraph"/>
        <w:numPr>
          <w:ilvl w:val="0"/>
          <w:numId w:val="10"/>
        </w:numPr>
        <w:divId w:val="1964146631"/>
        <w:rPr>
          <w:rFonts w:eastAsia="Times New Roman"/>
        </w:rPr>
      </w:pPr>
      <w:proofErr w:type="spellStart"/>
      <w:r w:rsidRPr="00F46060">
        <w:rPr>
          <w:rFonts w:eastAsia="Times New Roman"/>
        </w:rPr>
        <w:t>StataCorp</w:t>
      </w:r>
      <w:proofErr w:type="spellEnd"/>
      <w:r w:rsidRPr="00F46060">
        <w:rPr>
          <w:rFonts w:eastAsia="Times New Roman"/>
        </w:rPr>
        <w:t xml:space="preserve"> LLC. STATA statistical software: release </w:t>
      </w:r>
      <w:proofErr w:type="gramStart"/>
      <w:r w:rsidRPr="00F46060">
        <w:rPr>
          <w:rFonts w:eastAsia="Times New Roman"/>
        </w:rPr>
        <w:t>17</w:t>
      </w:r>
      <w:proofErr w:type="gramEnd"/>
      <w:r w:rsidRPr="00F46060">
        <w:rPr>
          <w:rFonts w:eastAsia="Times New Roman"/>
        </w:rPr>
        <w:t xml:space="preserve">. [Software.] College Station: </w:t>
      </w:r>
      <w:proofErr w:type="spellStart"/>
      <w:r w:rsidRPr="00F46060">
        <w:rPr>
          <w:rFonts w:eastAsia="Times New Roman"/>
        </w:rPr>
        <w:t>StataCorp</w:t>
      </w:r>
      <w:proofErr w:type="spellEnd"/>
      <w:r w:rsidRPr="00F46060">
        <w:rPr>
          <w:rFonts w:eastAsia="Times New Roman"/>
        </w:rPr>
        <w:t xml:space="preserve"> LLC; 2021. Available from: https://www.stata.com/company/. </w:t>
      </w:r>
    </w:p>
    <w:p w14:paraId="3809472B" w14:textId="77777777" w:rsidR="00F46060" w:rsidRPr="00F46060" w:rsidRDefault="00F46060" w:rsidP="00F46060">
      <w:pPr>
        <w:pStyle w:val="ListParagraph"/>
        <w:numPr>
          <w:ilvl w:val="0"/>
          <w:numId w:val="10"/>
        </w:numPr>
        <w:divId w:val="1964146631"/>
        <w:rPr>
          <w:rFonts w:eastAsia="Times New Roman"/>
        </w:rPr>
      </w:pPr>
      <w:r w:rsidRPr="00F46060">
        <w:rPr>
          <w:rFonts w:eastAsia="Times New Roman"/>
        </w:rPr>
        <w:t xml:space="preserve">Australian Bureau of Statistics. National, state and territory population. Reference period: March 2022. [Webpage.] Canberra: Australian Bureau of Statistics; 21 September 2022. [Accessed on 13 October 2022.] Available from: https://www.abs.gov.au/statistics/people/population/national-state-and-territory-population/mar-2022. </w:t>
      </w:r>
    </w:p>
    <w:p w14:paraId="56FC1569" w14:textId="77777777" w:rsidR="00F46060" w:rsidRPr="00F46060" w:rsidRDefault="00F46060" w:rsidP="00F46060">
      <w:pPr>
        <w:pStyle w:val="ListParagraph"/>
        <w:numPr>
          <w:ilvl w:val="0"/>
          <w:numId w:val="10"/>
        </w:numPr>
        <w:divId w:val="1964146631"/>
        <w:rPr>
          <w:rFonts w:eastAsia="Times New Roman"/>
        </w:rPr>
      </w:pPr>
      <w:r w:rsidRPr="00F46060">
        <w:rPr>
          <w:rFonts w:eastAsia="Times New Roman"/>
        </w:rPr>
        <w:t xml:space="preserve">NCIRS. </w:t>
      </w:r>
      <w:r w:rsidRPr="00BB363F">
        <w:rPr>
          <w:rStyle w:val="Emphasis"/>
          <w:rFonts w:eastAsia="Times New Roman"/>
          <w:b w:val="0"/>
          <w:bCs w:val="0"/>
        </w:rPr>
        <w:t>Herpes zoster. Zoster vaccine for Australian adults: information for immunisation providers</w:t>
      </w:r>
      <w:r w:rsidRPr="00F46060">
        <w:rPr>
          <w:rFonts w:eastAsia="Times New Roman"/>
        </w:rPr>
        <w:t xml:space="preserve">. Sydney: NCIRS; August 2017. [Accessed on 19 September 2022.] Available from: https://www.ncirs.org.au/sites/default/files/2018-12/zoster-vaccine-fact-sheet.pdf. </w:t>
      </w:r>
    </w:p>
    <w:p w14:paraId="1FCE405A" w14:textId="77777777" w:rsidR="00F46060" w:rsidRPr="00F46060" w:rsidRDefault="00F46060" w:rsidP="00F46060">
      <w:pPr>
        <w:pStyle w:val="ListParagraph"/>
        <w:numPr>
          <w:ilvl w:val="0"/>
          <w:numId w:val="10"/>
        </w:numPr>
        <w:divId w:val="1964146631"/>
        <w:rPr>
          <w:rFonts w:eastAsia="Times New Roman"/>
        </w:rPr>
      </w:pPr>
      <w:r w:rsidRPr="00F46060">
        <w:rPr>
          <w:rFonts w:eastAsia="Times New Roman"/>
        </w:rPr>
        <w:t xml:space="preserve">Bhavsar A, </w:t>
      </w:r>
      <w:proofErr w:type="spellStart"/>
      <w:r w:rsidRPr="00F46060">
        <w:rPr>
          <w:rFonts w:eastAsia="Times New Roman"/>
        </w:rPr>
        <w:t>Lonnet</w:t>
      </w:r>
      <w:proofErr w:type="spellEnd"/>
      <w:r w:rsidRPr="00F46060">
        <w:rPr>
          <w:rFonts w:eastAsia="Times New Roman"/>
        </w:rPr>
        <w:t xml:space="preserve"> G, Wang C, </w:t>
      </w:r>
      <w:proofErr w:type="spellStart"/>
      <w:r w:rsidRPr="00F46060">
        <w:rPr>
          <w:rFonts w:eastAsia="Times New Roman"/>
        </w:rPr>
        <w:t>Chatzikonstantinidou</w:t>
      </w:r>
      <w:proofErr w:type="spellEnd"/>
      <w:r w:rsidRPr="00F46060">
        <w:rPr>
          <w:rFonts w:eastAsia="Times New Roman"/>
        </w:rPr>
        <w:t xml:space="preserve"> K, Parikh R, Brabant Y et al. Increased risk of herpes zoster in adults ≥ 50 years old diagnosed with COVID-19 in the United States. </w:t>
      </w:r>
      <w:r w:rsidRPr="00BB363F">
        <w:rPr>
          <w:rStyle w:val="Emphasis"/>
          <w:rFonts w:eastAsia="Times New Roman"/>
          <w:b w:val="0"/>
          <w:bCs w:val="0"/>
        </w:rPr>
        <w:t>Open Forum Infect Dis</w:t>
      </w:r>
      <w:r w:rsidRPr="00F46060">
        <w:rPr>
          <w:rFonts w:eastAsia="Times New Roman"/>
        </w:rPr>
        <w:t>. 2022;9(5</w:t>
      </w:r>
      <w:proofErr w:type="gramStart"/>
      <w:r w:rsidRPr="00F46060">
        <w:rPr>
          <w:rFonts w:eastAsia="Times New Roman"/>
        </w:rPr>
        <w:t>):ofac</w:t>
      </w:r>
      <w:proofErr w:type="gramEnd"/>
      <w:r w:rsidRPr="00F46060">
        <w:rPr>
          <w:rFonts w:eastAsia="Times New Roman"/>
        </w:rPr>
        <w:t xml:space="preserve">118. </w:t>
      </w:r>
      <w:proofErr w:type="spellStart"/>
      <w:r w:rsidRPr="00F46060">
        <w:rPr>
          <w:rFonts w:eastAsia="Times New Roman"/>
        </w:rPr>
        <w:t>doi</w:t>
      </w:r>
      <w:proofErr w:type="spellEnd"/>
      <w:r w:rsidRPr="00F46060">
        <w:rPr>
          <w:rFonts w:eastAsia="Times New Roman"/>
        </w:rPr>
        <w:t xml:space="preserve">: https://doi.org/10.1093/ofid/ofac118. </w:t>
      </w:r>
    </w:p>
    <w:p w14:paraId="4687830E" w14:textId="77777777" w:rsidR="00F46060" w:rsidRPr="00F46060" w:rsidRDefault="00F46060" w:rsidP="00F46060">
      <w:pPr>
        <w:pStyle w:val="ListParagraph"/>
        <w:numPr>
          <w:ilvl w:val="0"/>
          <w:numId w:val="10"/>
        </w:numPr>
        <w:divId w:val="1964146631"/>
        <w:rPr>
          <w:rFonts w:eastAsia="Times New Roman"/>
        </w:rPr>
      </w:pPr>
      <w:r w:rsidRPr="00F46060">
        <w:rPr>
          <w:rFonts w:eastAsia="Times New Roman"/>
        </w:rPr>
        <w:t xml:space="preserve">Kadambari S, Abo YN, Phuong LK, </w:t>
      </w:r>
      <w:proofErr w:type="spellStart"/>
      <w:r w:rsidRPr="00F46060">
        <w:rPr>
          <w:rFonts w:eastAsia="Times New Roman"/>
        </w:rPr>
        <w:t>Osowicki</w:t>
      </w:r>
      <w:proofErr w:type="spellEnd"/>
      <w:r w:rsidRPr="00F46060">
        <w:rPr>
          <w:rFonts w:eastAsia="Times New Roman"/>
        </w:rPr>
        <w:t xml:space="preserve"> J, Bryant PA. Decrease in infection-related hospital admissions during COVID-19: why are parents avoiding the doctor? </w:t>
      </w:r>
      <w:proofErr w:type="spellStart"/>
      <w:r w:rsidRPr="00BB363F">
        <w:rPr>
          <w:rStyle w:val="Emphasis"/>
          <w:rFonts w:eastAsia="Times New Roman"/>
          <w:b w:val="0"/>
          <w:bCs w:val="0"/>
        </w:rPr>
        <w:t>Pediatr</w:t>
      </w:r>
      <w:proofErr w:type="spellEnd"/>
      <w:r w:rsidRPr="00BB363F">
        <w:rPr>
          <w:rStyle w:val="Emphasis"/>
          <w:rFonts w:eastAsia="Times New Roman"/>
          <w:b w:val="0"/>
          <w:bCs w:val="0"/>
        </w:rPr>
        <w:t xml:space="preserve"> Infect Dis J</w:t>
      </w:r>
      <w:r w:rsidRPr="00F46060">
        <w:rPr>
          <w:rFonts w:eastAsia="Times New Roman"/>
        </w:rPr>
        <w:t>. 2020;39(11</w:t>
      </w:r>
      <w:proofErr w:type="gramStart"/>
      <w:r w:rsidRPr="00F46060">
        <w:rPr>
          <w:rFonts w:eastAsia="Times New Roman"/>
        </w:rPr>
        <w:t>):e</w:t>
      </w:r>
      <w:proofErr w:type="gramEnd"/>
      <w:r w:rsidRPr="00F46060">
        <w:rPr>
          <w:rFonts w:eastAsia="Times New Roman"/>
        </w:rPr>
        <w:t xml:space="preserve">385–6. </w:t>
      </w:r>
      <w:proofErr w:type="spellStart"/>
      <w:r w:rsidRPr="00F46060">
        <w:rPr>
          <w:rFonts w:eastAsia="Times New Roman"/>
        </w:rPr>
        <w:t>doi</w:t>
      </w:r>
      <w:proofErr w:type="spellEnd"/>
      <w:r w:rsidRPr="00F46060">
        <w:rPr>
          <w:rFonts w:eastAsia="Times New Roman"/>
        </w:rPr>
        <w:t xml:space="preserve">: https://doi.org/10.1097/INF.0000000000002870. </w:t>
      </w:r>
    </w:p>
    <w:p w14:paraId="57BB7911" w14:textId="77777777" w:rsidR="00F46060" w:rsidRPr="00F46060" w:rsidRDefault="00F46060" w:rsidP="00F46060">
      <w:pPr>
        <w:pStyle w:val="ListParagraph"/>
        <w:numPr>
          <w:ilvl w:val="0"/>
          <w:numId w:val="10"/>
        </w:numPr>
        <w:divId w:val="1964146631"/>
        <w:rPr>
          <w:rFonts w:eastAsia="Times New Roman"/>
        </w:rPr>
      </w:pPr>
      <w:r w:rsidRPr="00F46060">
        <w:rPr>
          <w:rFonts w:eastAsia="Times New Roman"/>
        </w:rPr>
        <w:t xml:space="preserve">de Albuquerque Veloso Machado M, Roberts B, Wong BLH, van Kessel R, </w:t>
      </w:r>
      <w:proofErr w:type="spellStart"/>
      <w:r w:rsidRPr="00F46060">
        <w:rPr>
          <w:rFonts w:eastAsia="Times New Roman"/>
        </w:rPr>
        <w:t>Mossialos</w:t>
      </w:r>
      <w:proofErr w:type="spellEnd"/>
      <w:r w:rsidRPr="00F46060">
        <w:rPr>
          <w:rFonts w:eastAsia="Times New Roman"/>
        </w:rPr>
        <w:t xml:space="preserve"> E. The relationship between the COVID-19 pandemic and vaccine hesitancy: a scoping review of literature until August 2021. </w:t>
      </w:r>
      <w:r w:rsidRPr="00BB363F">
        <w:rPr>
          <w:rStyle w:val="Emphasis"/>
          <w:rFonts w:eastAsia="Times New Roman"/>
          <w:b w:val="0"/>
          <w:bCs w:val="0"/>
        </w:rPr>
        <w:t>Front Public Health</w:t>
      </w:r>
      <w:r w:rsidRPr="00F46060">
        <w:rPr>
          <w:rFonts w:eastAsia="Times New Roman"/>
        </w:rPr>
        <w:t xml:space="preserve">. </w:t>
      </w:r>
      <w:proofErr w:type="gramStart"/>
      <w:r w:rsidRPr="00F46060">
        <w:rPr>
          <w:rFonts w:eastAsia="Times New Roman"/>
        </w:rPr>
        <w:t>2021;9:747787</w:t>
      </w:r>
      <w:proofErr w:type="gramEnd"/>
      <w:r w:rsidRPr="00F46060">
        <w:rPr>
          <w:rFonts w:eastAsia="Times New Roman"/>
        </w:rPr>
        <w:t xml:space="preserve">. </w:t>
      </w:r>
      <w:proofErr w:type="spellStart"/>
      <w:r w:rsidRPr="00F46060">
        <w:rPr>
          <w:rFonts w:eastAsia="Times New Roman"/>
        </w:rPr>
        <w:t>doi</w:t>
      </w:r>
      <w:proofErr w:type="spellEnd"/>
      <w:r w:rsidRPr="00F46060">
        <w:rPr>
          <w:rFonts w:eastAsia="Times New Roman"/>
        </w:rPr>
        <w:t xml:space="preserve">: https://doi.org/10.3389/fpubh.2021.747787. </w:t>
      </w:r>
    </w:p>
    <w:p w14:paraId="4E2057DE" w14:textId="77777777" w:rsidR="00F46060" w:rsidRPr="00F46060" w:rsidRDefault="00F46060" w:rsidP="00F46060">
      <w:pPr>
        <w:pStyle w:val="ListParagraph"/>
        <w:numPr>
          <w:ilvl w:val="0"/>
          <w:numId w:val="10"/>
        </w:numPr>
        <w:divId w:val="1964146631"/>
        <w:rPr>
          <w:rFonts w:eastAsia="Times New Roman"/>
        </w:rPr>
      </w:pPr>
      <w:r w:rsidRPr="00F46060">
        <w:rPr>
          <w:rFonts w:eastAsia="Times New Roman"/>
        </w:rPr>
        <w:t xml:space="preserve">Hull BP, Hendry AJ, Dey A, Bryant K, </w:t>
      </w:r>
      <w:proofErr w:type="spellStart"/>
      <w:r w:rsidRPr="00F46060">
        <w:rPr>
          <w:rFonts w:eastAsia="Times New Roman"/>
        </w:rPr>
        <w:t>Radkowski</w:t>
      </w:r>
      <w:proofErr w:type="spellEnd"/>
      <w:r w:rsidRPr="00F46060">
        <w:rPr>
          <w:rFonts w:eastAsia="Times New Roman"/>
        </w:rPr>
        <w:t xml:space="preserve"> C, </w:t>
      </w:r>
      <w:proofErr w:type="spellStart"/>
      <w:r w:rsidRPr="00F46060">
        <w:rPr>
          <w:rFonts w:eastAsia="Times New Roman"/>
        </w:rPr>
        <w:t>Pellissier</w:t>
      </w:r>
      <w:proofErr w:type="spellEnd"/>
      <w:r w:rsidRPr="00F46060">
        <w:rPr>
          <w:rFonts w:eastAsia="Times New Roman"/>
        </w:rPr>
        <w:t xml:space="preserve"> S et al. The impact of the COVID-19 pandemic on routine vaccinations in Victoria. </w:t>
      </w:r>
      <w:r w:rsidRPr="00BB363F">
        <w:rPr>
          <w:rStyle w:val="Emphasis"/>
          <w:rFonts w:eastAsia="Times New Roman"/>
          <w:b w:val="0"/>
          <w:bCs w:val="0"/>
        </w:rPr>
        <w:t>Med J Aust</w:t>
      </w:r>
      <w:r w:rsidRPr="00F46060">
        <w:rPr>
          <w:rFonts w:eastAsia="Times New Roman"/>
        </w:rPr>
        <w:t xml:space="preserve">. 2021;215(2):83–4. </w:t>
      </w:r>
      <w:proofErr w:type="spellStart"/>
      <w:r w:rsidRPr="00F46060">
        <w:rPr>
          <w:rFonts w:eastAsia="Times New Roman"/>
        </w:rPr>
        <w:t>doi</w:t>
      </w:r>
      <w:proofErr w:type="spellEnd"/>
      <w:r w:rsidRPr="00F46060">
        <w:rPr>
          <w:rFonts w:eastAsia="Times New Roman"/>
        </w:rPr>
        <w:t xml:space="preserve">: https://doi.org/10.5694/mja2.51145. </w:t>
      </w:r>
    </w:p>
    <w:p w14:paraId="49D7BF8E" w14:textId="77777777" w:rsidR="00F46060" w:rsidRPr="00F46060" w:rsidRDefault="00F46060" w:rsidP="00F46060">
      <w:pPr>
        <w:pStyle w:val="ListParagraph"/>
        <w:numPr>
          <w:ilvl w:val="0"/>
          <w:numId w:val="10"/>
        </w:numPr>
        <w:divId w:val="1964146631"/>
        <w:rPr>
          <w:rFonts w:eastAsia="Times New Roman"/>
        </w:rPr>
      </w:pPr>
      <w:r w:rsidRPr="00F46060">
        <w:rPr>
          <w:rFonts w:eastAsia="Times New Roman"/>
        </w:rPr>
        <w:t xml:space="preserve">Victoria State Government. </w:t>
      </w:r>
      <w:r w:rsidRPr="00BB363F">
        <w:rPr>
          <w:rStyle w:val="Emphasis"/>
          <w:rFonts w:eastAsia="Times New Roman"/>
          <w:b w:val="0"/>
          <w:bCs w:val="0"/>
        </w:rPr>
        <w:t>Health Services (Health Service Establishments) Regulations 2013</w:t>
      </w:r>
      <w:r w:rsidRPr="00F46060">
        <w:rPr>
          <w:rFonts w:eastAsia="Times New Roman"/>
        </w:rPr>
        <w:t xml:space="preserve">. [Legislation.] Melbourne: Victoria State Government; 1 July 2018. [Accessed on 17 October 2022.] Available from: https://www.health.vic.gov.au/sites/default/files/migrated/files/collections/policies-and-guidelines/h/health-service-establishments-regulations-2013.pdf. </w:t>
      </w:r>
    </w:p>
    <w:p w14:paraId="74DC979B" w14:textId="77777777" w:rsidR="00F46060" w:rsidRPr="00F46060" w:rsidRDefault="00F46060" w:rsidP="00F46060">
      <w:pPr>
        <w:pStyle w:val="ListParagraph"/>
        <w:numPr>
          <w:ilvl w:val="0"/>
          <w:numId w:val="10"/>
        </w:numPr>
        <w:divId w:val="1964146631"/>
        <w:rPr>
          <w:rFonts w:eastAsia="Times New Roman"/>
        </w:rPr>
      </w:pPr>
      <w:r w:rsidRPr="00F46060">
        <w:rPr>
          <w:rFonts w:eastAsia="Times New Roman"/>
        </w:rPr>
        <w:t xml:space="preserve">Hull B, Hendry AJ, Dey A, Macartney K, McIntyre P, Beard F. </w:t>
      </w:r>
      <w:r w:rsidRPr="00BB363F">
        <w:rPr>
          <w:rStyle w:val="Emphasis"/>
          <w:rFonts w:eastAsia="Times New Roman"/>
          <w:b w:val="0"/>
          <w:bCs w:val="0"/>
        </w:rPr>
        <w:t>Exploratory analysis of the first 2 years of adult vaccination data recorded on AIR</w:t>
      </w:r>
      <w:r w:rsidRPr="00F46060">
        <w:rPr>
          <w:rFonts w:eastAsia="Times New Roman"/>
        </w:rPr>
        <w:t>. Sydney: NCIRS; November 2019. Available from: https://ncirs.org.au/sites/default/files/2019-12/Analysis%20of%20adult%20vaccination%20data%20on%20AIR_Nov%202019.pdf.</w:t>
      </w:r>
    </w:p>
    <w:p w14:paraId="48C8D756" w14:textId="77777777" w:rsidR="008B5348" w:rsidRDefault="008B5348">
      <w:pPr>
        <w:rPr>
          <w:rStyle w:val="A10"/>
        </w:rPr>
        <w:sectPr w:rsidR="008B5348" w:rsidSect="00A30C37">
          <w:headerReference w:type="default" r:id="rId16"/>
          <w:footerReference w:type="default" r:id="rId17"/>
          <w:footerReference w:type="first" r:id="rId18"/>
          <w:pgSz w:w="11906" w:h="16838"/>
          <w:pgMar w:top="720" w:right="720" w:bottom="1134" w:left="720" w:header="709" w:footer="284" w:gutter="0"/>
          <w:cols w:space="708"/>
          <w:titlePg/>
          <w:docGrid w:linePitch="360"/>
        </w:sectPr>
      </w:pPr>
    </w:p>
    <w:p w14:paraId="5BF9CAD1" w14:textId="77777777" w:rsidR="000A5F42" w:rsidRPr="000606CC" w:rsidRDefault="000A5F42" w:rsidP="000A5F42">
      <w:pPr>
        <w:pStyle w:val="NoSpacing"/>
        <w:rPr>
          <w:rFonts w:cstheme="minorHAnsi"/>
          <w:sz w:val="18"/>
          <w:szCs w:val="18"/>
        </w:rPr>
      </w:pPr>
      <w:r w:rsidRPr="000606CC">
        <w:rPr>
          <w:rStyle w:val="Strong"/>
          <w:bCs w:val="0"/>
          <w:sz w:val="20"/>
        </w:rPr>
        <w:t>Communicable Diseases Intelligence</w:t>
      </w:r>
    </w:p>
    <w:p w14:paraId="18E6A632"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63827FB6" w14:textId="77777777" w:rsidR="000A5F42" w:rsidRPr="000606CC" w:rsidRDefault="000A5F42" w:rsidP="000A5F42">
      <w:pPr>
        <w:pStyle w:val="NoSpacing"/>
        <w:rPr>
          <w:rStyle w:val="URI"/>
          <w:rFonts w:cstheme="minorHAnsi"/>
          <w:sz w:val="20"/>
          <w:szCs w:val="18"/>
        </w:rPr>
      </w:pPr>
    </w:p>
    <w:p w14:paraId="206A681F"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w:t>
      </w:r>
      <w:r w:rsidR="001723AC">
        <w:rPr>
          <w:rStyle w:val="Strong"/>
          <w:rFonts w:cs="Calibri"/>
          <w:b w:val="0"/>
          <w:bCs w:val="0"/>
          <w:sz w:val="20"/>
          <w:szCs w:val="18"/>
        </w:rPr>
        <w:t>Department of Health and Aged Care</w:t>
      </w:r>
      <w:r w:rsidRPr="000606CC">
        <w:rPr>
          <w:rStyle w:val="Strong"/>
          <w:rFonts w:cs="Calibri"/>
          <w:b w:val="0"/>
          <w:bCs w:val="0"/>
          <w:sz w:val="20"/>
          <w:szCs w:val="18"/>
        </w:rPr>
        <w:t xml:space="preserve">. The journal aims to </w:t>
      </w:r>
      <w:proofErr w:type="gramStart"/>
      <w:r w:rsidRPr="000606CC">
        <w:rPr>
          <w:rStyle w:val="Strong"/>
          <w:rFonts w:cs="Calibri"/>
          <w:b w:val="0"/>
          <w:bCs w:val="0"/>
          <w:sz w:val="20"/>
          <w:szCs w:val="18"/>
        </w:rPr>
        <w:t>disseminate</w:t>
      </w:r>
      <w:proofErr w:type="gramEnd"/>
      <w:r w:rsidRPr="000606CC">
        <w:rPr>
          <w:rStyle w:val="Strong"/>
          <w:rFonts w:cs="Calibri"/>
          <w:b w:val="0"/>
          <w:bCs w:val="0"/>
          <w:sz w:val="20"/>
          <w:szCs w:val="18"/>
        </w:rPr>
        <w:t xml:space="preserve"> information on the epidemiology, surveillance, prevention and control of communicable diseases of relevance to Australia.</w:t>
      </w:r>
    </w:p>
    <w:p w14:paraId="2D294288" w14:textId="77777777" w:rsidR="000A5F42" w:rsidRPr="000606CC" w:rsidRDefault="000A5F42" w:rsidP="000A5F42">
      <w:pPr>
        <w:pStyle w:val="NoSpacing"/>
        <w:rPr>
          <w:rStyle w:val="Strong"/>
          <w:rFonts w:cstheme="minorHAnsi"/>
          <w:sz w:val="20"/>
          <w:szCs w:val="18"/>
        </w:rPr>
      </w:pPr>
    </w:p>
    <w:p w14:paraId="22EA2A02"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8B62FF">
        <w:rPr>
          <w:rFonts w:cstheme="minorHAnsi"/>
          <w:sz w:val="20"/>
          <w:szCs w:val="18"/>
        </w:rPr>
        <w:t>Christina Bareja</w:t>
      </w:r>
    </w:p>
    <w:p w14:paraId="0C5A56F6"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00C6D2BE"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668F7F6A"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00CF75DF" w:rsidRPr="00CF75DF">
        <w:rPr>
          <w:rFonts w:cstheme="minorHAnsi"/>
          <w:sz w:val="20"/>
          <w:szCs w:val="18"/>
        </w:rPr>
        <w:t xml:space="preserve">David </w:t>
      </w:r>
      <w:proofErr w:type="spellStart"/>
      <w:r w:rsidR="00CF75DF" w:rsidRPr="00CF75DF">
        <w:rPr>
          <w:rFonts w:cstheme="minorHAnsi"/>
          <w:sz w:val="20"/>
          <w:szCs w:val="18"/>
        </w:rPr>
        <w:t>Durrheim</w:t>
      </w:r>
      <w:proofErr w:type="spellEnd"/>
      <w:r w:rsidR="00CF75DF" w:rsidRPr="00CF75DF">
        <w:rPr>
          <w:rFonts w:cstheme="minorHAnsi"/>
          <w:sz w:val="20"/>
          <w:szCs w:val="18"/>
        </w:rPr>
        <w:t>, Mark Ferson, Clare Huppatz, John Kaldor, Martyn Kirk, Meru Sheel and Steph</w:t>
      </w:r>
      <w:r w:rsidR="00CF75DF">
        <w:rPr>
          <w:rFonts w:cstheme="minorHAnsi"/>
          <w:sz w:val="20"/>
          <w:szCs w:val="18"/>
        </w:rPr>
        <w:t> </w:t>
      </w:r>
      <w:r w:rsidR="00CF75DF" w:rsidRPr="00CF75DF">
        <w:rPr>
          <w:rFonts w:cstheme="minorHAnsi"/>
          <w:sz w:val="20"/>
          <w:szCs w:val="18"/>
        </w:rPr>
        <w:t>Williams</w:t>
      </w:r>
    </w:p>
    <w:p w14:paraId="2A17EEC9" w14:textId="77777777" w:rsidR="000A5F42" w:rsidRPr="000606CC" w:rsidRDefault="000A5F42" w:rsidP="000A5F42">
      <w:pPr>
        <w:pStyle w:val="NoSpacing"/>
        <w:rPr>
          <w:rStyle w:val="Strong"/>
          <w:rFonts w:cstheme="minorHAnsi"/>
          <w:sz w:val="20"/>
          <w:szCs w:val="18"/>
        </w:rPr>
      </w:pPr>
    </w:p>
    <w:p w14:paraId="73305BD3" w14:textId="180F6028"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9"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213FA072" w14:textId="77777777" w:rsidR="000A5F42" w:rsidRPr="000606CC" w:rsidRDefault="000A5F42" w:rsidP="000A5F42">
      <w:pPr>
        <w:pStyle w:val="NoSpacing"/>
        <w:rPr>
          <w:rStyle w:val="Strong"/>
          <w:rFonts w:cstheme="minorHAnsi"/>
          <w:sz w:val="20"/>
          <w:szCs w:val="18"/>
        </w:rPr>
      </w:pPr>
    </w:p>
    <w:p w14:paraId="20FAF362"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 xml:space="preserve">CDI </w:t>
      </w:r>
      <w:proofErr w:type="gramStart"/>
      <w:r w:rsidR="00E54BBD">
        <w:rPr>
          <w:rFonts w:cstheme="minorHAnsi"/>
          <w:sz w:val="20"/>
          <w:szCs w:val="18"/>
        </w:rPr>
        <w:t>is produced</w:t>
      </w:r>
      <w:proofErr w:type="gramEnd"/>
      <w:r w:rsidR="00E54BBD">
        <w:rPr>
          <w:rFonts w:cstheme="minorHAnsi"/>
          <w:sz w:val="20"/>
          <w:szCs w:val="18"/>
        </w:rPr>
        <w:t xml:space="preserve">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Australian Government Department of Health</w:t>
      </w:r>
      <w:r w:rsidR="00AE0209">
        <w:rPr>
          <w:rFonts w:cstheme="minorHAnsi"/>
          <w:sz w:val="20"/>
          <w:szCs w:val="18"/>
        </w:rPr>
        <w:t xml:space="preserve"> and Aged Care</w:t>
      </w:r>
      <w:r w:rsidR="00E54BBD" w:rsidRPr="00E54BBD">
        <w:rPr>
          <w:rFonts w:cstheme="minorHAnsi"/>
          <w:sz w:val="20"/>
          <w:szCs w:val="18"/>
        </w:rPr>
        <w:t>, GPO Box 9848, (MDP 6) CANBERRA ACT 2601</w:t>
      </w:r>
    </w:p>
    <w:p w14:paraId="5657B265" w14:textId="77777777" w:rsidR="000A5F42" w:rsidRPr="000606CC" w:rsidRDefault="000A5F42" w:rsidP="000A5F42">
      <w:pPr>
        <w:pStyle w:val="NoSpacing"/>
        <w:rPr>
          <w:rStyle w:val="Strong"/>
          <w:rFonts w:cstheme="minorHAnsi"/>
          <w:sz w:val="20"/>
          <w:szCs w:val="18"/>
        </w:rPr>
      </w:pPr>
    </w:p>
    <w:p w14:paraId="7D63A494" w14:textId="43442030"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20"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72ADC470" w14:textId="77777777" w:rsidR="000A5F42" w:rsidRPr="000606CC" w:rsidRDefault="000A5F42" w:rsidP="000A5F42">
      <w:pPr>
        <w:pStyle w:val="NoSpacing"/>
        <w:rPr>
          <w:rStyle w:val="Strong"/>
          <w:rFonts w:cstheme="minorHAnsi"/>
          <w:sz w:val="20"/>
          <w:szCs w:val="18"/>
        </w:rPr>
      </w:pPr>
    </w:p>
    <w:p w14:paraId="0F55F480" w14:textId="5D12058B"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21"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6F91970F" w14:textId="1615FF9D"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22" w:history="1">
        <w:r w:rsidRPr="000606CC">
          <w:rPr>
            <w:rStyle w:val="Hyperlink"/>
            <w:rFonts w:cstheme="minorHAnsi"/>
            <w:sz w:val="20"/>
            <w:szCs w:val="18"/>
          </w:rPr>
          <w:t>cdi.editor@health.gov.au</w:t>
        </w:r>
      </w:hyperlink>
      <w:r w:rsidRPr="000606CC">
        <w:rPr>
          <w:rFonts w:cstheme="minorHAnsi"/>
          <w:sz w:val="20"/>
          <w:szCs w:val="18"/>
        </w:rPr>
        <w:t>.</w:t>
      </w:r>
    </w:p>
    <w:p w14:paraId="3F5CFC02" w14:textId="77777777" w:rsidR="000A5F42" w:rsidRPr="000606CC" w:rsidRDefault="000A5F42" w:rsidP="000A5F42">
      <w:pPr>
        <w:pStyle w:val="NoSpacing"/>
        <w:pBdr>
          <w:bottom w:val="single" w:sz="6" w:space="1" w:color="auto"/>
        </w:pBdr>
        <w:rPr>
          <w:rStyle w:val="Strong"/>
          <w:rFonts w:cstheme="minorHAnsi"/>
          <w:sz w:val="12"/>
          <w:szCs w:val="18"/>
        </w:rPr>
      </w:pPr>
    </w:p>
    <w:p w14:paraId="6D3C9F62" w14:textId="77777777" w:rsidR="000A5F42" w:rsidRPr="000606CC" w:rsidRDefault="000A5F42" w:rsidP="000A5F42">
      <w:pPr>
        <w:pStyle w:val="NoSpacing"/>
        <w:rPr>
          <w:rFonts w:cstheme="minorHAnsi"/>
          <w:sz w:val="20"/>
          <w:szCs w:val="18"/>
        </w:rPr>
      </w:pPr>
    </w:p>
    <w:p w14:paraId="49BB5774"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3316E9DD" w14:textId="77777777" w:rsidR="000A5F42" w:rsidRPr="000606CC" w:rsidRDefault="000A5F42" w:rsidP="000A5F42">
      <w:pPr>
        <w:pStyle w:val="NoSpacing"/>
        <w:rPr>
          <w:rFonts w:cstheme="minorHAnsi"/>
          <w:sz w:val="20"/>
          <w:szCs w:val="18"/>
        </w:rPr>
      </w:pPr>
    </w:p>
    <w:p w14:paraId="11168C45"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290FE366"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C2722E">
        <w:rPr>
          <w:rFonts w:cstheme="minorHAnsi"/>
          <w:sz w:val="20"/>
          <w:szCs w:val="18"/>
        </w:rPr>
        <w:t>2023</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 xml:space="preserve">Commonwealth of Australia as represented by the </w:t>
      </w:r>
      <w:r w:rsidR="001723AC">
        <w:rPr>
          <w:rFonts w:cstheme="minorHAnsi"/>
          <w:sz w:val="20"/>
          <w:szCs w:val="18"/>
        </w:rPr>
        <w:t>Department of Health and Aged Care</w:t>
      </w:r>
    </w:p>
    <w:p w14:paraId="61937999" w14:textId="4BA66F5F"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23"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71ACCF9A" w14:textId="77777777" w:rsidR="000A5F42" w:rsidRPr="000606CC" w:rsidRDefault="000A5F42" w:rsidP="000A5F42">
      <w:pPr>
        <w:pStyle w:val="NoSpacing"/>
        <w:rPr>
          <w:rFonts w:cstheme="minorHAnsi"/>
          <w:sz w:val="20"/>
          <w:szCs w:val="18"/>
        </w:rPr>
      </w:pPr>
    </w:p>
    <w:p w14:paraId="0DA52BCD"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148E1DD5" w14:textId="1B073DA2"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4"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2B1B3D5C"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w:t>
      </w:r>
      <w:r w:rsidR="001723AC">
        <w:rPr>
          <w:rFonts w:cstheme="minorHAnsi"/>
          <w:sz w:val="20"/>
          <w:szCs w:val="18"/>
        </w:rPr>
        <w:t>Department of Health and Aged Care</w:t>
      </w:r>
      <w:r w:rsidRPr="000606CC">
        <w:rPr>
          <w:rFonts w:cstheme="minorHAnsi"/>
          <w:sz w:val="20"/>
          <w:szCs w:val="18"/>
        </w:rPr>
        <w:t xml:space="preserve">’s logo) and </w:t>
      </w:r>
      <w:proofErr w:type="gramStart"/>
      <w:r w:rsidRPr="000606CC">
        <w:rPr>
          <w:rFonts w:cstheme="minorHAnsi"/>
          <w:sz w:val="20"/>
          <w:szCs w:val="18"/>
        </w:rPr>
        <w:t>trademarks;</w:t>
      </w:r>
      <w:proofErr w:type="gramEnd"/>
    </w:p>
    <w:p w14:paraId="4F0DC91D"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5EE93D71"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34E70513"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1DBA6865" w14:textId="77777777" w:rsidR="000A5F42" w:rsidRPr="000606CC" w:rsidRDefault="000A5F42" w:rsidP="000A5F42">
      <w:pPr>
        <w:pStyle w:val="NoSpacing"/>
        <w:rPr>
          <w:rStyle w:val="Strong"/>
          <w:rFonts w:cstheme="minorHAnsi"/>
          <w:sz w:val="20"/>
          <w:szCs w:val="18"/>
        </w:rPr>
      </w:pPr>
    </w:p>
    <w:p w14:paraId="1343B0E7"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 xml:space="preserve">Opinions expressed in Communicable Diseases Intelligence are those of the authors and not necessarily those of the Australian Government </w:t>
      </w:r>
      <w:r w:rsidR="001723AC">
        <w:rPr>
          <w:rFonts w:cstheme="minorHAnsi"/>
          <w:sz w:val="20"/>
          <w:szCs w:val="18"/>
        </w:rPr>
        <w:t>Department of Health and Aged Care</w:t>
      </w:r>
      <w:r w:rsidRPr="000606CC">
        <w:rPr>
          <w:rFonts w:cstheme="minorHAnsi"/>
          <w:sz w:val="20"/>
          <w:szCs w:val="18"/>
        </w:rPr>
        <w:t xml:space="preserve"> or the Communicable Diseases Network Australia. Data may be subject to revision.</w:t>
      </w:r>
    </w:p>
    <w:p w14:paraId="26E648F7" w14:textId="77777777" w:rsidR="000A5F42" w:rsidRPr="000606CC" w:rsidRDefault="000A5F42" w:rsidP="000A5F42">
      <w:pPr>
        <w:pStyle w:val="NoSpacing"/>
        <w:rPr>
          <w:rStyle w:val="Strong"/>
          <w:rFonts w:cstheme="minorHAnsi"/>
          <w:sz w:val="20"/>
          <w:szCs w:val="18"/>
        </w:rPr>
      </w:pPr>
    </w:p>
    <w:p w14:paraId="6B89E44D" w14:textId="60DC0B7E"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w:t>
      </w:r>
      <w:r w:rsidR="001723AC">
        <w:rPr>
          <w:rFonts w:cstheme="minorHAnsi"/>
          <w:sz w:val="20"/>
          <w:szCs w:val="18"/>
        </w:rPr>
        <w:t>Department of Health and Aged Care</w:t>
      </w:r>
      <w:r w:rsidRPr="000606CC">
        <w:rPr>
          <w:rFonts w:cstheme="minorHAnsi"/>
          <w:sz w:val="20"/>
          <w:szCs w:val="18"/>
        </w:rPr>
        <w:t xml:space="preserve">, GPO Box 9848, Canberra ACT 2601, or via e-mail to: </w:t>
      </w:r>
      <w:hyperlink r:id="rId25"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24083D22" w14:textId="77777777" w:rsidR="000A5F42" w:rsidRPr="000606CC" w:rsidRDefault="000A5F42" w:rsidP="000A5F42">
      <w:pPr>
        <w:pStyle w:val="NoSpacing"/>
        <w:rPr>
          <w:rStyle w:val="URI"/>
          <w:rFonts w:cstheme="minorHAnsi"/>
          <w:sz w:val="20"/>
          <w:szCs w:val="18"/>
        </w:rPr>
      </w:pPr>
    </w:p>
    <w:p w14:paraId="6B1E0F33" w14:textId="06D2639F"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6" w:tooltip="Communicable Diseases Network Australia website" w:history="1">
        <w:r w:rsidRPr="000606CC">
          <w:rPr>
            <w:rStyle w:val="Hyperlink"/>
            <w:rFonts w:cstheme="minorHAnsi"/>
            <w:sz w:val="20"/>
            <w:szCs w:val="18"/>
          </w:rPr>
          <w:t>http://www.health.gov.au/cdna</w:t>
        </w:r>
      </w:hyperlink>
    </w:p>
    <w:sectPr w:rsidR="000A5F42" w:rsidRPr="000606CC" w:rsidSect="002B75A9">
      <w:headerReference w:type="default" r:id="rId27"/>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2A881" w14:textId="77777777" w:rsidR="00474F26" w:rsidRDefault="00474F26" w:rsidP="00E54DBA">
      <w:r>
        <w:separator/>
      </w:r>
    </w:p>
    <w:p w14:paraId="4297283E" w14:textId="77777777" w:rsidR="00474F26" w:rsidRDefault="00474F26"/>
    <w:p w14:paraId="3BEFA206" w14:textId="77777777" w:rsidR="00474F26" w:rsidRDefault="00474F26" w:rsidP="008714B0"/>
  </w:endnote>
  <w:endnote w:type="continuationSeparator" w:id="0">
    <w:p w14:paraId="4FB175FB" w14:textId="77777777" w:rsidR="00474F26" w:rsidRDefault="00474F26" w:rsidP="00E54DBA">
      <w:r>
        <w:continuationSeparator/>
      </w:r>
    </w:p>
    <w:p w14:paraId="66080582" w14:textId="77777777" w:rsidR="00474F26" w:rsidRDefault="00474F26"/>
    <w:p w14:paraId="5CC83892" w14:textId="77777777" w:rsidR="00474F26" w:rsidRDefault="00474F26"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20B0503030403090204"/>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17BD5" w14:textId="2AF53335"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BB363F">
      <w:rPr>
        <w:i/>
        <w:sz w:val="18"/>
      </w:rPr>
      <w:t>Commun</w:t>
    </w:r>
    <w:proofErr w:type="spellEnd"/>
    <w:r w:rsidR="00CE342B" w:rsidRPr="00BB363F">
      <w:rPr>
        <w:i/>
        <w:sz w:val="18"/>
      </w:rPr>
      <w:t xml:space="preserve"> Dis </w:t>
    </w:r>
    <w:proofErr w:type="spellStart"/>
    <w:r w:rsidR="00CE342B" w:rsidRPr="00BB363F">
      <w:rPr>
        <w:i/>
        <w:sz w:val="18"/>
      </w:rPr>
      <w:t>Intell</w:t>
    </w:r>
    <w:proofErr w:type="spellEnd"/>
    <w:r w:rsidR="00CE342B" w:rsidRPr="00BB363F">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C2722E">
      <w:rPr>
        <w:sz w:val="18"/>
      </w:rPr>
      <w:t>2023</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C2722E">
      <w:rPr>
        <w:sz w:val="18"/>
      </w:rPr>
      <w:t>47</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241151">
      <w:rPr>
        <w:sz w:val="18"/>
      </w:rPr>
      <w:t>https://doi.org/10.33321/cdi.2023.47.56</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93431B">
      <w:rPr>
        <w:sz w:val="18"/>
      </w:rPr>
      <w:t>21/09/2023</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6EA3D" w14:textId="14BDD7A7"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BB363F">
      <w:rPr>
        <w:i/>
        <w:sz w:val="18"/>
      </w:rPr>
      <w:t>Commun</w:t>
    </w:r>
    <w:proofErr w:type="spellEnd"/>
    <w:r w:rsidR="00A164D5" w:rsidRPr="00BB363F">
      <w:rPr>
        <w:i/>
        <w:sz w:val="18"/>
      </w:rPr>
      <w:t xml:space="preserve"> Dis </w:t>
    </w:r>
    <w:proofErr w:type="spellStart"/>
    <w:r w:rsidR="00A164D5" w:rsidRPr="00BB363F">
      <w:rPr>
        <w:i/>
        <w:sz w:val="18"/>
      </w:rPr>
      <w:t>Intell</w:t>
    </w:r>
    <w:proofErr w:type="spellEnd"/>
    <w:r w:rsidR="00A164D5" w:rsidRPr="00BB363F">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C2722E">
      <w:rPr>
        <w:sz w:val="18"/>
      </w:rPr>
      <w:t>2023</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C2722E">
      <w:rPr>
        <w:sz w:val="18"/>
      </w:rPr>
      <w:t>47</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93431B">
      <w:rPr>
        <w:sz w:val="18"/>
      </w:rPr>
      <w:t>https://doi.org/10.33321/cdi.2023.47.56</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6A18DD">
      <w:rPr>
        <w:sz w:val="18"/>
      </w:rPr>
      <w:t>21/09/2023</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1CD2C" w14:textId="77777777" w:rsidR="00474F26" w:rsidRPr="00B91FB5" w:rsidRDefault="00474F26" w:rsidP="00B91FB5">
      <w:pPr>
        <w:spacing w:after="0" w:line="240" w:lineRule="auto"/>
        <w:rPr>
          <w:sz w:val="18"/>
          <w:szCs w:val="18"/>
        </w:rPr>
      </w:pPr>
      <w:r w:rsidRPr="00B91FB5">
        <w:rPr>
          <w:sz w:val="18"/>
          <w:szCs w:val="18"/>
        </w:rPr>
        <w:separator/>
      </w:r>
    </w:p>
  </w:footnote>
  <w:footnote w:type="continuationSeparator" w:id="0">
    <w:p w14:paraId="17FF512A" w14:textId="77777777" w:rsidR="00474F26" w:rsidRDefault="00474F26" w:rsidP="00E54DBA">
      <w:r>
        <w:continuationSeparator/>
      </w:r>
    </w:p>
  </w:footnote>
  <w:footnote w:type="continuationNotice" w:id="1">
    <w:p w14:paraId="08267B8D" w14:textId="77777777" w:rsidR="00474F26" w:rsidRPr="00224EFF" w:rsidRDefault="00474F26"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1E946" w14:textId="02D6ACD4" w:rsidR="00257484" w:rsidRPr="00A153B6" w:rsidRDefault="00241151"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305914">
          <w:t>Original article</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0758E" w14:textId="77777777" w:rsidR="008B5348" w:rsidRPr="000A5F42" w:rsidRDefault="008B5348" w:rsidP="009D797A">
    <w:pPr>
      <w:pStyle w:val="Header"/>
      <w:spacing w:after="0" w:line="240" w:lineRule="auto"/>
      <w:jc w:val="center"/>
      <w:rPr>
        <w:b/>
      </w:rPr>
    </w:pPr>
    <w:r w:rsidRPr="00E810C5">
      <w:rPr>
        <w:rFonts w:cs="Myriad Pro"/>
        <w:noProof/>
        <w:color w:val="211D1E"/>
        <w:sz w:val="16"/>
      </w:rPr>
      <w:drawing>
        <wp:inline distT="0" distB="0" distL="0" distR="0" wp14:anchorId="165D0558" wp14:editId="09A2C5FB">
          <wp:extent cx="1971924" cy="593062"/>
          <wp:effectExtent l="0" t="0" r="0" b="0"/>
          <wp:docPr id="1" name="Picture 1" descr="Australian Government -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 Department of Health and Aged Care"/>
                  <pic:cNvPicPr/>
                </pic:nvPicPr>
                <pic:blipFill rotWithShape="1">
                  <a:blip r:embed="rId1">
                    <a:extLst>
                      <a:ext uri="{28A0092B-C50C-407E-A947-70E740481C1C}">
                        <a14:useLocalDpi xmlns:a14="http://schemas.microsoft.com/office/drawing/2010/main" val="0"/>
                      </a:ext>
                    </a:extLst>
                  </a:blip>
                  <a:srcRect t="11900" b="7160"/>
                  <a:stretch/>
                </pic:blipFill>
                <pic:spPr bwMode="auto">
                  <a:xfrm>
                    <a:off x="0" y="0"/>
                    <a:ext cx="2009585" cy="6043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9554FEF"/>
    <w:multiLevelType w:val="hybridMultilevel"/>
    <w:tmpl w:val="87C88E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F020942"/>
    <w:multiLevelType w:val="multilevel"/>
    <w:tmpl w:val="90905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B87ADA"/>
    <w:multiLevelType w:val="hybridMultilevel"/>
    <w:tmpl w:val="AFCE22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2654AB7"/>
    <w:multiLevelType w:val="multilevel"/>
    <w:tmpl w:val="0602D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9176613">
    <w:abstractNumId w:val="1"/>
  </w:num>
  <w:num w:numId="2" w16cid:durableId="1133870211">
    <w:abstractNumId w:val="5"/>
  </w:num>
  <w:num w:numId="3" w16cid:durableId="1318267469">
    <w:abstractNumId w:val="6"/>
  </w:num>
  <w:num w:numId="4" w16cid:durableId="2089496269">
    <w:abstractNumId w:val="0"/>
  </w:num>
  <w:num w:numId="5" w16cid:durableId="241449392">
    <w:abstractNumId w:val="7"/>
  </w:num>
  <w:num w:numId="6" w16cid:durableId="185484750">
    <w:abstractNumId w:val="8"/>
  </w:num>
  <w:num w:numId="7" w16cid:durableId="683096915">
    <w:abstractNumId w:val="9"/>
  </w:num>
  <w:num w:numId="8" w16cid:durableId="780800602">
    <w:abstractNumId w:val="3"/>
  </w:num>
  <w:num w:numId="9" w16cid:durableId="1819027703">
    <w:abstractNumId w:val="4"/>
  </w:num>
  <w:num w:numId="10" w16cid:durableId="1919705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noPunctuationKerning/>
  <w:characterSpacingControl w:val="doNotCompress"/>
  <w:savePreviewPicture/>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22E"/>
    <w:rsid w:val="00000B5B"/>
    <w:rsid w:val="00001611"/>
    <w:rsid w:val="000104A8"/>
    <w:rsid w:val="0001246E"/>
    <w:rsid w:val="000124B1"/>
    <w:rsid w:val="00016FE6"/>
    <w:rsid w:val="00031064"/>
    <w:rsid w:val="00031692"/>
    <w:rsid w:val="00032531"/>
    <w:rsid w:val="000325A0"/>
    <w:rsid w:val="000471BF"/>
    <w:rsid w:val="00047B68"/>
    <w:rsid w:val="00052600"/>
    <w:rsid w:val="0005643C"/>
    <w:rsid w:val="0006264A"/>
    <w:rsid w:val="00073D77"/>
    <w:rsid w:val="00081655"/>
    <w:rsid w:val="000864E0"/>
    <w:rsid w:val="000969B3"/>
    <w:rsid w:val="000A5F42"/>
    <w:rsid w:val="000D4B4D"/>
    <w:rsid w:val="000E6F86"/>
    <w:rsid w:val="00113D58"/>
    <w:rsid w:val="001200CB"/>
    <w:rsid w:val="00120E6F"/>
    <w:rsid w:val="001212FF"/>
    <w:rsid w:val="00127001"/>
    <w:rsid w:val="001378A3"/>
    <w:rsid w:val="00155582"/>
    <w:rsid w:val="00161590"/>
    <w:rsid w:val="00171CC0"/>
    <w:rsid w:val="001723AC"/>
    <w:rsid w:val="00175494"/>
    <w:rsid w:val="00175629"/>
    <w:rsid w:val="001830EC"/>
    <w:rsid w:val="00183534"/>
    <w:rsid w:val="0018758E"/>
    <w:rsid w:val="001A4A96"/>
    <w:rsid w:val="001A5D05"/>
    <w:rsid w:val="001A796C"/>
    <w:rsid w:val="001A7B62"/>
    <w:rsid w:val="001B2614"/>
    <w:rsid w:val="001B37B8"/>
    <w:rsid w:val="001B552F"/>
    <w:rsid w:val="001C0893"/>
    <w:rsid w:val="001C1303"/>
    <w:rsid w:val="001C70B2"/>
    <w:rsid w:val="001D37C7"/>
    <w:rsid w:val="001D6888"/>
    <w:rsid w:val="001D784F"/>
    <w:rsid w:val="001E4E1D"/>
    <w:rsid w:val="00224EFF"/>
    <w:rsid w:val="002276DC"/>
    <w:rsid w:val="00227E00"/>
    <w:rsid w:val="002307CB"/>
    <w:rsid w:val="00231046"/>
    <w:rsid w:val="00234F21"/>
    <w:rsid w:val="00241151"/>
    <w:rsid w:val="00242659"/>
    <w:rsid w:val="002428F7"/>
    <w:rsid w:val="0024315F"/>
    <w:rsid w:val="0024631C"/>
    <w:rsid w:val="00252C9A"/>
    <w:rsid w:val="00256309"/>
    <w:rsid w:val="00257484"/>
    <w:rsid w:val="00260636"/>
    <w:rsid w:val="00275C5C"/>
    <w:rsid w:val="00275C78"/>
    <w:rsid w:val="00280594"/>
    <w:rsid w:val="00281EE3"/>
    <w:rsid w:val="0028386E"/>
    <w:rsid w:val="00284E4A"/>
    <w:rsid w:val="002A3799"/>
    <w:rsid w:val="002A3BCC"/>
    <w:rsid w:val="002A4516"/>
    <w:rsid w:val="002A569F"/>
    <w:rsid w:val="002A7066"/>
    <w:rsid w:val="002B001E"/>
    <w:rsid w:val="002B09B7"/>
    <w:rsid w:val="002B75A9"/>
    <w:rsid w:val="002C21B0"/>
    <w:rsid w:val="002E2FB3"/>
    <w:rsid w:val="002F327B"/>
    <w:rsid w:val="00301626"/>
    <w:rsid w:val="00305914"/>
    <w:rsid w:val="003059EC"/>
    <w:rsid w:val="00316CCD"/>
    <w:rsid w:val="00324F7E"/>
    <w:rsid w:val="003323BC"/>
    <w:rsid w:val="00346D42"/>
    <w:rsid w:val="00346E11"/>
    <w:rsid w:val="003601C0"/>
    <w:rsid w:val="003635F5"/>
    <w:rsid w:val="00372A88"/>
    <w:rsid w:val="00373956"/>
    <w:rsid w:val="00381A0F"/>
    <w:rsid w:val="003A1B3A"/>
    <w:rsid w:val="003A40F5"/>
    <w:rsid w:val="003B5B8C"/>
    <w:rsid w:val="003C4A90"/>
    <w:rsid w:val="003C7841"/>
    <w:rsid w:val="003D79B1"/>
    <w:rsid w:val="003E74EE"/>
    <w:rsid w:val="003F0552"/>
    <w:rsid w:val="003F3BC2"/>
    <w:rsid w:val="003F4206"/>
    <w:rsid w:val="003F725B"/>
    <w:rsid w:val="00401ED1"/>
    <w:rsid w:val="0040224C"/>
    <w:rsid w:val="00406CC2"/>
    <w:rsid w:val="00413EE1"/>
    <w:rsid w:val="004164BB"/>
    <w:rsid w:val="00417635"/>
    <w:rsid w:val="0042000E"/>
    <w:rsid w:val="00421ECE"/>
    <w:rsid w:val="00422FEB"/>
    <w:rsid w:val="0042435E"/>
    <w:rsid w:val="004315F5"/>
    <w:rsid w:val="00433456"/>
    <w:rsid w:val="00433DFA"/>
    <w:rsid w:val="00435D67"/>
    <w:rsid w:val="00464A58"/>
    <w:rsid w:val="00473D2D"/>
    <w:rsid w:val="00474F26"/>
    <w:rsid w:val="004A2125"/>
    <w:rsid w:val="004A38F6"/>
    <w:rsid w:val="004B08E0"/>
    <w:rsid w:val="004B4EB6"/>
    <w:rsid w:val="004C083C"/>
    <w:rsid w:val="004C3943"/>
    <w:rsid w:val="004C67C6"/>
    <w:rsid w:val="004D29DE"/>
    <w:rsid w:val="00510EAC"/>
    <w:rsid w:val="00542A57"/>
    <w:rsid w:val="005470D5"/>
    <w:rsid w:val="00551F2A"/>
    <w:rsid w:val="00565974"/>
    <w:rsid w:val="00566054"/>
    <w:rsid w:val="005732C0"/>
    <w:rsid w:val="0057336D"/>
    <w:rsid w:val="0057489A"/>
    <w:rsid w:val="00574ACF"/>
    <w:rsid w:val="00581588"/>
    <w:rsid w:val="0058540B"/>
    <w:rsid w:val="00587C87"/>
    <w:rsid w:val="00590B80"/>
    <w:rsid w:val="005B3134"/>
    <w:rsid w:val="005B4E61"/>
    <w:rsid w:val="005B595A"/>
    <w:rsid w:val="005B66C2"/>
    <w:rsid w:val="005C66A6"/>
    <w:rsid w:val="005D2465"/>
    <w:rsid w:val="005E258D"/>
    <w:rsid w:val="005E33DD"/>
    <w:rsid w:val="005E4229"/>
    <w:rsid w:val="005E5181"/>
    <w:rsid w:val="005E540E"/>
    <w:rsid w:val="005E55FB"/>
    <w:rsid w:val="005F16BB"/>
    <w:rsid w:val="00607115"/>
    <w:rsid w:val="00620768"/>
    <w:rsid w:val="00620CA9"/>
    <w:rsid w:val="0062594B"/>
    <w:rsid w:val="00631406"/>
    <w:rsid w:val="006324FF"/>
    <w:rsid w:val="006351D6"/>
    <w:rsid w:val="00636E0D"/>
    <w:rsid w:val="0064142F"/>
    <w:rsid w:val="00643CB4"/>
    <w:rsid w:val="00656427"/>
    <w:rsid w:val="00660255"/>
    <w:rsid w:val="00663EA5"/>
    <w:rsid w:val="006714D9"/>
    <w:rsid w:val="006971F3"/>
    <w:rsid w:val="006A18DD"/>
    <w:rsid w:val="006C74A3"/>
    <w:rsid w:val="006D1381"/>
    <w:rsid w:val="006D31BC"/>
    <w:rsid w:val="006D3D7E"/>
    <w:rsid w:val="006E7943"/>
    <w:rsid w:val="006F24EA"/>
    <w:rsid w:val="00704CA9"/>
    <w:rsid w:val="0071048D"/>
    <w:rsid w:val="00710F86"/>
    <w:rsid w:val="007111A8"/>
    <w:rsid w:val="00717A14"/>
    <w:rsid w:val="00723B5F"/>
    <w:rsid w:val="00731BC3"/>
    <w:rsid w:val="00741192"/>
    <w:rsid w:val="00743A33"/>
    <w:rsid w:val="00746080"/>
    <w:rsid w:val="0075144A"/>
    <w:rsid w:val="00756B70"/>
    <w:rsid w:val="00786329"/>
    <w:rsid w:val="00791E82"/>
    <w:rsid w:val="00792C7D"/>
    <w:rsid w:val="00794A4D"/>
    <w:rsid w:val="007A5234"/>
    <w:rsid w:val="007B1DD6"/>
    <w:rsid w:val="007B7854"/>
    <w:rsid w:val="007C56A1"/>
    <w:rsid w:val="007C6454"/>
    <w:rsid w:val="007E01E0"/>
    <w:rsid w:val="007E5CA0"/>
    <w:rsid w:val="007F0B93"/>
    <w:rsid w:val="007F2ECA"/>
    <w:rsid w:val="00802960"/>
    <w:rsid w:val="00811708"/>
    <w:rsid w:val="00816B90"/>
    <w:rsid w:val="00817799"/>
    <w:rsid w:val="0082277D"/>
    <w:rsid w:val="00822F5F"/>
    <w:rsid w:val="00824FD3"/>
    <w:rsid w:val="00826589"/>
    <w:rsid w:val="00834BCC"/>
    <w:rsid w:val="00850D54"/>
    <w:rsid w:val="00852E2B"/>
    <w:rsid w:val="008714B0"/>
    <w:rsid w:val="00876331"/>
    <w:rsid w:val="00880726"/>
    <w:rsid w:val="00882A1C"/>
    <w:rsid w:val="008A3544"/>
    <w:rsid w:val="008A7AE0"/>
    <w:rsid w:val="008B48B8"/>
    <w:rsid w:val="008B5348"/>
    <w:rsid w:val="008B58F8"/>
    <w:rsid w:val="008B62FF"/>
    <w:rsid w:val="008C0712"/>
    <w:rsid w:val="008C4520"/>
    <w:rsid w:val="008C5F09"/>
    <w:rsid w:val="008D470F"/>
    <w:rsid w:val="008E1F8F"/>
    <w:rsid w:val="008E4768"/>
    <w:rsid w:val="008E761E"/>
    <w:rsid w:val="008F77B3"/>
    <w:rsid w:val="009008F5"/>
    <w:rsid w:val="00904CC1"/>
    <w:rsid w:val="009066AF"/>
    <w:rsid w:val="00912050"/>
    <w:rsid w:val="00912E48"/>
    <w:rsid w:val="00912E68"/>
    <w:rsid w:val="0092746F"/>
    <w:rsid w:val="0093431B"/>
    <w:rsid w:val="00935DC9"/>
    <w:rsid w:val="009446C0"/>
    <w:rsid w:val="0096082E"/>
    <w:rsid w:val="00961347"/>
    <w:rsid w:val="00967410"/>
    <w:rsid w:val="00967D73"/>
    <w:rsid w:val="00967FC9"/>
    <w:rsid w:val="00977AF8"/>
    <w:rsid w:val="0098119A"/>
    <w:rsid w:val="00984AAF"/>
    <w:rsid w:val="00991B09"/>
    <w:rsid w:val="00993CB2"/>
    <w:rsid w:val="009A3E80"/>
    <w:rsid w:val="009A5166"/>
    <w:rsid w:val="009A76F8"/>
    <w:rsid w:val="009B2B83"/>
    <w:rsid w:val="009C49F8"/>
    <w:rsid w:val="009D77CC"/>
    <w:rsid w:val="009D797A"/>
    <w:rsid w:val="009E2423"/>
    <w:rsid w:val="009E49CC"/>
    <w:rsid w:val="009E55D7"/>
    <w:rsid w:val="009F4150"/>
    <w:rsid w:val="009F5665"/>
    <w:rsid w:val="009F5DAD"/>
    <w:rsid w:val="00A01BCA"/>
    <w:rsid w:val="00A10458"/>
    <w:rsid w:val="00A153B6"/>
    <w:rsid w:val="00A164D5"/>
    <w:rsid w:val="00A273C3"/>
    <w:rsid w:val="00A30C37"/>
    <w:rsid w:val="00A36C65"/>
    <w:rsid w:val="00A41BBE"/>
    <w:rsid w:val="00A443E3"/>
    <w:rsid w:val="00A45BDD"/>
    <w:rsid w:val="00A46A0A"/>
    <w:rsid w:val="00A50963"/>
    <w:rsid w:val="00A528B3"/>
    <w:rsid w:val="00A553F8"/>
    <w:rsid w:val="00A6708F"/>
    <w:rsid w:val="00A71BF6"/>
    <w:rsid w:val="00A72AF9"/>
    <w:rsid w:val="00A76240"/>
    <w:rsid w:val="00A86F9A"/>
    <w:rsid w:val="00AA35E6"/>
    <w:rsid w:val="00AA50B6"/>
    <w:rsid w:val="00AB3472"/>
    <w:rsid w:val="00AD0762"/>
    <w:rsid w:val="00AE0209"/>
    <w:rsid w:val="00AE3DCF"/>
    <w:rsid w:val="00AE4452"/>
    <w:rsid w:val="00AE7C38"/>
    <w:rsid w:val="00AF0250"/>
    <w:rsid w:val="00AF3B23"/>
    <w:rsid w:val="00B01F99"/>
    <w:rsid w:val="00B02B37"/>
    <w:rsid w:val="00B05276"/>
    <w:rsid w:val="00B12DE1"/>
    <w:rsid w:val="00B132DB"/>
    <w:rsid w:val="00B23714"/>
    <w:rsid w:val="00B31427"/>
    <w:rsid w:val="00B33861"/>
    <w:rsid w:val="00B40DE2"/>
    <w:rsid w:val="00B50210"/>
    <w:rsid w:val="00B50D8D"/>
    <w:rsid w:val="00B53955"/>
    <w:rsid w:val="00B53BFC"/>
    <w:rsid w:val="00B63C79"/>
    <w:rsid w:val="00B6408A"/>
    <w:rsid w:val="00B6478A"/>
    <w:rsid w:val="00B714B8"/>
    <w:rsid w:val="00B82C2C"/>
    <w:rsid w:val="00B8720B"/>
    <w:rsid w:val="00B876EF"/>
    <w:rsid w:val="00B91FB5"/>
    <w:rsid w:val="00B9223D"/>
    <w:rsid w:val="00BA4697"/>
    <w:rsid w:val="00BB363F"/>
    <w:rsid w:val="00BB5378"/>
    <w:rsid w:val="00BC0BD3"/>
    <w:rsid w:val="00BD0107"/>
    <w:rsid w:val="00BE0C33"/>
    <w:rsid w:val="00BE262C"/>
    <w:rsid w:val="00BE4C25"/>
    <w:rsid w:val="00BE6C3D"/>
    <w:rsid w:val="00C07606"/>
    <w:rsid w:val="00C12542"/>
    <w:rsid w:val="00C130EE"/>
    <w:rsid w:val="00C24725"/>
    <w:rsid w:val="00C2722E"/>
    <w:rsid w:val="00C30BA9"/>
    <w:rsid w:val="00C30F28"/>
    <w:rsid w:val="00C3541E"/>
    <w:rsid w:val="00C36A8F"/>
    <w:rsid w:val="00C42834"/>
    <w:rsid w:val="00C42FFA"/>
    <w:rsid w:val="00C507D8"/>
    <w:rsid w:val="00C51F5A"/>
    <w:rsid w:val="00C57018"/>
    <w:rsid w:val="00C62EAC"/>
    <w:rsid w:val="00C63F9F"/>
    <w:rsid w:val="00C7723C"/>
    <w:rsid w:val="00C838F5"/>
    <w:rsid w:val="00C841C0"/>
    <w:rsid w:val="00CA1AF4"/>
    <w:rsid w:val="00CA6068"/>
    <w:rsid w:val="00CB15E1"/>
    <w:rsid w:val="00CB3D46"/>
    <w:rsid w:val="00CD190B"/>
    <w:rsid w:val="00CD1A87"/>
    <w:rsid w:val="00CD35F3"/>
    <w:rsid w:val="00CD5C93"/>
    <w:rsid w:val="00CE342B"/>
    <w:rsid w:val="00CF2AAD"/>
    <w:rsid w:val="00CF320C"/>
    <w:rsid w:val="00CF3A4B"/>
    <w:rsid w:val="00CF4001"/>
    <w:rsid w:val="00CF75DF"/>
    <w:rsid w:val="00D05837"/>
    <w:rsid w:val="00D12867"/>
    <w:rsid w:val="00D12D8A"/>
    <w:rsid w:val="00D13E0C"/>
    <w:rsid w:val="00D25896"/>
    <w:rsid w:val="00D269AF"/>
    <w:rsid w:val="00D373A1"/>
    <w:rsid w:val="00D37C0F"/>
    <w:rsid w:val="00D45661"/>
    <w:rsid w:val="00D45943"/>
    <w:rsid w:val="00D47D22"/>
    <w:rsid w:val="00D51865"/>
    <w:rsid w:val="00D51D0C"/>
    <w:rsid w:val="00D74140"/>
    <w:rsid w:val="00D82AAF"/>
    <w:rsid w:val="00D84AEC"/>
    <w:rsid w:val="00DA6E56"/>
    <w:rsid w:val="00DA78DD"/>
    <w:rsid w:val="00DB1C65"/>
    <w:rsid w:val="00DC24E5"/>
    <w:rsid w:val="00DC6705"/>
    <w:rsid w:val="00DD2DE8"/>
    <w:rsid w:val="00DE38B4"/>
    <w:rsid w:val="00DE5D02"/>
    <w:rsid w:val="00DF2102"/>
    <w:rsid w:val="00E005A9"/>
    <w:rsid w:val="00E065BA"/>
    <w:rsid w:val="00E1166E"/>
    <w:rsid w:val="00E24DC0"/>
    <w:rsid w:val="00E2519C"/>
    <w:rsid w:val="00E25F2A"/>
    <w:rsid w:val="00E41455"/>
    <w:rsid w:val="00E42AD2"/>
    <w:rsid w:val="00E50856"/>
    <w:rsid w:val="00E538CC"/>
    <w:rsid w:val="00E54BBD"/>
    <w:rsid w:val="00E54DBA"/>
    <w:rsid w:val="00E63D7C"/>
    <w:rsid w:val="00E640D5"/>
    <w:rsid w:val="00E66E2E"/>
    <w:rsid w:val="00E67691"/>
    <w:rsid w:val="00E77EBD"/>
    <w:rsid w:val="00E92237"/>
    <w:rsid w:val="00E93699"/>
    <w:rsid w:val="00E951EF"/>
    <w:rsid w:val="00EA0CFC"/>
    <w:rsid w:val="00EA3D54"/>
    <w:rsid w:val="00EA56D9"/>
    <w:rsid w:val="00EA5CE3"/>
    <w:rsid w:val="00EB222C"/>
    <w:rsid w:val="00EB51C1"/>
    <w:rsid w:val="00EB5AE1"/>
    <w:rsid w:val="00EB5E0B"/>
    <w:rsid w:val="00EC2171"/>
    <w:rsid w:val="00ED442D"/>
    <w:rsid w:val="00ED70C2"/>
    <w:rsid w:val="00EE18FF"/>
    <w:rsid w:val="00EE3E29"/>
    <w:rsid w:val="00EE489F"/>
    <w:rsid w:val="00F01640"/>
    <w:rsid w:val="00F0647F"/>
    <w:rsid w:val="00F10CE3"/>
    <w:rsid w:val="00F12006"/>
    <w:rsid w:val="00F13443"/>
    <w:rsid w:val="00F14F3B"/>
    <w:rsid w:val="00F16362"/>
    <w:rsid w:val="00F207C7"/>
    <w:rsid w:val="00F36B6D"/>
    <w:rsid w:val="00F43FA3"/>
    <w:rsid w:val="00F45250"/>
    <w:rsid w:val="00F46060"/>
    <w:rsid w:val="00F55648"/>
    <w:rsid w:val="00F674B1"/>
    <w:rsid w:val="00F70046"/>
    <w:rsid w:val="00F74059"/>
    <w:rsid w:val="00F748C2"/>
    <w:rsid w:val="00F74958"/>
    <w:rsid w:val="00F76C5C"/>
    <w:rsid w:val="00F81EF3"/>
    <w:rsid w:val="00F84496"/>
    <w:rsid w:val="00F85DCB"/>
    <w:rsid w:val="00F86387"/>
    <w:rsid w:val="00F86F9C"/>
    <w:rsid w:val="00F87817"/>
    <w:rsid w:val="00F90D76"/>
    <w:rsid w:val="00FB12A1"/>
    <w:rsid w:val="00FC002E"/>
    <w:rsid w:val="00FC4C23"/>
    <w:rsid w:val="00FC642E"/>
    <w:rsid w:val="00FD1EBC"/>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372ECC"/>
  <w15:docId w15:val="{3EA0ED6F-C3A9-4577-8393-FF627AB93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5E5181"/>
    <w:pPr>
      <w:spacing w:after="0" w:line="240" w:lineRule="auto"/>
      <w:jc w:val="center"/>
    </w:pPr>
    <w:rPr>
      <w:rFonts w:ascii="Calibri" w:hAnsi="Calibri"/>
      <w:color w:val="000000" w:themeColor="text1"/>
    </w:rPr>
    <w:tblPr>
      <w:tblStyleRowBandSize w:val="1"/>
      <w:tblCellMar>
        <w:top w:w="57" w:type="dxa"/>
        <w:left w:w="57" w:type="dxa"/>
        <w:bottom w:w="57" w:type="dxa"/>
        <w:right w:w="57" w:type="dxa"/>
      </w:tblCellMar>
    </w:tblPr>
    <w:tcPr>
      <w:vAlign w:val="center"/>
    </w:tcPr>
    <w:tblStylePr w:type="firstRow">
      <w:pPr>
        <w:jc w:val="center"/>
      </w:pPr>
      <w:rPr>
        <w:rFonts w:asciiTheme="minorHAnsi" w:hAnsiTheme="minorHAnsi"/>
        <w:b/>
        <w:color w:val="FFFFFF" w:themeColor="background1"/>
        <w:sz w:val="22"/>
      </w:rPr>
      <w:tblPr/>
      <w:tcPr>
        <w:tcBorders>
          <w:insideH w:val="single" w:sz="4" w:space="0" w:color="F7ECDD"/>
          <w:insideV w:val="single" w:sz="4" w:space="0" w:color="F7ECDD"/>
        </w:tcBorders>
        <w:shd w:val="clear" w:color="auto" w:fill="404040" w:themeFill="text1" w:themeFillTint="BF"/>
      </w:tcPr>
    </w:tblStylePr>
    <w:tblStylePr w:type="lastRow">
      <w:rPr>
        <w:b/>
      </w:rPr>
      <w:tblPr/>
      <w:tcPr>
        <w:shd w:val="clear" w:color="auto" w:fill="F7ECDD"/>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UnresolvedMention">
    <w:name w:val="Unresolved Mention"/>
    <w:basedOn w:val="DefaultParagraphFont"/>
    <w:uiPriority w:val="99"/>
    <w:semiHidden/>
    <w:unhideWhenUsed/>
    <w:rsid w:val="00B50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453331463">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19641466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2.xml"/><Relationship Id="rId26" Type="http://schemas.openxmlformats.org/officeDocument/2006/relationships/hyperlink" Target="http://www.health.gov.au/cdna" TargetMode="External"/><Relationship Id="rId3" Type="http://schemas.openxmlformats.org/officeDocument/2006/relationships/numbering" Target="numbering.xml"/><Relationship Id="rId21" Type="http://schemas.openxmlformats.org/officeDocument/2006/relationships/hyperlink" Target="http://health.gov.au/cdi"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1.xml"/><Relationship Id="rId25" Type="http://schemas.openxmlformats.org/officeDocument/2006/relationships/hyperlink" Target="mailto:copyright@health.gov.au"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cdi.editor@health.gov.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www.itsanhonour.gov.au/" TargetMode="Externa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s://creativecommons.org/licenses/by-nc-nd/4.0/legalcode"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www.health.gov.au/cdi" TargetMode="External"/><Relationship Id="rId4" Type="http://schemas.openxmlformats.org/officeDocument/2006/relationships/styles" Target="styles.xml"/><Relationship Id="rId9" Type="http://schemas.openxmlformats.org/officeDocument/2006/relationships/hyperlink" Target="http://health.gov.au/cdi" TargetMode="External"/><Relationship Id="rId14" Type="http://schemas.openxmlformats.org/officeDocument/2006/relationships/image" Target="media/image5.png"/><Relationship Id="rId22" Type="http://schemas.openxmlformats.org/officeDocument/2006/relationships/hyperlink" Target="mailto:cdi.editor@health.gov.au" TargetMode="External"/><Relationship Id="rId27"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ousek\OneDrive%20-%20Department%20of%20Health\Desktop\T%202023\template-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template-2023.dotx</Template>
  <TotalTime>37</TotalTime>
  <Pages>17</Pages>
  <Words>5950</Words>
  <Characters>36434</Characters>
  <Application>Microsoft Office Word</Application>
  <DocSecurity>0</DocSecurity>
  <Lines>2802</Lines>
  <Paragraphs>1926</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Communicable Diseases Intelligence - The impact of the National Shingles Vaccination Program on the epidemiology of herpes zoster among adults ≥ 60 years in Victoria, Australia</vt:lpstr>
      <vt:lpstr>Abstract </vt:lpstr>
      <vt:lpstr>    Introduction </vt:lpstr>
      <vt:lpstr>    Methods </vt:lpstr>
      <vt:lpstr>    Results </vt:lpstr>
      <vt:lpstr>    Discussion </vt:lpstr>
      <vt:lpstr>Introduction </vt:lpstr>
      <vt:lpstr>Methods </vt:lpstr>
      <vt:lpstr>Results </vt:lpstr>
      <vt:lpstr>    Vaccinations </vt:lpstr>
      <vt:lpstr>Case notifications </vt:lpstr>
      <vt:lpstr>    Emergency department presentations </vt:lpstr>
      <vt:lpstr>Hospitalisations </vt:lpstr>
      <vt:lpstr>Deaths </vt:lpstr>
      <vt:lpstr>Discussion </vt:lpstr>
      <vt:lpstr>Acknowledgement </vt:lpstr>
      <vt:lpstr>Author details </vt:lpstr>
      <vt:lpstr>    Corresponding author </vt:lpstr>
      <vt:lpstr>References </vt:lpstr>
    </vt:vector>
  </TitlesOfParts>
  <Company>Australian Government, Department of Health</Company>
  <LinksUpToDate>false</LinksUpToDate>
  <CharactersWithSpaces>40458</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The impact of the National Shingles Vaccination Program on the epidemiology of herpes zoster among adults ≥ 60 years in Victoria, Australia</dc:title>
  <dc:subject>The National Shingles Vaccination Program (NSVP) was implemented in November 2016. This study analysed 10 years of routinely collected surveillance data for herpes zoster vaccinations, case notifications, emergency department presentations, hospitalisations and deaths, for all Victorians aged ≥60 years of age, from 2012 to 2021. This study presents annual incidence rates and incidence rate ratios comparing the period prior to and following program implementation, by five year age groups.</dc:subject>
  <dc:creator>Madeleine J Marsland; Anna Glynn-Robinson; Rebecca F Gang; Janet Strachan</dc:creator>
  <cp:keywords>Herpes zoster; herpes zoster vaccine; vaccine-preventable diseases; epidemiology</cp:keywords>
  <dc:description>© Commonwealth of Australia CC BY-NC-ND ISSN: 2209-6051 (Online)</dc:description>
  <cp:lastModifiedBy>YOUSEFI, Kasra</cp:lastModifiedBy>
  <cp:revision>76</cp:revision>
  <cp:lastPrinted>2018-05-10T02:19:00Z</cp:lastPrinted>
  <dcterms:created xsi:type="dcterms:W3CDTF">2023-08-25T06:04:00Z</dcterms:created>
  <dcterms:modified xsi:type="dcterms:W3CDTF">2023-09-12T05:41:00Z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2023</vt:lpwstr>
  </property>
  <property fmtid="{D5CDD505-2E9C-101B-9397-08002B2CF9AE}" pid="3" name="Vol">
    <vt:i4>47</vt:i4>
  </property>
  <property fmtid="{D5CDD505-2E9C-101B-9397-08002B2CF9AE}" pid="4" name="ePubDate">
    <vt:lpwstr>21/09/2023</vt:lpwstr>
  </property>
  <property fmtid="{D5CDD505-2E9C-101B-9397-08002B2CF9AE}" pid="5" name="DOI">
    <vt:lpwstr>https://doi.org/10.33321/cdi.2023.47.56</vt:lpwstr>
  </property>
</Properties>
</file>