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844A4" w14:textId="77777777" w:rsidR="007B081C" w:rsidRDefault="007B081C" w:rsidP="007B081C">
      <w:pPr>
        <w:pStyle w:val="Title"/>
        <w:rPr>
          <w:rFonts w:eastAsia="Times New Roman"/>
          <w:sz w:val="48"/>
          <w:szCs w:val="48"/>
        </w:rPr>
      </w:pPr>
      <w:r>
        <w:rPr>
          <w:rFonts w:eastAsia="Times New Roman"/>
        </w:rPr>
        <w:t xml:space="preserve">Not everything that can </w:t>
      </w:r>
      <w:proofErr w:type="gramStart"/>
      <w:r>
        <w:rPr>
          <w:rFonts w:eastAsia="Times New Roman"/>
        </w:rPr>
        <w:t>be counted</w:t>
      </w:r>
      <w:proofErr w:type="gramEnd"/>
      <w:r>
        <w:rPr>
          <w:rFonts w:eastAsia="Times New Roman"/>
        </w:rPr>
        <w:t xml:space="preserve"> counts: defining and evaluating tuberculosis mortality in Australia </w:t>
      </w:r>
    </w:p>
    <w:p w14:paraId="303E08D8" w14:textId="77777777" w:rsidR="007B081C" w:rsidRDefault="007B081C" w:rsidP="007B081C">
      <w:r>
        <w:t xml:space="preserve">Justin T Denholm on behalf of the National Tuberculosis Advisory Committee </w:t>
      </w:r>
    </w:p>
    <w:p w14:paraId="56E601F6" w14:textId="77777777" w:rsidR="007B081C" w:rsidRPr="007B081C" w:rsidRDefault="007B081C" w:rsidP="007B081C">
      <w:pPr>
        <w:pStyle w:val="Heading1"/>
      </w:pPr>
      <w:r w:rsidRPr="007B081C">
        <w:t xml:space="preserve">Background </w:t>
      </w:r>
    </w:p>
    <w:p w14:paraId="50E61CBF" w14:textId="5DACF92B" w:rsidR="007B081C" w:rsidRDefault="007B081C" w:rsidP="007B081C">
      <w:r>
        <w:t>Mortality is a critically important statistic recorded by healthcare services and tuberculosis (TB) programs globally and is used as a marker of the overall effectiveness of management and services.</w:t>
      </w:r>
      <w:r>
        <w:rPr>
          <w:vertAlign w:val="superscript"/>
        </w:rPr>
        <w:t>1,2</w:t>
      </w:r>
      <w:r>
        <w:t xml:space="preserve"> Data on TB mortality are compiled by the World Health Organization and other bodies, and targets for reduction in TB mortality are central to the End TB strategy.</w:t>
      </w:r>
      <w:r>
        <w:rPr>
          <w:vertAlign w:val="superscript"/>
        </w:rPr>
        <w:t>3,4</w:t>
      </w:r>
      <w:r>
        <w:t xml:space="preserve"> However, while death is an objectively defined outcome, there are concerns that classification whether a death is ‘TB-related’ may have significant variation between settings and practitioners.</w:t>
      </w:r>
      <w:r>
        <w:rPr>
          <w:vertAlign w:val="superscript"/>
        </w:rPr>
        <w:t>5</w:t>
      </w:r>
      <w:r>
        <w:t xml:space="preserve"> Although over-inclusive approaches to reporting—such as all-cause mortality within a period following TB disease onset—avoids some issues, it may limit recognition and correction of specific drivers of poor outcome, particularly in settings where TB is frequently co-existing with other potentially fatal conditions. The Australian National Tuberculosis Advisory Committee (NTAC)</w:t>
      </w:r>
      <w:r w:rsidR="008B6D93">
        <w:rPr>
          <w:rStyle w:val="FootnoteReference"/>
        </w:rPr>
        <w:footnoteReference w:id="2"/>
      </w:r>
      <w:r>
        <w:t xml:space="preserve"> considers </w:t>
      </w:r>
      <w:proofErr w:type="gramStart"/>
      <w:r>
        <w:t>accurate</w:t>
      </w:r>
      <w:proofErr w:type="gramEnd"/>
      <w:r>
        <w:t xml:space="preserve"> and consistent classification of TB-associated mortality to be a high priority for programmatic monitoring and strengthening, and this consensus statement has been developed to assist in optimising Australian classification and evaluation of death potentially associated with TB. </w:t>
      </w:r>
    </w:p>
    <w:p w14:paraId="26E9B82F" w14:textId="77777777" w:rsidR="007B081C" w:rsidRPr="007B081C" w:rsidRDefault="007B081C" w:rsidP="007B081C">
      <w:pPr>
        <w:pStyle w:val="Heading1"/>
      </w:pPr>
      <w:r w:rsidRPr="007B081C">
        <w:t xml:space="preserve">Classification of mortality in Australia </w:t>
      </w:r>
    </w:p>
    <w:p w14:paraId="6F4BB305" w14:textId="77777777" w:rsidR="007B081C" w:rsidRDefault="007B081C" w:rsidP="007B081C">
      <w:r>
        <w:t xml:space="preserve">In Australia, cause of death certification is multi-tiered. A primary cause of death, and antecedent factors leading to the cause of death, </w:t>
      </w:r>
      <w:proofErr w:type="gramStart"/>
      <w:r>
        <w:t>are required to</w:t>
      </w:r>
      <w:proofErr w:type="gramEnd"/>
      <w:r>
        <w:t xml:space="preserve"> be reported.</w:t>
      </w:r>
      <w:r>
        <w:rPr>
          <w:vertAlign w:val="superscript"/>
        </w:rPr>
        <w:t>6</w:t>
      </w:r>
      <w:r>
        <w:t xml:space="preserve"> In addition, medical practitioners certifying death may nominate other conditions present which are judged to have contributed to death, even if they were not directly related to the cause. In theory, such a classification system should allow for consideration of a range of factors relating to death associated with a TB notification. However, there are a variety of reasons jurisdictional TB mortality data may be inaccurate, and classifications vary. Assigning cause of death can be complicated, and </w:t>
      </w:r>
      <w:proofErr w:type="gramStart"/>
      <w:r>
        <w:t>frequently</w:t>
      </w:r>
      <w:proofErr w:type="gramEnd"/>
      <w:r>
        <w:t xml:space="preserve"> clinical judgement plays an important role. Cause of death may </w:t>
      </w:r>
      <w:proofErr w:type="gramStart"/>
      <w:r>
        <w:t>be centrally recorded</w:t>
      </w:r>
      <w:proofErr w:type="gramEnd"/>
      <w:r>
        <w:t xml:space="preserve"> by programmatic staff with a variable amount of direct involvement in management. In some published series with detailed review, up to half of deaths among notified TB cases were not considered primarily caused by TB, so incorrect classification may have substantial impact on mortality and case fatality estimates.</w:t>
      </w:r>
      <w:r>
        <w:rPr>
          <w:vertAlign w:val="superscript"/>
        </w:rPr>
        <w:t>7</w:t>
      </w:r>
      <w:r>
        <w:t xml:space="preserve"> While TB notification is mandatory in Australia, TB programs do not typically have routine access to individualised death certificates or data unless generated by program staff, and so death occurring after treatment completion or loss to follow up may be unrecognised.</w:t>
      </w:r>
      <w:r>
        <w:rPr>
          <w:vertAlign w:val="superscript"/>
        </w:rPr>
        <w:t>8</w:t>
      </w:r>
      <w:r>
        <w:t xml:space="preserve"> </w:t>
      </w:r>
    </w:p>
    <w:p w14:paraId="461FBFC0" w14:textId="77777777" w:rsidR="007B081C" w:rsidRPr="007B081C" w:rsidRDefault="007B081C" w:rsidP="007B081C">
      <w:pPr>
        <w:pStyle w:val="Heading1"/>
      </w:pPr>
      <w:r w:rsidRPr="007B081C">
        <w:t xml:space="preserve">Empiric evaluation of TB mortality classification </w:t>
      </w:r>
    </w:p>
    <w:p w14:paraId="4B0C092F" w14:textId="3AC57DA8" w:rsidR="007B081C" w:rsidRDefault="007B081C" w:rsidP="007B081C">
      <w:r>
        <w:t xml:space="preserve">Prior to developing policy </w:t>
      </w:r>
      <w:proofErr w:type="gramStart"/>
      <w:r>
        <w:t>regarding</w:t>
      </w:r>
      <w:proofErr w:type="gramEnd"/>
      <w:r>
        <w:t xml:space="preserve"> optimal classification, NTAC recognised that understanding variation in classification and the reason for differences was important for improving the reliability and consistency of reported TB-associated mortality. We therefore undertook a survey of clinicians and public health practitioners in Australia to explore variability in TB-associated death classification.</w:t>
      </w:r>
      <w:r>
        <w:rPr>
          <w:vertAlign w:val="superscript"/>
        </w:rPr>
        <w:t>9</w:t>
      </w:r>
      <w:r>
        <w:t xml:space="preserve"> Respondents were presented with a series of hypothetical scenarios involving potentially TB-related </w:t>
      </w:r>
      <w:proofErr w:type="gramStart"/>
      <w:r>
        <w:t>death, and</w:t>
      </w:r>
      <w:proofErr w:type="gramEnd"/>
      <w:r>
        <w:t xml:space="preserve"> asked to classify mortality using several approaches. This survey </w:t>
      </w:r>
      <w:proofErr w:type="gramStart"/>
      <w:r>
        <w:t>identified</w:t>
      </w:r>
      <w:proofErr w:type="gramEnd"/>
      <w:r>
        <w:t xml:space="preserve"> broad consensus in classification where death was directly associated with TB disease progression, such as </w:t>
      </w:r>
      <w:r>
        <w:lastRenderedPageBreak/>
        <w:t>in the case of death from pulmonary haemorrhage in untreated pulmonary TB. It also found several areas where there was considerable variation in practice, including disagreement regarding the classification of death associated with medication adverse effects, non-</w:t>
      </w:r>
      <w:proofErr w:type="gramStart"/>
      <w:r>
        <w:t>microbiologically-confirmed</w:t>
      </w:r>
      <w:proofErr w:type="gramEnd"/>
      <w:r>
        <w:t xml:space="preserve"> TB, and cardiovascular death occurring during TB</w:t>
      </w:r>
      <w:r w:rsidR="000F55F7">
        <w:t> </w:t>
      </w:r>
      <w:r>
        <w:t xml:space="preserve">treatment. </w:t>
      </w:r>
    </w:p>
    <w:p w14:paraId="27C92126" w14:textId="77777777" w:rsidR="007B081C" w:rsidRPr="007B081C" w:rsidRDefault="007B081C" w:rsidP="007B081C">
      <w:pPr>
        <w:pStyle w:val="Heading1"/>
      </w:pPr>
      <w:r w:rsidRPr="007B081C">
        <w:t xml:space="preserve">NTAC consensus statement </w:t>
      </w:r>
    </w:p>
    <w:p w14:paraId="6A0976CF" w14:textId="77777777" w:rsidR="007B081C" w:rsidRDefault="007B081C" w:rsidP="007B081C">
      <w:r>
        <w:t xml:space="preserve">Collection of data </w:t>
      </w:r>
      <w:proofErr w:type="gramStart"/>
      <w:r>
        <w:t>regarding</w:t>
      </w:r>
      <w:proofErr w:type="gramEnd"/>
      <w:r>
        <w:t xml:space="preserve"> TB-associated death by programmatic services is primarily to allow opportunities for improvement of response and reduction in mortality. It follows, then, that to be maximally useful, potentially TB-associated death should not </w:t>
      </w:r>
      <w:proofErr w:type="gramStart"/>
      <w:r>
        <w:t>be excluded</w:t>
      </w:r>
      <w:proofErr w:type="gramEnd"/>
      <w:r>
        <w:t xml:space="preserve"> from classification without a clear basis. This committee therefore takes the view that collection of all-cause mortality, supplemented by expert review </w:t>
      </w:r>
      <w:proofErr w:type="gramStart"/>
      <w:r>
        <w:t>regarding</w:t>
      </w:r>
      <w:proofErr w:type="gramEnd"/>
      <w:r>
        <w:t xml:space="preserve"> likely primary cause and secondary contributors to death, is most appropriate. </w:t>
      </w:r>
    </w:p>
    <w:p w14:paraId="081FD266" w14:textId="3909A01E" w:rsidR="007B081C" w:rsidRDefault="007B081C" w:rsidP="007B081C">
      <w:r>
        <w:t xml:space="preserve">Jurisdictional TB programs have most ready access to TB-related outcomes during the period of active disease management; that is, from the time of case notification to the intended completion date. The intended completion date may vary, based on factors such as drug susceptibility testing, adherence, initial burden of disease or interruptions to treatment, but will not be less than 180 days from treatment initiation (Figure 1). We intend to </w:t>
      </w:r>
      <w:proofErr w:type="gramStart"/>
      <w:r>
        <w:t>maintain</w:t>
      </w:r>
      <w:proofErr w:type="gramEnd"/>
      <w:r>
        <w:t xml:space="preserve"> this definition even in the event that future treatment protocols allow shorter durations of therapy than currently in use, to support maximal continuity of outcome monitoring. Death occurring during this period should </w:t>
      </w:r>
      <w:proofErr w:type="gramStart"/>
      <w:r>
        <w:t>be recorded</w:t>
      </w:r>
      <w:proofErr w:type="gramEnd"/>
      <w:r>
        <w:t xml:space="preserve">, whether patients are actively receiving anti-TB therapy at the time of death or not. For programmatic purposes, deaths occurring up to 90 days prior to TB notification should also be included, such as may occur when mycobacterial cultures become positive after death, or where the findings of a post-mortem examination </w:t>
      </w:r>
      <w:proofErr w:type="gramStart"/>
      <w:r>
        <w:t>indicate</w:t>
      </w:r>
      <w:proofErr w:type="gramEnd"/>
      <w:r>
        <w:t xml:space="preserve"> TB. </w:t>
      </w:r>
    </w:p>
    <w:p w14:paraId="47D73572" w14:textId="77777777" w:rsidR="007B081C" w:rsidRDefault="007B081C" w:rsidP="007B081C">
      <w:r>
        <w:t xml:space="preserve">This committee regards death occurring </w:t>
      </w:r>
      <w:proofErr w:type="gramStart"/>
      <w:r>
        <w:t>subsequent to</w:t>
      </w:r>
      <w:proofErr w:type="gramEnd"/>
      <w:r>
        <w:t xml:space="preserve"> completion of TB therapy as also being an important area for consideration. However, not all jurisdictions will have routine access to outcome data beyond successful completion of therapy, and data may be incomplete. While beyond the remit of this committee, we therefore encourage alternative approaches to assessment of post-TB outcomes in an Australian context including (but not limited to) mortality, such as by data linkage and/or longitudinal studies. </w:t>
      </w:r>
    </w:p>
    <w:p w14:paraId="68F1E07D" w14:textId="77777777" w:rsidR="000F55F7" w:rsidRDefault="000F55F7">
      <w:pPr>
        <w:rPr>
          <w:rFonts w:asciiTheme="majorHAnsi" w:eastAsiaTheme="majorEastAsia" w:hAnsiTheme="majorHAnsi" w:cstheme="majorBidi"/>
          <w:b/>
          <w:bCs/>
          <w:sz w:val="32"/>
          <w:szCs w:val="28"/>
        </w:rPr>
      </w:pPr>
      <w:r>
        <w:br w:type="page"/>
      </w:r>
    </w:p>
    <w:p w14:paraId="223E0F67" w14:textId="77777777" w:rsidR="000F55F7" w:rsidRPr="000F55F7" w:rsidRDefault="000F55F7" w:rsidP="000F55F7">
      <w:pPr>
        <w:pStyle w:val="CDIFigures"/>
      </w:pPr>
      <w:r w:rsidRPr="000F55F7">
        <w:rPr>
          <w:rStyle w:val="Strong"/>
          <w:b/>
          <w:bCs w:val="0"/>
        </w:rPr>
        <w:lastRenderedPageBreak/>
        <w:t>Figure 1: Timeframe for all-cause mortality recording of TB-associated deaths</w:t>
      </w:r>
    </w:p>
    <w:p w14:paraId="41E19CCA" w14:textId="77777777" w:rsidR="000F55F7" w:rsidRDefault="000F55F7" w:rsidP="000F55F7">
      <w:pPr>
        <w:rPr>
          <w:rFonts w:eastAsia="Times New Roman"/>
          <w:lang w:val="en-GB"/>
        </w:rPr>
      </w:pPr>
      <w:r>
        <w:rPr>
          <w:rFonts w:eastAsia="Times New Roman"/>
          <w:noProof/>
          <w:lang w:val="en-GB"/>
        </w:rPr>
        <w:drawing>
          <wp:inline distT="0" distB="0" distL="0" distR="0" wp14:anchorId="0748B7F8" wp14:editId="4029B5CE">
            <wp:extent cx="6629400" cy="3463436"/>
            <wp:effectExtent l="0" t="0" r="0" b="3810"/>
            <wp:docPr id="3" name="Picture 3" descr="This figure depicts the period in which tuberculosis mortality will be considered, from 90 days prior to notification to the end of the planned treatment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figure depicts the period in which tuberculosis mortality will be considered, from 90 days prior to notification to the end of the planned treatment peri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4996" cy="3482033"/>
                    </a:xfrm>
                    <a:prstGeom prst="rect">
                      <a:avLst/>
                    </a:prstGeom>
                    <a:noFill/>
                    <a:ln>
                      <a:noFill/>
                    </a:ln>
                  </pic:spPr>
                </pic:pic>
              </a:graphicData>
            </a:graphic>
          </wp:inline>
        </w:drawing>
      </w:r>
    </w:p>
    <w:p w14:paraId="262A3E91" w14:textId="55DBB66A" w:rsidR="007B081C" w:rsidRPr="007B081C" w:rsidRDefault="007B081C" w:rsidP="007B081C">
      <w:pPr>
        <w:pStyle w:val="Heading1"/>
      </w:pPr>
      <w:r w:rsidRPr="007B081C">
        <w:t xml:space="preserve">Committee plans for oversight/monitoring/review </w:t>
      </w:r>
    </w:p>
    <w:p w14:paraId="3DAF0696" w14:textId="77777777" w:rsidR="007B081C" w:rsidRDefault="007B081C" w:rsidP="007B081C">
      <w:r>
        <w:t xml:space="preserve">Following from this consensus, NTAC will adopt </w:t>
      </w:r>
      <w:proofErr w:type="gramStart"/>
      <w:r>
        <w:t>several</w:t>
      </w:r>
      <w:proofErr w:type="gramEnd"/>
      <w:r>
        <w:t xml:space="preserve"> strategies for ongoing review of TB-associated mortality. This statement will be distributed to jurisdictional TB program managers, </w:t>
      </w:r>
      <w:proofErr w:type="gramStart"/>
      <w:r>
        <w:t>in order to</w:t>
      </w:r>
      <w:proofErr w:type="gramEnd"/>
      <w:r>
        <w:t xml:space="preserve"> support inclusion of all appropriate episodes. NTAC will convene an annual meeting in which a summary of TB-related deaths will be presented for expert review, including classification of whether TB should be considered as the cause of death, a contributor to death, or unrelated to death, and interjurisdictional review focused on </w:t>
      </w:r>
      <w:proofErr w:type="gramStart"/>
      <w:r>
        <w:t>potentially-avoidable</w:t>
      </w:r>
      <w:proofErr w:type="gramEnd"/>
      <w:r>
        <w:t xml:space="preserve"> deaths. A voluntary data collection instrument has been developed to support jurisdictions in this </w:t>
      </w:r>
      <w:proofErr w:type="gramStart"/>
      <w:r>
        <w:t>process, and</w:t>
      </w:r>
      <w:proofErr w:type="gramEnd"/>
      <w:r>
        <w:t xml:space="preserve"> is attached as Appendix A. TB will be considered the cause of death if due to adverse effects to TB medications. Following classification, NTAC will also consider themes and </w:t>
      </w:r>
      <w:proofErr w:type="gramStart"/>
      <w:r>
        <w:t>potentially-remediable</w:t>
      </w:r>
      <w:proofErr w:type="gramEnd"/>
      <w:r>
        <w:t xml:space="preserve"> issues which may support jurisdictional responses to reduce TB mortality in future. Periodically, NTAC will produce summary reports addressing overall and thematic issues relating to TB mortality and interventions to improve outcomes.</w:t>
      </w:r>
    </w:p>
    <w:p w14:paraId="7E9C6E06" w14:textId="3732F061" w:rsidR="007B081C" w:rsidRPr="007B081C" w:rsidRDefault="007B081C" w:rsidP="007B081C">
      <w:pPr>
        <w:pStyle w:val="Heading1"/>
      </w:pPr>
      <w:r w:rsidRPr="007B081C">
        <w:t xml:space="preserve">Author </w:t>
      </w:r>
      <w:r w:rsidR="00FB1373">
        <w:t>d</w:t>
      </w:r>
      <w:r w:rsidRPr="007B081C">
        <w:t xml:space="preserve">etails </w:t>
      </w:r>
    </w:p>
    <w:p w14:paraId="5235CB99" w14:textId="613A9279" w:rsidR="007B081C" w:rsidRPr="007B081C" w:rsidRDefault="007B081C" w:rsidP="007B081C">
      <w:pPr>
        <w:pStyle w:val="Heading2"/>
      </w:pPr>
      <w:r w:rsidRPr="007B081C">
        <w:t xml:space="preserve">Corresponding </w:t>
      </w:r>
      <w:r w:rsidR="00FB1373">
        <w:t>a</w:t>
      </w:r>
      <w:r w:rsidRPr="007B081C">
        <w:t xml:space="preserve">uthor </w:t>
      </w:r>
    </w:p>
    <w:p w14:paraId="74D08A50" w14:textId="77777777" w:rsidR="007B081C" w:rsidRDefault="007B081C" w:rsidP="00013997">
      <w:pPr>
        <w:pStyle w:val="NoSpacing"/>
      </w:pPr>
      <w:r>
        <w:t xml:space="preserve">Professor Justin T Denholm </w:t>
      </w:r>
    </w:p>
    <w:p w14:paraId="7F57282E" w14:textId="77777777" w:rsidR="007B081C" w:rsidRDefault="007B081C" w:rsidP="00013997">
      <w:pPr>
        <w:pStyle w:val="NoSpacing"/>
      </w:pPr>
      <w:r>
        <w:t xml:space="preserve">Victorian Tuberculosis Program </w:t>
      </w:r>
    </w:p>
    <w:p w14:paraId="4DAD5622" w14:textId="77777777" w:rsidR="007B081C" w:rsidRDefault="007B081C" w:rsidP="00013997">
      <w:pPr>
        <w:pStyle w:val="NoSpacing"/>
      </w:pPr>
      <w:r>
        <w:t xml:space="preserve">Peter Doherty Institute of Infection and Immunity </w:t>
      </w:r>
    </w:p>
    <w:p w14:paraId="0DCE4613" w14:textId="77777777" w:rsidR="007B081C" w:rsidRDefault="007B081C" w:rsidP="00013997">
      <w:pPr>
        <w:pStyle w:val="NoSpacing"/>
      </w:pPr>
      <w:r>
        <w:t xml:space="preserve">792 Elizabeth Street, Melbourne Victoria 3055 </w:t>
      </w:r>
    </w:p>
    <w:p w14:paraId="3D62F3B6" w14:textId="77777777" w:rsidR="007B081C" w:rsidRDefault="007B081C" w:rsidP="00013997">
      <w:pPr>
        <w:pStyle w:val="NoSpacing"/>
      </w:pPr>
      <w:r>
        <w:t xml:space="preserve">Email: justin.denholm@mh.org.au </w:t>
      </w:r>
    </w:p>
    <w:p w14:paraId="182C586C" w14:textId="77777777" w:rsidR="007B081C" w:rsidRDefault="007B081C" w:rsidP="00013997">
      <w:pPr>
        <w:pStyle w:val="NoSpacing"/>
      </w:pPr>
      <w:r>
        <w:t>Phone: +61 3 9342 9428</w:t>
      </w:r>
    </w:p>
    <w:p w14:paraId="70542CEE" w14:textId="77777777" w:rsidR="00013997" w:rsidRDefault="00013997" w:rsidP="00013997">
      <w:pPr>
        <w:rPr>
          <w:rFonts w:asciiTheme="majorHAnsi" w:eastAsiaTheme="majorEastAsia" w:hAnsiTheme="majorHAnsi" w:cstheme="majorBidi"/>
          <w:sz w:val="32"/>
          <w:szCs w:val="28"/>
        </w:rPr>
      </w:pPr>
      <w:r>
        <w:br w:type="page"/>
      </w:r>
    </w:p>
    <w:p w14:paraId="7848EFC3" w14:textId="10FDB6A2" w:rsidR="007B081C" w:rsidRPr="007B081C" w:rsidRDefault="007B081C" w:rsidP="007B081C">
      <w:pPr>
        <w:pStyle w:val="Heading1"/>
      </w:pPr>
      <w:r w:rsidRPr="007B081C">
        <w:lastRenderedPageBreak/>
        <w:t xml:space="preserve">References </w:t>
      </w:r>
    </w:p>
    <w:p w14:paraId="21230573" w14:textId="77777777" w:rsidR="007B081C" w:rsidRPr="007B081C" w:rsidRDefault="007B081C" w:rsidP="007B081C">
      <w:pPr>
        <w:pStyle w:val="ListParagraph"/>
        <w:numPr>
          <w:ilvl w:val="0"/>
          <w:numId w:val="8"/>
        </w:numPr>
        <w:rPr>
          <w:rFonts w:eastAsia="Times New Roman"/>
        </w:rPr>
      </w:pPr>
      <w:r w:rsidRPr="007B081C">
        <w:rPr>
          <w:rFonts w:eastAsia="Times New Roman"/>
        </w:rPr>
        <w:t xml:space="preserve">Tok PSK, Liew SM, Wong LP, Razali A, Loganathan T, </w:t>
      </w:r>
      <w:proofErr w:type="spellStart"/>
      <w:r w:rsidRPr="007B081C">
        <w:rPr>
          <w:rFonts w:eastAsia="Times New Roman"/>
        </w:rPr>
        <w:t>Chinna</w:t>
      </w:r>
      <w:proofErr w:type="spellEnd"/>
      <w:r w:rsidRPr="007B081C">
        <w:rPr>
          <w:rFonts w:eastAsia="Times New Roman"/>
        </w:rPr>
        <w:t xml:space="preserve"> K et al. Determinants of unsuccessful treatment outcomes and mortality among tuberculosis patients in Malaysia: a registry-based cohort study. </w:t>
      </w:r>
      <w:proofErr w:type="spellStart"/>
      <w:r w:rsidRPr="00D713E2">
        <w:rPr>
          <w:rStyle w:val="Emphasis"/>
          <w:rFonts w:eastAsia="Times New Roman"/>
          <w:b w:val="0"/>
          <w:bCs w:val="0"/>
        </w:rPr>
        <w:t>PLoS</w:t>
      </w:r>
      <w:proofErr w:type="spellEnd"/>
      <w:r w:rsidRPr="00D713E2">
        <w:rPr>
          <w:rStyle w:val="Emphasis"/>
          <w:rFonts w:eastAsia="Times New Roman"/>
          <w:b w:val="0"/>
          <w:bCs w:val="0"/>
        </w:rPr>
        <w:t xml:space="preserve"> One</w:t>
      </w:r>
      <w:r w:rsidRPr="007B081C">
        <w:rPr>
          <w:rFonts w:eastAsia="Times New Roman"/>
        </w:rPr>
        <w:t>. 2020;15(4</w:t>
      </w:r>
      <w:proofErr w:type="gramStart"/>
      <w:r w:rsidRPr="007B081C">
        <w:rPr>
          <w:rFonts w:eastAsia="Times New Roman"/>
        </w:rPr>
        <w:t>):e</w:t>
      </w:r>
      <w:proofErr w:type="gramEnd"/>
      <w:r w:rsidRPr="007B081C">
        <w:rPr>
          <w:rFonts w:eastAsia="Times New Roman"/>
        </w:rPr>
        <w:t xml:space="preserve">0231986. </w:t>
      </w:r>
      <w:proofErr w:type="spellStart"/>
      <w:r w:rsidRPr="007B081C">
        <w:rPr>
          <w:rFonts w:eastAsia="Times New Roman"/>
        </w:rPr>
        <w:t>doi</w:t>
      </w:r>
      <w:proofErr w:type="spellEnd"/>
      <w:r w:rsidRPr="007B081C">
        <w:rPr>
          <w:rFonts w:eastAsia="Times New Roman"/>
        </w:rPr>
        <w:t xml:space="preserve">: https://doi.org/10.1371/journal.pone.0231986. </w:t>
      </w:r>
    </w:p>
    <w:p w14:paraId="5794DF1F" w14:textId="77777777" w:rsidR="007B081C" w:rsidRPr="007B081C" w:rsidRDefault="007B081C" w:rsidP="007B081C">
      <w:pPr>
        <w:pStyle w:val="ListParagraph"/>
        <w:numPr>
          <w:ilvl w:val="0"/>
          <w:numId w:val="8"/>
        </w:numPr>
        <w:rPr>
          <w:rFonts w:eastAsia="Times New Roman"/>
        </w:rPr>
      </w:pPr>
      <w:r w:rsidRPr="007B081C">
        <w:rPr>
          <w:rFonts w:eastAsia="Times New Roman"/>
        </w:rPr>
        <w:t xml:space="preserve">Dos Santos DT, Alves LS, </w:t>
      </w:r>
      <w:proofErr w:type="spellStart"/>
      <w:r w:rsidRPr="007B081C">
        <w:rPr>
          <w:rFonts w:eastAsia="Times New Roman"/>
        </w:rPr>
        <w:t>Arcoverde</w:t>
      </w:r>
      <w:proofErr w:type="spellEnd"/>
      <w:r w:rsidRPr="007B081C">
        <w:rPr>
          <w:rFonts w:eastAsia="Times New Roman"/>
        </w:rPr>
        <w:t xml:space="preserve"> MAM, Arroyo LH, Berra TZ, Ramos ACV et al. </w:t>
      </w:r>
      <w:proofErr w:type="gramStart"/>
      <w:r w:rsidRPr="007B081C">
        <w:rPr>
          <w:rFonts w:eastAsia="Times New Roman"/>
        </w:rPr>
        <w:t>Social</w:t>
      </w:r>
      <w:proofErr w:type="gramEnd"/>
      <w:r w:rsidRPr="007B081C">
        <w:rPr>
          <w:rFonts w:eastAsia="Times New Roman"/>
        </w:rPr>
        <w:t xml:space="preserve"> risk and its association with tuberculosis mortality in a context of high inequality in South Brazil: a geo-epidemiology analysis. </w:t>
      </w:r>
      <w:r w:rsidRPr="00D713E2">
        <w:rPr>
          <w:rStyle w:val="Emphasis"/>
          <w:rFonts w:eastAsia="Times New Roman"/>
          <w:b w:val="0"/>
          <w:bCs w:val="0"/>
        </w:rPr>
        <w:t>J Infect Public Health</w:t>
      </w:r>
      <w:r w:rsidRPr="007B081C">
        <w:rPr>
          <w:rFonts w:eastAsia="Times New Roman"/>
        </w:rPr>
        <w:t xml:space="preserve">. 2020;13(8):1148–55. </w:t>
      </w:r>
      <w:proofErr w:type="spellStart"/>
      <w:r w:rsidRPr="007B081C">
        <w:rPr>
          <w:rFonts w:eastAsia="Times New Roman"/>
        </w:rPr>
        <w:t>doi</w:t>
      </w:r>
      <w:proofErr w:type="spellEnd"/>
      <w:r w:rsidRPr="007B081C">
        <w:rPr>
          <w:rFonts w:eastAsia="Times New Roman"/>
        </w:rPr>
        <w:t xml:space="preserve">: https://doi.org/10.1016/j.jiph.2020.03.010. </w:t>
      </w:r>
    </w:p>
    <w:p w14:paraId="05409A02" w14:textId="77777777" w:rsidR="007B081C" w:rsidRPr="007B081C" w:rsidRDefault="007B081C" w:rsidP="007B081C">
      <w:pPr>
        <w:pStyle w:val="ListParagraph"/>
        <w:numPr>
          <w:ilvl w:val="0"/>
          <w:numId w:val="8"/>
        </w:numPr>
        <w:rPr>
          <w:rFonts w:eastAsia="Times New Roman"/>
        </w:rPr>
      </w:pPr>
      <w:r w:rsidRPr="007B081C">
        <w:rPr>
          <w:rFonts w:eastAsia="Times New Roman"/>
        </w:rPr>
        <w:t xml:space="preserve">MacNeil A, </w:t>
      </w:r>
      <w:proofErr w:type="spellStart"/>
      <w:r w:rsidRPr="007B081C">
        <w:rPr>
          <w:rFonts w:eastAsia="Times New Roman"/>
        </w:rPr>
        <w:t>Glaziou</w:t>
      </w:r>
      <w:proofErr w:type="spellEnd"/>
      <w:r w:rsidRPr="007B081C">
        <w:rPr>
          <w:rFonts w:eastAsia="Times New Roman"/>
        </w:rPr>
        <w:t xml:space="preserve"> P, </w:t>
      </w:r>
      <w:proofErr w:type="spellStart"/>
      <w:r w:rsidRPr="007B081C">
        <w:rPr>
          <w:rFonts w:eastAsia="Times New Roman"/>
        </w:rPr>
        <w:t>Sismanidis</w:t>
      </w:r>
      <w:proofErr w:type="spellEnd"/>
      <w:r w:rsidRPr="007B081C">
        <w:rPr>
          <w:rFonts w:eastAsia="Times New Roman"/>
        </w:rPr>
        <w:t xml:space="preserve"> C, Date A, Maloney S, Floyd K. Global epidemiology of tuberculosis and progress toward meeting global targets—worldwide, 2018. </w:t>
      </w:r>
      <w:r w:rsidRPr="00D713E2">
        <w:rPr>
          <w:rStyle w:val="Emphasis"/>
          <w:rFonts w:eastAsia="Times New Roman"/>
          <w:b w:val="0"/>
          <w:bCs w:val="0"/>
        </w:rPr>
        <w:t xml:space="preserve">MMWR </w:t>
      </w:r>
      <w:proofErr w:type="spellStart"/>
      <w:r w:rsidRPr="00D713E2">
        <w:rPr>
          <w:rStyle w:val="Emphasis"/>
          <w:rFonts w:eastAsia="Times New Roman"/>
          <w:b w:val="0"/>
          <w:bCs w:val="0"/>
        </w:rPr>
        <w:t>Morb</w:t>
      </w:r>
      <w:proofErr w:type="spellEnd"/>
      <w:r w:rsidRPr="00D713E2">
        <w:rPr>
          <w:rStyle w:val="Emphasis"/>
          <w:rFonts w:eastAsia="Times New Roman"/>
          <w:b w:val="0"/>
          <w:bCs w:val="0"/>
        </w:rPr>
        <w:t xml:space="preserve"> Mortal </w:t>
      </w:r>
      <w:proofErr w:type="spellStart"/>
      <w:r w:rsidRPr="00D713E2">
        <w:rPr>
          <w:rStyle w:val="Emphasis"/>
          <w:rFonts w:eastAsia="Times New Roman"/>
          <w:b w:val="0"/>
          <w:bCs w:val="0"/>
        </w:rPr>
        <w:t>Wkly</w:t>
      </w:r>
      <w:proofErr w:type="spellEnd"/>
      <w:r w:rsidRPr="00D713E2">
        <w:rPr>
          <w:rStyle w:val="Emphasis"/>
          <w:rFonts w:eastAsia="Times New Roman"/>
          <w:b w:val="0"/>
          <w:bCs w:val="0"/>
        </w:rPr>
        <w:t xml:space="preserve"> Rep</w:t>
      </w:r>
      <w:r w:rsidRPr="007B081C">
        <w:rPr>
          <w:rFonts w:eastAsia="Times New Roman"/>
        </w:rPr>
        <w:t xml:space="preserve">. 2020;69(11):281–5. </w:t>
      </w:r>
      <w:proofErr w:type="spellStart"/>
      <w:r w:rsidRPr="007B081C">
        <w:rPr>
          <w:rFonts w:eastAsia="Times New Roman"/>
        </w:rPr>
        <w:t>doi</w:t>
      </w:r>
      <w:proofErr w:type="spellEnd"/>
      <w:r w:rsidRPr="007B081C">
        <w:rPr>
          <w:rFonts w:eastAsia="Times New Roman"/>
        </w:rPr>
        <w:t xml:space="preserve">: https://doi.org/10.15585/mmwr.mm6911a2. </w:t>
      </w:r>
    </w:p>
    <w:p w14:paraId="1A60E7DD" w14:textId="77777777" w:rsidR="007B081C" w:rsidRPr="007B081C" w:rsidRDefault="007B081C" w:rsidP="007B081C">
      <w:pPr>
        <w:pStyle w:val="ListParagraph"/>
        <w:numPr>
          <w:ilvl w:val="0"/>
          <w:numId w:val="8"/>
        </w:numPr>
        <w:rPr>
          <w:rFonts w:eastAsia="Times New Roman"/>
        </w:rPr>
      </w:pPr>
      <w:r w:rsidRPr="007B081C">
        <w:rPr>
          <w:rFonts w:eastAsia="Times New Roman"/>
        </w:rPr>
        <w:t xml:space="preserve">Harding E. WHO global progress report on tuberculosis elimination. </w:t>
      </w:r>
      <w:r w:rsidRPr="00D713E2">
        <w:rPr>
          <w:rStyle w:val="Emphasis"/>
          <w:rFonts w:eastAsia="Times New Roman"/>
          <w:b w:val="0"/>
          <w:bCs w:val="0"/>
        </w:rPr>
        <w:t>Lancet Respir Med</w:t>
      </w:r>
      <w:r w:rsidRPr="007B081C">
        <w:rPr>
          <w:rFonts w:eastAsia="Times New Roman"/>
        </w:rPr>
        <w:t>. 2020;8(1):</w:t>
      </w:r>
      <w:proofErr w:type="gramStart"/>
      <w:r w:rsidRPr="007B081C">
        <w:rPr>
          <w:rFonts w:eastAsia="Times New Roman"/>
        </w:rPr>
        <w:t>19</w:t>
      </w:r>
      <w:proofErr w:type="gramEnd"/>
      <w:r w:rsidRPr="007B081C">
        <w:rPr>
          <w:rFonts w:eastAsia="Times New Roman"/>
        </w:rPr>
        <w:t xml:space="preserve">. </w:t>
      </w:r>
      <w:proofErr w:type="spellStart"/>
      <w:r w:rsidRPr="007B081C">
        <w:rPr>
          <w:rFonts w:eastAsia="Times New Roman"/>
        </w:rPr>
        <w:t>doi</w:t>
      </w:r>
      <w:proofErr w:type="spellEnd"/>
      <w:r w:rsidRPr="007B081C">
        <w:rPr>
          <w:rFonts w:eastAsia="Times New Roman"/>
        </w:rPr>
        <w:t xml:space="preserve">: https://doi.org/10.1016/S2213-2600(19)30418-7. </w:t>
      </w:r>
    </w:p>
    <w:p w14:paraId="12ABD86A" w14:textId="77777777" w:rsidR="007B081C" w:rsidRPr="007B081C" w:rsidRDefault="007B081C" w:rsidP="007B081C">
      <w:pPr>
        <w:pStyle w:val="ListParagraph"/>
        <w:numPr>
          <w:ilvl w:val="0"/>
          <w:numId w:val="8"/>
        </w:numPr>
        <w:rPr>
          <w:rFonts w:eastAsia="Times New Roman"/>
        </w:rPr>
      </w:pPr>
      <w:r w:rsidRPr="007B081C">
        <w:rPr>
          <w:rFonts w:eastAsia="Times New Roman"/>
        </w:rPr>
        <w:t xml:space="preserve">Svendsen MT, </w:t>
      </w:r>
      <w:proofErr w:type="spellStart"/>
      <w:r w:rsidRPr="007B081C">
        <w:rPr>
          <w:rFonts w:eastAsia="Times New Roman"/>
        </w:rPr>
        <w:t>Bøggild</w:t>
      </w:r>
      <w:proofErr w:type="spellEnd"/>
      <w:r w:rsidRPr="007B081C">
        <w:rPr>
          <w:rFonts w:eastAsia="Times New Roman"/>
        </w:rPr>
        <w:t xml:space="preserve"> H, </w:t>
      </w:r>
      <w:proofErr w:type="spellStart"/>
      <w:r w:rsidRPr="007B081C">
        <w:rPr>
          <w:rFonts w:eastAsia="Times New Roman"/>
        </w:rPr>
        <w:t>Skals</w:t>
      </w:r>
      <w:proofErr w:type="spellEnd"/>
      <w:r w:rsidRPr="007B081C">
        <w:rPr>
          <w:rFonts w:eastAsia="Times New Roman"/>
        </w:rPr>
        <w:t xml:space="preserve"> RK, Mortensen RN, </w:t>
      </w:r>
      <w:proofErr w:type="spellStart"/>
      <w:r w:rsidRPr="007B081C">
        <w:rPr>
          <w:rFonts w:eastAsia="Times New Roman"/>
        </w:rPr>
        <w:t>Kragholm</w:t>
      </w:r>
      <w:proofErr w:type="spellEnd"/>
      <w:r w:rsidRPr="007B081C">
        <w:rPr>
          <w:rFonts w:eastAsia="Times New Roman"/>
        </w:rPr>
        <w:t xml:space="preserve"> K, Hansen SM et al. Uncertainty in classification of death from fatal myocardial infarction: a nationwide analysis of regional variation in incidence and diagnostic support. </w:t>
      </w:r>
      <w:proofErr w:type="spellStart"/>
      <w:r w:rsidRPr="00D713E2">
        <w:rPr>
          <w:rStyle w:val="Emphasis"/>
          <w:rFonts w:eastAsia="Times New Roman"/>
          <w:b w:val="0"/>
          <w:bCs w:val="0"/>
        </w:rPr>
        <w:t>PLoS</w:t>
      </w:r>
      <w:proofErr w:type="spellEnd"/>
      <w:r w:rsidRPr="00D713E2">
        <w:rPr>
          <w:rStyle w:val="Emphasis"/>
          <w:rFonts w:eastAsia="Times New Roman"/>
          <w:b w:val="0"/>
          <w:bCs w:val="0"/>
        </w:rPr>
        <w:t xml:space="preserve"> One</w:t>
      </w:r>
      <w:r w:rsidRPr="007B081C">
        <w:rPr>
          <w:rFonts w:eastAsia="Times New Roman"/>
        </w:rPr>
        <w:t>. 2020;15(7</w:t>
      </w:r>
      <w:proofErr w:type="gramStart"/>
      <w:r w:rsidRPr="007B081C">
        <w:rPr>
          <w:rFonts w:eastAsia="Times New Roman"/>
        </w:rPr>
        <w:t>):e</w:t>
      </w:r>
      <w:proofErr w:type="gramEnd"/>
      <w:r w:rsidRPr="007B081C">
        <w:rPr>
          <w:rFonts w:eastAsia="Times New Roman"/>
        </w:rPr>
        <w:t xml:space="preserve">0236322. </w:t>
      </w:r>
      <w:proofErr w:type="spellStart"/>
      <w:r w:rsidRPr="007B081C">
        <w:rPr>
          <w:rFonts w:eastAsia="Times New Roman"/>
        </w:rPr>
        <w:t>doi</w:t>
      </w:r>
      <w:proofErr w:type="spellEnd"/>
      <w:r w:rsidRPr="007B081C">
        <w:rPr>
          <w:rFonts w:eastAsia="Times New Roman"/>
        </w:rPr>
        <w:t xml:space="preserve">: https://doi.org/10.1371/journal.pone.0236322. </w:t>
      </w:r>
    </w:p>
    <w:p w14:paraId="659A06CA" w14:textId="77777777" w:rsidR="007B081C" w:rsidRPr="007B081C" w:rsidRDefault="007B081C" w:rsidP="007B081C">
      <w:pPr>
        <w:pStyle w:val="ListParagraph"/>
        <w:numPr>
          <w:ilvl w:val="0"/>
          <w:numId w:val="8"/>
        </w:numPr>
        <w:rPr>
          <w:rFonts w:eastAsia="Times New Roman"/>
        </w:rPr>
      </w:pPr>
      <w:r w:rsidRPr="007B081C">
        <w:rPr>
          <w:rFonts w:eastAsia="Times New Roman"/>
        </w:rPr>
        <w:t xml:space="preserve">Bird S. How to complete a death certificate – a guide for GPs. </w:t>
      </w:r>
      <w:r w:rsidRPr="00D713E2">
        <w:rPr>
          <w:rStyle w:val="Emphasis"/>
          <w:rFonts w:eastAsia="Times New Roman"/>
          <w:b w:val="0"/>
          <w:bCs w:val="0"/>
        </w:rPr>
        <w:t>Aust Fam Physician</w:t>
      </w:r>
      <w:r w:rsidRPr="007B081C">
        <w:rPr>
          <w:rFonts w:eastAsia="Times New Roman"/>
        </w:rPr>
        <w:t xml:space="preserve">. 2011;40(6)446–9. </w:t>
      </w:r>
    </w:p>
    <w:p w14:paraId="61035AA2" w14:textId="77777777" w:rsidR="007B081C" w:rsidRPr="007B081C" w:rsidRDefault="007B081C" w:rsidP="007B081C">
      <w:pPr>
        <w:pStyle w:val="ListParagraph"/>
        <w:numPr>
          <w:ilvl w:val="0"/>
          <w:numId w:val="8"/>
        </w:numPr>
        <w:rPr>
          <w:rFonts w:eastAsia="Times New Roman"/>
        </w:rPr>
      </w:pPr>
      <w:r w:rsidRPr="007B081C">
        <w:rPr>
          <w:rFonts w:eastAsia="Times New Roman"/>
        </w:rPr>
        <w:t xml:space="preserve">Gallivan MD, </w:t>
      </w:r>
      <w:proofErr w:type="spellStart"/>
      <w:r w:rsidRPr="007B081C">
        <w:rPr>
          <w:rFonts w:eastAsia="Times New Roman"/>
        </w:rPr>
        <w:t>Lofy</w:t>
      </w:r>
      <w:proofErr w:type="spellEnd"/>
      <w:r w:rsidRPr="007B081C">
        <w:rPr>
          <w:rFonts w:eastAsia="Times New Roman"/>
        </w:rPr>
        <w:t xml:space="preserve"> KH, </w:t>
      </w:r>
      <w:proofErr w:type="spellStart"/>
      <w:r w:rsidRPr="007B081C">
        <w:rPr>
          <w:rFonts w:eastAsia="Times New Roman"/>
        </w:rPr>
        <w:t>Goldbaum</w:t>
      </w:r>
      <w:proofErr w:type="spellEnd"/>
      <w:r w:rsidRPr="007B081C">
        <w:rPr>
          <w:rFonts w:eastAsia="Times New Roman"/>
        </w:rPr>
        <w:t xml:space="preserve"> GM. Use of death certificates to </w:t>
      </w:r>
      <w:proofErr w:type="gramStart"/>
      <w:r w:rsidRPr="007B081C">
        <w:rPr>
          <w:rFonts w:eastAsia="Times New Roman"/>
        </w:rPr>
        <w:t>identify</w:t>
      </w:r>
      <w:proofErr w:type="gramEnd"/>
      <w:r w:rsidRPr="007B081C">
        <w:rPr>
          <w:rFonts w:eastAsia="Times New Roman"/>
        </w:rPr>
        <w:t xml:space="preserve"> tuberculosis-related deaths in Washington State. J Public Health </w:t>
      </w:r>
      <w:proofErr w:type="spellStart"/>
      <w:r w:rsidRPr="007B081C">
        <w:rPr>
          <w:rFonts w:eastAsia="Times New Roman"/>
        </w:rPr>
        <w:t>Manag</w:t>
      </w:r>
      <w:proofErr w:type="spellEnd"/>
      <w:r w:rsidRPr="007B081C">
        <w:rPr>
          <w:rFonts w:eastAsia="Times New Roman"/>
        </w:rPr>
        <w:t xml:space="preserve"> </w:t>
      </w:r>
      <w:proofErr w:type="spellStart"/>
      <w:r w:rsidRPr="007B081C">
        <w:rPr>
          <w:rFonts w:eastAsia="Times New Roman"/>
        </w:rPr>
        <w:t>Pract</w:t>
      </w:r>
      <w:proofErr w:type="spellEnd"/>
      <w:r w:rsidRPr="007B081C">
        <w:rPr>
          <w:rFonts w:eastAsia="Times New Roman"/>
        </w:rPr>
        <w:t xml:space="preserve">. 2017;23(2): e12–5. </w:t>
      </w:r>
      <w:proofErr w:type="spellStart"/>
      <w:r w:rsidRPr="007B081C">
        <w:rPr>
          <w:rFonts w:eastAsia="Times New Roman"/>
        </w:rPr>
        <w:t>doi</w:t>
      </w:r>
      <w:proofErr w:type="spellEnd"/>
      <w:r w:rsidRPr="007B081C">
        <w:rPr>
          <w:rFonts w:eastAsia="Times New Roman"/>
        </w:rPr>
        <w:t xml:space="preserve">: https://doi.org/10.1097/PHH.0b013e3182aaa1d8. </w:t>
      </w:r>
    </w:p>
    <w:p w14:paraId="58B8DE3A" w14:textId="77777777" w:rsidR="007B081C" w:rsidRPr="007B081C" w:rsidRDefault="007B081C" w:rsidP="007B081C">
      <w:pPr>
        <w:pStyle w:val="ListParagraph"/>
        <w:numPr>
          <w:ilvl w:val="0"/>
          <w:numId w:val="8"/>
        </w:numPr>
        <w:rPr>
          <w:rFonts w:eastAsia="Times New Roman"/>
        </w:rPr>
      </w:pPr>
      <w:r w:rsidRPr="007B081C">
        <w:rPr>
          <w:rFonts w:eastAsia="Times New Roman"/>
        </w:rPr>
        <w:t xml:space="preserve">Dale K, Tay E, </w:t>
      </w:r>
      <w:proofErr w:type="spellStart"/>
      <w:r w:rsidRPr="007B081C">
        <w:rPr>
          <w:rFonts w:eastAsia="Times New Roman"/>
        </w:rPr>
        <w:t>Trevan</w:t>
      </w:r>
      <w:proofErr w:type="spellEnd"/>
      <w:r w:rsidRPr="007B081C">
        <w:rPr>
          <w:rFonts w:eastAsia="Times New Roman"/>
        </w:rPr>
        <w:t xml:space="preserve"> P, Denholm JT. Mortality among tuberculosis cases in Victoria, 2002–2013: case fatality and factors associated with death. </w:t>
      </w:r>
      <w:r w:rsidRPr="00D713E2">
        <w:rPr>
          <w:rStyle w:val="Emphasis"/>
          <w:rFonts w:eastAsia="Times New Roman"/>
          <w:b w:val="0"/>
          <w:bCs w:val="0"/>
        </w:rPr>
        <w:t xml:space="preserve">Int J </w:t>
      </w:r>
      <w:proofErr w:type="spellStart"/>
      <w:r w:rsidRPr="00D713E2">
        <w:rPr>
          <w:rStyle w:val="Emphasis"/>
          <w:rFonts w:eastAsia="Times New Roman"/>
          <w:b w:val="0"/>
          <w:bCs w:val="0"/>
        </w:rPr>
        <w:t>Tuberc</w:t>
      </w:r>
      <w:proofErr w:type="spellEnd"/>
      <w:r w:rsidRPr="00D713E2">
        <w:rPr>
          <w:rStyle w:val="Emphasis"/>
          <w:rFonts w:eastAsia="Times New Roman"/>
          <w:b w:val="0"/>
          <w:bCs w:val="0"/>
        </w:rPr>
        <w:t xml:space="preserve"> Lung Dis</w:t>
      </w:r>
      <w:r w:rsidRPr="007B081C">
        <w:rPr>
          <w:rFonts w:eastAsia="Times New Roman"/>
        </w:rPr>
        <w:t xml:space="preserve">. 2016;20(4): 515–23. </w:t>
      </w:r>
      <w:proofErr w:type="spellStart"/>
      <w:r w:rsidRPr="007B081C">
        <w:rPr>
          <w:rFonts w:eastAsia="Times New Roman"/>
        </w:rPr>
        <w:t>doi</w:t>
      </w:r>
      <w:proofErr w:type="spellEnd"/>
      <w:r w:rsidRPr="007B081C">
        <w:rPr>
          <w:rFonts w:eastAsia="Times New Roman"/>
        </w:rPr>
        <w:t xml:space="preserve">: https://doi.org/10.5588/ijtld.15.0659. </w:t>
      </w:r>
    </w:p>
    <w:p w14:paraId="47324E0E" w14:textId="77777777" w:rsidR="007B081C" w:rsidRPr="007B081C" w:rsidRDefault="007B081C" w:rsidP="007B081C">
      <w:pPr>
        <w:pStyle w:val="ListParagraph"/>
        <w:numPr>
          <w:ilvl w:val="0"/>
          <w:numId w:val="8"/>
        </w:numPr>
        <w:rPr>
          <w:rFonts w:eastAsia="Times New Roman"/>
        </w:rPr>
      </w:pPr>
      <w:r w:rsidRPr="007B081C">
        <w:rPr>
          <w:rFonts w:eastAsia="Times New Roman"/>
        </w:rPr>
        <w:t xml:space="preserve">Denholm JT, Marais BJ, </w:t>
      </w:r>
      <w:proofErr w:type="spellStart"/>
      <w:r w:rsidRPr="007B081C">
        <w:rPr>
          <w:rFonts w:eastAsia="Times New Roman"/>
        </w:rPr>
        <w:t>Donnan</w:t>
      </w:r>
      <w:proofErr w:type="spellEnd"/>
      <w:r w:rsidRPr="007B081C">
        <w:rPr>
          <w:rFonts w:eastAsia="Times New Roman"/>
        </w:rPr>
        <w:t xml:space="preserve"> EJ, Waring J, </w:t>
      </w:r>
      <w:proofErr w:type="spellStart"/>
      <w:r w:rsidRPr="007B081C">
        <w:rPr>
          <w:rFonts w:eastAsia="Times New Roman"/>
        </w:rPr>
        <w:t>Stapledon</w:t>
      </w:r>
      <w:proofErr w:type="spellEnd"/>
      <w:r w:rsidRPr="007B081C">
        <w:rPr>
          <w:rFonts w:eastAsia="Times New Roman"/>
        </w:rPr>
        <w:t xml:space="preserve"> R, Taylor JW et al. Tuberculosis mortality: quantifying agreement in clinical cause of death assessments. </w:t>
      </w:r>
      <w:r w:rsidRPr="00D713E2">
        <w:rPr>
          <w:rStyle w:val="Emphasis"/>
          <w:rFonts w:eastAsia="Times New Roman"/>
          <w:b w:val="0"/>
          <w:bCs w:val="0"/>
        </w:rPr>
        <w:t>Aust NZ J Public Health</w:t>
      </w:r>
      <w:r w:rsidRPr="007B081C">
        <w:rPr>
          <w:rFonts w:eastAsia="Times New Roman"/>
        </w:rPr>
        <w:t xml:space="preserve">. 2022. </w:t>
      </w:r>
      <w:proofErr w:type="spellStart"/>
      <w:r w:rsidRPr="007B081C">
        <w:rPr>
          <w:rFonts w:eastAsia="Times New Roman"/>
        </w:rPr>
        <w:t>doi</w:t>
      </w:r>
      <w:proofErr w:type="spellEnd"/>
      <w:r w:rsidRPr="007B081C">
        <w:rPr>
          <w:rFonts w:eastAsia="Times New Roman"/>
        </w:rPr>
        <w:t>: https://doi.org/10.1111/1753-6405.13204.</w:t>
      </w:r>
    </w:p>
    <w:p w14:paraId="1C63D69C" w14:textId="77777777" w:rsidR="00013997" w:rsidRDefault="00013997">
      <w:pPr>
        <w:rPr>
          <w:rFonts w:asciiTheme="majorHAnsi" w:eastAsiaTheme="majorEastAsia" w:hAnsiTheme="majorHAnsi" w:cstheme="majorBidi"/>
          <w:b/>
          <w:bCs/>
          <w:sz w:val="32"/>
          <w:szCs w:val="28"/>
        </w:rPr>
        <w:sectPr w:rsidR="00013997" w:rsidSect="00A30C37">
          <w:headerReference w:type="default" r:id="rId10"/>
          <w:footerReference w:type="default" r:id="rId11"/>
          <w:footerReference w:type="first" r:id="rId12"/>
          <w:footnotePr>
            <w:numFmt w:val="lowerRoman"/>
          </w:footnotePr>
          <w:pgSz w:w="11906" w:h="16838"/>
          <w:pgMar w:top="720" w:right="720" w:bottom="1134" w:left="720" w:header="709" w:footer="284" w:gutter="0"/>
          <w:cols w:space="708"/>
          <w:titlePg/>
          <w:docGrid w:linePitch="360"/>
        </w:sectPr>
      </w:pPr>
    </w:p>
    <w:p w14:paraId="6FE95A02" w14:textId="0C951D0F" w:rsidR="007B081C" w:rsidRPr="007B081C" w:rsidRDefault="007B081C" w:rsidP="00013997">
      <w:pPr>
        <w:pStyle w:val="Heading1"/>
        <w:spacing w:before="0" w:after="200" w:line="240" w:lineRule="auto"/>
      </w:pPr>
      <w:r w:rsidRPr="007B081C">
        <w:lastRenderedPageBreak/>
        <w:t>Appendix A: Data collection instrument</w:t>
      </w:r>
    </w:p>
    <w:p w14:paraId="3CE8BEDB" w14:textId="1F121888" w:rsidR="008B5348" w:rsidRDefault="00013997" w:rsidP="00013997">
      <w:pPr>
        <w:pStyle w:val="CDIFigures"/>
        <w:spacing w:line="240" w:lineRule="auto"/>
        <w:rPr>
          <w:rStyle w:val="A10"/>
        </w:rPr>
        <w:sectPr w:rsidR="008B5348" w:rsidSect="000F55F7">
          <w:footnotePr>
            <w:numFmt w:val="lowerRoman"/>
          </w:footnotePr>
          <w:pgSz w:w="16838" w:h="11906" w:orient="landscape"/>
          <w:pgMar w:top="720" w:right="720" w:bottom="720" w:left="1134" w:header="709" w:footer="284" w:gutter="0"/>
          <w:cols w:space="708"/>
          <w:titlePg/>
          <w:docGrid w:linePitch="360"/>
        </w:sectPr>
      </w:pPr>
      <w:r>
        <w:rPr>
          <w:rFonts w:eastAsia="Times New Roman"/>
          <w:noProof/>
          <w:lang w:val="en-GB"/>
        </w:rPr>
        <w:drawing>
          <wp:inline distT="0" distB="0" distL="0" distR="0" wp14:anchorId="4C53532B" wp14:editId="1B3070D6">
            <wp:extent cx="7946774" cy="5779135"/>
            <wp:effectExtent l="0" t="0" r="0" b="0"/>
            <wp:docPr id="2" name="Picture 2" descr="This appendix shows examples of the information healthcare services may find helpful to collect in assessing contributors to tuberculosis mort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appendix shows examples of the information healthcare services may find helpful to collect in assessing contributors to tuberculosis mortality."/>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40"/>
                    <a:stretch>
                      <a:fillRect/>
                    </a:stretch>
                  </pic:blipFill>
                  <pic:spPr bwMode="auto">
                    <a:xfrm>
                      <a:off x="0" y="0"/>
                      <a:ext cx="7951177" cy="5782337"/>
                    </a:xfrm>
                    <a:prstGeom prst="rect">
                      <a:avLst/>
                    </a:prstGeom>
                    <a:ln>
                      <a:noFill/>
                    </a:ln>
                    <a:extLst>
                      <a:ext uri="{53640926-AAD7-44D8-BBD7-CCE9431645EC}">
                        <a14:shadowObscured xmlns:a14="http://schemas.microsoft.com/office/drawing/2010/main"/>
                      </a:ext>
                    </a:extLst>
                  </pic:spPr>
                </pic:pic>
              </a:graphicData>
            </a:graphic>
          </wp:inline>
        </w:drawing>
      </w:r>
    </w:p>
    <w:p w14:paraId="47EEB033"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AEA69C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DE985B5" w14:textId="77777777" w:rsidR="000A5F42" w:rsidRPr="000606CC" w:rsidRDefault="000A5F42" w:rsidP="000A5F42">
      <w:pPr>
        <w:pStyle w:val="NoSpacing"/>
        <w:rPr>
          <w:rStyle w:val="URI"/>
          <w:rFonts w:cstheme="minorHAnsi"/>
          <w:sz w:val="20"/>
          <w:szCs w:val="18"/>
        </w:rPr>
      </w:pPr>
    </w:p>
    <w:p w14:paraId="02BB5F5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6945B711" w14:textId="77777777" w:rsidR="000A5F42" w:rsidRPr="000606CC" w:rsidRDefault="000A5F42" w:rsidP="000A5F42">
      <w:pPr>
        <w:pStyle w:val="NoSpacing"/>
        <w:rPr>
          <w:rStyle w:val="Strong"/>
          <w:rFonts w:cstheme="minorHAnsi"/>
          <w:sz w:val="20"/>
          <w:szCs w:val="18"/>
        </w:rPr>
      </w:pPr>
    </w:p>
    <w:p w14:paraId="328CE9E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62F74FB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4BADE4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FEF053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1FA8EA20" w14:textId="77777777" w:rsidR="000A5F42" w:rsidRPr="000606CC" w:rsidRDefault="000A5F42" w:rsidP="000A5F42">
      <w:pPr>
        <w:pStyle w:val="NoSpacing"/>
        <w:rPr>
          <w:rStyle w:val="Strong"/>
          <w:rFonts w:cstheme="minorHAnsi"/>
          <w:sz w:val="20"/>
          <w:szCs w:val="18"/>
        </w:rPr>
      </w:pPr>
    </w:p>
    <w:p w14:paraId="2E2A95DB" w14:textId="7613466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2C3D04C" w14:textId="77777777" w:rsidR="000A5F42" w:rsidRPr="000606CC" w:rsidRDefault="000A5F42" w:rsidP="000A5F42">
      <w:pPr>
        <w:pStyle w:val="NoSpacing"/>
        <w:rPr>
          <w:rStyle w:val="Strong"/>
          <w:rFonts w:cstheme="minorHAnsi"/>
          <w:sz w:val="20"/>
          <w:szCs w:val="18"/>
        </w:rPr>
      </w:pPr>
    </w:p>
    <w:p w14:paraId="1D1AB001"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23DED947" w14:textId="77777777" w:rsidR="000A5F42" w:rsidRPr="000606CC" w:rsidRDefault="000A5F42" w:rsidP="000A5F42">
      <w:pPr>
        <w:pStyle w:val="NoSpacing"/>
        <w:rPr>
          <w:rStyle w:val="Strong"/>
          <w:rFonts w:cstheme="minorHAnsi"/>
          <w:sz w:val="20"/>
          <w:szCs w:val="18"/>
        </w:rPr>
      </w:pPr>
    </w:p>
    <w:p w14:paraId="37423423" w14:textId="67A66A1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1D6F72A" w14:textId="77777777" w:rsidR="000A5F42" w:rsidRPr="000606CC" w:rsidRDefault="000A5F42" w:rsidP="000A5F42">
      <w:pPr>
        <w:pStyle w:val="NoSpacing"/>
        <w:rPr>
          <w:rStyle w:val="Strong"/>
          <w:rFonts w:cstheme="minorHAnsi"/>
          <w:sz w:val="20"/>
          <w:szCs w:val="18"/>
        </w:rPr>
      </w:pPr>
    </w:p>
    <w:p w14:paraId="2ED4AE92" w14:textId="18FB23A2"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039E63E" w14:textId="608352F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3842A2C7" w14:textId="77777777" w:rsidR="000A5F42" w:rsidRPr="000606CC" w:rsidRDefault="000A5F42" w:rsidP="000A5F42">
      <w:pPr>
        <w:pStyle w:val="NoSpacing"/>
        <w:pBdr>
          <w:bottom w:val="single" w:sz="6" w:space="1" w:color="auto"/>
        </w:pBdr>
        <w:rPr>
          <w:rStyle w:val="Strong"/>
          <w:rFonts w:cstheme="minorHAnsi"/>
          <w:sz w:val="12"/>
          <w:szCs w:val="18"/>
        </w:rPr>
      </w:pPr>
    </w:p>
    <w:p w14:paraId="6F6B865B" w14:textId="77777777" w:rsidR="000A5F42" w:rsidRPr="000606CC" w:rsidRDefault="000A5F42" w:rsidP="000A5F42">
      <w:pPr>
        <w:pStyle w:val="NoSpacing"/>
        <w:rPr>
          <w:rFonts w:cstheme="minorHAnsi"/>
          <w:sz w:val="20"/>
          <w:szCs w:val="18"/>
        </w:rPr>
      </w:pPr>
    </w:p>
    <w:p w14:paraId="0B0E37A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3B793551" w14:textId="77777777" w:rsidR="000A5F42" w:rsidRPr="000606CC" w:rsidRDefault="000A5F42" w:rsidP="000A5F42">
      <w:pPr>
        <w:pStyle w:val="NoSpacing"/>
        <w:rPr>
          <w:rFonts w:cstheme="minorHAnsi"/>
          <w:sz w:val="20"/>
          <w:szCs w:val="18"/>
        </w:rPr>
      </w:pPr>
    </w:p>
    <w:p w14:paraId="33FF3ABF"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17D6E7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1F3A42">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24033368" w14:textId="25E50F33"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9D7D966" w14:textId="77777777" w:rsidR="000A5F42" w:rsidRPr="000606CC" w:rsidRDefault="000A5F42" w:rsidP="000A5F42">
      <w:pPr>
        <w:pStyle w:val="NoSpacing"/>
        <w:rPr>
          <w:rFonts w:cstheme="minorHAnsi"/>
          <w:sz w:val="20"/>
          <w:szCs w:val="18"/>
        </w:rPr>
      </w:pPr>
    </w:p>
    <w:p w14:paraId="58BBF5D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DD4415B" w14:textId="735575E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2DC15A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2036859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6B01CB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D49918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A610970" w14:textId="77777777" w:rsidR="000A5F42" w:rsidRPr="000606CC" w:rsidRDefault="000A5F42" w:rsidP="000A5F42">
      <w:pPr>
        <w:pStyle w:val="NoSpacing"/>
        <w:rPr>
          <w:rStyle w:val="Strong"/>
          <w:rFonts w:cstheme="minorHAnsi"/>
          <w:sz w:val="20"/>
          <w:szCs w:val="18"/>
        </w:rPr>
      </w:pPr>
    </w:p>
    <w:p w14:paraId="57B3F144"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2D3BA6E7" w14:textId="77777777" w:rsidR="000A5F42" w:rsidRPr="000606CC" w:rsidRDefault="000A5F42" w:rsidP="000A5F42">
      <w:pPr>
        <w:pStyle w:val="NoSpacing"/>
        <w:rPr>
          <w:rStyle w:val="Strong"/>
          <w:rFonts w:cstheme="minorHAnsi"/>
          <w:sz w:val="20"/>
          <w:szCs w:val="18"/>
        </w:rPr>
      </w:pPr>
    </w:p>
    <w:p w14:paraId="647EC6A7" w14:textId="33721B9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E97F398" w14:textId="77777777" w:rsidR="000A5F42" w:rsidRPr="000606CC" w:rsidRDefault="000A5F42" w:rsidP="000A5F42">
      <w:pPr>
        <w:pStyle w:val="NoSpacing"/>
        <w:rPr>
          <w:rStyle w:val="URI"/>
          <w:rFonts w:cstheme="minorHAnsi"/>
          <w:sz w:val="20"/>
          <w:szCs w:val="18"/>
        </w:rPr>
      </w:pPr>
    </w:p>
    <w:p w14:paraId="566902E2" w14:textId="5D3C6B0F"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14:paraId="15A06AE6" w14:textId="77777777" w:rsidR="001B37B8" w:rsidRPr="00E92237" w:rsidRDefault="001B37B8" w:rsidP="001B37B8">
      <w:pPr>
        <w:rPr>
          <w:rFonts w:cs="Myriad Pro"/>
          <w:color w:val="211D1E"/>
          <w:sz w:val="20"/>
          <w:szCs w:val="20"/>
        </w:rPr>
      </w:pPr>
    </w:p>
    <w:sectPr w:rsidR="001B37B8" w:rsidRPr="00E92237" w:rsidSect="002B75A9">
      <w:headerReference w:type="default" r:id="rId22"/>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A06D0" w14:textId="77777777" w:rsidR="001F3A42" w:rsidRDefault="001F3A42" w:rsidP="00E54DBA">
      <w:r>
        <w:separator/>
      </w:r>
    </w:p>
    <w:p w14:paraId="4F0412BB" w14:textId="77777777" w:rsidR="001F3A42" w:rsidRDefault="001F3A42"/>
    <w:p w14:paraId="6A4F8079" w14:textId="77777777" w:rsidR="001F3A42" w:rsidRDefault="001F3A42" w:rsidP="008714B0"/>
  </w:endnote>
  <w:endnote w:type="continuationSeparator" w:id="0">
    <w:p w14:paraId="3D571C35" w14:textId="77777777" w:rsidR="001F3A42" w:rsidRDefault="001F3A42" w:rsidP="00E54DBA">
      <w:r>
        <w:continuationSeparator/>
      </w:r>
    </w:p>
    <w:p w14:paraId="51E1E9E8" w14:textId="77777777" w:rsidR="001F3A42" w:rsidRDefault="001F3A42"/>
    <w:p w14:paraId="62D73C26" w14:textId="77777777" w:rsidR="001F3A42" w:rsidRDefault="001F3A4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A528342C-7473-4160-88E9-7FCC2F58B8F6}"/>
    <w:embedBold r:id="rId2" w:fontKey="{8BA38304-7C47-4790-9D82-EC85CA3552AC}"/>
    <w:embedItalic r:id="rId3" w:fontKey="{80690BF8-DE7F-4AFA-B5C7-D835824215B4}"/>
    <w:embedBoldItalic r:id="rId4" w:fontKey="{22A55DF8-A382-4F83-BC6B-0B618B6F3893}"/>
  </w:font>
  <w:font w:name="Cambria">
    <w:panose1 w:val="02040503050406030204"/>
    <w:charset w:val="00"/>
    <w:family w:val="roman"/>
    <w:pitch w:val="variable"/>
    <w:sig w:usb0="E00006FF" w:usb1="420024FF" w:usb2="02000000" w:usb3="00000000" w:csb0="0000019F" w:csb1="00000000"/>
    <w:embedRegular r:id="rId5" w:fontKey="{461092D3-C634-430E-BBBB-6F32D960E686}"/>
    <w:embedBold r:id="rId6" w:fontKey="{4DD9DB84-CFEC-4E71-ACA1-D3A8C80363B9}"/>
    <w:embedItalic r:id="rId7" w:fontKey="{DC6CB996-AF22-4453-B05B-F132EF926A53}"/>
    <w:embedBoldItalic r:id="rId8" w:fontKey="{DA195C3E-A2F5-4D20-8803-115DB5A8B24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6EF4F037-3D9D-4FBD-8090-A93D11C02B2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556C3" w14:textId="6DC924A5"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D713E2">
      <w:rPr>
        <w:i/>
        <w:sz w:val="18"/>
      </w:rPr>
      <w:t>Commun</w:t>
    </w:r>
    <w:proofErr w:type="spellEnd"/>
    <w:r w:rsidR="00CE342B" w:rsidRPr="00D713E2">
      <w:rPr>
        <w:i/>
        <w:sz w:val="18"/>
      </w:rPr>
      <w:t xml:space="preserve"> Dis </w:t>
    </w:r>
    <w:proofErr w:type="spellStart"/>
    <w:r w:rsidR="00CE342B" w:rsidRPr="00D713E2">
      <w:rPr>
        <w:i/>
        <w:sz w:val="18"/>
      </w:rPr>
      <w:t>Intell</w:t>
    </w:r>
    <w:proofErr w:type="spellEnd"/>
    <w:r w:rsidR="00CE342B" w:rsidRPr="00D713E2">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1F3A42">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1F3A42">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971811">
      <w:rPr>
        <w:sz w:val="18"/>
      </w:rPr>
      <w:t>https://doi.org/10.33321/cdi.2022.46.72</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971811">
      <w:rPr>
        <w:sz w:val="18"/>
      </w:rPr>
      <w:t>20/10/2022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961CE" w14:textId="3AF74285"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D713E2">
      <w:rPr>
        <w:i/>
        <w:sz w:val="18"/>
      </w:rPr>
      <w:t>Commun</w:t>
    </w:r>
    <w:proofErr w:type="spellEnd"/>
    <w:r w:rsidR="00A164D5" w:rsidRPr="00D713E2">
      <w:rPr>
        <w:i/>
        <w:sz w:val="18"/>
      </w:rPr>
      <w:t xml:space="preserve"> Dis </w:t>
    </w:r>
    <w:proofErr w:type="spellStart"/>
    <w:r w:rsidR="00A164D5" w:rsidRPr="00D713E2">
      <w:rPr>
        <w:i/>
        <w:sz w:val="18"/>
      </w:rPr>
      <w:t>Intell</w:t>
    </w:r>
    <w:proofErr w:type="spellEnd"/>
    <w:r w:rsidR="00A164D5" w:rsidRPr="00D713E2">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1F3A42">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1F3A42">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971811">
      <w:rPr>
        <w:sz w:val="18"/>
      </w:rPr>
      <w:t>https://doi.org/10.33321/cdi.2022.46.72</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971811">
      <w:rPr>
        <w:sz w:val="18"/>
      </w:rPr>
      <w:t>20/10/2022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1C861" w14:textId="77777777" w:rsidR="001F3A42" w:rsidRPr="00B91FB5" w:rsidRDefault="001F3A42" w:rsidP="00B91FB5">
      <w:pPr>
        <w:spacing w:after="0" w:line="240" w:lineRule="auto"/>
        <w:rPr>
          <w:sz w:val="18"/>
          <w:szCs w:val="18"/>
        </w:rPr>
      </w:pPr>
      <w:r w:rsidRPr="00B91FB5">
        <w:rPr>
          <w:sz w:val="18"/>
          <w:szCs w:val="18"/>
        </w:rPr>
        <w:separator/>
      </w:r>
    </w:p>
  </w:footnote>
  <w:footnote w:type="continuationSeparator" w:id="0">
    <w:p w14:paraId="1AF14A40" w14:textId="77777777" w:rsidR="001F3A42" w:rsidRDefault="001F3A42" w:rsidP="00E54DBA">
      <w:r>
        <w:continuationSeparator/>
      </w:r>
    </w:p>
  </w:footnote>
  <w:footnote w:type="continuationNotice" w:id="1">
    <w:p w14:paraId="43D99BA7" w14:textId="77777777" w:rsidR="001F3A42" w:rsidRPr="00224EFF" w:rsidRDefault="001F3A42" w:rsidP="00224EFF">
      <w:pPr>
        <w:pStyle w:val="Footer"/>
      </w:pPr>
    </w:p>
  </w:footnote>
  <w:footnote w:id="2">
    <w:p w14:paraId="4FDFD0CB" w14:textId="293968E8" w:rsidR="008B6D93" w:rsidRPr="008B6D93" w:rsidRDefault="008B6D93" w:rsidP="008B6D93">
      <w:pPr>
        <w:pStyle w:val="CDIfootnotes"/>
      </w:pPr>
      <w:r w:rsidRPr="008B6D93">
        <w:rPr>
          <w:rStyle w:val="FootnoteReference"/>
          <w:vertAlign w:val="baseline"/>
        </w:rPr>
        <w:footnoteRef/>
      </w:r>
      <w:r w:rsidRPr="008B6D93">
        <w:tab/>
        <w:t>ntac.secretariat@health.gov.au.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2AB61" w14:textId="2A15A11C" w:rsidR="00257484" w:rsidRPr="00A153B6" w:rsidRDefault="009809D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93A56">
          <w:t>Policy and guidelines</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67F17"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628685FD" wp14:editId="5DCF223C">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1FF743D"/>
    <w:multiLevelType w:val="hybridMultilevel"/>
    <w:tmpl w:val="3F3EC1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9DE64BB"/>
    <w:multiLevelType w:val="multilevel"/>
    <w:tmpl w:val="4EBE5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6"/>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defaultTabStop w:val="720"/>
  <w:noPunctuationKerning/>
  <w:characterSpacingControl w:val="doNotCompress"/>
  <w:hdrShapeDefaults>
    <o:shapedefaults v:ext="edit" spidmax="1024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A42"/>
    <w:rsid w:val="00000B5B"/>
    <w:rsid w:val="00001611"/>
    <w:rsid w:val="000104A8"/>
    <w:rsid w:val="0001246E"/>
    <w:rsid w:val="000124B1"/>
    <w:rsid w:val="00013997"/>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0F55F7"/>
    <w:rsid w:val="00113D58"/>
    <w:rsid w:val="001200CB"/>
    <w:rsid w:val="001378A3"/>
    <w:rsid w:val="00155582"/>
    <w:rsid w:val="00161590"/>
    <w:rsid w:val="00171CC0"/>
    <w:rsid w:val="001723AC"/>
    <w:rsid w:val="00175494"/>
    <w:rsid w:val="00175629"/>
    <w:rsid w:val="001830EC"/>
    <w:rsid w:val="00183534"/>
    <w:rsid w:val="001A4A96"/>
    <w:rsid w:val="001A5D05"/>
    <w:rsid w:val="001A796C"/>
    <w:rsid w:val="001B0D03"/>
    <w:rsid w:val="001B2614"/>
    <w:rsid w:val="001B37B8"/>
    <w:rsid w:val="001B552F"/>
    <w:rsid w:val="001C0893"/>
    <w:rsid w:val="001C1303"/>
    <w:rsid w:val="001C70B2"/>
    <w:rsid w:val="001D37C7"/>
    <w:rsid w:val="001D6888"/>
    <w:rsid w:val="001E4E1D"/>
    <w:rsid w:val="001F3A42"/>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081C"/>
    <w:rsid w:val="007B7854"/>
    <w:rsid w:val="007C56A1"/>
    <w:rsid w:val="007C6454"/>
    <w:rsid w:val="007E01E0"/>
    <w:rsid w:val="007E5CA0"/>
    <w:rsid w:val="007F0B93"/>
    <w:rsid w:val="007F2ECA"/>
    <w:rsid w:val="00805D0C"/>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B6D93"/>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71811"/>
    <w:rsid w:val="00973289"/>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50210"/>
    <w:rsid w:val="00B53955"/>
    <w:rsid w:val="00B6408A"/>
    <w:rsid w:val="00B6478A"/>
    <w:rsid w:val="00B714B8"/>
    <w:rsid w:val="00B82C2C"/>
    <w:rsid w:val="00B8720B"/>
    <w:rsid w:val="00B876EF"/>
    <w:rsid w:val="00B91FB5"/>
    <w:rsid w:val="00B93A56"/>
    <w:rsid w:val="00BA4697"/>
    <w:rsid w:val="00BB5378"/>
    <w:rsid w:val="00BC0BD3"/>
    <w:rsid w:val="00BD0107"/>
    <w:rsid w:val="00BE0C33"/>
    <w:rsid w:val="00BE262C"/>
    <w:rsid w:val="00BE4C25"/>
    <w:rsid w:val="00BE6C3D"/>
    <w:rsid w:val="00C07606"/>
    <w:rsid w:val="00C12542"/>
    <w:rsid w:val="00C130EE"/>
    <w:rsid w:val="00C17A72"/>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13E2"/>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B1373"/>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4800BF2"/>
  <w15:docId w15:val="{B1E74F9F-3746-4F2A-8B4E-4A4320E16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Pa4">
    <w:name w:val="Pa4"/>
    <w:basedOn w:val="Normal"/>
    <w:next w:val="Normal"/>
    <w:uiPriority w:val="99"/>
    <w:rsid w:val="008B6D93"/>
    <w:pPr>
      <w:autoSpaceDE w:val="0"/>
      <w:autoSpaceDN w:val="0"/>
      <w:adjustRightInd w:val="0"/>
      <w:spacing w:after="0" w:line="241" w:lineRule="atLeast"/>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73401444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1720</Words>
  <Characters>11300</Characters>
  <Application>Microsoft Office Word</Application>
  <DocSecurity>0</DocSecurity>
  <Lines>94</Lines>
  <Paragraphs>25</Paragraphs>
  <ScaleCrop>false</ScaleCrop>
  <HeadingPairs>
    <vt:vector size="2" baseType="variant">
      <vt:variant>
        <vt:lpstr>Title</vt:lpstr>
      </vt:variant>
      <vt:variant>
        <vt:i4>1</vt:i4>
      </vt:variant>
    </vt:vector>
  </HeadingPairs>
  <TitlesOfParts>
    <vt:vector size="1" baseType="lpstr">
      <vt:lpstr>Communicable Diseases Intelligence - Communicable Diseases Intelligence - Not everything that can be counted counts: defining and evaluating tuberculosis mortality in Australia</vt:lpstr>
    </vt:vector>
  </TitlesOfParts>
  <Company>Australian Government, Department of Health</Company>
  <LinksUpToDate>false</LinksUpToDate>
  <CharactersWithSpaces>12995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Communicable Diseases Intelligence - Not everything that can be counted counts: defining and evaluating tuberculosis mortality in Australia</dc:title>
  <dc:subject>This article describes current and planned future approaches to classification of death associated with tuberculosis in Australia, and documents new policy and evaluation plans from the National Tuberculosis Advisory Committee.</dc:subject>
  <dc:creator>Justin T Denholm on behalf of the National Tuberculosis Advisory Committee</dc:creator>
  <dc:description>© Commonwealth of Australia CC BY-NC-ND ISSN: 2209-6051 (Online)</dc:description>
  <cp:lastModifiedBy>YOUSEFI, Kasra</cp:lastModifiedBy>
  <cp:revision>4</cp:revision>
  <cp:lastPrinted>2018-05-10T02:19:00Z</cp:lastPrinted>
  <dcterms:created xsi:type="dcterms:W3CDTF">2022-10-17T00:25:00Z</dcterms:created>
  <dcterms:modified xsi:type="dcterms:W3CDTF">2022-10-17T00:33:00Z</dcterms:modified>
  <cp:category>Policy and guidelines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20/10/2022</vt:lpwstr>
  </property>
  <property fmtid="{D5CDD505-2E9C-101B-9397-08002B2CF9AE}" pid="5" name="DOI">
    <vt:lpwstr>https://doi.org/10.33321/cdi.2022.46.72</vt:lpwstr>
  </property>
</Properties>
</file>