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3DCAF72" w14:textId="77777777" w:rsidR="00637DBD" w:rsidRDefault="00637DBD" w:rsidP="007410B5">
      <w:pPr>
        <w:pStyle w:val="Title"/>
        <w:rPr>
          <w:rFonts w:eastAsia="Times New Roman"/>
          <w:sz w:val="48"/>
          <w:szCs w:val="48"/>
        </w:rPr>
      </w:pPr>
      <w:r>
        <w:rPr>
          <w:rFonts w:eastAsia="Times New Roman"/>
        </w:rPr>
        <w:t xml:space="preserve">Consensus statement on the use of a four-month treatment regimen for drug susceptible tuberculosis in children (&lt; 10 years of age) with uncomplicated disease </w:t>
      </w:r>
    </w:p>
    <w:p w14:paraId="0443785E" w14:textId="77777777" w:rsidR="00637DBD" w:rsidRDefault="00637DBD" w:rsidP="001521AF">
      <w:pPr>
        <w:rPr>
          <w:rFonts w:eastAsia="Times New Roman"/>
        </w:rPr>
      </w:pPr>
      <w:r>
        <w:rPr>
          <w:rFonts w:eastAsia="Times New Roman"/>
        </w:rPr>
        <w:t xml:space="preserve">Endorsed by the Australian and New Zealand Paediatric Infectious Diseases (ANZPID) interest group of the Australasian Society of Infectious Diseases (ASID) and the National Tuberculosis Advisory Committee (NTAC) on behalf of the Communicable Diseases Network of Australia (CDNA) </w:t>
      </w:r>
    </w:p>
    <w:p w14:paraId="2B6D5A5C" w14:textId="77777777" w:rsidR="00637DBD" w:rsidRPr="001521AF" w:rsidRDefault="00637DBD" w:rsidP="001521AF">
      <w:pPr>
        <w:pStyle w:val="Heading1"/>
      </w:pPr>
      <w:r w:rsidRPr="001521AF">
        <w:t xml:space="preserve">Background </w:t>
      </w:r>
    </w:p>
    <w:p w14:paraId="1D303558" w14:textId="77777777" w:rsidR="00637DBD" w:rsidRDefault="00637DBD" w:rsidP="001521AF">
      <w:r>
        <w:t xml:space="preserve">The recommended minimum duration for the treatment of drug-susceptible tuberculosis (TB) used to be six months. The standard six-month regimen for children includes a two-month intensive phase using isoniazid (H), rifampicin (R) and pyrazinamide (Z), with ethambutol (E) added if the patient has pulmonary TB with a high bacillary load (lung cavities) or in the presence of significant immune compromise, and a four-month continuation phase using HR. However, the standard six-month (so-called ‘short course’) treatment regimen (2HRZ(E)/4HR) is long and disruptive and finding a shorter treatment course with similar or improved efficacy has been the ‘holy grail’ of TB treatment research. Recent randomised controlled trials (RCTs) that assessed shorter four-month treatment regimens, in patients with drug-susceptible (DS) TB, have had promising results and require urgent consideration. </w:t>
      </w:r>
    </w:p>
    <w:p w14:paraId="5D7B341A" w14:textId="77777777" w:rsidR="00637DBD" w:rsidRDefault="00637DBD" w:rsidP="001521AF">
      <w:r>
        <w:t>The first study assessed a regimen consisting of a two-month intensive phase using H, rifapentine (P), Z and moxifloxacin (M), followed by a two-month continuation phase using HPM in adolescents (≥ 12 years) and adults.</w:t>
      </w:r>
      <w:r>
        <w:rPr>
          <w:vertAlign w:val="superscript"/>
        </w:rPr>
        <w:t>1</w:t>
      </w:r>
      <w:r>
        <w:t xml:space="preserve"> This regimen (2HPZM/2HPM) was found to be non-inferior to the traditional six-month regimen (2HRZE/4HR) using a 6% non-inferiority margin. However, primary and secondary outcomes were consistently less favourable than the standard 6-month regimen, without crossing the 6% non-inferiority margin. Given Food and Drug Administration (FDA) registration and ready availability of rifapentine in the United States of America (USA), this regimen is now endorsed by the Centres for Disease Control and Prevention (CDC)</w:t>
      </w:r>
      <w:r>
        <w:rPr>
          <w:vertAlign w:val="superscript"/>
        </w:rPr>
        <w:t>2</w:t>
      </w:r>
      <w:r>
        <w:t xml:space="preserve"> as a first-line TB treatment option in people 12 years of age and older with drug-susceptible pulmonary TB, given that it is as effective as the standard six-month regimen, but more convenient and faster. </w:t>
      </w:r>
    </w:p>
    <w:p w14:paraId="5A8AC00E" w14:textId="77777777" w:rsidR="00637DBD" w:rsidRDefault="00637DBD" w:rsidP="001521AF">
      <w:r>
        <w:t>The second study (the SHINE trial) included children aged 3 months to 16 years. The SHINE trial assessed a regimen consisting of a standard two-month intensive phase followed by a two-month (rather than the traditional four-month) continuation phase using the same drugs as the standard six-month regimen (2HRZ(E)/2HR).</w:t>
      </w:r>
      <w:r>
        <w:rPr>
          <w:vertAlign w:val="superscript"/>
        </w:rPr>
        <w:t>3</w:t>
      </w:r>
      <w:r>
        <w:t xml:space="preserve"> Only children with non-severe TB were included. Non-severe TB was defined as peripheral lymph node disease (in isolation) or pulmonary TB confined to less than one lobe of the lung with no cavities, intra-thoracic lymph node involvement without radiologically visible or clinically significant airway obstruction, no signs of disseminated (miliary) TB and no complex pleural effusion. The shorter four-month regimen demonstrated non-inferior outcomes (using a similar 6% non-inferiority margin) compared to the traditional six-month regimen, but in this instance all primary and secondary outcomes showed equivalent or more favourable outcomes than the standard six-month regimen. </w:t>
      </w:r>
    </w:p>
    <w:p w14:paraId="17F6C788" w14:textId="77777777" w:rsidR="00637DBD" w:rsidRDefault="00637DBD" w:rsidP="001521AF">
      <w:r>
        <w:t>In recognition of these two studies the most recently updated World Health Organization (WHO) guidelines include the following new recommendations:</w:t>
      </w:r>
      <w:r>
        <w:rPr>
          <w:vertAlign w:val="superscript"/>
        </w:rPr>
        <w:t>4,5</w:t>
      </w:r>
      <w:r>
        <w:t xml:space="preserve"> </w:t>
      </w:r>
    </w:p>
    <w:p w14:paraId="71517C34" w14:textId="77777777" w:rsidR="00637DBD" w:rsidRPr="001521AF" w:rsidRDefault="00637DBD" w:rsidP="001521AF">
      <w:pPr>
        <w:pStyle w:val="ListParagraph"/>
        <w:numPr>
          <w:ilvl w:val="0"/>
          <w:numId w:val="9"/>
        </w:numPr>
        <w:rPr>
          <w:rFonts w:eastAsia="Times New Roman"/>
        </w:rPr>
      </w:pPr>
      <w:r w:rsidRPr="001521AF">
        <w:rPr>
          <w:rFonts w:eastAsia="Times New Roman"/>
        </w:rPr>
        <w:t xml:space="preserve">Patients aged 12 years or older with pulmonary DS-TB may receive a four-month regimen of isoniazid, rifapentine, moxifloxacin and pyrazinamide (2HPMZ/2HPM). (Conditional recommendation, moderate certainty of evidence); and </w:t>
      </w:r>
    </w:p>
    <w:p w14:paraId="5E16C1E3" w14:textId="77777777" w:rsidR="00637DBD" w:rsidRPr="001521AF" w:rsidRDefault="00637DBD" w:rsidP="001521AF">
      <w:pPr>
        <w:pStyle w:val="ListParagraph"/>
        <w:numPr>
          <w:ilvl w:val="0"/>
          <w:numId w:val="9"/>
        </w:numPr>
        <w:rPr>
          <w:rFonts w:eastAsia="Times New Roman"/>
        </w:rPr>
      </w:pPr>
      <w:r w:rsidRPr="001521AF">
        <w:rPr>
          <w:rFonts w:eastAsia="Times New Roman"/>
        </w:rPr>
        <w:lastRenderedPageBreak/>
        <w:t xml:space="preserve">In children and adolescents aged between 3 months and 16 years with non-severe TB (without suspicion or evidence of multidrug- or rifampicin-resistant TB [MDR/RR-TB]), a four-month treatment regimen (2HRZ(E)/2HR) should be used. (Strong recommendation, moderate certainty of evidence). </w:t>
      </w:r>
    </w:p>
    <w:p w14:paraId="2A1909FE" w14:textId="77777777" w:rsidR="00637DBD" w:rsidRPr="00337A9E" w:rsidRDefault="00637DBD" w:rsidP="001521AF">
      <w:pPr>
        <w:pStyle w:val="CDIFigures"/>
        <w:rPr>
          <w:b w:val="0"/>
          <w:bCs/>
        </w:rPr>
      </w:pPr>
      <w:r w:rsidRPr="00337A9E">
        <w:rPr>
          <w:b w:val="0"/>
          <w:bCs/>
        </w:rPr>
        <w:t>Table 1 provides a concise overview of current WHO recommendations.</w:t>
      </w:r>
      <w:r w:rsidRPr="00337A9E">
        <w:rPr>
          <w:b w:val="0"/>
          <w:bCs/>
          <w:vertAlign w:val="superscript"/>
        </w:rPr>
        <w:t>4</w:t>
      </w:r>
    </w:p>
    <w:p w14:paraId="723251FA" w14:textId="77777777" w:rsidR="005F6D08" w:rsidRDefault="005F6D08" w:rsidP="005F6D08">
      <w:pPr>
        <w:pStyle w:val="NormalWeb"/>
        <w:rPr>
          <w:lang w:val="en-GB"/>
        </w:rPr>
      </w:pPr>
      <w:r>
        <w:rPr>
          <w:rStyle w:val="Strong"/>
          <w:lang w:val="en-GB"/>
        </w:rPr>
        <w:t>Table 1: Guide for regimen selection for drug-susceptible tuberculosis (TB)</w:t>
      </w:r>
      <w:r w:rsidRPr="00BB4635">
        <w:rPr>
          <w:rStyle w:val="Strong"/>
          <w:vertAlign w:val="superscript"/>
          <w:lang w:val="en-GB"/>
        </w:rPr>
        <w:t>a</w:t>
      </w:r>
      <w:r>
        <w:rPr>
          <w:lang w:val="en-GB"/>
        </w:rPr>
        <w:t xml:space="preserve"> </w:t>
      </w:r>
    </w:p>
    <w:tbl>
      <w:tblPr>
        <w:tblStyle w:val="CDI-StandardTable"/>
        <w:tblW w:w="0" w:type="auto"/>
        <w:tblCellMar>
          <w:left w:w="113" w:type="dxa"/>
          <w:right w:w="113" w:type="dxa"/>
        </w:tblCellMar>
        <w:tblLook w:val="04A0" w:firstRow="1" w:lastRow="0" w:firstColumn="1" w:lastColumn="0" w:noHBand="0" w:noVBand="1"/>
      </w:tblPr>
      <w:tblGrid>
        <w:gridCol w:w="2677"/>
        <w:gridCol w:w="1795"/>
        <w:gridCol w:w="2859"/>
        <w:gridCol w:w="1000"/>
        <w:gridCol w:w="1162"/>
        <w:gridCol w:w="973"/>
      </w:tblGrid>
      <w:tr w:rsidR="005F6D08" w14:paraId="5E9ADBCD" w14:textId="77777777" w:rsidTr="005F6D08">
        <w:trPr>
          <w:cnfStyle w:val="100000000000" w:firstRow="1" w:lastRow="0" w:firstColumn="0" w:lastColumn="0" w:oddVBand="0" w:evenVBand="0" w:oddHBand="0" w:evenHBand="0" w:firstRowFirstColumn="0" w:firstRowLastColumn="0" w:lastRowFirstColumn="0" w:lastRowLastColumn="0"/>
          <w:tblHeader/>
        </w:trPr>
        <w:tc>
          <w:tcPr>
            <w:tcW w:w="0" w:type="auto"/>
            <w:vMerge w:val="restart"/>
            <w:hideMark/>
          </w:tcPr>
          <w:p w14:paraId="0F7FD75D" w14:textId="77777777" w:rsidR="005F6D08" w:rsidRDefault="005F6D08" w:rsidP="004522C6">
            <w:pPr>
              <w:pStyle w:val="NormalWeb"/>
              <w:rPr>
                <w:lang w:val="en-GB"/>
              </w:rPr>
            </w:pPr>
            <w:r>
              <w:rPr>
                <w:lang w:val="en-GB"/>
              </w:rPr>
              <w:t>Regimen</w:t>
            </w:r>
            <w:r w:rsidRPr="00337A9E">
              <w:rPr>
                <w:vertAlign w:val="superscript"/>
                <w:lang w:val="en-GB"/>
              </w:rPr>
              <w:t>b</w:t>
            </w:r>
          </w:p>
        </w:tc>
        <w:tc>
          <w:tcPr>
            <w:tcW w:w="0" w:type="auto"/>
            <w:gridSpan w:val="5"/>
            <w:hideMark/>
          </w:tcPr>
          <w:p w14:paraId="3675C1DC" w14:textId="77777777" w:rsidR="005F6D08" w:rsidRDefault="005F6D08" w:rsidP="004522C6">
            <w:pPr>
              <w:pStyle w:val="NormalWeb"/>
              <w:rPr>
                <w:lang w:val="en-GB"/>
              </w:rPr>
            </w:pPr>
            <w:r>
              <w:rPr>
                <w:lang w:val="en-GB"/>
              </w:rPr>
              <w:t>Age</w:t>
            </w:r>
            <w:r w:rsidRPr="00337A9E">
              <w:rPr>
                <w:vertAlign w:val="superscript"/>
                <w:lang w:val="en-GB"/>
              </w:rPr>
              <w:t>c</w:t>
            </w:r>
          </w:p>
        </w:tc>
      </w:tr>
      <w:tr w:rsidR="005F6D08" w14:paraId="5DA25B22" w14:textId="77777777" w:rsidTr="005F6D08">
        <w:trPr>
          <w:cnfStyle w:val="100000000000" w:firstRow="1" w:lastRow="0" w:firstColumn="0" w:lastColumn="0" w:oddVBand="0" w:evenVBand="0" w:oddHBand="0" w:evenHBand="0" w:firstRowFirstColumn="0" w:firstRowLastColumn="0" w:lastRowFirstColumn="0" w:lastRowLastColumn="0"/>
          <w:tblHeader/>
        </w:trPr>
        <w:tc>
          <w:tcPr>
            <w:tcW w:w="0" w:type="auto"/>
            <w:vMerge/>
            <w:tcBorders>
              <w:bottom w:val="single" w:sz="4" w:space="0" w:color="auto"/>
            </w:tcBorders>
            <w:hideMark/>
          </w:tcPr>
          <w:p w14:paraId="75EF413A" w14:textId="77777777" w:rsidR="005F6D08" w:rsidRDefault="005F6D08" w:rsidP="004522C6">
            <w:pPr>
              <w:rPr>
                <w:sz w:val="24"/>
                <w:szCs w:val="24"/>
                <w:lang w:val="en-GB"/>
              </w:rPr>
            </w:pPr>
          </w:p>
        </w:tc>
        <w:tc>
          <w:tcPr>
            <w:tcW w:w="0" w:type="auto"/>
            <w:tcBorders>
              <w:bottom w:val="single" w:sz="4" w:space="0" w:color="auto"/>
            </w:tcBorders>
            <w:hideMark/>
          </w:tcPr>
          <w:p w14:paraId="76A654A3" w14:textId="77777777" w:rsidR="005F6D08" w:rsidRDefault="005F6D08" w:rsidP="004522C6">
            <w:pPr>
              <w:pStyle w:val="NormalWeb"/>
              <w:rPr>
                <w:lang w:val="en-GB"/>
              </w:rPr>
            </w:pPr>
            <w:r>
              <w:rPr>
                <w:lang w:val="en-GB"/>
              </w:rPr>
              <w:t>0–3 months</w:t>
            </w:r>
          </w:p>
        </w:tc>
        <w:tc>
          <w:tcPr>
            <w:tcW w:w="0" w:type="auto"/>
            <w:tcBorders>
              <w:bottom w:val="single" w:sz="4" w:space="0" w:color="auto"/>
            </w:tcBorders>
            <w:hideMark/>
          </w:tcPr>
          <w:p w14:paraId="6609FA1B" w14:textId="77777777" w:rsidR="005F6D08" w:rsidRDefault="005F6D08" w:rsidP="004522C6">
            <w:pPr>
              <w:pStyle w:val="NormalWeb"/>
              <w:rPr>
                <w:lang w:val="en-GB"/>
              </w:rPr>
            </w:pPr>
            <w:r>
              <w:rPr>
                <w:lang w:val="en-GB"/>
              </w:rPr>
              <w:t>3 months – 10 years</w:t>
            </w:r>
          </w:p>
        </w:tc>
        <w:tc>
          <w:tcPr>
            <w:tcW w:w="0" w:type="auto"/>
            <w:tcBorders>
              <w:bottom w:val="single" w:sz="4" w:space="0" w:color="auto"/>
            </w:tcBorders>
            <w:hideMark/>
          </w:tcPr>
          <w:p w14:paraId="27CCD89E" w14:textId="77777777" w:rsidR="005F6D08" w:rsidRDefault="005F6D08" w:rsidP="004522C6">
            <w:pPr>
              <w:pStyle w:val="NormalWeb"/>
              <w:rPr>
                <w:lang w:val="en-GB"/>
              </w:rPr>
            </w:pPr>
            <w:r>
              <w:rPr>
                <w:lang w:val="en-GB"/>
              </w:rPr>
              <w:t>10–12 years</w:t>
            </w:r>
          </w:p>
        </w:tc>
        <w:tc>
          <w:tcPr>
            <w:tcW w:w="0" w:type="auto"/>
            <w:tcBorders>
              <w:bottom w:val="single" w:sz="4" w:space="0" w:color="auto"/>
            </w:tcBorders>
            <w:hideMark/>
          </w:tcPr>
          <w:p w14:paraId="789EF412" w14:textId="77777777" w:rsidR="005F6D08" w:rsidRDefault="005F6D08" w:rsidP="004522C6">
            <w:pPr>
              <w:pStyle w:val="NormalWeb"/>
              <w:rPr>
                <w:lang w:val="en-GB"/>
              </w:rPr>
            </w:pPr>
            <w:r>
              <w:rPr>
                <w:lang w:val="en-GB"/>
              </w:rPr>
              <w:t>12–16 years</w:t>
            </w:r>
          </w:p>
        </w:tc>
        <w:tc>
          <w:tcPr>
            <w:tcW w:w="0" w:type="auto"/>
            <w:tcBorders>
              <w:bottom w:val="single" w:sz="4" w:space="0" w:color="auto"/>
            </w:tcBorders>
            <w:hideMark/>
          </w:tcPr>
          <w:p w14:paraId="05064C1B" w14:textId="77777777" w:rsidR="005F6D08" w:rsidRDefault="005F6D08" w:rsidP="004522C6">
            <w:pPr>
              <w:pStyle w:val="NormalWeb"/>
              <w:rPr>
                <w:lang w:val="en-GB"/>
              </w:rPr>
            </w:pPr>
            <w:r>
              <w:rPr>
                <w:lang w:val="en-GB"/>
              </w:rPr>
              <w:t>&gt; 16 years</w:t>
            </w:r>
          </w:p>
        </w:tc>
      </w:tr>
      <w:tr w:rsidR="005F6D08" w14:paraId="3CF9858F" w14:textId="77777777" w:rsidTr="00C00C2A">
        <w:tc>
          <w:tcPr>
            <w:tcW w:w="0" w:type="auto"/>
            <w:tcBorders>
              <w:top w:val="single" w:sz="4" w:space="0" w:color="auto"/>
              <w:left w:val="single" w:sz="4" w:space="0" w:color="auto"/>
              <w:bottom w:val="single" w:sz="4" w:space="0" w:color="auto"/>
              <w:right w:val="single" w:sz="4" w:space="0" w:color="auto"/>
            </w:tcBorders>
            <w:shd w:val="clear" w:color="auto" w:fill="FDF0E4"/>
            <w:vAlign w:val="top"/>
            <w:hideMark/>
          </w:tcPr>
          <w:p w14:paraId="388F1173" w14:textId="77777777" w:rsidR="005F6D08" w:rsidRDefault="005F6D08" w:rsidP="00C00C2A">
            <w:pPr>
              <w:pStyle w:val="NormalWeb"/>
              <w:jc w:val="left"/>
              <w:rPr>
                <w:lang w:val="en-GB"/>
              </w:rPr>
            </w:pPr>
            <w:r>
              <w:rPr>
                <w:lang w:val="en-GB"/>
              </w:rPr>
              <w:t>2HRZ(E)/4HR</w:t>
            </w:r>
          </w:p>
        </w:tc>
        <w:tc>
          <w:tcPr>
            <w:tcW w:w="0" w:type="auto"/>
            <w:gridSpan w:val="2"/>
            <w:tcBorders>
              <w:top w:val="single" w:sz="4" w:space="0" w:color="auto"/>
              <w:left w:val="single" w:sz="4" w:space="0" w:color="auto"/>
              <w:bottom w:val="single" w:sz="4" w:space="0" w:color="auto"/>
              <w:right w:val="single" w:sz="4" w:space="0" w:color="auto"/>
            </w:tcBorders>
            <w:shd w:val="clear" w:color="auto" w:fill="FDF0E4"/>
            <w:vAlign w:val="top"/>
            <w:hideMark/>
          </w:tcPr>
          <w:p w14:paraId="639D4A68" w14:textId="77777777" w:rsidR="005F6D08" w:rsidRDefault="005F6D08" w:rsidP="00C00C2A">
            <w:pPr>
              <w:pStyle w:val="NormalWeb"/>
              <w:jc w:val="left"/>
              <w:rPr>
                <w:lang w:val="en-GB"/>
              </w:rPr>
            </w:pPr>
            <w:r>
              <w:rPr>
                <w:lang w:val="en-GB"/>
              </w:rPr>
              <w:t>Ethambutol should be added in settings with a high background prevalence of isoniazid resistance or HIV infection or in CLHIV</w:t>
            </w:r>
          </w:p>
        </w:tc>
        <w:tc>
          <w:tcPr>
            <w:tcW w:w="0" w:type="auto"/>
            <w:gridSpan w:val="3"/>
            <w:tcBorders>
              <w:top w:val="single" w:sz="4" w:space="0" w:color="auto"/>
              <w:left w:val="single" w:sz="4" w:space="0" w:color="auto"/>
              <w:bottom w:val="single" w:sz="4" w:space="0" w:color="auto"/>
              <w:right w:val="single" w:sz="4" w:space="0" w:color="auto"/>
            </w:tcBorders>
            <w:shd w:val="clear" w:color="auto" w:fill="FDF0E4"/>
            <w:vAlign w:val="top"/>
            <w:hideMark/>
          </w:tcPr>
          <w:p w14:paraId="243C6B9F" w14:textId="77777777" w:rsidR="005F6D08" w:rsidRDefault="005F6D08" w:rsidP="00C00C2A">
            <w:pPr>
              <w:pStyle w:val="NormalWeb"/>
              <w:jc w:val="left"/>
              <w:rPr>
                <w:lang w:val="en-GB"/>
              </w:rPr>
            </w:pPr>
            <w:r>
              <w:rPr>
                <w:lang w:val="en-GB"/>
              </w:rPr>
              <w:t>Independent of disease severity or HIV status</w:t>
            </w:r>
          </w:p>
        </w:tc>
      </w:tr>
      <w:tr w:rsidR="005F6D08" w14:paraId="28C3A65F" w14:textId="77777777" w:rsidTr="00C00C2A">
        <w:trPr>
          <w:cnfStyle w:val="000000010000" w:firstRow="0" w:lastRow="0" w:firstColumn="0" w:lastColumn="0" w:oddVBand="0" w:evenVBand="0" w:oddHBand="0" w:evenHBand="1" w:firstRowFirstColumn="0" w:firstRowLastColumn="0" w:lastRowFirstColumn="0" w:lastRowLastColumn="0"/>
        </w:trPr>
        <w:tc>
          <w:tcPr>
            <w:tcW w:w="0" w:type="auto"/>
            <w:tcBorders>
              <w:top w:val="single" w:sz="4" w:space="0" w:color="auto"/>
              <w:left w:val="single" w:sz="4" w:space="0" w:color="auto"/>
              <w:bottom w:val="single" w:sz="4" w:space="0" w:color="auto"/>
              <w:right w:val="single" w:sz="4" w:space="0" w:color="auto"/>
            </w:tcBorders>
            <w:shd w:val="clear" w:color="auto" w:fill="D8C8DC"/>
            <w:vAlign w:val="top"/>
            <w:hideMark/>
          </w:tcPr>
          <w:p w14:paraId="4B858DC6" w14:textId="77777777" w:rsidR="005F6D08" w:rsidRDefault="005F6D08" w:rsidP="00C00C2A">
            <w:pPr>
              <w:pStyle w:val="NormalWeb"/>
              <w:jc w:val="left"/>
              <w:rPr>
                <w:lang w:val="en-GB"/>
              </w:rPr>
            </w:pPr>
            <w:r>
              <w:rPr>
                <w:lang w:val="en-GB"/>
              </w:rPr>
              <w:t>2HRZ(E)/2HR</w:t>
            </w:r>
          </w:p>
        </w:tc>
        <w:tc>
          <w:tcPr>
            <w:tcW w:w="0" w:type="auto"/>
            <w:tcBorders>
              <w:top w:val="single" w:sz="4" w:space="0" w:color="auto"/>
              <w:left w:val="single" w:sz="4" w:space="0" w:color="auto"/>
              <w:bottom w:val="single" w:sz="4" w:space="0" w:color="auto"/>
              <w:right w:val="single" w:sz="4" w:space="0" w:color="auto"/>
            </w:tcBorders>
            <w:shd w:val="clear" w:color="auto" w:fill="FFFFFF" w:themeFill="background1"/>
            <w:vAlign w:val="top"/>
            <w:hideMark/>
          </w:tcPr>
          <w:p w14:paraId="5D9CC210" w14:textId="77777777" w:rsidR="005F6D08" w:rsidRDefault="005F6D08" w:rsidP="00C00C2A">
            <w:pPr>
              <w:jc w:val="left"/>
              <w:rPr>
                <w:lang w:val="en-GB"/>
              </w:rPr>
            </w:pPr>
          </w:p>
        </w:tc>
        <w:tc>
          <w:tcPr>
            <w:tcW w:w="0" w:type="auto"/>
            <w:gridSpan w:val="3"/>
            <w:tcBorders>
              <w:top w:val="single" w:sz="4" w:space="0" w:color="auto"/>
              <w:left w:val="single" w:sz="4" w:space="0" w:color="auto"/>
              <w:bottom w:val="single" w:sz="4" w:space="0" w:color="auto"/>
              <w:right w:val="single" w:sz="4" w:space="0" w:color="auto"/>
            </w:tcBorders>
            <w:shd w:val="clear" w:color="auto" w:fill="D8C8DC"/>
            <w:vAlign w:val="top"/>
            <w:hideMark/>
          </w:tcPr>
          <w:p w14:paraId="61CDD78C" w14:textId="77777777" w:rsidR="005F6D08" w:rsidRDefault="005F6D08" w:rsidP="00C00C2A">
            <w:pPr>
              <w:pStyle w:val="NormalWeb"/>
              <w:jc w:val="left"/>
              <w:rPr>
                <w:sz w:val="24"/>
                <w:szCs w:val="24"/>
                <w:lang w:val="en-GB"/>
              </w:rPr>
            </w:pPr>
            <w:r>
              <w:rPr>
                <w:lang w:val="en-GB"/>
              </w:rPr>
              <w:t>Non-severe TB, &gt; 3 kg, add ethambutol in settings with a high background prevalence of isoniazid resistance or HIV infection or in CALHIV</w:t>
            </w:r>
          </w:p>
        </w:tc>
        <w:tc>
          <w:tcPr>
            <w:tcW w:w="0" w:type="auto"/>
            <w:tcBorders>
              <w:top w:val="single" w:sz="4" w:space="0" w:color="auto"/>
              <w:left w:val="single" w:sz="4" w:space="0" w:color="auto"/>
              <w:bottom w:val="single" w:sz="4" w:space="0" w:color="auto"/>
              <w:right w:val="single" w:sz="4" w:space="0" w:color="auto"/>
            </w:tcBorders>
            <w:shd w:val="clear" w:color="auto" w:fill="FFFFFF" w:themeFill="background1"/>
            <w:vAlign w:val="top"/>
            <w:hideMark/>
          </w:tcPr>
          <w:p w14:paraId="30D2F9BD" w14:textId="77777777" w:rsidR="005F6D08" w:rsidRDefault="005F6D08" w:rsidP="00C00C2A">
            <w:pPr>
              <w:jc w:val="left"/>
              <w:rPr>
                <w:lang w:val="en-GB"/>
              </w:rPr>
            </w:pPr>
          </w:p>
        </w:tc>
      </w:tr>
      <w:tr w:rsidR="005F6D08" w14:paraId="3CE216ED" w14:textId="77777777" w:rsidTr="00C00C2A">
        <w:tc>
          <w:tcPr>
            <w:tcW w:w="0" w:type="auto"/>
            <w:tcBorders>
              <w:top w:val="single" w:sz="4" w:space="0" w:color="auto"/>
              <w:left w:val="single" w:sz="4" w:space="0" w:color="auto"/>
              <w:bottom w:val="single" w:sz="4" w:space="0" w:color="auto"/>
              <w:right w:val="single" w:sz="4" w:space="0" w:color="auto"/>
            </w:tcBorders>
            <w:shd w:val="clear" w:color="auto" w:fill="C7DFB4"/>
            <w:vAlign w:val="top"/>
            <w:hideMark/>
          </w:tcPr>
          <w:p w14:paraId="74D254C3" w14:textId="77777777" w:rsidR="005F6D08" w:rsidRDefault="005F6D08" w:rsidP="00C00C2A">
            <w:pPr>
              <w:pStyle w:val="NormalWeb"/>
              <w:jc w:val="left"/>
              <w:rPr>
                <w:sz w:val="24"/>
                <w:szCs w:val="24"/>
                <w:lang w:val="en-GB"/>
              </w:rPr>
            </w:pPr>
            <w:r>
              <w:rPr>
                <w:lang w:val="en-GB"/>
              </w:rPr>
              <w:t>2HPMZ/2HPM</w:t>
            </w:r>
          </w:p>
        </w:tc>
        <w:tc>
          <w:tcPr>
            <w:tcW w:w="0" w:type="auto"/>
            <w:gridSpan w:val="3"/>
            <w:tcBorders>
              <w:top w:val="single" w:sz="4" w:space="0" w:color="auto"/>
              <w:left w:val="single" w:sz="4" w:space="0" w:color="auto"/>
              <w:bottom w:val="single" w:sz="4" w:space="0" w:color="auto"/>
              <w:right w:val="single" w:sz="4" w:space="0" w:color="auto"/>
            </w:tcBorders>
            <w:shd w:val="clear" w:color="auto" w:fill="FFFFFF" w:themeFill="background1"/>
            <w:vAlign w:val="top"/>
            <w:hideMark/>
          </w:tcPr>
          <w:p w14:paraId="440ABD44" w14:textId="77777777" w:rsidR="005F6D08" w:rsidRDefault="005F6D08" w:rsidP="00C00C2A">
            <w:pPr>
              <w:jc w:val="left"/>
              <w:rPr>
                <w:lang w:val="en-GB"/>
              </w:rPr>
            </w:pPr>
          </w:p>
        </w:tc>
        <w:tc>
          <w:tcPr>
            <w:tcW w:w="0" w:type="auto"/>
            <w:gridSpan w:val="2"/>
            <w:tcBorders>
              <w:top w:val="single" w:sz="4" w:space="0" w:color="auto"/>
              <w:left w:val="single" w:sz="4" w:space="0" w:color="auto"/>
              <w:bottom w:val="single" w:sz="4" w:space="0" w:color="auto"/>
              <w:right w:val="single" w:sz="4" w:space="0" w:color="auto"/>
            </w:tcBorders>
            <w:shd w:val="clear" w:color="auto" w:fill="C7DFB4"/>
            <w:vAlign w:val="top"/>
            <w:hideMark/>
          </w:tcPr>
          <w:p w14:paraId="6B0BC06D" w14:textId="77777777" w:rsidR="005F6D08" w:rsidRDefault="005F6D08" w:rsidP="00C00C2A">
            <w:pPr>
              <w:pStyle w:val="NormalWeb"/>
              <w:jc w:val="left"/>
              <w:rPr>
                <w:sz w:val="24"/>
                <w:szCs w:val="24"/>
                <w:lang w:val="en-GB"/>
              </w:rPr>
            </w:pPr>
            <w:r>
              <w:rPr>
                <w:lang w:val="en-GB"/>
              </w:rPr>
              <w:t>Independent of disease severity or HIV status</w:t>
            </w:r>
          </w:p>
        </w:tc>
      </w:tr>
      <w:tr w:rsidR="005F6D08" w14:paraId="6C424A1F" w14:textId="77777777" w:rsidTr="00C00C2A">
        <w:trPr>
          <w:cnfStyle w:val="000000010000" w:firstRow="0" w:lastRow="0" w:firstColumn="0" w:lastColumn="0" w:oddVBand="0" w:evenVBand="0" w:oddHBand="0" w:evenHBand="1" w:firstRowFirstColumn="0" w:firstRowLastColumn="0" w:lastRowFirstColumn="0" w:lastRowLastColumn="0"/>
        </w:trPr>
        <w:tc>
          <w:tcPr>
            <w:tcW w:w="0" w:type="auto"/>
            <w:vMerge w:val="restart"/>
            <w:tcBorders>
              <w:top w:val="single" w:sz="4" w:space="0" w:color="auto"/>
              <w:left w:val="single" w:sz="4" w:space="0" w:color="auto"/>
              <w:bottom w:val="single" w:sz="4" w:space="0" w:color="auto"/>
              <w:right w:val="single" w:sz="4" w:space="0" w:color="auto"/>
            </w:tcBorders>
            <w:shd w:val="clear" w:color="auto" w:fill="FFFFFF" w:themeFill="background1"/>
            <w:vAlign w:val="top"/>
            <w:hideMark/>
          </w:tcPr>
          <w:p w14:paraId="4896495B" w14:textId="77777777" w:rsidR="005F6D08" w:rsidRDefault="005F6D08" w:rsidP="00C00C2A">
            <w:pPr>
              <w:pStyle w:val="NormalWeb"/>
              <w:jc w:val="left"/>
              <w:rPr>
                <w:lang w:val="en-GB"/>
              </w:rPr>
            </w:pPr>
            <w:r>
              <w:rPr>
                <w:lang w:val="en-GB"/>
              </w:rPr>
              <w:t>Additional factors to be considered if several regimens are possible</w:t>
            </w:r>
          </w:p>
        </w:tc>
        <w:tc>
          <w:tcPr>
            <w:tcW w:w="0" w:type="auto"/>
            <w:tcBorders>
              <w:top w:val="single" w:sz="4" w:space="0" w:color="auto"/>
              <w:left w:val="single" w:sz="4" w:space="0" w:color="auto"/>
              <w:bottom w:val="single" w:sz="4" w:space="0" w:color="auto"/>
              <w:right w:val="single" w:sz="4" w:space="0" w:color="auto"/>
            </w:tcBorders>
            <w:shd w:val="clear" w:color="auto" w:fill="FFFFFF" w:themeFill="background1"/>
            <w:vAlign w:val="top"/>
            <w:hideMark/>
          </w:tcPr>
          <w:p w14:paraId="4888F7EF" w14:textId="77777777" w:rsidR="005F6D08" w:rsidRDefault="005F6D08" w:rsidP="00C00C2A">
            <w:pPr>
              <w:jc w:val="left"/>
              <w:rPr>
                <w:lang w:val="en-GB"/>
              </w:rPr>
            </w:pPr>
          </w:p>
        </w:tc>
        <w:tc>
          <w:tcPr>
            <w:tcW w:w="0" w:type="auto"/>
            <w:gridSpan w:val="3"/>
            <w:tcBorders>
              <w:top w:val="single" w:sz="4" w:space="0" w:color="auto"/>
              <w:left w:val="single" w:sz="4" w:space="0" w:color="auto"/>
              <w:bottom w:val="single" w:sz="4" w:space="0" w:color="auto"/>
              <w:right w:val="single" w:sz="4" w:space="0" w:color="auto"/>
            </w:tcBorders>
            <w:shd w:val="clear" w:color="auto" w:fill="D2D3D4"/>
            <w:vAlign w:val="top"/>
            <w:hideMark/>
          </w:tcPr>
          <w:p w14:paraId="499C576D" w14:textId="77777777" w:rsidR="005F6D08" w:rsidRDefault="005F6D08" w:rsidP="00C00C2A">
            <w:pPr>
              <w:pStyle w:val="NormalWeb"/>
              <w:jc w:val="left"/>
              <w:rPr>
                <w:sz w:val="24"/>
                <w:szCs w:val="24"/>
                <w:lang w:val="en-GB"/>
              </w:rPr>
            </w:pPr>
            <w:r>
              <w:rPr>
                <w:lang w:val="en-GB"/>
              </w:rPr>
              <w:t>Disease severity</w:t>
            </w:r>
          </w:p>
        </w:tc>
        <w:tc>
          <w:tcPr>
            <w:tcW w:w="0" w:type="auto"/>
            <w:tcBorders>
              <w:top w:val="single" w:sz="4" w:space="0" w:color="auto"/>
              <w:left w:val="single" w:sz="4" w:space="0" w:color="auto"/>
              <w:bottom w:val="single" w:sz="4" w:space="0" w:color="auto"/>
              <w:right w:val="single" w:sz="4" w:space="0" w:color="auto"/>
            </w:tcBorders>
            <w:shd w:val="clear" w:color="auto" w:fill="FFFFFF" w:themeFill="background1"/>
            <w:vAlign w:val="top"/>
            <w:hideMark/>
          </w:tcPr>
          <w:p w14:paraId="0DD2D501" w14:textId="77777777" w:rsidR="005F6D08" w:rsidRDefault="005F6D08" w:rsidP="00C00C2A">
            <w:pPr>
              <w:jc w:val="left"/>
              <w:rPr>
                <w:lang w:val="en-GB"/>
              </w:rPr>
            </w:pPr>
          </w:p>
        </w:tc>
      </w:tr>
      <w:tr w:rsidR="005F6D08" w14:paraId="657B02E7" w14:textId="77777777" w:rsidTr="00C00C2A">
        <w:tc>
          <w:tcPr>
            <w:tcW w:w="0" w:type="auto"/>
            <w:vMerge/>
            <w:tcBorders>
              <w:top w:val="single" w:sz="4" w:space="0" w:color="auto"/>
              <w:left w:val="single" w:sz="4" w:space="0" w:color="auto"/>
              <w:bottom w:val="single" w:sz="4" w:space="0" w:color="auto"/>
              <w:right w:val="single" w:sz="4" w:space="0" w:color="auto"/>
            </w:tcBorders>
            <w:shd w:val="clear" w:color="auto" w:fill="FFFFFF" w:themeFill="background1"/>
            <w:vAlign w:val="top"/>
            <w:hideMark/>
          </w:tcPr>
          <w:p w14:paraId="46228165" w14:textId="77777777" w:rsidR="005F6D08" w:rsidRDefault="005F6D08" w:rsidP="00C00C2A">
            <w:pPr>
              <w:jc w:val="left"/>
              <w:rPr>
                <w:sz w:val="24"/>
                <w:szCs w:val="24"/>
                <w:lang w:val="en-GB"/>
              </w:rPr>
            </w:pPr>
          </w:p>
        </w:tc>
        <w:tc>
          <w:tcPr>
            <w:tcW w:w="0" w:type="auto"/>
            <w:gridSpan w:val="5"/>
            <w:tcBorders>
              <w:top w:val="single" w:sz="4" w:space="0" w:color="auto"/>
              <w:left w:val="single" w:sz="4" w:space="0" w:color="auto"/>
              <w:bottom w:val="single" w:sz="4" w:space="0" w:color="auto"/>
              <w:right w:val="single" w:sz="4" w:space="0" w:color="auto"/>
            </w:tcBorders>
            <w:shd w:val="clear" w:color="auto" w:fill="D2D3D4"/>
            <w:vAlign w:val="top"/>
            <w:hideMark/>
          </w:tcPr>
          <w:p w14:paraId="34CADC87" w14:textId="77777777" w:rsidR="005F6D08" w:rsidRDefault="005F6D08" w:rsidP="00C00C2A">
            <w:pPr>
              <w:pStyle w:val="NormalWeb"/>
              <w:jc w:val="left"/>
              <w:rPr>
                <w:sz w:val="24"/>
                <w:szCs w:val="24"/>
                <w:lang w:val="en-GB"/>
              </w:rPr>
            </w:pPr>
            <w:r>
              <w:rPr>
                <w:lang w:val="en-GB"/>
              </w:rPr>
              <w:t>Patient or family preference</w:t>
            </w:r>
          </w:p>
        </w:tc>
      </w:tr>
      <w:tr w:rsidR="005F6D08" w14:paraId="1597457E" w14:textId="77777777" w:rsidTr="00C00C2A">
        <w:trPr>
          <w:cnfStyle w:val="000000010000" w:firstRow="0" w:lastRow="0" w:firstColumn="0" w:lastColumn="0" w:oddVBand="0" w:evenVBand="0" w:oddHBand="0" w:evenHBand="1" w:firstRowFirstColumn="0" w:firstRowLastColumn="0" w:lastRowFirstColumn="0" w:lastRowLastColumn="0"/>
        </w:trPr>
        <w:tc>
          <w:tcPr>
            <w:tcW w:w="0" w:type="auto"/>
            <w:vMerge/>
            <w:tcBorders>
              <w:top w:val="single" w:sz="4" w:space="0" w:color="auto"/>
              <w:left w:val="single" w:sz="4" w:space="0" w:color="auto"/>
              <w:bottom w:val="single" w:sz="4" w:space="0" w:color="auto"/>
              <w:right w:val="single" w:sz="4" w:space="0" w:color="auto"/>
            </w:tcBorders>
            <w:shd w:val="clear" w:color="auto" w:fill="FFFFFF" w:themeFill="background1"/>
            <w:vAlign w:val="top"/>
            <w:hideMark/>
          </w:tcPr>
          <w:p w14:paraId="3B2B4C48" w14:textId="77777777" w:rsidR="005F6D08" w:rsidRDefault="005F6D08" w:rsidP="00C00C2A">
            <w:pPr>
              <w:jc w:val="left"/>
              <w:rPr>
                <w:sz w:val="24"/>
                <w:szCs w:val="24"/>
                <w:lang w:val="en-GB"/>
              </w:rPr>
            </w:pPr>
          </w:p>
        </w:tc>
        <w:tc>
          <w:tcPr>
            <w:tcW w:w="0" w:type="auto"/>
            <w:gridSpan w:val="5"/>
            <w:tcBorders>
              <w:top w:val="single" w:sz="4" w:space="0" w:color="auto"/>
              <w:left w:val="single" w:sz="4" w:space="0" w:color="auto"/>
              <w:bottom w:val="single" w:sz="4" w:space="0" w:color="auto"/>
              <w:right w:val="single" w:sz="4" w:space="0" w:color="auto"/>
            </w:tcBorders>
            <w:shd w:val="clear" w:color="auto" w:fill="D2D3D4"/>
            <w:vAlign w:val="top"/>
            <w:hideMark/>
          </w:tcPr>
          <w:p w14:paraId="071A435F" w14:textId="77777777" w:rsidR="005F6D08" w:rsidRDefault="005F6D08" w:rsidP="00C00C2A">
            <w:pPr>
              <w:pStyle w:val="NormalWeb"/>
              <w:jc w:val="left"/>
              <w:rPr>
                <w:lang w:val="en-GB"/>
              </w:rPr>
            </w:pPr>
            <w:r>
              <w:rPr>
                <w:lang w:val="en-GB"/>
              </w:rPr>
              <w:t>Access and cost of regimen component drugs</w:t>
            </w:r>
          </w:p>
        </w:tc>
      </w:tr>
    </w:tbl>
    <w:p w14:paraId="6751AC2B" w14:textId="77777777" w:rsidR="005F6D08" w:rsidRDefault="005F6D08" w:rsidP="005F6D08">
      <w:pPr>
        <w:pStyle w:val="CDIfootnotes"/>
        <w:rPr>
          <w:lang w:val="en-GB"/>
        </w:rPr>
      </w:pPr>
      <w:r>
        <w:rPr>
          <w:lang w:val="en-GB"/>
        </w:rPr>
        <w:t>a</w:t>
      </w:r>
      <w:r>
        <w:rPr>
          <w:lang w:val="en-GB"/>
        </w:rPr>
        <w:tab/>
        <w:t>Reproduced from reference 4, under a CC-BY-NC-SA 3.0 IGO licence (https://creativecommons.org/licenses/by-nc-sa/3.0/igo/deed.en).</w:t>
      </w:r>
    </w:p>
    <w:p w14:paraId="4346CCB5" w14:textId="77777777" w:rsidR="005F6D08" w:rsidRDefault="005F6D08" w:rsidP="005F6D08">
      <w:pPr>
        <w:pStyle w:val="CDIfootnotes"/>
        <w:rPr>
          <w:lang w:val="en-GB"/>
        </w:rPr>
      </w:pPr>
      <w:r>
        <w:rPr>
          <w:lang w:val="en-GB"/>
        </w:rPr>
        <w:t xml:space="preserve">b </w:t>
      </w:r>
      <w:r>
        <w:rPr>
          <w:lang w:val="en-GB"/>
        </w:rPr>
        <w:tab/>
        <w:t>Note: all the regimens envisage daily dosing of all medicines.</w:t>
      </w:r>
    </w:p>
    <w:p w14:paraId="45629671" w14:textId="7024EAB2" w:rsidR="005F6D08" w:rsidRPr="005F6D08" w:rsidRDefault="005F6D08" w:rsidP="005F6D08">
      <w:pPr>
        <w:pStyle w:val="CDIfootnotes"/>
        <w:rPr>
          <w:lang w:val="en-GB"/>
        </w:rPr>
      </w:pPr>
      <w:r>
        <w:rPr>
          <w:lang w:val="en-GB"/>
        </w:rPr>
        <w:t>c</w:t>
      </w:r>
      <w:r>
        <w:rPr>
          <w:lang w:val="en-GB"/>
        </w:rPr>
        <w:tab/>
        <w:t>CALHIV: Children and adolescents living with HIV; CLHIV: Children living with HIV; HIV: Human immunodeficiency virus; TB: tuberculosis.</w:t>
      </w:r>
    </w:p>
    <w:p w14:paraId="1DA117AA" w14:textId="6C920813" w:rsidR="00637DBD" w:rsidRDefault="00637DBD" w:rsidP="001521AF">
      <w:r>
        <w:t xml:space="preserve">Australian Therapeutic Guidelines (eTG) and jurisdictional guidance documents still indicate six months as the minimum TB treatment duration. Given the excellent outcomes achieved with the standard six-month regimen in Australia and no major issues with treatment adherence or completion, there is no perceived urgency to use the 2HPZM/2HPM regimen now. Although the defined non-inferiority margin was not breached, potential inferior outcomes remain a concern; this justifies further monitoring of outcomes in areas that do adopt the new guidance (like the USA). The new regimen also has altered requirements for routine laboratory drug susceptibility testing (DST), with a need to include moxifloxacin in routine first-line DST. In addition, the increased costs and complicated logistics of drug acquisition (especially rifapentine that is not Therapeutic Goods Administration [TGA]-registered) need to be considered. Given that higher </w:t>
      </w:r>
      <w:r w:rsidR="004456F8" w:rsidRPr="004456F8">
        <w:t>rifampicin</w:t>
      </w:r>
      <w:r>
        <w:t xml:space="preserve"> exposure, achieved by rifapentine’s longer half-life compared to rifampicin, is likely the key factor allowing regimen shortening with this regimen, it also seems prudent to await the results of ongoing studies assessing the effect of increased rifamycin dosing. If equally effective, this will be simpler and cheaper to implement than the use of rifapentine. Current NTAC consensus is to await more study and operational data before recommending the use of the 2HPZM/2HPM regimen, persisting with the standard six-month treatment regimen in adults and adolescents in the meantime. </w:t>
      </w:r>
    </w:p>
    <w:p w14:paraId="481585B0" w14:textId="77777777" w:rsidR="00637DBD" w:rsidRDefault="00637DBD" w:rsidP="001521AF">
      <w:r>
        <w:t xml:space="preserve">However, paediatric data from the SHINE trial were highly encouraging and not associated with any major concerns or practical considerations. In general, children (&lt; 10 years of age) develop pauci-bacillary TB without lung cavities, </w:t>
      </w:r>
      <w:r>
        <w:lastRenderedPageBreak/>
        <w:t xml:space="preserve">which implies greater potential for treatment shortening and a greatly reduced risk of both acquired drug resistance and TB transmission. Although the SHINE trial only enrolled children with non-severe TB (as defined) and without any suspicion of drug-resistant disease, this represents the vast majority of childhood TB cases in Australia. The excellent outcomes achieved are highly encouraging and country implementation is encouraged by the WHO.5 Paediatricians in Australia caring for children with TB are also keen to move to a four-month TB treatment regimen, where this is appropriate. One limitation to consider is that the study was not powered to assess differences in key sub-populations. Although initial sub-group analysis did not indicate any differences of concern, it seems prudent to await more study and operational data before recommending the four-month treatment approach in particular sub-populations. These include: </w:t>
      </w:r>
    </w:p>
    <w:p w14:paraId="7CB67BDD" w14:textId="3DA2E273" w:rsidR="00637DBD" w:rsidRPr="001521AF" w:rsidRDefault="00637DBD" w:rsidP="001521AF">
      <w:pPr>
        <w:pStyle w:val="ListParagraph"/>
        <w:numPr>
          <w:ilvl w:val="0"/>
          <w:numId w:val="9"/>
        </w:numPr>
        <w:rPr>
          <w:rFonts w:eastAsia="Times New Roman"/>
        </w:rPr>
      </w:pPr>
      <w:r w:rsidRPr="001521AF">
        <w:rPr>
          <w:rFonts w:eastAsia="Times New Roman"/>
        </w:rPr>
        <w:t xml:space="preserve">children with extra-pulmonary TB other than uncomplicated peripheral lymph node disease (they were excluded from the trial); </w:t>
      </w:r>
    </w:p>
    <w:p w14:paraId="7FBABFB2" w14:textId="07F90F33" w:rsidR="00637DBD" w:rsidRPr="001521AF" w:rsidRDefault="00637DBD" w:rsidP="001521AF">
      <w:pPr>
        <w:pStyle w:val="ListParagraph"/>
        <w:numPr>
          <w:ilvl w:val="0"/>
          <w:numId w:val="9"/>
        </w:numPr>
        <w:rPr>
          <w:rFonts w:eastAsia="Times New Roman"/>
        </w:rPr>
      </w:pPr>
      <w:r w:rsidRPr="001521AF">
        <w:rPr>
          <w:rFonts w:eastAsia="Times New Roman"/>
        </w:rPr>
        <w:t xml:space="preserve">children living with human immunodeficiency virus (HIV) or with significant immune compromise (only 127 (11%) HIV-positive children were included in the trial); and </w:t>
      </w:r>
    </w:p>
    <w:p w14:paraId="3A591DF4" w14:textId="4EDFAFF3" w:rsidR="00637DBD" w:rsidRPr="001521AF" w:rsidRDefault="00637DBD" w:rsidP="001521AF">
      <w:pPr>
        <w:pStyle w:val="ListParagraph"/>
        <w:numPr>
          <w:ilvl w:val="0"/>
          <w:numId w:val="9"/>
        </w:numPr>
        <w:rPr>
          <w:rFonts w:eastAsia="Times New Roman"/>
        </w:rPr>
      </w:pPr>
      <w:r w:rsidRPr="001521AF">
        <w:rPr>
          <w:rFonts w:eastAsia="Times New Roman"/>
        </w:rPr>
        <w:t>adolescents (≥ 10 years of age) who are at greater risk of developing adult-type lung disease with cavities (which may initially be invisible on chest radiograph) and high bacillary loads (the median age of children included in the trial was 3.5 years; the number of adolescents (10 –&lt; 16yrs) were not reported, but only 172 (14%) weighed 25 kg or more; there was also an over-representation of peripheral lymph node disease among adolescent children recruited).</w:t>
      </w:r>
      <w:r w:rsidR="00205183">
        <w:rPr>
          <w:rStyle w:val="FootnoteReference"/>
          <w:rFonts w:eastAsia="Times New Roman"/>
        </w:rPr>
        <w:footnoteReference w:id="2"/>
      </w:r>
      <w:r w:rsidRPr="001521AF">
        <w:rPr>
          <w:rFonts w:eastAsia="Times New Roman"/>
        </w:rPr>
        <w:t xml:space="preserve"> </w:t>
      </w:r>
    </w:p>
    <w:p w14:paraId="07DEF116" w14:textId="77777777" w:rsidR="00637DBD" w:rsidRDefault="00637DBD" w:rsidP="001521AF">
      <w:r>
        <w:t xml:space="preserve">Despite these exclusions, most children diagnosed with TB in Australia (who generally have non-severe disease) would benefit from a shortened four-month treatment regimen. In general, it is important to limit unnecessary drug exposure in children, especially if they are unlikely to benefit from a longer treatment course. A shorter treatment course will also reduce family disruption, cost and complexity of care, and load on the health care system. </w:t>
      </w:r>
    </w:p>
    <w:p w14:paraId="0ED38B7F" w14:textId="173EB99E" w:rsidR="00637DBD" w:rsidRDefault="00637DBD" w:rsidP="001521AF">
      <w:r>
        <w:t xml:space="preserve">The WHO operational handbook encourages TB programmes to use the following age categories; child 0–9 years (generally less than 25 kg) and adolescent 10–19 years. Child-friendly water-dispersible fixed dose combination (FDC) tablets </w:t>
      </w:r>
      <w:r w:rsidR="00D32E75" w:rsidRPr="00D32E75">
        <w:t>have been</w:t>
      </w:r>
      <w:r>
        <w:t xml:space="preserve"> specifically developed for children &lt; 25 </w:t>
      </w:r>
      <w:r w:rsidR="00D32E75" w:rsidRPr="00D32E75">
        <w:t>kg. The child-friendly FDCs are available in parts of Australia, but are not on the Australian Therapeutic Goods Register and require a Special Access Scheme (SAS) pathway for administration</w:t>
      </w:r>
      <w:r>
        <w:t>. The child-friendly FDCs contain HRZ for the intensive phase and HR for the continuation phase of treatment, simplifying dosing of the new four-ethambutol (2HRZ/2HR) regimen. The addition of EMB is rarely required in children but should be considered as/when necessary. Adolescents (≥ 10 years of age) generally present with adult-type cavitary lung disease and high bacillary loads, which requires extra caution. Adolescents are old enough to provide an expectorated sputum specimen for microbiological diagnosis and to take adult tablets. They also display the same pharmacokinetics as adult patients. Therefore, although they require age-appropriate and individually tailored support,</w:t>
      </w:r>
      <w:r>
        <w:rPr>
          <w:vertAlign w:val="superscript"/>
        </w:rPr>
        <w:t>6</w:t>
      </w:r>
      <w:r>
        <w:t xml:space="preserve"> adolescents with TB should generally be managed like an adult TB patient. </w:t>
      </w:r>
    </w:p>
    <w:p w14:paraId="649B4AF2" w14:textId="77777777" w:rsidR="00637DBD" w:rsidRPr="001521AF" w:rsidRDefault="00637DBD" w:rsidP="001521AF">
      <w:pPr>
        <w:pStyle w:val="Heading1"/>
      </w:pPr>
      <w:r w:rsidRPr="001521AF">
        <w:t xml:space="preserve">Consensus statement (endorsed by NTAC and ANZPID) </w:t>
      </w:r>
    </w:p>
    <w:p w14:paraId="34970E84" w14:textId="77777777" w:rsidR="00637DBD" w:rsidRDefault="00637DBD" w:rsidP="001521AF">
      <w:r>
        <w:t xml:space="preserve">In children aged between 3 months and &lt; 10 years with non-severe TB (without immune compromise or suspicion of multidrug-, rifampicin, isoniazid, or pyrazinamide-resistant TB), a four-month treatment regimen (2HRZ(E)/2HR) should be used. </w:t>
      </w:r>
    </w:p>
    <w:p w14:paraId="2214A74F" w14:textId="77777777" w:rsidR="00637DBD" w:rsidRDefault="00637DBD" w:rsidP="001521AF">
      <w:r>
        <w:t xml:space="preserve">Non-severe TB is defined as peripheral lymph node disease (in isolation) or pulmonary TB confined to less than one lobe of the lung with no cavities, intra-thoracic lymph node involvement without radiologically visible or clinically </w:t>
      </w:r>
      <w:r>
        <w:lastRenderedPageBreak/>
        <w:t>significant airway obstruction, no signs of disseminated (miliary) TB and no complex pleural effusion. See the revised Diagnostic Atlas for Tuberculosis in Children for exemplars of radiological disease classification.</w:t>
      </w:r>
      <w:r>
        <w:rPr>
          <w:vertAlign w:val="superscript"/>
        </w:rPr>
        <w:t>7</w:t>
      </w:r>
      <w:r>
        <w:t xml:space="preserve"> </w:t>
      </w:r>
    </w:p>
    <w:p w14:paraId="0D6354DF" w14:textId="77777777" w:rsidR="00637DBD" w:rsidRDefault="00637DBD" w:rsidP="001521AF">
      <w:r>
        <w:t xml:space="preserve">The four-month treatment regimen can also be considered in children with minimal immune compromise or aged 10 –&lt; 16 years, if non-severe TB is verified by an experienced clinician. </w:t>
      </w:r>
    </w:p>
    <w:p w14:paraId="36BBBA51" w14:textId="77777777" w:rsidR="00637DBD" w:rsidRPr="001521AF" w:rsidRDefault="00637DBD" w:rsidP="001521AF">
      <w:pPr>
        <w:pStyle w:val="Heading1"/>
      </w:pPr>
      <w:r w:rsidRPr="001521AF">
        <w:t xml:space="preserve">References </w:t>
      </w:r>
    </w:p>
    <w:p w14:paraId="5AE77DF4" w14:textId="77777777" w:rsidR="00637DBD" w:rsidRPr="001521AF" w:rsidRDefault="00637DBD" w:rsidP="001521AF">
      <w:pPr>
        <w:pStyle w:val="ListParagraph"/>
        <w:numPr>
          <w:ilvl w:val="0"/>
          <w:numId w:val="11"/>
        </w:numPr>
        <w:rPr>
          <w:rFonts w:eastAsia="Times New Roman"/>
        </w:rPr>
      </w:pPr>
      <w:r w:rsidRPr="001521AF">
        <w:rPr>
          <w:rFonts w:eastAsia="Times New Roman"/>
        </w:rPr>
        <w:t xml:space="preserve">Dorman SE, Nahid P, Kurbatova EV, Phillips PPJ, Bryant K, Dooley KE et al. Four-month rifapentine regimens with or without moxifloxacin for tuberculosis. </w:t>
      </w:r>
      <w:r w:rsidRPr="0024445B">
        <w:rPr>
          <w:rFonts w:eastAsia="Times New Roman"/>
          <w:i/>
          <w:iCs/>
        </w:rPr>
        <w:t>N Engl J Med</w:t>
      </w:r>
      <w:r w:rsidRPr="001521AF">
        <w:rPr>
          <w:rFonts w:eastAsia="Times New Roman"/>
        </w:rPr>
        <w:t xml:space="preserve">. 2021;384(18):1705–18. doi: https://doi.org/10.1056/NEJMoa2033400. </w:t>
      </w:r>
    </w:p>
    <w:p w14:paraId="7DD7F33F" w14:textId="77777777" w:rsidR="00637DBD" w:rsidRPr="001521AF" w:rsidRDefault="00637DBD" w:rsidP="001521AF">
      <w:pPr>
        <w:pStyle w:val="ListParagraph"/>
        <w:numPr>
          <w:ilvl w:val="0"/>
          <w:numId w:val="11"/>
        </w:numPr>
        <w:rPr>
          <w:rFonts w:eastAsia="Times New Roman"/>
        </w:rPr>
      </w:pPr>
      <w:r w:rsidRPr="001521AF">
        <w:rPr>
          <w:rFonts w:eastAsia="Times New Roman"/>
        </w:rPr>
        <w:t xml:space="preserve">Carr W, Kurbatova E, Starks A, Goswami N, Allen L, Winston C. Interim guidance: 4-month rifapentine-moxifloxacin regimen for the treatment of drug-susceptible pulmonary tuberculosis – United States, 2022. </w:t>
      </w:r>
      <w:r w:rsidRPr="0024445B">
        <w:rPr>
          <w:rFonts w:eastAsia="Times New Roman"/>
          <w:i/>
          <w:iCs/>
        </w:rPr>
        <w:t>MMWR Morb Mortal Wkly Rep</w:t>
      </w:r>
      <w:r w:rsidRPr="001521AF">
        <w:rPr>
          <w:rFonts w:eastAsia="Times New Roman"/>
        </w:rPr>
        <w:t xml:space="preserve">. 2022;71(8):285–9. doi: https://doi.org/10.15585/mmwr.mm7108a1. </w:t>
      </w:r>
    </w:p>
    <w:p w14:paraId="609BB085" w14:textId="77777777" w:rsidR="00637DBD" w:rsidRPr="001521AF" w:rsidRDefault="00637DBD" w:rsidP="001521AF">
      <w:pPr>
        <w:pStyle w:val="ListParagraph"/>
        <w:numPr>
          <w:ilvl w:val="0"/>
          <w:numId w:val="11"/>
        </w:numPr>
        <w:rPr>
          <w:rFonts w:eastAsia="Times New Roman"/>
        </w:rPr>
      </w:pPr>
      <w:r w:rsidRPr="001521AF">
        <w:rPr>
          <w:rFonts w:eastAsia="Times New Roman"/>
        </w:rPr>
        <w:t xml:space="preserve">Turkova A, Wills GH, Wobudeya E, Chabala C, Palmer M, Kinikar A et al. Shorter treatment for nonsevere tuberculosis in African and Indian children. </w:t>
      </w:r>
      <w:r w:rsidRPr="0024445B">
        <w:rPr>
          <w:rFonts w:eastAsia="Times New Roman"/>
          <w:i/>
          <w:iCs/>
        </w:rPr>
        <w:t>N Engl J Med</w:t>
      </w:r>
      <w:r w:rsidRPr="001521AF">
        <w:rPr>
          <w:rFonts w:eastAsia="Times New Roman"/>
        </w:rPr>
        <w:t xml:space="preserve">. 2022;386(10):911–22. doi: https://doi.org/10.1056/NEJMoa2104535. </w:t>
      </w:r>
    </w:p>
    <w:p w14:paraId="4FCFC93D" w14:textId="77777777" w:rsidR="00637DBD" w:rsidRPr="001521AF" w:rsidRDefault="00637DBD" w:rsidP="001521AF">
      <w:pPr>
        <w:pStyle w:val="ListParagraph"/>
        <w:numPr>
          <w:ilvl w:val="0"/>
          <w:numId w:val="11"/>
        </w:numPr>
        <w:rPr>
          <w:rFonts w:eastAsia="Times New Roman"/>
        </w:rPr>
      </w:pPr>
      <w:r w:rsidRPr="001521AF">
        <w:rPr>
          <w:rFonts w:eastAsia="Times New Roman"/>
        </w:rPr>
        <w:t xml:space="preserve">World Health Organization (WHO) Global Tuberculosis Programme. </w:t>
      </w:r>
      <w:r w:rsidRPr="0024445B">
        <w:rPr>
          <w:rFonts w:eastAsia="Times New Roman"/>
          <w:i/>
          <w:iCs/>
        </w:rPr>
        <w:t>WHO Operational Handbook on Tuberculosis: Module 4: Treatment - Drug-Susceptible Tuberculosis Treatment</w:t>
      </w:r>
      <w:r w:rsidRPr="001521AF">
        <w:rPr>
          <w:rFonts w:eastAsia="Times New Roman"/>
        </w:rPr>
        <w:t xml:space="preserve">. Geneva: WHO; 24 May 2022. Available from: https://www.who.int/publications/i/item/9789240050761. </w:t>
      </w:r>
    </w:p>
    <w:p w14:paraId="71680AB7" w14:textId="77777777" w:rsidR="00637DBD" w:rsidRPr="001521AF" w:rsidRDefault="00637DBD" w:rsidP="001521AF">
      <w:pPr>
        <w:pStyle w:val="ListParagraph"/>
        <w:numPr>
          <w:ilvl w:val="0"/>
          <w:numId w:val="11"/>
        </w:numPr>
        <w:rPr>
          <w:rFonts w:eastAsia="Times New Roman"/>
        </w:rPr>
      </w:pPr>
      <w:r w:rsidRPr="001521AF">
        <w:rPr>
          <w:rFonts w:eastAsia="Times New Roman"/>
        </w:rPr>
        <w:t xml:space="preserve">WHO Global Tuberculosis Programme. </w:t>
      </w:r>
      <w:r w:rsidRPr="0024445B">
        <w:rPr>
          <w:rFonts w:eastAsia="Times New Roman"/>
          <w:i/>
          <w:iCs/>
        </w:rPr>
        <w:t>WHO Operational Handbook on Tuberculosis: Module 5: Management of Tuberculosis in Children and Adolescents</w:t>
      </w:r>
      <w:r w:rsidRPr="001521AF">
        <w:rPr>
          <w:rFonts w:eastAsia="Times New Roman"/>
        </w:rPr>
        <w:t xml:space="preserve">. Geneva: WHO; 17 March 2022. Available from: https://www.who.int/publications/i/item/9789240046832. </w:t>
      </w:r>
    </w:p>
    <w:p w14:paraId="3F6FFB5A" w14:textId="77777777" w:rsidR="00637DBD" w:rsidRPr="001521AF" w:rsidRDefault="00637DBD" w:rsidP="001521AF">
      <w:pPr>
        <w:pStyle w:val="ListParagraph"/>
        <w:numPr>
          <w:ilvl w:val="0"/>
          <w:numId w:val="11"/>
        </w:numPr>
        <w:rPr>
          <w:rFonts w:eastAsia="Times New Roman"/>
        </w:rPr>
      </w:pPr>
      <w:r w:rsidRPr="001521AF">
        <w:rPr>
          <w:rFonts w:eastAsia="Times New Roman"/>
        </w:rPr>
        <w:t xml:space="preserve">Chiang SS, Moscibrodzki P, Atieno VF, Bernays S, Bondarenko Y, Cruz AT et al. Caring for adolescents and young adults with tuberculosis or at risk of tuberculosis: consensus statement from an international expert panel. </w:t>
      </w:r>
      <w:r w:rsidRPr="0024445B">
        <w:rPr>
          <w:rFonts w:eastAsia="Times New Roman"/>
          <w:i/>
          <w:iCs/>
        </w:rPr>
        <w:t>J Adolesc Health</w:t>
      </w:r>
      <w:r w:rsidRPr="001521AF">
        <w:rPr>
          <w:rFonts w:eastAsia="Times New Roman"/>
        </w:rPr>
        <w:t xml:space="preserve">. 2023; in press. </w:t>
      </w:r>
    </w:p>
    <w:p w14:paraId="75B212A5" w14:textId="5C2C5657" w:rsidR="00337A9E" w:rsidRPr="00205183" w:rsidRDefault="00637DBD" w:rsidP="00205183">
      <w:pPr>
        <w:pStyle w:val="ListParagraph"/>
        <w:numPr>
          <w:ilvl w:val="0"/>
          <w:numId w:val="11"/>
        </w:numPr>
        <w:rPr>
          <w:rFonts w:eastAsia="Times New Roman"/>
        </w:rPr>
      </w:pPr>
      <w:r w:rsidRPr="001521AF">
        <w:rPr>
          <w:rFonts w:eastAsia="Times New Roman"/>
        </w:rPr>
        <w:t xml:space="preserve">Palmer M, Seddon JA, Goussard P, Schaaf HS. </w:t>
      </w:r>
      <w:r w:rsidRPr="0024445B">
        <w:rPr>
          <w:rFonts w:eastAsia="Times New Roman"/>
          <w:i/>
          <w:iCs/>
        </w:rPr>
        <w:t>Diagnostic CXR Atlas for Tuberculosis in Children: a guide to chest X-ray interpretation</w:t>
      </w:r>
      <w:r w:rsidRPr="001521AF">
        <w:rPr>
          <w:rFonts w:eastAsia="Times New Roman"/>
        </w:rPr>
        <w:t>. Paris: International Union Against Tuberculosis and Lung Disease; 24 March 2022. Available from: https://theunion.org/technical-publications/diagnostic-cxr-atlas-for-tuberculosis-in-children.</w:t>
      </w:r>
    </w:p>
    <w:p w14:paraId="1429810E" w14:textId="77777777" w:rsidR="008B5348" w:rsidRDefault="008B5348">
      <w:pPr>
        <w:rPr>
          <w:rStyle w:val="A10"/>
        </w:rPr>
        <w:sectPr w:rsidR="008B5348" w:rsidSect="00A30C37">
          <w:headerReference w:type="default" r:id="rId9"/>
          <w:footerReference w:type="default" r:id="rId10"/>
          <w:footerReference w:type="first" r:id="rId11"/>
          <w:footnotePr>
            <w:numFmt w:val="lowerRoman"/>
          </w:footnotePr>
          <w:pgSz w:w="11906" w:h="16838"/>
          <w:pgMar w:top="720" w:right="720" w:bottom="1134" w:left="720" w:header="709" w:footer="284" w:gutter="0"/>
          <w:cols w:space="708"/>
          <w:titlePg/>
          <w:docGrid w:linePitch="360"/>
        </w:sectPr>
      </w:pPr>
    </w:p>
    <w:p w14:paraId="1748C091" w14:textId="77777777" w:rsidR="000A5F42" w:rsidRPr="000606CC" w:rsidRDefault="000A5F42" w:rsidP="000A5F42">
      <w:pPr>
        <w:pStyle w:val="NoSpacing"/>
        <w:rPr>
          <w:rFonts w:cstheme="minorHAnsi"/>
          <w:sz w:val="18"/>
          <w:szCs w:val="18"/>
        </w:rPr>
      </w:pPr>
      <w:r w:rsidRPr="000606CC">
        <w:rPr>
          <w:rStyle w:val="Strong"/>
          <w:bCs w:val="0"/>
          <w:sz w:val="20"/>
        </w:rPr>
        <w:lastRenderedPageBreak/>
        <w:t>Communicable Diseases Intelligence</w:t>
      </w:r>
    </w:p>
    <w:p w14:paraId="5D104348" w14:textId="77777777" w:rsidR="000A5F42" w:rsidRPr="000606CC" w:rsidRDefault="000A5F42" w:rsidP="000A5F42">
      <w:pPr>
        <w:pStyle w:val="NoSpacing"/>
        <w:rPr>
          <w:rFonts w:cstheme="minorHAnsi"/>
          <w:sz w:val="20"/>
          <w:szCs w:val="18"/>
        </w:rPr>
      </w:pPr>
      <w:r w:rsidRPr="000606CC">
        <w:rPr>
          <w:rFonts w:cstheme="minorHAnsi"/>
          <w:sz w:val="20"/>
          <w:szCs w:val="18"/>
        </w:rPr>
        <w:t>ISSN: 2209-6051 Online</w:t>
      </w:r>
    </w:p>
    <w:p w14:paraId="53F1FB5E" w14:textId="77777777" w:rsidR="000A5F42" w:rsidRPr="000606CC" w:rsidRDefault="000A5F42" w:rsidP="000A5F42">
      <w:pPr>
        <w:pStyle w:val="NoSpacing"/>
        <w:rPr>
          <w:rStyle w:val="URI"/>
          <w:rFonts w:cstheme="minorHAnsi"/>
          <w:sz w:val="20"/>
          <w:szCs w:val="18"/>
        </w:rPr>
      </w:pPr>
    </w:p>
    <w:p w14:paraId="054539AA" w14:textId="77777777" w:rsidR="000A5F42" w:rsidRPr="000606CC" w:rsidRDefault="000A5F42" w:rsidP="000A5F42">
      <w:pPr>
        <w:pStyle w:val="NoSpacing"/>
        <w:rPr>
          <w:rStyle w:val="Strong"/>
          <w:rFonts w:cs="Calibri"/>
          <w:sz w:val="20"/>
          <w:szCs w:val="18"/>
        </w:rPr>
      </w:pPr>
      <w:r w:rsidRPr="000606CC">
        <w:rPr>
          <w:rStyle w:val="Strong"/>
          <w:rFonts w:cs="Calibri"/>
          <w:b w:val="0"/>
          <w:bCs w:val="0"/>
          <w:sz w:val="20"/>
          <w:szCs w:val="18"/>
        </w:rPr>
        <w:t>Communicable Diseases Intelligence (CDI) is a peer-reviewed scientific journal published by the Office of Health Protection</w:t>
      </w:r>
      <w:r w:rsidR="000325A0">
        <w:rPr>
          <w:rStyle w:val="Strong"/>
          <w:rFonts w:cs="Calibri"/>
          <w:b w:val="0"/>
          <w:bCs w:val="0"/>
          <w:sz w:val="20"/>
          <w:szCs w:val="18"/>
        </w:rPr>
        <w:t xml:space="preserve"> and Response</w:t>
      </w:r>
      <w:r w:rsidRPr="000606CC">
        <w:rPr>
          <w:rStyle w:val="Strong"/>
          <w:rFonts w:cs="Calibri"/>
          <w:b w:val="0"/>
          <w:bCs w:val="0"/>
          <w:sz w:val="20"/>
          <w:szCs w:val="18"/>
        </w:rPr>
        <w:t xml:space="preserve">, </w:t>
      </w:r>
      <w:r w:rsidR="001723AC">
        <w:rPr>
          <w:rStyle w:val="Strong"/>
          <w:rFonts w:cs="Calibri"/>
          <w:b w:val="0"/>
          <w:bCs w:val="0"/>
          <w:sz w:val="20"/>
          <w:szCs w:val="18"/>
        </w:rPr>
        <w:t>Department of Health and Aged Care</w:t>
      </w:r>
      <w:r w:rsidRPr="000606CC">
        <w:rPr>
          <w:rStyle w:val="Strong"/>
          <w:rFonts w:cs="Calibri"/>
          <w:b w:val="0"/>
          <w:bCs w:val="0"/>
          <w:sz w:val="20"/>
          <w:szCs w:val="18"/>
        </w:rPr>
        <w:t>. The journal aims to disseminate information on the epidemiology, surveillance, prevention and control of communicable diseases of relevance to Australia.</w:t>
      </w:r>
    </w:p>
    <w:p w14:paraId="4BC1F38B" w14:textId="77777777" w:rsidR="000A5F42" w:rsidRPr="000606CC" w:rsidRDefault="000A5F42" w:rsidP="000A5F42">
      <w:pPr>
        <w:pStyle w:val="NoSpacing"/>
        <w:rPr>
          <w:rStyle w:val="Strong"/>
          <w:rFonts w:cstheme="minorHAnsi"/>
          <w:sz w:val="20"/>
          <w:szCs w:val="18"/>
        </w:rPr>
      </w:pPr>
    </w:p>
    <w:p w14:paraId="6AA8EB98" w14:textId="77777777" w:rsidR="000A5F42" w:rsidRPr="000606CC" w:rsidRDefault="000A5F42" w:rsidP="000A5F42">
      <w:pPr>
        <w:pStyle w:val="NoSpacing"/>
        <w:rPr>
          <w:rFonts w:cstheme="minorHAnsi"/>
          <w:sz w:val="20"/>
          <w:szCs w:val="18"/>
        </w:rPr>
      </w:pPr>
      <w:r w:rsidRPr="000606CC">
        <w:rPr>
          <w:rStyle w:val="Strong"/>
          <w:rFonts w:cstheme="minorHAnsi"/>
          <w:sz w:val="20"/>
          <w:szCs w:val="18"/>
        </w:rPr>
        <w:t xml:space="preserve">Editor: </w:t>
      </w:r>
      <w:r w:rsidR="007E5CA0" w:rsidRPr="007E5CA0">
        <w:rPr>
          <w:rFonts w:cstheme="minorHAnsi"/>
          <w:sz w:val="20"/>
          <w:szCs w:val="18"/>
        </w:rPr>
        <w:t>Noel Lally</w:t>
      </w:r>
    </w:p>
    <w:p w14:paraId="6D6306B9" w14:textId="77777777" w:rsidR="000A5F42" w:rsidRPr="000606CC" w:rsidRDefault="000A5F42" w:rsidP="000A5F42">
      <w:pPr>
        <w:pStyle w:val="NoSpacing"/>
        <w:rPr>
          <w:rFonts w:cstheme="minorHAnsi"/>
          <w:sz w:val="20"/>
          <w:szCs w:val="18"/>
        </w:rPr>
      </w:pPr>
      <w:r w:rsidRPr="000606CC">
        <w:rPr>
          <w:rStyle w:val="Strong"/>
          <w:rFonts w:cstheme="minorHAnsi"/>
          <w:sz w:val="20"/>
          <w:szCs w:val="18"/>
        </w:rPr>
        <w:t xml:space="preserve">Deputy Editor: </w:t>
      </w:r>
      <w:r w:rsidR="00C838F5" w:rsidRPr="00C838F5">
        <w:rPr>
          <w:rFonts w:cstheme="minorHAnsi"/>
          <w:sz w:val="20"/>
          <w:szCs w:val="18"/>
        </w:rPr>
        <w:t>Simon Petrie</w:t>
      </w:r>
    </w:p>
    <w:p w14:paraId="0B05E59D" w14:textId="77777777" w:rsidR="000A5F42" w:rsidRPr="000606CC" w:rsidRDefault="00967410" w:rsidP="000A5F42">
      <w:pPr>
        <w:pStyle w:val="NoSpacing"/>
        <w:rPr>
          <w:rFonts w:cstheme="minorHAnsi"/>
          <w:sz w:val="20"/>
          <w:szCs w:val="18"/>
        </w:rPr>
      </w:pPr>
      <w:r>
        <w:rPr>
          <w:rStyle w:val="Strong"/>
          <w:rFonts w:cstheme="minorHAnsi"/>
          <w:sz w:val="20"/>
          <w:szCs w:val="18"/>
        </w:rPr>
        <w:t>Design</w:t>
      </w:r>
      <w:r w:rsidR="000A5F42" w:rsidRPr="000606CC">
        <w:rPr>
          <w:rStyle w:val="Strong"/>
          <w:rFonts w:cstheme="minorHAnsi"/>
          <w:sz w:val="20"/>
          <w:szCs w:val="18"/>
        </w:rPr>
        <w:t xml:space="preserve"> and Production: </w:t>
      </w:r>
      <w:r w:rsidR="000A5F42" w:rsidRPr="000606CC">
        <w:rPr>
          <w:rFonts w:cstheme="minorHAnsi"/>
          <w:sz w:val="20"/>
          <w:szCs w:val="18"/>
        </w:rPr>
        <w:t>Kasra Yousefi</w:t>
      </w:r>
    </w:p>
    <w:p w14:paraId="7C467BFE" w14:textId="77777777" w:rsidR="000A5F42" w:rsidRPr="000606CC" w:rsidRDefault="000A5F42" w:rsidP="000A5F42">
      <w:pPr>
        <w:pStyle w:val="NoSpacing"/>
        <w:rPr>
          <w:rFonts w:cstheme="minorHAnsi"/>
          <w:b/>
          <w:bCs/>
          <w:sz w:val="20"/>
          <w:szCs w:val="18"/>
        </w:rPr>
      </w:pPr>
      <w:r w:rsidRPr="000606CC">
        <w:rPr>
          <w:rStyle w:val="Strong"/>
          <w:rFonts w:cstheme="minorHAnsi"/>
          <w:sz w:val="20"/>
          <w:szCs w:val="18"/>
        </w:rPr>
        <w:t xml:space="preserve">Editorial Advisory Board: </w:t>
      </w:r>
      <w:r w:rsidRPr="000606CC">
        <w:rPr>
          <w:rFonts w:cstheme="minorHAnsi"/>
          <w:sz w:val="20"/>
          <w:szCs w:val="18"/>
        </w:rPr>
        <w:t xml:space="preserve">David Durrheim, </w:t>
      </w:r>
      <w:r w:rsidRPr="000606CC">
        <w:rPr>
          <w:rStyle w:val="nobreak"/>
          <w:rFonts w:cstheme="minorHAnsi"/>
          <w:sz w:val="20"/>
          <w:szCs w:val="18"/>
        </w:rPr>
        <w:t>Mark Ferson</w:t>
      </w:r>
      <w:r w:rsidR="00F55648">
        <w:rPr>
          <w:rFonts w:cstheme="minorHAnsi"/>
          <w:sz w:val="20"/>
          <w:szCs w:val="18"/>
        </w:rPr>
        <w:t xml:space="preserve">, John Kaldor, </w:t>
      </w:r>
      <w:r w:rsidRPr="000606CC">
        <w:rPr>
          <w:rStyle w:val="nobreak"/>
          <w:rFonts w:cstheme="minorHAnsi"/>
          <w:sz w:val="20"/>
          <w:szCs w:val="18"/>
        </w:rPr>
        <w:t>Martyn Kirk</w:t>
      </w:r>
      <w:r w:rsidR="00F55648">
        <w:rPr>
          <w:rStyle w:val="nobreak"/>
          <w:rFonts w:cstheme="minorHAnsi"/>
          <w:sz w:val="20"/>
          <w:szCs w:val="18"/>
        </w:rPr>
        <w:t xml:space="preserve"> and Linda Selvey</w:t>
      </w:r>
    </w:p>
    <w:p w14:paraId="370FB5D0" w14:textId="77777777" w:rsidR="000A5F42" w:rsidRPr="000606CC" w:rsidRDefault="000A5F42" w:rsidP="000A5F42">
      <w:pPr>
        <w:pStyle w:val="NoSpacing"/>
        <w:rPr>
          <w:rStyle w:val="Strong"/>
          <w:rFonts w:cstheme="minorHAnsi"/>
          <w:sz w:val="20"/>
          <w:szCs w:val="18"/>
        </w:rPr>
      </w:pPr>
    </w:p>
    <w:p w14:paraId="70BEADD3" w14:textId="1BC69168" w:rsidR="000A5F42" w:rsidRPr="000606CC" w:rsidRDefault="000A5F42" w:rsidP="000A5F42">
      <w:pPr>
        <w:pStyle w:val="NoSpacing"/>
        <w:rPr>
          <w:rStyle w:val="URI"/>
          <w:rFonts w:cstheme="minorHAnsi"/>
          <w:sz w:val="20"/>
          <w:szCs w:val="18"/>
        </w:rPr>
      </w:pPr>
      <w:r w:rsidRPr="000606CC">
        <w:rPr>
          <w:rStyle w:val="Strong"/>
          <w:rFonts w:cstheme="minorHAnsi"/>
          <w:sz w:val="20"/>
          <w:szCs w:val="18"/>
        </w:rPr>
        <w:t>Website</w:t>
      </w:r>
      <w:r w:rsidRPr="000606CC">
        <w:rPr>
          <w:rFonts w:cstheme="minorHAnsi"/>
          <w:sz w:val="20"/>
          <w:szCs w:val="18"/>
        </w:rPr>
        <w:t xml:space="preserve">: </w:t>
      </w:r>
      <w:hyperlink r:id="rId12" w:tooltip="CDI website" w:history="1">
        <w:r w:rsidRPr="000606CC">
          <w:rPr>
            <w:rStyle w:val="Hyperlink"/>
            <w:rFonts w:cstheme="minorHAnsi"/>
            <w:sz w:val="20"/>
            <w:szCs w:val="18"/>
          </w:rPr>
          <w:t>http://www.health.gov.au/cdi</w:t>
        </w:r>
      </w:hyperlink>
      <w:r w:rsidRPr="000606CC">
        <w:rPr>
          <w:rStyle w:val="URI"/>
          <w:rFonts w:cstheme="minorHAnsi"/>
          <w:sz w:val="20"/>
          <w:szCs w:val="18"/>
        </w:rPr>
        <w:t xml:space="preserve"> </w:t>
      </w:r>
    </w:p>
    <w:p w14:paraId="5E1F5982" w14:textId="77777777" w:rsidR="000A5F42" w:rsidRPr="000606CC" w:rsidRDefault="000A5F42" w:rsidP="000A5F42">
      <w:pPr>
        <w:pStyle w:val="NoSpacing"/>
        <w:rPr>
          <w:rStyle w:val="Strong"/>
          <w:rFonts w:cstheme="minorHAnsi"/>
          <w:sz w:val="20"/>
          <w:szCs w:val="18"/>
        </w:rPr>
      </w:pPr>
    </w:p>
    <w:p w14:paraId="73B9B2C1" w14:textId="77777777" w:rsidR="000A5F42" w:rsidRPr="000606CC" w:rsidRDefault="000A5F42" w:rsidP="00E54BBD">
      <w:pPr>
        <w:pStyle w:val="NoSpacing"/>
        <w:rPr>
          <w:rFonts w:cstheme="minorHAnsi"/>
          <w:sz w:val="20"/>
          <w:szCs w:val="18"/>
        </w:rPr>
      </w:pPr>
      <w:r w:rsidRPr="000606CC">
        <w:rPr>
          <w:rStyle w:val="Strong"/>
          <w:rFonts w:cstheme="minorHAnsi"/>
          <w:sz w:val="20"/>
          <w:szCs w:val="18"/>
        </w:rPr>
        <w:t>Contacts</w:t>
      </w:r>
      <w:r w:rsidRPr="000606CC">
        <w:rPr>
          <w:rStyle w:val="Strong"/>
          <w:rFonts w:cstheme="minorHAnsi"/>
          <w:sz w:val="20"/>
          <w:szCs w:val="18"/>
        </w:rPr>
        <w:br/>
      </w:r>
      <w:r w:rsidR="00E54BBD">
        <w:rPr>
          <w:rFonts w:cstheme="minorHAnsi"/>
          <w:sz w:val="20"/>
          <w:szCs w:val="18"/>
        </w:rPr>
        <w:t>CDI is produced by</w:t>
      </w:r>
      <w:r w:rsidR="00F74958">
        <w:rPr>
          <w:rFonts w:cstheme="minorHAnsi"/>
          <w:sz w:val="20"/>
          <w:szCs w:val="18"/>
        </w:rPr>
        <w:t xml:space="preserve"> the</w:t>
      </w:r>
      <w:r w:rsidR="00E54BBD">
        <w:rPr>
          <w:rFonts w:cstheme="minorHAnsi"/>
          <w:sz w:val="20"/>
          <w:szCs w:val="18"/>
        </w:rPr>
        <w:t xml:space="preserve"> </w:t>
      </w:r>
      <w:r w:rsidR="00E54BBD" w:rsidRPr="00E54BBD">
        <w:rPr>
          <w:rFonts w:cstheme="minorHAnsi"/>
          <w:sz w:val="20"/>
          <w:szCs w:val="18"/>
        </w:rPr>
        <w:t>Office of Health Protection and Response, Australian Government Department of Health</w:t>
      </w:r>
      <w:r w:rsidR="00AE0209">
        <w:rPr>
          <w:rFonts w:cstheme="minorHAnsi"/>
          <w:sz w:val="20"/>
          <w:szCs w:val="18"/>
        </w:rPr>
        <w:t xml:space="preserve"> and Aged Care</w:t>
      </w:r>
      <w:r w:rsidR="00E54BBD" w:rsidRPr="00E54BBD">
        <w:rPr>
          <w:rFonts w:cstheme="minorHAnsi"/>
          <w:sz w:val="20"/>
          <w:szCs w:val="18"/>
        </w:rPr>
        <w:t>, GPO Box 9848, (MDP 6) CANBERRA ACT 2601</w:t>
      </w:r>
    </w:p>
    <w:p w14:paraId="360B90D9" w14:textId="77777777" w:rsidR="000A5F42" w:rsidRPr="000606CC" w:rsidRDefault="000A5F42" w:rsidP="000A5F42">
      <w:pPr>
        <w:pStyle w:val="NoSpacing"/>
        <w:rPr>
          <w:rStyle w:val="Strong"/>
          <w:rFonts w:cstheme="minorHAnsi"/>
          <w:sz w:val="20"/>
          <w:szCs w:val="18"/>
        </w:rPr>
      </w:pPr>
    </w:p>
    <w:p w14:paraId="74C09CAF" w14:textId="16DCC956" w:rsidR="000A5F42" w:rsidRPr="000606CC" w:rsidRDefault="000A5F42" w:rsidP="000A5F42">
      <w:pPr>
        <w:pStyle w:val="NoSpacing"/>
        <w:rPr>
          <w:rStyle w:val="URI"/>
          <w:rFonts w:cstheme="minorHAnsi"/>
          <w:sz w:val="20"/>
          <w:szCs w:val="18"/>
        </w:rPr>
      </w:pPr>
      <w:r w:rsidRPr="000606CC">
        <w:rPr>
          <w:rStyle w:val="Strong"/>
          <w:rFonts w:cstheme="minorHAnsi"/>
          <w:sz w:val="20"/>
          <w:szCs w:val="18"/>
        </w:rPr>
        <w:t xml:space="preserve">Email: </w:t>
      </w:r>
      <w:hyperlink r:id="rId13" w:history="1">
        <w:r w:rsidRPr="000606CC">
          <w:rPr>
            <w:rStyle w:val="Hyperlink"/>
            <w:rFonts w:cstheme="minorHAnsi"/>
            <w:sz w:val="20"/>
            <w:szCs w:val="18"/>
          </w:rPr>
          <w:t>cdi.editor@health.gov.au</w:t>
        </w:r>
      </w:hyperlink>
      <w:r w:rsidRPr="000606CC">
        <w:rPr>
          <w:rStyle w:val="URI"/>
          <w:rFonts w:cstheme="minorHAnsi"/>
          <w:sz w:val="20"/>
          <w:szCs w:val="18"/>
        </w:rPr>
        <w:t xml:space="preserve"> </w:t>
      </w:r>
    </w:p>
    <w:p w14:paraId="1C47ED32" w14:textId="77777777" w:rsidR="000A5F42" w:rsidRPr="000606CC" w:rsidRDefault="000A5F42" w:rsidP="000A5F42">
      <w:pPr>
        <w:pStyle w:val="NoSpacing"/>
        <w:rPr>
          <w:rStyle w:val="Strong"/>
          <w:rFonts w:cstheme="minorHAnsi"/>
          <w:sz w:val="20"/>
          <w:szCs w:val="18"/>
        </w:rPr>
      </w:pPr>
    </w:p>
    <w:p w14:paraId="0E636851" w14:textId="230CCE8C" w:rsidR="000A5F42" w:rsidRPr="000606CC" w:rsidRDefault="000A5F42" w:rsidP="000A5F42">
      <w:pPr>
        <w:pStyle w:val="NoSpacing"/>
        <w:rPr>
          <w:rFonts w:cstheme="minorHAnsi"/>
          <w:sz w:val="20"/>
          <w:szCs w:val="18"/>
        </w:rPr>
      </w:pPr>
      <w:r w:rsidRPr="000606CC">
        <w:rPr>
          <w:rStyle w:val="Strong"/>
          <w:rFonts w:cstheme="minorHAnsi"/>
          <w:sz w:val="20"/>
          <w:szCs w:val="18"/>
        </w:rPr>
        <w:t>Submit an Article</w:t>
      </w:r>
      <w:r w:rsidRPr="000606CC">
        <w:rPr>
          <w:rStyle w:val="Strong"/>
          <w:rFonts w:cstheme="minorHAnsi"/>
          <w:sz w:val="20"/>
          <w:szCs w:val="18"/>
        </w:rPr>
        <w:br/>
      </w:r>
      <w:r w:rsidRPr="000606CC">
        <w:rPr>
          <w:rFonts w:cstheme="minorHAnsi"/>
          <w:sz w:val="20"/>
          <w:szCs w:val="18"/>
        </w:rPr>
        <w:t xml:space="preserve">You are invited to submit your next communicable disease related article to the Communicable Diseases Intelligence (CDI) for consideration. More information regarding CDI can be found at: </w:t>
      </w:r>
      <w:hyperlink r:id="rId14" w:tooltip="CDI Website" w:history="1">
        <w:r w:rsidRPr="000606CC">
          <w:rPr>
            <w:rStyle w:val="Hyperlink"/>
            <w:rFonts w:cstheme="minorHAnsi"/>
            <w:sz w:val="20"/>
            <w:szCs w:val="18"/>
          </w:rPr>
          <w:t>http://health.gov.au/cdi</w:t>
        </w:r>
      </w:hyperlink>
      <w:r w:rsidRPr="000606CC">
        <w:rPr>
          <w:rFonts w:cstheme="minorHAnsi"/>
          <w:sz w:val="20"/>
          <w:szCs w:val="18"/>
        </w:rPr>
        <w:t xml:space="preserve">. </w:t>
      </w:r>
    </w:p>
    <w:p w14:paraId="16A5940A" w14:textId="4E3E778B" w:rsidR="000A5F42" w:rsidRPr="000606CC" w:rsidRDefault="000A5F42" w:rsidP="000A5F42">
      <w:pPr>
        <w:pStyle w:val="NoSpacing"/>
        <w:rPr>
          <w:rFonts w:cstheme="minorHAnsi"/>
          <w:sz w:val="20"/>
          <w:szCs w:val="18"/>
        </w:rPr>
      </w:pPr>
      <w:r w:rsidRPr="000606CC">
        <w:rPr>
          <w:rFonts w:cstheme="minorHAnsi"/>
          <w:sz w:val="20"/>
          <w:szCs w:val="18"/>
        </w:rPr>
        <w:t xml:space="preserve">Further enquiries should be directed to: </w:t>
      </w:r>
      <w:hyperlink r:id="rId15" w:history="1">
        <w:r w:rsidRPr="000606CC">
          <w:rPr>
            <w:rStyle w:val="Hyperlink"/>
            <w:rFonts w:cstheme="minorHAnsi"/>
            <w:sz w:val="20"/>
            <w:szCs w:val="18"/>
          </w:rPr>
          <w:t>cdi.editor@health.gov.au</w:t>
        </w:r>
      </w:hyperlink>
      <w:r w:rsidRPr="000606CC">
        <w:rPr>
          <w:rFonts w:cstheme="minorHAnsi"/>
          <w:sz w:val="20"/>
          <w:szCs w:val="18"/>
        </w:rPr>
        <w:t>.</w:t>
      </w:r>
    </w:p>
    <w:p w14:paraId="692D0857" w14:textId="77777777" w:rsidR="000A5F42" w:rsidRPr="000606CC" w:rsidRDefault="000A5F42" w:rsidP="000A5F42">
      <w:pPr>
        <w:pStyle w:val="NoSpacing"/>
        <w:pBdr>
          <w:bottom w:val="single" w:sz="6" w:space="1" w:color="auto"/>
        </w:pBdr>
        <w:rPr>
          <w:rStyle w:val="Strong"/>
          <w:rFonts w:cstheme="minorHAnsi"/>
          <w:sz w:val="12"/>
          <w:szCs w:val="18"/>
        </w:rPr>
      </w:pPr>
    </w:p>
    <w:p w14:paraId="7FA5E118" w14:textId="77777777" w:rsidR="000A5F42" w:rsidRPr="000606CC" w:rsidRDefault="000A5F42" w:rsidP="000A5F42">
      <w:pPr>
        <w:pStyle w:val="NoSpacing"/>
        <w:rPr>
          <w:rFonts w:cstheme="minorHAnsi"/>
          <w:sz w:val="20"/>
          <w:szCs w:val="18"/>
        </w:rPr>
      </w:pPr>
    </w:p>
    <w:p w14:paraId="19B960B7" w14:textId="77777777" w:rsidR="000A5F42" w:rsidRPr="000606CC" w:rsidRDefault="000A5F42" w:rsidP="000A5F42">
      <w:pPr>
        <w:pStyle w:val="NoSpacing"/>
        <w:rPr>
          <w:rFonts w:cstheme="minorHAnsi"/>
          <w:sz w:val="20"/>
          <w:szCs w:val="18"/>
        </w:rPr>
      </w:pPr>
      <w:r w:rsidRPr="000606CC">
        <w:rPr>
          <w:rFonts w:cstheme="minorHAnsi"/>
          <w:sz w:val="20"/>
          <w:szCs w:val="18"/>
        </w:rPr>
        <w:t>This journal is indexed by Index Medicus and Medline.</w:t>
      </w:r>
    </w:p>
    <w:p w14:paraId="77BFFDDB" w14:textId="77777777" w:rsidR="000A5F42" w:rsidRPr="000606CC" w:rsidRDefault="000A5F42" w:rsidP="000A5F42">
      <w:pPr>
        <w:pStyle w:val="NoSpacing"/>
        <w:rPr>
          <w:rFonts w:cstheme="minorHAnsi"/>
          <w:sz w:val="20"/>
          <w:szCs w:val="18"/>
        </w:rPr>
      </w:pPr>
    </w:p>
    <w:p w14:paraId="1B7AAF4D" w14:textId="77777777" w:rsidR="000A5F42" w:rsidRPr="000606CC" w:rsidRDefault="000A5F42" w:rsidP="000A5F42">
      <w:pPr>
        <w:pStyle w:val="NoSpacing"/>
        <w:rPr>
          <w:rFonts w:cstheme="minorHAnsi"/>
          <w:sz w:val="20"/>
          <w:szCs w:val="18"/>
        </w:rPr>
      </w:pPr>
      <w:r w:rsidRPr="000606CC">
        <w:rPr>
          <w:rFonts w:cstheme="minorHAnsi"/>
          <w:sz w:val="20"/>
          <w:szCs w:val="18"/>
        </w:rPr>
        <w:t>Creative Commons Licence - Attribution-NonCommercial-NoDerivatives CC BY-NC-ND</w:t>
      </w:r>
    </w:p>
    <w:p w14:paraId="4CA3D073" w14:textId="77777777" w:rsidR="000A5F42" w:rsidRPr="000606CC" w:rsidRDefault="000A5F42" w:rsidP="000A5F42">
      <w:pPr>
        <w:pStyle w:val="NoSpacing"/>
        <w:rPr>
          <w:rFonts w:cstheme="minorHAnsi"/>
          <w:sz w:val="20"/>
          <w:szCs w:val="18"/>
        </w:rPr>
      </w:pPr>
      <w:r w:rsidRPr="000606CC">
        <w:rPr>
          <w:rFonts w:cstheme="minorHAnsi"/>
          <w:sz w:val="20"/>
          <w:szCs w:val="18"/>
        </w:rPr>
        <w:t xml:space="preserve">© </w:t>
      </w:r>
      <w:r w:rsidR="00852E2B">
        <w:rPr>
          <w:rFonts w:cstheme="minorHAnsi"/>
          <w:sz w:val="20"/>
          <w:szCs w:val="18"/>
        </w:rPr>
        <w:fldChar w:fldCharType="begin"/>
      </w:r>
      <w:r w:rsidR="00852E2B">
        <w:rPr>
          <w:rFonts w:cstheme="minorHAnsi"/>
          <w:sz w:val="20"/>
          <w:szCs w:val="18"/>
        </w:rPr>
        <w:instrText xml:space="preserve"> DOCPROPERTY  Year  \* MERGEFORMAT </w:instrText>
      </w:r>
      <w:r w:rsidR="00852E2B">
        <w:rPr>
          <w:rFonts w:cstheme="minorHAnsi"/>
          <w:sz w:val="20"/>
          <w:szCs w:val="18"/>
        </w:rPr>
        <w:fldChar w:fldCharType="separate"/>
      </w:r>
      <w:r w:rsidR="00637DBD">
        <w:rPr>
          <w:rFonts w:cstheme="minorHAnsi"/>
          <w:sz w:val="20"/>
          <w:szCs w:val="18"/>
        </w:rPr>
        <w:t>2022</w:t>
      </w:r>
      <w:r w:rsidR="00852E2B">
        <w:rPr>
          <w:rFonts w:cstheme="minorHAnsi"/>
          <w:sz w:val="20"/>
          <w:szCs w:val="18"/>
        </w:rPr>
        <w:fldChar w:fldCharType="end"/>
      </w:r>
      <w:r w:rsidR="00852E2B">
        <w:rPr>
          <w:rFonts w:cstheme="minorHAnsi"/>
          <w:sz w:val="20"/>
          <w:szCs w:val="18"/>
        </w:rPr>
        <w:t xml:space="preserve"> </w:t>
      </w:r>
      <w:r w:rsidRPr="000606CC">
        <w:rPr>
          <w:rFonts w:cstheme="minorHAnsi"/>
          <w:sz w:val="20"/>
          <w:szCs w:val="18"/>
        </w:rPr>
        <w:t xml:space="preserve">Commonwealth of Australia as represented by the </w:t>
      </w:r>
      <w:r w:rsidR="001723AC">
        <w:rPr>
          <w:rFonts w:cstheme="minorHAnsi"/>
          <w:sz w:val="20"/>
          <w:szCs w:val="18"/>
        </w:rPr>
        <w:t>Department of Health and Aged Care</w:t>
      </w:r>
    </w:p>
    <w:p w14:paraId="43809D73" w14:textId="664AC7FB" w:rsidR="000A5F42" w:rsidRPr="000606CC" w:rsidRDefault="000A5F42" w:rsidP="000A5F42">
      <w:pPr>
        <w:pStyle w:val="NoSpacing"/>
        <w:rPr>
          <w:rFonts w:cstheme="minorHAnsi"/>
          <w:sz w:val="20"/>
          <w:szCs w:val="18"/>
        </w:rPr>
      </w:pPr>
      <w:r w:rsidRPr="000606CC">
        <w:rPr>
          <w:rFonts w:cstheme="minorHAnsi"/>
          <w:sz w:val="20"/>
          <w:szCs w:val="18"/>
        </w:rPr>
        <w:t xml:space="preserve">This publication is licensed under a Creative Commons Attribution-NonCommercial-NoDerivatives 4.0 International Licence from </w:t>
      </w:r>
      <w:hyperlink r:id="rId16" w:tooltip="Creative Commons licence" w:history="1">
        <w:r w:rsidRPr="000606CC">
          <w:rPr>
            <w:rStyle w:val="Hyperlink"/>
            <w:rFonts w:cstheme="minorHAnsi"/>
            <w:sz w:val="20"/>
            <w:szCs w:val="18"/>
          </w:rPr>
          <w:t>https://creativecommons.org/licenses/by-nc-nd/4.0/legalcode</w:t>
        </w:r>
      </w:hyperlink>
      <w:r w:rsidRPr="000606CC">
        <w:rPr>
          <w:rStyle w:val="URI"/>
          <w:rFonts w:cstheme="minorHAnsi"/>
          <w:sz w:val="20"/>
          <w:szCs w:val="18"/>
        </w:rPr>
        <w:t xml:space="preserve"> </w:t>
      </w:r>
      <w:r w:rsidRPr="000606CC">
        <w:rPr>
          <w:rFonts w:cstheme="minorHAnsi"/>
          <w:sz w:val="20"/>
          <w:szCs w:val="18"/>
        </w:rPr>
        <w:t>(Licence). You must read and understand the Licence before using any material from this publication.</w:t>
      </w:r>
    </w:p>
    <w:p w14:paraId="38251E2B" w14:textId="77777777" w:rsidR="000A5F42" w:rsidRPr="000606CC" w:rsidRDefault="000A5F42" w:rsidP="000A5F42">
      <w:pPr>
        <w:pStyle w:val="NoSpacing"/>
        <w:rPr>
          <w:rFonts w:cstheme="minorHAnsi"/>
          <w:sz w:val="20"/>
          <w:szCs w:val="18"/>
        </w:rPr>
      </w:pPr>
    </w:p>
    <w:p w14:paraId="030325DA" w14:textId="77777777" w:rsidR="000A5F42" w:rsidRPr="000606CC" w:rsidRDefault="000A5F42" w:rsidP="000A5F42">
      <w:pPr>
        <w:pStyle w:val="NoSpacing"/>
        <w:rPr>
          <w:rFonts w:cstheme="minorHAnsi"/>
          <w:sz w:val="20"/>
          <w:szCs w:val="18"/>
        </w:rPr>
      </w:pPr>
      <w:r w:rsidRPr="000606CC">
        <w:rPr>
          <w:rStyle w:val="Strong"/>
          <w:rFonts w:cstheme="minorHAnsi"/>
          <w:sz w:val="20"/>
          <w:szCs w:val="18"/>
        </w:rPr>
        <w:t>Restrictions</w:t>
      </w:r>
      <w:r w:rsidRPr="000606CC">
        <w:rPr>
          <w:rStyle w:val="Strong"/>
          <w:rFonts w:cstheme="minorHAnsi"/>
          <w:sz w:val="20"/>
          <w:szCs w:val="18"/>
        </w:rPr>
        <w:br/>
      </w:r>
      <w:r w:rsidRPr="000606CC">
        <w:rPr>
          <w:rFonts w:cstheme="minorHAnsi"/>
          <w:sz w:val="20"/>
          <w:szCs w:val="18"/>
        </w:rPr>
        <w:t>The Licence does not cover, and there is no permission given for, use of any of the following material found in this publication (if</w:t>
      </w:r>
      <w:r w:rsidR="001378A3">
        <w:rPr>
          <w:rFonts w:cstheme="minorHAnsi"/>
          <w:sz w:val="20"/>
          <w:szCs w:val="18"/>
        </w:rPr>
        <w:t> </w:t>
      </w:r>
      <w:r w:rsidRPr="000606CC">
        <w:rPr>
          <w:rFonts w:cstheme="minorHAnsi"/>
          <w:sz w:val="20"/>
          <w:szCs w:val="18"/>
        </w:rPr>
        <w:t xml:space="preserve">any): </w:t>
      </w:r>
    </w:p>
    <w:p w14:paraId="2ACFC196" w14:textId="733319B1" w:rsidR="000A5F42" w:rsidRPr="000606CC" w:rsidRDefault="000A5F42" w:rsidP="000A5F42">
      <w:pPr>
        <w:pStyle w:val="NoSpacing"/>
        <w:numPr>
          <w:ilvl w:val="0"/>
          <w:numId w:val="6"/>
        </w:numPr>
        <w:rPr>
          <w:rFonts w:cstheme="minorHAnsi"/>
          <w:sz w:val="20"/>
          <w:szCs w:val="18"/>
        </w:rPr>
      </w:pPr>
      <w:r w:rsidRPr="000606CC">
        <w:rPr>
          <w:rFonts w:cstheme="minorHAnsi"/>
          <w:sz w:val="20"/>
          <w:szCs w:val="18"/>
        </w:rPr>
        <w:t xml:space="preserve">the Commonwealth Coat of Arms (by way of information, the terms under which the Coat of Arms may be used can be found at </w:t>
      </w:r>
      <w:hyperlink r:id="rId17" w:tooltip="Australian Honours system website" w:history="1">
        <w:r w:rsidRPr="000606CC">
          <w:rPr>
            <w:rStyle w:val="Hyperlink"/>
            <w:rFonts w:cstheme="minorHAnsi"/>
            <w:sz w:val="20"/>
            <w:szCs w:val="18"/>
          </w:rPr>
          <w:t>www.itsanhonour.gov.au</w:t>
        </w:r>
      </w:hyperlink>
      <w:r w:rsidRPr="000606CC">
        <w:rPr>
          <w:rStyle w:val="URI"/>
          <w:rFonts w:cstheme="minorHAnsi"/>
          <w:sz w:val="20"/>
          <w:szCs w:val="18"/>
          <w:u w:val="none"/>
        </w:rPr>
        <w:t>)</w:t>
      </w:r>
      <w:r w:rsidRPr="000606CC">
        <w:rPr>
          <w:rFonts w:cstheme="minorHAnsi"/>
          <w:sz w:val="20"/>
          <w:szCs w:val="18"/>
        </w:rPr>
        <w:t xml:space="preserve">;  </w:t>
      </w:r>
    </w:p>
    <w:p w14:paraId="7F426378" w14:textId="77777777" w:rsidR="000A5F42" w:rsidRPr="000606CC" w:rsidRDefault="000A5F42" w:rsidP="000A5F42">
      <w:pPr>
        <w:pStyle w:val="NoSpacing"/>
        <w:numPr>
          <w:ilvl w:val="0"/>
          <w:numId w:val="6"/>
        </w:numPr>
        <w:rPr>
          <w:rFonts w:cstheme="minorHAnsi"/>
          <w:sz w:val="20"/>
          <w:szCs w:val="18"/>
        </w:rPr>
      </w:pPr>
      <w:r w:rsidRPr="000606CC">
        <w:rPr>
          <w:rFonts w:cstheme="minorHAnsi"/>
          <w:sz w:val="20"/>
          <w:szCs w:val="18"/>
        </w:rPr>
        <w:t xml:space="preserve">any logos (including the </w:t>
      </w:r>
      <w:r w:rsidR="001723AC">
        <w:rPr>
          <w:rFonts w:cstheme="minorHAnsi"/>
          <w:sz w:val="20"/>
          <w:szCs w:val="18"/>
        </w:rPr>
        <w:t>Department of Health and Aged Care</w:t>
      </w:r>
      <w:r w:rsidRPr="000606CC">
        <w:rPr>
          <w:rFonts w:cstheme="minorHAnsi"/>
          <w:sz w:val="20"/>
          <w:szCs w:val="18"/>
        </w:rPr>
        <w:t>’s logo) and trademarks;</w:t>
      </w:r>
    </w:p>
    <w:p w14:paraId="30EEEA7B" w14:textId="77777777" w:rsidR="000A5F42" w:rsidRPr="000606CC" w:rsidRDefault="000A5F42" w:rsidP="000A5F42">
      <w:pPr>
        <w:pStyle w:val="NoSpacing"/>
        <w:numPr>
          <w:ilvl w:val="0"/>
          <w:numId w:val="6"/>
        </w:numPr>
        <w:rPr>
          <w:rFonts w:cstheme="minorHAnsi"/>
          <w:sz w:val="20"/>
          <w:szCs w:val="18"/>
        </w:rPr>
      </w:pPr>
      <w:r w:rsidRPr="000606CC">
        <w:rPr>
          <w:rFonts w:cstheme="minorHAnsi"/>
          <w:sz w:val="20"/>
          <w:szCs w:val="18"/>
        </w:rPr>
        <w:t xml:space="preserve">any photographs and images; </w:t>
      </w:r>
    </w:p>
    <w:p w14:paraId="58A63C23" w14:textId="77777777" w:rsidR="000A5F42" w:rsidRPr="000606CC" w:rsidRDefault="000A5F42" w:rsidP="000A5F42">
      <w:pPr>
        <w:pStyle w:val="NoSpacing"/>
        <w:numPr>
          <w:ilvl w:val="0"/>
          <w:numId w:val="6"/>
        </w:numPr>
        <w:rPr>
          <w:rFonts w:cstheme="minorHAnsi"/>
          <w:sz w:val="20"/>
          <w:szCs w:val="18"/>
        </w:rPr>
      </w:pPr>
      <w:r w:rsidRPr="000606CC">
        <w:rPr>
          <w:rFonts w:cstheme="minorHAnsi"/>
          <w:sz w:val="20"/>
          <w:szCs w:val="18"/>
        </w:rPr>
        <w:t>any signatures; and</w:t>
      </w:r>
    </w:p>
    <w:p w14:paraId="7C5DE12E" w14:textId="77777777" w:rsidR="000A5F42" w:rsidRPr="000606CC" w:rsidRDefault="000A5F42" w:rsidP="000A5F42">
      <w:pPr>
        <w:pStyle w:val="NoSpacing"/>
        <w:numPr>
          <w:ilvl w:val="0"/>
          <w:numId w:val="6"/>
        </w:numPr>
        <w:rPr>
          <w:rFonts w:cstheme="minorHAnsi"/>
          <w:sz w:val="20"/>
          <w:szCs w:val="18"/>
        </w:rPr>
      </w:pPr>
      <w:r w:rsidRPr="000606CC">
        <w:rPr>
          <w:rFonts w:cstheme="minorHAnsi"/>
          <w:sz w:val="20"/>
          <w:szCs w:val="18"/>
        </w:rPr>
        <w:t xml:space="preserve">any material belonging to third parties. </w:t>
      </w:r>
    </w:p>
    <w:p w14:paraId="38949314" w14:textId="77777777" w:rsidR="000A5F42" w:rsidRPr="000606CC" w:rsidRDefault="000A5F42" w:rsidP="000A5F42">
      <w:pPr>
        <w:pStyle w:val="NoSpacing"/>
        <w:rPr>
          <w:rStyle w:val="Strong"/>
          <w:rFonts w:cstheme="minorHAnsi"/>
          <w:sz w:val="20"/>
          <w:szCs w:val="18"/>
        </w:rPr>
      </w:pPr>
    </w:p>
    <w:p w14:paraId="36DB395D" w14:textId="77777777" w:rsidR="000A5F42" w:rsidRPr="000606CC" w:rsidRDefault="000A5F42" w:rsidP="000A5F42">
      <w:pPr>
        <w:pStyle w:val="NoSpacing"/>
        <w:rPr>
          <w:rStyle w:val="Strong"/>
          <w:rFonts w:cstheme="minorHAnsi"/>
          <w:sz w:val="20"/>
          <w:szCs w:val="18"/>
        </w:rPr>
      </w:pPr>
      <w:r w:rsidRPr="000606CC">
        <w:rPr>
          <w:rStyle w:val="Strong"/>
          <w:rFonts w:cstheme="minorHAnsi"/>
          <w:sz w:val="20"/>
          <w:szCs w:val="18"/>
        </w:rPr>
        <w:t>Disclaimer</w:t>
      </w:r>
      <w:r w:rsidRPr="000606CC">
        <w:rPr>
          <w:rStyle w:val="Strong"/>
          <w:rFonts w:cstheme="minorHAnsi"/>
          <w:sz w:val="20"/>
          <w:szCs w:val="18"/>
        </w:rPr>
        <w:br/>
      </w:r>
      <w:r w:rsidRPr="000606CC">
        <w:rPr>
          <w:rFonts w:cstheme="minorHAnsi"/>
          <w:sz w:val="20"/>
          <w:szCs w:val="18"/>
        </w:rPr>
        <w:t xml:space="preserve">Opinions expressed in Communicable Diseases Intelligence are those of the authors and not necessarily those of the Australian Government </w:t>
      </w:r>
      <w:r w:rsidR="001723AC">
        <w:rPr>
          <w:rFonts w:cstheme="minorHAnsi"/>
          <w:sz w:val="20"/>
          <w:szCs w:val="18"/>
        </w:rPr>
        <w:t>Department of Health and Aged Care</w:t>
      </w:r>
      <w:r w:rsidRPr="000606CC">
        <w:rPr>
          <w:rFonts w:cstheme="minorHAnsi"/>
          <w:sz w:val="20"/>
          <w:szCs w:val="18"/>
        </w:rPr>
        <w:t xml:space="preserve"> or the Communicable Diseases Network Australia. Data may be subject to revision.</w:t>
      </w:r>
    </w:p>
    <w:p w14:paraId="1334691F" w14:textId="77777777" w:rsidR="000A5F42" w:rsidRPr="000606CC" w:rsidRDefault="000A5F42" w:rsidP="000A5F42">
      <w:pPr>
        <w:pStyle w:val="NoSpacing"/>
        <w:rPr>
          <w:rStyle w:val="Strong"/>
          <w:rFonts w:cstheme="minorHAnsi"/>
          <w:sz w:val="20"/>
          <w:szCs w:val="18"/>
        </w:rPr>
      </w:pPr>
    </w:p>
    <w:p w14:paraId="5CB196E9" w14:textId="40FC1958" w:rsidR="000A5F42" w:rsidRPr="000606CC" w:rsidRDefault="000A5F42" w:rsidP="000A5F42">
      <w:pPr>
        <w:pStyle w:val="NoSpacing"/>
        <w:rPr>
          <w:rStyle w:val="URI"/>
          <w:rFonts w:cstheme="minorHAnsi"/>
          <w:sz w:val="20"/>
          <w:szCs w:val="18"/>
        </w:rPr>
      </w:pPr>
      <w:r w:rsidRPr="000606CC">
        <w:rPr>
          <w:rStyle w:val="Strong"/>
          <w:rFonts w:cstheme="minorHAnsi"/>
          <w:sz w:val="20"/>
          <w:szCs w:val="18"/>
        </w:rPr>
        <w:t>Enquiries</w:t>
      </w:r>
      <w:r w:rsidRPr="000606CC">
        <w:rPr>
          <w:rStyle w:val="Strong"/>
          <w:rFonts w:cstheme="minorHAnsi"/>
          <w:sz w:val="20"/>
          <w:szCs w:val="18"/>
        </w:rPr>
        <w:br/>
      </w:r>
      <w:r w:rsidRPr="000606CC">
        <w:rPr>
          <w:rFonts w:cstheme="minorHAnsi"/>
          <w:sz w:val="20"/>
          <w:szCs w:val="18"/>
        </w:rPr>
        <w:t xml:space="preserve">Enquiries regarding any other use of this publication should be addressed to the Communication Branch, </w:t>
      </w:r>
      <w:r w:rsidR="001723AC">
        <w:rPr>
          <w:rFonts w:cstheme="minorHAnsi"/>
          <w:sz w:val="20"/>
          <w:szCs w:val="18"/>
        </w:rPr>
        <w:t>Department of Health and Aged Care</w:t>
      </w:r>
      <w:r w:rsidRPr="000606CC">
        <w:rPr>
          <w:rFonts w:cstheme="minorHAnsi"/>
          <w:sz w:val="20"/>
          <w:szCs w:val="18"/>
        </w:rPr>
        <w:t xml:space="preserve">, GPO Box 9848, Canberra ACT 2601, or via e-mail to: </w:t>
      </w:r>
      <w:hyperlink r:id="rId18" w:history="1">
        <w:r w:rsidRPr="000606CC">
          <w:rPr>
            <w:rStyle w:val="Hyperlink"/>
            <w:rFonts w:cstheme="minorHAnsi"/>
            <w:sz w:val="20"/>
            <w:szCs w:val="18"/>
          </w:rPr>
          <w:t>copyright@health.gov.au</w:t>
        </w:r>
      </w:hyperlink>
      <w:r w:rsidRPr="000606CC">
        <w:rPr>
          <w:rStyle w:val="URI"/>
          <w:rFonts w:cstheme="minorHAnsi"/>
          <w:sz w:val="20"/>
          <w:szCs w:val="18"/>
        </w:rPr>
        <w:t xml:space="preserve"> </w:t>
      </w:r>
    </w:p>
    <w:p w14:paraId="23F761E1" w14:textId="77777777" w:rsidR="000A5F42" w:rsidRPr="000606CC" w:rsidRDefault="000A5F42" w:rsidP="000A5F42">
      <w:pPr>
        <w:pStyle w:val="NoSpacing"/>
        <w:rPr>
          <w:rStyle w:val="URI"/>
          <w:rFonts w:cstheme="minorHAnsi"/>
          <w:sz w:val="20"/>
          <w:szCs w:val="18"/>
        </w:rPr>
      </w:pPr>
    </w:p>
    <w:p w14:paraId="6472CA87" w14:textId="1080153A" w:rsidR="000A5F42" w:rsidRPr="000606CC" w:rsidRDefault="000A5F42" w:rsidP="000A5F42">
      <w:pPr>
        <w:pStyle w:val="NoSpacing"/>
        <w:rPr>
          <w:rStyle w:val="Strong"/>
          <w:rFonts w:cstheme="minorHAnsi"/>
          <w:b w:val="0"/>
          <w:bCs w:val="0"/>
          <w:color w:val="000000"/>
          <w:sz w:val="20"/>
          <w:szCs w:val="18"/>
          <w:u w:val="thick"/>
        </w:rPr>
      </w:pPr>
      <w:r w:rsidRPr="000606CC">
        <w:rPr>
          <w:rStyle w:val="Strong"/>
          <w:rFonts w:cstheme="minorHAnsi"/>
          <w:sz w:val="20"/>
          <w:szCs w:val="18"/>
        </w:rPr>
        <w:t>Communicable Diseases Network Australia</w:t>
      </w:r>
      <w:r w:rsidRPr="000606CC">
        <w:rPr>
          <w:rStyle w:val="Strong"/>
          <w:rFonts w:cstheme="minorHAnsi"/>
          <w:sz w:val="20"/>
          <w:szCs w:val="18"/>
        </w:rPr>
        <w:br/>
      </w:r>
      <w:r w:rsidRPr="000606CC">
        <w:rPr>
          <w:rFonts w:cstheme="minorHAnsi"/>
          <w:sz w:val="20"/>
          <w:szCs w:val="18"/>
        </w:rPr>
        <w:t>Communicable Diseases Intelligence contributes to the work of the Communicable Diseases Network Australia.</w:t>
      </w:r>
      <w:r w:rsidRPr="000606CC">
        <w:rPr>
          <w:rFonts w:cstheme="minorHAnsi"/>
          <w:sz w:val="20"/>
          <w:szCs w:val="18"/>
        </w:rPr>
        <w:br/>
      </w:r>
      <w:hyperlink r:id="rId19" w:tooltip="Communicable Diseases Network Australia website" w:history="1">
        <w:r w:rsidRPr="000606CC">
          <w:rPr>
            <w:rStyle w:val="Hyperlink"/>
            <w:rFonts w:cstheme="minorHAnsi"/>
            <w:sz w:val="20"/>
            <w:szCs w:val="18"/>
          </w:rPr>
          <w:t>http://www.health.gov.au/cdna</w:t>
        </w:r>
      </w:hyperlink>
    </w:p>
    <w:p w14:paraId="22D09C6C" w14:textId="77777777" w:rsidR="001B37B8" w:rsidRPr="00E92237" w:rsidRDefault="001B37B8" w:rsidP="001B37B8">
      <w:pPr>
        <w:rPr>
          <w:rFonts w:cs="Myriad Pro"/>
          <w:color w:val="211D1E"/>
          <w:sz w:val="20"/>
          <w:szCs w:val="20"/>
        </w:rPr>
      </w:pPr>
    </w:p>
    <w:sectPr w:rsidR="001B37B8" w:rsidRPr="00E92237" w:rsidSect="002B75A9">
      <w:headerReference w:type="default" r:id="rId20"/>
      <w:footnotePr>
        <w:numFmt w:val="lowerRoman"/>
      </w:footnotePr>
      <w:pgSz w:w="11906" w:h="16838"/>
      <w:pgMar w:top="720" w:right="720" w:bottom="1134" w:left="720" w:header="709" w:footer="284"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5B366A0" w14:textId="77777777" w:rsidR="00637DBD" w:rsidRDefault="00637DBD" w:rsidP="00E54DBA">
      <w:r>
        <w:separator/>
      </w:r>
    </w:p>
    <w:p w14:paraId="1E74C8A4" w14:textId="77777777" w:rsidR="00637DBD" w:rsidRDefault="00637DBD"/>
    <w:p w14:paraId="0141FE1E" w14:textId="77777777" w:rsidR="00637DBD" w:rsidRDefault="00637DBD" w:rsidP="008714B0"/>
  </w:endnote>
  <w:endnote w:type="continuationSeparator" w:id="0">
    <w:p w14:paraId="36D1B8E4" w14:textId="77777777" w:rsidR="00637DBD" w:rsidRDefault="00637DBD" w:rsidP="00E54DBA">
      <w:r>
        <w:continuationSeparator/>
      </w:r>
    </w:p>
    <w:p w14:paraId="26AEDB18" w14:textId="77777777" w:rsidR="00637DBD" w:rsidRDefault="00637DBD"/>
    <w:p w14:paraId="1D180083" w14:textId="77777777" w:rsidR="00637DBD" w:rsidRDefault="00637DBD" w:rsidP="008714B0"/>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embedRegular r:id="rId1" w:fontKey="{538BDFB5-229D-4A31-A8B0-D6E6221D3832}"/>
    <w:embedBold r:id="rId2" w:fontKey="{5B2B017B-B849-442C-96AC-A32D93E5EEB5}"/>
    <w:embedItalic r:id="rId3" w:fontKey="{7BA51631-2F0E-4BC3-B530-733879F6300A}"/>
    <w:embedBoldItalic r:id="rId4" w:fontKey="{912E8CA2-A3F1-4442-B20D-8CEEC7C7AF1B}"/>
  </w:font>
  <w:font w:name="Cambria">
    <w:panose1 w:val="02040503050406030204"/>
    <w:charset w:val="00"/>
    <w:family w:val="roman"/>
    <w:pitch w:val="variable"/>
    <w:sig w:usb0="E00006FF" w:usb1="420024FF" w:usb2="02000000" w:usb3="00000000" w:csb0="0000019F" w:csb1="00000000"/>
    <w:embedRegular r:id="rId5" w:fontKey="{85F18239-B17F-40CD-B349-F70EC7CD56BC}"/>
    <w:embedBold r:id="rId6" w:fontKey="{38BB8D56-1721-485B-98E1-75D1CC6300B4}"/>
    <w:embedItalic r:id="rId7" w:fontKey="{59342D89-67DB-4436-9831-879FE06C8240}"/>
    <w:embedBoldItalic r:id="rId8" w:fontKey="{D9F72829-D8B6-4A93-BEA7-56A05E41288A}"/>
  </w:font>
  <w:font w:name="Myriad Pro">
    <w:altName w:val="Corbel"/>
    <w:panose1 w:val="00000000000000000000"/>
    <w:charset w:val="00"/>
    <w:family w:val="swiss"/>
    <w:notTrueType/>
    <w:pitch w:val="variable"/>
    <w:sig w:usb0="20000287" w:usb1="00000001" w:usb2="00000000" w:usb3="00000000" w:csb0="0000019F" w:csb1="00000000"/>
  </w:font>
  <w:font w:name="Minion Pro SmBd">
    <w:panose1 w:val="02040603060306020203"/>
    <w:charset w:val="00"/>
    <w:family w:val="roman"/>
    <w:notTrueType/>
    <w:pitch w:val="variable"/>
    <w:sig w:usb0="60000287" w:usb1="00000001" w:usb2="00000000" w:usb3="00000000" w:csb0="0000019F" w:csb1="00000000"/>
  </w:font>
  <w:font w:name="Myriad Pro Cond">
    <w:altName w:val="Corbel"/>
    <w:panose1 w:val="020B0506030403020204"/>
    <w:charset w:val="00"/>
    <w:family w:val="swiss"/>
    <w:notTrueType/>
    <w:pitch w:val="variable"/>
    <w:sig w:usb0="20000287" w:usb1="00000001" w:usb2="00000000" w:usb3="00000000" w:csb0="0000019F" w:csb1="00000000"/>
  </w:font>
  <w:font w:name="Tahoma">
    <w:panose1 w:val="020B0604030504040204"/>
    <w:charset w:val="00"/>
    <w:family w:val="swiss"/>
    <w:pitch w:val="variable"/>
    <w:sig w:usb0="E1002EFF" w:usb1="C000605B" w:usb2="00000029" w:usb3="00000000" w:csb0="000101FF" w:csb1="00000000"/>
    <w:embedRegular r:id="rId9" w:fontKey="{04965414-6105-4601-98BF-076223A6A205}"/>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E225648" w14:textId="7372F49F" w:rsidR="00401ED1" w:rsidRPr="0042435E" w:rsidRDefault="0042435E" w:rsidP="00252C9A">
    <w:pPr>
      <w:pStyle w:val="Footer"/>
      <w:pBdr>
        <w:top w:val="single" w:sz="2" w:space="1" w:color="auto"/>
      </w:pBdr>
      <w:rPr>
        <w:sz w:val="18"/>
      </w:rPr>
    </w:pPr>
    <w:r w:rsidRPr="00BE6C3D">
      <w:rPr>
        <w:sz w:val="18"/>
      </w:rPr>
      <w:fldChar w:fldCharType="begin"/>
    </w:r>
    <w:r w:rsidRPr="00BE6C3D">
      <w:rPr>
        <w:sz w:val="18"/>
      </w:rPr>
      <w:instrText xml:space="preserve"> PAGE   \* MERGEFORMAT </w:instrText>
    </w:r>
    <w:r w:rsidRPr="00BE6C3D">
      <w:rPr>
        <w:sz w:val="18"/>
      </w:rPr>
      <w:fldChar w:fldCharType="separate"/>
    </w:r>
    <w:r w:rsidR="00A443E3">
      <w:rPr>
        <w:noProof/>
        <w:sz w:val="18"/>
      </w:rPr>
      <w:t>3</w:t>
    </w:r>
    <w:r w:rsidRPr="00BE6C3D">
      <w:rPr>
        <w:noProof/>
        <w:sz w:val="18"/>
      </w:rPr>
      <w:fldChar w:fldCharType="end"/>
    </w:r>
    <w:r>
      <w:rPr>
        <w:noProof/>
        <w:sz w:val="18"/>
      </w:rPr>
      <w:t xml:space="preserve"> of </w:t>
    </w:r>
    <w:r w:rsidR="007C6454">
      <w:rPr>
        <w:noProof/>
        <w:sz w:val="18"/>
      </w:rPr>
      <w:fldChar w:fldCharType="begin"/>
    </w:r>
    <w:r w:rsidR="007C6454">
      <w:rPr>
        <w:noProof/>
        <w:sz w:val="18"/>
      </w:rPr>
      <w:instrText xml:space="preserve"> NUMPAGES \* MERGEFORMAT </w:instrText>
    </w:r>
    <w:r w:rsidR="007C6454">
      <w:rPr>
        <w:noProof/>
        <w:sz w:val="18"/>
      </w:rPr>
      <w:fldChar w:fldCharType="separate"/>
    </w:r>
    <w:r w:rsidR="00A443E3">
      <w:rPr>
        <w:noProof/>
        <w:sz w:val="18"/>
      </w:rPr>
      <w:t>3</w:t>
    </w:r>
    <w:r w:rsidR="007C6454">
      <w:rPr>
        <w:noProof/>
        <w:sz w:val="18"/>
      </w:rPr>
      <w:fldChar w:fldCharType="end"/>
    </w:r>
    <w:r>
      <w:rPr>
        <w:noProof/>
        <w:sz w:val="18"/>
      </w:rPr>
      <w:t xml:space="preserve"> </w:t>
    </w:r>
    <w:r w:rsidRPr="004315F5">
      <w:rPr>
        <w:sz w:val="18"/>
      </w:rPr>
      <w:t xml:space="preserve"> </w:t>
    </w:r>
    <w:r w:rsidR="00231046">
      <w:rPr>
        <w:noProof/>
        <w:sz w:val="18"/>
      </w:rPr>
      <w:ptab w:relativeTo="margin" w:alignment="center" w:leader="none"/>
    </w:r>
    <w:r w:rsidR="00231046" w:rsidRPr="004315F5">
      <w:rPr>
        <w:sz w:val="18"/>
      </w:rPr>
      <w:t xml:space="preserve"> </w:t>
    </w:r>
    <w:r w:rsidR="00CE342B" w:rsidRPr="00A164D5">
      <w:rPr>
        <w:b/>
        <w:i/>
        <w:sz w:val="18"/>
      </w:rPr>
      <w:t>Commun Dis Intell (2018)</w:t>
    </w:r>
    <w:r w:rsidR="00CE342B">
      <w:rPr>
        <w:sz w:val="18"/>
      </w:rPr>
      <w:t xml:space="preserve"> </w:t>
    </w:r>
    <w:r w:rsidR="00231046">
      <w:rPr>
        <w:sz w:val="18"/>
      </w:rPr>
      <w:fldChar w:fldCharType="begin"/>
    </w:r>
    <w:r w:rsidR="00231046">
      <w:rPr>
        <w:sz w:val="18"/>
      </w:rPr>
      <w:instrText xml:space="preserve"> DOCPROPERTY  Year  \* MERGEFORMAT </w:instrText>
    </w:r>
    <w:r w:rsidR="00231046">
      <w:rPr>
        <w:sz w:val="18"/>
      </w:rPr>
      <w:fldChar w:fldCharType="separate"/>
    </w:r>
    <w:r w:rsidR="00637DBD">
      <w:rPr>
        <w:sz w:val="18"/>
      </w:rPr>
      <w:t>2022</w:t>
    </w:r>
    <w:r w:rsidR="00231046">
      <w:rPr>
        <w:sz w:val="18"/>
      </w:rPr>
      <w:fldChar w:fldCharType="end"/>
    </w:r>
    <w:r w:rsidR="00231046">
      <w:rPr>
        <w:sz w:val="18"/>
      </w:rPr>
      <w:t xml:space="preserve"> </w:t>
    </w:r>
    <w:r w:rsidR="00231046">
      <w:rPr>
        <w:sz w:val="18"/>
      </w:rPr>
      <w:fldChar w:fldCharType="begin"/>
    </w:r>
    <w:r w:rsidR="00231046">
      <w:rPr>
        <w:sz w:val="18"/>
      </w:rPr>
      <w:instrText xml:space="preserve"> DOCPROPERTY  Vol  \* MERGEFORMAT </w:instrText>
    </w:r>
    <w:r w:rsidR="00231046">
      <w:rPr>
        <w:sz w:val="18"/>
      </w:rPr>
      <w:fldChar w:fldCharType="separate"/>
    </w:r>
    <w:r w:rsidR="00637DBD">
      <w:rPr>
        <w:sz w:val="18"/>
      </w:rPr>
      <w:t>46</w:t>
    </w:r>
    <w:r w:rsidR="00231046">
      <w:rPr>
        <w:sz w:val="18"/>
      </w:rPr>
      <w:fldChar w:fldCharType="end"/>
    </w:r>
    <w:r w:rsidR="00CE342B">
      <w:rPr>
        <w:sz w:val="18"/>
      </w:rPr>
      <w:t xml:space="preserve"> </w:t>
    </w:r>
    <w:r w:rsidR="00CE342B">
      <w:rPr>
        <w:sz w:val="18"/>
      </w:rPr>
      <w:fldChar w:fldCharType="begin"/>
    </w:r>
    <w:r w:rsidR="00CE342B">
      <w:rPr>
        <w:sz w:val="18"/>
      </w:rPr>
      <w:instrText xml:space="preserve"> DOCPROPERTY  DOI  \* MERGEFORMAT </w:instrText>
    </w:r>
    <w:r w:rsidR="00CE342B">
      <w:rPr>
        <w:sz w:val="18"/>
      </w:rPr>
      <w:fldChar w:fldCharType="separate"/>
    </w:r>
    <w:r w:rsidR="00823F9A">
      <w:rPr>
        <w:sz w:val="18"/>
      </w:rPr>
      <w:t>https://doi.org/10.33321/cdi.2022.46.85</w:t>
    </w:r>
    <w:r w:rsidR="00CE342B">
      <w:rPr>
        <w:sz w:val="18"/>
      </w:rPr>
      <w:fldChar w:fldCharType="end"/>
    </w:r>
    <w:r w:rsidR="00231046">
      <w:rPr>
        <w:sz w:val="18"/>
      </w:rPr>
      <w:t xml:space="preserve"> </w:t>
    </w:r>
    <w:r w:rsidR="00231046" w:rsidRPr="00155582">
      <w:rPr>
        <w:sz w:val="18"/>
      </w:rPr>
      <w:t>Epub</w:t>
    </w:r>
    <w:r w:rsidR="00CE342B">
      <w:rPr>
        <w:sz w:val="18"/>
      </w:rPr>
      <w:t xml:space="preserve"> </w:t>
    </w:r>
    <w:r w:rsidR="00CE342B">
      <w:rPr>
        <w:sz w:val="18"/>
      </w:rPr>
      <w:fldChar w:fldCharType="begin"/>
    </w:r>
    <w:r w:rsidR="00CE342B">
      <w:rPr>
        <w:sz w:val="18"/>
      </w:rPr>
      <w:instrText xml:space="preserve"> DOCPROPERTY  ePubDate  \* MERGEFORMAT </w:instrText>
    </w:r>
    <w:r w:rsidR="00CE342B">
      <w:rPr>
        <w:sz w:val="18"/>
      </w:rPr>
      <w:fldChar w:fldCharType="separate"/>
    </w:r>
    <w:r w:rsidR="00823F9A">
      <w:rPr>
        <w:sz w:val="18"/>
      </w:rPr>
      <w:t>15/12/2022</w:t>
    </w:r>
    <w:r w:rsidR="00CE342B">
      <w:rPr>
        <w:sz w:val="18"/>
      </w:rPr>
      <w:fldChar w:fldCharType="end"/>
    </w:r>
    <w:r>
      <w:rPr>
        <w:sz w:val="18"/>
      </w:rPr>
      <w:ptab w:relativeTo="margin" w:alignment="right" w:leader="none"/>
    </w:r>
    <w:r w:rsidRPr="00155582">
      <w:rPr>
        <w:sz w:val="18"/>
      </w:rPr>
      <w:t>health.gov.au/cdi</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C9ABCEC" w14:textId="1B7800AC" w:rsidR="00BB5378" w:rsidRPr="00BB5378" w:rsidRDefault="00BB5378" w:rsidP="00E538CC">
    <w:pPr>
      <w:pStyle w:val="Footer"/>
      <w:pBdr>
        <w:top w:val="single" w:sz="4" w:space="1" w:color="auto"/>
      </w:pBdr>
      <w:rPr>
        <w:sz w:val="18"/>
      </w:rPr>
    </w:pPr>
    <w:r w:rsidRPr="00BE6C3D">
      <w:rPr>
        <w:sz w:val="18"/>
      </w:rPr>
      <w:fldChar w:fldCharType="begin"/>
    </w:r>
    <w:r w:rsidRPr="00BE6C3D">
      <w:rPr>
        <w:sz w:val="18"/>
      </w:rPr>
      <w:instrText xml:space="preserve"> PAGE   \* MERGEFORMAT </w:instrText>
    </w:r>
    <w:r w:rsidRPr="00BE6C3D">
      <w:rPr>
        <w:sz w:val="18"/>
      </w:rPr>
      <w:fldChar w:fldCharType="separate"/>
    </w:r>
    <w:r w:rsidR="00A443E3">
      <w:rPr>
        <w:noProof/>
        <w:sz w:val="18"/>
      </w:rPr>
      <w:t>1</w:t>
    </w:r>
    <w:r w:rsidRPr="00BE6C3D">
      <w:rPr>
        <w:noProof/>
        <w:sz w:val="18"/>
      </w:rPr>
      <w:fldChar w:fldCharType="end"/>
    </w:r>
    <w:r>
      <w:rPr>
        <w:noProof/>
        <w:sz w:val="18"/>
      </w:rPr>
      <w:t xml:space="preserve"> of </w:t>
    </w:r>
    <w:r w:rsidR="00B132DB">
      <w:rPr>
        <w:noProof/>
        <w:sz w:val="18"/>
      </w:rPr>
      <w:fldChar w:fldCharType="begin"/>
    </w:r>
    <w:r w:rsidR="00B132DB">
      <w:rPr>
        <w:noProof/>
        <w:sz w:val="18"/>
      </w:rPr>
      <w:instrText xml:space="preserve"> NUMPAGES \* MERGEFORMAT </w:instrText>
    </w:r>
    <w:r w:rsidR="00B132DB">
      <w:rPr>
        <w:noProof/>
        <w:sz w:val="18"/>
      </w:rPr>
      <w:fldChar w:fldCharType="separate"/>
    </w:r>
    <w:r w:rsidR="00A443E3">
      <w:rPr>
        <w:noProof/>
        <w:sz w:val="18"/>
      </w:rPr>
      <w:t>3</w:t>
    </w:r>
    <w:r w:rsidR="00B132DB">
      <w:rPr>
        <w:noProof/>
        <w:sz w:val="18"/>
      </w:rPr>
      <w:fldChar w:fldCharType="end"/>
    </w:r>
    <w:r>
      <w:rPr>
        <w:noProof/>
        <w:sz w:val="18"/>
      </w:rPr>
      <w:t xml:space="preserve"> </w:t>
    </w:r>
    <w:r>
      <w:rPr>
        <w:noProof/>
        <w:sz w:val="18"/>
      </w:rPr>
      <w:ptab w:relativeTo="margin" w:alignment="center" w:leader="none"/>
    </w:r>
    <w:r w:rsidRPr="004315F5">
      <w:rPr>
        <w:sz w:val="18"/>
      </w:rPr>
      <w:t xml:space="preserve"> </w:t>
    </w:r>
    <w:r w:rsidR="00A164D5" w:rsidRPr="00A164D5">
      <w:rPr>
        <w:b/>
        <w:i/>
        <w:sz w:val="18"/>
      </w:rPr>
      <w:t>Commun Dis Intell (2018)</w:t>
    </w:r>
    <w:r w:rsidR="00A164D5">
      <w:rPr>
        <w:sz w:val="18"/>
      </w:rPr>
      <w:t xml:space="preserve"> </w:t>
    </w:r>
    <w:r w:rsidR="005E4229">
      <w:rPr>
        <w:sz w:val="18"/>
      </w:rPr>
      <w:fldChar w:fldCharType="begin"/>
    </w:r>
    <w:r w:rsidR="005E4229">
      <w:rPr>
        <w:sz w:val="18"/>
      </w:rPr>
      <w:instrText xml:space="preserve"> DOCPROPERTY  Year  \* MERGEFORMAT </w:instrText>
    </w:r>
    <w:r w:rsidR="005E4229">
      <w:rPr>
        <w:sz w:val="18"/>
      </w:rPr>
      <w:fldChar w:fldCharType="separate"/>
    </w:r>
    <w:r w:rsidR="00637DBD">
      <w:rPr>
        <w:sz w:val="18"/>
      </w:rPr>
      <w:t>2022</w:t>
    </w:r>
    <w:r w:rsidR="005E4229">
      <w:rPr>
        <w:sz w:val="18"/>
      </w:rPr>
      <w:fldChar w:fldCharType="end"/>
    </w:r>
    <w:r w:rsidR="005E4229">
      <w:rPr>
        <w:sz w:val="18"/>
      </w:rPr>
      <w:t xml:space="preserve"> </w:t>
    </w:r>
    <w:r w:rsidR="00581588">
      <w:rPr>
        <w:sz w:val="18"/>
      </w:rPr>
      <w:fldChar w:fldCharType="begin"/>
    </w:r>
    <w:r w:rsidR="00581588">
      <w:rPr>
        <w:sz w:val="18"/>
      </w:rPr>
      <w:instrText xml:space="preserve"> DOCPROPERTY  Vol  \* MERGEFORMAT </w:instrText>
    </w:r>
    <w:r w:rsidR="00581588">
      <w:rPr>
        <w:sz w:val="18"/>
      </w:rPr>
      <w:fldChar w:fldCharType="separate"/>
    </w:r>
    <w:r w:rsidR="00637DBD">
      <w:rPr>
        <w:sz w:val="18"/>
      </w:rPr>
      <w:t>46</w:t>
    </w:r>
    <w:r w:rsidR="00581588">
      <w:rPr>
        <w:sz w:val="18"/>
      </w:rPr>
      <w:fldChar w:fldCharType="end"/>
    </w:r>
    <w:r w:rsidR="00047B68">
      <w:rPr>
        <w:sz w:val="18"/>
      </w:rPr>
      <w:t xml:space="preserve"> </w:t>
    </w:r>
    <w:r w:rsidR="00047B68">
      <w:rPr>
        <w:sz w:val="18"/>
      </w:rPr>
      <w:fldChar w:fldCharType="begin"/>
    </w:r>
    <w:r w:rsidR="00047B68">
      <w:rPr>
        <w:sz w:val="18"/>
      </w:rPr>
      <w:instrText xml:space="preserve"> DOCPROPERTY  DOI  \* MERGEFORMAT </w:instrText>
    </w:r>
    <w:r w:rsidR="00047B68">
      <w:rPr>
        <w:sz w:val="18"/>
      </w:rPr>
      <w:fldChar w:fldCharType="separate"/>
    </w:r>
    <w:r w:rsidR="00823F9A">
      <w:rPr>
        <w:sz w:val="18"/>
      </w:rPr>
      <w:t>https://doi.org/10.33321/cdi.2022.46.85</w:t>
    </w:r>
    <w:r w:rsidR="00047B68">
      <w:rPr>
        <w:sz w:val="18"/>
      </w:rPr>
      <w:fldChar w:fldCharType="end"/>
    </w:r>
    <w:r w:rsidR="00C24725">
      <w:rPr>
        <w:sz w:val="18"/>
      </w:rPr>
      <w:t xml:space="preserve"> </w:t>
    </w:r>
    <w:r w:rsidRPr="00155582">
      <w:rPr>
        <w:sz w:val="18"/>
      </w:rPr>
      <w:t xml:space="preserve">Epub </w:t>
    </w:r>
    <w:r w:rsidR="00422FEB">
      <w:rPr>
        <w:sz w:val="18"/>
      </w:rPr>
      <w:fldChar w:fldCharType="begin"/>
    </w:r>
    <w:r w:rsidR="00422FEB">
      <w:rPr>
        <w:sz w:val="18"/>
      </w:rPr>
      <w:instrText xml:space="preserve"> DOCPROPERTY  ePubDate  \* MERGEFORMAT </w:instrText>
    </w:r>
    <w:r w:rsidR="00422FEB">
      <w:rPr>
        <w:sz w:val="18"/>
      </w:rPr>
      <w:fldChar w:fldCharType="separate"/>
    </w:r>
    <w:r w:rsidR="00823F9A">
      <w:rPr>
        <w:sz w:val="18"/>
      </w:rPr>
      <w:t>15/12/2022</w:t>
    </w:r>
    <w:r w:rsidR="00422FEB">
      <w:rPr>
        <w:sz w:val="18"/>
      </w:rPr>
      <w:fldChar w:fldCharType="end"/>
    </w:r>
    <w:r>
      <w:rPr>
        <w:sz w:val="18"/>
      </w:rPr>
      <w:ptab w:relativeTo="margin" w:alignment="right" w:leader="none"/>
    </w:r>
    <w:r w:rsidRPr="00155582">
      <w:rPr>
        <w:sz w:val="18"/>
      </w:rPr>
      <w:t>health.gov.au/cdi</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80DACFB" w14:textId="77777777" w:rsidR="00637DBD" w:rsidRPr="00B91FB5" w:rsidRDefault="00637DBD" w:rsidP="00B91FB5">
      <w:pPr>
        <w:spacing w:after="0" w:line="240" w:lineRule="auto"/>
        <w:rPr>
          <w:sz w:val="18"/>
          <w:szCs w:val="18"/>
        </w:rPr>
      </w:pPr>
      <w:r w:rsidRPr="00B91FB5">
        <w:rPr>
          <w:sz w:val="18"/>
          <w:szCs w:val="18"/>
        </w:rPr>
        <w:separator/>
      </w:r>
    </w:p>
  </w:footnote>
  <w:footnote w:type="continuationSeparator" w:id="0">
    <w:p w14:paraId="69BF1399" w14:textId="77777777" w:rsidR="00637DBD" w:rsidRDefault="00637DBD" w:rsidP="00E54DBA">
      <w:r>
        <w:continuationSeparator/>
      </w:r>
    </w:p>
  </w:footnote>
  <w:footnote w:type="continuationNotice" w:id="1">
    <w:p w14:paraId="0F67CC3B" w14:textId="77777777" w:rsidR="00637DBD" w:rsidRPr="00224EFF" w:rsidRDefault="00637DBD" w:rsidP="00224EFF">
      <w:pPr>
        <w:pStyle w:val="Footer"/>
      </w:pPr>
    </w:p>
  </w:footnote>
  <w:footnote w:id="2">
    <w:p w14:paraId="766DCB20" w14:textId="6E148D98" w:rsidR="00205183" w:rsidRPr="00FA57EA" w:rsidRDefault="00205183" w:rsidP="00FA57EA">
      <w:pPr>
        <w:pStyle w:val="CDIfootnotes"/>
      </w:pPr>
      <w:r w:rsidRPr="00FA57EA">
        <w:rPr>
          <w:rStyle w:val="FootnoteReference"/>
          <w:vertAlign w:val="baseline"/>
        </w:rPr>
        <w:footnoteRef/>
      </w:r>
      <w:r w:rsidRPr="00FA57EA">
        <w:tab/>
        <w:t>Anneke Hesseling, personal communication.</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3AB8EAE" w14:textId="4F49CC80" w:rsidR="00257484" w:rsidRPr="00A153B6" w:rsidRDefault="00D32E75" w:rsidP="00A153B6">
    <w:pPr>
      <w:pStyle w:val="Header"/>
      <w:pBdr>
        <w:bottom w:val="single" w:sz="6" w:space="1" w:color="auto"/>
      </w:pBdr>
    </w:pPr>
    <w:sdt>
      <w:sdtPr>
        <w:alias w:val="Category"/>
        <w:tag w:val=""/>
        <w:id w:val="-862438058"/>
        <w:dataBinding w:prefixMappings="xmlns:ns0='http://purl.org/dc/elements/1.1/' xmlns:ns1='http://schemas.openxmlformats.org/package/2006/metadata/core-properties' " w:xpath="/ns1:coreProperties[1]/ns1:category[1]" w:storeItemID="{6C3C8BC8-F283-45AE-878A-BAB7291924A1}"/>
        <w:text/>
      </w:sdtPr>
      <w:sdtEndPr/>
      <w:sdtContent>
        <w:r w:rsidR="00EF77C4">
          <w:t>Policy and Guidelines</w:t>
        </w:r>
      </w:sdtContent>
    </w:sdt>
    <w:r w:rsidR="00A153B6">
      <w:ptab w:relativeTo="margin" w:alignment="right" w:leader="none"/>
    </w:r>
    <w:r w:rsidR="00A153B6" w:rsidRPr="00BB5378">
      <w:t>Communicable Diseases Intelligence</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5632665" w14:textId="77777777" w:rsidR="008B5348" w:rsidRPr="000A5F42" w:rsidRDefault="008B5348" w:rsidP="009D797A">
    <w:pPr>
      <w:pStyle w:val="Header"/>
      <w:spacing w:after="0" w:line="240" w:lineRule="auto"/>
      <w:jc w:val="center"/>
      <w:rPr>
        <w:b/>
      </w:rPr>
    </w:pPr>
    <w:r w:rsidRPr="00E810C5">
      <w:rPr>
        <w:rFonts w:cs="Myriad Pro"/>
        <w:noProof/>
        <w:color w:val="211D1E"/>
        <w:sz w:val="16"/>
      </w:rPr>
      <w:drawing>
        <wp:inline distT="0" distB="0" distL="0" distR="0" wp14:anchorId="725C87BB" wp14:editId="62CFF363">
          <wp:extent cx="1971924" cy="593062"/>
          <wp:effectExtent l="0" t="0" r="0" b="0"/>
          <wp:docPr id="1" name="Picture 1" descr="Australian Government - Department of Health and Aged Ca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ustralian Government - Department of Health and Aged Care"/>
                  <pic:cNvPicPr/>
                </pic:nvPicPr>
                <pic:blipFill rotWithShape="1">
                  <a:blip r:embed="rId1">
                    <a:extLst>
                      <a:ext uri="{28A0092B-C50C-407E-A947-70E740481C1C}">
                        <a14:useLocalDpi xmlns:a14="http://schemas.microsoft.com/office/drawing/2010/main" val="0"/>
                      </a:ext>
                    </a:extLst>
                  </a:blip>
                  <a:srcRect t="11900" b="7160"/>
                  <a:stretch/>
                </pic:blipFill>
                <pic:spPr bwMode="auto">
                  <a:xfrm>
                    <a:off x="0" y="0"/>
                    <a:ext cx="2009585" cy="604389"/>
                  </a:xfrm>
                  <a:prstGeom prst="rect">
                    <a:avLst/>
                  </a:prstGeom>
                  <a:ln>
                    <a:noFill/>
                  </a:ln>
                  <a:extLst>
                    <a:ext uri="{53640926-AAD7-44D8-BBD7-CCE9431645EC}">
                      <a14:shadowObscured xmlns:a14="http://schemas.microsoft.com/office/drawing/2010/main"/>
                    </a:ext>
                  </a:extLst>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FAD0308"/>
    <w:multiLevelType w:val="hybridMultilevel"/>
    <w:tmpl w:val="02DAE30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 w15:restartNumberingAfterBreak="0">
    <w:nsid w:val="207E4CE4"/>
    <w:multiLevelType w:val="multilevel"/>
    <w:tmpl w:val="05503EE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262F04BA"/>
    <w:multiLevelType w:val="hybridMultilevel"/>
    <w:tmpl w:val="069024C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 w15:restartNumberingAfterBreak="0">
    <w:nsid w:val="28335BD0"/>
    <w:multiLevelType w:val="multilevel"/>
    <w:tmpl w:val="1A5C949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2F21433E"/>
    <w:multiLevelType w:val="hybridMultilevel"/>
    <w:tmpl w:val="B3BCDC78"/>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5" w15:restartNumberingAfterBreak="0">
    <w:nsid w:val="3E92373B"/>
    <w:multiLevelType w:val="multilevel"/>
    <w:tmpl w:val="163E98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46A6245C"/>
    <w:multiLevelType w:val="hybridMultilevel"/>
    <w:tmpl w:val="A15CD276"/>
    <w:lvl w:ilvl="0" w:tplc="0C090001">
      <w:numFmt w:val="bullet"/>
      <w:lvlText w:val=""/>
      <w:lvlJc w:val="left"/>
      <w:pPr>
        <w:ind w:left="720" w:hanging="360"/>
      </w:pPr>
      <w:rPr>
        <w:rFonts w:ascii="Symbol" w:eastAsia="Times New Roman" w:hAnsi="Symbol" w:cs="Times New Roman"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7" w15:restartNumberingAfterBreak="0">
    <w:nsid w:val="471D582C"/>
    <w:multiLevelType w:val="hybridMultilevel"/>
    <w:tmpl w:val="B3788E6A"/>
    <w:lvl w:ilvl="0" w:tplc="0C09000F">
      <w:start w:val="1"/>
      <w:numFmt w:val="decimal"/>
      <w:lvlText w:val="%1."/>
      <w:lvlJc w:val="left"/>
      <w:pPr>
        <w:ind w:left="720" w:hanging="360"/>
      </w:pPr>
      <w:rPr>
        <w:rFonts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8" w15:restartNumberingAfterBreak="0">
    <w:nsid w:val="69873A63"/>
    <w:multiLevelType w:val="hybridMultilevel"/>
    <w:tmpl w:val="65CA554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9" w15:restartNumberingAfterBreak="0">
    <w:nsid w:val="69FC45B7"/>
    <w:multiLevelType w:val="multilevel"/>
    <w:tmpl w:val="65284EA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6DC43C3F"/>
    <w:multiLevelType w:val="hybridMultilevel"/>
    <w:tmpl w:val="DB16748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abstractNumId w:val="2"/>
  </w:num>
  <w:num w:numId="2">
    <w:abstractNumId w:val="6"/>
  </w:num>
  <w:num w:numId="3">
    <w:abstractNumId w:val="7"/>
  </w:num>
  <w:num w:numId="4">
    <w:abstractNumId w:val="1"/>
  </w:num>
  <w:num w:numId="5">
    <w:abstractNumId w:val="9"/>
  </w:num>
  <w:num w:numId="6">
    <w:abstractNumId w:val="10"/>
  </w:num>
  <w:num w:numId="7">
    <w:abstractNumId w:val="5"/>
  </w:num>
  <w:num w:numId="8">
    <w:abstractNumId w:val="3"/>
  </w:num>
  <w:num w:numId="9">
    <w:abstractNumId w:val="0"/>
  </w:num>
  <w:num w:numId="10">
    <w:abstractNumId w:val="8"/>
  </w:num>
  <w:num w:numId="11">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60"/>
  <w:embedTrueTypeFonts/>
  <w:attachedTemplate r:id="rId1"/>
  <w:defaultTabStop w:val="720"/>
  <w:noPunctuationKerning/>
  <w:characterSpacingControl w:val="doNotCompress"/>
  <w:hdrShapeDefaults>
    <o:shapedefaults v:ext="edit" spidmax="10241"/>
  </w:hdrShapeDefaults>
  <w:footnotePr>
    <w:numFmt w:val="lowerRoman"/>
    <w:footnote w:id="-1"/>
    <w:footnote w:id="0"/>
    <w:footnote w:id="1"/>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37DBD"/>
    <w:rsid w:val="00000B5B"/>
    <w:rsid w:val="00001611"/>
    <w:rsid w:val="000104A8"/>
    <w:rsid w:val="0001246E"/>
    <w:rsid w:val="000124B1"/>
    <w:rsid w:val="00016FE6"/>
    <w:rsid w:val="00031064"/>
    <w:rsid w:val="00031692"/>
    <w:rsid w:val="00032531"/>
    <w:rsid w:val="000325A0"/>
    <w:rsid w:val="000471BF"/>
    <w:rsid w:val="00047B68"/>
    <w:rsid w:val="00052600"/>
    <w:rsid w:val="0005643C"/>
    <w:rsid w:val="0006264A"/>
    <w:rsid w:val="00073D77"/>
    <w:rsid w:val="00081655"/>
    <w:rsid w:val="000864E0"/>
    <w:rsid w:val="000969B3"/>
    <w:rsid w:val="000A5F42"/>
    <w:rsid w:val="000D4B4D"/>
    <w:rsid w:val="000F03FD"/>
    <w:rsid w:val="000F23BF"/>
    <w:rsid w:val="00113D58"/>
    <w:rsid w:val="001200CB"/>
    <w:rsid w:val="001378A3"/>
    <w:rsid w:val="001521AF"/>
    <w:rsid w:val="00155582"/>
    <w:rsid w:val="00161590"/>
    <w:rsid w:val="00171CC0"/>
    <w:rsid w:val="001723AC"/>
    <w:rsid w:val="00175494"/>
    <w:rsid w:val="00175629"/>
    <w:rsid w:val="001830EC"/>
    <w:rsid w:val="00183534"/>
    <w:rsid w:val="001A4A96"/>
    <w:rsid w:val="001A5D05"/>
    <w:rsid w:val="001A796C"/>
    <w:rsid w:val="001B2614"/>
    <w:rsid w:val="001B37B8"/>
    <w:rsid w:val="001B552F"/>
    <w:rsid w:val="001C0893"/>
    <w:rsid w:val="001C1303"/>
    <w:rsid w:val="001C70B2"/>
    <w:rsid w:val="001D37C7"/>
    <w:rsid w:val="001D6888"/>
    <w:rsid w:val="001E4E1D"/>
    <w:rsid w:val="00205183"/>
    <w:rsid w:val="00224EFF"/>
    <w:rsid w:val="002276DC"/>
    <w:rsid w:val="00227E00"/>
    <w:rsid w:val="002307CB"/>
    <w:rsid w:val="00231046"/>
    <w:rsid w:val="00234F21"/>
    <w:rsid w:val="00242659"/>
    <w:rsid w:val="002428F7"/>
    <w:rsid w:val="0024315F"/>
    <w:rsid w:val="0024445B"/>
    <w:rsid w:val="0024631C"/>
    <w:rsid w:val="00252C9A"/>
    <w:rsid w:val="00256309"/>
    <w:rsid w:val="00257484"/>
    <w:rsid w:val="00260636"/>
    <w:rsid w:val="00275C78"/>
    <w:rsid w:val="00280594"/>
    <w:rsid w:val="00281EE3"/>
    <w:rsid w:val="00284E4A"/>
    <w:rsid w:val="002A3799"/>
    <w:rsid w:val="002A3BCC"/>
    <w:rsid w:val="002A4516"/>
    <w:rsid w:val="002A569F"/>
    <w:rsid w:val="002A7066"/>
    <w:rsid w:val="002B001E"/>
    <w:rsid w:val="002B09B7"/>
    <w:rsid w:val="002B75A9"/>
    <w:rsid w:val="002C21B0"/>
    <w:rsid w:val="002E2FB3"/>
    <w:rsid w:val="002F327B"/>
    <w:rsid w:val="00301626"/>
    <w:rsid w:val="003059EC"/>
    <w:rsid w:val="00316CCD"/>
    <w:rsid w:val="00324F7E"/>
    <w:rsid w:val="003323BC"/>
    <w:rsid w:val="00337A9E"/>
    <w:rsid w:val="00346D42"/>
    <w:rsid w:val="00346E11"/>
    <w:rsid w:val="003601C0"/>
    <w:rsid w:val="003635F5"/>
    <w:rsid w:val="00372A88"/>
    <w:rsid w:val="00381A0F"/>
    <w:rsid w:val="003A1B3A"/>
    <w:rsid w:val="003A40F5"/>
    <w:rsid w:val="003B5B8C"/>
    <w:rsid w:val="003C7841"/>
    <w:rsid w:val="003D79B1"/>
    <w:rsid w:val="003E74EE"/>
    <w:rsid w:val="003F0552"/>
    <w:rsid w:val="003F3BC2"/>
    <w:rsid w:val="003F725B"/>
    <w:rsid w:val="00401ED1"/>
    <w:rsid w:val="0040224C"/>
    <w:rsid w:val="00413EE1"/>
    <w:rsid w:val="004164BB"/>
    <w:rsid w:val="0042000E"/>
    <w:rsid w:val="00421ECE"/>
    <w:rsid w:val="00422FEB"/>
    <w:rsid w:val="0042435E"/>
    <w:rsid w:val="004315F5"/>
    <w:rsid w:val="00433456"/>
    <w:rsid w:val="00433DFA"/>
    <w:rsid w:val="00435D67"/>
    <w:rsid w:val="004456F8"/>
    <w:rsid w:val="00464A58"/>
    <w:rsid w:val="00473D2D"/>
    <w:rsid w:val="004A2125"/>
    <w:rsid w:val="004A38F6"/>
    <w:rsid w:val="004B4EB6"/>
    <w:rsid w:val="004C083C"/>
    <w:rsid w:val="004C67C6"/>
    <w:rsid w:val="004D29DE"/>
    <w:rsid w:val="004D7039"/>
    <w:rsid w:val="00510EAC"/>
    <w:rsid w:val="00542A57"/>
    <w:rsid w:val="00565974"/>
    <w:rsid w:val="005732C0"/>
    <w:rsid w:val="0057336D"/>
    <w:rsid w:val="0057489A"/>
    <w:rsid w:val="00574ACF"/>
    <w:rsid w:val="00581588"/>
    <w:rsid w:val="0058540B"/>
    <w:rsid w:val="00587C87"/>
    <w:rsid w:val="00590B80"/>
    <w:rsid w:val="005B3134"/>
    <w:rsid w:val="005B4E61"/>
    <w:rsid w:val="005B595A"/>
    <w:rsid w:val="005B66C2"/>
    <w:rsid w:val="005C66A6"/>
    <w:rsid w:val="005C71CC"/>
    <w:rsid w:val="005D2465"/>
    <w:rsid w:val="005E33DD"/>
    <w:rsid w:val="005E4229"/>
    <w:rsid w:val="005E5181"/>
    <w:rsid w:val="005E540E"/>
    <w:rsid w:val="005E55FB"/>
    <w:rsid w:val="005F16BB"/>
    <w:rsid w:val="005F6D08"/>
    <w:rsid w:val="00607115"/>
    <w:rsid w:val="00620768"/>
    <w:rsid w:val="0062594B"/>
    <w:rsid w:val="00631406"/>
    <w:rsid w:val="006324FF"/>
    <w:rsid w:val="006351D6"/>
    <w:rsid w:val="00636E0D"/>
    <w:rsid w:val="00637DBD"/>
    <w:rsid w:val="0064142F"/>
    <w:rsid w:val="00643CB4"/>
    <w:rsid w:val="00656427"/>
    <w:rsid w:val="00660255"/>
    <w:rsid w:val="00663EA5"/>
    <w:rsid w:val="006971F3"/>
    <w:rsid w:val="006C74A3"/>
    <w:rsid w:val="006D1381"/>
    <w:rsid w:val="006D31BC"/>
    <w:rsid w:val="006E7943"/>
    <w:rsid w:val="006F24EA"/>
    <w:rsid w:val="00704CA9"/>
    <w:rsid w:val="0071048D"/>
    <w:rsid w:val="00710F86"/>
    <w:rsid w:val="007111A8"/>
    <w:rsid w:val="00731BC3"/>
    <w:rsid w:val="007410B5"/>
    <w:rsid w:val="00741192"/>
    <w:rsid w:val="00743A33"/>
    <w:rsid w:val="00746080"/>
    <w:rsid w:val="0075144A"/>
    <w:rsid w:val="00786329"/>
    <w:rsid w:val="00792C7D"/>
    <w:rsid w:val="00794A4D"/>
    <w:rsid w:val="007A5234"/>
    <w:rsid w:val="007B5978"/>
    <w:rsid w:val="007B7854"/>
    <w:rsid w:val="007C56A1"/>
    <w:rsid w:val="007C6454"/>
    <w:rsid w:val="007E01E0"/>
    <w:rsid w:val="007E3743"/>
    <w:rsid w:val="007E5CA0"/>
    <w:rsid w:val="007F0B93"/>
    <w:rsid w:val="007F2ECA"/>
    <w:rsid w:val="00811708"/>
    <w:rsid w:val="00816B90"/>
    <w:rsid w:val="00817799"/>
    <w:rsid w:val="00822F5F"/>
    <w:rsid w:val="00823F9A"/>
    <w:rsid w:val="00824FD3"/>
    <w:rsid w:val="00826589"/>
    <w:rsid w:val="00834BCC"/>
    <w:rsid w:val="00850D54"/>
    <w:rsid w:val="00852E2B"/>
    <w:rsid w:val="008714B0"/>
    <w:rsid w:val="00876331"/>
    <w:rsid w:val="00880726"/>
    <w:rsid w:val="008A3544"/>
    <w:rsid w:val="008B48B8"/>
    <w:rsid w:val="008B5348"/>
    <w:rsid w:val="008B58F8"/>
    <w:rsid w:val="008C0712"/>
    <w:rsid w:val="008C4520"/>
    <w:rsid w:val="008C5F09"/>
    <w:rsid w:val="008D470F"/>
    <w:rsid w:val="008E1F8F"/>
    <w:rsid w:val="008E4768"/>
    <w:rsid w:val="008E761E"/>
    <w:rsid w:val="008F77B3"/>
    <w:rsid w:val="009008F5"/>
    <w:rsid w:val="00904CC1"/>
    <w:rsid w:val="009066AF"/>
    <w:rsid w:val="00912050"/>
    <w:rsid w:val="00912E48"/>
    <w:rsid w:val="0092746F"/>
    <w:rsid w:val="00935DC9"/>
    <w:rsid w:val="009446C0"/>
    <w:rsid w:val="0096082E"/>
    <w:rsid w:val="00961347"/>
    <w:rsid w:val="00967410"/>
    <w:rsid w:val="00967D73"/>
    <w:rsid w:val="0098119A"/>
    <w:rsid w:val="00984AAF"/>
    <w:rsid w:val="00991B09"/>
    <w:rsid w:val="00993CB2"/>
    <w:rsid w:val="009A5166"/>
    <w:rsid w:val="009A76F8"/>
    <w:rsid w:val="009B2B83"/>
    <w:rsid w:val="009C49F8"/>
    <w:rsid w:val="009D77CC"/>
    <w:rsid w:val="009D797A"/>
    <w:rsid w:val="009E2423"/>
    <w:rsid w:val="009E55D7"/>
    <w:rsid w:val="009E7773"/>
    <w:rsid w:val="009F3581"/>
    <w:rsid w:val="009F4150"/>
    <w:rsid w:val="009F5665"/>
    <w:rsid w:val="009F5DAD"/>
    <w:rsid w:val="00A01BCA"/>
    <w:rsid w:val="00A10458"/>
    <w:rsid w:val="00A153B6"/>
    <w:rsid w:val="00A164D5"/>
    <w:rsid w:val="00A273C3"/>
    <w:rsid w:val="00A30C37"/>
    <w:rsid w:val="00A35E53"/>
    <w:rsid w:val="00A36C65"/>
    <w:rsid w:val="00A41BBE"/>
    <w:rsid w:val="00A443E3"/>
    <w:rsid w:val="00A45BDD"/>
    <w:rsid w:val="00A46A0A"/>
    <w:rsid w:val="00A553F8"/>
    <w:rsid w:val="00A6708F"/>
    <w:rsid w:val="00A71BF6"/>
    <w:rsid w:val="00A72AF9"/>
    <w:rsid w:val="00A86F9A"/>
    <w:rsid w:val="00AA35E6"/>
    <w:rsid w:val="00AA50B6"/>
    <w:rsid w:val="00AB3472"/>
    <w:rsid w:val="00AC7B13"/>
    <w:rsid w:val="00AD0762"/>
    <w:rsid w:val="00AE0209"/>
    <w:rsid w:val="00AE3DCF"/>
    <w:rsid w:val="00AE4452"/>
    <w:rsid w:val="00AE7C38"/>
    <w:rsid w:val="00B01F99"/>
    <w:rsid w:val="00B02B37"/>
    <w:rsid w:val="00B05276"/>
    <w:rsid w:val="00B132DB"/>
    <w:rsid w:val="00B31427"/>
    <w:rsid w:val="00B33861"/>
    <w:rsid w:val="00B40DE2"/>
    <w:rsid w:val="00B50210"/>
    <w:rsid w:val="00B51E4E"/>
    <w:rsid w:val="00B53955"/>
    <w:rsid w:val="00B6408A"/>
    <w:rsid w:val="00B6478A"/>
    <w:rsid w:val="00B714B8"/>
    <w:rsid w:val="00B82C2C"/>
    <w:rsid w:val="00B8720B"/>
    <w:rsid w:val="00B876EF"/>
    <w:rsid w:val="00B91FB5"/>
    <w:rsid w:val="00BA4697"/>
    <w:rsid w:val="00BB4635"/>
    <w:rsid w:val="00BB5378"/>
    <w:rsid w:val="00BC0BD3"/>
    <w:rsid w:val="00BD0107"/>
    <w:rsid w:val="00BE0C33"/>
    <w:rsid w:val="00BE262C"/>
    <w:rsid w:val="00BE4C25"/>
    <w:rsid w:val="00BE6C3D"/>
    <w:rsid w:val="00C00C2A"/>
    <w:rsid w:val="00C07606"/>
    <w:rsid w:val="00C12542"/>
    <w:rsid w:val="00C130EE"/>
    <w:rsid w:val="00C24725"/>
    <w:rsid w:val="00C30BA9"/>
    <w:rsid w:val="00C3541E"/>
    <w:rsid w:val="00C36A8F"/>
    <w:rsid w:val="00C42834"/>
    <w:rsid w:val="00C42FFA"/>
    <w:rsid w:val="00C507D8"/>
    <w:rsid w:val="00C51F5A"/>
    <w:rsid w:val="00C62EAC"/>
    <w:rsid w:val="00C63F9F"/>
    <w:rsid w:val="00C7723C"/>
    <w:rsid w:val="00C838F5"/>
    <w:rsid w:val="00C841C0"/>
    <w:rsid w:val="00CA1AF4"/>
    <w:rsid w:val="00CA6068"/>
    <w:rsid w:val="00CB15E1"/>
    <w:rsid w:val="00CB3D46"/>
    <w:rsid w:val="00CD1A87"/>
    <w:rsid w:val="00CD35F3"/>
    <w:rsid w:val="00CD5C93"/>
    <w:rsid w:val="00CE342B"/>
    <w:rsid w:val="00CF320C"/>
    <w:rsid w:val="00CF3A4B"/>
    <w:rsid w:val="00CF4001"/>
    <w:rsid w:val="00D05837"/>
    <w:rsid w:val="00D12D8A"/>
    <w:rsid w:val="00D13E0C"/>
    <w:rsid w:val="00D25896"/>
    <w:rsid w:val="00D32E75"/>
    <w:rsid w:val="00D373A1"/>
    <w:rsid w:val="00D37C0F"/>
    <w:rsid w:val="00D45661"/>
    <w:rsid w:val="00D45943"/>
    <w:rsid w:val="00D47D22"/>
    <w:rsid w:val="00D51865"/>
    <w:rsid w:val="00D51D0C"/>
    <w:rsid w:val="00D74140"/>
    <w:rsid w:val="00DA6E56"/>
    <w:rsid w:val="00DA78DD"/>
    <w:rsid w:val="00DB1C65"/>
    <w:rsid w:val="00DC24E5"/>
    <w:rsid w:val="00DC6705"/>
    <w:rsid w:val="00DD2DE8"/>
    <w:rsid w:val="00DE38B4"/>
    <w:rsid w:val="00DE5D02"/>
    <w:rsid w:val="00DF2102"/>
    <w:rsid w:val="00E005A9"/>
    <w:rsid w:val="00E065BA"/>
    <w:rsid w:val="00E1166E"/>
    <w:rsid w:val="00E24DC0"/>
    <w:rsid w:val="00E2519C"/>
    <w:rsid w:val="00E25F2A"/>
    <w:rsid w:val="00E41455"/>
    <w:rsid w:val="00E42AD2"/>
    <w:rsid w:val="00E50856"/>
    <w:rsid w:val="00E538CC"/>
    <w:rsid w:val="00E54BBD"/>
    <w:rsid w:val="00E54DBA"/>
    <w:rsid w:val="00E63D7C"/>
    <w:rsid w:val="00E640D5"/>
    <w:rsid w:val="00E66E2E"/>
    <w:rsid w:val="00E67691"/>
    <w:rsid w:val="00E92237"/>
    <w:rsid w:val="00E951EF"/>
    <w:rsid w:val="00EA3D54"/>
    <w:rsid w:val="00EA56D9"/>
    <w:rsid w:val="00EA5CE3"/>
    <w:rsid w:val="00EB51C1"/>
    <w:rsid w:val="00EB5AE1"/>
    <w:rsid w:val="00EB5E0B"/>
    <w:rsid w:val="00EC2171"/>
    <w:rsid w:val="00ED442D"/>
    <w:rsid w:val="00ED70C2"/>
    <w:rsid w:val="00EE18FF"/>
    <w:rsid w:val="00EE489F"/>
    <w:rsid w:val="00EF1CFC"/>
    <w:rsid w:val="00EF77C4"/>
    <w:rsid w:val="00F0647F"/>
    <w:rsid w:val="00F10CE3"/>
    <w:rsid w:val="00F12006"/>
    <w:rsid w:val="00F13443"/>
    <w:rsid w:val="00F14F3B"/>
    <w:rsid w:val="00F16362"/>
    <w:rsid w:val="00F207C7"/>
    <w:rsid w:val="00F36B6D"/>
    <w:rsid w:val="00F43FA3"/>
    <w:rsid w:val="00F55648"/>
    <w:rsid w:val="00F70046"/>
    <w:rsid w:val="00F748C2"/>
    <w:rsid w:val="00F74958"/>
    <w:rsid w:val="00F76C5C"/>
    <w:rsid w:val="00F81EF3"/>
    <w:rsid w:val="00F84496"/>
    <w:rsid w:val="00F85DCB"/>
    <w:rsid w:val="00F86F9C"/>
    <w:rsid w:val="00F90D76"/>
    <w:rsid w:val="00FA57EA"/>
    <w:rsid w:val="00FC002E"/>
    <w:rsid w:val="00FC4C23"/>
    <w:rsid w:val="00FC642E"/>
    <w:rsid w:val="00FE2AE4"/>
    <w:rsid w:val="00FE689F"/>
    <w:rsid w:val="00FE7809"/>
    <w:rsid w:val="00FF408B"/>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41"/>
    <o:shapelayout v:ext="edit">
      <o:idmap v:ext="edit" data="1"/>
    </o:shapelayout>
  </w:shapeDefaults>
  <w:decimalSymbol w:val="."/>
  <w:listSeparator w:val=","/>
  <w14:docId w14:val="7CC96180"/>
  <w15:docId w15:val="{713DC556-0648-4F53-808F-E3D9A422C0C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AU" w:eastAsia="en-AU"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41192"/>
  </w:style>
  <w:style w:type="paragraph" w:styleId="Heading1">
    <w:name w:val="heading 1"/>
    <w:basedOn w:val="Normal"/>
    <w:next w:val="Normal"/>
    <w:link w:val="Heading1Char"/>
    <w:uiPriority w:val="9"/>
    <w:qFormat/>
    <w:rsid w:val="00DD2DE8"/>
    <w:pPr>
      <w:spacing w:before="480" w:after="240"/>
      <w:contextualSpacing/>
      <w:outlineLvl w:val="0"/>
    </w:pPr>
    <w:rPr>
      <w:rFonts w:asciiTheme="majorHAnsi" w:eastAsiaTheme="majorEastAsia" w:hAnsiTheme="majorHAnsi" w:cstheme="majorBidi"/>
      <w:b/>
      <w:bCs/>
      <w:sz w:val="32"/>
      <w:szCs w:val="28"/>
    </w:rPr>
  </w:style>
  <w:style w:type="paragraph" w:styleId="Heading2">
    <w:name w:val="heading 2"/>
    <w:basedOn w:val="Normal"/>
    <w:next w:val="Normal"/>
    <w:link w:val="Heading2Char"/>
    <w:uiPriority w:val="9"/>
    <w:unhideWhenUsed/>
    <w:qFormat/>
    <w:rsid w:val="00741192"/>
    <w:pPr>
      <w:spacing w:before="200" w:after="0"/>
      <w:outlineLvl w:val="1"/>
    </w:pPr>
    <w:rPr>
      <w:rFonts w:asciiTheme="majorHAnsi" w:eastAsiaTheme="majorEastAsia" w:hAnsiTheme="majorHAnsi" w:cstheme="majorBidi"/>
      <w:b/>
      <w:bCs/>
      <w:sz w:val="26"/>
      <w:szCs w:val="26"/>
    </w:rPr>
  </w:style>
  <w:style w:type="paragraph" w:styleId="Heading3">
    <w:name w:val="heading 3"/>
    <w:basedOn w:val="Normal"/>
    <w:next w:val="Normal"/>
    <w:link w:val="Heading3Char"/>
    <w:uiPriority w:val="9"/>
    <w:unhideWhenUsed/>
    <w:qFormat/>
    <w:rsid w:val="00741192"/>
    <w:pPr>
      <w:spacing w:before="200" w:after="0" w:line="271" w:lineRule="auto"/>
      <w:outlineLvl w:val="2"/>
    </w:pPr>
    <w:rPr>
      <w:rFonts w:asciiTheme="majorHAnsi" w:eastAsiaTheme="majorEastAsia" w:hAnsiTheme="majorHAnsi" w:cstheme="majorBidi"/>
      <w:b/>
      <w:bCs/>
    </w:rPr>
  </w:style>
  <w:style w:type="paragraph" w:styleId="Heading4">
    <w:name w:val="heading 4"/>
    <w:basedOn w:val="Normal"/>
    <w:next w:val="Normal"/>
    <w:link w:val="Heading4Char"/>
    <w:uiPriority w:val="9"/>
    <w:unhideWhenUsed/>
    <w:qFormat/>
    <w:rsid w:val="00741192"/>
    <w:pPr>
      <w:spacing w:before="200" w:after="0"/>
      <w:outlineLvl w:val="3"/>
    </w:pPr>
    <w:rPr>
      <w:rFonts w:asciiTheme="majorHAnsi" w:eastAsiaTheme="majorEastAsia" w:hAnsiTheme="majorHAnsi" w:cstheme="majorBidi"/>
      <w:b/>
      <w:bCs/>
      <w:i/>
      <w:iCs/>
    </w:rPr>
  </w:style>
  <w:style w:type="paragraph" w:styleId="Heading5">
    <w:name w:val="heading 5"/>
    <w:basedOn w:val="Normal"/>
    <w:next w:val="Normal"/>
    <w:link w:val="Heading5Char"/>
    <w:uiPriority w:val="9"/>
    <w:unhideWhenUsed/>
    <w:qFormat/>
    <w:rsid w:val="00741192"/>
    <w:pPr>
      <w:spacing w:before="200" w:after="0"/>
      <w:outlineLvl w:val="4"/>
    </w:pPr>
    <w:rPr>
      <w:rFonts w:asciiTheme="majorHAnsi" w:eastAsiaTheme="majorEastAsia" w:hAnsiTheme="majorHAnsi" w:cstheme="majorBidi"/>
      <w:b/>
      <w:bCs/>
      <w:color w:val="7F7F7F" w:themeColor="text1" w:themeTint="80"/>
    </w:rPr>
  </w:style>
  <w:style w:type="paragraph" w:styleId="Heading6">
    <w:name w:val="heading 6"/>
    <w:basedOn w:val="Normal"/>
    <w:next w:val="Normal"/>
    <w:link w:val="Heading6Char"/>
    <w:uiPriority w:val="9"/>
    <w:unhideWhenUsed/>
    <w:qFormat/>
    <w:rsid w:val="00741192"/>
    <w:pPr>
      <w:spacing w:after="0" w:line="271" w:lineRule="auto"/>
      <w:outlineLvl w:val="5"/>
    </w:pPr>
    <w:rPr>
      <w:rFonts w:asciiTheme="majorHAnsi" w:eastAsiaTheme="majorEastAsia" w:hAnsiTheme="majorHAnsi" w:cstheme="majorBidi"/>
      <w:b/>
      <w:bCs/>
      <w:i/>
      <w:iCs/>
      <w:color w:val="7F7F7F" w:themeColor="text1" w:themeTint="80"/>
    </w:rPr>
  </w:style>
  <w:style w:type="paragraph" w:styleId="Heading7">
    <w:name w:val="heading 7"/>
    <w:basedOn w:val="Normal"/>
    <w:next w:val="Normal"/>
    <w:link w:val="Heading7Char"/>
    <w:uiPriority w:val="9"/>
    <w:semiHidden/>
    <w:unhideWhenUsed/>
    <w:qFormat/>
    <w:rsid w:val="00741192"/>
    <w:pPr>
      <w:spacing w:after="0"/>
      <w:outlineLvl w:val="6"/>
    </w:pPr>
    <w:rPr>
      <w:rFonts w:asciiTheme="majorHAnsi" w:eastAsiaTheme="majorEastAsia" w:hAnsiTheme="majorHAnsi" w:cstheme="majorBidi"/>
      <w:i/>
      <w:iCs/>
    </w:rPr>
  </w:style>
  <w:style w:type="paragraph" w:styleId="Heading8">
    <w:name w:val="heading 8"/>
    <w:basedOn w:val="Normal"/>
    <w:next w:val="Normal"/>
    <w:link w:val="Heading8Char"/>
    <w:uiPriority w:val="9"/>
    <w:semiHidden/>
    <w:unhideWhenUsed/>
    <w:qFormat/>
    <w:rsid w:val="00741192"/>
    <w:pPr>
      <w:spacing w:after="0"/>
      <w:outlineLvl w:val="7"/>
    </w:pPr>
    <w:rPr>
      <w:rFonts w:asciiTheme="majorHAnsi" w:eastAsiaTheme="majorEastAsia" w:hAnsiTheme="majorHAnsi" w:cstheme="majorBidi"/>
      <w:sz w:val="20"/>
      <w:szCs w:val="20"/>
    </w:rPr>
  </w:style>
  <w:style w:type="paragraph" w:styleId="Heading9">
    <w:name w:val="heading 9"/>
    <w:basedOn w:val="Normal"/>
    <w:next w:val="Normal"/>
    <w:link w:val="Heading9Char"/>
    <w:uiPriority w:val="9"/>
    <w:semiHidden/>
    <w:unhideWhenUsed/>
    <w:qFormat/>
    <w:rsid w:val="00741192"/>
    <w:pPr>
      <w:spacing w:after="0"/>
      <w:outlineLvl w:val="8"/>
    </w:pPr>
    <w:rPr>
      <w:rFonts w:asciiTheme="majorHAnsi" w:eastAsiaTheme="majorEastAsia" w:hAnsiTheme="majorHAnsi" w:cstheme="majorBidi"/>
      <w:i/>
      <w:iCs/>
      <w:spacing w:val="5"/>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D2DE8"/>
    <w:rPr>
      <w:rFonts w:asciiTheme="majorHAnsi" w:eastAsiaTheme="majorEastAsia" w:hAnsiTheme="majorHAnsi" w:cstheme="majorBidi"/>
      <w:b/>
      <w:bCs/>
      <w:sz w:val="32"/>
      <w:szCs w:val="28"/>
    </w:rPr>
  </w:style>
  <w:style w:type="paragraph" w:styleId="NormalWeb">
    <w:name w:val="Normal (Web)"/>
    <w:basedOn w:val="Normal"/>
    <w:link w:val="NormalWebChar"/>
    <w:uiPriority w:val="99"/>
    <w:unhideWhenUsed/>
    <w:pPr>
      <w:spacing w:before="100" w:beforeAutospacing="1" w:after="100" w:afterAutospacing="1"/>
    </w:pPr>
  </w:style>
  <w:style w:type="character" w:styleId="Strong">
    <w:name w:val="Strong"/>
    <w:uiPriority w:val="99"/>
    <w:qFormat/>
    <w:rsid w:val="00741192"/>
    <w:rPr>
      <w:b/>
      <w:bCs/>
    </w:rPr>
  </w:style>
  <w:style w:type="character" w:customStyle="1" w:styleId="Heading2Char">
    <w:name w:val="Heading 2 Char"/>
    <w:basedOn w:val="DefaultParagraphFont"/>
    <w:link w:val="Heading2"/>
    <w:uiPriority w:val="9"/>
    <w:rsid w:val="00741192"/>
    <w:rPr>
      <w:rFonts w:asciiTheme="majorHAnsi" w:eastAsiaTheme="majorEastAsia" w:hAnsiTheme="majorHAnsi" w:cstheme="majorBidi"/>
      <w:b/>
      <w:bCs/>
      <w:sz w:val="26"/>
      <w:szCs w:val="26"/>
    </w:rPr>
  </w:style>
  <w:style w:type="character" w:styleId="Emphasis">
    <w:name w:val="Emphasis"/>
    <w:uiPriority w:val="20"/>
    <w:qFormat/>
    <w:rsid w:val="00741192"/>
    <w:rPr>
      <w:b/>
      <w:bCs/>
      <w:i/>
      <w:iCs/>
      <w:spacing w:val="10"/>
      <w:bdr w:val="none" w:sz="0" w:space="0" w:color="auto"/>
      <w:shd w:val="clear" w:color="auto" w:fill="auto"/>
    </w:rPr>
  </w:style>
  <w:style w:type="paragraph" w:customStyle="1" w:styleId="table-text">
    <w:name w:val="table-text"/>
    <w:basedOn w:val="Normal"/>
    <w:rsid w:val="00822F5F"/>
    <w:rPr>
      <w:rFonts w:ascii="Myriad Pro" w:hAnsi="Myriad Pro"/>
      <w:color w:val="231F20"/>
      <w:sz w:val="14"/>
      <w:szCs w:val="14"/>
    </w:rPr>
  </w:style>
  <w:style w:type="paragraph" w:customStyle="1" w:styleId="table-h1">
    <w:name w:val="table-h1"/>
    <w:basedOn w:val="Normal"/>
    <w:rsid w:val="00822F5F"/>
    <w:rPr>
      <w:rFonts w:ascii="Myriad Pro" w:hAnsi="Myriad Pro"/>
      <w:b/>
      <w:bCs/>
      <w:color w:val="FFFFFF"/>
      <w:sz w:val="14"/>
      <w:szCs w:val="14"/>
    </w:rPr>
  </w:style>
  <w:style w:type="character" w:customStyle="1" w:styleId="Strong1">
    <w:name w:val="Strong1"/>
    <w:basedOn w:val="DefaultParagraphFont"/>
    <w:rsid w:val="00822F5F"/>
    <w:rPr>
      <w:b/>
      <w:bCs/>
      <w:i w:val="0"/>
      <w:iCs w:val="0"/>
    </w:rPr>
  </w:style>
  <w:style w:type="character" w:customStyle="1" w:styleId="superscript">
    <w:name w:val="superscript"/>
    <w:basedOn w:val="DefaultParagraphFont"/>
    <w:rsid w:val="00822F5F"/>
    <w:rPr>
      <w:vertAlign w:val="superscript"/>
    </w:rPr>
  </w:style>
  <w:style w:type="paragraph" w:customStyle="1" w:styleId="footnote">
    <w:name w:val="footnote"/>
    <w:basedOn w:val="Normal"/>
    <w:rsid w:val="008B48B8"/>
    <w:rPr>
      <w:rFonts w:ascii="Myriad Pro" w:hAnsi="Myriad Pro"/>
      <w:color w:val="231F20"/>
      <w:sz w:val="12"/>
      <w:szCs w:val="12"/>
    </w:rPr>
  </w:style>
  <w:style w:type="paragraph" w:customStyle="1" w:styleId="figure-table-title">
    <w:name w:val="figure-table-title"/>
    <w:basedOn w:val="Normal"/>
    <w:rsid w:val="008B48B8"/>
    <w:pPr>
      <w:spacing w:after="180"/>
    </w:pPr>
    <w:rPr>
      <w:rFonts w:ascii="Minion Pro SmBd" w:hAnsi="Minion Pro SmBd"/>
      <w:b/>
      <w:bCs/>
      <w:color w:val="231F20"/>
      <w:sz w:val="18"/>
      <w:szCs w:val="18"/>
    </w:rPr>
  </w:style>
  <w:style w:type="paragraph" w:styleId="ListParagraph">
    <w:name w:val="List Paragraph"/>
    <w:basedOn w:val="Normal"/>
    <w:uiPriority w:val="34"/>
    <w:qFormat/>
    <w:rsid w:val="00741192"/>
    <w:pPr>
      <w:ind w:left="720"/>
      <w:contextualSpacing/>
    </w:pPr>
  </w:style>
  <w:style w:type="paragraph" w:styleId="Header">
    <w:name w:val="header"/>
    <w:basedOn w:val="Normal"/>
    <w:link w:val="HeaderChar"/>
    <w:uiPriority w:val="99"/>
    <w:unhideWhenUsed/>
    <w:rsid w:val="00E54DBA"/>
    <w:pPr>
      <w:tabs>
        <w:tab w:val="center" w:pos="4513"/>
        <w:tab w:val="right" w:pos="9026"/>
      </w:tabs>
    </w:pPr>
  </w:style>
  <w:style w:type="character" w:customStyle="1" w:styleId="HeaderChar">
    <w:name w:val="Header Char"/>
    <w:basedOn w:val="DefaultParagraphFont"/>
    <w:link w:val="Header"/>
    <w:uiPriority w:val="99"/>
    <w:rsid w:val="00E54DBA"/>
    <w:rPr>
      <w:rFonts w:eastAsiaTheme="minorEastAsia"/>
      <w:sz w:val="24"/>
      <w:szCs w:val="24"/>
    </w:rPr>
  </w:style>
  <w:style w:type="paragraph" w:styleId="Footer">
    <w:name w:val="footer"/>
    <w:basedOn w:val="Normal"/>
    <w:link w:val="FooterChar"/>
    <w:uiPriority w:val="99"/>
    <w:unhideWhenUsed/>
    <w:rsid w:val="00E54DBA"/>
    <w:pPr>
      <w:tabs>
        <w:tab w:val="center" w:pos="4513"/>
        <w:tab w:val="right" w:pos="9026"/>
      </w:tabs>
    </w:pPr>
  </w:style>
  <w:style w:type="character" w:customStyle="1" w:styleId="FooterChar">
    <w:name w:val="Footer Char"/>
    <w:basedOn w:val="DefaultParagraphFont"/>
    <w:link w:val="Footer"/>
    <w:uiPriority w:val="99"/>
    <w:rsid w:val="00E54DBA"/>
    <w:rPr>
      <w:rFonts w:eastAsiaTheme="minorEastAsia"/>
      <w:sz w:val="24"/>
      <w:szCs w:val="24"/>
    </w:rPr>
  </w:style>
  <w:style w:type="paragraph" w:styleId="Title">
    <w:name w:val="Title"/>
    <w:basedOn w:val="Normal"/>
    <w:next w:val="Normal"/>
    <w:link w:val="TitleChar"/>
    <w:uiPriority w:val="10"/>
    <w:qFormat/>
    <w:rsid w:val="00984AAF"/>
    <w:pPr>
      <w:spacing w:line="240" w:lineRule="auto"/>
      <w:contextualSpacing/>
    </w:pPr>
    <w:rPr>
      <w:rFonts w:ascii="Myriad Pro Cond" w:eastAsiaTheme="majorEastAsia" w:hAnsi="Myriad Pro Cond" w:cstheme="majorBidi"/>
      <w:b/>
      <w:spacing w:val="5"/>
      <w:sz w:val="52"/>
      <w:szCs w:val="52"/>
    </w:rPr>
  </w:style>
  <w:style w:type="character" w:customStyle="1" w:styleId="TitleChar">
    <w:name w:val="Title Char"/>
    <w:basedOn w:val="DefaultParagraphFont"/>
    <w:link w:val="Title"/>
    <w:uiPriority w:val="10"/>
    <w:rsid w:val="00984AAF"/>
    <w:rPr>
      <w:rFonts w:ascii="Myriad Pro Cond" w:eastAsiaTheme="majorEastAsia" w:hAnsi="Myriad Pro Cond" w:cstheme="majorBidi"/>
      <w:b/>
      <w:spacing w:val="5"/>
      <w:sz w:val="52"/>
      <w:szCs w:val="52"/>
    </w:rPr>
  </w:style>
  <w:style w:type="character" w:customStyle="1" w:styleId="Heading3Char">
    <w:name w:val="Heading 3 Char"/>
    <w:basedOn w:val="DefaultParagraphFont"/>
    <w:link w:val="Heading3"/>
    <w:uiPriority w:val="9"/>
    <w:rsid w:val="00741192"/>
    <w:rPr>
      <w:rFonts w:asciiTheme="majorHAnsi" w:eastAsiaTheme="majorEastAsia" w:hAnsiTheme="majorHAnsi" w:cstheme="majorBidi"/>
      <w:b/>
      <w:bCs/>
    </w:rPr>
  </w:style>
  <w:style w:type="character" w:customStyle="1" w:styleId="Heading4Char">
    <w:name w:val="Heading 4 Char"/>
    <w:basedOn w:val="DefaultParagraphFont"/>
    <w:link w:val="Heading4"/>
    <w:uiPriority w:val="9"/>
    <w:rsid w:val="00741192"/>
    <w:rPr>
      <w:rFonts w:asciiTheme="majorHAnsi" w:eastAsiaTheme="majorEastAsia" w:hAnsiTheme="majorHAnsi" w:cstheme="majorBidi"/>
      <w:b/>
      <w:bCs/>
      <w:i/>
      <w:iCs/>
    </w:rPr>
  </w:style>
  <w:style w:type="character" w:customStyle="1" w:styleId="Heading5Char">
    <w:name w:val="Heading 5 Char"/>
    <w:basedOn w:val="DefaultParagraphFont"/>
    <w:link w:val="Heading5"/>
    <w:uiPriority w:val="9"/>
    <w:rsid w:val="00741192"/>
    <w:rPr>
      <w:rFonts w:asciiTheme="majorHAnsi" w:eastAsiaTheme="majorEastAsia" w:hAnsiTheme="majorHAnsi" w:cstheme="majorBidi"/>
      <w:b/>
      <w:bCs/>
      <w:color w:val="7F7F7F" w:themeColor="text1" w:themeTint="80"/>
    </w:rPr>
  </w:style>
  <w:style w:type="character" w:customStyle="1" w:styleId="Heading6Char">
    <w:name w:val="Heading 6 Char"/>
    <w:basedOn w:val="DefaultParagraphFont"/>
    <w:link w:val="Heading6"/>
    <w:uiPriority w:val="9"/>
    <w:rsid w:val="00741192"/>
    <w:rPr>
      <w:rFonts w:asciiTheme="majorHAnsi" w:eastAsiaTheme="majorEastAsia" w:hAnsiTheme="majorHAnsi" w:cstheme="majorBidi"/>
      <w:b/>
      <w:bCs/>
      <w:i/>
      <w:iCs/>
      <w:color w:val="7F7F7F" w:themeColor="text1" w:themeTint="80"/>
    </w:rPr>
  </w:style>
  <w:style w:type="paragraph" w:styleId="Subtitle">
    <w:name w:val="Subtitle"/>
    <w:basedOn w:val="Normal"/>
    <w:next w:val="Normal"/>
    <w:link w:val="SubtitleChar"/>
    <w:uiPriority w:val="11"/>
    <w:qFormat/>
    <w:rsid w:val="00741192"/>
    <w:pPr>
      <w:spacing w:after="600"/>
    </w:pPr>
    <w:rPr>
      <w:rFonts w:asciiTheme="majorHAnsi" w:eastAsiaTheme="majorEastAsia" w:hAnsiTheme="majorHAnsi" w:cstheme="majorBidi"/>
      <w:i/>
      <w:iCs/>
      <w:spacing w:val="13"/>
      <w:sz w:val="24"/>
      <w:szCs w:val="24"/>
    </w:rPr>
  </w:style>
  <w:style w:type="character" w:customStyle="1" w:styleId="SubtitleChar">
    <w:name w:val="Subtitle Char"/>
    <w:basedOn w:val="DefaultParagraphFont"/>
    <w:link w:val="Subtitle"/>
    <w:uiPriority w:val="11"/>
    <w:rsid w:val="00741192"/>
    <w:rPr>
      <w:rFonts w:asciiTheme="majorHAnsi" w:eastAsiaTheme="majorEastAsia" w:hAnsiTheme="majorHAnsi" w:cstheme="majorBidi"/>
      <w:i/>
      <w:iCs/>
      <w:spacing w:val="13"/>
      <w:sz w:val="24"/>
      <w:szCs w:val="24"/>
    </w:rPr>
  </w:style>
  <w:style w:type="paragraph" w:styleId="NoSpacing">
    <w:name w:val="No Spacing"/>
    <w:basedOn w:val="Normal"/>
    <w:link w:val="NoSpacingChar"/>
    <w:uiPriority w:val="1"/>
    <w:qFormat/>
    <w:rsid w:val="00741192"/>
    <w:pPr>
      <w:spacing w:after="0" w:line="240" w:lineRule="auto"/>
    </w:pPr>
  </w:style>
  <w:style w:type="paragraph" w:styleId="Quote">
    <w:name w:val="Quote"/>
    <w:basedOn w:val="Normal"/>
    <w:next w:val="Normal"/>
    <w:link w:val="QuoteChar"/>
    <w:uiPriority w:val="29"/>
    <w:qFormat/>
    <w:rsid w:val="00741192"/>
    <w:pPr>
      <w:spacing w:before="200" w:after="0"/>
      <w:ind w:left="360" w:right="360"/>
    </w:pPr>
    <w:rPr>
      <w:i/>
      <w:iCs/>
    </w:rPr>
  </w:style>
  <w:style w:type="character" w:customStyle="1" w:styleId="QuoteChar">
    <w:name w:val="Quote Char"/>
    <w:basedOn w:val="DefaultParagraphFont"/>
    <w:link w:val="Quote"/>
    <w:uiPriority w:val="29"/>
    <w:rsid w:val="00741192"/>
    <w:rPr>
      <w:i/>
      <w:iCs/>
    </w:rPr>
  </w:style>
  <w:style w:type="paragraph" w:styleId="IntenseQuote">
    <w:name w:val="Intense Quote"/>
    <w:basedOn w:val="Normal"/>
    <w:next w:val="Normal"/>
    <w:link w:val="IntenseQuoteChar"/>
    <w:uiPriority w:val="30"/>
    <w:qFormat/>
    <w:rsid w:val="00741192"/>
    <w:pPr>
      <w:pBdr>
        <w:bottom w:val="single" w:sz="4" w:space="1" w:color="auto"/>
      </w:pBdr>
      <w:spacing w:before="200" w:after="280"/>
      <w:ind w:left="1008" w:right="1152"/>
      <w:jc w:val="both"/>
    </w:pPr>
    <w:rPr>
      <w:b/>
      <w:bCs/>
      <w:i/>
      <w:iCs/>
    </w:rPr>
  </w:style>
  <w:style w:type="character" w:customStyle="1" w:styleId="IntenseQuoteChar">
    <w:name w:val="Intense Quote Char"/>
    <w:basedOn w:val="DefaultParagraphFont"/>
    <w:link w:val="IntenseQuote"/>
    <w:uiPriority w:val="30"/>
    <w:rsid w:val="00741192"/>
    <w:rPr>
      <w:b/>
      <w:bCs/>
      <w:i/>
      <w:iCs/>
    </w:rPr>
  </w:style>
  <w:style w:type="character" w:styleId="SubtleEmphasis">
    <w:name w:val="Subtle Emphasis"/>
    <w:uiPriority w:val="19"/>
    <w:qFormat/>
    <w:rsid w:val="00741192"/>
    <w:rPr>
      <w:i/>
      <w:iCs/>
    </w:rPr>
  </w:style>
  <w:style w:type="character" w:styleId="IntenseEmphasis">
    <w:name w:val="Intense Emphasis"/>
    <w:uiPriority w:val="21"/>
    <w:qFormat/>
    <w:rsid w:val="00741192"/>
    <w:rPr>
      <w:b/>
      <w:bCs/>
    </w:rPr>
  </w:style>
  <w:style w:type="character" w:styleId="SubtleReference">
    <w:name w:val="Subtle Reference"/>
    <w:uiPriority w:val="31"/>
    <w:qFormat/>
    <w:rsid w:val="00741192"/>
    <w:rPr>
      <w:smallCaps/>
    </w:rPr>
  </w:style>
  <w:style w:type="character" w:styleId="IntenseReference">
    <w:name w:val="Intense Reference"/>
    <w:uiPriority w:val="32"/>
    <w:qFormat/>
    <w:rsid w:val="00741192"/>
    <w:rPr>
      <w:smallCaps/>
      <w:spacing w:val="5"/>
      <w:u w:val="single"/>
    </w:rPr>
  </w:style>
  <w:style w:type="character" w:styleId="BookTitle">
    <w:name w:val="Book Title"/>
    <w:uiPriority w:val="33"/>
    <w:qFormat/>
    <w:rsid w:val="00741192"/>
    <w:rPr>
      <w:i/>
      <w:iCs/>
      <w:smallCaps/>
      <w:spacing w:val="5"/>
    </w:rPr>
  </w:style>
  <w:style w:type="character" w:customStyle="1" w:styleId="Heading7Char">
    <w:name w:val="Heading 7 Char"/>
    <w:basedOn w:val="DefaultParagraphFont"/>
    <w:link w:val="Heading7"/>
    <w:uiPriority w:val="9"/>
    <w:semiHidden/>
    <w:rsid w:val="00741192"/>
    <w:rPr>
      <w:rFonts w:asciiTheme="majorHAnsi" w:eastAsiaTheme="majorEastAsia" w:hAnsiTheme="majorHAnsi" w:cstheme="majorBidi"/>
      <w:i/>
      <w:iCs/>
    </w:rPr>
  </w:style>
  <w:style w:type="character" w:customStyle="1" w:styleId="Heading8Char">
    <w:name w:val="Heading 8 Char"/>
    <w:basedOn w:val="DefaultParagraphFont"/>
    <w:link w:val="Heading8"/>
    <w:uiPriority w:val="9"/>
    <w:semiHidden/>
    <w:rsid w:val="00741192"/>
    <w:rPr>
      <w:rFonts w:asciiTheme="majorHAnsi" w:eastAsiaTheme="majorEastAsia" w:hAnsiTheme="majorHAnsi" w:cstheme="majorBidi"/>
      <w:sz w:val="20"/>
      <w:szCs w:val="20"/>
    </w:rPr>
  </w:style>
  <w:style w:type="character" w:customStyle="1" w:styleId="Heading9Char">
    <w:name w:val="Heading 9 Char"/>
    <w:basedOn w:val="DefaultParagraphFont"/>
    <w:link w:val="Heading9"/>
    <w:uiPriority w:val="9"/>
    <w:semiHidden/>
    <w:rsid w:val="00741192"/>
    <w:rPr>
      <w:rFonts w:asciiTheme="majorHAnsi" w:eastAsiaTheme="majorEastAsia" w:hAnsiTheme="majorHAnsi" w:cstheme="majorBidi"/>
      <w:i/>
      <w:iCs/>
      <w:spacing w:val="5"/>
      <w:sz w:val="20"/>
      <w:szCs w:val="20"/>
    </w:rPr>
  </w:style>
  <w:style w:type="paragraph" w:styleId="TOCHeading">
    <w:name w:val="TOC Heading"/>
    <w:basedOn w:val="Heading1"/>
    <w:next w:val="Normal"/>
    <w:uiPriority w:val="39"/>
    <w:semiHidden/>
    <w:unhideWhenUsed/>
    <w:qFormat/>
    <w:rsid w:val="00741192"/>
    <w:pPr>
      <w:outlineLvl w:val="9"/>
    </w:pPr>
    <w:rPr>
      <w:lang w:bidi="en-US"/>
    </w:rPr>
  </w:style>
  <w:style w:type="paragraph" w:styleId="BalloonText">
    <w:name w:val="Balloon Text"/>
    <w:basedOn w:val="Normal"/>
    <w:link w:val="BalloonTextChar"/>
    <w:uiPriority w:val="99"/>
    <w:semiHidden/>
    <w:unhideWhenUsed/>
    <w:rsid w:val="00C7723C"/>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C7723C"/>
    <w:rPr>
      <w:rFonts w:ascii="Tahoma" w:hAnsi="Tahoma" w:cs="Tahoma"/>
      <w:sz w:val="16"/>
      <w:szCs w:val="16"/>
    </w:rPr>
  </w:style>
  <w:style w:type="character" w:styleId="PlaceholderText">
    <w:name w:val="Placeholder Text"/>
    <w:basedOn w:val="DefaultParagraphFont"/>
    <w:uiPriority w:val="99"/>
    <w:semiHidden/>
    <w:rsid w:val="00433DFA"/>
    <w:rPr>
      <w:color w:val="808080"/>
    </w:rPr>
  </w:style>
  <w:style w:type="character" w:customStyle="1" w:styleId="NoSpacingChar">
    <w:name w:val="No Spacing Char"/>
    <w:basedOn w:val="DefaultParagraphFont"/>
    <w:link w:val="NoSpacing"/>
    <w:uiPriority w:val="1"/>
    <w:rsid w:val="007B7854"/>
  </w:style>
  <w:style w:type="paragraph" w:customStyle="1" w:styleId="Pa1">
    <w:name w:val="Pa1"/>
    <w:basedOn w:val="Normal"/>
    <w:next w:val="Normal"/>
    <w:uiPriority w:val="99"/>
    <w:rsid w:val="00D47D22"/>
    <w:pPr>
      <w:autoSpaceDE w:val="0"/>
      <w:autoSpaceDN w:val="0"/>
      <w:adjustRightInd w:val="0"/>
      <w:spacing w:after="0" w:line="241" w:lineRule="atLeast"/>
    </w:pPr>
    <w:rPr>
      <w:rFonts w:ascii="Myriad Pro" w:hAnsi="Myriad Pro"/>
      <w:sz w:val="24"/>
      <w:szCs w:val="24"/>
    </w:rPr>
  </w:style>
  <w:style w:type="character" w:customStyle="1" w:styleId="A10">
    <w:name w:val="A10"/>
    <w:uiPriority w:val="99"/>
    <w:rsid w:val="00D47D22"/>
    <w:rPr>
      <w:rFonts w:cs="Myriad Pro"/>
      <w:color w:val="211D1E"/>
      <w:sz w:val="22"/>
      <w:szCs w:val="22"/>
    </w:rPr>
  </w:style>
  <w:style w:type="character" w:customStyle="1" w:styleId="A11">
    <w:name w:val="A11"/>
    <w:uiPriority w:val="99"/>
    <w:rsid w:val="00D47D22"/>
    <w:rPr>
      <w:rFonts w:cs="Myriad Pro"/>
      <w:color w:val="211D1E"/>
      <w:sz w:val="22"/>
      <w:szCs w:val="22"/>
      <w:u w:val="single"/>
    </w:rPr>
  </w:style>
  <w:style w:type="character" w:customStyle="1" w:styleId="A12">
    <w:name w:val="A12"/>
    <w:uiPriority w:val="99"/>
    <w:rsid w:val="00D47D22"/>
    <w:rPr>
      <w:rFonts w:cs="Myriad Pro"/>
      <w:color w:val="211D1E"/>
      <w:u w:val="single"/>
    </w:rPr>
  </w:style>
  <w:style w:type="character" w:styleId="Hyperlink">
    <w:name w:val="Hyperlink"/>
    <w:basedOn w:val="DefaultParagraphFont"/>
    <w:uiPriority w:val="99"/>
    <w:unhideWhenUsed/>
    <w:rsid w:val="001B37B8"/>
    <w:rPr>
      <w:color w:val="0000FF" w:themeColor="hyperlink"/>
      <w:u w:val="single"/>
    </w:rPr>
  </w:style>
  <w:style w:type="table" w:customStyle="1" w:styleId="CDI-StandardTable">
    <w:name w:val="CDI - Standard Table"/>
    <w:basedOn w:val="TableNormal"/>
    <w:uiPriority w:val="99"/>
    <w:rsid w:val="005E5181"/>
    <w:pPr>
      <w:spacing w:after="0" w:line="240" w:lineRule="auto"/>
      <w:jc w:val="center"/>
    </w:pPr>
    <w:rPr>
      <w:rFonts w:ascii="Calibri" w:hAnsi="Calibri"/>
      <w:color w:val="000000" w:themeColor="text1"/>
    </w:rPr>
    <w:tblPr>
      <w:tblStyleRowBandSize w:val="1"/>
      <w:tblCellMar>
        <w:top w:w="57" w:type="dxa"/>
        <w:left w:w="57" w:type="dxa"/>
        <w:bottom w:w="57" w:type="dxa"/>
        <w:right w:w="57" w:type="dxa"/>
      </w:tblCellMar>
    </w:tblPr>
    <w:tcPr>
      <w:vAlign w:val="center"/>
    </w:tcPr>
    <w:tblStylePr w:type="firstRow">
      <w:pPr>
        <w:jc w:val="center"/>
      </w:pPr>
      <w:rPr>
        <w:rFonts w:asciiTheme="minorHAnsi" w:hAnsiTheme="minorHAnsi"/>
        <w:b/>
        <w:color w:val="FFFFFF" w:themeColor="background1"/>
        <w:sz w:val="22"/>
      </w:rPr>
      <w:tblPr/>
      <w:tcPr>
        <w:tcBorders>
          <w:insideH w:val="single" w:sz="4" w:space="0" w:color="F7ECDD"/>
          <w:insideV w:val="single" w:sz="4" w:space="0" w:color="F7ECDD"/>
        </w:tcBorders>
        <w:shd w:val="clear" w:color="auto" w:fill="404040" w:themeFill="text1" w:themeFillTint="BF"/>
      </w:tcPr>
    </w:tblStylePr>
    <w:tblStylePr w:type="lastRow">
      <w:rPr>
        <w:b/>
      </w:rPr>
      <w:tblPr/>
      <w:tcPr>
        <w:shd w:val="clear" w:color="auto" w:fill="F7ECDD"/>
      </w:tcPr>
    </w:tblStylePr>
    <w:tblStylePr w:type="band2Horz">
      <w:tblPr/>
      <w:tcPr>
        <w:shd w:val="clear" w:color="auto" w:fill="F2F2F2" w:themeFill="background1" w:themeFillShade="F2"/>
      </w:tcPr>
    </w:tblStylePr>
  </w:style>
  <w:style w:type="paragraph" w:customStyle="1" w:styleId="CDIfootnotes">
    <w:name w:val="CDI_footnotes"/>
    <w:basedOn w:val="NormalWeb"/>
    <w:link w:val="CDIfootnotesChar"/>
    <w:qFormat/>
    <w:rsid w:val="00DC24E5"/>
    <w:pPr>
      <w:spacing w:line="240" w:lineRule="auto"/>
      <w:ind w:left="720" w:hanging="720"/>
      <w:contextualSpacing/>
    </w:pPr>
    <w:rPr>
      <w:sz w:val="18"/>
    </w:rPr>
  </w:style>
  <w:style w:type="table" w:styleId="LightList">
    <w:name w:val="Light List"/>
    <w:basedOn w:val="TableNormal"/>
    <w:uiPriority w:val="61"/>
    <w:rsid w:val="00433456"/>
    <w:pPr>
      <w:spacing w:after="0" w:line="240" w:lineRule="auto"/>
    </w:pPr>
    <w:tblPr>
      <w:tblStyleRow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TableGrid">
    <w:name w:val="Table Grid"/>
    <w:basedOn w:val="TableNormal"/>
    <w:uiPriority w:val="59"/>
    <w:rsid w:val="0043345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DIFigures">
    <w:name w:val="CDI_Figures"/>
    <w:basedOn w:val="NormalWeb"/>
    <w:link w:val="CDIFiguresChar"/>
    <w:qFormat/>
    <w:rsid w:val="00C30BA9"/>
    <w:rPr>
      <w:b/>
    </w:rPr>
  </w:style>
  <w:style w:type="character" w:customStyle="1" w:styleId="NormalWebChar">
    <w:name w:val="Normal (Web) Char"/>
    <w:basedOn w:val="DefaultParagraphFont"/>
    <w:link w:val="NormalWeb"/>
    <w:uiPriority w:val="99"/>
    <w:rsid w:val="00DE5D02"/>
  </w:style>
  <w:style w:type="character" w:customStyle="1" w:styleId="CDIfootnotesChar">
    <w:name w:val="CDI_footnotes Char"/>
    <w:basedOn w:val="NormalWebChar"/>
    <w:link w:val="CDIfootnotes"/>
    <w:rsid w:val="00DC24E5"/>
    <w:rPr>
      <w:sz w:val="18"/>
    </w:rPr>
  </w:style>
  <w:style w:type="character" w:customStyle="1" w:styleId="CDIFiguresChar">
    <w:name w:val="CDI_Figures Char"/>
    <w:basedOn w:val="NormalWebChar"/>
    <w:link w:val="CDIFigures"/>
    <w:rsid w:val="00C30BA9"/>
    <w:rPr>
      <w:b/>
    </w:rPr>
  </w:style>
  <w:style w:type="character" w:customStyle="1" w:styleId="URI">
    <w:name w:val="URI"/>
    <w:uiPriority w:val="99"/>
    <w:rsid w:val="000A5F42"/>
    <w:rPr>
      <w:color w:val="000000"/>
      <w:u w:val="thick"/>
    </w:rPr>
  </w:style>
  <w:style w:type="character" w:customStyle="1" w:styleId="nobreak">
    <w:name w:val="no break"/>
    <w:uiPriority w:val="99"/>
    <w:rsid w:val="000A5F42"/>
    <w:rPr>
      <w:u w:val="none"/>
    </w:rPr>
  </w:style>
  <w:style w:type="paragraph" w:styleId="FootnoteText">
    <w:name w:val="footnote text"/>
    <w:basedOn w:val="Normal"/>
    <w:link w:val="FootnoteTextChar"/>
    <w:uiPriority w:val="99"/>
    <w:semiHidden/>
    <w:unhideWhenUsed/>
    <w:rsid w:val="00224EFF"/>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224EFF"/>
    <w:rPr>
      <w:sz w:val="20"/>
      <w:szCs w:val="20"/>
    </w:rPr>
  </w:style>
  <w:style w:type="character" w:styleId="FootnoteReference">
    <w:name w:val="footnote reference"/>
    <w:basedOn w:val="DefaultParagraphFont"/>
    <w:uiPriority w:val="99"/>
    <w:semiHidden/>
    <w:unhideWhenUsed/>
    <w:rsid w:val="00224EFF"/>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6342280">
      <w:bodyDiv w:val="1"/>
      <w:marLeft w:val="0"/>
      <w:marRight w:val="0"/>
      <w:marTop w:val="0"/>
      <w:marBottom w:val="0"/>
      <w:divBdr>
        <w:top w:val="none" w:sz="0" w:space="0" w:color="auto"/>
        <w:left w:val="none" w:sz="0" w:space="0" w:color="auto"/>
        <w:bottom w:val="none" w:sz="0" w:space="0" w:color="auto"/>
        <w:right w:val="none" w:sz="0" w:space="0" w:color="auto"/>
      </w:divBdr>
    </w:div>
    <w:div w:id="387656109">
      <w:bodyDiv w:val="1"/>
      <w:marLeft w:val="0"/>
      <w:marRight w:val="0"/>
      <w:marTop w:val="0"/>
      <w:marBottom w:val="0"/>
      <w:divBdr>
        <w:top w:val="none" w:sz="0" w:space="0" w:color="auto"/>
        <w:left w:val="none" w:sz="0" w:space="0" w:color="auto"/>
        <w:bottom w:val="none" w:sz="0" w:space="0" w:color="auto"/>
        <w:right w:val="none" w:sz="0" w:space="0" w:color="auto"/>
      </w:divBdr>
    </w:div>
    <w:div w:id="574974463">
      <w:bodyDiv w:val="1"/>
      <w:marLeft w:val="0"/>
      <w:marRight w:val="0"/>
      <w:marTop w:val="0"/>
      <w:marBottom w:val="0"/>
      <w:divBdr>
        <w:top w:val="none" w:sz="0" w:space="0" w:color="auto"/>
        <w:left w:val="none" w:sz="0" w:space="0" w:color="auto"/>
        <w:bottom w:val="none" w:sz="0" w:space="0" w:color="auto"/>
        <w:right w:val="none" w:sz="0" w:space="0" w:color="auto"/>
      </w:divBdr>
    </w:div>
    <w:div w:id="975111627">
      <w:bodyDiv w:val="1"/>
      <w:marLeft w:val="0"/>
      <w:marRight w:val="0"/>
      <w:marTop w:val="0"/>
      <w:marBottom w:val="0"/>
      <w:divBdr>
        <w:top w:val="none" w:sz="0" w:space="0" w:color="auto"/>
        <w:left w:val="none" w:sz="0" w:space="0" w:color="auto"/>
        <w:bottom w:val="none" w:sz="0" w:space="0" w:color="auto"/>
        <w:right w:val="none" w:sz="0" w:space="0" w:color="auto"/>
      </w:divBdr>
    </w:div>
  </w:divs>
  <w:encoding w:val="unicode"/>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mailto:cdi.editor@health.gov.au" TargetMode="External"/><Relationship Id="rId18" Type="http://schemas.openxmlformats.org/officeDocument/2006/relationships/hyperlink" Target="mailto:copyright@health.gov.au" TargetMode="External"/><Relationship Id="rId3" Type="http://schemas.openxmlformats.org/officeDocument/2006/relationships/numbering" Target="numbering.xml"/><Relationship Id="rId21" Type="http://schemas.openxmlformats.org/officeDocument/2006/relationships/fontTable" Target="fontTable.xml"/><Relationship Id="rId7" Type="http://schemas.openxmlformats.org/officeDocument/2006/relationships/footnotes" Target="footnotes.xml"/><Relationship Id="rId12" Type="http://schemas.openxmlformats.org/officeDocument/2006/relationships/hyperlink" Target="http://www.health.gov.au/cdi" TargetMode="External"/><Relationship Id="rId17" Type="http://schemas.openxmlformats.org/officeDocument/2006/relationships/hyperlink" Target="http://www.itsanhonour.gov.au/" TargetMode="External"/><Relationship Id="rId2" Type="http://schemas.openxmlformats.org/officeDocument/2006/relationships/customXml" Target="../customXml/item2.xml"/><Relationship Id="rId16" Type="http://schemas.openxmlformats.org/officeDocument/2006/relationships/hyperlink" Target="https://creativecommons.org/licenses/by-nc-nd/4.0/legalcode" TargetMode="External"/><Relationship Id="rId20"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2.xml"/><Relationship Id="rId5" Type="http://schemas.openxmlformats.org/officeDocument/2006/relationships/settings" Target="settings.xml"/><Relationship Id="rId15" Type="http://schemas.openxmlformats.org/officeDocument/2006/relationships/hyperlink" Target="mailto:cdi.editor@health.gov.au" TargetMode="External"/><Relationship Id="rId10" Type="http://schemas.openxmlformats.org/officeDocument/2006/relationships/footer" Target="footer1.xml"/><Relationship Id="rId19" Type="http://schemas.openxmlformats.org/officeDocument/2006/relationships/hyperlink" Target="http://www.health.gov.au/cdna" TargetMode="External"/><Relationship Id="rId4" Type="http://schemas.openxmlformats.org/officeDocument/2006/relationships/styles" Target="styles.xml"/><Relationship Id="rId9" Type="http://schemas.openxmlformats.org/officeDocument/2006/relationships/header" Target="header1.xml"/><Relationship Id="rId14" Type="http://schemas.openxmlformats.org/officeDocument/2006/relationships/hyperlink" Target="http://health.gov.au/cdi" TargetMode="External"/><Relationship Id="rId22" Type="http://schemas.openxmlformats.org/officeDocument/2006/relationships/theme" Target="theme/theme1.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9" Type="http://schemas.openxmlformats.org/officeDocument/2006/relationships/font" Target="fonts/font9.odttf"/></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I:\Staging\CDI\OpenCDI\2022\template-2022.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2019-03-15T00:00:00</PublishDate>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3DE3CEDF-0107-42E3-93CC-370A8D395D5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template-2022.dotx</Template>
  <TotalTime>18</TotalTime>
  <Pages>5</Pages>
  <Words>2216</Words>
  <Characters>14169</Characters>
  <Application>Microsoft Office Word</Application>
  <DocSecurity>0</DocSecurity>
  <Lines>118</Lines>
  <Paragraphs>32</Paragraphs>
  <ScaleCrop>false</ScaleCrop>
  <HeadingPairs>
    <vt:vector size="4" baseType="variant">
      <vt:variant>
        <vt:lpstr>Title</vt:lpstr>
      </vt:variant>
      <vt:variant>
        <vt:i4>1</vt:i4>
      </vt:variant>
      <vt:variant>
        <vt:lpstr>Headings</vt:lpstr>
      </vt:variant>
      <vt:variant>
        <vt:i4>3</vt:i4>
      </vt:variant>
    </vt:vector>
  </HeadingPairs>
  <TitlesOfParts>
    <vt:vector size="4" baseType="lpstr">
      <vt:lpstr>Communicable Diseases Intelligence - Consensus statement on the use of a four-month treatment regimen for drug susceptible tuberculosis in children (&lt; 10 years of age) with uncomplicated disease</vt:lpstr>
      <vt:lpstr>Background </vt:lpstr>
      <vt:lpstr>Consensus statement (endorsed by NTAC and ANZPID) </vt:lpstr>
      <vt:lpstr>References </vt:lpstr>
    </vt:vector>
  </TitlesOfParts>
  <Company>Australian Government, Department of Health</Company>
  <LinksUpToDate>false</LinksUpToDate>
  <CharactersWithSpaces>16353</CharactersWithSpaces>
  <SharedDoc>false</SharedDoc>
  <HyperlinkBase>http://www.health.gov.au</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Communicable Diseases Intelligence - Consensus statement on the use of a four-month treatment regimen for drug susceptible tuberculosis in children (&lt; 10 years of age) with uncomplicated disease</dc:title>
  <dc:creator>YOUSEFI, Kasra</dc:creator>
  <dc:description>© Commonwealth of Australia CC BY-NC-ND ISSN: 2209-6051 (Online)</dc:description>
  <cp:lastModifiedBy>YOUSEFI, Kasra</cp:lastModifiedBy>
  <cp:revision>5</cp:revision>
  <cp:lastPrinted>2018-05-10T02:19:00Z</cp:lastPrinted>
  <dcterms:created xsi:type="dcterms:W3CDTF">2022-12-08T00:47:00Z</dcterms:created>
  <dcterms:modified xsi:type="dcterms:W3CDTF">2022-12-09T01:43:00Z</dcterms:modified>
  <cp:category>Policy and Guidelines</cp:category>
  <cp:ver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Year">
    <vt:lpwstr>2022</vt:lpwstr>
  </property>
  <property fmtid="{D5CDD505-2E9C-101B-9397-08002B2CF9AE}" pid="3" name="Vol">
    <vt:i4>46</vt:i4>
  </property>
  <property fmtid="{D5CDD505-2E9C-101B-9397-08002B2CF9AE}" pid="4" name="ePubDate">
    <vt:lpwstr>15/12/2022</vt:lpwstr>
  </property>
  <property fmtid="{D5CDD505-2E9C-101B-9397-08002B2CF9AE}" pid="5" name="DOI">
    <vt:lpwstr>https://doi.org/10.33321/cdi.2022.46.85</vt:lpwstr>
  </property>
</Properties>
</file>