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30F95" w14:textId="77777777" w:rsidR="000A1D58" w:rsidRPr="00891161" w:rsidRDefault="000A1D58" w:rsidP="00891161">
      <w:pPr>
        <w:pStyle w:val="Title"/>
      </w:pPr>
      <w:r w:rsidRPr="00891161">
        <w:t xml:space="preserve">Influenza epidemiology in patients admitted to sentinel Australian hospitals in 2019: </w:t>
      </w:r>
      <w:proofErr w:type="gramStart"/>
      <w:r w:rsidRPr="00891161">
        <w:t>the</w:t>
      </w:r>
      <w:proofErr w:type="gramEnd"/>
      <w:r w:rsidRPr="00891161">
        <w:t xml:space="preserve"> Influenza Complications Alert Network (FluCAN) </w:t>
      </w:r>
    </w:p>
    <w:p w14:paraId="5A998551" w14:textId="77777777" w:rsidR="000A1D58" w:rsidRDefault="000A1D58" w:rsidP="00891161">
      <w:r>
        <w:t xml:space="preserve">Allen C Cheng, Dominic E Dwyer, Mark Holmes, Louis B Irving, Graham Simpson, Sanjaya Senanayake, Tony </w:t>
      </w:r>
      <w:proofErr w:type="spellStart"/>
      <w:r>
        <w:t>Korman</w:t>
      </w:r>
      <w:proofErr w:type="spellEnd"/>
      <w:r>
        <w:t xml:space="preserve">, N Deborah Friedman, Louise Cooley, Peter </w:t>
      </w:r>
      <w:proofErr w:type="spellStart"/>
      <w:r>
        <w:t>Wark</w:t>
      </w:r>
      <w:proofErr w:type="spellEnd"/>
      <w:r>
        <w:t xml:space="preserve">, Anna Holwell, Simon Bowler, John W Upham, Daniel M </w:t>
      </w:r>
      <w:proofErr w:type="spellStart"/>
      <w:r>
        <w:t>Fatovich</w:t>
      </w:r>
      <w:proofErr w:type="spellEnd"/>
      <w:r>
        <w:t xml:space="preserve">, Grant W Waterer, Kristine Macartney, Christopher C Blyth, Nigel Crawford, Jim Buttery, Helen S Marshall, Julia E Clark, Joshua Francis, Tom </w:t>
      </w:r>
      <w:proofErr w:type="spellStart"/>
      <w:r>
        <w:t>Kotsimbos</w:t>
      </w:r>
      <w:proofErr w:type="spellEnd"/>
      <w:r>
        <w:t xml:space="preserve">, Paul M Kelly </w:t>
      </w:r>
    </w:p>
    <w:p w14:paraId="4E9C6B7C" w14:textId="77777777" w:rsidR="000A1D58" w:rsidRPr="00891161" w:rsidRDefault="000A1D58" w:rsidP="00891161">
      <w:pPr>
        <w:pStyle w:val="Heading1"/>
      </w:pPr>
      <w:r w:rsidRPr="00891161">
        <w:t xml:space="preserve">Abstract </w:t>
      </w:r>
    </w:p>
    <w:p w14:paraId="61D465F0" w14:textId="77777777" w:rsidR="000A1D58" w:rsidRDefault="000A1D58" w:rsidP="00891161">
      <w:r>
        <w:t xml:space="preserve">Influenza is a common cause of acute respiratory </w:t>
      </w:r>
      <w:proofErr w:type="gramStart"/>
      <w:r>
        <w:t>infection, and</w:t>
      </w:r>
      <w:proofErr w:type="gramEnd"/>
      <w:r>
        <w:t xml:space="preserve"> is a major cause of morbidity and mortality. This report summarises the</w:t>
      </w:r>
      <w:r>
        <w:rPr>
          <w:rStyle w:val="Strong"/>
        </w:rPr>
        <w:t xml:space="preserve"> </w:t>
      </w:r>
      <w:r>
        <w:t xml:space="preserve">epidemiology of hospitalisations with laboratory-confirmed influenza during the 2019 influenza season. </w:t>
      </w:r>
    </w:p>
    <w:p w14:paraId="2C5785A0" w14:textId="77777777" w:rsidR="000A1D58" w:rsidRDefault="000A1D58" w:rsidP="00891161">
      <w:r>
        <w:t xml:space="preserve">The Influenza Complications Alert Network (FluCAN) is a sentinel hospital-based surveillance program that operates at sites in all jurisdictions in Australia. Cases were defined as patients hospitalised at any of the 17 sentinel hospitals with influenza confirmed by nucleic acid detection. Data were also collected on a frequency matched control group of influenza-negative patients admitted with acute respiratory infection. </w:t>
      </w:r>
    </w:p>
    <w:p w14:paraId="34AE1202" w14:textId="1437D223" w:rsidR="000A1D58" w:rsidRDefault="000A1D58" w:rsidP="00891161">
      <w:r>
        <w:t>During the period 1 April to 31 October 2019 (the 2019 influenza season), there were 4,154 patients admitted with confirmed influenza to one of 17 FluCAN sentinel hospitals. Of these, 44% were elderly (≥ 65 years), 21% were children (&lt; 16 years), 7.7% were Aboriginal and Torres Strait Islander peoples, 1.7% were pregnant and 73% had chronic comorbidities. Most admissions were due to influenza A infection (85%). Estimated vaccine coverage was 75% in the elderly, 49% in non-elderly adults with medical comorbidities, and 27% in young children (&lt; 5 years). The estimated vaccine effectiveness in the target adult population was 42% (95% confidence interval [95% CI]: 36%,</w:t>
      </w:r>
      <w:r w:rsidR="00EC64E9">
        <w:t> </w:t>
      </w:r>
      <w:r>
        <w:t xml:space="preserve">49%). </w:t>
      </w:r>
    </w:p>
    <w:p w14:paraId="14F5AA20" w14:textId="77777777" w:rsidR="000A1D58" w:rsidRDefault="000A1D58" w:rsidP="00891161">
      <w:r>
        <w:t xml:space="preserve">There were a larger number of hospital admissions detected with confirmed influenza in this national observational surveillance system in 2019 than in 2018. </w:t>
      </w:r>
    </w:p>
    <w:p w14:paraId="2F8C4779" w14:textId="77777777" w:rsidR="000A1D58" w:rsidRDefault="000A1D58" w:rsidP="00891161">
      <w:r>
        <w:t xml:space="preserve">Keywords: Influenza; public health surveillance; influenza vaccines; vaccination coverage; vaccine effectiveness </w:t>
      </w:r>
    </w:p>
    <w:p w14:paraId="339EA920" w14:textId="77777777" w:rsidR="000A1D58" w:rsidRPr="00891161" w:rsidRDefault="000A1D58" w:rsidP="00891161">
      <w:pPr>
        <w:pStyle w:val="Heading1"/>
      </w:pPr>
      <w:r w:rsidRPr="00891161">
        <w:t xml:space="preserve">Introduction </w:t>
      </w:r>
    </w:p>
    <w:p w14:paraId="68CB04FE" w14:textId="77777777" w:rsidR="000A1D58" w:rsidRDefault="000A1D58" w:rsidP="00757DC5">
      <w:r>
        <w:t>Influenza is an acute respiratory viral infection caused by influenza viruses. Global studies suggest that along with respiratory syncytial virus (RSV), influenza A and B are the most common viruses identified in surveillance systems,</w:t>
      </w:r>
      <w:r>
        <w:rPr>
          <w:vertAlign w:val="superscript"/>
        </w:rPr>
        <w:t>1</w:t>
      </w:r>
      <w:r>
        <w:t xml:space="preserve"> and it has been estimated that influenza caused 9.5 million hospitalisations and 145,000 deaths in 2017.</w:t>
      </w:r>
      <w:r>
        <w:rPr>
          <w:vertAlign w:val="superscript"/>
        </w:rPr>
        <w:t>2</w:t>
      </w:r>
      <w:r>
        <w:t xml:space="preserve"> In Australia, an analysis of administrative hospital data found that influenza is diagnosed in up to 10,000 admissions annually, with the highest incidence in children and the elderly.</w:t>
      </w:r>
      <w:r>
        <w:rPr>
          <w:vertAlign w:val="superscript"/>
        </w:rPr>
        <w:t>3</w:t>
      </w:r>
      <w:r>
        <w:t xml:space="preserve"> In this report, we describe the epidemiology of hospitalisation with laboratory-confirmed influenza in the 2019 season in Australia. </w:t>
      </w:r>
    </w:p>
    <w:p w14:paraId="63F11550" w14:textId="77777777" w:rsidR="009E7869" w:rsidRDefault="009E7869">
      <w:pPr>
        <w:rPr>
          <w:rFonts w:asciiTheme="majorHAnsi" w:eastAsiaTheme="majorEastAsia" w:hAnsiTheme="majorHAnsi" w:cstheme="majorBidi"/>
          <w:b/>
          <w:bCs/>
          <w:sz w:val="32"/>
          <w:szCs w:val="28"/>
        </w:rPr>
      </w:pPr>
      <w:r>
        <w:br w:type="page"/>
      </w:r>
    </w:p>
    <w:p w14:paraId="4F8B7258" w14:textId="2934A6D5" w:rsidR="000A1D58" w:rsidRPr="00757DC5" w:rsidRDefault="000A1D58" w:rsidP="00757DC5">
      <w:pPr>
        <w:pStyle w:val="Heading1"/>
      </w:pPr>
      <w:r w:rsidRPr="00757DC5">
        <w:lastRenderedPageBreak/>
        <w:t xml:space="preserve">Methods </w:t>
      </w:r>
    </w:p>
    <w:p w14:paraId="33AE6D4A" w14:textId="77777777" w:rsidR="000A1D58" w:rsidRDefault="000A1D58" w:rsidP="00757DC5">
      <w:r>
        <w:t>The Influenza Complications Alert Network (FluCAN) is a national hospital-based sentinel surveillance system.</w:t>
      </w:r>
      <w:r>
        <w:rPr>
          <w:vertAlign w:val="superscript"/>
        </w:rPr>
        <w:t>4–6</w:t>
      </w:r>
      <w:r>
        <w:t xml:space="preserve"> Since 2011, the participating sites have been: </w:t>
      </w:r>
    </w:p>
    <w:p w14:paraId="45A3891F" w14:textId="77777777" w:rsidR="000A1D58" w:rsidRPr="00757DC5" w:rsidRDefault="000A1D58" w:rsidP="00757DC5">
      <w:pPr>
        <w:pStyle w:val="ListParagraph"/>
        <w:numPr>
          <w:ilvl w:val="0"/>
          <w:numId w:val="9"/>
        </w:numPr>
        <w:rPr>
          <w:rFonts w:eastAsia="Times New Roman"/>
        </w:rPr>
      </w:pPr>
      <w:r w:rsidRPr="00757DC5">
        <w:rPr>
          <w:rFonts w:eastAsia="Times New Roman"/>
        </w:rPr>
        <w:t xml:space="preserve">Canberra Hospital (Australian Capital Territory, ACT) </w:t>
      </w:r>
    </w:p>
    <w:p w14:paraId="2DD050EA" w14:textId="77777777" w:rsidR="000A1D58" w:rsidRPr="00757DC5" w:rsidRDefault="000A1D58" w:rsidP="00757DC5">
      <w:pPr>
        <w:pStyle w:val="ListParagraph"/>
        <w:numPr>
          <w:ilvl w:val="0"/>
          <w:numId w:val="9"/>
        </w:numPr>
        <w:rPr>
          <w:rFonts w:eastAsia="Times New Roman"/>
        </w:rPr>
      </w:pPr>
      <w:r w:rsidRPr="00757DC5">
        <w:rPr>
          <w:rFonts w:eastAsia="Times New Roman"/>
        </w:rPr>
        <w:t xml:space="preserve">Calvary Hospital (ACT) </w:t>
      </w:r>
    </w:p>
    <w:p w14:paraId="2BBCF501" w14:textId="77777777" w:rsidR="000A1D58" w:rsidRPr="00757DC5" w:rsidRDefault="000A1D58" w:rsidP="00757DC5">
      <w:pPr>
        <w:pStyle w:val="ListParagraph"/>
        <w:numPr>
          <w:ilvl w:val="0"/>
          <w:numId w:val="9"/>
        </w:numPr>
        <w:rPr>
          <w:rFonts w:eastAsia="Times New Roman"/>
        </w:rPr>
      </w:pPr>
      <w:r w:rsidRPr="00757DC5">
        <w:rPr>
          <w:rFonts w:eastAsia="Times New Roman"/>
        </w:rPr>
        <w:t xml:space="preserve">Westmead Hospital (New South Wales, NSW) </w:t>
      </w:r>
    </w:p>
    <w:p w14:paraId="0B0FF298" w14:textId="77777777" w:rsidR="000A1D58" w:rsidRPr="00757DC5" w:rsidRDefault="000A1D58" w:rsidP="00757DC5">
      <w:pPr>
        <w:pStyle w:val="ListParagraph"/>
        <w:numPr>
          <w:ilvl w:val="0"/>
          <w:numId w:val="9"/>
        </w:numPr>
        <w:rPr>
          <w:rFonts w:eastAsia="Times New Roman"/>
        </w:rPr>
      </w:pPr>
      <w:r w:rsidRPr="00757DC5">
        <w:rPr>
          <w:rFonts w:eastAsia="Times New Roman"/>
        </w:rPr>
        <w:t xml:space="preserve">John Hunter Hospital (NSW) </w:t>
      </w:r>
    </w:p>
    <w:p w14:paraId="7DDA72C7" w14:textId="77777777" w:rsidR="000A1D58" w:rsidRPr="00757DC5" w:rsidRDefault="000A1D58" w:rsidP="00757DC5">
      <w:pPr>
        <w:pStyle w:val="ListParagraph"/>
        <w:numPr>
          <w:ilvl w:val="0"/>
          <w:numId w:val="9"/>
        </w:numPr>
        <w:rPr>
          <w:rFonts w:eastAsia="Times New Roman"/>
        </w:rPr>
      </w:pPr>
      <w:r w:rsidRPr="00757DC5">
        <w:rPr>
          <w:rFonts w:eastAsia="Times New Roman"/>
        </w:rPr>
        <w:t xml:space="preserve">Children’s Hospital at Westmead (NSW) </w:t>
      </w:r>
    </w:p>
    <w:p w14:paraId="40723A06" w14:textId="77777777" w:rsidR="000A1D58" w:rsidRPr="00757DC5" w:rsidRDefault="000A1D58" w:rsidP="00757DC5">
      <w:pPr>
        <w:pStyle w:val="ListParagraph"/>
        <w:numPr>
          <w:ilvl w:val="0"/>
          <w:numId w:val="9"/>
        </w:numPr>
        <w:rPr>
          <w:rFonts w:eastAsia="Times New Roman"/>
        </w:rPr>
      </w:pPr>
      <w:r w:rsidRPr="00757DC5">
        <w:rPr>
          <w:rFonts w:eastAsia="Times New Roman"/>
        </w:rPr>
        <w:t xml:space="preserve">Alice Springs Hospital (Northern Territory, NT) </w:t>
      </w:r>
    </w:p>
    <w:p w14:paraId="7928CA39" w14:textId="77777777" w:rsidR="000A1D58" w:rsidRPr="00757DC5" w:rsidRDefault="000A1D58" w:rsidP="00757DC5">
      <w:pPr>
        <w:pStyle w:val="ListParagraph"/>
        <w:numPr>
          <w:ilvl w:val="0"/>
          <w:numId w:val="9"/>
        </w:numPr>
        <w:rPr>
          <w:rFonts w:eastAsia="Times New Roman"/>
        </w:rPr>
      </w:pPr>
      <w:r w:rsidRPr="00757DC5">
        <w:rPr>
          <w:rFonts w:eastAsia="Times New Roman"/>
        </w:rPr>
        <w:t xml:space="preserve">Mater Hospital (Queensland, Qld) </w:t>
      </w:r>
    </w:p>
    <w:p w14:paraId="2CE2E8F1" w14:textId="77777777" w:rsidR="000A1D58" w:rsidRPr="00757DC5" w:rsidRDefault="000A1D58" w:rsidP="00757DC5">
      <w:pPr>
        <w:pStyle w:val="ListParagraph"/>
        <w:numPr>
          <w:ilvl w:val="0"/>
          <w:numId w:val="9"/>
        </w:numPr>
        <w:rPr>
          <w:rFonts w:eastAsia="Times New Roman"/>
        </w:rPr>
      </w:pPr>
      <w:r w:rsidRPr="00757DC5">
        <w:rPr>
          <w:rFonts w:eastAsia="Times New Roman"/>
        </w:rPr>
        <w:t xml:space="preserve">Princess Alexandra Hospital (Qld) </w:t>
      </w:r>
    </w:p>
    <w:p w14:paraId="180F1F53" w14:textId="77777777" w:rsidR="000A1D58" w:rsidRPr="00757DC5" w:rsidRDefault="000A1D58" w:rsidP="00757DC5">
      <w:pPr>
        <w:pStyle w:val="ListParagraph"/>
        <w:numPr>
          <w:ilvl w:val="0"/>
          <w:numId w:val="9"/>
        </w:numPr>
        <w:rPr>
          <w:rFonts w:eastAsia="Times New Roman"/>
        </w:rPr>
      </w:pPr>
      <w:r w:rsidRPr="00757DC5">
        <w:rPr>
          <w:rFonts w:eastAsia="Times New Roman"/>
        </w:rPr>
        <w:t xml:space="preserve">Cairns Base Hospital (Qld) </w:t>
      </w:r>
    </w:p>
    <w:p w14:paraId="1731685B" w14:textId="77777777" w:rsidR="000A1D58" w:rsidRPr="00757DC5" w:rsidRDefault="000A1D58" w:rsidP="00757DC5">
      <w:pPr>
        <w:pStyle w:val="ListParagraph"/>
        <w:numPr>
          <w:ilvl w:val="0"/>
          <w:numId w:val="9"/>
        </w:numPr>
        <w:rPr>
          <w:rFonts w:eastAsia="Times New Roman"/>
        </w:rPr>
      </w:pPr>
      <w:r w:rsidRPr="00757DC5">
        <w:rPr>
          <w:rFonts w:eastAsia="Times New Roman"/>
        </w:rPr>
        <w:t xml:space="preserve">Royal Adelaide Hospital (South Australia, SA) </w:t>
      </w:r>
    </w:p>
    <w:p w14:paraId="5D7D1D2F" w14:textId="77777777" w:rsidR="000A1D58" w:rsidRPr="00757DC5" w:rsidRDefault="000A1D58" w:rsidP="00757DC5">
      <w:pPr>
        <w:pStyle w:val="ListParagraph"/>
        <w:numPr>
          <w:ilvl w:val="0"/>
          <w:numId w:val="9"/>
        </w:numPr>
        <w:rPr>
          <w:rFonts w:eastAsia="Times New Roman"/>
        </w:rPr>
      </w:pPr>
      <w:r w:rsidRPr="00757DC5">
        <w:rPr>
          <w:rFonts w:eastAsia="Times New Roman"/>
        </w:rPr>
        <w:t xml:space="preserve">Royal Hobart Hospital (Tasmania, Tas.) </w:t>
      </w:r>
    </w:p>
    <w:p w14:paraId="23D581C5" w14:textId="77777777" w:rsidR="000A1D58" w:rsidRPr="00757DC5" w:rsidRDefault="000A1D58" w:rsidP="00757DC5">
      <w:pPr>
        <w:pStyle w:val="ListParagraph"/>
        <w:numPr>
          <w:ilvl w:val="0"/>
          <w:numId w:val="9"/>
        </w:numPr>
        <w:rPr>
          <w:rFonts w:eastAsia="Times New Roman"/>
        </w:rPr>
      </w:pPr>
      <w:r w:rsidRPr="00757DC5">
        <w:rPr>
          <w:rFonts w:eastAsia="Times New Roman"/>
        </w:rPr>
        <w:t xml:space="preserve">The Alfred Hospital (Victoria, Vic.) </w:t>
      </w:r>
    </w:p>
    <w:p w14:paraId="50E03968" w14:textId="77777777" w:rsidR="000A1D58" w:rsidRPr="00757DC5" w:rsidRDefault="000A1D58" w:rsidP="00757DC5">
      <w:pPr>
        <w:pStyle w:val="ListParagraph"/>
        <w:numPr>
          <w:ilvl w:val="0"/>
          <w:numId w:val="9"/>
        </w:numPr>
        <w:rPr>
          <w:rFonts w:eastAsia="Times New Roman"/>
        </w:rPr>
      </w:pPr>
      <w:r w:rsidRPr="00757DC5">
        <w:rPr>
          <w:rFonts w:eastAsia="Times New Roman"/>
        </w:rPr>
        <w:t xml:space="preserve">Royal Melbourne Hospital (Vic.) </w:t>
      </w:r>
    </w:p>
    <w:p w14:paraId="450738A0" w14:textId="77777777" w:rsidR="000A1D58" w:rsidRPr="00757DC5" w:rsidRDefault="000A1D58" w:rsidP="00757DC5">
      <w:pPr>
        <w:pStyle w:val="ListParagraph"/>
        <w:numPr>
          <w:ilvl w:val="0"/>
          <w:numId w:val="9"/>
        </w:numPr>
        <w:rPr>
          <w:rFonts w:eastAsia="Times New Roman"/>
        </w:rPr>
      </w:pPr>
      <w:r w:rsidRPr="00757DC5">
        <w:rPr>
          <w:rFonts w:eastAsia="Times New Roman"/>
        </w:rPr>
        <w:t xml:space="preserve">Monash Medical Centre (Vic.) </w:t>
      </w:r>
    </w:p>
    <w:p w14:paraId="411436E7" w14:textId="77777777" w:rsidR="000A1D58" w:rsidRPr="00757DC5" w:rsidRDefault="000A1D58" w:rsidP="00757DC5">
      <w:pPr>
        <w:pStyle w:val="ListParagraph"/>
        <w:numPr>
          <w:ilvl w:val="0"/>
          <w:numId w:val="9"/>
        </w:numPr>
        <w:rPr>
          <w:rFonts w:eastAsia="Times New Roman"/>
        </w:rPr>
      </w:pPr>
      <w:r w:rsidRPr="00757DC5">
        <w:rPr>
          <w:rFonts w:eastAsia="Times New Roman"/>
        </w:rPr>
        <w:t xml:space="preserve">University Hospital Geelong (Vic.) </w:t>
      </w:r>
    </w:p>
    <w:p w14:paraId="3F8B2185" w14:textId="77777777" w:rsidR="000A1D58" w:rsidRPr="00757DC5" w:rsidRDefault="000A1D58" w:rsidP="00757DC5">
      <w:pPr>
        <w:pStyle w:val="ListParagraph"/>
        <w:numPr>
          <w:ilvl w:val="0"/>
          <w:numId w:val="9"/>
        </w:numPr>
        <w:rPr>
          <w:rFonts w:eastAsia="Times New Roman"/>
        </w:rPr>
      </w:pPr>
      <w:r w:rsidRPr="00757DC5">
        <w:rPr>
          <w:rFonts w:eastAsia="Times New Roman"/>
        </w:rPr>
        <w:t xml:space="preserve">Royal Perth Hospital (Western Australia, WA) </w:t>
      </w:r>
    </w:p>
    <w:p w14:paraId="5791D0D8" w14:textId="77777777" w:rsidR="000A1D58" w:rsidRPr="00757DC5" w:rsidRDefault="000A1D58" w:rsidP="00757DC5">
      <w:pPr>
        <w:pStyle w:val="ListParagraph"/>
        <w:numPr>
          <w:ilvl w:val="0"/>
          <w:numId w:val="9"/>
        </w:numPr>
        <w:rPr>
          <w:rFonts w:eastAsia="Times New Roman"/>
        </w:rPr>
      </w:pPr>
      <w:r w:rsidRPr="00757DC5">
        <w:rPr>
          <w:rFonts w:eastAsia="Times New Roman"/>
        </w:rPr>
        <w:t xml:space="preserve">Perth Children’s Hospital (previously Princess Margaret Hospital, WA). </w:t>
      </w:r>
    </w:p>
    <w:p w14:paraId="1005CD08" w14:textId="77777777" w:rsidR="000A1D58" w:rsidRDefault="000A1D58" w:rsidP="00757DC5">
      <w:r>
        <w:t>In 2018, additional specialist paediatric hospitals</w:t>
      </w:r>
      <w:proofErr w:type="gramStart"/>
      <w:r>
        <w:t>—(</w:t>
      </w:r>
      <w:proofErr w:type="gramEnd"/>
      <w:r>
        <w:t>Queensland Children’s Hospital (previously Lady Cilento Children’s Hospital, Qld), Women’s and Children’s Hospital (SA), the paediatric ward of the Royal Darwin Hospital (NT) and Royal Children’s Hospital (Vic.)—also contributed data, but data from these sites were only included to estimate vaccine effectiveness to facilitate comparisons with previous years (Figure 1). Ethical approval has been obtained at all participating sites and at Monash University. Hospital bed capacity statistics were obtained from each participating hospital, and national bed capacity was obtained from the last published Australian Institute of Health and Welfare (AIHW) report.</w:t>
      </w:r>
      <w:r>
        <w:rPr>
          <w:vertAlign w:val="superscript"/>
        </w:rPr>
        <w:t xml:space="preserve">7 </w:t>
      </w:r>
    </w:p>
    <w:p w14:paraId="2F045756" w14:textId="77777777" w:rsidR="00195CDD" w:rsidRDefault="00195CDD" w:rsidP="00195CDD">
      <w:pPr>
        <w:pStyle w:val="CDIFigures"/>
        <w:rPr>
          <w:sz w:val="24"/>
          <w:szCs w:val="24"/>
          <w:lang w:val="en-GB"/>
        </w:rPr>
      </w:pPr>
      <w:r>
        <w:rPr>
          <w:lang w:val="en-GB"/>
        </w:rPr>
        <w:t>Figure 1: Participants included in surveillance and vaccine effectiveness cohorts</w:t>
      </w:r>
    </w:p>
    <w:p w14:paraId="154FBCA2" w14:textId="1527C64E" w:rsidR="00195CDD" w:rsidRPr="00195CDD" w:rsidRDefault="00195CDD" w:rsidP="00663377">
      <w:pPr>
        <w:jc w:val="both"/>
        <w:rPr>
          <w:rFonts w:eastAsia="Times New Roman"/>
          <w:lang w:val="en-GB"/>
        </w:rPr>
      </w:pPr>
      <w:r>
        <w:rPr>
          <w:rFonts w:eastAsia="Times New Roman"/>
          <w:noProof/>
          <w:lang w:val="en-GB"/>
        </w:rPr>
        <w:drawing>
          <wp:inline distT="0" distB="0" distL="0" distR="0" wp14:anchorId="4D37AE02" wp14:editId="7E0A2E14">
            <wp:extent cx="6613858" cy="2006600"/>
            <wp:effectExtent l="0" t="0" r="0" b="0"/>
            <wp:docPr id="5" name="Picture 5" descr="This flowchart shows the relationship between the surveillance cohort (cases of confirmed influenza hospitalized at sentinel hospitals) and the vaccine effectiveness cohort (cases and controls hospitalized at sentinel hospitals and additional specialist paediatric hospit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s flowchart shows the relationship between the surveillance cohort (cases of confirmed influenza hospitalized at sentinel hospitals) and the vaccine effectiveness cohort (cases and controls hospitalized at sentinel hospitals and additional specialist paediatric hospital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617761" cy="2007784"/>
                    </a:xfrm>
                    <a:prstGeom prst="rect">
                      <a:avLst/>
                    </a:prstGeom>
                  </pic:spPr>
                </pic:pic>
              </a:graphicData>
            </a:graphic>
          </wp:inline>
        </w:drawing>
      </w:r>
    </w:p>
    <w:p w14:paraId="49976839" w14:textId="3861A6FB" w:rsidR="000A1D58" w:rsidRDefault="000A1D58" w:rsidP="00757DC5">
      <w:r>
        <w:t xml:space="preserve">An influenza case was defined as a patient admitted to hospital with influenza confirmed by nucleic acid testing (NAT). Surveillance is conducted from early April to the end of October (with follow-up continuing to the end of </w:t>
      </w:r>
      <w:r>
        <w:lastRenderedPageBreak/>
        <w:t>November) each year. Data on a frequency-matched group of test-negative controls were also collected. Admission or transfer to an intensive care unit (ICU) included patients managed in a high dependency unit (HDU). The onset date was defined as the date of admission except for patients where the date of the test was more than seven days after admission, where the onset date was the date of the test. The presence of risk factors and comorbidities was ascertained from the patient’s medical record. Restricted functional capacity was defined as those who were not fully active and not able to carry out all activities without restriction prior to the acute illness.</w:t>
      </w:r>
      <w:r>
        <w:rPr>
          <w:vertAlign w:val="superscript"/>
        </w:rPr>
        <w:t xml:space="preserve">8 </w:t>
      </w:r>
    </w:p>
    <w:p w14:paraId="50863503" w14:textId="77777777" w:rsidR="000A1D58" w:rsidRDefault="000A1D58" w:rsidP="00757DC5">
      <w:r>
        <w:t xml:space="preserve">We examined factors associated with ICU admission using multivariable regression. Factors independently associated with ICU admission were determined using a logistic regression model with no variable selection process, as all included factors were plausibly related to ICU admission. </w:t>
      </w:r>
    </w:p>
    <w:p w14:paraId="47AC99EB" w14:textId="77777777" w:rsidR="000A1D58" w:rsidRDefault="000A1D58" w:rsidP="00757DC5">
      <w:r>
        <w:t xml:space="preserve">The presentation delay was defined as the time from onset of illness to admission to hospital. The treatment delay was defined as the time from onset of illness to prescription of oseltamivir (in patients that received treatment). Patients were categorised into those that (a) did not receive oseltamivir; (b) received oseltamivir within two days of symptom onset; and (c) received oseltamivir more than two days after symptom onset. We modelled factors associated with length of hospital stay, including antiviral use, using a negative binomial regression, where the exponential of the regression coefficient represents the relative increase in hospital length of stay. </w:t>
      </w:r>
    </w:p>
    <w:p w14:paraId="4CE67575" w14:textId="531A149F" w:rsidR="00D9644A" w:rsidRPr="00891161" w:rsidRDefault="000A1D58">
      <w:r>
        <w:t xml:space="preserve">Vaccine coverage was estimated from the proportion of vaccinated individuals in test negative controls in each age group, stratified by the presence of chronic comorbidities. Vaccine effectiveness </w:t>
      </w:r>
      <w:r w:rsidRPr="00687487">
        <w:rPr>
          <w:rStyle w:val="Emphasis"/>
          <w:b w:val="0"/>
          <w:bCs w:val="0"/>
        </w:rPr>
        <w:t>ϵ</w:t>
      </w:r>
      <w:r>
        <w:t xml:space="preserve"> was estimated from </w:t>
      </w:r>
      <w:r w:rsidRPr="00687487">
        <w:rPr>
          <w:rStyle w:val="Emphasis"/>
          <w:b w:val="0"/>
          <w:bCs w:val="0"/>
        </w:rPr>
        <w:t>θ</w:t>
      </w:r>
      <w:r>
        <w:t xml:space="preserve">, the odds ratio of vaccination in cases versus controls, using the formula </w:t>
      </w:r>
      <w:r w:rsidRPr="00687487">
        <w:rPr>
          <w:rStyle w:val="Emphasis"/>
          <w:b w:val="0"/>
          <w:bCs w:val="0"/>
        </w:rPr>
        <w:t>ϵ</w:t>
      </w:r>
      <w:r>
        <w:t xml:space="preserve"> = 1 − </w:t>
      </w:r>
      <w:r w:rsidRPr="00687487">
        <w:rPr>
          <w:rStyle w:val="Emphasis"/>
          <w:b w:val="0"/>
          <w:bCs w:val="0"/>
        </w:rPr>
        <w:t>θ</w:t>
      </w:r>
      <w:r>
        <w:t xml:space="preserve"> with the odds ratio calculated from a conditional logistic regression, stratified by site and </w:t>
      </w:r>
      <w:proofErr w:type="gramStart"/>
      <w:r>
        <w:t>month</w:t>
      </w:r>
      <w:proofErr w:type="gramEnd"/>
      <w:r>
        <w:t xml:space="preserve"> and adjusted for age group, the presence of chronic comorbidities, pregnancy and Aboriginal or Torres Strait Islander ethnicity. </w:t>
      </w:r>
    </w:p>
    <w:p w14:paraId="77ACE13E" w14:textId="0AC544A0" w:rsidR="000A1D58" w:rsidRPr="00757DC5" w:rsidRDefault="000A1D58" w:rsidP="00757DC5">
      <w:pPr>
        <w:pStyle w:val="Heading1"/>
      </w:pPr>
      <w:r w:rsidRPr="00757DC5">
        <w:t xml:space="preserve">Results </w:t>
      </w:r>
    </w:p>
    <w:p w14:paraId="3E4A11B1" w14:textId="77777777" w:rsidR="000A1D58" w:rsidRDefault="000A1D58" w:rsidP="00757DC5">
      <w:r>
        <w:t xml:space="preserve">During the period 1 April to 31 October 2019, there were 4,154 patients admitted with laboratory-confirmed influenza to the 17 FluCAN sentinel hospitals. The peak weekly number of admissions was in mid-August (week 27) (Figure 2). </w:t>
      </w:r>
      <w:proofErr w:type="gramStart"/>
      <w:r>
        <w:t>The majority of</w:t>
      </w:r>
      <w:proofErr w:type="gramEnd"/>
      <w:r>
        <w:t xml:space="preserve"> cases were due to influenza A (n = 3,537, 85.1%). The proportion due to influenza B varied across jurisdictions, ranging from 3.3% in Tasmania and 4.3% in SA to 24.3% in NSW and 24.4% in WA. </w:t>
      </w:r>
    </w:p>
    <w:p w14:paraId="3A958B0B" w14:textId="77777777" w:rsidR="000A1D58" w:rsidRDefault="000A1D58" w:rsidP="00757DC5">
      <w:r>
        <w:t xml:space="preserve">Of the 4,154 patients admitted with confirmed influenza, 1,850 (44.5%) were elderly (&gt; 65 years of age); 883 (21.3%) were children (&lt; 16 years of age); 319 (7.7%) were Aboriginal and Torres Strait Islander peoples; and 3,023 (72.8%) had chronic comorbidities (Table 1, Table 2). There were 69 pregnant women, representing 15.0% of the 461 female patients aged 16–49, or 1.7% of the total. Of the 3,458 patients (83.2%) for whom influenza vaccination status was ascertained, 1,658/3,458 (47.9%) had been vaccinated. </w:t>
      </w:r>
    </w:p>
    <w:p w14:paraId="556DF219" w14:textId="77777777" w:rsidR="00891161" w:rsidRDefault="00891161">
      <w:pPr>
        <w:rPr>
          <w:rStyle w:val="Strong"/>
          <w:bCs w:val="0"/>
        </w:rPr>
      </w:pPr>
      <w:r>
        <w:rPr>
          <w:rStyle w:val="Strong"/>
          <w:b w:val="0"/>
          <w:bCs w:val="0"/>
        </w:rPr>
        <w:br w:type="page"/>
      </w:r>
    </w:p>
    <w:p w14:paraId="66DA7957" w14:textId="2A95F1E7" w:rsidR="00D9644A" w:rsidRPr="00150762" w:rsidRDefault="00D9644A" w:rsidP="00D9644A">
      <w:pPr>
        <w:pStyle w:val="CDIFigures"/>
      </w:pPr>
      <w:r w:rsidRPr="00150762">
        <w:rPr>
          <w:rStyle w:val="Strong"/>
          <w:b/>
          <w:bCs w:val="0"/>
        </w:rPr>
        <w:lastRenderedPageBreak/>
        <w:t>Figure 2: Date of admission in patients hospitalised with confirmed influenza, 2019</w:t>
      </w:r>
      <w:r w:rsidRPr="00150762">
        <w:rPr>
          <w:rStyle w:val="Strong"/>
          <w:b/>
          <w:bCs w:val="0"/>
          <w:vertAlign w:val="superscript"/>
        </w:rPr>
        <w:t>a</w:t>
      </w:r>
    </w:p>
    <w:p w14:paraId="666DE435" w14:textId="77777777" w:rsidR="00D9644A" w:rsidRDefault="00D9644A" w:rsidP="00D9644A">
      <w:pPr>
        <w:pStyle w:val="NormalWeb"/>
        <w:rPr>
          <w:lang w:val="en-GB"/>
        </w:rPr>
      </w:pPr>
      <w:r>
        <w:rPr>
          <w:noProof/>
          <w:lang w:val="en-GB"/>
        </w:rPr>
        <w:drawing>
          <wp:inline distT="0" distB="0" distL="0" distR="0" wp14:anchorId="331C9938" wp14:editId="6796ACC6">
            <wp:extent cx="6622531" cy="3533775"/>
            <wp:effectExtent l="0" t="0" r="6985" b="0"/>
            <wp:docPr id="2" name="Picture 2" descr="Figure 2: This graph shows the number of cases at the sentinel hospitals by epidemiological week. It shows influenza activity was already high at the start of the surveillance period in week 14 and rose to a peak in week 27 before declining until the end of surveillance in week 44. The majority of cases were due to influenza A; of the minority that were subtyped, A/H3 was more common than A/H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ure 2: This graph shows the number of cases at the sentinel hospitals by epidemiological week. It shows influenza activity was already high at the start of the surveillance period in week 14 and rose to a peak in week 27 before declining until the end of surveillance in week 44. The majority of cases were due to influenza A; of the minority that were subtyped, A/H3 was more common than A/H1.&#10;"/>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628687" cy="3537060"/>
                    </a:xfrm>
                    <a:prstGeom prst="rect">
                      <a:avLst/>
                    </a:prstGeom>
                  </pic:spPr>
                </pic:pic>
              </a:graphicData>
            </a:graphic>
          </wp:inline>
        </w:drawing>
      </w:r>
    </w:p>
    <w:p w14:paraId="478F7DD0" w14:textId="335DA3B4" w:rsidR="00D9644A" w:rsidRPr="00D9644A" w:rsidRDefault="00D9644A" w:rsidP="00D9644A">
      <w:pPr>
        <w:pStyle w:val="CDIfootnotes"/>
        <w:rPr>
          <w:lang w:val="en-GB"/>
        </w:rPr>
      </w:pPr>
      <w:r>
        <w:rPr>
          <w:lang w:val="en-GB"/>
        </w:rPr>
        <w:t>a</w:t>
      </w:r>
      <w:r>
        <w:rPr>
          <w:lang w:val="en-GB"/>
        </w:rPr>
        <w:tab/>
      </w:r>
      <w:proofErr w:type="spellStart"/>
      <w:proofErr w:type="gramStart"/>
      <w:r>
        <w:rPr>
          <w:lang w:val="en-GB"/>
        </w:rPr>
        <w:t>By</w:t>
      </w:r>
      <w:proofErr w:type="spellEnd"/>
      <w:proofErr w:type="gramEnd"/>
      <w:r>
        <w:rPr>
          <w:lang w:val="en-GB"/>
        </w:rPr>
        <w:t xml:space="preserve"> week beginning on listed date; representing date of admission (or date of influenza diagnosis if acquired after more than seven days in hospital).</w:t>
      </w:r>
    </w:p>
    <w:p w14:paraId="1603F360" w14:textId="4034E059" w:rsidR="000A1D58" w:rsidRPr="00757DC5" w:rsidRDefault="000A1D58" w:rsidP="00757DC5">
      <w:pPr>
        <w:pStyle w:val="Heading2"/>
      </w:pPr>
      <w:r w:rsidRPr="00757DC5">
        <w:t xml:space="preserve">Incidence of hospital admissions with influenza </w:t>
      </w:r>
    </w:p>
    <w:p w14:paraId="309C5D34" w14:textId="77777777" w:rsidR="000A1D58" w:rsidRDefault="000A1D58" w:rsidP="00757DC5">
      <w:r>
        <w:t>Overall, the peak incidence of admissions with confirmed influenza was 4.5 per 100 hospital beds (Figure 3; in epidemiological week 27</w:t>
      </w:r>
      <w:proofErr w:type="gramStart"/>
      <w:r>
        <w:t>), but</w:t>
      </w:r>
      <w:proofErr w:type="gramEnd"/>
      <w:r>
        <w:t xml:space="preserve"> varied from a high of 23.3 weekly admissions per 100 hospital beds at the Alice Springs Hospital to a low of 0.4 per 100 hospital beds at Princess Alexandra Hospital (Figure 4). </w:t>
      </w:r>
    </w:p>
    <w:p w14:paraId="79B0579F" w14:textId="77777777" w:rsidR="000A1D58" w:rsidRPr="00757DC5" w:rsidRDefault="000A1D58" w:rsidP="00757DC5">
      <w:pPr>
        <w:pStyle w:val="Heading2"/>
      </w:pPr>
      <w:r w:rsidRPr="00757DC5">
        <w:t xml:space="preserve">Presentation and management </w:t>
      </w:r>
    </w:p>
    <w:p w14:paraId="7D1E76C1" w14:textId="77777777" w:rsidR="000A1D58" w:rsidRDefault="000A1D58" w:rsidP="00757DC5">
      <w:r>
        <w:t xml:space="preserve">Of all cases, 3,960 patients had a known date of onset of illness documented. Of these, 200 cases (5.1%) were diagnosed more than seven days after admission and therefore were likely to be hospital-acquired. For the remaining 3,760 patients with community-onset laboratory-confirmed influenza where the duration of symptoms was known, the median duration of symptoms prior to admission was three days (interquartile range (IQR): 1, 5 days). In 2,721 patients that received antivirals, the delay from onset of illness to admission was more than two days in 56.7% (n = 1,544), and was similar in children (54.4%), non-elderly adults (59.0%) and the elderly (62.4%). </w:t>
      </w:r>
    </w:p>
    <w:p w14:paraId="14BEBE08" w14:textId="77777777" w:rsidR="000A1D58" w:rsidRDefault="000A1D58" w:rsidP="00757DC5">
      <w:r>
        <w:t xml:space="preserve">Radiological evidence of pneumonia was present in 641 patients (15.4%). The proportion of patients with pneumonia was lower in children (9.6%) than in non-elderly adults (15.3%) and elderly adults (18.3%). A higher proportion of patients with pneumonia were admitted to ICU (20.1%) than those without pneumonia (5.5%). </w:t>
      </w:r>
    </w:p>
    <w:p w14:paraId="748CEC61" w14:textId="0E72A9CE" w:rsidR="000A1D58" w:rsidRDefault="000A1D58" w:rsidP="00757DC5">
      <w:r>
        <w:t>Of all cases, 323 (7.8%) patients were admitted to ICU, comprising 259 patients (6.2%) initially admitted to ICU and a further 64 (1.5%) subsequently transferred to ICU after initial admission to a general ward. Non-elderly adults, those admitted with A/H1N1 infection and those with chronic comorbidities were more likely to be admitted to ICU; residents of nursing homes were less likely to be admitted to ICU (Table 3).</w:t>
      </w:r>
    </w:p>
    <w:p w14:paraId="36FA846B" w14:textId="77777777" w:rsidR="00891161" w:rsidRDefault="00891161">
      <w:pPr>
        <w:rPr>
          <w:rStyle w:val="Strong"/>
          <w:bCs w:val="0"/>
        </w:rPr>
      </w:pPr>
      <w:r>
        <w:rPr>
          <w:rStyle w:val="Strong"/>
          <w:b w:val="0"/>
          <w:bCs w:val="0"/>
        </w:rPr>
        <w:br w:type="page"/>
      </w:r>
    </w:p>
    <w:p w14:paraId="0A27A9EC" w14:textId="75ED9859" w:rsidR="00C236F3" w:rsidRPr="00150762" w:rsidRDefault="00C236F3" w:rsidP="00C236F3">
      <w:pPr>
        <w:pStyle w:val="CDIFigures"/>
      </w:pPr>
      <w:r w:rsidRPr="00150762">
        <w:rPr>
          <w:rStyle w:val="Strong"/>
          <w:b/>
          <w:bCs w:val="0"/>
        </w:rPr>
        <w:lastRenderedPageBreak/>
        <w:t>Table 1: Demographic characteristics of hospitalized patients with confirmed influenza</w:t>
      </w:r>
    </w:p>
    <w:tbl>
      <w:tblPr>
        <w:tblStyle w:val="CDI-StandardTable"/>
        <w:tblW w:w="0" w:type="auto"/>
        <w:tblLook w:val="04A0" w:firstRow="1" w:lastRow="0" w:firstColumn="1" w:lastColumn="0" w:noHBand="0" w:noVBand="1"/>
        <w:tblDescription w:val="Table 1: This table presents the characteristics of patients admitted to the sentinel hospitals, including age, sex, pregnancy status, Indigenous status and jurisdiction, with confirmed influenza, by influenza type and subtype"/>
      </w:tblPr>
      <w:tblGrid>
        <w:gridCol w:w="3363"/>
        <w:gridCol w:w="986"/>
        <w:gridCol w:w="986"/>
        <w:gridCol w:w="1131"/>
        <w:gridCol w:w="986"/>
        <w:gridCol w:w="2817"/>
      </w:tblGrid>
      <w:tr w:rsidR="00135204" w:rsidRPr="00C040A7" w14:paraId="384BF521" w14:textId="77777777" w:rsidTr="00073CEC">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right w:val="single" w:sz="2" w:space="0" w:color="886E49"/>
            </w:tcBorders>
            <w:hideMark/>
          </w:tcPr>
          <w:p w14:paraId="2EAE8BCA" w14:textId="77777777" w:rsidR="00135204" w:rsidRPr="00C040A7" w:rsidRDefault="00135204" w:rsidP="00073CEC">
            <w:pPr>
              <w:rPr>
                <w:color w:val="FFFFFF" w:themeColor="background1"/>
                <w:sz w:val="18"/>
                <w:szCs w:val="18"/>
                <w:lang w:val="en-GB"/>
              </w:rPr>
            </w:pPr>
          </w:p>
        </w:tc>
        <w:tc>
          <w:tcPr>
            <w:tcW w:w="0" w:type="auto"/>
            <w:gridSpan w:val="4"/>
            <w:tcBorders>
              <w:left w:val="single" w:sz="2" w:space="0" w:color="886E49"/>
              <w:bottom w:val="single" w:sz="2" w:space="0" w:color="886E49"/>
              <w:right w:val="single" w:sz="2" w:space="0" w:color="886E49"/>
            </w:tcBorders>
            <w:hideMark/>
          </w:tcPr>
          <w:p w14:paraId="7935A20A" w14:textId="77777777" w:rsidR="00135204" w:rsidRPr="00C040A7" w:rsidRDefault="00135204" w:rsidP="00C040A7">
            <w:pPr>
              <w:pStyle w:val="NormalWeb"/>
              <w:jc w:val="center"/>
              <w:rPr>
                <w:color w:val="FFFFFF" w:themeColor="background1"/>
                <w:sz w:val="18"/>
                <w:szCs w:val="18"/>
              </w:rPr>
            </w:pPr>
            <w:r w:rsidRPr="00C040A7">
              <w:rPr>
                <w:color w:val="FFFFFF" w:themeColor="background1"/>
                <w:sz w:val="18"/>
                <w:szCs w:val="18"/>
              </w:rPr>
              <w:t>Influenza type/subtype</w:t>
            </w:r>
          </w:p>
        </w:tc>
        <w:tc>
          <w:tcPr>
            <w:tcW w:w="2817" w:type="dxa"/>
            <w:vMerge w:val="restart"/>
            <w:tcBorders>
              <w:left w:val="single" w:sz="2" w:space="0" w:color="886E49"/>
              <w:bottom w:val="single" w:sz="2" w:space="0" w:color="886E49"/>
            </w:tcBorders>
            <w:vAlign w:val="center"/>
            <w:hideMark/>
          </w:tcPr>
          <w:p w14:paraId="19965BC9" w14:textId="77777777" w:rsidR="00135204" w:rsidRPr="00C040A7" w:rsidRDefault="00135204" w:rsidP="00CD1366">
            <w:pPr>
              <w:pStyle w:val="NormalWeb"/>
              <w:jc w:val="center"/>
              <w:rPr>
                <w:color w:val="FFFFFF" w:themeColor="background1"/>
                <w:sz w:val="18"/>
                <w:szCs w:val="18"/>
              </w:rPr>
            </w:pPr>
            <w:r w:rsidRPr="00C040A7">
              <w:rPr>
                <w:color w:val="FFFFFF" w:themeColor="background1"/>
                <w:sz w:val="18"/>
                <w:szCs w:val="18"/>
              </w:rPr>
              <w:t>Total</w:t>
            </w:r>
          </w:p>
        </w:tc>
      </w:tr>
      <w:tr w:rsidR="00135204" w:rsidRPr="00C040A7" w14:paraId="4B4AD7AD" w14:textId="77777777" w:rsidTr="00073CEC">
        <w:trPr>
          <w:cnfStyle w:val="100000000000" w:firstRow="1" w:lastRow="0" w:firstColumn="0" w:lastColumn="0" w:oddVBand="0" w:evenVBand="0" w:oddHBand="0" w:evenHBand="0" w:firstRowFirstColumn="0" w:firstRowLastColumn="0" w:lastRowFirstColumn="0" w:lastRowLastColumn="0"/>
          <w:tblHeader/>
        </w:trPr>
        <w:tc>
          <w:tcPr>
            <w:tcW w:w="0" w:type="auto"/>
            <w:vMerge/>
            <w:tcBorders>
              <w:right w:val="single" w:sz="2" w:space="0" w:color="886E49"/>
            </w:tcBorders>
            <w:hideMark/>
          </w:tcPr>
          <w:p w14:paraId="5507B4ED" w14:textId="77777777" w:rsidR="00135204" w:rsidRPr="00C040A7" w:rsidRDefault="00135204" w:rsidP="00073CEC">
            <w:pPr>
              <w:rPr>
                <w:color w:val="FFFFFF" w:themeColor="background1"/>
                <w:sz w:val="18"/>
                <w:szCs w:val="18"/>
              </w:rPr>
            </w:pPr>
          </w:p>
        </w:tc>
        <w:tc>
          <w:tcPr>
            <w:tcW w:w="0" w:type="auto"/>
            <w:tcBorders>
              <w:top w:val="single" w:sz="2" w:space="0" w:color="886E49"/>
              <w:left w:val="single" w:sz="2" w:space="0" w:color="886E49"/>
              <w:right w:val="single" w:sz="2" w:space="0" w:color="886E49"/>
            </w:tcBorders>
            <w:hideMark/>
          </w:tcPr>
          <w:p w14:paraId="23B4BBF2" w14:textId="77777777" w:rsidR="00135204" w:rsidRPr="00C040A7" w:rsidRDefault="00135204" w:rsidP="00C040A7">
            <w:pPr>
              <w:pStyle w:val="NormalWeb"/>
              <w:jc w:val="center"/>
              <w:rPr>
                <w:color w:val="FFFFFF" w:themeColor="background1"/>
                <w:sz w:val="18"/>
                <w:szCs w:val="18"/>
              </w:rPr>
            </w:pPr>
            <w:r w:rsidRPr="00C040A7">
              <w:rPr>
                <w:color w:val="FFFFFF" w:themeColor="background1"/>
                <w:sz w:val="18"/>
                <w:szCs w:val="18"/>
              </w:rPr>
              <w:t>A/H1N1</w:t>
            </w:r>
          </w:p>
        </w:tc>
        <w:tc>
          <w:tcPr>
            <w:tcW w:w="0" w:type="auto"/>
            <w:tcBorders>
              <w:top w:val="single" w:sz="2" w:space="0" w:color="886E49"/>
              <w:left w:val="single" w:sz="2" w:space="0" w:color="886E49"/>
              <w:right w:val="single" w:sz="2" w:space="0" w:color="886E49"/>
            </w:tcBorders>
            <w:hideMark/>
          </w:tcPr>
          <w:p w14:paraId="679AF034" w14:textId="77777777" w:rsidR="00135204" w:rsidRPr="00C040A7" w:rsidRDefault="00135204" w:rsidP="00C040A7">
            <w:pPr>
              <w:pStyle w:val="NormalWeb"/>
              <w:jc w:val="center"/>
              <w:rPr>
                <w:color w:val="FFFFFF" w:themeColor="background1"/>
                <w:sz w:val="18"/>
                <w:szCs w:val="18"/>
              </w:rPr>
            </w:pPr>
            <w:r w:rsidRPr="00C040A7">
              <w:rPr>
                <w:color w:val="FFFFFF" w:themeColor="background1"/>
                <w:sz w:val="18"/>
                <w:szCs w:val="18"/>
              </w:rPr>
              <w:t>A/H3N2</w:t>
            </w:r>
          </w:p>
        </w:tc>
        <w:tc>
          <w:tcPr>
            <w:tcW w:w="0" w:type="auto"/>
            <w:tcBorders>
              <w:top w:val="single" w:sz="2" w:space="0" w:color="886E49"/>
              <w:left w:val="single" w:sz="2" w:space="0" w:color="886E49"/>
              <w:right w:val="single" w:sz="2" w:space="0" w:color="886E49"/>
            </w:tcBorders>
            <w:hideMark/>
          </w:tcPr>
          <w:p w14:paraId="3DFDEB0F" w14:textId="77777777" w:rsidR="00135204" w:rsidRPr="00C040A7" w:rsidRDefault="00135204" w:rsidP="00C040A7">
            <w:pPr>
              <w:pStyle w:val="NormalWeb"/>
              <w:jc w:val="center"/>
              <w:rPr>
                <w:color w:val="FFFFFF" w:themeColor="background1"/>
                <w:sz w:val="18"/>
                <w:szCs w:val="18"/>
              </w:rPr>
            </w:pPr>
            <w:r w:rsidRPr="00C040A7">
              <w:rPr>
                <w:color w:val="FFFFFF" w:themeColor="background1"/>
                <w:sz w:val="18"/>
                <w:szCs w:val="18"/>
              </w:rPr>
              <w:t>A/unknown</w:t>
            </w:r>
          </w:p>
        </w:tc>
        <w:tc>
          <w:tcPr>
            <w:tcW w:w="0" w:type="auto"/>
            <w:tcBorders>
              <w:top w:val="single" w:sz="2" w:space="0" w:color="886E49"/>
              <w:left w:val="single" w:sz="2" w:space="0" w:color="886E49"/>
              <w:right w:val="single" w:sz="2" w:space="0" w:color="886E49"/>
            </w:tcBorders>
            <w:hideMark/>
          </w:tcPr>
          <w:p w14:paraId="512F7511" w14:textId="77777777" w:rsidR="00135204" w:rsidRPr="00C040A7" w:rsidRDefault="00135204" w:rsidP="00C040A7">
            <w:pPr>
              <w:pStyle w:val="NormalWeb"/>
              <w:jc w:val="center"/>
              <w:rPr>
                <w:color w:val="FFFFFF" w:themeColor="background1"/>
                <w:sz w:val="18"/>
                <w:szCs w:val="18"/>
              </w:rPr>
            </w:pPr>
            <w:r w:rsidRPr="00C040A7">
              <w:rPr>
                <w:color w:val="FFFFFF" w:themeColor="background1"/>
                <w:sz w:val="18"/>
                <w:szCs w:val="18"/>
              </w:rPr>
              <w:t>B</w:t>
            </w:r>
          </w:p>
        </w:tc>
        <w:tc>
          <w:tcPr>
            <w:tcW w:w="2817" w:type="dxa"/>
            <w:vMerge/>
            <w:tcBorders>
              <w:top w:val="single" w:sz="2" w:space="0" w:color="886E49"/>
              <w:left w:val="single" w:sz="2" w:space="0" w:color="886E49"/>
            </w:tcBorders>
            <w:hideMark/>
          </w:tcPr>
          <w:p w14:paraId="24AAE61E" w14:textId="77777777" w:rsidR="00135204" w:rsidRPr="00C040A7" w:rsidRDefault="00135204" w:rsidP="00C040A7">
            <w:pPr>
              <w:jc w:val="center"/>
              <w:rPr>
                <w:color w:val="FFFFFF" w:themeColor="background1"/>
                <w:sz w:val="18"/>
                <w:szCs w:val="18"/>
              </w:rPr>
            </w:pPr>
          </w:p>
        </w:tc>
      </w:tr>
      <w:tr w:rsidR="00C236F3" w:rsidRPr="00C040A7" w14:paraId="16EBA4CD" w14:textId="77777777" w:rsidTr="00C040A7">
        <w:tblPrEx>
          <w:tblCellMar>
            <w:top w:w="57" w:type="dxa"/>
            <w:left w:w="57" w:type="dxa"/>
            <w:bottom w:w="57" w:type="dxa"/>
            <w:right w:w="57" w:type="dxa"/>
          </w:tblCellMar>
        </w:tblPrEx>
        <w:tc>
          <w:tcPr>
            <w:tcW w:w="0" w:type="auto"/>
            <w:hideMark/>
          </w:tcPr>
          <w:p w14:paraId="1140EC54" w14:textId="77777777" w:rsidR="00C236F3" w:rsidRPr="00C040A7" w:rsidRDefault="00C236F3" w:rsidP="00073CEC">
            <w:pPr>
              <w:pStyle w:val="NormalWeb"/>
              <w:rPr>
                <w:sz w:val="18"/>
                <w:szCs w:val="18"/>
              </w:rPr>
            </w:pPr>
            <w:r w:rsidRPr="00C040A7">
              <w:rPr>
                <w:sz w:val="18"/>
                <w:szCs w:val="18"/>
              </w:rPr>
              <w:t>Number</w:t>
            </w:r>
          </w:p>
        </w:tc>
        <w:tc>
          <w:tcPr>
            <w:tcW w:w="0" w:type="auto"/>
            <w:hideMark/>
          </w:tcPr>
          <w:p w14:paraId="02B71C40" w14:textId="77777777" w:rsidR="00C236F3" w:rsidRPr="00C040A7" w:rsidRDefault="00C236F3" w:rsidP="00C040A7">
            <w:pPr>
              <w:pStyle w:val="NormalWeb"/>
              <w:jc w:val="center"/>
              <w:rPr>
                <w:sz w:val="18"/>
                <w:szCs w:val="18"/>
              </w:rPr>
            </w:pPr>
            <w:r w:rsidRPr="00C040A7">
              <w:rPr>
                <w:sz w:val="18"/>
                <w:szCs w:val="18"/>
              </w:rPr>
              <w:t>266</w:t>
            </w:r>
          </w:p>
        </w:tc>
        <w:tc>
          <w:tcPr>
            <w:tcW w:w="0" w:type="auto"/>
            <w:hideMark/>
          </w:tcPr>
          <w:p w14:paraId="45C36C89" w14:textId="77777777" w:rsidR="00C236F3" w:rsidRPr="00C040A7" w:rsidRDefault="00C236F3" w:rsidP="00C040A7">
            <w:pPr>
              <w:pStyle w:val="NormalWeb"/>
              <w:jc w:val="center"/>
              <w:rPr>
                <w:sz w:val="18"/>
                <w:szCs w:val="18"/>
              </w:rPr>
            </w:pPr>
            <w:r w:rsidRPr="00C040A7">
              <w:rPr>
                <w:sz w:val="18"/>
                <w:szCs w:val="18"/>
              </w:rPr>
              <w:t>1,140</w:t>
            </w:r>
          </w:p>
        </w:tc>
        <w:tc>
          <w:tcPr>
            <w:tcW w:w="0" w:type="auto"/>
            <w:hideMark/>
          </w:tcPr>
          <w:p w14:paraId="7527A0D4" w14:textId="77777777" w:rsidR="00C236F3" w:rsidRPr="00C040A7" w:rsidRDefault="00C236F3" w:rsidP="00C040A7">
            <w:pPr>
              <w:pStyle w:val="NormalWeb"/>
              <w:jc w:val="center"/>
              <w:rPr>
                <w:sz w:val="18"/>
                <w:szCs w:val="18"/>
              </w:rPr>
            </w:pPr>
            <w:r w:rsidRPr="00C040A7">
              <w:rPr>
                <w:sz w:val="18"/>
                <w:szCs w:val="18"/>
              </w:rPr>
              <w:t>2,131</w:t>
            </w:r>
          </w:p>
        </w:tc>
        <w:tc>
          <w:tcPr>
            <w:tcW w:w="0" w:type="auto"/>
            <w:hideMark/>
          </w:tcPr>
          <w:p w14:paraId="0C51ECCA" w14:textId="77777777" w:rsidR="00C236F3" w:rsidRPr="00C040A7" w:rsidRDefault="00C236F3" w:rsidP="00C040A7">
            <w:pPr>
              <w:pStyle w:val="NormalWeb"/>
              <w:jc w:val="center"/>
              <w:rPr>
                <w:sz w:val="18"/>
                <w:szCs w:val="18"/>
              </w:rPr>
            </w:pPr>
            <w:r w:rsidRPr="00C040A7">
              <w:rPr>
                <w:sz w:val="18"/>
                <w:szCs w:val="18"/>
              </w:rPr>
              <w:t>617</w:t>
            </w:r>
          </w:p>
        </w:tc>
        <w:tc>
          <w:tcPr>
            <w:tcW w:w="2817" w:type="dxa"/>
            <w:hideMark/>
          </w:tcPr>
          <w:p w14:paraId="3DF5B9F4" w14:textId="77777777" w:rsidR="00C236F3" w:rsidRPr="00C040A7" w:rsidRDefault="00C236F3" w:rsidP="00C040A7">
            <w:pPr>
              <w:pStyle w:val="NormalWeb"/>
              <w:jc w:val="center"/>
              <w:rPr>
                <w:sz w:val="18"/>
                <w:szCs w:val="18"/>
              </w:rPr>
            </w:pPr>
            <w:r w:rsidRPr="00C040A7">
              <w:rPr>
                <w:sz w:val="18"/>
                <w:szCs w:val="18"/>
              </w:rPr>
              <w:t>4,154</w:t>
            </w:r>
          </w:p>
        </w:tc>
      </w:tr>
      <w:tr w:rsidR="00194109" w:rsidRPr="00C040A7" w14:paraId="0FE100D2" w14:textId="77777777" w:rsidTr="00C040A7">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shd w:val="clear" w:color="auto" w:fill="886E49"/>
            <w:hideMark/>
          </w:tcPr>
          <w:p w14:paraId="691E1A2C" w14:textId="77777777" w:rsidR="00C236F3" w:rsidRPr="00C040A7" w:rsidRDefault="00C236F3" w:rsidP="00073CEC">
            <w:pPr>
              <w:pStyle w:val="NormalWeb"/>
              <w:rPr>
                <w:b/>
                <w:bCs/>
                <w:color w:val="FFFFFF" w:themeColor="background1"/>
                <w:sz w:val="18"/>
                <w:szCs w:val="18"/>
              </w:rPr>
            </w:pPr>
            <w:r w:rsidRPr="00C040A7">
              <w:rPr>
                <w:b/>
                <w:bCs/>
                <w:color w:val="FFFFFF" w:themeColor="background1"/>
                <w:sz w:val="18"/>
                <w:szCs w:val="18"/>
              </w:rPr>
              <w:t>Age group</w:t>
            </w:r>
          </w:p>
        </w:tc>
        <w:tc>
          <w:tcPr>
            <w:tcW w:w="0" w:type="auto"/>
            <w:shd w:val="clear" w:color="auto" w:fill="886E49"/>
            <w:hideMark/>
          </w:tcPr>
          <w:p w14:paraId="42DEF1AF" w14:textId="77777777" w:rsidR="00C236F3" w:rsidRPr="00C040A7" w:rsidRDefault="00C236F3" w:rsidP="00C040A7">
            <w:pPr>
              <w:jc w:val="center"/>
              <w:rPr>
                <w:b/>
                <w:bCs/>
                <w:color w:val="FFFFFF" w:themeColor="background1"/>
                <w:sz w:val="18"/>
                <w:szCs w:val="18"/>
              </w:rPr>
            </w:pPr>
          </w:p>
        </w:tc>
        <w:tc>
          <w:tcPr>
            <w:tcW w:w="0" w:type="auto"/>
            <w:shd w:val="clear" w:color="auto" w:fill="886E49"/>
            <w:hideMark/>
          </w:tcPr>
          <w:p w14:paraId="7DEAAF65" w14:textId="77777777" w:rsidR="00C236F3" w:rsidRPr="00C040A7" w:rsidRDefault="00C236F3" w:rsidP="00C040A7">
            <w:pPr>
              <w:jc w:val="center"/>
              <w:rPr>
                <w:rFonts w:eastAsia="Times New Roman"/>
                <w:b/>
                <w:bCs/>
                <w:color w:val="FFFFFF" w:themeColor="background1"/>
                <w:sz w:val="18"/>
                <w:szCs w:val="18"/>
              </w:rPr>
            </w:pPr>
          </w:p>
        </w:tc>
        <w:tc>
          <w:tcPr>
            <w:tcW w:w="0" w:type="auto"/>
            <w:shd w:val="clear" w:color="auto" w:fill="886E49"/>
            <w:hideMark/>
          </w:tcPr>
          <w:p w14:paraId="2F57BA51" w14:textId="77777777" w:rsidR="00C236F3" w:rsidRPr="00C040A7" w:rsidRDefault="00C236F3" w:rsidP="00C040A7">
            <w:pPr>
              <w:jc w:val="center"/>
              <w:rPr>
                <w:rFonts w:eastAsia="Times New Roman"/>
                <w:b/>
                <w:bCs/>
                <w:color w:val="FFFFFF" w:themeColor="background1"/>
                <w:sz w:val="18"/>
                <w:szCs w:val="18"/>
              </w:rPr>
            </w:pPr>
          </w:p>
        </w:tc>
        <w:tc>
          <w:tcPr>
            <w:tcW w:w="0" w:type="auto"/>
            <w:shd w:val="clear" w:color="auto" w:fill="886E49"/>
            <w:hideMark/>
          </w:tcPr>
          <w:p w14:paraId="53937C62" w14:textId="77777777" w:rsidR="00C236F3" w:rsidRPr="00C040A7" w:rsidRDefault="00C236F3" w:rsidP="00C040A7">
            <w:pPr>
              <w:jc w:val="center"/>
              <w:rPr>
                <w:rFonts w:eastAsia="Times New Roman"/>
                <w:b/>
                <w:bCs/>
                <w:color w:val="FFFFFF" w:themeColor="background1"/>
                <w:sz w:val="18"/>
                <w:szCs w:val="18"/>
              </w:rPr>
            </w:pPr>
          </w:p>
        </w:tc>
        <w:tc>
          <w:tcPr>
            <w:tcW w:w="2817" w:type="dxa"/>
            <w:shd w:val="clear" w:color="auto" w:fill="886E49"/>
            <w:hideMark/>
          </w:tcPr>
          <w:p w14:paraId="5C1795F7" w14:textId="77777777" w:rsidR="00C236F3" w:rsidRPr="00C040A7" w:rsidRDefault="00C236F3" w:rsidP="00C040A7">
            <w:pPr>
              <w:jc w:val="center"/>
              <w:rPr>
                <w:rFonts w:eastAsia="Times New Roman"/>
                <w:b/>
                <w:bCs/>
                <w:color w:val="FFFFFF" w:themeColor="background1"/>
                <w:sz w:val="18"/>
                <w:szCs w:val="18"/>
              </w:rPr>
            </w:pPr>
          </w:p>
        </w:tc>
      </w:tr>
      <w:tr w:rsidR="00C236F3" w:rsidRPr="00C040A7" w14:paraId="7B10CAF6" w14:textId="77777777" w:rsidTr="00C040A7">
        <w:tblPrEx>
          <w:tblCellMar>
            <w:top w:w="57" w:type="dxa"/>
            <w:left w:w="57" w:type="dxa"/>
            <w:bottom w:w="57" w:type="dxa"/>
            <w:right w:w="57" w:type="dxa"/>
          </w:tblCellMar>
        </w:tblPrEx>
        <w:tc>
          <w:tcPr>
            <w:tcW w:w="0" w:type="auto"/>
            <w:hideMark/>
          </w:tcPr>
          <w:p w14:paraId="45E934D5" w14:textId="77777777" w:rsidR="00C236F3" w:rsidRPr="00C040A7" w:rsidRDefault="00C236F3" w:rsidP="00073CEC">
            <w:pPr>
              <w:pStyle w:val="NormalWeb"/>
              <w:rPr>
                <w:sz w:val="18"/>
                <w:szCs w:val="18"/>
              </w:rPr>
            </w:pPr>
            <w:r w:rsidRPr="00C040A7">
              <w:rPr>
                <w:sz w:val="18"/>
                <w:szCs w:val="18"/>
              </w:rPr>
              <w:t>&lt; 16 years</w:t>
            </w:r>
          </w:p>
        </w:tc>
        <w:tc>
          <w:tcPr>
            <w:tcW w:w="0" w:type="auto"/>
            <w:hideMark/>
          </w:tcPr>
          <w:p w14:paraId="1E9CA03B" w14:textId="77777777" w:rsidR="00C236F3" w:rsidRPr="00C040A7" w:rsidRDefault="00C236F3" w:rsidP="00C040A7">
            <w:pPr>
              <w:pStyle w:val="NormalWeb"/>
              <w:jc w:val="center"/>
              <w:rPr>
                <w:sz w:val="18"/>
                <w:szCs w:val="18"/>
              </w:rPr>
            </w:pPr>
            <w:r w:rsidRPr="00C040A7">
              <w:rPr>
                <w:sz w:val="18"/>
                <w:szCs w:val="18"/>
              </w:rPr>
              <w:t>53 (19.9%)</w:t>
            </w:r>
          </w:p>
        </w:tc>
        <w:tc>
          <w:tcPr>
            <w:tcW w:w="0" w:type="auto"/>
            <w:hideMark/>
          </w:tcPr>
          <w:p w14:paraId="79BBAA88" w14:textId="77777777" w:rsidR="00C236F3" w:rsidRPr="00C040A7" w:rsidRDefault="00C236F3" w:rsidP="00C040A7">
            <w:pPr>
              <w:pStyle w:val="NormalWeb"/>
              <w:jc w:val="center"/>
              <w:rPr>
                <w:sz w:val="18"/>
                <w:szCs w:val="18"/>
              </w:rPr>
            </w:pPr>
            <w:r w:rsidRPr="00C040A7">
              <w:rPr>
                <w:sz w:val="18"/>
                <w:szCs w:val="18"/>
              </w:rPr>
              <w:t>187 (16.4%)</w:t>
            </w:r>
          </w:p>
        </w:tc>
        <w:tc>
          <w:tcPr>
            <w:tcW w:w="0" w:type="auto"/>
            <w:hideMark/>
          </w:tcPr>
          <w:p w14:paraId="2F8A1EF7" w14:textId="77777777" w:rsidR="00C236F3" w:rsidRPr="00C040A7" w:rsidRDefault="00C236F3" w:rsidP="00C040A7">
            <w:pPr>
              <w:pStyle w:val="NormalWeb"/>
              <w:jc w:val="center"/>
              <w:rPr>
                <w:sz w:val="18"/>
                <w:szCs w:val="18"/>
              </w:rPr>
            </w:pPr>
            <w:r w:rsidRPr="00C040A7">
              <w:rPr>
                <w:sz w:val="18"/>
                <w:szCs w:val="18"/>
              </w:rPr>
              <w:t>299 (14.0%)</w:t>
            </w:r>
          </w:p>
        </w:tc>
        <w:tc>
          <w:tcPr>
            <w:tcW w:w="0" w:type="auto"/>
            <w:hideMark/>
          </w:tcPr>
          <w:p w14:paraId="60D2B16F" w14:textId="77777777" w:rsidR="00C236F3" w:rsidRPr="00C040A7" w:rsidRDefault="00C236F3" w:rsidP="00C040A7">
            <w:pPr>
              <w:pStyle w:val="NormalWeb"/>
              <w:jc w:val="center"/>
              <w:rPr>
                <w:sz w:val="18"/>
                <w:szCs w:val="18"/>
              </w:rPr>
            </w:pPr>
            <w:r w:rsidRPr="00C040A7">
              <w:rPr>
                <w:sz w:val="18"/>
                <w:szCs w:val="18"/>
              </w:rPr>
              <w:t>344 (55.8%)</w:t>
            </w:r>
          </w:p>
        </w:tc>
        <w:tc>
          <w:tcPr>
            <w:tcW w:w="2817" w:type="dxa"/>
            <w:hideMark/>
          </w:tcPr>
          <w:p w14:paraId="0DEDE903" w14:textId="77777777" w:rsidR="00C236F3" w:rsidRPr="00C040A7" w:rsidRDefault="00C236F3" w:rsidP="00C040A7">
            <w:pPr>
              <w:pStyle w:val="NormalWeb"/>
              <w:jc w:val="center"/>
              <w:rPr>
                <w:sz w:val="18"/>
                <w:szCs w:val="18"/>
              </w:rPr>
            </w:pPr>
            <w:r w:rsidRPr="00C040A7">
              <w:rPr>
                <w:sz w:val="18"/>
                <w:szCs w:val="18"/>
              </w:rPr>
              <w:t>883 (21.3%)</w:t>
            </w:r>
          </w:p>
        </w:tc>
      </w:tr>
      <w:tr w:rsidR="00C040A7" w:rsidRPr="00C040A7" w14:paraId="5AF1BDBA" w14:textId="77777777" w:rsidTr="00C040A7">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4E474C62" w14:textId="77777777" w:rsidR="00C236F3" w:rsidRPr="00C040A7" w:rsidRDefault="00C236F3" w:rsidP="00073CEC">
            <w:pPr>
              <w:pStyle w:val="NormalWeb"/>
              <w:rPr>
                <w:sz w:val="18"/>
                <w:szCs w:val="18"/>
              </w:rPr>
            </w:pPr>
            <w:r w:rsidRPr="00C040A7">
              <w:rPr>
                <w:sz w:val="18"/>
                <w:szCs w:val="18"/>
              </w:rPr>
              <w:t>16–49 years</w:t>
            </w:r>
          </w:p>
        </w:tc>
        <w:tc>
          <w:tcPr>
            <w:tcW w:w="0" w:type="auto"/>
            <w:hideMark/>
          </w:tcPr>
          <w:p w14:paraId="204A1FC0" w14:textId="77777777" w:rsidR="00C236F3" w:rsidRPr="00C040A7" w:rsidRDefault="00C236F3" w:rsidP="00C040A7">
            <w:pPr>
              <w:pStyle w:val="NormalWeb"/>
              <w:jc w:val="center"/>
              <w:rPr>
                <w:sz w:val="18"/>
                <w:szCs w:val="18"/>
              </w:rPr>
            </w:pPr>
            <w:r w:rsidRPr="00C040A7">
              <w:rPr>
                <w:sz w:val="18"/>
                <w:szCs w:val="18"/>
              </w:rPr>
              <w:t>85 (32.0%)</w:t>
            </w:r>
          </w:p>
        </w:tc>
        <w:tc>
          <w:tcPr>
            <w:tcW w:w="0" w:type="auto"/>
            <w:hideMark/>
          </w:tcPr>
          <w:p w14:paraId="56B0BB8D" w14:textId="77777777" w:rsidR="00C236F3" w:rsidRPr="00C040A7" w:rsidRDefault="00C236F3" w:rsidP="00C040A7">
            <w:pPr>
              <w:pStyle w:val="NormalWeb"/>
              <w:jc w:val="center"/>
              <w:rPr>
                <w:sz w:val="18"/>
                <w:szCs w:val="18"/>
              </w:rPr>
            </w:pPr>
            <w:r w:rsidRPr="00C040A7">
              <w:rPr>
                <w:sz w:val="18"/>
                <w:szCs w:val="18"/>
              </w:rPr>
              <w:t>168 (14.7%)</w:t>
            </w:r>
          </w:p>
        </w:tc>
        <w:tc>
          <w:tcPr>
            <w:tcW w:w="0" w:type="auto"/>
            <w:hideMark/>
          </w:tcPr>
          <w:p w14:paraId="5517EFE8" w14:textId="77777777" w:rsidR="00C236F3" w:rsidRPr="00C040A7" w:rsidRDefault="00C236F3" w:rsidP="00C040A7">
            <w:pPr>
              <w:pStyle w:val="NormalWeb"/>
              <w:jc w:val="center"/>
              <w:rPr>
                <w:sz w:val="18"/>
                <w:szCs w:val="18"/>
              </w:rPr>
            </w:pPr>
            <w:r w:rsidRPr="00C040A7">
              <w:rPr>
                <w:sz w:val="18"/>
                <w:szCs w:val="18"/>
              </w:rPr>
              <w:t>438 (20.6%)</w:t>
            </w:r>
          </w:p>
        </w:tc>
        <w:tc>
          <w:tcPr>
            <w:tcW w:w="0" w:type="auto"/>
            <w:hideMark/>
          </w:tcPr>
          <w:p w14:paraId="125B6F66" w14:textId="77777777" w:rsidR="00C236F3" w:rsidRPr="00C040A7" w:rsidRDefault="00C236F3" w:rsidP="00C040A7">
            <w:pPr>
              <w:pStyle w:val="NormalWeb"/>
              <w:jc w:val="center"/>
              <w:rPr>
                <w:sz w:val="18"/>
                <w:szCs w:val="18"/>
              </w:rPr>
            </w:pPr>
            <w:r w:rsidRPr="00C040A7">
              <w:rPr>
                <w:sz w:val="18"/>
                <w:szCs w:val="18"/>
              </w:rPr>
              <w:t>137 (22.2%)</w:t>
            </w:r>
          </w:p>
        </w:tc>
        <w:tc>
          <w:tcPr>
            <w:tcW w:w="2817" w:type="dxa"/>
            <w:hideMark/>
          </w:tcPr>
          <w:p w14:paraId="58CD66E8" w14:textId="77777777" w:rsidR="00C236F3" w:rsidRPr="00C040A7" w:rsidRDefault="00C236F3" w:rsidP="00C040A7">
            <w:pPr>
              <w:pStyle w:val="NormalWeb"/>
              <w:jc w:val="center"/>
              <w:rPr>
                <w:sz w:val="18"/>
                <w:szCs w:val="18"/>
              </w:rPr>
            </w:pPr>
            <w:r w:rsidRPr="00C040A7">
              <w:rPr>
                <w:sz w:val="18"/>
                <w:szCs w:val="18"/>
              </w:rPr>
              <w:t>828 (19.9%)</w:t>
            </w:r>
          </w:p>
        </w:tc>
      </w:tr>
      <w:tr w:rsidR="00C236F3" w:rsidRPr="00C040A7" w14:paraId="51C499E1" w14:textId="77777777" w:rsidTr="00C040A7">
        <w:tblPrEx>
          <w:tblCellMar>
            <w:top w:w="57" w:type="dxa"/>
            <w:left w:w="57" w:type="dxa"/>
            <w:bottom w:w="57" w:type="dxa"/>
            <w:right w:w="57" w:type="dxa"/>
          </w:tblCellMar>
        </w:tblPrEx>
        <w:tc>
          <w:tcPr>
            <w:tcW w:w="0" w:type="auto"/>
            <w:hideMark/>
          </w:tcPr>
          <w:p w14:paraId="0708748C" w14:textId="77777777" w:rsidR="00C236F3" w:rsidRPr="00C040A7" w:rsidRDefault="00C236F3" w:rsidP="00073CEC">
            <w:pPr>
              <w:pStyle w:val="NormalWeb"/>
              <w:rPr>
                <w:sz w:val="18"/>
                <w:szCs w:val="18"/>
              </w:rPr>
            </w:pPr>
            <w:r w:rsidRPr="00C040A7">
              <w:rPr>
                <w:sz w:val="18"/>
                <w:szCs w:val="18"/>
              </w:rPr>
              <w:t>50–64 years</w:t>
            </w:r>
          </w:p>
        </w:tc>
        <w:tc>
          <w:tcPr>
            <w:tcW w:w="0" w:type="auto"/>
            <w:hideMark/>
          </w:tcPr>
          <w:p w14:paraId="6A6BC884" w14:textId="77777777" w:rsidR="00C236F3" w:rsidRPr="00C040A7" w:rsidRDefault="00C236F3" w:rsidP="00C040A7">
            <w:pPr>
              <w:pStyle w:val="NormalWeb"/>
              <w:jc w:val="center"/>
              <w:rPr>
                <w:sz w:val="18"/>
                <w:szCs w:val="18"/>
              </w:rPr>
            </w:pPr>
            <w:r w:rsidRPr="00C040A7">
              <w:rPr>
                <w:sz w:val="18"/>
                <w:szCs w:val="18"/>
              </w:rPr>
              <w:t>58 (21.8%)</w:t>
            </w:r>
          </w:p>
        </w:tc>
        <w:tc>
          <w:tcPr>
            <w:tcW w:w="0" w:type="auto"/>
            <w:hideMark/>
          </w:tcPr>
          <w:p w14:paraId="43F86FDB" w14:textId="77777777" w:rsidR="00C236F3" w:rsidRPr="00C040A7" w:rsidRDefault="00C236F3" w:rsidP="00C040A7">
            <w:pPr>
              <w:pStyle w:val="NormalWeb"/>
              <w:jc w:val="center"/>
              <w:rPr>
                <w:sz w:val="18"/>
                <w:szCs w:val="18"/>
              </w:rPr>
            </w:pPr>
            <w:r w:rsidRPr="00C040A7">
              <w:rPr>
                <w:sz w:val="18"/>
                <w:szCs w:val="18"/>
              </w:rPr>
              <w:t>155 (13.6%)</w:t>
            </w:r>
          </w:p>
        </w:tc>
        <w:tc>
          <w:tcPr>
            <w:tcW w:w="0" w:type="auto"/>
            <w:hideMark/>
          </w:tcPr>
          <w:p w14:paraId="2CE800B9" w14:textId="77777777" w:rsidR="00C236F3" w:rsidRPr="00C040A7" w:rsidRDefault="00C236F3" w:rsidP="00C040A7">
            <w:pPr>
              <w:pStyle w:val="NormalWeb"/>
              <w:jc w:val="center"/>
              <w:rPr>
                <w:sz w:val="18"/>
                <w:szCs w:val="18"/>
              </w:rPr>
            </w:pPr>
            <w:r w:rsidRPr="00C040A7">
              <w:rPr>
                <w:sz w:val="18"/>
                <w:szCs w:val="18"/>
              </w:rPr>
              <w:t>323 (15.2%)</w:t>
            </w:r>
          </w:p>
        </w:tc>
        <w:tc>
          <w:tcPr>
            <w:tcW w:w="0" w:type="auto"/>
            <w:hideMark/>
          </w:tcPr>
          <w:p w14:paraId="5B707CB7" w14:textId="77777777" w:rsidR="00C236F3" w:rsidRPr="00C040A7" w:rsidRDefault="00C236F3" w:rsidP="00C040A7">
            <w:pPr>
              <w:pStyle w:val="NormalWeb"/>
              <w:jc w:val="center"/>
              <w:rPr>
                <w:sz w:val="18"/>
                <w:szCs w:val="18"/>
              </w:rPr>
            </w:pPr>
            <w:r w:rsidRPr="00C040A7">
              <w:rPr>
                <w:sz w:val="18"/>
                <w:szCs w:val="18"/>
              </w:rPr>
              <w:t>57 (9.2%)</w:t>
            </w:r>
          </w:p>
        </w:tc>
        <w:tc>
          <w:tcPr>
            <w:tcW w:w="2817" w:type="dxa"/>
            <w:hideMark/>
          </w:tcPr>
          <w:p w14:paraId="056D6B93" w14:textId="77777777" w:rsidR="00C236F3" w:rsidRPr="00C040A7" w:rsidRDefault="00C236F3" w:rsidP="00C040A7">
            <w:pPr>
              <w:pStyle w:val="NormalWeb"/>
              <w:jc w:val="center"/>
              <w:rPr>
                <w:sz w:val="18"/>
                <w:szCs w:val="18"/>
              </w:rPr>
            </w:pPr>
            <w:r w:rsidRPr="00C040A7">
              <w:rPr>
                <w:sz w:val="18"/>
                <w:szCs w:val="18"/>
              </w:rPr>
              <w:t>593 (14.3%)</w:t>
            </w:r>
          </w:p>
        </w:tc>
      </w:tr>
      <w:tr w:rsidR="00C040A7" w:rsidRPr="00C040A7" w14:paraId="3AAE133C" w14:textId="77777777" w:rsidTr="00C040A7">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7E501E68" w14:textId="77777777" w:rsidR="00C236F3" w:rsidRPr="00C040A7" w:rsidRDefault="00C236F3" w:rsidP="00073CEC">
            <w:pPr>
              <w:pStyle w:val="NormalWeb"/>
              <w:rPr>
                <w:sz w:val="18"/>
                <w:szCs w:val="18"/>
              </w:rPr>
            </w:pPr>
            <w:r w:rsidRPr="00C040A7">
              <w:rPr>
                <w:sz w:val="18"/>
                <w:szCs w:val="18"/>
              </w:rPr>
              <w:t>65–79 years</w:t>
            </w:r>
          </w:p>
        </w:tc>
        <w:tc>
          <w:tcPr>
            <w:tcW w:w="0" w:type="auto"/>
            <w:hideMark/>
          </w:tcPr>
          <w:p w14:paraId="62AB7B88" w14:textId="77777777" w:rsidR="00C236F3" w:rsidRPr="00C040A7" w:rsidRDefault="00C236F3" w:rsidP="00C040A7">
            <w:pPr>
              <w:pStyle w:val="NormalWeb"/>
              <w:jc w:val="center"/>
              <w:rPr>
                <w:sz w:val="18"/>
                <w:szCs w:val="18"/>
              </w:rPr>
            </w:pPr>
            <w:r w:rsidRPr="00C040A7">
              <w:rPr>
                <w:sz w:val="18"/>
                <w:szCs w:val="18"/>
              </w:rPr>
              <w:t>51 (19.2%)</w:t>
            </w:r>
          </w:p>
        </w:tc>
        <w:tc>
          <w:tcPr>
            <w:tcW w:w="0" w:type="auto"/>
            <w:hideMark/>
          </w:tcPr>
          <w:p w14:paraId="67AF0511" w14:textId="77777777" w:rsidR="00C236F3" w:rsidRPr="00C040A7" w:rsidRDefault="00C236F3" w:rsidP="00C040A7">
            <w:pPr>
              <w:pStyle w:val="NormalWeb"/>
              <w:jc w:val="center"/>
              <w:rPr>
                <w:sz w:val="18"/>
                <w:szCs w:val="18"/>
              </w:rPr>
            </w:pPr>
            <w:r w:rsidRPr="00C040A7">
              <w:rPr>
                <w:sz w:val="18"/>
                <w:szCs w:val="18"/>
              </w:rPr>
              <w:t>298 (26.1%)</w:t>
            </w:r>
          </w:p>
        </w:tc>
        <w:tc>
          <w:tcPr>
            <w:tcW w:w="0" w:type="auto"/>
            <w:hideMark/>
          </w:tcPr>
          <w:p w14:paraId="40625643" w14:textId="77777777" w:rsidR="00C236F3" w:rsidRPr="00C040A7" w:rsidRDefault="00C236F3" w:rsidP="00C040A7">
            <w:pPr>
              <w:pStyle w:val="NormalWeb"/>
              <w:jc w:val="center"/>
              <w:rPr>
                <w:sz w:val="18"/>
                <w:szCs w:val="18"/>
              </w:rPr>
            </w:pPr>
            <w:r w:rsidRPr="00C040A7">
              <w:rPr>
                <w:sz w:val="18"/>
                <w:szCs w:val="18"/>
              </w:rPr>
              <w:t>519 (24.4%)</w:t>
            </w:r>
          </w:p>
        </w:tc>
        <w:tc>
          <w:tcPr>
            <w:tcW w:w="0" w:type="auto"/>
            <w:hideMark/>
          </w:tcPr>
          <w:p w14:paraId="17941033" w14:textId="77777777" w:rsidR="00C236F3" w:rsidRPr="00C040A7" w:rsidRDefault="00C236F3" w:rsidP="00C040A7">
            <w:pPr>
              <w:pStyle w:val="NormalWeb"/>
              <w:jc w:val="center"/>
              <w:rPr>
                <w:sz w:val="18"/>
                <w:szCs w:val="18"/>
              </w:rPr>
            </w:pPr>
            <w:r w:rsidRPr="00C040A7">
              <w:rPr>
                <w:sz w:val="18"/>
                <w:szCs w:val="18"/>
              </w:rPr>
              <w:t>52 (8.4%)</w:t>
            </w:r>
          </w:p>
        </w:tc>
        <w:tc>
          <w:tcPr>
            <w:tcW w:w="2817" w:type="dxa"/>
            <w:hideMark/>
          </w:tcPr>
          <w:p w14:paraId="263E2F6C" w14:textId="77777777" w:rsidR="00C236F3" w:rsidRPr="00C040A7" w:rsidRDefault="00C236F3" w:rsidP="00C040A7">
            <w:pPr>
              <w:pStyle w:val="NormalWeb"/>
              <w:jc w:val="center"/>
              <w:rPr>
                <w:sz w:val="18"/>
                <w:szCs w:val="18"/>
              </w:rPr>
            </w:pPr>
            <w:r w:rsidRPr="00C040A7">
              <w:rPr>
                <w:sz w:val="18"/>
                <w:szCs w:val="18"/>
              </w:rPr>
              <w:t>920 (22.1%)</w:t>
            </w:r>
          </w:p>
        </w:tc>
      </w:tr>
      <w:tr w:rsidR="00C236F3" w:rsidRPr="00C040A7" w14:paraId="66C14371" w14:textId="77777777" w:rsidTr="00073CEC">
        <w:tblPrEx>
          <w:tblCellMar>
            <w:top w:w="57" w:type="dxa"/>
            <w:left w:w="57" w:type="dxa"/>
            <w:bottom w:w="57" w:type="dxa"/>
            <w:right w:w="57" w:type="dxa"/>
          </w:tblCellMar>
        </w:tblPrEx>
        <w:tc>
          <w:tcPr>
            <w:tcW w:w="0" w:type="auto"/>
            <w:tcBorders>
              <w:bottom w:val="single" w:sz="4" w:space="0" w:color="auto"/>
            </w:tcBorders>
            <w:hideMark/>
          </w:tcPr>
          <w:p w14:paraId="4324A5D6" w14:textId="77777777" w:rsidR="00C236F3" w:rsidRPr="00C040A7" w:rsidRDefault="00C236F3" w:rsidP="00073CEC">
            <w:pPr>
              <w:pStyle w:val="NormalWeb"/>
              <w:rPr>
                <w:sz w:val="18"/>
                <w:szCs w:val="18"/>
              </w:rPr>
            </w:pPr>
            <w:r w:rsidRPr="00C040A7">
              <w:rPr>
                <w:sz w:val="18"/>
                <w:szCs w:val="18"/>
              </w:rPr>
              <w:t>80+ years</w:t>
            </w:r>
          </w:p>
        </w:tc>
        <w:tc>
          <w:tcPr>
            <w:tcW w:w="0" w:type="auto"/>
            <w:tcBorders>
              <w:bottom w:val="single" w:sz="4" w:space="0" w:color="auto"/>
            </w:tcBorders>
            <w:hideMark/>
          </w:tcPr>
          <w:p w14:paraId="6FFACFB1" w14:textId="77777777" w:rsidR="00C236F3" w:rsidRPr="00C040A7" w:rsidRDefault="00C236F3" w:rsidP="00C040A7">
            <w:pPr>
              <w:pStyle w:val="NormalWeb"/>
              <w:jc w:val="center"/>
              <w:rPr>
                <w:sz w:val="18"/>
                <w:szCs w:val="18"/>
              </w:rPr>
            </w:pPr>
            <w:r w:rsidRPr="00C040A7">
              <w:rPr>
                <w:sz w:val="18"/>
                <w:szCs w:val="18"/>
              </w:rPr>
              <w:t>19 (7.1%)</w:t>
            </w:r>
          </w:p>
        </w:tc>
        <w:tc>
          <w:tcPr>
            <w:tcW w:w="0" w:type="auto"/>
            <w:tcBorders>
              <w:bottom w:val="single" w:sz="4" w:space="0" w:color="auto"/>
            </w:tcBorders>
            <w:hideMark/>
          </w:tcPr>
          <w:p w14:paraId="03FEA80C" w14:textId="77777777" w:rsidR="00C236F3" w:rsidRPr="00C040A7" w:rsidRDefault="00C236F3" w:rsidP="00C040A7">
            <w:pPr>
              <w:pStyle w:val="NormalWeb"/>
              <w:jc w:val="center"/>
              <w:rPr>
                <w:sz w:val="18"/>
                <w:szCs w:val="18"/>
              </w:rPr>
            </w:pPr>
            <w:r w:rsidRPr="00C040A7">
              <w:rPr>
                <w:sz w:val="18"/>
                <w:szCs w:val="18"/>
              </w:rPr>
              <w:t>332 (29.1%)</w:t>
            </w:r>
          </w:p>
        </w:tc>
        <w:tc>
          <w:tcPr>
            <w:tcW w:w="0" w:type="auto"/>
            <w:tcBorders>
              <w:bottom w:val="single" w:sz="4" w:space="0" w:color="auto"/>
            </w:tcBorders>
            <w:hideMark/>
          </w:tcPr>
          <w:p w14:paraId="5B8199D1" w14:textId="77777777" w:rsidR="00C236F3" w:rsidRPr="00C040A7" w:rsidRDefault="00C236F3" w:rsidP="00C040A7">
            <w:pPr>
              <w:pStyle w:val="NormalWeb"/>
              <w:jc w:val="center"/>
              <w:rPr>
                <w:sz w:val="18"/>
                <w:szCs w:val="18"/>
              </w:rPr>
            </w:pPr>
            <w:r w:rsidRPr="00C040A7">
              <w:rPr>
                <w:sz w:val="18"/>
                <w:szCs w:val="18"/>
              </w:rPr>
              <w:t>552 (25.9%)</w:t>
            </w:r>
          </w:p>
        </w:tc>
        <w:tc>
          <w:tcPr>
            <w:tcW w:w="0" w:type="auto"/>
            <w:tcBorders>
              <w:bottom w:val="single" w:sz="4" w:space="0" w:color="auto"/>
            </w:tcBorders>
            <w:hideMark/>
          </w:tcPr>
          <w:p w14:paraId="15F6CF61" w14:textId="77777777" w:rsidR="00C236F3" w:rsidRPr="00C040A7" w:rsidRDefault="00C236F3" w:rsidP="00C040A7">
            <w:pPr>
              <w:pStyle w:val="NormalWeb"/>
              <w:jc w:val="center"/>
              <w:rPr>
                <w:sz w:val="18"/>
                <w:szCs w:val="18"/>
              </w:rPr>
            </w:pPr>
            <w:r w:rsidRPr="00C040A7">
              <w:rPr>
                <w:sz w:val="18"/>
                <w:szCs w:val="18"/>
              </w:rPr>
              <w:t>27 (4.4%)</w:t>
            </w:r>
          </w:p>
        </w:tc>
        <w:tc>
          <w:tcPr>
            <w:tcW w:w="2817" w:type="dxa"/>
            <w:tcBorders>
              <w:bottom w:val="single" w:sz="4" w:space="0" w:color="auto"/>
            </w:tcBorders>
            <w:hideMark/>
          </w:tcPr>
          <w:p w14:paraId="387E77A8" w14:textId="77777777" w:rsidR="00C236F3" w:rsidRPr="00C040A7" w:rsidRDefault="00C236F3" w:rsidP="00C040A7">
            <w:pPr>
              <w:pStyle w:val="NormalWeb"/>
              <w:jc w:val="center"/>
              <w:rPr>
                <w:sz w:val="18"/>
                <w:szCs w:val="18"/>
              </w:rPr>
            </w:pPr>
            <w:r w:rsidRPr="00C040A7">
              <w:rPr>
                <w:sz w:val="18"/>
                <w:szCs w:val="18"/>
              </w:rPr>
              <w:t>930 (22.4%)</w:t>
            </w:r>
          </w:p>
        </w:tc>
      </w:tr>
      <w:tr w:rsidR="00C040A7" w:rsidRPr="00C040A7" w14:paraId="39E79516" w14:textId="77777777" w:rsidTr="00073CEC">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Borders>
              <w:top w:val="single" w:sz="4" w:space="0" w:color="auto"/>
            </w:tcBorders>
            <w:hideMark/>
          </w:tcPr>
          <w:p w14:paraId="1F4536F8" w14:textId="77777777" w:rsidR="00C236F3" w:rsidRPr="00C040A7" w:rsidRDefault="00C236F3" w:rsidP="00073CEC">
            <w:pPr>
              <w:pStyle w:val="NormalWeb"/>
              <w:rPr>
                <w:sz w:val="18"/>
                <w:szCs w:val="18"/>
              </w:rPr>
            </w:pPr>
            <w:r w:rsidRPr="00C040A7">
              <w:rPr>
                <w:sz w:val="18"/>
                <w:szCs w:val="18"/>
              </w:rPr>
              <w:t>Male</w:t>
            </w:r>
          </w:p>
        </w:tc>
        <w:tc>
          <w:tcPr>
            <w:tcW w:w="0" w:type="auto"/>
            <w:tcBorders>
              <w:top w:val="single" w:sz="4" w:space="0" w:color="auto"/>
            </w:tcBorders>
            <w:hideMark/>
          </w:tcPr>
          <w:p w14:paraId="3D5A97AB" w14:textId="77777777" w:rsidR="00C236F3" w:rsidRPr="00C040A7" w:rsidRDefault="00C236F3" w:rsidP="00C040A7">
            <w:pPr>
              <w:pStyle w:val="NormalWeb"/>
              <w:jc w:val="center"/>
              <w:rPr>
                <w:sz w:val="18"/>
                <w:szCs w:val="18"/>
              </w:rPr>
            </w:pPr>
            <w:r w:rsidRPr="00C040A7">
              <w:rPr>
                <w:sz w:val="18"/>
                <w:szCs w:val="18"/>
              </w:rPr>
              <w:t>148 (55.6%)</w:t>
            </w:r>
          </w:p>
        </w:tc>
        <w:tc>
          <w:tcPr>
            <w:tcW w:w="0" w:type="auto"/>
            <w:tcBorders>
              <w:top w:val="single" w:sz="4" w:space="0" w:color="auto"/>
            </w:tcBorders>
            <w:hideMark/>
          </w:tcPr>
          <w:p w14:paraId="57795136" w14:textId="77777777" w:rsidR="00C236F3" w:rsidRPr="00C040A7" w:rsidRDefault="00C236F3" w:rsidP="00C040A7">
            <w:pPr>
              <w:pStyle w:val="NormalWeb"/>
              <w:jc w:val="center"/>
              <w:rPr>
                <w:sz w:val="18"/>
                <w:szCs w:val="18"/>
              </w:rPr>
            </w:pPr>
            <w:r w:rsidRPr="00C040A7">
              <w:rPr>
                <w:sz w:val="18"/>
                <w:szCs w:val="18"/>
              </w:rPr>
              <w:t>566 (49.6%)</w:t>
            </w:r>
          </w:p>
        </w:tc>
        <w:tc>
          <w:tcPr>
            <w:tcW w:w="0" w:type="auto"/>
            <w:tcBorders>
              <w:top w:val="single" w:sz="4" w:space="0" w:color="auto"/>
            </w:tcBorders>
            <w:hideMark/>
          </w:tcPr>
          <w:p w14:paraId="642D7981" w14:textId="77777777" w:rsidR="00C236F3" w:rsidRPr="00C040A7" w:rsidRDefault="00C236F3" w:rsidP="00C040A7">
            <w:pPr>
              <w:pStyle w:val="NormalWeb"/>
              <w:jc w:val="center"/>
              <w:rPr>
                <w:sz w:val="18"/>
                <w:szCs w:val="18"/>
              </w:rPr>
            </w:pPr>
            <w:r w:rsidRPr="00C040A7">
              <w:rPr>
                <w:sz w:val="18"/>
                <w:szCs w:val="18"/>
              </w:rPr>
              <w:t>1,034 (48.5%)</w:t>
            </w:r>
          </w:p>
        </w:tc>
        <w:tc>
          <w:tcPr>
            <w:tcW w:w="0" w:type="auto"/>
            <w:tcBorders>
              <w:top w:val="single" w:sz="4" w:space="0" w:color="auto"/>
            </w:tcBorders>
            <w:hideMark/>
          </w:tcPr>
          <w:p w14:paraId="3F9B317D" w14:textId="77777777" w:rsidR="00C236F3" w:rsidRPr="00C040A7" w:rsidRDefault="00C236F3" w:rsidP="00C040A7">
            <w:pPr>
              <w:pStyle w:val="NormalWeb"/>
              <w:jc w:val="center"/>
              <w:rPr>
                <w:sz w:val="18"/>
                <w:szCs w:val="18"/>
              </w:rPr>
            </w:pPr>
            <w:r w:rsidRPr="00C040A7">
              <w:rPr>
                <w:sz w:val="18"/>
                <w:szCs w:val="18"/>
              </w:rPr>
              <w:t>307 (49.8%)</w:t>
            </w:r>
          </w:p>
        </w:tc>
        <w:tc>
          <w:tcPr>
            <w:tcW w:w="2817" w:type="dxa"/>
            <w:tcBorders>
              <w:top w:val="single" w:sz="4" w:space="0" w:color="auto"/>
            </w:tcBorders>
            <w:hideMark/>
          </w:tcPr>
          <w:p w14:paraId="3FC66A44" w14:textId="77777777" w:rsidR="00C236F3" w:rsidRPr="00C040A7" w:rsidRDefault="00C236F3" w:rsidP="00C040A7">
            <w:pPr>
              <w:pStyle w:val="NormalWeb"/>
              <w:jc w:val="center"/>
              <w:rPr>
                <w:sz w:val="18"/>
                <w:szCs w:val="18"/>
              </w:rPr>
            </w:pPr>
            <w:r w:rsidRPr="00C040A7">
              <w:rPr>
                <w:sz w:val="18"/>
                <w:szCs w:val="18"/>
              </w:rPr>
              <w:t>2,055 (49.5%)</w:t>
            </w:r>
          </w:p>
        </w:tc>
      </w:tr>
      <w:tr w:rsidR="00C236F3" w:rsidRPr="00C040A7" w14:paraId="0A613B73" w14:textId="77777777" w:rsidTr="00C040A7">
        <w:tblPrEx>
          <w:tblCellMar>
            <w:top w:w="57" w:type="dxa"/>
            <w:left w:w="57" w:type="dxa"/>
            <w:bottom w:w="57" w:type="dxa"/>
            <w:right w:w="57" w:type="dxa"/>
          </w:tblCellMar>
        </w:tblPrEx>
        <w:tc>
          <w:tcPr>
            <w:tcW w:w="0" w:type="auto"/>
            <w:hideMark/>
          </w:tcPr>
          <w:p w14:paraId="044F336E" w14:textId="77777777" w:rsidR="00C236F3" w:rsidRPr="00C040A7" w:rsidRDefault="00C236F3" w:rsidP="00073CEC">
            <w:pPr>
              <w:pStyle w:val="NormalWeb"/>
              <w:rPr>
                <w:sz w:val="18"/>
                <w:szCs w:val="18"/>
              </w:rPr>
            </w:pPr>
            <w:r w:rsidRPr="00C040A7">
              <w:rPr>
                <w:sz w:val="18"/>
                <w:szCs w:val="18"/>
              </w:rPr>
              <w:t>Pregnant</w:t>
            </w:r>
          </w:p>
        </w:tc>
        <w:tc>
          <w:tcPr>
            <w:tcW w:w="0" w:type="auto"/>
            <w:hideMark/>
          </w:tcPr>
          <w:p w14:paraId="6D74AC8B" w14:textId="77777777" w:rsidR="00C236F3" w:rsidRPr="00C040A7" w:rsidRDefault="00C236F3" w:rsidP="00C040A7">
            <w:pPr>
              <w:pStyle w:val="NormalWeb"/>
              <w:jc w:val="center"/>
              <w:rPr>
                <w:sz w:val="18"/>
                <w:szCs w:val="18"/>
              </w:rPr>
            </w:pPr>
            <w:r w:rsidRPr="00C040A7">
              <w:rPr>
                <w:sz w:val="18"/>
                <w:szCs w:val="18"/>
              </w:rPr>
              <w:t>4 (1.5%)</w:t>
            </w:r>
          </w:p>
        </w:tc>
        <w:tc>
          <w:tcPr>
            <w:tcW w:w="0" w:type="auto"/>
            <w:hideMark/>
          </w:tcPr>
          <w:p w14:paraId="300C496F" w14:textId="77777777" w:rsidR="00C236F3" w:rsidRPr="00C040A7" w:rsidRDefault="00C236F3" w:rsidP="00C040A7">
            <w:pPr>
              <w:pStyle w:val="NormalWeb"/>
              <w:jc w:val="center"/>
              <w:rPr>
                <w:sz w:val="18"/>
                <w:szCs w:val="18"/>
              </w:rPr>
            </w:pPr>
            <w:r w:rsidRPr="00C040A7">
              <w:rPr>
                <w:sz w:val="18"/>
                <w:szCs w:val="18"/>
              </w:rPr>
              <w:t>15 (1.3%)</w:t>
            </w:r>
          </w:p>
        </w:tc>
        <w:tc>
          <w:tcPr>
            <w:tcW w:w="0" w:type="auto"/>
            <w:hideMark/>
          </w:tcPr>
          <w:p w14:paraId="6269E164" w14:textId="77777777" w:rsidR="00C236F3" w:rsidRPr="00C040A7" w:rsidRDefault="00C236F3" w:rsidP="00C040A7">
            <w:pPr>
              <w:pStyle w:val="NormalWeb"/>
              <w:jc w:val="center"/>
              <w:rPr>
                <w:sz w:val="18"/>
                <w:szCs w:val="18"/>
              </w:rPr>
            </w:pPr>
            <w:r w:rsidRPr="00C040A7">
              <w:rPr>
                <w:sz w:val="18"/>
                <w:szCs w:val="18"/>
              </w:rPr>
              <w:t>39 (1.8%)</w:t>
            </w:r>
          </w:p>
        </w:tc>
        <w:tc>
          <w:tcPr>
            <w:tcW w:w="0" w:type="auto"/>
            <w:hideMark/>
          </w:tcPr>
          <w:p w14:paraId="12F8B0C4" w14:textId="77777777" w:rsidR="00C236F3" w:rsidRPr="00C040A7" w:rsidRDefault="00C236F3" w:rsidP="00C040A7">
            <w:pPr>
              <w:pStyle w:val="NormalWeb"/>
              <w:jc w:val="center"/>
              <w:rPr>
                <w:sz w:val="18"/>
                <w:szCs w:val="18"/>
              </w:rPr>
            </w:pPr>
            <w:r w:rsidRPr="00C040A7">
              <w:rPr>
                <w:sz w:val="18"/>
                <w:szCs w:val="18"/>
              </w:rPr>
              <w:t>11 (1.8%)</w:t>
            </w:r>
          </w:p>
        </w:tc>
        <w:tc>
          <w:tcPr>
            <w:tcW w:w="2817" w:type="dxa"/>
            <w:hideMark/>
          </w:tcPr>
          <w:p w14:paraId="69A21735" w14:textId="77777777" w:rsidR="00C236F3" w:rsidRPr="00C040A7" w:rsidRDefault="00C236F3" w:rsidP="00C040A7">
            <w:pPr>
              <w:pStyle w:val="NormalWeb"/>
              <w:jc w:val="center"/>
              <w:rPr>
                <w:sz w:val="18"/>
                <w:szCs w:val="18"/>
              </w:rPr>
            </w:pPr>
            <w:r w:rsidRPr="00C040A7">
              <w:rPr>
                <w:sz w:val="18"/>
                <w:szCs w:val="18"/>
              </w:rPr>
              <w:t>69 (1.7%)</w:t>
            </w:r>
          </w:p>
        </w:tc>
      </w:tr>
      <w:tr w:rsidR="00C040A7" w:rsidRPr="00C040A7" w14:paraId="231D3876" w14:textId="77777777" w:rsidTr="00C040A7">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4F327388" w14:textId="77777777" w:rsidR="00C236F3" w:rsidRPr="00C040A7" w:rsidRDefault="00C236F3" w:rsidP="00073CEC">
            <w:pPr>
              <w:pStyle w:val="NormalWeb"/>
              <w:rPr>
                <w:sz w:val="18"/>
                <w:szCs w:val="18"/>
              </w:rPr>
            </w:pPr>
            <w:r w:rsidRPr="00C040A7">
              <w:rPr>
                <w:sz w:val="18"/>
                <w:szCs w:val="18"/>
              </w:rPr>
              <w:t>Aboriginal and Torres Strait Islander persons</w:t>
            </w:r>
          </w:p>
        </w:tc>
        <w:tc>
          <w:tcPr>
            <w:tcW w:w="0" w:type="auto"/>
            <w:hideMark/>
          </w:tcPr>
          <w:p w14:paraId="5D87108E" w14:textId="77777777" w:rsidR="00C236F3" w:rsidRPr="00C040A7" w:rsidRDefault="00C236F3" w:rsidP="00C040A7">
            <w:pPr>
              <w:pStyle w:val="NormalWeb"/>
              <w:jc w:val="center"/>
              <w:rPr>
                <w:sz w:val="18"/>
                <w:szCs w:val="18"/>
              </w:rPr>
            </w:pPr>
            <w:r w:rsidRPr="00C040A7">
              <w:rPr>
                <w:sz w:val="18"/>
                <w:szCs w:val="18"/>
              </w:rPr>
              <w:t>40 (15.0%)</w:t>
            </w:r>
          </w:p>
        </w:tc>
        <w:tc>
          <w:tcPr>
            <w:tcW w:w="0" w:type="auto"/>
            <w:hideMark/>
          </w:tcPr>
          <w:p w14:paraId="219303DC" w14:textId="77777777" w:rsidR="00C236F3" w:rsidRPr="00C040A7" w:rsidRDefault="00C236F3" w:rsidP="00C040A7">
            <w:pPr>
              <w:pStyle w:val="NormalWeb"/>
              <w:jc w:val="center"/>
              <w:rPr>
                <w:sz w:val="18"/>
                <w:szCs w:val="18"/>
              </w:rPr>
            </w:pPr>
            <w:r w:rsidRPr="00C040A7">
              <w:rPr>
                <w:sz w:val="18"/>
                <w:szCs w:val="18"/>
              </w:rPr>
              <w:t>110 (9.6%)</w:t>
            </w:r>
          </w:p>
        </w:tc>
        <w:tc>
          <w:tcPr>
            <w:tcW w:w="0" w:type="auto"/>
            <w:hideMark/>
          </w:tcPr>
          <w:p w14:paraId="2007D475" w14:textId="77777777" w:rsidR="00C236F3" w:rsidRPr="00C040A7" w:rsidRDefault="00C236F3" w:rsidP="00C040A7">
            <w:pPr>
              <w:pStyle w:val="NormalWeb"/>
              <w:jc w:val="center"/>
              <w:rPr>
                <w:sz w:val="18"/>
                <w:szCs w:val="18"/>
              </w:rPr>
            </w:pPr>
            <w:r w:rsidRPr="00C040A7">
              <w:rPr>
                <w:sz w:val="18"/>
                <w:szCs w:val="18"/>
              </w:rPr>
              <w:t>120 (5.6%)</w:t>
            </w:r>
          </w:p>
        </w:tc>
        <w:tc>
          <w:tcPr>
            <w:tcW w:w="0" w:type="auto"/>
            <w:hideMark/>
          </w:tcPr>
          <w:p w14:paraId="676E558F" w14:textId="77777777" w:rsidR="00C236F3" w:rsidRPr="00C040A7" w:rsidRDefault="00C236F3" w:rsidP="00C040A7">
            <w:pPr>
              <w:pStyle w:val="NormalWeb"/>
              <w:jc w:val="center"/>
              <w:rPr>
                <w:sz w:val="18"/>
                <w:szCs w:val="18"/>
              </w:rPr>
            </w:pPr>
            <w:r w:rsidRPr="00C040A7">
              <w:rPr>
                <w:sz w:val="18"/>
                <w:szCs w:val="18"/>
              </w:rPr>
              <w:t>49 (7.9%)</w:t>
            </w:r>
          </w:p>
        </w:tc>
        <w:tc>
          <w:tcPr>
            <w:tcW w:w="2817" w:type="dxa"/>
            <w:hideMark/>
          </w:tcPr>
          <w:p w14:paraId="0ED52C9D" w14:textId="77777777" w:rsidR="00C236F3" w:rsidRPr="00C040A7" w:rsidRDefault="00C236F3" w:rsidP="00C040A7">
            <w:pPr>
              <w:pStyle w:val="NormalWeb"/>
              <w:jc w:val="center"/>
              <w:rPr>
                <w:sz w:val="18"/>
                <w:szCs w:val="18"/>
              </w:rPr>
            </w:pPr>
            <w:r w:rsidRPr="00C040A7">
              <w:rPr>
                <w:sz w:val="18"/>
                <w:szCs w:val="18"/>
              </w:rPr>
              <w:t>319 (7.7%)</w:t>
            </w:r>
          </w:p>
        </w:tc>
      </w:tr>
      <w:tr w:rsidR="000F6C8F" w:rsidRPr="00C040A7" w14:paraId="1B3FA33B" w14:textId="77777777" w:rsidTr="00C040A7">
        <w:tblPrEx>
          <w:tblCellMar>
            <w:top w:w="57" w:type="dxa"/>
            <w:left w:w="57" w:type="dxa"/>
            <w:bottom w:w="57" w:type="dxa"/>
            <w:right w:w="57" w:type="dxa"/>
          </w:tblCellMar>
        </w:tblPrEx>
        <w:tc>
          <w:tcPr>
            <w:tcW w:w="0" w:type="auto"/>
            <w:shd w:val="clear" w:color="auto" w:fill="886E49"/>
            <w:hideMark/>
          </w:tcPr>
          <w:p w14:paraId="330BCDE6" w14:textId="77777777" w:rsidR="00C236F3" w:rsidRPr="00C040A7" w:rsidRDefault="00C236F3" w:rsidP="00073CEC">
            <w:pPr>
              <w:pStyle w:val="NormalWeb"/>
              <w:rPr>
                <w:b/>
                <w:bCs/>
                <w:color w:val="FFFFFF" w:themeColor="background1"/>
                <w:sz w:val="18"/>
                <w:szCs w:val="18"/>
              </w:rPr>
            </w:pPr>
            <w:r w:rsidRPr="00C040A7">
              <w:rPr>
                <w:b/>
                <w:bCs/>
                <w:color w:val="FFFFFF" w:themeColor="background1"/>
                <w:sz w:val="18"/>
                <w:szCs w:val="18"/>
              </w:rPr>
              <w:t>Jurisdiction</w:t>
            </w:r>
          </w:p>
        </w:tc>
        <w:tc>
          <w:tcPr>
            <w:tcW w:w="0" w:type="auto"/>
            <w:shd w:val="clear" w:color="auto" w:fill="886E49"/>
            <w:hideMark/>
          </w:tcPr>
          <w:p w14:paraId="66E6D1E2" w14:textId="77777777" w:rsidR="00C236F3" w:rsidRPr="00C040A7" w:rsidRDefault="00C236F3" w:rsidP="00C040A7">
            <w:pPr>
              <w:jc w:val="center"/>
              <w:rPr>
                <w:b/>
                <w:bCs/>
                <w:color w:val="FFFFFF" w:themeColor="background1"/>
                <w:sz w:val="18"/>
                <w:szCs w:val="18"/>
              </w:rPr>
            </w:pPr>
          </w:p>
        </w:tc>
        <w:tc>
          <w:tcPr>
            <w:tcW w:w="0" w:type="auto"/>
            <w:shd w:val="clear" w:color="auto" w:fill="886E49"/>
            <w:hideMark/>
          </w:tcPr>
          <w:p w14:paraId="400EC96E" w14:textId="77777777" w:rsidR="00C236F3" w:rsidRPr="00C040A7" w:rsidRDefault="00C236F3" w:rsidP="00C040A7">
            <w:pPr>
              <w:jc w:val="center"/>
              <w:rPr>
                <w:rFonts w:eastAsia="Times New Roman"/>
                <w:b/>
                <w:bCs/>
                <w:color w:val="FFFFFF" w:themeColor="background1"/>
                <w:sz w:val="18"/>
                <w:szCs w:val="18"/>
              </w:rPr>
            </w:pPr>
          </w:p>
        </w:tc>
        <w:tc>
          <w:tcPr>
            <w:tcW w:w="0" w:type="auto"/>
            <w:shd w:val="clear" w:color="auto" w:fill="886E49"/>
            <w:hideMark/>
          </w:tcPr>
          <w:p w14:paraId="1252643E" w14:textId="77777777" w:rsidR="00C236F3" w:rsidRPr="00C040A7" w:rsidRDefault="00C236F3" w:rsidP="00C040A7">
            <w:pPr>
              <w:jc w:val="center"/>
              <w:rPr>
                <w:rFonts w:eastAsia="Times New Roman"/>
                <w:b/>
                <w:bCs/>
                <w:color w:val="FFFFFF" w:themeColor="background1"/>
                <w:sz w:val="18"/>
                <w:szCs w:val="18"/>
              </w:rPr>
            </w:pPr>
          </w:p>
        </w:tc>
        <w:tc>
          <w:tcPr>
            <w:tcW w:w="0" w:type="auto"/>
            <w:shd w:val="clear" w:color="auto" w:fill="886E49"/>
            <w:hideMark/>
          </w:tcPr>
          <w:p w14:paraId="7DDC6BD9" w14:textId="77777777" w:rsidR="00C236F3" w:rsidRPr="00C040A7" w:rsidRDefault="00C236F3" w:rsidP="00C040A7">
            <w:pPr>
              <w:jc w:val="center"/>
              <w:rPr>
                <w:rFonts w:eastAsia="Times New Roman"/>
                <w:b/>
                <w:bCs/>
                <w:color w:val="FFFFFF" w:themeColor="background1"/>
                <w:sz w:val="18"/>
                <w:szCs w:val="18"/>
              </w:rPr>
            </w:pPr>
          </w:p>
        </w:tc>
        <w:tc>
          <w:tcPr>
            <w:tcW w:w="2817" w:type="dxa"/>
            <w:shd w:val="clear" w:color="auto" w:fill="886E49"/>
            <w:hideMark/>
          </w:tcPr>
          <w:p w14:paraId="0C224F0F" w14:textId="77777777" w:rsidR="00C236F3" w:rsidRPr="00C040A7" w:rsidRDefault="00C236F3" w:rsidP="00C040A7">
            <w:pPr>
              <w:jc w:val="center"/>
              <w:rPr>
                <w:rFonts w:eastAsia="Times New Roman"/>
                <w:b/>
                <w:bCs/>
                <w:color w:val="FFFFFF" w:themeColor="background1"/>
                <w:sz w:val="18"/>
                <w:szCs w:val="18"/>
              </w:rPr>
            </w:pPr>
          </w:p>
        </w:tc>
      </w:tr>
      <w:tr w:rsidR="00C040A7" w:rsidRPr="00C040A7" w14:paraId="1E4C52DC" w14:textId="77777777" w:rsidTr="00C040A7">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7365CB6C" w14:textId="77777777" w:rsidR="00C236F3" w:rsidRPr="00C040A7" w:rsidRDefault="00C236F3" w:rsidP="00073CEC">
            <w:pPr>
              <w:pStyle w:val="NormalWeb"/>
              <w:rPr>
                <w:sz w:val="18"/>
                <w:szCs w:val="18"/>
              </w:rPr>
            </w:pPr>
            <w:r w:rsidRPr="00C040A7">
              <w:rPr>
                <w:sz w:val="18"/>
                <w:szCs w:val="18"/>
              </w:rPr>
              <w:t>ACT</w:t>
            </w:r>
          </w:p>
        </w:tc>
        <w:tc>
          <w:tcPr>
            <w:tcW w:w="0" w:type="auto"/>
            <w:hideMark/>
          </w:tcPr>
          <w:p w14:paraId="2339E8E5" w14:textId="77777777" w:rsidR="00C236F3" w:rsidRPr="00C040A7" w:rsidRDefault="00C236F3" w:rsidP="00C040A7">
            <w:pPr>
              <w:pStyle w:val="NormalWeb"/>
              <w:jc w:val="center"/>
              <w:rPr>
                <w:sz w:val="18"/>
                <w:szCs w:val="18"/>
              </w:rPr>
            </w:pPr>
            <w:r w:rsidRPr="00C040A7">
              <w:rPr>
                <w:sz w:val="18"/>
                <w:szCs w:val="18"/>
              </w:rPr>
              <w:t>33 (12.4%)</w:t>
            </w:r>
          </w:p>
        </w:tc>
        <w:tc>
          <w:tcPr>
            <w:tcW w:w="0" w:type="auto"/>
            <w:hideMark/>
          </w:tcPr>
          <w:p w14:paraId="7FA85A00" w14:textId="77777777" w:rsidR="00C236F3" w:rsidRPr="00C040A7" w:rsidRDefault="00C236F3" w:rsidP="00C040A7">
            <w:pPr>
              <w:pStyle w:val="NormalWeb"/>
              <w:jc w:val="center"/>
              <w:rPr>
                <w:sz w:val="18"/>
                <w:szCs w:val="18"/>
              </w:rPr>
            </w:pPr>
            <w:r w:rsidRPr="00C040A7">
              <w:rPr>
                <w:sz w:val="18"/>
                <w:szCs w:val="18"/>
              </w:rPr>
              <w:t>29 (2.5%)</w:t>
            </w:r>
          </w:p>
        </w:tc>
        <w:tc>
          <w:tcPr>
            <w:tcW w:w="0" w:type="auto"/>
            <w:hideMark/>
          </w:tcPr>
          <w:p w14:paraId="7891B6C5" w14:textId="77777777" w:rsidR="00C236F3" w:rsidRPr="00C040A7" w:rsidRDefault="00C236F3" w:rsidP="00C040A7">
            <w:pPr>
              <w:pStyle w:val="NormalWeb"/>
              <w:jc w:val="center"/>
              <w:rPr>
                <w:sz w:val="18"/>
                <w:szCs w:val="18"/>
              </w:rPr>
            </w:pPr>
            <w:r w:rsidRPr="00C040A7">
              <w:rPr>
                <w:sz w:val="18"/>
                <w:szCs w:val="18"/>
              </w:rPr>
              <w:t>481 (22.6%)</w:t>
            </w:r>
          </w:p>
        </w:tc>
        <w:tc>
          <w:tcPr>
            <w:tcW w:w="0" w:type="auto"/>
            <w:hideMark/>
          </w:tcPr>
          <w:p w14:paraId="091D9EAD" w14:textId="77777777" w:rsidR="00C236F3" w:rsidRPr="00C040A7" w:rsidRDefault="00C236F3" w:rsidP="00C040A7">
            <w:pPr>
              <w:pStyle w:val="NormalWeb"/>
              <w:jc w:val="center"/>
              <w:rPr>
                <w:sz w:val="18"/>
                <w:szCs w:val="18"/>
              </w:rPr>
            </w:pPr>
            <w:r w:rsidRPr="00C040A7">
              <w:rPr>
                <w:sz w:val="18"/>
                <w:szCs w:val="18"/>
              </w:rPr>
              <w:t>67 (10.9%)</w:t>
            </w:r>
          </w:p>
        </w:tc>
        <w:tc>
          <w:tcPr>
            <w:tcW w:w="2817" w:type="dxa"/>
            <w:hideMark/>
          </w:tcPr>
          <w:p w14:paraId="505D171B" w14:textId="77777777" w:rsidR="00C236F3" w:rsidRPr="00C040A7" w:rsidRDefault="00C236F3" w:rsidP="00C040A7">
            <w:pPr>
              <w:pStyle w:val="NormalWeb"/>
              <w:jc w:val="center"/>
              <w:rPr>
                <w:sz w:val="18"/>
                <w:szCs w:val="18"/>
              </w:rPr>
            </w:pPr>
            <w:r w:rsidRPr="00C040A7">
              <w:rPr>
                <w:sz w:val="18"/>
                <w:szCs w:val="18"/>
              </w:rPr>
              <w:t>610 (14.7%)</w:t>
            </w:r>
          </w:p>
        </w:tc>
      </w:tr>
      <w:tr w:rsidR="00C236F3" w:rsidRPr="00C040A7" w14:paraId="0705D957" w14:textId="77777777" w:rsidTr="00C040A7">
        <w:tblPrEx>
          <w:tblCellMar>
            <w:top w:w="57" w:type="dxa"/>
            <w:left w:w="57" w:type="dxa"/>
            <w:bottom w:w="57" w:type="dxa"/>
            <w:right w:w="57" w:type="dxa"/>
          </w:tblCellMar>
        </w:tblPrEx>
        <w:tc>
          <w:tcPr>
            <w:tcW w:w="0" w:type="auto"/>
            <w:hideMark/>
          </w:tcPr>
          <w:p w14:paraId="7113728C" w14:textId="77777777" w:rsidR="00C236F3" w:rsidRPr="00C040A7" w:rsidRDefault="00C236F3" w:rsidP="00073CEC">
            <w:pPr>
              <w:pStyle w:val="NormalWeb"/>
              <w:rPr>
                <w:sz w:val="18"/>
                <w:szCs w:val="18"/>
              </w:rPr>
            </w:pPr>
            <w:r w:rsidRPr="00C040A7">
              <w:rPr>
                <w:sz w:val="18"/>
                <w:szCs w:val="18"/>
              </w:rPr>
              <w:t>NSW</w:t>
            </w:r>
          </w:p>
        </w:tc>
        <w:tc>
          <w:tcPr>
            <w:tcW w:w="0" w:type="auto"/>
            <w:hideMark/>
          </w:tcPr>
          <w:p w14:paraId="121E60A5" w14:textId="77777777" w:rsidR="00C236F3" w:rsidRPr="00C040A7" w:rsidRDefault="00C236F3" w:rsidP="00C040A7">
            <w:pPr>
              <w:pStyle w:val="NormalWeb"/>
              <w:jc w:val="center"/>
              <w:rPr>
                <w:sz w:val="18"/>
                <w:szCs w:val="18"/>
              </w:rPr>
            </w:pPr>
            <w:r w:rsidRPr="00C040A7">
              <w:rPr>
                <w:sz w:val="18"/>
                <w:szCs w:val="18"/>
              </w:rPr>
              <w:t>67 (25.2%)</w:t>
            </w:r>
          </w:p>
        </w:tc>
        <w:tc>
          <w:tcPr>
            <w:tcW w:w="0" w:type="auto"/>
            <w:hideMark/>
          </w:tcPr>
          <w:p w14:paraId="326E501E" w14:textId="77777777" w:rsidR="00C236F3" w:rsidRPr="00C040A7" w:rsidRDefault="00C236F3" w:rsidP="00C040A7">
            <w:pPr>
              <w:pStyle w:val="NormalWeb"/>
              <w:jc w:val="center"/>
              <w:rPr>
                <w:sz w:val="18"/>
                <w:szCs w:val="18"/>
              </w:rPr>
            </w:pPr>
            <w:r w:rsidRPr="00C040A7">
              <w:rPr>
                <w:sz w:val="18"/>
                <w:szCs w:val="18"/>
              </w:rPr>
              <w:t>244 (21.4%)</w:t>
            </w:r>
          </w:p>
        </w:tc>
        <w:tc>
          <w:tcPr>
            <w:tcW w:w="0" w:type="auto"/>
            <w:hideMark/>
          </w:tcPr>
          <w:p w14:paraId="4D044EE3" w14:textId="77777777" w:rsidR="00C236F3" w:rsidRPr="00C040A7" w:rsidRDefault="00C236F3" w:rsidP="00C040A7">
            <w:pPr>
              <w:pStyle w:val="NormalWeb"/>
              <w:jc w:val="center"/>
              <w:rPr>
                <w:sz w:val="18"/>
                <w:szCs w:val="18"/>
              </w:rPr>
            </w:pPr>
            <w:r w:rsidRPr="00C040A7">
              <w:rPr>
                <w:sz w:val="18"/>
                <w:szCs w:val="18"/>
              </w:rPr>
              <w:t>406 (19.1%)</w:t>
            </w:r>
          </w:p>
        </w:tc>
        <w:tc>
          <w:tcPr>
            <w:tcW w:w="0" w:type="auto"/>
            <w:hideMark/>
          </w:tcPr>
          <w:p w14:paraId="395338F3" w14:textId="77777777" w:rsidR="00C236F3" w:rsidRPr="00C040A7" w:rsidRDefault="00C236F3" w:rsidP="00C040A7">
            <w:pPr>
              <w:pStyle w:val="NormalWeb"/>
              <w:jc w:val="center"/>
              <w:rPr>
                <w:sz w:val="18"/>
                <w:szCs w:val="18"/>
              </w:rPr>
            </w:pPr>
            <w:r w:rsidRPr="00C040A7">
              <w:rPr>
                <w:sz w:val="18"/>
                <w:szCs w:val="18"/>
              </w:rPr>
              <w:t>230 (37.3%)</w:t>
            </w:r>
          </w:p>
        </w:tc>
        <w:tc>
          <w:tcPr>
            <w:tcW w:w="2817" w:type="dxa"/>
            <w:hideMark/>
          </w:tcPr>
          <w:p w14:paraId="48BC9DFD" w14:textId="77777777" w:rsidR="00C236F3" w:rsidRPr="00C040A7" w:rsidRDefault="00C236F3" w:rsidP="00C040A7">
            <w:pPr>
              <w:pStyle w:val="NormalWeb"/>
              <w:jc w:val="center"/>
              <w:rPr>
                <w:sz w:val="18"/>
                <w:szCs w:val="18"/>
              </w:rPr>
            </w:pPr>
            <w:r w:rsidRPr="00C040A7">
              <w:rPr>
                <w:sz w:val="18"/>
                <w:szCs w:val="18"/>
              </w:rPr>
              <w:t>947 (22.8%)</w:t>
            </w:r>
          </w:p>
        </w:tc>
      </w:tr>
      <w:tr w:rsidR="00C040A7" w:rsidRPr="00C040A7" w14:paraId="5853C7AC" w14:textId="77777777" w:rsidTr="00C040A7">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066F9DB3" w14:textId="77777777" w:rsidR="00C236F3" w:rsidRPr="00C040A7" w:rsidRDefault="00C236F3" w:rsidP="00073CEC">
            <w:pPr>
              <w:pStyle w:val="NormalWeb"/>
              <w:rPr>
                <w:sz w:val="18"/>
                <w:szCs w:val="18"/>
              </w:rPr>
            </w:pPr>
            <w:r w:rsidRPr="00C040A7">
              <w:rPr>
                <w:sz w:val="18"/>
                <w:szCs w:val="18"/>
              </w:rPr>
              <w:t>NT</w:t>
            </w:r>
          </w:p>
        </w:tc>
        <w:tc>
          <w:tcPr>
            <w:tcW w:w="0" w:type="auto"/>
            <w:hideMark/>
          </w:tcPr>
          <w:p w14:paraId="03018D42" w14:textId="77777777" w:rsidR="00C236F3" w:rsidRPr="00C040A7" w:rsidRDefault="00C236F3" w:rsidP="00C040A7">
            <w:pPr>
              <w:pStyle w:val="NormalWeb"/>
              <w:jc w:val="center"/>
              <w:rPr>
                <w:sz w:val="18"/>
                <w:szCs w:val="18"/>
              </w:rPr>
            </w:pPr>
            <w:r w:rsidRPr="00C040A7">
              <w:rPr>
                <w:sz w:val="18"/>
                <w:szCs w:val="18"/>
              </w:rPr>
              <w:t>38 (14.3%)</w:t>
            </w:r>
          </w:p>
        </w:tc>
        <w:tc>
          <w:tcPr>
            <w:tcW w:w="0" w:type="auto"/>
            <w:hideMark/>
          </w:tcPr>
          <w:p w14:paraId="6D94DD6A" w14:textId="77777777" w:rsidR="00C236F3" w:rsidRPr="00C040A7" w:rsidRDefault="00C236F3" w:rsidP="00C040A7">
            <w:pPr>
              <w:pStyle w:val="NormalWeb"/>
              <w:jc w:val="center"/>
              <w:rPr>
                <w:sz w:val="18"/>
                <w:szCs w:val="18"/>
              </w:rPr>
            </w:pPr>
            <w:r w:rsidRPr="00C040A7">
              <w:rPr>
                <w:sz w:val="18"/>
                <w:szCs w:val="18"/>
              </w:rPr>
              <w:t>96 (8.4%)</w:t>
            </w:r>
          </w:p>
        </w:tc>
        <w:tc>
          <w:tcPr>
            <w:tcW w:w="0" w:type="auto"/>
            <w:hideMark/>
          </w:tcPr>
          <w:p w14:paraId="02FF0D72" w14:textId="77777777" w:rsidR="00C236F3" w:rsidRPr="00C040A7" w:rsidRDefault="00C236F3" w:rsidP="00C040A7">
            <w:pPr>
              <w:pStyle w:val="NormalWeb"/>
              <w:jc w:val="center"/>
              <w:rPr>
                <w:sz w:val="18"/>
                <w:szCs w:val="18"/>
              </w:rPr>
            </w:pPr>
            <w:r w:rsidRPr="00C040A7">
              <w:rPr>
                <w:sz w:val="18"/>
                <w:szCs w:val="18"/>
              </w:rPr>
              <w:t>8 (0.4%)</w:t>
            </w:r>
          </w:p>
        </w:tc>
        <w:tc>
          <w:tcPr>
            <w:tcW w:w="0" w:type="auto"/>
            <w:hideMark/>
          </w:tcPr>
          <w:p w14:paraId="0DB3820B" w14:textId="77777777" w:rsidR="00C236F3" w:rsidRPr="00C040A7" w:rsidRDefault="00C236F3" w:rsidP="00C040A7">
            <w:pPr>
              <w:pStyle w:val="NormalWeb"/>
              <w:jc w:val="center"/>
              <w:rPr>
                <w:sz w:val="18"/>
                <w:szCs w:val="18"/>
              </w:rPr>
            </w:pPr>
            <w:r w:rsidRPr="00C040A7">
              <w:rPr>
                <w:sz w:val="18"/>
                <w:szCs w:val="18"/>
              </w:rPr>
              <w:t>13 (2.1%)</w:t>
            </w:r>
          </w:p>
        </w:tc>
        <w:tc>
          <w:tcPr>
            <w:tcW w:w="2817" w:type="dxa"/>
            <w:hideMark/>
          </w:tcPr>
          <w:p w14:paraId="3A90993F" w14:textId="77777777" w:rsidR="00C236F3" w:rsidRPr="00C040A7" w:rsidRDefault="00C236F3" w:rsidP="00C040A7">
            <w:pPr>
              <w:pStyle w:val="NormalWeb"/>
              <w:jc w:val="center"/>
              <w:rPr>
                <w:sz w:val="18"/>
                <w:szCs w:val="18"/>
              </w:rPr>
            </w:pPr>
            <w:r w:rsidRPr="00C040A7">
              <w:rPr>
                <w:sz w:val="18"/>
                <w:szCs w:val="18"/>
              </w:rPr>
              <w:t>155 (3.7%)</w:t>
            </w:r>
          </w:p>
        </w:tc>
      </w:tr>
      <w:tr w:rsidR="00C236F3" w:rsidRPr="00C040A7" w14:paraId="0336F939" w14:textId="77777777" w:rsidTr="00C040A7">
        <w:tblPrEx>
          <w:tblCellMar>
            <w:top w:w="57" w:type="dxa"/>
            <w:left w:w="57" w:type="dxa"/>
            <w:bottom w:w="57" w:type="dxa"/>
            <w:right w:w="57" w:type="dxa"/>
          </w:tblCellMar>
        </w:tblPrEx>
        <w:tc>
          <w:tcPr>
            <w:tcW w:w="0" w:type="auto"/>
            <w:hideMark/>
          </w:tcPr>
          <w:p w14:paraId="211FFDC2" w14:textId="77777777" w:rsidR="00C236F3" w:rsidRPr="00C040A7" w:rsidRDefault="00C236F3" w:rsidP="00073CEC">
            <w:pPr>
              <w:pStyle w:val="NormalWeb"/>
              <w:rPr>
                <w:sz w:val="18"/>
                <w:szCs w:val="18"/>
              </w:rPr>
            </w:pPr>
            <w:r w:rsidRPr="00C040A7">
              <w:rPr>
                <w:sz w:val="18"/>
                <w:szCs w:val="18"/>
              </w:rPr>
              <w:t>Qld</w:t>
            </w:r>
          </w:p>
        </w:tc>
        <w:tc>
          <w:tcPr>
            <w:tcW w:w="0" w:type="auto"/>
            <w:hideMark/>
          </w:tcPr>
          <w:p w14:paraId="6356C102" w14:textId="77777777" w:rsidR="00C236F3" w:rsidRPr="00C040A7" w:rsidRDefault="00C236F3" w:rsidP="00C040A7">
            <w:pPr>
              <w:pStyle w:val="NormalWeb"/>
              <w:jc w:val="center"/>
              <w:rPr>
                <w:sz w:val="18"/>
                <w:szCs w:val="18"/>
              </w:rPr>
            </w:pPr>
            <w:r w:rsidRPr="00C040A7">
              <w:rPr>
                <w:sz w:val="18"/>
                <w:szCs w:val="18"/>
              </w:rPr>
              <w:t>8 (3.0%)</w:t>
            </w:r>
          </w:p>
        </w:tc>
        <w:tc>
          <w:tcPr>
            <w:tcW w:w="0" w:type="auto"/>
            <w:hideMark/>
          </w:tcPr>
          <w:p w14:paraId="12375926" w14:textId="77777777" w:rsidR="00C236F3" w:rsidRPr="00C040A7" w:rsidRDefault="00C236F3" w:rsidP="00C040A7">
            <w:pPr>
              <w:pStyle w:val="NormalWeb"/>
              <w:jc w:val="center"/>
              <w:rPr>
                <w:sz w:val="18"/>
                <w:szCs w:val="18"/>
              </w:rPr>
            </w:pPr>
            <w:r w:rsidRPr="00C040A7">
              <w:rPr>
                <w:sz w:val="18"/>
                <w:szCs w:val="18"/>
              </w:rPr>
              <w:t>36 (3.2%)</w:t>
            </w:r>
          </w:p>
        </w:tc>
        <w:tc>
          <w:tcPr>
            <w:tcW w:w="0" w:type="auto"/>
            <w:hideMark/>
          </w:tcPr>
          <w:p w14:paraId="7063BE19" w14:textId="77777777" w:rsidR="00C236F3" w:rsidRPr="00C040A7" w:rsidRDefault="00C236F3" w:rsidP="00C040A7">
            <w:pPr>
              <w:pStyle w:val="NormalWeb"/>
              <w:jc w:val="center"/>
              <w:rPr>
                <w:sz w:val="18"/>
                <w:szCs w:val="18"/>
              </w:rPr>
            </w:pPr>
            <w:r w:rsidRPr="00C040A7">
              <w:rPr>
                <w:sz w:val="18"/>
                <w:szCs w:val="18"/>
              </w:rPr>
              <w:t>198 (9.3%)</w:t>
            </w:r>
          </w:p>
        </w:tc>
        <w:tc>
          <w:tcPr>
            <w:tcW w:w="0" w:type="auto"/>
            <w:hideMark/>
          </w:tcPr>
          <w:p w14:paraId="3D80C73C" w14:textId="77777777" w:rsidR="00C236F3" w:rsidRPr="00C040A7" w:rsidRDefault="00C236F3" w:rsidP="00C040A7">
            <w:pPr>
              <w:pStyle w:val="NormalWeb"/>
              <w:jc w:val="center"/>
              <w:rPr>
                <w:sz w:val="18"/>
                <w:szCs w:val="18"/>
              </w:rPr>
            </w:pPr>
            <w:r w:rsidRPr="00C040A7">
              <w:rPr>
                <w:sz w:val="18"/>
                <w:szCs w:val="18"/>
              </w:rPr>
              <w:t>61 (9.9%)</w:t>
            </w:r>
          </w:p>
        </w:tc>
        <w:tc>
          <w:tcPr>
            <w:tcW w:w="2817" w:type="dxa"/>
            <w:hideMark/>
          </w:tcPr>
          <w:p w14:paraId="10680FE8" w14:textId="77777777" w:rsidR="00C236F3" w:rsidRPr="00C040A7" w:rsidRDefault="00C236F3" w:rsidP="00C040A7">
            <w:pPr>
              <w:pStyle w:val="NormalWeb"/>
              <w:jc w:val="center"/>
              <w:rPr>
                <w:sz w:val="18"/>
                <w:szCs w:val="18"/>
              </w:rPr>
            </w:pPr>
            <w:r w:rsidRPr="00C040A7">
              <w:rPr>
                <w:sz w:val="18"/>
                <w:szCs w:val="18"/>
              </w:rPr>
              <w:t>303 (7.3%)</w:t>
            </w:r>
          </w:p>
        </w:tc>
      </w:tr>
      <w:tr w:rsidR="00C040A7" w:rsidRPr="00C040A7" w14:paraId="16841956" w14:textId="77777777" w:rsidTr="00C040A7">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6F03AD30" w14:textId="77777777" w:rsidR="00C236F3" w:rsidRPr="00C040A7" w:rsidRDefault="00C236F3" w:rsidP="00073CEC">
            <w:pPr>
              <w:pStyle w:val="NormalWeb"/>
              <w:rPr>
                <w:sz w:val="18"/>
                <w:szCs w:val="18"/>
              </w:rPr>
            </w:pPr>
            <w:r w:rsidRPr="00C040A7">
              <w:rPr>
                <w:sz w:val="18"/>
                <w:szCs w:val="18"/>
              </w:rPr>
              <w:t>SA</w:t>
            </w:r>
          </w:p>
        </w:tc>
        <w:tc>
          <w:tcPr>
            <w:tcW w:w="0" w:type="auto"/>
            <w:hideMark/>
          </w:tcPr>
          <w:p w14:paraId="7B17EE17" w14:textId="77777777" w:rsidR="00C236F3" w:rsidRPr="00C040A7" w:rsidRDefault="00C236F3" w:rsidP="00C040A7">
            <w:pPr>
              <w:pStyle w:val="NormalWeb"/>
              <w:jc w:val="center"/>
              <w:rPr>
                <w:sz w:val="18"/>
                <w:szCs w:val="18"/>
              </w:rPr>
            </w:pPr>
            <w:r w:rsidRPr="00C040A7">
              <w:rPr>
                <w:sz w:val="18"/>
                <w:szCs w:val="18"/>
              </w:rPr>
              <w:t>33 (12.4%)</w:t>
            </w:r>
          </w:p>
        </w:tc>
        <w:tc>
          <w:tcPr>
            <w:tcW w:w="0" w:type="auto"/>
            <w:hideMark/>
          </w:tcPr>
          <w:p w14:paraId="6015EF99" w14:textId="77777777" w:rsidR="00C236F3" w:rsidRPr="00C040A7" w:rsidRDefault="00C236F3" w:rsidP="00C040A7">
            <w:pPr>
              <w:pStyle w:val="NormalWeb"/>
              <w:jc w:val="center"/>
              <w:rPr>
                <w:sz w:val="18"/>
                <w:szCs w:val="18"/>
              </w:rPr>
            </w:pPr>
            <w:r w:rsidRPr="00C040A7">
              <w:rPr>
                <w:sz w:val="18"/>
                <w:szCs w:val="18"/>
              </w:rPr>
              <w:t>253 (22.2%)</w:t>
            </w:r>
          </w:p>
        </w:tc>
        <w:tc>
          <w:tcPr>
            <w:tcW w:w="0" w:type="auto"/>
            <w:hideMark/>
          </w:tcPr>
          <w:p w14:paraId="4495BB8A" w14:textId="77777777" w:rsidR="00C236F3" w:rsidRPr="00C040A7" w:rsidRDefault="00C236F3" w:rsidP="00C040A7">
            <w:pPr>
              <w:pStyle w:val="NormalWeb"/>
              <w:jc w:val="center"/>
              <w:rPr>
                <w:sz w:val="18"/>
                <w:szCs w:val="18"/>
              </w:rPr>
            </w:pPr>
            <w:r w:rsidRPr="00C040A7">
              <w:rPr>
                <w:sz w:val="18"/>
                <w:szCs w:val="18"/>
              </w:rPr>
              <w:t>67 (3.1%)</w:t>
            </w:r>
          </w:p>
        </w:tc>
        <w:tc>
          <w:tcPr>
            <w:tcW w:w="0" w:type="auto"/>
            <w:hideMark/>
          </w:tcPr>
          <w:p w14:paraId="3F4879BF" w14:textId="77777777" w:rsidR="00C236F3" w:rsidRPr="00C040A7" w:rsidRDefault="00C236F3" w:rsidP="00C040A7">
            <w:pPr>
              <w:pStyle w:val="NormalWeb"/>
              <w:jc w:val="center"/>
              <w:rPr>
                <w:sz w:val="18"/>
                <w:szCs w:val="18"/>
              </w:rPr>
            </w:pPr>
            <w:r w:rsidRPr="00C040A7">
              <w:rPr>
                <w:sz w:val="18"/>
                <w:szCs w:val="18"/>
              </w:rPr>
              <w:t>16 (2.6%)</w:t>
            </w:r>
          </w:p>
        </w:tc>
        <w:tc>
          <w:tcPr>
            <w:tcW w:w="2817" w:type="dxa"/>
            <w:hideMark/>
          </w:tcPr>
          <w:p w14:paraId="5A735B58" w14:textId="77777777" w:rsidR="00C236F3" w:rsidRPr="00C040A7" w:rsidRDefault="00C236F3" w:rsidP="00C040A7">
            <w:pPr>
              <w:pStyle w:val="NormalWeb"/>
              <w:jc w:val="center"/>
              <w:rPr>
                <w:sz w:val="18"/>
                <w:szCs w:val="18"/>
              </w:rPr>
            </w:pPr>
            <w:r w:rsidRPr="00C040A7">
              <w:rPr>
                <w:sz w:val="18"/>
                <w:szCs w:val="18"/>
              </w:rPr>
              <w:t>369 (8.9%)</w:t>
            </w:r>
          </w:p>
        </w:tc>
      </w:tr>
      <w:tr w:rsidR="00C236F3" w:rsidRPr="00C040A7" w14:paraId="125BD1DA" w14:textId="77777777" w:rsidTr="00C040A7">
        <w:tblPrEx>
          <w:tblCellMar>
            <w:top w:w="57" w:type="dxa"/>
            <w:left w:w="57" w:type="dxa"/>
            <w:bottom w:w="57" w:type="dxa"/>
            <w:right w:w="57" w:type="dxa"/>
          </w:tblCellMar>
        </w:tblPrEx>
        <w:tc>
          <w:tcPr>
            <w:tcW w:w="0" w:type="auto"/>
            <w:hideMark/>
          </w:tcPr>
          <w:p w14:paraId="64CCADF7" w14:textId="77777777" w:rsidR="00C236F3" w:rsidRPr="00C040A7" w:rsidRDefault="00C236F3" w:rsidP="00073CEC">
            <w:pPr>
              <w:pStyle w:val="NormalWeb"/>
              <w:rPr>
                <w:sz w:val="18"/>
                <w:szCs w:val="18"/>
              </w:rPr>
            </w:pPr>
            <w:r w:rsidRPr="00C040A7">
              <w:rPr>
                <w:sz w:val="18"/>
                <w:szCs w:val="18"/>
              </w:rPr>
              <w:t>Tas.</w:t>
            </w:r>
          </w:p>
        </w:tc>
        <w:tc>
          <w:tcPr>
            <w:tcW w:w="0" w:type="auto"/>
            <w:hideMark/>
          </w:tcPr>
          <w:p w14:paraId="1B3ABFA3" w14:textId="77777777" w:rsidR="00C236F3" w:rsidRPr="00C040A7" w:rsidRDefault="00C236F3" w:rsidP="00C040A7">
            <w:pPr>
              <w:pStyle w:val="NormalWeb"/>
              <w:jc w:val="center"/>
              <w:rPr>
                <w:sz w:val="18"/>
                <w:szCs w:val="18"/>
              </w:rPr>
            </w:pPr>
            <w:r w:rsidRPr="00C040A7">
              <w:rPr>
                <w:sz w:val="18"/>
                <w:szCs w:val="18"/>
              </w:rPr>
              <w:t>15 (5.6%)</w:t>
            </w:r>
          </w:p>
        </w:tc>
        <w:tc>
          <w:tcPr>
            <w:tcW w:w="0" w:type="auto"/>
            <w:hideMark/>
          </w:tcPr>
          <w:p w14:paraId="37D6A110" w14:textId="77777777" w:rsidR="00C236F3" w:rsidRPr="00C040A7" w:rsidRDefault="00C236F3" w:rsidP="00C040A7">
            <w:pPr>
              <w:pStyle w:val="NormalWeb"/>
              <w:jc w:val="center"/>
              <w:rPr>
                <w:sz w:val="18"/>
                <w:szCs w:val="18"/>
              </w:rPr>
            </w:pPr>
            <w:r w:rsidRPr="00C040A7">
              <w:rPr>
                <w:sz w:val="18"/>
                <w:szCs w:val="18"/>
              </w:rPr>
              <w:t>209 (18.3%)</w:t>
            </w:r>
          </w:p>
        </w:tc>
        <w:tc>
          <w:tcPr>
            <w:tcW w:w="0" w:type="auto"/>
            <w:hideMark/>
          </w:tcPr>
          <w:p w14:paraId="3FEDBC47" w14:textId="77777777" w:rsidR="00C236F3" w:rsidRPr="00C040A7" w:rsidRDefault="00C236F3" w:rsidP="00C040A7">
            <w:pPr>
              <w:pStyle w:val="NormalWeb"/>
              <w:jc w:val="center"/>
              <w:rPr>
                <w:sz w:val="18"/>
                <w:szCs w:val="18"/>
              </w:rPr>
            </w:pPr>
            <w:r w:rsidRPr="00C040A7">
              <w:rPr>
                <w:sz w:val="18"/>
                <w:szCs w:val="18"/>
              </w:rPr>
              <w:t>13 (0.6%)</w:t>
            </w:r>
          </w:p>
        </w:tc>
        <w:tc>
          <w:tcPr>
            <w:tcW w:w="0" w:type="auto"/>
            <w:hideMark/>
          </w:tcPr>
          <w:p w14:paraId="1E5CC4FD" w14:textId="77777777" w:rsidR="00C236F3" w:rsidRPr="00C040A7" w:rsidRDefault="00C236F3" w:rsidP="00C040A7">
            <w:pPr>
              <w:pStyle w:val="NormalWeb"/>
              <w:jc w:val="center"/>
              <w:rPr>
                <w:sz w:val="18"/>
                <w:szCs w:val="18"/>
              </w:rPr>
            </w:pPr>
            <w:r w:rsidRPr="00C040A7">
              <w:rPr>
                <w:sz w:val="18"/>
                <w:szCs w:val="18"/>
              </w:rPr>
              <w:t>8 (1.3%)</w:t>
            </w:r>
          </w:p>
        </w:tc>
        <w:tc>
          <w:tcPr>
            <w:tcW w:w="2817" w:type="dxa"/>
            <w:hideMark/>
          </w:tcPr>
          <w:p w14:paraId="67FDE58A" w14:textId="77777777" w:rsidR="00C236F3" w:rsidRPr="00C040A7" w:rsidRDefault="00C236F3" w:rsidP="00C040A7">
            <w:pPr>
              <w:pStyle w:val="NormalWeb"/>
              <w:jc w:val="center"/>
              <w:rPr>
                <w:sz w:val="18"/>
                <w:szCs w:val="18"/>
              </w:rPr>
            </w:pPr>
            <w:r w:rsidRPr="00C040A7">
              <w:rPr>
                <w:sz w:val="18"/>
                <w:szCs w:val="18"/>
              </w:rPr>
              <w:t>245 (5.9%)</w:t>
            </w:r>
          </w:p>
        </w:tc>
      </w:tr>
      <w:tr w:rsidR="00C040A7" w:rsidRPr="00C040A7" w14:paraId="5F5F734D" w14:textId="77777777" w:rsidTr="00C040A7">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678E4F31" w14:textId="77777777" w:rsidR="00C236F3" w:rsidRPr="00C040A7" w:rsidRDefault="00C236F3" w:rsidP="00073CEC">
            <w:pPr>
              <w:pStyle w:val="NormalWeb"/>
              <w:rPr>
                <w:sz w:val="18"/>
                <w:szCs w:val="18"/>
              </w:rPr>
            </w:pPr>
            <w:r w:rsidRPr="00C040A7">
              <w:rPr>
                <w:sz w:val="18"/>
                <w:szCs w:val="18"/>
              </w:rPr>
              <w:t>Vic.</w:t>
            </w:r>
          </w:p>
        </w:tc>
        <w:tc>
          <w:tcPr>
            <w:tcW w:w="0" w:type="auto"/>
            <w:hideMark/>
          </w:tcPr>
          <w:p w14:paraId="5980F114" w14:textId="77777777" w:rsidR="00C236F3" w:rsidRPr="00C040A7" w:rsidRDefault="00C236F3" w:rsidP="00C040A7">
            <w:pPr>
              <w:pStyle w:val="NormalWeb"/>
              <w:jc w:val="center"/>
              <w:rPr>
                <w:sz w:val="18"/>
                <w:szCs w:val="18"/>
              </w:rPr>
            </w:pPr>
            <w:r w:rsidRPr="00C040A7">
              <w:rPr>
                <w:sz w:val="18"/>
                <w:szCs w:val="18"/>
              </w:rPr>
              <w:t>45 (16.9%)</w:t>
            </w:r>
          </w:p>
        </w:tc>
        <w:tc>
          <w:tcPr>
            <w:tcW w:w="0" w:type="auto"/>
            <w:hideMark/>
          </w:tcPr>
          <w:p w14:paraId="42AD63C8" w14:textId="77777777" w:rsidR="00C236F3" w:rsidRPr="00C040A7" w:rsidRDefault="00C236F3" w:rsidP="00C040A7">
            <w:pPr>
              <w:pStyle w:val="NormalWeb"/>
              <w:jc w:val="center"/>
              <w:rPr>
                <w:sz w:val="18"/>
                <w:szCs w:val="18"/>
              </w:rPr>
            </w:pPr>
            <w:r w:rsidRPr="00C040A7">
              <w:rPr>
                <w:sz w:val="18"/>
                <w:szCs w:val="18"/>
              </w:rPr>
              <w:t>81 (7.1%)</w:t>
            </w:r>
          </w:p>
        </w:tc>
        <w:tc>
          <w:tcPr>
            <w:tcW w:w="0" w:type="auto"/>
            <w:hideMark/>
          </w:tcPr>
          <w:p w14:paraId="10D9CF7E" w14:textId="77777777" w:rsidR="00C236F3" w:rsidRPr="00C040A7" w:rsidRDefault="00C236F3" w:rsidP="00C040A7">
            <w:pPr>
              <w:pStyle w:val="NormalWeb"/>
              <w:jc w:val="center"/>
              <w:rPr>
                <w:sz w:val="18"/>
                <w:szCs w:val="18"/>
              </w:rPr>
            </w:pPr>
            <w:r w:rsidRPr="00C040A7">
              <w:rPr>
                <w:sz w:val="18"/>
                <w:szCs w:val="18"/>
              </w:rPr>
              <w:t>823 (38.6%)</w:t>
            </w:r>
          </w:p>
        </w:tc>
        <w:tc>
          <w:tcPr>
            <w:tcW w:w="0" w:type="auto"/>
            <w:hideMark/>
          </w:tcPr>
          <w:p w14:paraId="0EF9D477" w14:textId="77777777" w:rsidR="00C236F3" w:rsidRPr="00C040A7" w:rsidRDefault="00C236F3" w:rsidP="00C040A7">
            <w:pPr>
              <w:pStyle w:val="NormalWeb"/>
              <w:jc w:val="center"/>
              <w:rPr>
                <w:sz w:val="18"/>
                <w:szCs w:val="18"/>
              </w:rPr>
            </w:pPr>
            <w:r w:rsidRPr="00C040A7">
              <w:rPr>
                <w:sz w:val="18"/>
                <w:szCs w:val="18"/>
              </w:rPr>
              <w:t>108 (17.5%)</w:t>
            </w:r>
          </w:p>
        </w:tc>
        <w:tc>
          <w:tcPr>
            <w:tcW w:w="2817" w:type="dxa"/>
            <w:hideMark/>
          </w:tcPr>
          <w:p w14:paraId="21589BD8" w14:textId="77777777" w:rsidR="00C236F3" w:rsidRPr="00C040A7" w:rsidRDefault="00C236F3" w:rsidP="00C040A7">
            <w:pPr>
              <w:pStyle w:val="NormalWeb"/>
              <w:jc w:val="center"/>
              <w:rPr>
                <w:sz w:val="18"/>
                <w:szCs w:val="18"/>
              </w:rPr>
            </w:pPr>
            <w:r w:rsidRPr="00C040A7">
              <w:rPr>
                <w:sz w:val="18"/>
                <w:szCs w:val="18"/>
              </w:rPr>
              <w:t>1,057 (25.4%)</w:t>
            </w:r>
          </w:p>
        </w:tc>
      </w:tr>
      <w:tr w:rsidR="00C236F3" w:rsidRPr="00C040A7" w14:paraId="39F2DC07" w14:textId="77777777" w:rsidTr="00C040A7">
        <w:tblPrEx>
          <w:tblCellMar>
            <w:top w:w="57" w:type="dxa"/>
            <w:left w:w="57" w:type="dxa"/>
            <w:bottom w:w="57" w:type="dxa"/>
            <w:right w:w="57" w:type="dxa"/>
          </w:tblCellMar>
        </w:tblPrEx>
        <w:tc>
          <w:tcPr>
            <w:tcW w:w="0" w:type="auto"/>
            <w:tcBorders>
              <w:bottom w:val="single" w:sz="2" w:space="0" w:color="808080" w:themeColor="background1" w:themeShade="80"/>
            </w:tcBorders>
            <w:hideMark/>
          </w:tcPr>
          <w:p w14:paraId="6BD735E6" w14:textId="77777777" w:rsidR="00C236F3" w:rsidRPr="00C040A7" w:rsidRDefault="00C236F3" w:rsidP="00073CEC">
            <w:pPr>
              <w:pStyle w:val="NormalWeb"/>
              <w:rPr>
                <w:sz w:val="18"/>
                <w:szCs w:val="18"/>
              </w:rPr>
            </w:pPr>
            <w:r w:rsidRPr="00C040A7">
              <w:rPr>
                <w:sz w:val="18"/>
                <w:szCs w:val="18"/>
              </w:rPr>
              <w:t>WA</w:t>
            </w:r>
          </w:p>
        </w:tc>
        <w:tc>
          <w:tcPr>
            <w:tcW w:w="0" w:type="auto"/>
            <w:tcBorders>
              <w:bottom w:val="single" w:sz="2" w:space="0" w:color="808080" w:themeColor="background1" w:themeShade="80"/>
            </w:tcBorders>
            <w:hideMark/>
          </w:tcPr>
          <w:p w14:paraId="3A3BAC18" w14:textId="77777777" w:rsidR="00C236F3" w:rsidRPr="00C040A7" w:rsidRDefault="00C236F3" w:rsidP="00C040A7">
            <w:pPr>
              <w:pStyle w:val="NormalWeb"/>
              <w:jc w:val="center"/>
              <w:rPr>
                <w:sz w:val="18"/>
                <w:szCs w:val="18"/>
              </w:rPr>
            </w:pPr>
            <w:r w:rsidRPr="00C040A7">
              <w:rPr>
                <w:sz w:val="18"/>
                <w:szCs w:val="18"/>
              </w:rPr>
              <w:t>27 (10.2%)</w:t>
            </w:r>
          </w:p>
        </w:tc>
        <w:tc>
          <w:tcPr>
            <w:tcW w:w="0" w:type="auto"/>
            <w:tcBorders>
              <w:bottom w:val="single" w:sz="2" w:space="0" w:color="808080" w:themeColor="background1" w:themeShade="80"/>
            </w:tcBorders>
            <w:hideMark/>
          </w:tcPr>
          <w:p w14:paraId="1E45F228" w14:textId="77777777" w:rsidR="00C236F3" w:rsidRPr="00C040A7" w:rsidRDefault="00C236F3" w:rsidP="00C040A7">
            <w:pPr>
              <w:pStyle w:val="NormalWeb"/>
              <w:jc w:val="center"/>
              <w:rPr>
                <w:sz w:val="18"/>
                <w:szCs w:val="18"/>
              </w:rPr>
            </w:pPr>
            <w:r w:rsidRPr="00C040A7">
              <w:rPr>
                <w:sz w:val="18"/>
                <w:szCs w:val="18"/>
              </w:rPr>
              <w:t>192 (16.8%)</w:t>
            </w:r>
          </w:p>
        </w:tc>
        <w:tc>
          <w:tcPr>
            <w:tcW w:w="0" w:type="auto"/>
            <w:tcBorders>
              <w:bottom w:val="single" w:sz="2" w:space="0" w:color="808080" w:themeColor="background1" w:themeShade="80"/>
            </w:tcBorders>
            <w:hideMark/>
          </w:tcPr>
          <w:p w14:paraId="7C67AF69" w14:textId="77777777" w:rsidR="00C236F3" w:rsidRPr="00C040A7" w:rsidRDefault="00C236F3" w:rsidP="00C040A7">
            <w:pPr>
              <w:pStyle w:val="NormalWeb"/>
              <w:jc w:val="center"/>
              <w:rPr>
                <w:sz w:val="18"/>
                <w:szCs w:val="18"/>
              </w:rPr>
            </w:pPr>
            <w:r w:rsidRPr="00C040A7">
              <w:rPr>
                <w:sz w:val="18"/>
                <w:szCs w:val="18"/>
              </w:rPr>
              <w:t>135 (6.3%)</w:t>
            </w:r>
          </w:p>
        </w:tc>
        <w:tc>
          <w:tcPr>
            <w:tcW w:w="0" w:type="auto"/>
            <w:tcBorders>
              <w:bottom w:val="single" w:sz="2" w:space="0" w:color="808080" w:themeColor="background1" w:themeShade="80"/>
            </w:tcBorders>
            <w:hideMark/>
          </w:tcPr>
          <w:p w14:paraId="30C148E7" w14:textId="77777777" w:rsidR="00C236F3" w:rsidRPr="00C040A7" w:rsidRDefault="00C236F3" w:rsidP="00C040A7">
            <w:pPr>
              <w:pStyle w:val="NormalWeb"/>
              <w:jc w:val="center"/>
              <w:rPr>
                <w:sz w:val="18"/>
                <w:szCs w:val="18"/>
              </w:rPr>
            </w:pPr>
            <w:r w:rsidRPr="00C040A7">
              <w:rPr>
                <w:sz w:val="18"/>
                <w:szCs w:val="18"/>
              </w:rPr>
              <w:t>114 (18.5%)</w:t>
            </w:r>
          </w:p>
        </w:tc>
        <w:tc>
          <w:tcPr>
            <w:tcW w:w="2817" w:type="dxa"/>
            <w:tcBorders>
              <w:bottom w:val="single" w:sz="2" w:space="0" w:color="808080" w:themeColor="background1" w:themeShade="80"/>
            </w:tcBorders>
            <w:hideMark/>
          </w:tcPr>
          <w:p w14:paraId="0216A634" w14:textId="77777777" w:rsidR="00C236F3" w:rsidRPr="00C040A7" w:rsidRDefault="00C236F3" w:rsidP="00C040A7">
            <w:pPr>
              <w:pStyle w:val="NormalWeb"/>
              <w:jc w:val="center"/>
              <w:rPr>
                <w:sz w:val="18"/>
                <w:szCs w:val="18"/>
              </w:rPr>
            </w:pPr>
            <w:r w:rsidRPr="00C040A7">
              <w:rPr>
                <w:sz w:val="18"/>
                <w:szCs w:val="18"/>
              </w:rPr>
              <w:t>468 (11.3%)</w:t>
            </w:r>
          </w:p>
        </w:tc>
      </w:tr>
    </w:tbl>
    <w:p w14:paraId="5D553D46" w14:textId="77777777" w:rsidR="000A1D58" w:rsidRPr="00757DC5" w:rsidRDefault="000A1D58" w:rsidP="00757DC5">
      <w:pPr>
        <w:pStyle w:val="Heading2"/>
      </w:pPr>
      <w:r w:rsidRPr="00757DC5">
        <w:t xml:space="preserve">Use of antivirals </w:t>
      </w:r>
    </w:p>
    <w:p w14:paraId="2A1C7FF8" w14:textId="77777777" w:rsidR="000A1D58" w:rsidRDefault="000A1D58" w:rsidP="00757DC5">
      <w:r>
        <w:t xml:space="preserve">Of the 3,621 patients where the date of onset was reported, 1,173 (32.4%) did not receive oseltamivir; 961 (26.5%) received oseltamivir within 2 days of symptom onset; and 1,447 (40.0%) received oseltamivir more than 2 days after the onset of illness. Oseltamivir use was lower in children (18.4% within 2 days; a further 21.9% more than 2 days) than in non-elderly adults (29.5%; 42.3%) and the elderly (29.5%; 49.1%) (table 4). </w:t>
      </w:r>
    </w:p>
    <w:p w14:paraId="22662942" w14:textId="77777777" w:rsidR="000A1D58" w:rsidRPr="00757DC5" w:rsidRDefault="000A1D58" w:rsidP="00757DC5">
      <w:pPr>
        <w:pStyle w:val="Heading2"/>
      </w:pPr>
      <w:r w:rsidRPr="00757DC5">
        <w:t xml:space="preserve">Outcome </w:t>
      </w:r>
    </w:p>
    <w:p w14:paraId="44498C7D" w14:textId="77777777" w:rsidR="000A1D58" w:rsidRDefault="000A1D58" w:rsidP="00757DC5">
      <w:r>
        <w:t xml:space="preserve">The mean length of hospital stay for all patients was 4.9 days. Admission to ICU was associated with a mean hospital length of stay of 9.5 days compared to those not admitted to ICU (4.5 days). Of the 3,956 patients where hospital mortality status was documented, 111 patients died (2.8%); of these, 34 deaths (31%) occurred in patients admitted to ICU, and 77 deaths (69%) in those not admitted to ICU. </w:t>
      </w:r>
    </w:p>
    <w:p w14:paraId="549F6423" w14:textId="77777777" w:rsidR="000A1D58" w:rsidRDefault="000A1D58" w:rsidP="00757DC5">
      <w:r>
        <w:t xml:space="preserve">Length of hospital stay was shorter in patients who did not receive oseltamivir (median 2 days; IQR: 1, 4 days) than in those who received oseltamivir within two days (median 3 days; IQR: 2, 6 days) or in those who received oseltamivir after two days (median 3 days; IQR: 2, 6 days; Kruskal–Wallis test </w:t>
      </w:r>
      <w:r w:rsidRPr="00687487">
        <w:rPr>
          <w:rStyle w:val="Emphasis"/>
          <w:b w:val="0"/>
          <w:bCs w:val="0"/>
        </w:rPr>
        <w:t>p</w:t>
      </w:r>
      <w:r>
        <w:t xml:space="preserve"> &lt; 0.001). The crude association between oseltamivir use and longer length of hospital stay was largely accounted for by age, the severity of illness and the presence of comorbidities in a multivariate model (Table 5). </w:t>
      </w:r>
    </w:p>
    <w:p w14:paraId="7A31561C" w14:textId="77777777" w:rsidR="00CD1366" w:rsidRDefault="00CD1366">
      <w:pPr>
        <w:rPr>
          <w:rStyle w:val="Strong"/>
          <w:bCs w:val="0"/>
        </w:rPr>
      </w:pPr>
      <w:r>
        <w:rPr>
          <w:rStyle w:val="Strong"/>
          <w:b w:val="0"/>
          <w:bCs w:val="0"/>
        </w:rPr>
        <w:br w:type="page"/>
      </w:r>
    </w:p>
    <w:p w14:paraId="284E2037" w14:textId="761AB8D2" w:rsidR="006D5740" w:rsidRPr="00150762" w:rsidRDefault="006D5740" w:rsidP="006D5740">
      <w:pPr>
        <w:pStyle w:val="CDIFigures"/>
      </w:pPr>
      <w:r w:rsidRPr="00150762">
        <w:rPr>
          <w:rStyle w:val="Strong"/>
          <w:b/>
          <w:bCs w:val="0"/>
        </w:rPr>
        <w:lastRenderedPageBreak/>
        <w:t xml:space="preserve">Table 2: Risk factors, </w:t>
      </w:r>
      <w:proofErr w:type="gramStart"/>
      <w:r w:rsidRPr="00150762">
        <w:rPr>
          <w:rStyle w:val="Strong"/>
          <w:b/>
          <w:bCs w:val="0"/>
        </w:rPr>
        <w:t>severity</w:t>
      </w:r>
      <w:proofErr w:type="gramEnd"/>
      <w:r w:rsidRPr="00150762">
        <w:rPr>
          <w:rStyle w:val="Strong"/>
          <w:b/>
          <w:bCs w:val="0"/>
        </w:rPr>
        <w:t xml:space="preserve"> and outcomes in hospitalized adult patients with confirmed influenza</w:t>
      </w:r>
      <w:r w:rsidRPr="00150762">
        <w:t xml:space="preserve"> </w:t>
      </w:r>
    </w:p>
    <w:tbl>
      <w:tblPr>
        <w:tblStyle w:val="CDI-StandardTable"/>
        <w:tblW w:w="0" w:type="auto"/>
        <w:tblLook w:val="04A0" w:firstRow="1" w:lastRow="0" w:firstColumn="1" w:lastColumn="0" w:noHBand="0" w:noVBand="1"/>
        <w:tblDescription w:val="Table 2: this table presents risk factors, including pregnancy, medical co-morbidities, residence in nursing home and influenza vaccine status, in patients admitted to ICU."/>
      </w:tblPr>
      <w:tblGrid>
        <w:gridCol w:w="2565"/>
        <w:gridCol w:w="2565"/>
        <w:gridCol w:w="2565"/>
        <w:gridCol w:w="2565"/>
      </w:tblGrid>
      <w:tr w:rsidR="00495B84" w:rsidRPr="00CA3EB7" w14:paraId="173E78B4" w14:textId="77777777" w:rsidTr="00073CEC">
        <w:trPr>
          <w:cnfStyle w:val="100000000000" w:firstRow="1" w:lastRow="0" w:firstColumn="0" w:lastColumn="0" w:oddVBand="0" w:evenVBand="0" w:oddHBand="0" w:evenHBand="0" w:firstRowFirstColumn="0" w:firstRowLastColumn="0" w:lastRowFirstColumn="0" w:lastRowLastColumn="0"/>
          <w:tblHeader/>
        </w:trPr>
        <w:tc>
          <w:tcPr>
            <w:tcW w:w="2565" w:type="dxa"/>
            <w:vMerge w:val="restart"/>
            <w:tcBorders>
              <w:right w:val="single" w:sz="6" w:space="0" w:color="886E49"/>
            </w:tcBorders>
            <w:hideMark/>
          </w:tcPr>
          <w:p w14:paraId="5836A77C" w14:textId="77777777" w:rsidR="00495B84" w:rsidRPr="00CA3EB7" w:rsidRDefault="00495B84" w:rsidP="00073CEC">
            <w:pPr>
              <w:rPr>
                <w:color w:val="FFFFFF" w:themeColor="background1"/>
                <w:sz w:val="18"/>
                <w:szCs w:val="18"/>
                <w:lang w:val="en-GB"/>
              </w:rPr>
            </w:pPr>
          </w:p>
        </w:tc>
        <w:tc>
          <w:tcPr>
            <w:tcW w:w="2565" w:type="dxa"/>
            <w:tcBorders>
              <w:left w:val="single" w:sz="6" w:space="0" w:color="886E49"/>
              <w:bottom w:val="single" w:sz="6" w:space="0" w:color="886E49"/>
              <w:right w:val="single" w:sz="6" w:space="0" w:color="886E49"/>
            </w:tcBorders>
            <w:hideMark/>
          </w:tcPr>
          <w:p w14:paraId="43C42127" w14:textId="77777777" w:rsidR="00495B84" w:rsidRPr="00CA3EB7" w:rsidRDefault="00495B84" w:rsidP="00CA3EB7">
            <w:pPr>
              <w:pStyle w:val="NormalWeb"/>
              <w:jc w:val="center"/>
              <w:rPr>
                <w:color w:val="FFFFFF" w:themeColor="background1"/>
                <w:sz w:val="18"/>
                <w:szCs w:val="18"/>
              </w:rPr>
            </w:pPr>
            <w:r w:rsidRPr="00CA3EB7">
              <w:rPr>
                <w:color w:val="FFFFFF" w:themeColor="background1"/>
                <w:sz w:val="18"/>
                <w:szCs w:val="18"/>
              </w:rPr>
              <w:t>Not admitted to ICU</w:t>
            </w:r>
          </w:p>
        </w:tc>
        <w:tc>
          <w:tcPr>
            <w:tcW w:w="2565" w:type="dxa"/>
            <w:tcBorders>
              <w:left w:val="single" w:sz="6" w:space="0" w:color="886E49"/>
              <w:bottom w:val="single" w:sz="6" w:space="0" w:color="886E49"/>
              <w:right w:val="single" w:sz="6" w:space="0" w:color="886E49"/>
            </w:tcBorders>
            <w:hideMark/>
          </w:tcPr>
          <w:p w14:paraId="5638BE97" w14:textId="77777777" w:rsidR="00495B84" w:rsidRPr="00CA3EB7" w:rsidRDefault="00495B84" w:rsidP="00CA3EB7">
            <w:pPr>
              <w:pStyle w:val="NormalWeb"/>
              <w:jc w:val="center"/>
              <w:rPr>
                <w:color w:val="FFFFFF" w:themeColor="background1"/>
                <w:sz w:val="18"/>
                <w:szCs w:val="18"/>
              </w:rPr>
            </w:pPr>
            <w:r w:rsidRPr="00CA3EB7">
              <w:rPr>
                <w:color w:val="FFFFFF" w:themeColor="background1"/>
                <w:sz w:val="18"/>
                <w:szCs w:val="18"/>
              </w:rPr>
              <w:t>Admitted to ICU</w:t>
            </w:r>
          </w:p>
        </w:tc>
        <w:tc>
          <w:tcPr>
            <w:tcW w:w="2565" w:type="dxa"/>
            <w:vMerge w:val="restart"/>
            <w:tcBorders>
              <w:left w:val="single" w:sz="6" w:space="0" w:color="886E49"/>
            </w:tcBorders>
            <w:vAlign w:val="center"/>
            <w:hideMark/>
          </w:tcPr>
          <w:p w14:paraId="59F4967F" w14:textId="77777777" w:rsidR="00495B84" w:rsidRPr="00CA3EB7" w:rsidRDefault="00495B84" w:rsidP="00E559AA">
            <w:pPr>
              <w:pStyle w:val="NormalWeb"/>
              <w:jc w:val="center"/>
              <w:rPr>
                <w:color w:val="FFFFFF" w:themeColor="background1"/>
                <w:sz w:val="18"/>
                <w:szCs w:val="18"/>
              </w:rPr>
            </w:pPr>
            <w:r w:rsidRPr="00CA3EB7">
              <w:rPr>
                <w:color w:val="FFFFFF" w:themeColor="background1"/>
                <w:sz w:val="18"/>
                <w:szCs w:val="18"/>
              </w:rPr>
              <w:t>Total</w:t>
            </w:r>
          </w:p>
        </w:tc>
      </w:tr>
      <w:tr w:rsidR="00495B84" w:rsidRPr="00CA3EB7" w14:paraId="3A54A693" w14:textId="77777777" w:rsidTr="00073CEC">
        <w:trPr>
          <w:cnfStyle w:val="100000000000" w:firstRow="1" w:lastRow="0" w:firstColumn="0" w:lastColumn="0" w:oddVBand="0" w:evenVBand="0" w:oddHBand="0" w:evenHBand="0" w:firstRowFirstColumn="0" w:firstRowLastColumn="0" w:lastRowFirstColumn="0" w:lastRowLastColumn="0"/>
          <w:tblHeader/>
        </w:trPr>
        <w:tc>
          <w:tcPr>
            <w:tcW w:w="2565" w:type="dxa"/>
            <w:vMerge/>
            <w:tcBorders>
              <w:right w:val="single" w:sz="6" w:space="0" w:color="886E49"/>
            </w:tcBorders>
            <w:hideMark/>
          </w:tcPr>
          <w:p w14:paraId="52A960D0" w14:textId="77777777" w:rsidR="00495B84" w:rsidRPr="00CA3EB7" w:rsidRDefault="00495B84" w:rsidP="00073CEC">
            <w:pPr>
              <w:rPr>
                <w:color w:val="FFFFFF" w:themeColor="background1"/>
                <w:sz w:val="18"/>
                <w:szCs w:val="18"/>
              </w:rPr>
            </w:pPr>
          </w:p>
        </w:tc>
        <w:tc>
          <w:tcPr>
            <w:tcW w:w="2565" w:type="dxa"/>
            <w:tcBorders>
              <w:top w:val="single" w:sz="6" w:space="0" w:color="886E49"/>
              <w:left w:val="single" w:sz="6" w:space="0" w:color="886E49"/>
              <w:right w:val="single" w:sz="6" w:space="0" w:color="886E49"/>
            </w:tcBorders>
            <w:hideMark/>
          </w:tcPr>
          <w:p w14:paraId="46F3FA15" w14:textId="77777777" w:rsidR="00495B84" w:rsidRPr="00CA3EB7" w:rsidRDefault="00495B84" w:rsidP="00CA3EB7">
            <w:pPr>
              <w:pStyle w:val="NormalWeb"/>
              <w:jc w:val="center"/>
              <w:rPr>
                <w:color w:val="FFFFFF" w:themeColor="background1"/>
                <w:sz w:val="18"/>
                <w:szCs w:val="18"/>
              </w:rPr>
            </w:pPr>
            <w:r w:rsidRPr="00CA3EB7">
              <w:rPr>
                <w:color w:val="FFFFFF" w:themeColor="background1"/>
                <w:sz w:val="18"/>
                <w:szCs w:val="18"/>
              </w:rPr>
              <w:t>n (%)</w:t>
            </w:r>
          </w:p>
        </w:tc>
        <w:tc>
          <w:tcPr>
            <w:tcW w:w="2565" w:type="dxa"/>
            <w:tcBorders>
              <w:top w:val="single" w:sz="6" w:space="0" w:color="886E49"/>
              <w:left w:val="single" w:sz="6" w:space="0" w:color="886E49"/>
              <w:right w:val="single" w:sz="6" w:space="0" w:color="886E49"/>
            </w:tcBorders>
            <w:hideMark/>
          </w:tcPr>
          <w:p w14:paraId="18CDCE66" w14:textId="77777777" w:rsidR="00495B84" w:rsidRPr="00CA3EB7" w:rsidRDefault="00495B84" w:rsidP="00CA3EB7">
            <w:pPr>
              <w:pStyle w:val="NormalWeb"/>
              <w:jc w:val="center"/>
              <w:rPr>
                <w:color w:val="FFFFFF" w:themeColor="background1"/>
                <w:sz w:val="18"/>
                <w:szCs w:val="18"/>
              </w:rPr>
            </w:pPr>
            <w:r w:rsidRPr="00CA3EB7">
              <w:rPr>
                <w:color w:val="FFFFFF" w:themeColor="background1"/>
                <w:sz w:val="18"/>
                <w:szCs w:val="18"/>
              </w:rPr>
              <w:t>n (%)</w:t>
            </w:r>
          </w:p>
        </w:tc>
        <w:tc>
          <w:tcPr>
            <w:tcW w:w="2565" w:type="dxa"/>
            <w:vMerge/>
            <w:tcBorders>
              <w:left w:val="single" w:sz="6" w:space="0" w:color="886E49"/>
            </w:tcBorders>
            <w:hideMark/>
          </w:tcPr>
          <w:p w14:paraId="2A73DF92" w14:textId="77777777" w:rsidR="00495B84" w:rsidRPr="00CA3EB7" w:rsidRDefault="00495B84" w:rsidP="00CA3EB7">
            <w:pPr>
              <w:jc w:val="center"/>
              <w:rPr>
                <w:color w:val="FFFFFF" w:themeColor="background1"/>
                <w:sz w:val="18"/>
                <w:szCs w:val="18"/>
              </w:rPr>
            </w:pPr>
          </w:p>
        </w:tc>
      </w:tr>
      <w:tr w:rsidR="00495B84" w:rsidRPr="00CA3EB7" w14:paraId="54F3B267" w14:textId="77777777" w:rsidTr="00495B84">
        <w:tblPrEx>
          <w:tblCellMar>
            <w:top w:w="57" w:type="dxa"/>
            <w:left w:w="57" w:type="dxa"/>
            <w:bottom w:w="57" w:type="dxa"/>
            <w:right w:w="57" w:type="dxa"/>
          </w:tblCellMar>
        </w:tblPrEx>
        <w:tc>
          <w:tcPr>
            <w:tcW w:w="2565" w:type="dxa"/>
            <w:hideMark/>
          </w:tcPr>
          <w:p w14:paraId="5C873AA1" w14:textId="77777777" w:rsidR="006D5740" w:rsidRPr="00CA3EB7" w:rsidRDefault="006D5740" w:rsidP="00073CEC">
            <w:pPr>
              <w:pStyle w:val="NormalWeb"/>
              <w:rPr>
                <w:sz w:val="18"/>
                <w:szCs w:val="18"/>
              </w:rPr>
            </w:pPr>
            <w:r w:rsidRPr="00CA3EB7">
              <w:rPr>
                <w:sz w:val="18"/>
                <w:szCs w:val="18"/>
              </w:rPr>
              <w:t>Number of patients</w:t>
            </w:r>
          </w:p>
        </w:tc>
        <w:tc>
          <w:tcPr>
            <w:tcW w:w="2565" w:type="dxa"/>
            <w:hideMark/>
          </w:tcPr>
          <w:p w14:paraId="4AE11B8A" w14:textId="77777777" w:rsidR="006D5740" w:rsidRPr="00CA3EB7" w:rsidRDefault="006D5740" w:rsidP="00CA3EB7">
            <w:pPr>
              <w:pStyle w:val="NormalWeb"/>
              <w:jc w:val="center"/>
              <w:rPr>
                <w:sz w:val="18"/>
                <w:szCs w:val="18"/>
              </w:rPr>
            </w:pPr>
            <w:r w:rsidRPr="00CA3EB7">
              <w:rPr>
                <w:sz w:val="18"/>
                <w:szCs w:val="18"/>
              </w:rPr>
              <w:t>3,831 (92.2%)</w:t>
            </w:r>
          </w:p>
        </w:tc>
        <w:tc>
          <w:tcPr>
            <w:tcW w:w="2565" w:type="dxa"/>
            <w:hideMark/>
          </w:tcPr>
          <w:p w14:paraId="38EA49EF" w14:textId="77777777" w:rsidR="006D5740" w:rsidRPr="00CA3EB7" w:rsidRDefault="006D5740" w:rsidP="00CA3EB7">
            <w:pPr>
              <w:pStyle w:val="NormalWeb"/>
              <w:jc w:val="center"/>
              <w:rPr>
                <w:sz w:val="18"/>
                <w:szCs w:val="18"/>
              </w:rPr>
            </w:pPr>
            <w:r w:rsidRPr="00CA3EB7">
              <w:rPr>
                <w:sz w:val="18"/>
                <w:szCs w:val="18"/>
              </w:rPr>
              <w:t>323 (7.8%)</w:t>
            </w:r>
          </w:p>
        </w:tc>
        <w:tc>
          <w:tcPr>
            <w:tcW w:w="2565" w:type="dxa"/>
            <w:hideMark/>
          </w:tcPr>
          <w:p w14:paraId="0F2336A3" w14:textId="77777777" w:rsidR="006D5740" w:rsidRPr="00CA3EB7" w:rsidRDefault="006D5740" w:rsidP="00CA3EB7">
            <w:pPr>
              <w:pStyle w:val="NormalWeb"/>
              <w:jc w:val="center"/>
              <w:rPr>
                <w:sz w:val="18"/>
                <w:szCs w:val="18"/>
              </w:rPr>
            </w:pPr>
            <w:r w:rsidRPr="00CA3EB7">
              <w:rPr>
                <w:sz w:val="18"/>
                <w:szCs w:val="18"/>
              </w:rPr>
              <w:t>4,154</w:t>
            </w:r>
          </w:p>
        </w:tc>
      </w:tr>
      <w:tr w:rsidR="006D5740" w:rsidRPr="00CA3EB7" w14:paraId="2ED89E37" w14:textId="77777777" w:rsidTr="00495B84">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565" w:type="dxa"/>
            <w:hideMark/>
          </w:tcPr>
          <w:p w14:paraId="240FF32F" w14:textId="77777777" w:rsidR="006D5740" w:rsidRPr="00CA3EB7" w:rsidRDefault="006D5740" w:rsidP="00073CEC">
            <w:pPr>
              <w:pStyle w:val="NormalWeb"/>
              <w:rPr>
                <w:sz w:val="18"/>
                <w:szCs w:val="18"/>
              </w:rPr>
            </w:pPr>
            <w:r w:rsidRPr="00CA3EB7">
              <w:rPr>
                <w:sz w:val="18"/>
                <w:szCs w:val="18"/>
              </w:rPr>
              <w:t>Pregnant</w:t>
            </w:r>
          </w:p>
        </w:tc>
        <w:tc>
          <w:tcPr>
            <w:tcW w:w="2565" w:type="dxa"/>
            <w:hideMark/>
          </w:tcPr>
          <w:p w14:paraId="12F11CC8" w14:textId="77777777" w:rsidR="006D5740" w:rsidRPr="00CA3EB7" w:rsidRDefault="006D5740" w:rsidP="00CA3EB7">
            <w:pPr>
              <w:pStyle w:val="NormalWeb"/>
              <w:jc w:val="center"/>
              <w:rPr>
                <w:sz w:val="18"/>
                <w:szCs w:val="18"/>
              </w:rPr>
            </w:pPr>
            <w:r w:rsidRPr="00CA3EB7">
              <w:rPr>
                <w:sz w:val="18"/>
                <w:szCs w:val="18"/>
              </w:rPr>
              <w:t>64 (92.8%)</w:t>
            </w:r>
          </w:p>
        </w:tc>
        <w:tc>
          <w:tcPr>
            <w:tcW w:w="2565" w:type="dxa"/>
            <w:hideMark/>
          </w:tcPr>
          <w:p w14:paraId="46E9DBCE" w14:textId="77777777" w:rsidR="006D5740" w:rsidRPr="00CA3EB7" w:rsidRDefault="006D5740" w:rsidP="00CA3EB7">
            <w:pPr>
              <w:pStyle w:val="NormalWeb"/>
              <w:jc w:val="center"/>
              <w:rPr>
                <w:sz w:val="18"/>
                <w:szCs w:val="18"/>
              </w:rPr>
            </w:pPr>
            <w:r w:rsidRPr="00CA3EB7">
              <w:rPr>
                <w:sz w:val="18"/>
                <w:szCs w:val="18"/>
              </w:rPr>
              <w:t>5 (7.2%)</w:t>
            </w:r>
          </w:p>
        </w:tc>
        <w:tc>
          <w:tcPr>
            <w:tcW w:w="2565" w:type="dxa"/>
            <w:hideMark/>
          </w:tcPr>
          <w:p w14:paraId="14A23BB0" w14:textId="6A6396B0" w:rsidR="006D5740" w:rsidRPr="00CA3EB7" w:rsidRDefault="006D5740" w:rsidP="00CA3EB7">
            <w:pPr>
              <w:pStyle w:val="NormalWeb"/>
              <w:jc w:val="center"/>
              <w:rPr>
                <w:sz w:val="18"/>
                <w:szCs w:val="18"/>
              </w:rPr>
            </w:pPr>
            <w:r w:rsidRPr="00CA3EB7">
              <w:rPr>
                <w:sz w:val="18"/>
                <w:szCs w:val="18"/>
              </w:rPr>
              <w:t>69</w:t>
            </w:r>
          </w:p>
        </w:tc>
      </w:tr>
      <w:tr w:rsidR="00495B84" w:rsidRPr="00CA3EB7" w14:paraId="35D17F6E" w14:textId="77777777" w:rsidTr="00495B84">
        <w:tblPrEx>
          <w:tblCellMar>
            <w:top w:w="57" w:type="dxa"/>
            <w:left w:w="57" w:type="dxa"/>
            <w:bottom w:w="57" w:type="dxa"/>
            <w:right w:w="57" w:type="dxa"/>
          </w:tblCellMar>
        </w:tblPrEx>
        <w:tc>
          <w:tcPr>
            <w:tcW w:w="2565" w:type="dxa"/>
            <w:hideMark/>
          </w:tcPr>
          <w:p w14:paraId="473A5E33" w14:textId="77777777" w:rsidR="006D5740" w:rsidRPr="00CA3EB7" w:rsidRDefault="006D5740" w:rsidP="00073CEC">
            <w:pPr>
              <w:pStyle w:val="NormalWeb"/>
              <w:rPr>
                <w:sz w:val="18"/>
                <w:szCs w:val="18"/>
              </w:rPr>
            </w:pPr>
            <w:r w:rsidRPr="00CA3EB7">
              <w:rPr>
                <w:sz w:val="18"/>
                <w:szCs w:val="18"/>
              </w:rPr>
              <w:t>Chronic comorbidities</w:t>
            </w:r>
          </w:p>
        </w:tc>
        <w:tc>
          <w:tcPr>
            <w:tcW w:w="2565" w:type="dxa"/>
            <w:hideMark/>
          </w:tcPr>
          <w:p w14:paraId="253CA98A" w14:textId="77777777" w:rsidR="006D5740" w:rsidRPr="00CA3EB7" w:rsidRDefault="006D5740" w:rsidP="00CA3EB7">
            <w:pPr>
              <w:pStyle w:val="NormalWeb"/>
              <w:jc w:val="center"/>
              <w:rPr>
                <w:sz w:val="18"/>
                <w:szCs w:val="18"/>
              </w:rPr>
            </w:pPr>
            <w:r w:rsidRPr="00CA3EB7">
              <w:rPr>
                <w:sz w:val="18"/>
                <w:szCs w:val="18"/>
              </w:rPr>
              <w:t>2,762 (91.4%)</w:t>
            </w:r>
          </w:p>
        </w:tc>
        <w:tc>
          <w:tcPr>
            <w:tcW w:w="2565" w:type="dxa"/>
            <w:hideMark/>
          </w:tcPr>
          <w:p w14:paraId="2340D2E6" w14:textId="77777777" w:rsidR="006D5740" w:rsidRPr="00CA3EB7" w:rsidRDefault="006D5740" w:rsidP="00CA3EB7">
            <w:pPr>
              <w:pStyle w:val="NormalWeb"/>
              <w:jc w:val="center"/>
              <w:rPr>
                <w:sz w:val="18"/>
                <w:szCs w:val="18"/>
              </w:rPr>
            </w:pPr>
            <w:r w:rsidRPr="00CA3EB7">
              <w:rPr>
                <w:sz w:val="18"/>
                <w:szCs w:val="18"/>
              </w:rPr>
              <w:t>261 (8.6%)</w:t>
            </w:r>
          </w:p>
        </w:tc>
        <w:tc>
          <w:tcPr>
            <w:tcW w:w="2565" w:type="dxa"/>
            <w:hideMark/>
          </w:tcPr>
          <w:p w14:paraId="08E78B23" w14:textId="0998DF45" w:rsidR="006D5740" w:rsidRPr="00CA3EB7" w:rsidRDefault="006D5740" w:rsidP="00CA3EB7">
            <w:pPr>
              <w:pStyle w:val="NormalWeb"/>
              <w:jc w:val="center"/>
              <w:rPr>
                <w:sz w:val="18"/>
                <w:szCs w:val="18"/>
              </w:rPr>
            </w:pPr>
            <w:r w:rsidRPr="00CA3EB7">
              <w:rPr>
                <w:sz w:val="18"/>
                <w:szCs w:val="18"/>
              </w:rPr>
              <w:t>3,023</w:t>
            </w:r>
          </w:p>
        </w:tc>
      </w:tr>
      <w:tr w:rsidR="006D5740" w:rsidRPr="00CA3EB7" w14:paraId="1B9B2356" w14:textId="77777777" w:rsidTr="00495B84">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565" w:type="dxa"/>
            <w:hideMark/>
          </w:tcPr>
          <w:p w14:paraId="41125DE7" w14:textId="77777777" w:rsidR="006D5740" w:rsidRPr="00CA3EB7" w:rsidRDefault="006D5740" w:rsidP="00073CEC">
            <w:pPr>
              <w:pStyle w:val="NormalWeb"/>
              <w:rPr>
                <w:sz w:val="18"/>
                <w:szCs w:val="18"/>
              </w:rPr>
            </w:pPr>
            <w:r w:rsidRPr="00CA3EB7">
              <w:rPr>
                <w:sz w:val="18"/>
                <w:szCs w:val="18"/>
              </w:rPr>
              <w:t>Chronic respiratory illness</w:t>
            </w:r>
          </w:p>
        </w:tc>
        <w:tc>
          <w:tcPr>
            <w:tcW w:w="2565" w:type="dxa"/>
            <w:hideMark/>
          </w:tcPr>
          <w:p w14:paraId="78A93092" w14:textId="77777777" w:rsidR="006D5740" w:rsidRPr="00CA3EB7" w:rsidRDefault="006D5740" w:rsidP="00CA3EB7">
            <w:pPr>
              <w:pStyle w:val="NormalWeb"/>
              <w:jc w:val="center"/>
              <w:rPr>
                <w:sz w:val="18"/>
                <w:szCs w:val="18"/>
              </w:rPr>
            </w:pPr>
            <w:r w:rsidRPr="00CA3EB7">
              <w:rPr>
                <w:sz w:val="18"/>
                <w:szCs w:val="18"/>
              </w:rPr>
              <w:t>1,150 (90.3%)</w:t>
            </w:r>
          </w:p>
        </w:tc>
        <w:tc>
          <w:tcPr>
            <w:tcW w:w="2565" w:type="dxa"/>
            <w:hideMark/>
          </w:tcPr>
          <w:p w14:paraId="0DB94016" w14:textId="77777777" w:rsidR="006D5740" w:rsidRPr="00CA3EB7" w:rsidRDefault="006D5740" w:rsidP="00CA3EB7">
            <w:pPr>
              <w:pStyle w:val="NormalWeb"/>
              <w:jc w:val="center"/>
              <w:rPr>
                <w:sz w:val="18"/>
                <w:szCs w:val="18"/>
              </w:rPr>
            </w:pPr>
            <w:r w:rsidRPr="00CA3EB7">
              <w:rPr>
                <w:sz w:val="18"/>
                <w:szCs w:val="18"/>
              </w:rPr>
              <w:t>123 (9.7%)</w:t>
            </w:r>
          </w:p>
        </w:tc>
        <w:tc>
          <w:tcPr>
            <w:tcW w:w="2565" w:type="dxa"/>
            <w:hideMark/>
          </w:tcPr>
          <w:p w14:paraId="16DC46F7" w14:textId="48BA0646" w:rsidR="006D5740" w:rsidRPr="00CA3EB7" w:rsidRDefault="006D5740" w:rsidP="00CA3EB7">
            <w:pPr>
              <w:pStyle w:val="NormalWeb"/>
              <w:jc w:val="center"/>
              <w:rPr>
                <w:sz w:val="18"/>
                <w:szCs w:val="18"/>
              </w:rPr>
            </w:pPr>
            <w:r w:rsidRPr="00CA3EB7">
              <w:rPr>
                <w:sz w:val="18"/>
                <w:szCs w:val="18"/>
              </w:rPr>
              <w:t>1,273</w:t>
            </w:r>
          </w:p>
        </w:tc>
      </w:tr>
      <w:tr w:rsidR="00495B84" w:rsidRPr="00CA3EB7" w14:paraId="0859CA6A" w14:textId="77777777" w:rsidTr="00495B84">
        <w:tblPrEx>
          <w:tblCellMar>
            <w:top w:w="57" w:type="dxa"/>
            <w:left w:w="57" w:type="dxa"/>
            <w:bottom w:w="57" w:type="dxa"/>
            <w:right w:w="57" w:type="dxa"/>
          </w:tblCellMar>
        </w:tblPrEx>
        <w:tc>
          <w:tcPr>
            <w:tcW w:w="2565" w:type="dxa"/>
            <w:hideMark/>
          </w:tcPr>
          <w:p w14:paraId="29A75729" w14:textId="77777777" w:rsidR="006D5740" w:rsidRPr="00CA3EB7" w:rsidRDefault="006D5740" w:rsidP="00073CEC">
            <w:pPr>
              <w:pStyle w:val="NormalWeb"/>
              <w:rPr>
                <w:sz w:val="18"/>
                <w:szCs w:val="18"/>
              </w:rPr>
            </w:pPr>
            <w:r w:rsidRPr="00CA3EB7">
              <w:rPr>
                <w:sz w:val="18"/>
                <w:szCs w:val="18"/>
              </w:rPr>
              <w:t>Diabetes</w:t>
            </w:r>
          </w:p>
        </w:tc>
        <w:tc>
          <w:tcPr>
            <w:tcW w:w="2565" w:type="dxa"/>
            <w:hideMark/>
          </w:tcPr>
          <w:p w14:paraId="13C78D39" w14:textId="77777777" w:rsidR="006D5740" w:rsidRPr="00CA3EB7" w:rsidRDefault="006D5740" w:rsidP="00CA3EB7">
            <w:pPr>
              <w:pStyle w:val="NormalWeb"/>
              <w:jc w:val="center"/>
              <w:rPr>
                <w:sz w:val="18"/>
                <w:szCs w:val="18"/>
              </w:rPr>
            </w:pPr>
            <w:r w:rsidRPr="00CA3EB7">
              <w:rPr>
                <w:sz w:val="18"/>
                <w:szCs w:val="18"/>
              </w:rPr>
              <w:t>746 (90.5%)</w:t>
            </w:r>
          </w:p>
        </w:tc>
        <w:tc>
          <w:tcPr>
            <w:tcW w:w="2565" w:type="dxa"/>
            <w:hideMark/>
          </w:tcPr>
          <w:p w14:paraId="69818890" w14:textId="77777777" w:rsidR="006D5740" w:rsidRPr="00CA3EB7" w:rsidRDefault="006D5740" w:rsidP="00CA3EB7">
            <w:pPr>
              <w:pStyle w:val="NormalWeb"/>
              <w:jc w:val="center"/>
              <w:rPr>
                <w:sz w:val="18"/>
                <w:szCs w:val="18"/>
              </w:rPr>
            </w:pPr>
            <w:r w:rsidRPr="00CA3EB7">
              <w:rPr>
                <w:sz w:val="18"/>
                <w:szCs w:val="18"/>
              </w:rPr>
              <w:t>78 (9.5%)</w:t>
            </w:r>
          </w:p>
        </w:tc>
        <w:tc>
          <w:tcPr>
            <w:tcW w:w="2565" w:type="dxa"/>
            <w:hideMark/>
          </w:tcPr>
          <w:p w14:paraId="2960F9BF" w14:textId="238F8BB7" w:rsidR="006D5740" w:rsidRPr="00CA3EB7" w:rsidRDefault="006D5740" w:rsidP="00CA3EB7">
            <w:pPr>
              <w:pStyle w:val="NormalWeb"/>
              <w:jc w:val="center"/>
              <w:rPr>
                <w:sz w:val="18"/>
                <w:szCs w:val="18"/>
              </w:rPr>
            </w:pPr>
            <w:r w:rsidRPr="00CA3EB7">
              <w:rPr>
                <w:sz w:val="18"/>
                <w:szCs w:val="18"/>
              </w:rPr>
              <w:t>824</w:t>
            </w:r>
          </w:p>
        </w:tc>
      </w:tr>
      <w:tr w:rsidR="006D5740" w:rsidRPr="00CA3EB7" w14:paraId="08519551" w14:textId="77777777" w:rsidTr="00495B84">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565" w:type="dxa"/>
            <w:hideMark/>
          </w:tcPr>
          <w:p w14:paraId="77B6F68F" w14:textId="77777777" w:rsidR="006D5740" w:rsidRPr="00CA3EB7" w:rsidRDefault="006D5740" w:rsidP="00073CEC">
            <w:pPr>
              <w:pStyle w:val="NormalWeb"/>
              <w:rPr>
                <w:sz w:val="18"/>
                <w:szCs w:val="18"/>
              </w:rPr>
            </w:pPr>
            <w:r w:rsidRPr="00CA3EB7">
              <w:rPr>
                <w:sz w:val="18"/>
                <w:szCs w:val="18"/>
              </w:rPr>
              <w:t>Chronic liver disease</w:t>
            </w:r>
          </w:p>
        </w:tc>
        <w:tc>
          <w:tcPr>
            <w:tcW w:w="2565" w:type="dxa"/>
            <w:hideMark/>
          </w:tcPr>
          <w:p w14:paraId="411DB2AD" w14:textId="77777777" w:rsidR="006D5740" w:rsidRPr="00CA3EB7" w:rsidRDefault="006D5740" w:rsidP="00CA3EB7">
            <w:pPr>
              <w:pStyle w:val="NormalWeb"/>
              <w:jc w:val="center"/>
              <w:rPr>
                <w:sz w:val="18"/>
                <w:szCs w:val="18"/>
              </w:rPr>
            </w:pPr>
            <w:r w:rsidRPr="00CA3EB7">
              <w:rPr>
                <w:sz w:val="18"/>
                <w:szCs w:val="18"/>
              </w:rPr>
              <w:t>163 (88.1%)</w:t>
            </w:r>
          </w:p>
        </w:tc>
        <w:tc>
          <w:tcPr>
            <w:tcW w:w="2565" w:type="dxa"/>
            <w:hideMark/>
          </w:tcPr>
          <w:p w14:paraId="2B5C71E3" w14:textId="77777777" w:rsidR="006D5740" w:rsidRPr="00CA3EB7" w:rsidRDefault="006D5740" w:rsidP="00CA3EB7">
            <w:pPr>
              <w:pStyle w:val="NormalWeb"/>
              <w:jc w:val="center"/>
              <w:rPr>
                <w:sz w:val="18"/>
                <w:szCs w:val="18"/>
              </w:rPr>
            </w:pPr>
            <w:r w:rsidRPr="00CA3EB7">
              <w:rPr>
                <w:sz w:val="18"/>
                <w:szCs w:val="18"/>
              </w:rPr>
              <w:t>22 (11.9%)</w:t>
            </w:r>
          </w:p>
        </w:tc>
        <w:tc>
          <w:tcPr>
            <w:tcW w:w="2565" w:type="dxa"/>
            <w:hideMark/>
          </w:tcPr>
          <w:p w14:paraId="1489DF8B" w14:textId="54EFAE9E" w:rsidR="006D5740" w:rsidRPr="00CA3EB7" w:rsidRDefault="006D5740" w:rsidP="00CA3EB7">
            <w:pPr>
              <w:pStyle w:val="NormalWeb"/>
              <w:jc w:val="center"/>
              <w:rPr>
                <w:sz w:val="18"/>
                <w:szCs w:val="18"/>
              </w:rPr>
            </w:pPr>
            <w:r w:rsidRPr="00CA3EB7">
              <w:rPr>
                <w:sz w:val="18"/>
                <w:szCs w:val="18"/>
              </w:rPr>
              <w:t>185</w:t>
            </w:r>
          </w:p>
        </w:tc>
      </w:tr>
      <w:tr w:rsidR="00495B84" w:rsidRPr="00CA3EB7" w14:paraId="28468A9D" w14:textId="77777777" w:rsidTr="00495B84">
        <w:tblPrEx>
          <w:tblCellMar>
            <w:top w:w="57" w:type="dxa"/>
            <w:left w:w="57" w:type="dxa"/>
            <w:bottom w:w="57" w:type="dxa"/>
            <w:right w:w="57" w:type="dxa"/>
          </w:tblCellMar>
        </w:tblPrEx>
        <w:tc>
          <w:tcPr>
            <w:tcW w:w="2565" w:type="dxa"/>
            <w:hideMark/>
          </w:tcPr>
          <w:p w14:paraId="3CD9F248" w14:textId="77777777" w:rsidR="006D5740" w:rsidRPr="00CA3EB7" w:rsidRDefault="006D5740" w:rsidP="00073CEC">
            <w:pPr>
              <w:pStyle w:val="NormalWeb"/>
              <w:rPr>
                <w:sz w:val="18"/>
                <w:szCs w:val="18"/>
              </w:rPr>
            </w:pPr>
            <w:r w:rsidRPr="00CA3EB7">
              <w:rPr>
                <w:sz w:val="18"/>
                <w:szCs w:val="18"/>
              </w:rPr>
              <w:t>Immunosuppressed</w:t>
            </w:r>
          </w:p>
        </w:tc>
        <w:tc>
          <w:tcPr>
            <w:tcW w:w="2565" w:type="dxa"/>
            <w:hideMark/>
          </w:tcPr>
          <w:p w14:paraId="1030944B" w14:textId="77777777" w:rsidR="006D5740" w:rsidRPr="00CA3EB7" w:rsidRDefault="006D5740" w:rsidP="00CA3EB7">
            <w:pPr>
              <w:pStyle w:val="NormalWeb"/>
              <w:jc w:val="center"/>
              <w:rPr>
                <w:sz w:val="18"/>
                <w:szCs w:val="18"/>
              </w:rPr>
            </w:pPr>
            <w:r w:rsidRPr="00CA3EB7">
              <w:rPr>
                <w:sz w:val="18"/>
                <w:szCs w:val="18"/>
              </w:rPr>
              <w:t>572 (91.8%)</w:t>
            </w:r>
          </w:p>
        </w:tc>
        <w:tc>
          <w:tcPr>
            <w:tcW w:w="2565" w:type="dxa"/>
            <w:hideMark/>
          </w:tcPr>
          <w:p w14:paraId="32B5B672" w14:textId="77777777" w:rsidR="006D5740" w:rsidRPr="00CA3EB7" w:rsidRDefault="006D5740" w:rsidP="00CA3EB7">
            <w:pPr>
              <w:pStyle w:val="NormalWeb"/>
              <w:jc w:val="center"/>
              <w:rPr>
                <w:sz w:val="18"/>
                <w:szCs w:val="18"/>
              </w:rPr>
            </w:pPr>
            <w:r w:rsidRPr="00CA3EB7">
              <w:rPr>
                <w:sz w:val="18"/>
                <w:szCs w:val="18"/>
              </w:rPr>
              <w:t>51 (8.2%)</w:t>
            </w:r>
          </w:p>
        </w:tc>
        <w:tc>
          <w:tcPr>
            <w:tcW w:w="2565" w:type="dxa"/>
            <w:hideMark/>
          </w:tcPr>
          <w:p w14:paraId="00250BE9" w14:textId="0A0AB3A6" w:rsidR="006D5740" w:rsidRPr="00CA3EB7" w:rsidRDefault="006D5740" w:rsidP="00CA3EB7">
            <w:pPr>
              <w:pStyle w:val="NormalWeb"/>
              <w:jc w:val="center"/>
              <w:rPr>
                <w:sz w:val="18"/>
                <w:szCs w:val="18"/>
              </w:rPr>
            </w:pPr>
            <w:r w:rsidRPr="00CA3EB7">
              <w:rPr>
                <w:sz w:val="18"/>
                <w:szCs w:val="18"/>
              </w:rPr>
              <w:t>623</w:t>
            </w:r>
          </w:p>
        </w:tc>
      </w:tr>
      <w:tr w:rsidR="006D5740" w:rsidRPr="00CA3EB7" w14:paraId="4AC1C7BE" w14:textId="77777777" w:rsidTr="00495B84">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565" w:type="dxa"/>
            <w:hideMark/>
          </w:tcPr>
          <w:p w14:paraId="35407FE1" w14:textId="77777777" w:rsidR="006D5740" w:rsidRPr="00CA3EB7" w:rsidRDefault="006D5740" w:rsidP="00073CEC">
            <w:pPr>
              <w:pStyle w:val="NormalWeb"/>
              <w:rPr>
                <w:sz w:val="18"/>
                <w:szCs w:val="18"/>
              </w:rPr>
            </w:pPr>
            <w:r w:rsidRPr="00CA3EB7">
              <w:rPr>
                <w:sz w:val="18"/>
                <w:szCs w:val="18"/>
              </w:rPr>
              <w:t>Malignancy</w:t>
            </w:r>
          </w:p>
        </w:tc>
        <w:tc>
          <w:tcPr>
            <w:tcW w:w="2565" w:type="dxa"/>
            <w:hideMark/>
          </w:tcPr>
          <w:p w14:paraId="0676B09C" w14:textId="77777777" w:rsidR="006D5740" w:rsidRPr="00CA3EB7" w:rsidRDefault="006D5740" w:rsidP="00CA3EB7">
            <w:pPr>
              <w:pStyle w:val="NormalWeb"/>
              <w:jc w:val="center"/>
              <w:rPr>
                <w:sz w:val="18"/>
                <w:szCs w:val="18"/>
              </w:rPr>
            </w:pPr>
            <w:r w:rsidRPr="00CA3EB7">
              <w:rPr>
                <w:sz w:val="18"/>
                <w:szCs w:val="18"/>
              </w:rPr>
              <w:t>337 (92.3%)</w:t>
            </w:r>
          </w:p>
        </w:tc>
        <w:tc>
          <w:tcPr>
            <w:tcW w:w="2565" w:type="dxa"/>
            <w:hideMark/>
          </w:tcPr>
          <w:p w14:paraId="12620A4B" w14:textId="77777777" w:rsidR="006D5740" w:rsidRPr="00CA3EB7" w:rsidRDefault="006D5740" w:rsidP="00CA3EB7">
            <w:pPr>
              <w:pStyle w:val="NormalWeb"/>
              <w:jc w:val="center"/>
              <w:rPr>
                <w:sz w:val="18"/>
                <w:szCs w:val="18"/>
              </w:rPr>
            </w:pPr>
            <w:r w:rsidRPr="00CA3EB7">
              <w:rPr>
                <w:sz w:val="18"/>
                <w:szCs w:val="18"/>
              </w:rPr>
              <w:t>28 (7.7%)</w:t>
            </w:r>
          </w:p>
        </w:tc>
        <w:tc>
          <w:tcPr>
            <w:tcW w:w="2565" w:type="dxa"/>
            <w:hideMark/>
          </w:tcPr>
          <w:p w14:paraId="5631ACDF" w14:textId="579AAF62" w:rsidR="006D5740" w:rsidRPr="00CA3EB7" w:rsidRDefault="006D5740" w:rsidP="00CA3EB7">
            <w:pPr>
              <w:pStyle w:val="NormalWeb"/>
              <w:jc w:val="center"/>
              <w:rPr>
                <w:sz w:val="18"/>
                <w:szCs w:val="18"/>
              </w:rPr>
            </w:pPr>
            <w:r w:rsidRPr="00CA3EB7">
              <w:rPr>
                <w:sz w:val="18"/>
                <w:szCs w:val="18"/>
              </w:rPr>
              <w:t>365</w:t>
            </w:r>
          </w:p>
        </w:tc>
      </w:tr>
      <w:tr w:rsidR="00495B84" w:rsidRPr="00CA3EB7" w14:paraId="4F47A238" w14:textId="77777777" w:rsidTr="00495B84">
        <w:tblPrEx>
          <w:tblCellMar>
            <w:top w:w="57" w:type="dxa"/>
            <w:left w:w="57" w:type="dxa"/>
            <w:bottom w:w="57" w:type="dxa"/>
            <w:right w:w="57" w:type="dxa"/>
          </w:tblCellMar>
        </w:tblPrEx>
        <w:tc>
          <w:tcPr>
            <w:tcW w:w="2565" w:type="dxa"/>
            <w:hideMark/>
          </w:tcPr>
          <w:p w14:paraId="0718B0F9" w14:textId="77777777" w:rsidR="006D5740" w:rsidRPr="00CA3EB7" w:rsidRDefault="006D5740" w:rsidP="00073CEC">
            <w:pPr>
              <w:pStyle w:val="NormalWeb"/>
              <w:rPr>
                <w:sz w:val="18"/>
                <w:szCs w:val="18"/>
              </w:rPr>
            </w:pPr>
            <w:r w:rsidRPr="00CA3EB7">
              <w:rPr>
                <w:sz w:val="18"/>
                <w:szCs w:val="18"/>
              </w:rPr>
              <w:t>Chronic cardiac disease</w:t>
            </w:r>
          </w:p>
        </w:tc>
        <w:tc>
          <w:tcPr>
            <w:tcW w:w="2565" w:type="dxa"/>
            <w:hideMark/>
          </w:tcPr>
          <w:p w14:paraId="5949F7FA" w14:textId="77777777" w:rsidR="006D5740" w:rsidRPr="00CA3EB7" w:rsidRDefault="006D5740" w:rsidP="00CA3EB7">
            <w:pPr>
              <w:pStyle w:val="NormalWeb"/>
              <w:jc w:val="center"/>
              <w:rPr>
                <w:sz w:val="18"/>
                <w:szCs w:val="18"/>
              </w:rPr>
            </w:pPr>
            <w:r w:rsidRPr="00CA3EB7">
              <w:rPr>
                <w:sz w:val="18"/>
                <w:szCs w:val="18"/>
              </w:rPr>
              <w:t>1,119 (90.2%)</w:t>
            </w:r>
          </w:p>
        </w:tc>
        <w:tc>
          <w:tcPr>
            <w:tcW w:w="2565" w:type="dxa"/>
            <w:hideMark/>
          </w:tcPr>
          <w:p w14:paraId="05BB2284" w14:textId="77777777" w:rsidR="006D5740" w:rsidRPr="00CA3EB7" w:rsidRDefault="006D5740" w:rsidP="00CA3EB7">
            <w:pPr>
              <w:pStyle w:val="NormalWeb"/>
              <w:jc w:val="center"/>
              <w:rPr>
                <w:sz w:val="18"/>
                <w:szCs w:val="18"/>
              </w:rPr>
            </w:pPr>
            <w:r w:rsidRPr="00CA3EB7">
              <w:rPr>
                <w:sz w:val="18"/>
                <w:szCs w:val="18"/>
              </w:rPr>
              <w:t>121 (9.8%)</w:t>
            </w:r>
          </w:p>
        </w:tc>
        <w:tc>
          <w:tcPr>
            <w:tcW w:w="2565" w:type="dxa"/>
            <w:hideMark/>
          </w:tcPr>
          <w:p w14:paraId="7727DC9E" w14:textId="644738C3" w:rsidR="006D5740" w:rsidRPr="00CA3EB7" w:rsidRDefault="006D5740" w:rsidP="00CA3EB7">
            <w:pPr>
              <w:pStyle w:val="NormalWeb"/>
              <w:jc w:val="center"/>
              <w:rPr>
                <w:sz w:val="18"/>
                <w:szCs w:val="18"/>
              </w:rPr>
            </w:pPr>
            <w:r w:rsidRPr="00CA3EB7">
              <w:rPr>
                <w:sz w:val="18"/>
                <w:szCs w:val="18"/>
              </w:rPr>
              <w:t>1,240</w:t>
            </w:r>
          </w:p>
        </w:tc>
      </w:tr>
      <w:tr w:rsidR="006D5740" w:rsidRPr="00CA3EB7" w14:paraId="6B4FFD8D" w14:textId="77777777" w:rsidTr="00495B84">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565" w:type="dxa"/>
            <w:hideMark/>
          </w:tcPr>
          <w:p w14:paraId="0A270BE6" w14:textId="77777777" w:rsidR="006D5740" w:rsidRPr="00CA3EB7" w:rsidRDefault="006D5740" w:rsidP="00073CEC">
            <w:pPr>
              <w:pStyle w:val="NormalWeb"/>
              <w:rPr>
                <w:sz w:val="18"/>
                <w:szCs w:val="18"/>
              </w:rPr>
            </w:pPr>
            <w:r w:rsidRPr="00CA3EB7">
              <w:rPr>
                <w:sz w:val="18"/>
                <w:szCs w:val="18"/>
              </w:rPr>
              <w:t>Obesity</w:t>
            </w:r>
          </w:p>
        </w:tc>
        <w:tc>
          <w:tcPr>
            <w:tcW w:w="2565" w:type="dxa"/>
            <w:hideMark/>
          </w:tcPr>
          <w:p w14:paraId="170029F5" w14:textId="77777777" w:rsidR="006D5740" w:rsidRPr="00CA3EB7" w:rsidRDefault="006D5740" w:rsidP="00CA3EB7">
            <w:pPr>
              <w:pStyle w:val="NormalWeb"/>
              <w:jc w:val="center"/>
              <w:rPr>
                <w:sz w:val="18"/>
                <w:szCs w:val="18"/>
              </w:rPr>
            </w:pPr>
            <w:r w:rsidRPr="00CA3EB7">
              <w:rPr>
                <w:sz w:val="18"/>
                <w:szCs w:val="18"/>
              </w:rPr>
              <w:t>341 (86.5%)</w:t>
            </w:r>
          </w:p>
        </w:tc>
        <w:tc>
          <w:tcPr>
            <w:tcW w:w="2565" w:type="dxa"/>
            <w:hideMark/>
          </w:tcPr>
          <w:p w14:paraId="7C5666B4" w14:textId="77777777" w:rsidR="006D5740" w:rsidRPr="00CA3EB7" w:rsidRDefault="006D5740" w:rsidP="00CA3EB7">
            <w:pPr>
              <w:pStyle w:val="NormalWeb"/>
              <w:jc w:val="center"/>
              <w:rPr>
                <w:sz w:val="18"/>
                <w:szCs w:val="18"/>
              </w:rPr>
            </w:pPr>
            <w:r w:rsidRPr="00CA3EB7">
              <w:rPr>
                <w:sz w:val="18"/>
                <w:szCs w:val="18"/>
              </w:rPr>
              <w:t>53 (13.5%)</w:t>
            </w:r>
          </w:p>
        </w:tc>
        <w:tc>
          <w:tcPr>
            <w:tcW w:w="2565" w:type="dxa"/>
            <w:hideMark/>
          </w:tcPr>
          <w:p w14:paraId="19AF0B44" w14:textId="1B597BD7" w:rsidR="006D5740" w:rsidRPr="00CA3EB7" w:rsidRDefault="006D5740" w:rsidP="00CA3EB7">
            <w:pPr>
              <w:pStyle w:val="NormalWeb"/>
              <w:jc w:val="center"/>
              <w:rPr>
                <w:sz w:val="18"/>
                <w:szCs w:val="18"/>
              </w:rPr>
            </w:pPr>
            <w:r w:rsidRPr="00CA3EB7">
              <w:rPr>
                <w:sz w:val="18"/>
                <w:szCs w:val="18"/>
              </w:rPr>
              <w:t>394</w:t>
            </w:r>
          </w:p>
        </w:tc>
      </w:tr>
      <w:tr w:rsidR="00495B84" w:rsidRPr="00CA3EB7" w14:paraId="79E617F3" w14:textId="77777777" w:rsidTr="00495B84">
        <w:tblPrEx>
          <w:tblCellMar>
            <w:top w:w="57" w:type="dxa"/>
            <w:left w:w="57" w:type="dxa"/>
            <w:bottom w:w="57" w:type="dxa"/>
            <w:right w:w="57" w:type="dxa"/>
          </w:tblCellMar>
        </w:tblPrEx>
        <w:tc>
          <w:tcPr>
            <w:tcW w:w="2565" w:type="dxa"/>
            <w:hideMark/>
          </w:tcPr>
          <w:p w14:paraId="76BEFFDB" w14:textId="77777777" w:rsidR="006D5740" w:rsidRPr="00CA3EB7" w:rsidRDefault="006D5740" w:rsidP="00073CEC">
            <w:pPr>
              <w:pStyle w:val="NormalWeb"/>
              <w:rPr>
                <w:sz w:val="18"/>
                <w:szCs w:val="18"/>
              </w:rPr>
            </w:pPr>
            <w:r w:rsidRPr="00CA3EB7">
              <w:rPr>
                <w:sz w:val="18"/>
                <w:szCs w:val="18"/>
              </w:rPr>
              <w:t>Chronic neurological illness</w:t>
            </w:r>
          </w:p>
        </w:tc>
        <w:tc>
          <w:tcPr>
            <w:tcW w:w="2565" w:type="dxa"/>
            <w:hideMark/>
          </w:tcPr>
          <w:p w14:paraId="186A7BA8" w14:textId="77777777" w:rsidR="006D5740" w:rsidRPr="00CA3EB7" w:rsidRDefault="006D5740" w:rsidP="00CA3EB7">
            <w:pPr>
              <w:pStyle w:val="NormalWeb"/>
              <w:jc w:val="center"/>
              <w:rPr>
                <w:sz w:val="18"/>
                <w:szCs w:val="18"/>
              </w:rPr>
            </w:pPr>
            <w:r w:rsidRPr="00CA3EB7">
              <w:rPr>
                <w:sz w:val="18"/>
                <w:szCs w:val="18"/>
              </w:rPr>
              <w:t>728 (91.7%)</w:t>
            </w:r>
          </w:p>
        </w:tc>
        <w:tc>
          <w:tcPr>
            <w:tcW w:w="2565" w:type="dxa"/>
            <w:hideMark/>
          </w:tcPr>
          <w:p w14:paraId="4816A2B0" w14:textId="77777777" w:rsidR="006D5740" w:rsidRPr="00CA3EB7" w:rsidRDefault="006D5740" w:rsidP="00CA3EB7">
            <w:pPr>
              <w:pStyle w:val="NormalWeb"/>
              <w:jc w:val="center"/>
              <w:rPr>
                <w:sz w:val="18"/>
                <w:szCs w:val="18"/>
              </w:rPr>
            </w:pPr>
            <w:r w:rsidRPr="00CA3EB7">
              <w:rPr>
                <w:sz w:val="18"/>
                <w:szCs w:val="18"/>
              </w:rPr>
              <w:t>66 (8.3%)</w:t>
            </w:r>
          </w:p>
        </w:tc>
        <w:tc>
          <w:tcPr>
            <w:tcW w:w="2565" w:type="dxa"/>
            <w:hideMark/>
          </w:tcPr>
          <w:p w14:paraId="276C1ECB" w14:textId="52F0A944" w:rsidR="006D5740" w:rsidRPr="00CA3EB7" w:rsidRDefault="006D5740" w:rsidP="00CA3EB7">
            <w:pPr>
              <w:pStyle w:val="NormalWeb"/>
              <w:jc w:val="center"/>
              <w:rPr>
                <w:sz w:val="18"/>
                <w:szCs w:val="18"/>
              </w:rPr>
            </w:pPr>
            <w:r w:rsidRPr="00CA3EB7">
              <w:rPr>
                <w:sz w:val="18"/>
                <w:szCs w:val="18"/>
              </w:rPr>
              <w:t>794</w:t>
            </w:r>
          </w:p>
        </w:tc>
      </w:tr>
      <w:tr w:rsidR="006D5740" w:rsidRPr="00CA3EB7" w14:paraId="5CBFFD62" w14:textId="77777777" w:rsidTr="00495B84">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565" w:type="dxa"/>
            <w:hideMark/>
          </w:tcPr>
          <w:p w14:paraId="0B31CD0D" w14:textId="77777777" w:rsidR="006D5740" w:rsidRPr="00CA3EB7" w:rsidRDefault="006D5740" w:rsidP="00073CEC">
            <w:pPr>
              <w:pStyle w:val="NormalWeb"/>
              <w:rPr>
                <w:sz w:val="18"/>
                <w:szCs w:val="18"/>
              </w:rPr>
            </w:pPr>
            <w:r w:rsidRPr="00CA3EB7">
              <w:rPr>
                <w:sz w:val="18"/>
                <w:szCs w:val="18"/>
              </w:rPr>
              <w:t>Chronic renal disease</w:t>
            </w:r>
          </w:p>
        </w:tc>
        <w:tc>
          <w:tcPr>
            <w:tcW w:w="2565" w:type="dxa"/>
            <w:hideMark/>
          </w:tcPr>
          <w:p w14:paraId="1094244C" w14:textId="77777777" w:rsidR="006D5740" w:rsidRPr="00CA3EB7" w:rsidRDefault="006D5740" w:rsidP="00CA3EB7">
            <w:pPr>
              <w:pStyle w:val="NormalWeb"/>
              <w:jc w:val="center"/>
              <w:rPr>
                <w:sz w:val="18"/>
                <w:szCs w:val="18"/>
              </w:rPr>
            </w:pPr>
            <w:r w:rsidRPr="00CA3EB7">
              <w:rPr>
                <w:sz w:val="18"/>
                <w:szCs w:val="18"/>
              </w:rPr>
              <w:t>498 (91.4%)</w:t>
            </w:r>
          </w:p>
        </w:tc>
        <w:tc>
          <w:tcPr>
            <w:tcW w:w="2565" w:type="dxa"/>
            <w:hideMark/>
          </w:tcPr>
          <w:p w14:paraId="1E413068" w14:textId="77777777" w:rsidR="006D5740" w:rsidRPr="00CA3EB7" w:rsidRDefault="006D5740" w:rsidP="00CA3EB7">
            <w:pPr>
              <w:pStyle w:val="NormalWeb"/>
              <w:jc w:val="center"/>
              <w:rPr>
                <w:sz w:val="18"/>
                <w:szCs w:val="18"/>
              </w:rPr>
            </w:pPr>
            <w:r w:rsidRPr="00CA3EB7">
              <w:rPr>
                <w:sz w:val="18"/>
                <w:szCs w:val="18"/>
              </w:rPr>
              <w:t>47 (8.6%)</w:t>
            </w:r>
          </w:p>
        </w:tc>
        <w:tc>
          <w:tcPr>
            <w:tcW w:w="2565" w:type="dxa"/>
            <w:hideMark/>
          </w:tcPr>
          <w:p w14:paraId="45EAD37B" w14:textId="759A7E73" w:rsidR="006D5740" w:rsidRPr="00CA3EB7" w:rsidRDefault="006D5740" w:rsidP="00CA3EB7">
            <w:pPr>
              <w:pStyle w:val="NormalWeb"/>
              <w:jc w:val="center"/>
              <w:rPr>
                <w:sz w:val="18"/>
                <w:szCs w:val="18"/>
              </w:rPr>
            </w:pPr>
            <w:r w:rsidRPr="00CA3EB7">
              <w:rPr>
                <w:sz w:val="18"/>
                <w:szCs w:val="18"/>
              </w:rPr>
              <w:t>545</w:t>
            </w:r>
          </w:p>
        </w:tc>
      </w:tr>
      <w:tr w:rsidR="00495B84" w:rsidRPr="00CA3EB7" w14:paraId="53ED75C0" w14:textId="77777777" w:rsidTr="00495B84">
        <w:tblPrEx>
          <w:tblCellMar>
            <w:top w:w="57" w:type="dxa"/>
            <w:left w:w="57" w:type="dxa"/>
            <w:bottom w:w="57" w:type="dxa"/>
            <w:right w:w="57" w:type="dxa"/>
          </w:tblCellMar>
        </w:tblPrEx>
        <w:tc>
          <w:tcPr>
            <w:tcW w:w="2565" w:type="dxa"/>
            <w:hideMark/>
          </w:tcPr>
          <w:p w14:paraId="4C68816D" w14:textId="77777777" w:rsidR="006D5740" w:rsidRPr="00CA3EB7" w:rsidRDefault="006D5740" w:rsidP="00073CEC">
            <w:pPr>
              <w:pStyle w:val="NormalWeb"/>
              <w:rPr>
                <w:sz w:val="18"/>
                <w:szCs w:val="18"/>
              </w:rPr>
            </w:pPr>
            <w:r w:rsidRPr="00CA3EB7">
              <w:rPr>
                <w:sz w:val="18"/>
                <w:szCs w:val="18"/>
              </w:rPr>
              <w:t>Nursing home resident</w:t>
            </w:r>
          </w:p>
        </w:tc>
        <w:tc>
          <w:tcPr>
            <w:tcW w:w="2565" w:type="dxa"/>
            <w:hideMark/>
          </w:tcPr>
          <w:p w14:paraId="603A10DB" w14:textId="77777777" w:rsidR="006D5740" w:rsidRPr="00CA3EB7" w:rsidRDefault="006D5740" w:rsidP="00CA3EB7">
            <w:pPr>
              <w:pStyle w:val="NormalWeb"/>
              <w:jc w:val="center"/>
              <w:rPr>
                <w:sz w:val="18"/>
                <w:szCs w:val="18"/>
              </w:rPr>
            </w:pPr>
            <w:r w:rsidRPr="00CA3EB7">
              <w:rPr>
                <w:sz w:val="18"/>
                <w:szCs w:val="18"/>
              </w:rPr>
              <w:t>275 (97.9%)</w:t>
            </w:r>
          </w:p>
        </w:tc>
        <w:tc>
          <w:tcPr>
            <w:tcW w:w="2565" w:type="dxa"/>
            <w:hideMark/>
          </w:tcPr>
          <w:p w14:paraId="2EA58EBB" w14:textId="77777777" w:rsidR="006D5740" w:rsidRPr="00CA3EB7" w:rsidRDefault="006D5740" w:rsidP="00CA3EB7">
            <w:pPr>
              <w:pStyle w:val="NormalWeb"/>
              <w:jc w:val="center"/>
              <w:rPr>
                <w:sz w:val="18"/>
                <w:szCs w:val="18"/>
              </w:rPr>
            </w:pPr>
            <w:r w:rsidRPr="00CA3EB7">
              <w:rPr>
                <w:sz w:val="18"/>
                <w:szCs w:val="18"/>
              </w:rPr>
              <w:t>6 (2.1%)</w:t>
            </w:r>
          </w:p>
        </w:tc>
        <w:tc>
          <w:tcPr>
            <w:tcW w:w="2565" w:type="dxa"/>
            <w:hideMark/>
          </w:tcPr>
          <w:p w14:paraId="2061685D" w14:textId="42F1FF6F" w:rsidR="006D5740" w:rsidRPr="00CA3EB7" w:rsidRDefault="006D5740" w:rsidP="00CA3EB7">
            <w:pPr>
              <w:pStyle w:val="NormalWeb"/>
              <w:jc w:val="center"/>
              <w:rPr>
                <w:sz w:val="18"/>
                <w:szCs w:val="18"/>
              </w:rPr>
            </w:pPr>
            <w:r w:rsidRPr="00CA3EB7">
              <w:rPr>
                <w:sz w:val="18"/>
                <w:szCs w:val="18"/>
              </w:rPr>
              <w:t>281</w:t>
            </w:r>
          </w:p>
        </w:tc>
      </w:tr>
      <w:tr w:rsidR="006D5740" w:rsidRPr="00CA3EB7" w14:paraId="6D640CEE" w14:textId="77777777" w:rsidTr="00495B84">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565" w:type="dxa"/>
            <w:hideMark/>
          </w:tcPr>
          <w:p w14:paraId="57CB28E8" w14:textId="77777777" w:rsidR="006D5740" w:rsidRPr="00CA3EB7" w:rsidRDefault="006D5740" w:rsidP="00073CEC">
            <w:pPr>
              <w:pStyle w:val="NormalWeb"/>
              <w:rPr>
                <w:sz w:val="18"/>
                <w:szCs w:val="18"/>
              </w:rPr>
            </w:pPr>
            <w:r w:rsidRPr="00CA3EB7">
              <w:rPr>
                <w:sz w:val="18"/>
                <w:szCs w:val="18"/>
              </w:rPr>
              <w:t>Received influenza vaccine</w:t>
            </w:r>
          </w:p>
        </w:tc>
        <w:tc>
          <w:tcPr>
            <w:tcW w:w="2565" w:type="dxa"/>
            <w:hideMark/>
          </w:tcPr>
          <w:p w14:paraId="27ED242D" w14:textId="77777777" w:rsidR="006D5740" w:rsidRPr="00CA3EB7" w:rsidRDefault="006D5740" w:rsidP="00CA3EB7">
            <w:pPr>
              <w:pStyle w:val="NormalWeb"/>
              <w:jc w:val="center"/>
              <w:rPr>
                <w:sz w:val="18"/>
                <w:szCs w:val="18"/>
              </w:rPr>
            </w:pPr>
            <w:r w:rsidRPr="00CA3EB7">
              <w:rPr>
                <w:sz w:val="18"/>
                <w:szCs w:val="18"/>
              </w:rPr>
              <w:t>1,544 (93.1%)</w:t>
            </w:r>
          </w:p>
        </w:tc>
        <w:tc>
          <w:tcPr>
            <w:tcW w:w="2565" w:type="dxa"/>
            <w:hideMark/>
          </w:tcPr>
          <w:p w14:paraId="4F91884C" w14:textId="77777777" w:rsidR="006D5740" w:rsidRPr="00CA3EB7" w:rsidRDefault="006D5740" w:rsidP="00CA3EB7">
            <w:pPr>
              <w:pStyle w:val="NormalWeb"/>
              <w:jc w:val="center"/>
              <w:rPr>
                <w:sz w:val="18"/>
                <w:szCs w:val="18"/>
              </w:rPr>
            </w:pPr>
            <w:r w:rsidRPr="00CA3EB7">
              <w:rPr>
                <w:sz w:val="18"/>
                <w:szCs w:val="18"/>
              </w:rPr>
              <w:t>114 (6.9%)</w:t>
            </w:r>
          </w:p>
        </w:tc>
        <w:tc>
          <w:tcPr>
            <w:tcW w:w="2565" w:type="dxa"/>
            <w:hideMark/>
          </w:tcPr>
          <w:p w14:paraId="1D269D0F" w14:textId="58E11054" w:rsidR="006D5740" w:rsidRPr="00CA3EB7" w:rsidRDefault="006D5740" w:rsidP="00CA3EB7">
            <w:pPr>
              <w:pStyle w:val="NormalWeb"/>
              <w:jc w:val="center"/>
              <w:rPr>
                <w:sz w:val="18"/>
                <w:szCs w:val="18"/>
              </w:rPr>
            </w:pPr>
            <w:r w:rsidRPr="00CA3EB7">
              <w:rPr>
                <w:sz w:val="18"/>
                <w:szCs w:val="18"/>
              </w:rPr>
              <w:t>1,658</w:t>
            </w:r>
          </w:p>
        </w:tc>
      </w:tr>
      <w:tr w:rsidR="00CA3EB7" w:rsidRPr="00CA3EB7" w14:paraId="2DFDDF62" w14:textId="77777777" w:rsidTr="00495B84">
        <w:tblPrEx>
          <w:tblCellMar>
            <w:top w:w="57" w:type="dxa"/>
            <w:left w:w="57" w:type="dxa"/>
            <w:bottom w:w="57" w:type="dxa"/>
            <w:right w:w="57" w:type="dxa"/>
          </w:tblCellMar>
        </w:tblPrEx>
        <w:tc>
          <w:tcPr>
            <w:tcW w:w="2565" w:type="dxa"/>
            <w:shd w:val="clear" w:color="auto" w:fill="886E49"/>
            <w:hideMark/>
          </w:tcPr>
          <w:p w14:paraId="3251076A" w14:textId="77777777" w:rsidR="006D5740" w:rsidRPr="00CA3EB7" w:rsidRDefault="006D5740" w:rsidP="00073CEC">
            <w:pPr>
              <w:pStyle w:val="NormalWeb"/>
              <w:rPr>
                <w:b/>
                <w:bCs/>
                <w:color w:val="FFFFFF" w:themeColor="background1"/>
                <w:sz w:val="18"/>
                <w:szCs w:val="18"/>
              </w:rPr>
            </w:pPr>
            <w:r w:rsidRPr="00CA3EB7">
              <w:rPr>
                <w:b/>
                <w:bCs/>
                <w:color w:val="FFFFFF" w:themeColor="background1"/>
                <w:sz w:val="18"/>
                <w:szCs w:val="18"/>
              </w:rPr>
              <w:t>Influenza subtype</w:t>
            </w:r>
          </w:p>
        </w:tc>
        <w:tc>
          <w:tcPr>
            <w:tcW w:w="2565" w:type="dxa"/>
            <w:shd w:val="clear" w:color="auto" w:fill="886E49"/>
            <w:hideMark/>
          </w:tcPr>
          <w:p w14:paraId="69963836" w14:textId="77777777" w:rsidR="006D5740" w:rsidRPr="00CA3EB7" w:rsidRDefault="006D5740" w:rsidP="00CA3EB7">
            <w:pPr>
              <w:jc w:val="center"/>
              <w:rPr>
                <w:b/>
                <w:bCs/>
                <w:color w:val="FFFFFF" w:themeColor="background1"/>
                <w:sz w:val="18"/>
                <w:szCs w:val="18"/>
              </w:rPr>
            </w:pPr>
          </w:p>
        </w:tc>
        <w:tc>
          <w:tcPr>
            <w:tcW w:w="2565" w:type="dxa"/>
            <w:shd w:val="clear" w:color="auto" w:fill="886E49"/>
            <w:hideMark/>
          </w:tcPr>
          <w:p w14:paraId="42F74D21" w14:textId="77777777" w:rsidR="006D5740" w:rsidRPr="00CA3EB7" w:rsidRDefault="006D5740" w:rsidP="00CA3EB7">
            <w:pPr>
              <w:jc w:val="center"/>
              <w:rPr>
                <w:rFonts w:eastAsia="Times New Roman"/>
                <w:b/>
                <w:bCs/>
                <w:color w:val="FFFFFF" w:themeColor="background1"/>
                <w:sz w:val="18"/>
                <w:szCs w:val="18"/>
              </w:rPr>
            </w:pPr>
          </w:p>
        </w:tc>
        <w:tc>
          <w:tcPr>
            <w:tcW w:w="2565" w:type="dxa"/>
            <w:shd w:val="clear" w:color="auto" w:fill="886E49"/>
            <w:hideMark/>
          </w:tcPr>
          <w:p w14:paraId="2456B8D7" w14:textId="77777777" w:rsidR="006D5740" w:rsidRPr="00CA3EB7" w:rsidRDefault="006D5740" w:rsidP="00CA3EB7">
            <w:pPr>
              <w:jc w:val="center"/>
              <w:rPr>
                <w:rFonts w:eastAsia="Times New Roman"/>
                <w:b/>
                <w:bCs/>
                <w:color w:val="FFFFFF" w:themeColor="background1"/>
                <w:sz w:val="18"/>
                <w:szCs w:val="18"/>
              </w:rPr>
            </w:pPr>
          </w:p>
        </w:tc>
      </w:tr>
      <w:tr w:rsidR="006D5740" w:rsidRPr="00CA3EB7" w14:paraId="7D67482D" w14:textId="77777777" w:rsidTr="00495B84">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565" w:type="dxa"/>
            <w:hideMark/>
          </w:tcPr>
          <w:p w14:paraId="7F6F6CD1" w14:textId="77777777" w:rsidR="006D5740" w:rsidRPr="00CA3EB7" w:rsidRDefault="006D5740" w:rsidP="00073CEC">
            <w:pPr>
              <w:pStyle w:val="NormalWeb"/>
              <w:rPr>
                <w:sz w:val="18"/>
                <w:szCs w:val="18"/>
              </w:rPr>
            </w:pPr>
            <w:r w:rsidRPr="00CA3EB7">
              <w:rPr>
                <w:sz w:val="18"/>
                <w:szCs w:val="18"/>
              </w:rPr>
              <w:t>A/H1</w:t>
            </w:r>
          </w:p>
        </w:tc>
        <w:tc>
          <w:tcPr>
            <w:tcW w:w="2565" w:type="dxa"/>
            <w:hideMark/>
          </w:tcPr>
          <w:p w14:paraId="70AE934C" w14:textId="77777777" w:rsidR="006D5740" w:rsidRPr="00CA3EB7" w:rsidRDefault="006D5740" w:rsidP="00CA3EB7">
            <w:pPr>
              <w:pStyle w:val="NormalWeb"/>
              <w:jc w:val="center"/>
              <w:rPr>
                <w:sz w:val="18"/>
                <w:szCs w:val="18"/>
              </w:rPr>
            </w:pPr>
            <w:r w:rsidRPr="00CA3EB7">
              <w:rPr>
                <w:sz w:val="18"/>
                <w:szCs w:val="18"/>
              </w:rPr>
              <w:t>225 (84.6%)</w:t>
            </w:r>
          </w:p>
        </w:tc>
        <w:tc>
          <w:tcPr>
            <w:tcW w:w="2565" w:type="dxa"/>
            <w:hideMark/>
          </w:tcPr>
          <w:p w14:paraId="7455B0BC" w14:textId="77777777" w:rsidR="006D5740" w:rsidRPr="00CA3EB7" w:rsidRDefault="006D5740" w:rsidP="00CA3EB7">
            <w:pPr>
              <w:pStyle w:val="NormalWeb"/>
              <w:jc w:val="center"/>
              <w:rPr>
                <w:sz w:val="18"/>
                <w:szCs w:val="18"/>
              </w:rPr>
            </w:pPr>
            <w:r w:rsidRPr="00CA3EB7">
              <w:rPr>
                <w:sz w:val="18"/>
                <w:szCs w:val="18"/>
              </w:rPr>
              <w:t>41 (15.4%)</w:t>
            </w:r>
          </w:p>
        </w:tc>
        <w:tc>
          <w:tcPr>
            <w:tcW w:w="2565" w:type="dxa"/>
            <w:hideMark/>
          </w:tcPr>
          <w:p w14:paraId="166A0C51" w14:textId="4D3C3989" w:rsidR="006D5740" w:rsidRPr="00CA3EB7" w:rsidRDefault="006D5740" w:rsidP="00CA3EB7">
            <w:pPr>
              <w:pStyle w:val="NormalWeb"/>
              <w:jc w:val="center"/>
              <w:rPr>
                <w:sz w:val="18"/>
                <w:szCs w:val="18"/>
              </w:rPr>
            </w:pPr>
            <w:r w:rsidRPr="00CA3EB7">
              <w:rPr>
                <w:sz w:val="18"/>
                <w:szCs w:val="18"/>
              </w:rPr>
              <w:t>266</w:t>
            </w:r>
          </w:p>
        </w:tc>
      </w:tr>
      <w:tr w:rsidR="00495B84" w:rsidRPr="00CA3EB7" w14:paraId="459AFC96" w14:textId="77777777" w:rsidTr="00495B84">
        <w:tblPrEx>
          <w:tblCellMar>
            <w:top w:w="57" w:type="dxa"/>
            <w:left w:w="57" w:type="dxa"/>
            <w:bottom w:w="57" w:type="dxa"/>
            <w:right w:w="57" w:type="dxa"/>
          </w:tblCellMar>
        </w:tblPrEx>
        <w:tc>
          <w:tcPr>
            <w:tcW w:w="2565" w:type="dxa"/>
            <w:hideMark/>
          </w:tcPr>
          <w:p w14:paraId="7E48F4DC" w14:textId="77777777" w:rsidR="006D5740" w:rsidRPr="00CA3EB7" w:rsidRDefault="006D5740" w:rsidP="00073CEC">
            <w:pPr>
              <w:pStyle w:val="NormalWeb"/>
              <w:rPr>
                <w:sz w:val="18"/>
                <w:szCs w:val="18"/>
              </w:rPr>
            </w:pPr>
            <w:r w:rsidRPr="00CA3EB7">
              <w:rPr>
                <w:sz w:val="18"/>
                <w:szCs w:val="18"/>
              </w:rPr>
              <w:t>A/H3</w:t>
            </w:r>
          </w:p>
        </w:tc>
        <w:tc>
          <w:tcPr>
            <w:tcW w:w="2565" w:type="dxa"/>
            <w:hideMark/>
          </w:tcPr>
          <w:p w14:paraId="4FE68858" w14:textId="77777777" w:rsidR="006D5740" w:rsidRPr="00CA3EB7" w:rsidRDefault="006D5740" w:rsidP="00CA3EB7">
            <w:pPr>
              <w:pStyle w:val="NormalWeb"/>
              <w:jc w:val="center"/>
              <w:rPr>
                <w:sz w:val="18"/>
                <w:szCs w:val="18"/>
              </w:rPr>
            </w:pPr>
            <w:r w:rsidRPr="00CA3EB7">
              <w:rPr>
                <w:sz w:val="18"/>
                <w:szCs w:val="18"/>
              </w:rPr>
              <w:t>1,057 (92.7%)</w:t>
            </w:r>
          </w:p>
        </w:tc>
        <w:tc>
          <w:tcPr>
            <w:tcW w:w="2565" w:type="dxa"/>
            <w:hideMark/>
          </w:tcPr>
          <w:p w14:paraId="5A096B83" w14:textId="77777777" w:rsidR="006D5740" w:rsidRPr="00CA3EB7" w:rsidRDefault="006D5740" w:rsidP="00CA3EB7">
            <w:pPr>
              <w:pStyle w:val="NormalWeb"/>
              <w:jc w:val="center"/>
              <w:rPr>
                <w:sz w:val="18"/>
                <w:szCs w:val="18"/>
              </w:rPr>
            </w:pPr>
            <w:r w:rsidRPr="00CA3EB7">
              <w:rPr>
                <w:sz w:val="18"/>
                <w:szCs w:val="18"/>
              </w:rPr>
              <w:t>83 (7.3%)</w:t>
            </w:r>
          </w:p>
        </w:tc>
        <w:tc>
          <w:tcPr>
            <w:tcW w:w="2565" w:type="dxa"/>
            <w:hideMark/>
          </w:tcPr>
          <w:p w14:paraId="366E6EBC" w14:textId="1A782080" w:rsidR="006D5740" w:rsidRPr="00CA3EB7" w:rsidRDefault="006D5740" w:rsidP="00CA3EB7">
            <w:pPr>
              <w:pStyle w:val="NormalWeb"/>
              <w:jc w:val="center"/>
              <w:rPr>
                <w:sz w:val="18"/>
                <w:szCs w:val="18"/>
              </w:rPr>
            </w:pPr>
            <w:r w:rsidRPr="00CA3EB7">
              <w:rPr>
                <w:sz w:val="18"/>
                <w:szCs w:val="18"/>
              </w:rPr>
              <w:t>1,140</w:t>
            </w:r>
          </w:p>
        </w:tc>
      </w:tr>
      <w:tr w:rsidR="006D5740" w:rsidRPr="00CA3EB7" w14:paraId="1430A6D9" w14:textId="77777777" w:rsidTr="00495B84">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565" w:type="dxa"/>
            <w:hideMark/>
          </w:tcPr>
          <w:p w14:paraId="65D8DB9C" w14:textId="77777777" w:rsidR="006D5740" w:rsidRPr="00CA3EB7" w:rsidRDefault="006D5740" w:rsidP="00073CEC">
            <w:pPr>
              <w:pStyle w:val="NormalWeb"/>
              <w:rPr>
                <w:sz w:val="18"/>
                <w:szCs w:val="18"/>
              </w:rPr>
            </w:pPr>
            <w:r w:rsidRPr="00CA3EB7">
              <w:rPr>
                <w:sz w:val="18"/>
                <w:szCs w:val="18"/>
              </w:rPr>
              <w:t>A/unknown</w:t>
            </w:r>
          </w:p>
        </w:tc>
        <w:tc>
          <w:tcPr>
            <w:tcW w:w="2565" w:type="dxa"/>
            <w:hideMark/>
          </w:tcPr>
          <w:p w14:paraId="4B6DD6B3" w14:textId="77777777" w:rsidR="006D5740" w:rsidRPr="00CA3EB7" w:rsidRDefault="006D5740" w:rsidP="00CA3EB7">
            <w:pPr>
              <w:pStyle w:val="NormalWeb"/>
              <w:jc w:val="center"/>
              <w:rPr>
                <w:sz w:val="18"/>
                <w:szCs w:val="18"/>
              </w:rPr>
            </w:pPr>
            <w:r w:rsidRPr="00CA3EB7">
              <w:rPr>
                <w:sz w:val="18"/>
                <w:szCs w:val="18"/>
              </w:rPr>
              <w:t>1,964 (92.2%)</w:t>
            </w:r>
          </w:p>
        </w:tc>
        <w:tc>
          <w:tcPr>
            <w:tcW w:w="2565" w:type="dxa"/>
            <w:hideMark/>
          </w:tcPr>
          <w:p w14:paraId="4FD26180" w14:textId="77777777" w:rsidR="006D5740" w:rsidRPr="00CA3EB7" w:rsidRDefault="006D5740" w:rsidP="00CA3EB7">
            <w:pPr>
              <w:pStyle w:val="NormalWeb"/>
              <w:jc w:val="center"/>
              <w:rPr>
                <w:sz w:val="18"/>
                <w:szCs w:val="18"/>
              </w:rPr>
            </w:pPr>
            <w:r w:rsidRPr="00CA3EB7">
              <w:rPr>
                <w:sz w:val="18"/>
                <w:szCs w:val="18"/>
              </w:rPr>
              <w:t>167 (7.8%)</w:t>
            </w:r>
          </w:p>
        </w:tc>
        <w:tc>
          <w:tcPr>
            <w:tcW w:w="2565" w:type="dxa"/>
            <w:hideMark/>
          </w:tcPr>
          <w:p w14:paraId="54F3487C" w14:textId="0D839F47" w:rsidR="006D5740" w:rsidRPr="00CA3EB7" w:rsidRDefault="006D5740" w:rsidP="00CA3EB7">
            <w:pPr>
              <w:pStyle w:val="NormalWeb"/>
              <w:jc w:val="center"/>
              <w:rPr>
                <w:sz w:val="18"/>
                <w:szCs w:val="18"/>
              </w:rPr>
            </w:pPr>
            <w:r w:rsidRPr="00CA3EB7">
              <w:rPr>
                <w:sz w:val="18"/>
                <w:szCs w:val="18"/>
              </w:rPr>
              <w:t>2,131</w:t>
            </w:r>
          </w:p>
        </w:tc>
      </w:tr>
      <w:tr w:rsidR="00495B84" w:rsidRPr="00CA3EB7" w14:paraId="2B86043B" w14:textId="77777777" w:rsidTr="00073CEC">
        <w:tblPrEx>
          <w:tblCellMar>
            <w:top w:w="57" w:type="dxa"/>
            <w:left w:w="57" w:type="dxa"/>
            <w:bottom w:w="57" w:type="dxa"/>
            <w:right w:w="57" w:type="dxa"/>
          </w:tblCellMar>
        </w:tblPrEx>
        <w:tc>
          <w:tcPr>
            <w:tcW w:w="2565" w:type="dxa"/>
            <w:tcBorders>
              <w:bottom w:val="single" w:sz="4" w:space="0" w:color="auto"/>
            </w:tcBorders>
            <w:hideMark/>
          </w:tcPr>
          <w:p w14:paraId="297D9898" w14:textId="77777777" w:rsidR="006D5740" w:rsidRPr="00CA3EB7" w:rsidRDefault="006D5740" w:rsidP="00073CEC">
            <w:pPr>
              <w:pStyle w:val="NormalWeb"/>
              <w:rPr>
                <w:sz w:val="18"/>
                <w:szCs w:val="18"/>
              </w:rPr>
            </w:pPr>
            <w:r w:rsidRPr="00CA3EB7">
              <w:rPr>
                <w:sz w:val="18"/>
                <w:szCs w:val="18"/>
              </w:rPr>
              <w:t>B</w:t>
            </w:r>
          </w:p>
        </w:tc>
        <w:tc>
          <w:tcPr>
            <w:tcW w:w="2565" w:type="dxa"/>
            <w:tcBorders>
              <w:bottom w:val="single" w:sz="4" w:space="0" w:color="auto"/>
            </w:tcBorders>
            <w:hideMark/>
          </w:tcPr>
          <w:p w14:paraId="5253B6D1" w14:textId="77777777" w:rsidR="006D5740" w:rsidRPr="00CA3EB7" w:rsidRDefault="006D5740" w:rsidP="00CA3EB7">
            <w:pPr>
              <w:pStyle w:val="NormalWeb"/>
              <w:jc w:val="center"/>
              <w:rPr>
                <w:sz w:val="18"/>
                <w:szCs w:val="18"/>
              </w:rPr>
            </w:pPr>
            <w:r w:rsidRPr="00CA3EB7">
              <w:rPr>
                <w:sz w:val="18"/>
                <w:szCs w:val="18"/>
              </w:rPr>
              <w:t>585 (94.8%)</w:t>
            </w:r>
          </w:p>
        </w:tc>
        <w:tc>
          <w:tcPr>
            <w:tcW w:w="2565" w:type="dxa"/>
            <w:tcBorders>
              <w:bottom w:val="single" w:sz="4" w:space="0" w:color="auto"/>
            </w:tcBorders>
            <w:hideMark/>
          </w:tcPr>
          <w:p w14:paraId="70994138" w14:textId="77777777" w:rsidR="006D5740" w:rsidRPr="00CA3EB7" w:rsidRDefault="006D5740" w:rsidP="00CA3EB7">
            <w:pPr>
              <w:pStyle w:val="NormalWeb"/>
              <w:jc w:val="center"/>
              <w:rPr>
                <w:sz w:val="18"/>
                <w:szCs w:val="18"/>
              </w:rPr>
            </w:pPr>
            <w:r w:rsidRPr="00CA3EB7">
              <w:rPr>
                <w:sz w:val="18"/>
                <w:szCs w:val="18"/>
              </w:rPr>
              <w:t>32 (5.2%)</w:t>
            </w:r>
          </w:p>
        </w:tc>
        <w:tc>
          <w:tcPr>
            <w:tcW w:w="2565" w:type="dxa"/>
            <w:tcBorders>
              <w:bottom w:val="single" w:sz="4" w:space="0" w:color="auto"/>
            </w:tcBorders>
            <w:hideMark/>
          </w:tcPr>
          <w:p w14:paraId="4268049E" w14:textId="0D8212EE" w:rsidR="006D5740" w:rsidRPr="00CA3EB7" w:rsidRDefault="006D5740" w:rsidP="00CA3EB7">
            <w:pPr>
              <w:pStyle w:val="NormalWeb"/>
              <w:jc w:val="center"/>
              <w:rPr>
                <w:sz w:val="18"/>
                <w:szCs w:val="18"/>
              </w:rPr>
            </w:pPr>
            <w:r w:rsidRPr="00CA3EB7">
              <w:rPr>
                <w:sz w:val="18"/>
                <w:szCs w:val="18"/>
              </w:rPr>
              <w:t>617</w:t>
            </w:r>
          </w:p>
        </w:tc>
      </w:tr>
      <w:tr w:rsidR="006D5740" w:rsidRPr="00CA3EB7" w14:paraId="3D4BB540" w14:textId="77777777" w:rsidTr="00073CEC">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565" w:type="dxa"/>
            <w:tcBorders>
              <w:top w:val="single" w:sz="4" w:space="0" w:color="auto"/>
              <w:bottom w:val="single" w:sz="4" w:space="0" w:color="auto"/>
            </w:tcBorders>
            <w:hideMark/>
          </w:tcPr>
          <w:p w14:paraId="4F5D1550" w14:textId="77777777" w:rsidR="006D5740" w:rsidRPr="00CA3EB7" w:rsidRDefault="006D5740" w:rsidP="00073CEC">
            <w:pPr>
              <w:pStyle w:val="NormalWeb"/>
              <w:rPr>
                <w:sz w:val="18"/>
                <w:szCs w:val="18"/>
              </w:rPr>
            </w:pPr>
            <w:r w:rsidRPr="00CA3EB7">
              <w:rPr>
                <w:sz w:val="18"/>
                <w:szCs w:val="18"/>
              </w:rPr>
              <w:t xml:space="preserve">In-hospital </w:t>
            </w:r>
            <w:proofErr w:type="spellStart"/>
            <w:r w:rsidRPr="00CA3EB7">
              <w:rPr>
                <w:sz w:val="18"/>
                <w:szCs w:val="18"/>
              </w:rPr>
              <w:t>mortality</w:t>
            </w:r>
            <w:r w:rsidRPr="00092220">
              <w:rPr>
                <w:sz w:val="18"/>
                <w:szCs w:val="18"/>
                <w:vertAlign w:val="superscript"/>
              </w:rPr>
              <w:t>a</w:t>
            </w:r>
            <w:proofErr w:type="spellEnd"/>
          </w:p>
        </w:tc>
        <w:tc>
          <w:tcPr>
            <w:tcW w:w="2565" w:type="dxa"/>
            <w:tcBorders>
              <w:top w:val="single" w:sz="4" w:space="0" w:color="auto"/>
              <w:bottom w:val="single" w:sz="4" w:space="0" w:color="auto"/>
            </w:tcBorders>
            <w:hideMark/>
          </w:tcPr>
          <w:p w14:paraId="41077BA6" w14:textId="77777777" w:rsidR="006D5740" w:rsidRPr="00CA3EB7" w:rsidRDefault="006D5740" w:rsidP="00CA3EB7">
            <w:pPr>
              <w:pStyle w:val="NormalWeb"/>
              <w:jc w:val="center"/>
              <w:rPr>
                <w:sz w:val="18"/>
                <w:szCs w:val="18"/>
              </w:rPr>
            </w:pPr>
            <w:r w:rsidRPr="00CA3EB7">
              <w:rPr>
                <w:sz w:val="18"/>
                <w:szCs w:val="18"/>
              </w:rPr>
              <w:t>77/3,664</w:t>
            </w:r>
            <w:r w:rsidRPr="00CA3EB7">
              <w:rPr>
                <w:sz w:val="18"/>
                <w:szCs w:val="18"/>
              </w:rPr>
              <w:br/>
              <w:t>(CFR: 2.1%)</w:t>
            </w:r>
          </w:p>
        </w:tc>
        <w:tc>
          <w:tcPr>
            <w:tcW w:w="2565" w:type="dxa"/>
            <w:tcBorders>
              <w:top w:val="single" w:sz="4" w:space="0" w:color="auto"/>
              <w:bottom w:val="single" w:sz="4" w:space="0" w:color="auto"/>
            </w:tcBorders>
            <w:hideMark/>
          </w:tcPr>
          <w:p w14:paraId="571F641F" w14:textId="77777777" w:rsidR="006D5740" w:rsidRPr="00CA3EB7" w:rsidRDefault="006D5740" w:rsidP="00CA3EB7">
            <w:pPr>
              <w:pStyle w:val="NormalWeb"/>
              <w:jc w:val="center"/>
              <w:rPr>
                <w:sz w:val="18"/>
                <w:szCs w:val="18"/>
              </w:rPr>
            </w:pPr>
            <w:r w:rsidRPr="00CA3EB7">
              <w:rPr>
                <w:sz w:val="18"/>
                <w:szCs w:val="18"/>
              </w:rPr>
              <w:t>34/292</w:t>
            </w:r>
            <w:r w:rsidRPr="00CA3EB7">
              <w:rPr>
                <w:sz w:val="18"/>
                <w:szCs w:val="18"/>
              </w:rPr>
              <w:br/>
              <w:t>(CFR: 11.6%)</w:t>
            </w:r>
          </w:p>
        </w:tc>
        <w:tc>
          <w:tcPr>
            <w:tcW w:w="2565" w:type="dxa"/>
            <w:tcBorders>
              <w:top w:val="single" w:sz="4" w:space="0" w:color="auto"/>
              <w:bottom w:val="single" w:sz="4" w:space="0" w:color="auto"/>
            </w:tcBorders>
            <w:hideMark/>
          </w:tcPr>
          <w:p w14:paraId="6A50EAC7" w14:textId="77777777" w:rsidR="006D5740" w:rsidRPr="00CA3EB7" w:rsidRDefault="006D5740" w:rsidP="00CA3EB7">
            <w:pPr>
              <w:pStyle w:val="NormalWeb"/>
              <w:jc w:val="center"/>
              <w:rPr>
                <w:sz w:val="18"/>
                <w:szCs w:val="18"/>
              </w:rPr>
            </w:pPr>
            <w:r w:rsidRPr="00CA3EB7">
              <w:rPr>
                <w:sz w:val="18"/>
                <w:szCs w:val="18"/>
              </w:rPr>
              <w:t>111/3,956</w:t>
            </w:r>
            <w:r w:rsidRPr="00CA3EB7">
              <w:rPr>
                <w:sz w:val="18"/>
                <w:szCs w:val="18"/>
              </w:rPr>
              <w:br/>
              <w:t>(CFR: 2.8%)</w:t>
            </w:r>
          </w:p>
        </w:tc>
      </w:tr>
    </w:tbl>
    <w:p w14:paraId="0ABDA420" w14:textId="6B198CEB" w:rsidR="006D5740" w:rsidRPr="006D5740" w:rsidRDefault="006D5740" w:rsidP="006D5740">
      <w:pPr>
        <w:pStyle w:val="CDIfootnotes"/>
        <w:rPr>
          <w:lang w:val="en-GB"/>
        </w:rPr>
      </w:pPr>
      <w:r>
        <w:rPr>
          <w:lang w:val="en-GB"/>
        </w:rPr>
        <w:t>a</w:t>
      </w:r>
      <w:r>
        <w:rPr>
          <w:lang w:val="en-GB"/>
        </w:rPr>
        <w:tab/>
        <w:t>CFR: case fatality ratio.</w:t>
      </w:r>
    </w:p>
    <w:p w14:paraId="63B5554F" w14:textId="77777777" w:rsidR="00606A6B" w:rsidRDefault="00606A6B">
      <w:pPr>
        <w:rPr>
          <w:rFonts w:asciiTheme="majorHAnsi" w:eastAsiaTheme="majorEastAsia" w:hAnsiTheme="majorHAnsi" w:cstheme="majorBidi"/>
          <w:b/>
          <w:bCs/>
          <w:sz w:val="26"/>
          <w:szCs w:val="26"/>
        </w:rPr>
      </w:pPr>
      <w:r>
        <w:br w:type="page"/>
      </w:r>
    </w:p>
    <w:p w14:paraId="45F2CC3B" w14:textId="77777777" w:rsidR="004C0ADA" w:rsidRPr="00150762" w:rsidRDefault="004C0ADA" w:rsidP="004C0ADA">
      <w:pPr>
        <w:pStyle w:val="CDIFigures"/>
      </w:pPr>
      <w:r w:rsidRPr="00150762">
        <w:rPr>
          <w:rStyle w:val="Strong"/>
          <w:b/>
          <w:bCs w:val="0"/>
        </w:rPr>
        <w:lastRenderedPageBreak/>
        <w:t>Table 3: Factors associated with admission to intensive care in patients hospitalised with confirmed influenza</w:t>
      </w:r>
      <w:r w:rsidRPr="00150762">
        <w:t xml:space="preserve"> </w:t>
      </w:r>
    </w:p>
    <w:tbl>
      <w:tblPr>
        <w:tblStyle w:val="CDI-StandardTable"/>
        <w:tblW w:w="0" w:type="auto"/>
        <w:tblLook w:val="04A0" w:firstRow="1" w:lastRow="0" w:firstColumn="1" w:lastColumn="0" w:noHBand="0" w:noVBand="1"/>
        <w:tblDescription w:val="Table 3: This table presents the results of a logistic regression looking at factors independently associated with admission to intensive care, including age, medical co-morbidities, Indigenous status, pregnancy, nursing home residence and influenza type/subtype."/>
      </w:tblPr>
      <w:tblGrid>
        <w:gridCol w:w="4395"/>
        <w:gridCol w:w="1417"/>
        <w:gridCol w:w="992"/>
        <w:gridCol w:w="1418"/>
        <w:gridCol w:w="1813"/>
      </w:tblGrid>
      <w:tr w:rsidR="00C040DC" w:rsidRPr="002B5F3D" w14:paraId="52F70368" w14:textId="77777777" w:rsidTr="002B5F3D">
        <w:trPr>
          <w:cnfStyle w:val="100000000000" w:firstRow="1" w:lastRow="0" w:firstColumn="0" w:lastColumn="0" w:oddVBand="0" w:evenVBand="0" w:oddHBand="0" w:evenHBand="0" w:firstRowFirstColumn="0" w:firstRowLastColumn="0" w:lastRowFirstColumn="0" w:lastRowLastColumn="0"/>
        </w:trPr>
        <w:tc>
          <w:tcPr>
            <w:tcW w:w="4395" w:type="dxa"/>
            <w:tcBorders>
              <w:right w:val="single" w:sz="6" w:space="0" w:color="886E49"/>
            </w:tcBorders>
            <w:hideMark/>
          </w:tcPr>
          <w:p w14:paraId="0E91DB36" w14:textId="77777777" w:rsidR="004C0ADA" w:rsidRPr="002B5F3D" w:rsidRDefault="004C0ADA" w:rsidP="00073CEC">
            <w:pPr>
              <w:pStyle w:val="NormalWeb"/>
              <w:rPr>
                <w:color w:val="FFFFFF" w:themeColor="background1"/>
                <w:sz w:val="18"/>
                <w:szCs w:val="18"/>
              </w:rPr>
            </w:pPr>
            <w:r w:rsidRPr="002B5F3D">
              <w:rPr>
                <w:color w:val="FFFFFF" w:themeColor="background1"/>
                <w:sz w:val="18"/>
                <w:szCs w:val="18"/>
              </w:rPr>
              <w:t>Variable</w:t>
            </w:r>
          </w:p>
        </w:tc>
        <w:tc>
          <w:tcPr>
            <w:tcW w:w="1417" w:type="dxa"/>
            <w:tcBorders>
              <w:left w:val="single" w:sz="6" w:space="0" w:color="886E49"/>
              <w:right w:val="single" w:sz="6" w:space="0" w:color="886E49"/>
            </w:tcBorders>
            <w:hideMark/>
          </w:tcPr>
          <w:p w14:paraId="0C93700D" w14:textId="77777777" w:rsidR="004C0ADA" w:rsidRPr="002B5F3D" w:rsidRDefault="004C0ADA" w:rsidP="002B5F3D">
            <w:pPr>
              <w:pStyle w:val="NormalWeb"/>
              <w:jc w:val="center"/>
              <w:rPr>
                <w:color w:val="FFFFFF" w:themeColor="background1"/>
                <w:sz w:val="18"/>
                <w:szCs w:val="18"/>
              </w:rPr>
            </w:pPr>
            <w:r w:rsidRPr="002B5F3D">
              <w:rPr>
                <w:color w:val="FFFFFF" w:themeColor="background1"/>
                <w:sz w:val="18"/>
                <w:szCs w:val="18"/>
              </w:rPr>
              <w:t xml:space="preserve">Crude </w:t>
            </w:r>
            <w:proofErr w:type="spellStart"/>
            <w:r w:rsidRPr="002B5F3D">
              <w:rPr>
                <w:color w:val="FFFFFF" w:themeColor="background1"/>
                <w:sz w:val="18"/>
                <w:szCs w:val="18"/>
              </w:rPr>
              <w:t>OR</w:t>
            </w:r>
            <w:r w:rsidRPr="002B5F3D">
              <w:rPr>
                <w:color w:val="FFFFFF" w:themeColor="background1"/>
                <w:sz w:val="18"/>
                <w:szCs w:val="18"/>
                <w:vertAlign w:val="superscript"/>
              </w:rPr>
              <w:t>a</w:t>
            </w:r>
            <w:proofErr w:type="spellEnd"/>
          </w:p>
        </w:tc>
        <w:tc>
          <w:tcPr>
            <w:tcW w:w="992" w:type="dxa"/>
            <w:tcBorders>
              <w:left w:val="single" w:sz="6" w:space="0" w:color="886E49"/>
              <w:right w:val="single" w:sz="6" w:space="0" w:color="886E49"/>
            </w:tcBorders>
            <w:hideMark/>
          </w:tcPr>
          <w:p w14:paraId="0F3E5680" w14:textId="77777777" w:rsidR="004C0ADA" w:rsidRPr="002B5F3D" w:rsidRDefault="004C0ADA" w:rsidP="002B5F3D">
            <w:pPr>
              <w:pStyle w:val="NormalWeb"/>
              <w:jc w:val="center"/>
              <w:rPr>
                <w:color w:val="FFFFFF" w:themeColor="background1"/>
                <w:sz w:val="18"/>
                <w:szCs w:val="18"/>
              </w:rPr>
            </w:pPr>
            <w:r w:rsidRPr="00B74F96">
              <w:rPr>
                <w:i/>
                <w:iCs/>
                <w:color w:val="FFFFFF" w:themeColor="background1"/>
                <w:sz w:val="18"/>
                <w:szCs w:val="18"/>
              </w:rPr>
              <w:t>p</w:t>
            </w:r>
            <w:r w:rsidRPr="002B5F3D">
              <w:rPr>
                <w:color w:val="FFFFFF" w:themeColor="background1"/>
                <w:sz w:val="18"/>
                <w:szCs w:val="18"/>
              </w:rPr>
              <w:t xml:space="preserve"> value</w:t>
            </w:r>
          </w:p>
        </w:tc>
        <w:tc>
          <w:tcPr>
            <w:tcW w:w="1418" w:type="dxa"/>
            <w:tcBorders>
              <w:left w:val="single" w:sz="6" w:space="0" w:color="886E49"/>
              <w:right w:val="single" w:sz="6" w:space="0" w:color="886E49"/>
            </w:tcBorders>
            <w:hideMark/>
          </w:tcPr>
          <w:p w14:paraId="658933AE" w14:textId="77777777" w:rsidR="004C0ADA" w:rsidRPr="002B5F3D" w:rsidRDefault="004C0ADA" w:rsidP="002B5F3D">
            <w:pPr>
              <w:pStyle w:val="NormalWeb"/>
              <w:jc w:val="center"/>
              <w:rPr>
                <w:color w:val="FFFFFF" w:themeColor="background1"/>
                <w:sz w:val="18"/>
                <w:szCs w:val="18"/>
              </w:rPr>
            </w:pPr>
            <w:r w:rsidRPr="002B5F3D">
              <w:rPr>
                <w:color w:val="FFFFFF" w:themeColor="background1"/>
                <w:sz w:val="18"/>
                <w:szCs w:val="18"/>
              </w:rPr>
              <w:t xml:space="preserve">Adjusted </w:t>
            </w:r>
            <w:proofErr w:type="spellStart"/>
            <w:proofErr w:type="gramStart"/>
            <w:r w:rsidRPr="002B5F3D">
              <w:rPr>
                <w:color w:val="FFFFFF" w:themeColor="background1"/>
                <w:sz w:val="18"/>
                <w:szCs w:val="18"/>
              </w:rPr>
              <w:t>OR</w:t>
            </w:r>
            <w:r w:rsidRPr="002B5F3D">
              <w:rPr>
                <w:color w:val="FFFFFF" w:themeColor="background1"/>
                <w:sz w:val="18"/>
                <w:szCs w:val="18"/>
                <w:vertAlign w:val="superscript"/>
              </w:rPr>
              <w:t>a,b</w:t>
            </w:r>
            <w:proofErr w:type="spellEnd"/>
            <w:proofErr w:type="gramEnd"/>
          </w:p>
        </w:tc>
        <w:tc>
          <w:tcPr>
            <w:tcW w:w="1813" w:type="dxa"/>
            <w:tcBorders>
              <w:left w:val="single" w:sz="6" w:space="0" w:color="886E49"/>
            </w:tcBorders>
            <w:hideMark/>
          </w:tcPr>
          <w:p w14:paraId="5B90897A" w14:textId="77777777" w:rsidR="004C0ADA" w:rsidRPr="002B5F3D" w:rsidRDefault="004C0ADA" w:rsidP="002B5F3D">
            <w:pPr>
              <w:pStyle w:val="NormalWeb"/>
              <w:jc w:val="center"/>
              <w:rPr>
                <w:color w:val="FFFFFF" w:themeColor="background1"/>
                <w:sz w:val="18"/>
                <w:szCs w:val="18"/>
              </w:rPr>
            </w:pPr>
            <w:r w:rsidRPr="00B74F96">
              <w:rPr>
                <w:i/>
                <w:iCs/>
                <w:color w:val="FFFFFF" w:themeColor="background1"/>
                <w:sz w:val="18"/>
                <w:szCs w:val="18"/>
              </w:rPr>
              <w:t>p</w:t>
            </w:r>
            <w:r w:rsidRPr="002B5F3D">
              <w:rPr>
                <w:color w:val="FFFFFF" w:themeColor="background1"/>
                <w:sz w:val="18"/>
                <w:szCs w:val="18"/>
              </w:rPr>
              <w:t xml:space="preserve"> value</w:t>
            </w:r>
          </w:p>
        </w:tc>
      </w:tr>
      <w:tr w:rsidR="00410B68" w:rsidRPr="00410B68" w14:paraId="55E34F5F" w14:textId="77777777" w:rsidTr="00410B68">
        <w:tblPrEx>
          <w:tblCellMar>
            <w:top w:w="57" w:type="dxa"/>
            <w:left w:w="57" w:type="dxa"/>
            <w:bottom w:w="57" w:type="dxa"/>
            <w:right w:w="57" w:type="dxa"/>
          </w:tblCellMar>
        </w:tblPrEx>
        <w:tc>
          <w:tcPr>
            <w:tcW w:w="4395" w:type="dxa"/>
            <w:shd w:val="clear" w:color="auto" w:fill="886E49"/>
            <w:hideMark/>
          </w:tcPr>
          <w:p w14:paraId="694A90CF" w14:textId="77777777" w:rsidR="004C0ADA" w:rsidRPr="00410B68" w:rsidRDefault="004C0ADA" w:rsidP="00073CEC">
            <w:pPr>
              <w:pStyle w:val="NormalWeb"/>
              <w:rPr>
                <w:b/>
                <w:bCs/>
                <w:color w:val="FFFFFF" w:themeColor="background1"/>
                <w:sz w:val="18"/>
                <w:szCs w:val="18"/>
              </w:rPr>
            </w:pPr>
            <w:r w:rsidRPr="00410B68">
              <w:rPr>
                <w:b/>
                <w:bCs/>
                <w:color w:val="FFFFFF" w:themeColor="background1"/>
                <w:sz w:val="18"/>
                <w:szCs w:val="18"/>
              </w:rPr>
              <w:t>Age</w:t>
            </w:r>
          </w:p>
        </w:tc>
        <w:tc>
          <w:tcPr>
            <w:tcW w:w="1417" w:type="dxa"/>
            <w:shd w:val="clear" w:color="auto" w:fill="886E49"/>
            <w:hideMark/>
          </w:tcPr>
          <w:p w14:paraId="6CA241D8" w14:textId="77777777" w:rsidR="004C0ADA" w:rsidRPr="00410B68" w:rsidRDefault="004C0ADA" w:rsidP="002B5F3D">
            <w:pPr>
              <w:jc w:val="center"/>
              <w:rPr>
                <w:b/>
                <w:bCs/>
                <w:color w:val="FFFFFF" w:themeColor="background1"/>
                <w:sz w:val="18"/>
                <w:szCs w:val="18"/>
              </w:rPr>
            </w:pPr>
          </w:p>
        </w:tc>
        <w:tc>
          <w:tcPr>
            <w:tcW w:w="992" w:type="dxa"/>
            <w:shd w:val="clear" w:color="auto" w:fill="886E49"/>
            <w:hideMark/>
          </w:tcPr>
          <w:p w14:paraId="27C4E3D8" w14:textId="77777777" w:rsidR="004C0ADA" w:rsidRPr="00410B68" w:rsidRDefault="004C0ADA" w:rsidP="002B5F3D">
            <w:pPr>
              <w:jc w:val="center"/>
              <w:rPr>
                <w:rFonts w:eastAsia="Times New Roman"/>
                <w:b/>
                <w:bCs/>
                <w:color w:val="FFFFFF" w:themeColor="background1"/>
                <w:sz w:val="18"/>
                <w:szCs w:val="18"/>
              </w:rPr>
            </w:pPr>
          </w:p>
        </w:tc>
        <w:tc>
          <w:tcPr>
            <w:tcW w:w="1418" w:type="dxa"/>
            <w:shd w:val="clear" w:color="auto" w:fill="886E49"/>
            <w:hideMark/>
          </w:tcPr>
          <w:p w14:paraId="4765B05B" w14:textId="77777777" w:rsidR="004C0ADA" w:rsidRPr="00410B68" w:rsidRDefault="004C0ADA" w:rsidP="002B5F3D">
            <w:pPr>
              <w:jc w:val="center"/>
              <w:rPr>
                <w:rFonts w:eastAsia="Times New Roman"/>
                <w:b/>
                <w:bCs/>
                <w:color w:val="FFFFFF" w:themeColor="background1"/>
                <w:sz w:val="18"/>
                <w:szCs w:val="18"/>
              </w:rPr>
            </w:pPr>
          </w:p>
        </w:tc>
        <w:tc>
          <w:tcPr>
            <w:tcW w:w="1813" w:type="dxa"/>
            <w:shd w:val="clear" w:color="auto" w:fill="886E49"/>
            <w:hideMark/>
          </w:tcPr>
          <w:p w14:paraId="232B7990" w14:textId="77777777" w:rsidR="004C0ADA" w:rsidRPr="00410B68" w:rsidRDefault="004C0ADA" w:rsidP="002B5F3D">
            <w:pPr>
              <w:jc w:val="center"/>
              <w:rPr>
                <w:rFonts w:eastAsia="Times New Roman"/>
                <w:b/>
                <w:bCs/>
                <w:color w:val="FFFFFF" w:themeColor="background1"/>
                <w:sz w:val="18"/>
                <w:szCs w:val="18"/>
              </w:rPr>
            </w:pPr>
          </w:p>
        </w:tc>
      </w:tr>
      <w:tr w:rsidR="002B5F3D" w:rsidRPr="002B5F3D" w14:paraId="79743E46" w14:textId="77777777" w:rsidTr="002B5F3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4395" w:type="dxa"/>
            <w:hideMark/>
          </w:tcPr>
          <w:p w14:paraId="0C68C2FC" w14:textId="77777777" w:rsidR="004C0ADA" w:rsidRPr="002B5F3D" w:rsidRDefault="004C0ADA" w:rsidP="00073CEC">
            <w:pPr>
              <w:pStyle w:val="NormalWeb"/>
              <w:rPr>
                <w:sz w:val="18"/>
                <w:szCs w:val="18"/>
              </w:rPr>
            </w:pPr>
            <w:r w:rsidRPr="002B5F3D">
              <w:rPr>
                <w:sz w:val="18"/>
                <w:szCs w:val="18"/>
              </w:rPr>
              <w:t>&lt; 16 years</w:t>
            </w:r>
          </w:p>
        </w:tc>
        <w:tc>
          <w:tcPr>
            <w:tcW w:w="1417" w:type="dxa"/>
            <w:hideMark/>
          </w:tcPr>
          <w:p w14:paraId="2A0CFE5D" w14:textId="77777777" w:rsidR="004C0ADA" w:rsidRPr="002B5F3D" w:rsidRDefault="004C0ADA" w:rsidP="002B5F3D">
            <w:pPr>
              <w:pStyle w:val="NormalWeb"/>
              <w:jc w:val="center"/>
              <w:rPr>
                <w:sz w:val="18"/>
                <w:szCs w:val="18"/>
              </w:rPr>
            </w:pPr>
            <w:r w:rsidRPr="002B5F3D">
              <w:rPr>
                <w:sz w:val="18"/>
                <w:szCs w:val="18"/>
              </w:rPr>
              <w:t>0.48 (0.34, 0.67)</w:t>
            </w:r>
          </w:p>
        </w:tc>
        <w:tc>
          <w:tcPr>
            <w:tcW w:w="992" w:type="dxa"/>
            <w:hideMark/>
          </w:tcPr>
          <w:p w14:paraId="4F86EDD5" w14:textId="77777777" w:rsidR="004C0ADA" w:rsidRPr="002B5F3D" w:rsidRDefault="004C0ADA" w:rsidP="002B5F3D">
            <w:pPr>
              <w:pStyle w:val="NormalWeb"/>
              <w:jc w:val="center"/>
              <w:rPr>
                <w:sz w:val="18"/>
                <w:szCs w:val="18"/>
              </w:rPr>
            </w:pPr>
            <w:r w:rsidRPr="002B5F3D">
              <w:rPr>
                <w:sz w:val="18"/>
                <w:szCs w:val="18"/>
              </w:rPr>
              <w:t>&lt; 0.01</w:t>
            </w:r>
          </w:p>
        </w:tc>
        <w:tc>
          <w:tcPr>
            <w:tcW w:w="1418" w:type="dxa"/>
            <w:hideMark/>
          </w:tcPr>
          <w:p w14:paraId="065ED920" w14:textId="77777777" w:rsidR="004C0ADA" w:rsidRPr="002B5F3D" w:rsidRDefault="004C0ADA" w:rsidP="002B5F3D">
            <w:pPr>
              <w:pStyle w:val="NormalWeb"/>
              <w:jc w:val="center"/>
              <w:rPr>
                <w:sz w:val="18"/>
                <w:szCs w:val="18"/>
              </w:rPr>
            </w:pPr>
            <w:r w:rsidRPr="002B5F3D">
              <w:rPr>
                <w:sz w:val="18"/>
                <w:szCs w:val="18"/>
              </w:rPr>
              <w:t>0.51 (0.34, 0.75)</w:t>
            </w:r>
          </w:p>
        </w:tc>
        <w:tc>
          <w:tcPr>
            <w:tcW w:w="1813" w:type="dxa"/>
            <w:hideMark/>
          </w:tcPr>
          <w:p w14:paraId="7FBC64CE" w14:textId="77777777" w:rsidR="004C0ADA" w:rsidRPr="002B5F3D" w:rsidRDefault="004C0ADA" w:rsidP="002B5F3D">
            <w:pPr>
              <w:pStyle w:val="NormalWeb"/>
              <w:jc w:val="center"/>
              <w:rPr>
                <w:sz w:val="18"/>
                <w:szCs w:val="18"/>
              </w:rPr>
            </w:pPr>
            <w:r w:rsidRPr="002B5F3D">
              <w:rPr>
                <w:sz w:val="18"/>
                <w:szCs w:val="18"/>
              </w:rPr>
              <w:t>&lt; 0.01</w:t>
            </w:r>
          </w:p>
        </w:tc>
      </w:tr>
      <w:tr w:rsidR="002B5F3D" w:rsidRPr="002B5F3D" w14:paraId="5E5225DE" w14:textId="77777777" w:rsidTr="002B5F3D">
        <w:tblPrEx>
          <w:tblCellMar>
            <w:top w:w="57" w:type="dxa"/>
            <w:left w:w="57" w:type="dxa"/>
            <w:bottom w:w="57" w:type="dxa"/>
            <w:right w:w="57" w:type="dxa"/>
          </w:tblCellMar>
        </w:tblPrEx>
        <w:tc>
          <w:tcPr>
            <w:tcW w:w="4395" w:type="dxa"/>
            <w:hideMark/>
          </w:tcPr>
          <w:p w14:paraId="7B8604FA" w14:textId="77777777" w:rsidR="004C0ADA" w:rsidRPr="002B5F3D" w:rsidRDefault="004C0ADA" w:rsidP="00073CEC">
            <w:pPr>
              <w:pStyle w:val="NormalWeb"/>
              <w:rPr>
                <w:sz w:val="18"/>
                <w:szCs w:val="18"/>
              </w:rPr>
            </w:pPr>
            <w:r w:rsidRPr="002B5F3D">
              <w:rPr>
                <w:sz w:val="18"/>
                <w:szCs w:val="18"/>
              </w:rPr>
              <w:t>16–64 years</w:t>
            </w:r>
          </w:p>
        </w:tc>
        <w:tc>
          <w:tcPr>
            <w:tcW w:w="1417" w:type="dxa"/>
            <w:hideMark/>
          </w:tcPr>
          <w:p w14:paraId="5F79ED45" w14:textId="77777777" w:rsidR="004C0ADA" w:rsidRPr="002B5F3D" w:rsidRDefault="004C0ADA" w:rsidP="002B5F3D">
            <w:pPr>
              <w:pStyle w:val="NormalWeb"/>
              <w:jc w:val="center"/>
              <w:rPr>
                <w:sz w:val="18"/>
                <w:szCs w:val="18"/>
              </w:rPr>
            </w:pPr>
            <w:r w:rsidRPr="002B5F3D">
              <w:rPr>
                <w:sz w:val="18"/>
                <w:szCs w:val="18"/>
              </w:rPr>
              <w:t>1</w:t>
            </w:r>
          </w:p>
        </w:tc>
        <w:tc>
          <w:tcPr>
            <w:tcW w:w="992" w:type="dxa"/>
            <w:hideMark/>
          </w:tcPr>
          <w:p w14:paraId="6390530B" w14:textId="77777777" w:rsidR="004C0ADA" w:rsidRPr="002B5F3D" w:rsidRDefault="004C0ADA" w:rsidP="002B5F3D">
            <w:pPr>
              <w:jc w:val="center"/>
              <w:rPr>
                <w:sz w:val="18"/>
                <w:szCs w:val="18"/>
              </w:rPr>
            </w:pPr>
          </w:p>
        </w:tc>
        <w:tc>
          <w:tcPr>
            <w:tcW w:w="1418" w:type="dxa"/>
            <w:hideMark/>
          </w:tcPr>
          <w:p w14:paraId="32CECB2D" w14:textId="77777777" w:rsidR="004C0ADA" w:rsidRPr="002B5F3D" w:rsidRDefault="004C0ADA" w:rsidP="002B5F3D">
            <w:pPr>
              <w:pStyle w:val="NormalWeb"/>
              <w:jc w:val="center"/>
              <w:rPr>
                <w:sz w:val="18"/>
                <w:szCs w:val="18"/>
              </w:rPr>
            </w:pPr>
            <w:r w:rsidRPr="002B5F3D">
              <w:rPr>
                <w:sz w:val="18"/>
                <w:szCs w:val="18"/>
              </w:rPr>
              <w:t>1</w:t>
            </w:r>
          </w:p>
        </w:tc>
        <w:tc>
          <w:tcPr>
            <w:tcW w:w="1813" w:type="dxa"/>
            <w:hideMark/>
          </w:tcPr>
          <w:p w14:paraId="425552B1" w14:textId="77777777" w:rsidR="004C0ADA" w:rsidRPr="002B5F3D" w:rsidRDefault="004C0ADA" w:rsidP="002B5F3D">
            <w:pPr>
              <w:jc w:val="center"/>
              <w:rPr>
                <w:sz w:val="18"/>
                <w:szCs w:val="18"/>
              </w:rPr>
            </w:pPr>
          </w:p>
        </w:tc>
      </w:tr>
      <w:tr w:rsidR="002B5F3D" w:rsidRPr="002B5F3D" w14:paraId="512B9D08" w14:textId="77777777" w:rsidTr="00073CEC">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4395" w:type="dxa"/>
            <w:tcBorders>
              <w:bottom w:val="single" w:sz="4" w:space="0" w:color="auto"/>
            </w:tcBorders>
            <w:hideMark/>
          </w:tcPr>
          <w:p w14:paraId="1083A020" w14:textId="77777777" w:rsidR="004C0ADA" w:rsidRPr="002B5F3D" w:rsidRDefault="004C0ADA" w:rsidP="00073CEC">
            <w:pPr>
              <w:pStyle w:val="NormalWeb"/>
              <w:rPr>
                <w:sz w:val="18"/>
                <w:szCs w:val="18"/>
              </w:rPr>
            </w:pPr>
            <w:r w:rsidRPr="002B5F3D">
              <w:rPr>
                <w:sz w:val="18"/>
                <w:szCs w:val="18"/>
              </w:rPr>
              <w:t>65+ years</w:t>
            </w:r>
          </w:p>
        </w:tc>
        <w:tc>
          <w:tcPr>
            <w:tcW w:w="1417" w:type="dxa"/>
            <w:tcBorders>
              <w:bottom w:val="single" w:sz="4" w:space="0" w:color="auto"/>
            </w:tcBorders>
            <w:hideMark/>
          </w:tcPr>
          <w:p w14:paraId="24A2A360" w14:textId="77777777" w:rsidR="004C0ADA" w:rsidRPr="002B5F3D" w:rsidRDefault="004C0ADA" w:rsidP="002B5F3D">
            <w:pPr>
              <w:pStyle w:val="NormalWeb"/>
              <w:jc w:val="center"/>
              <w:rPr>
                <w:sz w:val="18"/>
                <w:szCs w:val="18"/>
              </w:rPr>
            </w:pPr>
            <w:r w:rsidRPr="002B5F3D">
              <w:rPr>
                <w:sz w:val="18"/>
                <w:szCs w:val="18"/>
              </w:rPr>
              <w:t>0.62 (0.48, 0.79)</w:t>
            </w:r>
          </w:p>
        </w:tc>
        <w:tc>
          <w:tcPr>
            <w:tcW w:w="992" w:type="dxa"/>
            <w:tcBorders>
              <w:bottom w:val="single" w:sz="4" w:space="0" w:color="auto"/>
            </w:tcBorders>
            <w:hideMark/>
          </w:tcPr>
          <w:p w14:paraId="0E6252C0" w14:textId="77777777" w:rsidR="004C0ADA" w:rsidRPr="002B5F3D" w:rsidRDefault="004C0ADA" w:rsidP="002B5F3D">
            <w:pPr>
              <w:pStyle w:val="NormalWeb"/>
              <w:jc w:val="center"/>
              <w:rPr>
                <w:sz w:val="18"/>
                <w:szCs w:val="18"/>
              </w:rPr>
            </w:pPr>
            <w:r w:rsidRPr="002B5F3D">
              <w:rPr>
                <w:sz w:val="18"/>
                <w:szCs w:val="18"/>
              </w:rPr>
              <w:t>&lt; 0.01</w:t>
            </w:r>
          </w:p>
        </w:tc>
        <w:tc>
          <w:tcPr>
            <w:tcW w:w="1418" w:type="dxa"/>
            <w:tcBorders>
              <w:bottom w:val="single" w:sz="4" w:space="0" w:color="auto"/>
            </w:tcBorders>
            <w:hideMark/>
          </w:tcPr>
          <w:p w14:paraId="6D0D3E0E" w14:textId="77777777" w:rsidR="004C0ADA" w:rsidRPr="002B5F3D" w:rsidRDefault="004C0ADA" w:rsidP="002B5F3D">
            <w:pPr>
              <w:pStyle w:val="NormalWeb"/>
              <w:jc w:val="center"/>
              <w:rPr>
                <w:sz w:val="18"/>
                <w:szCs w:val="18"/>
              </w:rPr>
            </w:pPr>
            <w:r w:rsidRPr="002B5F3D">
              <w:rPr>
                <w:sz w:val="18"/>
                <w:szCs w:val="18"/>
              </w:rPr>
              <w:t>0.59 (0.45, 0.78)</w:t>
            </w:r>
          </w:p>
        </w:tc>
        <w:tc>
          <w:tcPr>
            <w:tcW w:w="1813" w:type="dxa"/>
            <w:tcBorders>
              <w:bottom w:val="single" w:sz="4" w:space="0" w:color="auto"/>
            </w:tcBorders>
            <w:hideMark/>
          </w:tcPr>
          <w:p w14:paraId="301282AB" w14:textId="77777777" w:rsidR="004C0ADA" w:rsidRPr="002B5F3D" w:rsidRDefault="004C0ADA" w:rsidP="002B5F3D">
            <w:pPr>
              <w:pStyle w:val="NormalWeb"/>
              <w:jc w:val="center"/>
              <w:rPr>
                <w:sz w:val="18"/>
                <w:szCs w:val="18"/>
              </w:rPr>
            </w:pPr>
            <w:r w:rsidRPr="002B5F3D">
              <w:rPr>
                <w:sz w:val="18"/>
                <w:szCs w:val="18"/>
              </w:rPr>
              <w:t>&lt; 0.01</w:t>
            </w:r>
          </w:p>
        </w:tc>
      </w:tr>
      <w:tr w:rsidR="002B5F3D" w:rsidRPr="002B5F3D" w14:paraId="0352ABE1" w14:textId="77777777" w:rsidTr="00073CEC">
        <w:tblPrEx>
          <w:tblCellMar>
            <w:top w:w="57" w:type="dxa"/>
            <w:left w:w="57" w:type="dxa"/>
            <w:bottom w:w="57" w:type="dxa"/>
            <w:right w:w="57" w:type="dxa"/>
          </w:tblCellMar>
        </w:tblPrEx>
        <w:tc>
          <w:tcPr>
            <w:tcW w:w="4395" w:type="dxa"/>
            <w:tcBorders>
              <w:top w:val="single" w:sz="4" w:space="0" w:color="auto"/>
            </w:tcBorders>
            <w:hideMark/>
          </w:tcPr>
          <w:p w14:paraId="11341D9E" w14:textId="77777777" w:rsidR="004C0ADA" w:rsidRPr="002B5F3D" w:rsidRDefault="004C0ADA" w:rsidP="00073CEC">
            <w:pPr>
              <w:pStyle w:val="NormalWeb"/>
              <w:rPr>
                <w:sz w:val="18"/>
                <w:szCs w:val="18"/>
              </w:rPr>
            </w:pPr>
            <w:r w:rsidRPr="002B5F3D">
              <w:rPr>
                <w:sz w:val="18"/>
                <w:szCs w:val="18"/>
              </w:rPr>
              <w:t>Medical comorbidities</w:t>
            </w:r>
          </w:p>
        </w:tc>
        <w:tc>
          <w:tcPr>
            <w:tcW w:w="1417" w:type="dxa"/>
            <w:tcBorders>
              <w:top w:val="single" w:sz="4" w:space="0" w:color="auto"/>
            </w:tcBorders>
            <w:hideMark/>
          </w:tcPr>
          <w:p w14:paraId="1760E47B" w14:textId="77777777" w:rsidR="004C0ADA" w:rsidRPr="002B5F3D" w:rsidRDefault="004C0ADA" w:rsidP="002B5F3D">
            <w:pPr>
              <w:pStyle w:val="NormalWeb"/>
              <w:jc w:val="center"/>
              <w:rPr>
                <w:sz w:val="18"/>
                <w:szCs w:val="18"/>
              </w:rPr>
            </w:pPr>
            <w:r w:rsidRPr="002B5F3D">
              <w:rPr>
                <w:sz w:val="18"/>
                <w:szCs w:val="18"/>
              </w:rPr>
              <w:t>1.63 (1.22, 2.17)</w:t>
            </w:r>
          </w:p>
        </w:tc>
        <w:tc>
          <w:tcPr>
            <w:tcW w:w="992" w:type="dxa"/>
            <w:tcBorders>
              <w:top w:val="single" w:sz="4" w:space="0" w:color="auto"/>
            </w:tcBorders>
            <w:hideMark/>
          </w:tcPr>
          <w:p w14:paraId="7B2A115B" w14:textId="77777777" w:rsidR="004C0ADA" w:rsidRPr="002B5F3D" w:rsidRDefault="004C0ADA" w:rsidP="002B5F3D">
            <w:pPr>
              <w:pStyle w:val="NormalWeb"/>
              <w:jc w:val="center"/>
              <w:rPr>
                <w:sz w:val="18"/>
                <w:szCs w:val="18"/>
              </w:rPr>
            </w:pPr>
            <w:r w:rsidRPr="002B5F3D">
              <w:rPr>
                <w:sz w:val="18"/>
                <w:szCs w:val="18"/>
              </w:rPr>
              <w:t>&lt; 0.01</w:t>
            </w:r>
          </w:p>
        </w:tc>
        <w:tc>
          <w:tcPr>
            <w:tcW w:w="1418" w:type="dxa"/>
            <w:tcBorders>
              <w:top w:val="single" w:sz="4" w:space="0" w:color="auto"/>
            </w:tcBorders>
            <w:hideMark/>
          </w:tcPr>
          <w:p w14:paraId="17E8C5A0" w14:textId="77777777" w:rsidR="004C0ADA" w:rsidRPr="002B5F3D" w:rsidRDefault="004C0ADA" w:rsidP="002B5F3D">
            <w:pPr>
              <w:pStyle w:val="NormalWeb"/>
              <w:jc w:val="center"/>
              <w:rPr>
                <w:sz w:val="18"/>
                <w:szCs w:val="18"/>
              </w:rPr>
            </w:pPr>
            <w:r w:rsidRPr="002B5F3D">
              <w:rPr>
                <w:sz w:val="18"/>
                <w:szCs w:val="18"/>
              </w:rPr>
              <w:t>1.67 (1.23, 2.28)</w:t>
            </w:r>
          </w:p>
        </w:tc>
        <w:tc>
          <w:tcPr>
            <w:tcW w:w="1813" w:type="dxa"/>
            <w:tcBorders>
              <w:top w:val="single" w:sz="4" w:space="0" w:color="auto"/>
            </w:tcBorders>
            <w:hideMark/>
          </w:tcPr>
          <w:p w14:paraId="57F23E73" w14:textId="77777777" w:rsidR="004C0ADA" w:rsidRPr="002B5F3D" w:rsidRDefault="004C0ADA" w:rsidP="002B5F3D">
            <w:pPr>
              <w:pStyle w:val="NormalWeb"/>
              <w:jc w:val="center"/>
              <w:rPr>
                <w:sz w:val="18"/>
                <w:szCs w:val="18"/>
              </w:rPr>
            </w:pPr>
            <w:r w:rsidRPr="002B5F3D">
              <w:rPr>
                <w:sz w:val="18"/>
                <w:szCs w:val="18"/>
              </w:rPr>
              <w:t>&lt; 0.01</w:t>
            </w:r>
          </w:p>
        </w:tc>
      </w:tr>
      <w:tr w:rsidR="002B5F3D" w:rsidRPr="002B5F3D" w14:paraId="2785AA72" w14:textId="77777777" w:rsidTr="002B5F3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4395" w:type="dxa"/>
            <w:hideMark/>
          </w:tcPr>
          <w:p w14:paraId="15989202" w14:textId="77777777" w:rsidR="004C0ADA" w:rsidRPr="002B5F3D" w:rsidRDefault="004C0ADA" w:rsidP="00073CEC">
            <w:pPr>
              <w:pStyle w:val="NormalWeb"/>
              <w:rPr>
                <w:sz w:val="18"/>
                <w:szCs w:val="18"/>
              </w:rPr>
            </w:pPr>
            <w:r w:rsidRPr="002B5F3D">
              <w:rPr>
                <w:sz w:val="18"/>
                <w:szCs w:val="18"/>
              </w:rPr>
              <w:t>Aboriginal or Torres Strait Islander peoples</w:t>
            </w:r>
          </w:p>
        </w:tc>
        <w:tc>
          <w:tcPr>
            <w:tcW w:w="1417" w:type="dxa"/>
            <w:hideMark/>
          </w:tcPr>
          <w:p w14:paraId="19262435" w14:textId="77777777" w:rsidR="004C0ADA" w:rsidRPr="002B5F3D" w:rsidRDefault="004C0ADA" w:rsidP="002B5F3D">
            <w:pPr>
              <w:pStyle w:val="NormalWeb"/>
              <w:jc w:val="center"/>
              <w:rPr>
                <w:sz w:val="18"/>
                <w:szCs w:val="18"/>
              </w:rPr>
            </w:pPr>
            <w:r w:rsidRPr="002B5F3D">
              <w:rPr>
                <w:sz w:val="18"/>
                <w:szCs w:val="18"/>
              </w:rPr>
              <w:t>1.15 (0.77, 1.73)</w:t>
            </w:r>
          </w:p>
        </w:tc>
        <w:tc>
          <w:tcPr>
            <w:tcW w:w="992" w:type="dxa"/>
            <w:hideMark/>
          </w:tcPr>
          <w:p w14:paraId="6747C8B0" w14:textId="77777777" w:rsidR="004C0ADA" w:rsidRPr="002B5F3D" w:rsidRDefault="004C0ADA" w:rsidP="002B5F3D">
            <w:pPr>
              <w:pStyle w:val="NormalWeb"/>
              <w:jc w:val="center"/>
              <w:rPr>
                <w:sz w:val="18"/>
                <w:szCs w:val="18"/>
              </w:rPr>
            </w:pPr>
            <w:r w:rsidRPr="002B5F3D">
              <w:rPr>
                <w:sz w:val="18"/>
                <w:szCs w:val="18"/>
              </w:rPr>
              <w:t>0.49</w:t>
            </w:r>
          </w:p>
        </w:tc>
        <w:tc>
          <w:tcPr>
            <w:tcW w:w="1418" w:type="dxa"/>
            <w:hideMark/>
          </w:tcPr>
          <w:p w14:paraId="47EAF40F" w14:textId="77777777" w:rsidR="004C0ADA" w:rsidRPr="002B5F3D" w:rsidRDefault="004C0ADA" w:rsidP="002B5F3D">
            <w:pPr>
              <w:pStyle w:val="NormalWeb"/>
              <w:jc w:val="center"/>
              <w:rPr>
                <w:sz w:val="18"/>
                <w:szCs w:val="18"/>
              </w:rPr>
            </w:pPr>
            <w:r w:rsidRPr="002B5F3D">
              <w:rPr>
                <w:sz w:val="18"/>
                <w:szCs w:val="18"/>
              </w:rPr>
              <w:t>0.89 (0.58, 1.36)</w:t>
            </w:r>
          </w:p>
        </w:tc>
        <w:tc>
          <w:tcPr>
            <w:tcW w:w="1813" w:type="dxa"/>
            <w:hideMark/>
          </w:tcPr>
          <w:p w14:paraId="1BA1C169" w14:textId="77777777" w:rsidR="004C0ADA" w:rsidRPr="002B5F3D" w:rsidRDefault="004C0ADA" w:rsidP="002B5F3D">
            <w:pPr>
              <w:pStyle w:val="NormalWeb"/>
              <w:jc w:val="center"/>
              <w:rPr>
                <w:sz w:val="18"/>
                <w:szCs w:val="18"/>
              </w:rPr>
            </w:pPr>
            <w:r w:rsidRPr="002B5F3D">
              <w:rPr>
                <w:sz w:val="18"/>
                <w:szCs w:val="18"/>
              </w:rPr>
              <w:t>0.58</w:t>
            </w:r>
          </w:p>
        </w:tc>
      </w:tr>
      <w:tr w:rsidR="002B5F3D" w:rsidRPr="002B5F3D" w14:paraId="038C64E7" w14:textId="77777777" w:rsidTr="002B5F3D">
        <w:tblPrEx>
          <w:tblCellMar>
            <w:top w:w="57" w:type="dxa"/>
            <w:left w:w="57" w:type="dxa"/>
            <w:bottom w:w="57" w:type="dxa"/>
            <w:right w:w="57" w:type="dxa"/>
          </w:tblCellMar>
        </w:tblPrEx>
        <w:tc>
          <w:tcPr>
            <w:tcW w:w="4395" w:type="dxa"/>
            <w:hideMark/>
          </w:tcPr>
          <w:p w14:paraId="4DE88DF6" w14:textId="77777777" w:rsidR="004C0ADA" w:rsidRPr="002B5F3D" w:rsidRDefault="004C0ADA" w:rsidP="00073CEC">
            <w:pPr>
              <w:pStyle w:val="NormalWeb"/>
              <w:rPr>
                <w:sz w:val="18"/>
                <w:szCs w:val="18"/>
              </w:rPr>
            </w:pPr>
            <w:r w:rsidRPr="002B5F3D">
              <w:rPr>
                <w:sz w:val="18"/>
                <w:szCs w:val="18"/>
              </w:rPr>
              <w:t>Pregnancy</w:t>
            </w:r>
          </w:p>
        </w:tc>
        <w:tc>
          <w:tcPr>
            <w:tcW w:w="1417" w:type="dxa"/>
            <w:hideMark/>
          </w:tcPr>
          <w:p w14:paraId="6D9AF932" w14:textId="77777777" w:rsidR="004C0ADA" w:rsidRPr="002B5F3D" w:rsidRDefault="004C0ADA" w:rsidP="002B5F3D">
            <w:pPr>
              <w:pStyle w:val="NormalWeb"/>
              <w:jc w:val="center"/>
              <w:rPr>
                <w:sz w:val="18"/>
                <w:szCs w:val="18"/>
              </w:rPr>
            </w:pPr>
            <w:r w:rsidRPr="002B5F3D">
              <w:rPr>
                <w:sz w:val="18"/>
                <w:szCs w:val="18"/>
              </w:rPr>
              <w:t>0.93 (0.37, 2.32)</w:t>
            </w:r>
          </w:p>
        </w:tc>
        <w:tc>
          <w:tcPr>
            <w:tcW w:w="992" w:type="dxa"/>
            <w:hideMark/>
          </w:tcPr>
          <w:p w14:paraId="6D56E367" w14:textId="77777777" w:rsidR="004C0ADA" w:rsidRPr="002B5F3D" w:rsidRDefault="004C0ADA" w:rsidP="002B5F3D">
            <w:pPr>
              <w:pStyle w:val="NormalWeb"/>
              <w:jc w:val="center"/>
              <w:rPr>
                <w:sz w:val="18"/>
                <w:szCs w:val="18"/>
              </w:rPr>
            </w:pPr>
            <w:r w:rsidRPr="002B5F3D">
              <w:rPr>
                <w:sz w:val="18"/>
                <w:szCs w:val="18"/>
              </w:rPr>
              <w:t>0.87</w:t>
            </w:r>
          </w:p>
        </w:tc>
        <w:tc>
          <w:tcPr>
            <w:tcW w:w="1418" w:type="dxa"/>
            <w:hideMark/>
          </w:tcPr>
          <w:p w14:paraId="395EEA84" w14:textId="77777777" w:rsidR="004C0ADA" w:rsidRPr="002B5F3D" w:rsidRDefault="004C0ADA" w:rsidP="002B5F3D">
            <w:pPr>
              <w:pStyle w:val="NormalWeb"/>
              <w:jc w:val="center"/>
              <w:rPr>
                <w:sz w:val="18"/>
                <w:szCs w:val="18"/>
              </w:rPr>
            </w:pPr>
            <w:r w:rsidRPr="002B5F3D">
              <w:rPr>
                <w:sz w:val="18"/>
                <w:szCs w:val="18"/>
              </w:rPr>
              <w:t>0.58 (0.23, 1.46)</w:t>
            </w:r>
          </w:p>
        </w:tc>
        <w:tc>
          <w:tcPr>
            <w:tcW w:w="1813" w:type="dxa"/>
            <w:hideMark/>
          </w:tcPr>
          <w:p w14:paraId="0957ACCA" w14:textId="77777777" w:rsidR="004C0ADA" w:rsidRPr="002B5F3D" w:rsidRDefault="004C0ADA" w:rsidP="002B5F3D">
            <w:pPr>
              <w:pStyle w:val="NormalWeb"/>
              <w:jc w:val="center"/>
              <w:rPr>
                <w:sz w:val="18"/>
                <w:szCs w:val="18"/>
              </w:rPr>
            </w:pPr>
            <w:r w:rsidRPr="002B5F3D">
              <w:rPr>
                <w:sz w:val="18"/>
                <w:szCs w:val="18"/>
              </w:rPr>
              <w:t>0.25</w:t>
            </w:r>
          </w:p>
        </w:tc>
      </w:tr>
      <w:tr w:rsidR="002B5F3D" w:rsidRPr="002B5F3D" w14:paraId="418550D5" w14:textId="77777777" w:rsidTr="002B5F3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4395" w:type="dxa"/>
            <w:hideMark/>
          </w:tcPr>
          <w:p w14:paraId="3C07A924" w14:textId="77777777" w:rsidR="004C0ADA" w:rsidRPr="002B5F3D" w:rsidRDefault="004C0ADA" w:rsidP="00073CEC">
            <w:pPr>
              <w:pStyle w:val="NormalWeb"/>
              <w:rPr>
                <w:sz w:val="18"/>
                <w:szCs w:val="18"/>
              </w:rPr>
            </w:pPr>
            <w:r w:rsidRPr="002B5F3D">
              <w:rPr>
                <w:sz w:val="18"/>
                <w:szCs w:val="18"/>
              </w:rPr>
              <w:t>Restricted functional status</w:t>
            </w:r>
          </w:p>
        </w:tc>
        <w:tc>
          <w:tcPr>
            <w:tcW w:w="1417" w:type="dxa"/>
            <w:hideMark/>
          </w:tcPr>
          <w:p w14:paraId="0CF09EE7" w14:textId="77777777" w:rsidR="004C0ADA" w:rsidRPr="002B5F3D" w:rsidRDefault="004C0ADA" w:rsidP="002B5F3D">
            <w:pPr>
              <w:pStyle w:val="NormalWeb"/>
              <w:jc w:val="center"/>
              <w:rPr>
                <w:sz w:val="18"/>
                <w:szCs w:val="18"/>
              </w:rPr>
            </w:pPr>
            <w:r w:rsidRPr="002B5F3D">
              <w:rPr>
                <w:sz w:val="18"/>
                <w:szCs w:val="18"/>
              </w:rPr>
              <w:t>1.11 (0.88, 1.40)</w:t>
            </w:r>
          </w:p>
        </w:tc>
        <w:tc>
          <w:tcPr>
            <w:tcW w:w="992" w:type="dxa"/>
            <w:hideMark/>
          </w:tcPr>
          <w:p w14:paraId="060CA8B6" w14:textId="77777777" w:rsidR="004C0ADA" w:rsidRPr="002B5F3D" w:rsidRDefault="004C0ADA" w:rsidP="002B5F3D">
            <w:pPr>
              <w:pStyle w:val="NormalWeb"/>
              <w:jc w:val="center"/>
              <w:rPr>
                <w:sz w:val="18"/>
                <w:szCs w:val="18"/>
              </w:rPr>
            </w:pPr>
            <w:r w:rsidRPr="002B5F3D">
              <w:rPr>
                <w:sz w:val="18"/>
                <w:szCs w:val="18"/>
              </w:rPr>
              <w:t>0.38</w:t>
            </w:r>
          </w:p>
        </w:tc>
        <w:tc>
          <w:tcPr>
            <w:tcW w:w="1418" w:type="dxa"/>
            <w:hideMark/>
          </w:tcPr>
          <w:p w14:paraId="2EB108B6" w14:textId="77777777" w:rsidR="004C0ADA" w:rsidRPr="002B5F3D" w:rsidRDefault="004C0ADA" w:rsidP="002B5F3D">
            <w:pPr>
              <w:pStyle w:val="NormalWeb"/>
              <w:jc w:val="center"/>
              <w:rPr>
                <w:sz w:val="18"/>
                <w:szCs w:val="18"/>
              </w:rPr>
            </w:pPr>
            <w:r w:rsidRPr="002B5F3D">
              <w:rPr>
                <w:sz w:val="18"/>
                <w:szCs w:val="18"/>
              </w:rPr>
              <w:t>0.81 (0.62, 1.05)</w:t>
            </w:r>
          </w:p>
        </w:tc>
        <w:tc>
          <w:tcPr>
            <w:tcW w:w="1813" w:type="dxa"/>
            <w:hideMark/>
          </w:tcPr>
          <w:p w14:paraId="58A8099A" w14:textId="77777777" w:rsidR="004C0ADA" w:rsidRPr="002B5F3D" w:rsidRDefault="004C0ADA" w:rsidP="002B5F3D">
            <w:pPr>
              <w:pStyle w:val="NormalWeb"/>
              <w:jc w:val="center"/>
              <w:rPr>
                <w:sz w:val="18"/>
                <w:szCs w:val="18"/>
              </w:rPr>
            </w:pPr>
            <w:r w:rsidRPr="002B5F3D">
              <w:rPr>
                <w:sz w:val="18"/>
                <w:szCs w:val="18"/>
              </w:rPr>
              <w:t>0.12</w:t>
            </w:r>
          </w:p>
        </w:tc>
      </w:tr>
      <w:tr w:rsidR="00410B68" w:rsidRPr="00410B68" w14:paraId="25064BD0" w14:textId="77777777" w:rsidTr="00410B68">
        <w:tblPrEx>
          <w:tblCellMar>
            <w:top w:w="57" w:type="dxa"/>
            <w:left w:w="57" w:type="dxa"/>
            <w:bottom w:w="57" w:type="dxa"/>
            <w:right w:w="57" w:type="dxa"/>
          </w:tblCellMar>
        </w:tblPrEx>
        <w:tc>
          <w:tcPr>
            <w:tcW w:w="4395" w:type="dxa"/>
            <w:shd w:val="clear" w:color="auto" w:fill="886E49"/>
            <w:hideMark/>
          </w:tcPr>
          <w:p w14:paraId="327AC6D5" w14:textId="77777777" w:rsidR="004C0ADA" w:rsidRPr="00410B68" w:rsidRDefault="004C0ADA" w:rsidP="00073CEC">
            <w:pPr>
              <w:pStyle w:val="NormalWeb"/>
              <w:rPr>
                <w:b/>
                <w:bCs/>
                <w:color w:val="FFFFFF" w:themeColor="background1"/>
                <w:sz w:val="18"/>
                <w:szCs w:val="18"/>
              </w:rPr>
            </w:pPr>
            <w:r w:rsidRPr="00410B68">
              <w:rPr>
                <w:b/>
                <w:bCs/>
                <w:color w:val="FFFFFF" w:themeColor="background1"/>
                <w:sz w:val="18"/>
                <w:szCs w:val="18"/>
              </w:rPr>
              <w:t>Influenza type/subtype</w:t>
            </w:r>
          </w:p>
        </w:tc>
        <w:tc>
          <w:tcPr>
            <w:tcW w:w="1417" w:type="dxa"/>
            <w:shd w:val="clear" w:color="auto" w:fill="886E49"/>
            <w:hideMark/>
          </w:tcPr>
          <w:p w14:paraId="2B2AAFD9" w14:textId="77777777" w:rsidR="004C0ADA" w:rsidRPr="00410B68" w:rsidRDefault="004C0ADA" w:rsidP="002B5F3D">
            <w:pPr>
              <w:jc w:val="center"/>
              <w:rPr>
                <w:b/>
                <w:bCs/>
                <w:color w:val="FFFFFF" w:themeColor="background1"/>
                <w:sz w:val="18"/>
                <w:szCs w:val="18"/>
              </w:rPr>
            </w:pPr>
          </w:p>
        </w:tc>
        <w:tc>
          <w:tcPr>
            <w:tcW w:w="992" w:type="dxa"/>
            <w:shd w:val="clear" w:color="auto" w:fill="886E49"/>
            <w:hideMark/>
          </w:tcPr>
          <w:p w14:paraId="1FA8E2D6" w14:textId="77777777" w:rsidR="004C0ADA" w:rsidRPr="00410B68" w:rsidRDefault="004C0ADA" w:rsidP="002B5F3D">
            <w:pPr>
              <w:jc w:val="center"/>
              <w:rPr>
                <w:rFonts w:eastAsia="Times New Roman"/>
                <w:b/>
                <w:bCs/>
                <w:color w:val="FFFFFF" w:themeColor="background1"/>
                <w:sz w:val="18"/>
                <w:szCs w:val="18"/>
              </w:rPr>
            </w:pPr>
          </w:p>
        </w:tc>
        <w:tc>
          <w:tcPr>
            <w:tcW w:w="1418" w:type="dxa"/>
            <w:shd w:val="clear" w:color="auto" w:fill="886E49"/>
            <w:hideMark/>
          </w:tcPr>
          <w:p w14:paraId="2D12FEC4" w14:textId="77777777" w:rsidR="004C0ADA" w:rsidRPr="00410B68" w:rsidRDefault="004C0ADA" w:rsidP="002B5F3D">
            <w:pPr>
              <w:jc w:val="center"/>
              <w:rPr>
                <w:rFonts w:eastAsia="Times New Roman"/>
                <w:b/>
                <w:bCs/>
                <w:color w:val="FFFFFF" w:themeColor="background1"/>
                <w:sz w:val="18"/>
                <w:szCs w:val="18"/>
              </w:rPr>
            </w:pPr>
          </w:p>
        </w:tc>
        <w:tc>
          <w:tcPr>
            <w:tcW w:w="1813" w:type="dxa"/>
            <w:shd w:val="clear" w:color="auto" w:fill="886E49"/>
            <w:hideMark/>
          </w:tcPr>
          <w:p w14:paraId="4CC46292" w14:textId="77777777" w:rsidR="004C0ADA" w:rsidRPr="00410B68" w:rsidRDefault="004C0ADA" w:rsidP="002B5F3D">
            <w:pPr>
              <w:jc w:val="center"/>
              <w:rPr>
                <w:rFonts w:eastAsia="Times New Roman"/>
                <w:b/>
                <w:bCs/>
                <w:color w:val="FFFFFF" w:themeColor="background1"/>
                <w:sz w:val="18"/>
                <w:szCs w:val="18"/>
              </w:rPr>
            </w:pPr>
          </w:p>
        </w:tc>
      </w:tr>
      <w:tr w:rsidR="002B5F3D" w:rsidRPr="002B5F3D" w14:paraId="26840F46" w14:textId="77777777" w:rsidTr="002B5F3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4395" w:type="dxa"/>
            <w:hideMark/>
          </w:tcPr>
          <w:p w14:paraId="7D973D0E" w14:textId="77777777" w:rsidR="004C0ADA" w:rsidRPr="002B5F3D" w:rsidRDefault="004C0ADA" w:rsidP="00073CEC">
            <w:pPr>
              <w:pStyle w:val="NormalWeb"/>
              <w:rPr>
                <w:sz w:val="18"/>
                <w:szCs w:val="18"/>
              </w:rPr>
            </w:pPr>
            <w:r w:rsidRPr="002B5F3D">
              <w:rPr>
                <w:sz w:val="18"/>
                <w:szCs w:val="18"/>
              </w:rPr>
              <w:t>A/H1</w:t>
            </w:r>
          </w:p>
        </w:tc>
        <w:tc>
          <w:tcPr>
            <w:tcW w:w="1417" w:type="dxa"/>
            <w:hideMark/>
          </w:tcPr>
          <w:p w14:paraId="2E0E41C4" w14:textId="77777777" w:rsidR="004C0ADA" w:rsidRPr="002B5F3D" w:rsidRDefault="004C0ADA" w:rsidP="002B5F3D">
            <w:pPr>
              <w:pStyle w:val="NormalWeb"/>
              <w:jc w:val="center"/>
              <w:rPr>
                <w:sz w:val="18"/>
                <w:szCs w:val="18"/>
              </w:rPr>
            </w:pPr>
            <w:r w:rsidRPr="002B5F3D">
              <w:rPr>
                <w:sz w:val="18"/>
                <w:szCs w:val="18"/>
              </w:rPr>
              <w:t>3.33 (2.05, 5.42)</w:t>
            </w:r>
          </w:p>
        </w:tc>
        <w:tc>
          <w:tcPr>
            <w:tcW w:w="992" w:type="dxa"/>
            <w:hideMark/>
          </w:tcPr>
          <w:p w14:paraId="73FDC375" w14:textId="77777777" w:rsidR="004C0ADA" w:rsidRPr="002B5F3D" w:rsidRDefault="004C0ADA" w:rsidP="002B5F3D">
            <w:pPr>
              <w:pStyle w:val="NormalWeb"/>
              <w:jc w:val="center"/>
              <w:rPr>
                <w:sz w:val="18"/>
                <w:szCs w:val="18"/>
              </w:rPr>
            </w:pPr>
            <w:r w:rsidRPr="002B5F3D">
              <w:rPr>
                <w:sz w:val="18"/>
                <w:szCs w:val="18"/>
              </w:rPr>
              <w:t>&lt; 0.01</w:t>
            </w:r>
          </w:p>
        </w:tc>
        <w:tc>
          <w:tcPr>
            <w:tcW w:w="1418" w:type="dxa"/>
            <w:hideMark/>
          </w:tcPr>
          <w:p w14:paraId="694055BD" w14:textId="77777777" w:rsidR="004C0ADA" w:rsidRPr="002B5F3D" w:rsidRDefault="004C0ADA" w:rsidP="002B5F3D">
            <w:pPr>
              <w:pStyle w:val="NormalWeb"/>
              <w:jc w:val="center"/>
              <w:rPr>
                <w:sz w:val="18"/>
                <w:szCs w:val="18"/>
              </w:rPr>
            </w:pPr>
            <w:r w:rsidRPr="002B5F3D">
              <w:rPr>
                <w:sz w:val="18"/>
                <w:szCs w:val="18"/>
              </w:rPr>
              <w:t>2.67 (1.61, 4.41)</w:t>
            </w:r>
          </w:p>
        </w:tc>
        <w:tc>
          <w:tcPr>
            <w:tcW w:w="1813" w:type="dxa"/>
            <w:hideMark/>
          </w:tcPr>
          <w:p w14:paraId="642625C6" w14:textId="77777777" w:rsidR="004C0ADA" w:rsidRPr="002B5F3D" w:rsidRDefault="004C0ADA" w:rsidP="002B5F3D">
            <w:pPr>
              <w:pStyle w:val="NormalWeb"/>
              <w:jc w:val="center"/>
              <w:rPr>
                <w:sz w:val="18"/>
                <w:szCs w:val="18"/>
              </w:rPr>
            </w:pPr>
            <w:r w:rsidRPr="002B5F3D">
              <w:rPr>
                <w:sz w:val="18"/>
                <w:szCs w:val="18"/>
              </w:rPr>
              <w:t>&lt; 0.01</w:t>
            </w:r>
          </w:p>
        </w:tc>
      </w:tr>
      <w:tr w:rsidR="002B5F3D" w:rsidRPr="002B5F3D" w14:paraId="0F10A3FF" w14:textId="77777777" w:rsidTr="002B5F3D">
        <w:tblPrEx>
          <w:tblCellMar>
            <w:top w:w="57" w:type="dxa"/>
            <w:left w:w="57" w:type="dxa"/>
            <w:bottom w:w="57" w:type="dxa"/>
            <w:right w:w="57" w:type="dxa"/>
          </w:tblCellMar>
        </w:tblPrEx>
        <w:tc>
          <w:tcPr>
            <w:tcW w:w="4395" w:type="dxa"/>
            <w:hideMark/>
          </w:tcPr>
          <w:p w14:paraId="334AAAF3" w14:textId="77777777" w:rsidR="004C0ADA" w:rsidRPr="002B5F3D" w:rsidRDefault="004C0ADA" w:rsidP="00073CEC">
            <w:pPr>
              <w:pStyle w:val="NormalWeb"/>
              <w:rPr>
                <w:sz w:val="18"/>
                <w:szCs w:val="18"/>
              </w:rPr>
            </w:pPr>
            <w:r w:rsidRPr="002B5F3D">
              <w:rPr>
                <w:sz w:val="18"/>
                <w:szCs w:val="18"/>
              </w:rPr>
              <w:t>A/H3</w:t>
            </w:r>
          </w:p>
        </w:tc>
        <w:tc>
          <w:tcPr>
            <w:tcW w:w="1417" w:type="dxa"/>
            <w:hideMark/>
          </w:tcPr>
          <w:p w14:paraId="528D00CC" w14:textId="77777777" w:rsidR="004C0ADA" w:rsidRPr="002B5F3D" w:rsidRDefault="004C0ADA" w:rsidP="002B5F3D">
            <w:pPr>
              <w:pStyle w:val="NormalWeb"/>
              <w:jc w:val="center"/>
              <w:rPr>
                <w:sz w:val="18"/>
                <w:szCs w:val="18"/>
              </w:rPr>
            </w:pPr>
            <w:r w:rsidRPr="002B5F3D">
              <w:rPr>
                <w:sz w:val="18"/>
                <w:szCs w:val="18"/>
              </w:rPr>
              <w:t>1.44 (0.94, 2.19)</w:t>
            </w:r>
          </w:p>
        </w:tc>
        <w:tc>
          <w:tcPr>
            <w:tcW w:w="992" w:type="dxa"/>
            <w:hideMark/>
          </w:tcPr>
          <w:p w14:paraId="066467C2" w14:textId="77777777" w:rsidR="004C0ADA" w:rsidRPr="002B5F3D" w:rsidRDefault="004C0ADA" w:rsidP="002B5F3D">
            <w:pPr>
              <w:pStyle w:val="NormalWeb"/>
              <w:jc w:val="center"/>
              <w:rPr>
                <w:sz w:val="18"/>
                <w:szCs w:val="18"/>
              </w:rPr>
            </w:pPr>
            <w:r w:rsidRPr="002B5F3D">
              <w:rPr>
                <w:sz w:val="18"/>
                <w:szCs w:val="18"/>
              </w:rPr>
              <w:t>0.09</w:t>
            </w:r>
          </w:p>
        </w:tc>
        <w:tc>
          <w:tcPr>
            <w:tcW w:w="1418" w:type="dxa"/>
            <w:hideMark/>
          </w:tcPr>
          <w:p w14:paraId="54ED2231" w14:textId="77777777" w:rsidR="004C0ADA" w:rsidRPr="002B5F3D" w:rsidRDefault="004C0ADA" w:rsidP="002B5F3D">
            <w:pPr>
              <w:pStyle w:val="NormalWeb"/>
              <w:jc w:val="center"/>
              <w:rPr>
                <w:sz w:val="18"/>
                <w:szCs w:val="18"/>
              </w:rPr>
            </w:pPr>
            <w:r w:rsidRPr="002B5F3D">
              <w:rPr>
                <w:sz w:val="18"/>
                <w:szCs w:val="18"/>
              </w:rPr>
              <w:t>1.30 (0.84, 2.03)</w:t>
            </w:r>
          </w:p>
        </w:tc>
        <w:tc>
          <w:tcPr>
            <w:tcW w:w="1813" w:type="dxa"/>
            <w:hideMark/>
          </w:tcPr>
          <w:p w14:paraId="28458BCB" w14:textId="77777777" w:rsidR="004C0ADA" w:rsidRPr="002B5F3D" w:rsidRDefault="004C0ADA" w:rsidP="002B5F3D">
            <w:pPr>
              <w:pStyle w:val="NormalWeb"/>
              <w:jc w:val="center"/>
              <w:rPr>
                <w:sz w:val="18"/>
                <w:szCs w:val="18"/>
              </w:rPr>
            </w:pPr>
            <w:r w:rsidRPr="002B5F3D">
              <w:rPr>
                <w:sz w:val="18"/>
                <w:szCs w:val="18"/>
              </w:rPr>
              <w:t>0.24</w:t>
            </w:r>
          </w:p>
        </w:tc>
      </w:tr>
      <w:tr w:rsidR="002B5F3D" w:rsidRPr="002B5F3D" w14:paraId="49DB97B4" w14:textId="77777777" w:rsidTr="002B5F3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4395" w:type="dxa"/>
            <w:hideMark/>
          </w:tcPr>
          <w:p w14:paraId="0C70186D" w14:textId="77777777" w:rsidR="004C0ADA" w:rsidRPr="002B5F3D" w:rsidRDefault="004C0ADA" w:rsidP="00073CEC">
            <w:pPr>
              <w:pStyle w:val="NormalWeb"/>
              <w:rPr>
                <w:sz w:val="18"/>
                <w:szCs w:val="18"/>
              </w:rPr>
            </w:pPr>
            <w:r w:rsidRPr="002B5F3D">
              <w:rPr>
                <w:sz w:val="18"/>
                <w:szCs w:val="18"/>
              </w:rPr>
              <w:t>A/</w:t>
            </w:r>
            <w:proofErr w:type="spellStart"/>
            <w:r w:rsidRPr="002B5F3D">
              <w:rPr>
                <w:sz w:val="18"/>
                <w:szCs w:val="18"/>
              </w:rPr>
              <w:t>unk</w:t>
            </w:r>
            <w:proofErr w:type="spellEnd"/>
          </w:p>
        </w:tc>
        <w:tc>
          <w:tcPr>
            <w:tcW w:w="1417" w:type="dxa"/>
            <w:hideMark/>
          </w:tcPr>
          <w:p w14:paraId="4365B635" w14:textId="77777777" w:rsidR="004C0ADA" w:rsidRPr="002B5F3D" w:rsidRDefault="004C0ADA" w:rsidP="002B5F3D">
            <w:pPr>
              <w:pStyle w:val="NormalWeb"/>
              <w:jc w:val="center"/>
              <w:rPr>
                <w:sz w:val="18"/>
                <w:szCs w:val="18"/>
              </w:rPr>
            </w:pPr>
            <w:r w:rsidRPr="002B5F3D">
              <w:rPr>
                <w:sz w:val="18"/>
                <w:szCs w:val="18"/>
              </w:rPr>
              <w:t>1.55 (1.05, 2.29)</w:t>
            </w:r>
          </w:p>
        </w:tc>
        <w:tc>
          <w:tcPr>
            <w:tcW w:w="992" w:type="dxa"/>
            <w:hideMark/>
          </w:tcPr>
          <w:p w14:paraId="300BFA54" w14:textId="77777777" w:rsidR="004C0ADA" w:rsidRPr="002B5F3D" w:rsidRDefault="004C0ADA" w:rsidP="002B5F3D">
            <w:pPr>
              <w:pStyle w:val="NormalWeb"/>
              <w:jc w:val="center"/>
              <w:rPr>
                <w:sz w:val="18"/>
                <w:szCs w:val="18"/>
              </w:rPr>
            </w:pPr>
            <w:r w:rsidRPr="002B5F3D">
              <w:rPr>
                <w:sz w:val="18"/>
                <w:szCs w:val="18"/>
              </w:rPr>
              <w:t>0.03</w:t>
            </w:r>
          </w:p>
        </w:tc>
        <w:tc>
          <w:tcPr>
            <w:tcW w:w="1418" w:type="dxa"/>
            <w:hideMark/>
          </w:tcPr>
          <w:p w14:paraId="568F31A5" w14:textId="77777777" w:rsidR="004C0ADA" w:rsidRPr="002B5F3D" w:rsidRDefault="004C0ADA" w:rsidP="002B5F3D">
            <w:pPr>
              <w:pStyle w:val="NormalWeb"/>
              <w:jc w:val="center"/>
              <w:rPr>
                <w:sz w:val="18"/>
                <w:szCs w:val="18"/>
              </w:rPr>
            </w:pPr>
            <w:r w:rsidRPr="002B5F3D">
              <w:rPr>
                <w:sz w:val="18"/>
                <w:szCs w:val="18"/>
              </w:rPr>
              <w:t>1.41 (0.93, 2.12)</w:t>
            </w:r>
          </w:p>
        </w:tc>
        <w:tc>
          <w:tcPr>
            <w:tcW w:w="1813" w:type="dxa"/>
            <w:hideMark/>
          </w:tcPr>
          <w:p w14:paraId="4E706B92" w14:textId="77777777" w:rsidR="004C0ADA" w:rsidRPr="002B5F3D" w:rsidRDefault="004C0ADA" w:rsidP="002B5F3D">
            <w:pPr>
              <w:pStyle w:val="NormalWeb"/>
              <w:jc w:val="center"/>
              <w:rPr>
                <w:sz w:val="18"/>
                <w:szCs w:val="18"/>
              </w:rPr>
            </w:pPr>
            <w:r w:rsidRPr="002B5F3D">
              <w:rPr>
                <w:sz w:val="18"/>
                <w:szCs w:val="18"/>
              </w:rPr>
              <w:t>0.10</w:t>
            </w:r>
          </w:p>
        </w:tc>
      </w:tr>
      <w:tr w:rsidR="002B5F3D" w:rsidRPr="002B5F3D" w14:paraId="1BD71ABE" w14:textId="77777777" w:rsidTr="002B5F3D">
        <w:tblPrEx>
          <w:tblCellMar>
            <w:top w:w="57" w:type="dxa"/>
            <w:left w:w="57" w:type="dxa"/>
            <w:bottom w:w="57" w:type="dxa"/>
            <w:right w:w="57" w:type="dxa"/>
          </w:tblCellMar>
        </w:tblPrEx>
        <w:tc>
          <w:tcPr>
            <w:tcW w:w="4395" w:type="dxa"/>
            <w:tcBorders>
              <w:bottom w:val="single" w:sz="2" w:space="0" w:color="808080" w:themeColor="background1" w:themeShade="80"/>
            </w:tcBorders>
            <w:hideMark/>
          </w:tcPr>
          <w:p w14:paraId="0857C22A" w14:textId="77777777" w:rsidR="004C0ADA" w:rsidRPr="002B5F3D" w:rsidRDefault="004C0ADA" w:rsidP="00073CEC">
            <w:pPr>
              <w:pStyle w:val="NormalWeb"/>
              <w:rPr>
                <w:sz w:val="18"/>
                <w:szCs w:val="18"/>
              </w:rPr>
            </w:pPr>
            <w:r w:rsidRPr="002B5F3D">
              <w:rPr>
                <w:sz w:val="18"/>
                <w:szCs w:val="18"/>
              </w:rPr>
              <w:t>B</w:t>
            </w:r>
          </w:p>
        </w:tc>
        <w:tc>
          <w:tcPr>
            <w:tcW w:w="1417" w:type="dxa"/>
            <w:tcBorders>
              <w:bottom w:val="single" w:sz="2" w:space="0" w:color="808080" w:themeColor="background1" w:themeShade="80"/>
            </w:tcBorders>
            <w:hideMark/>
          </w:tcPr>
          <w:p w14:paraId="29C07CB5" w14:textId="77777777" w:rsidR="004C0ADA" w:rsidRPr="002B5F3D" w:rsidRDefault="004C0ADA" w:rsidP="002B5F3D">
            <w:pPr>
              <w:pStyle w:val="NormalWeb"/>
              <w:jc w:val="center"/>
              <w:rPr>
                <w:sz w:val="18"/>
                <w:szCs w:val="18"/>
              </w:rPr>
            </w:pPr>
            <w:r w:rsidRPr="002B5F3D">
              <w:rPr>
                <w:sz w:val="18"/>
                <w:szCs w:val="18"/>
              </w:rPr>
              <w:t>1</w:t>
            </w:r>
          </w:p>
        </w:tc>
        <w:tc>
          <w:tcPr>
            <w:tcW w:w="992" w:type="dxa"/>
            <w:tcBorders>
              <w:bottom w:val="single" w:sz="2" w:space="0" w:color="808080" w:themeColor="background1" w:themeShade="80"/>
            </w:tcBorders>
            <w:hideMark/>
          </w:tcPr>
          <w:p w14:paraId="587CEF1D" w14:textId="77777777" w:rsidR="004C0ADA" w:rsidRPr="002B5F3D" w:rsidRDefault="004C0ADA" w:rsidP="002B5F3D">
            <w:pPr>
              <w:jc w:val="center"/>
              <w:rPr>
                <w:sz w:val="18"/>
                <w:szCs w:val="18"/>
              </w:rPr>
            </w:pPr>
          </w:p>
        </w:tc>
        <w:tc>
          <w:tcPr>
            <w:tcW w:w="1418" w:type="dxa"/>
            <w:tcBorders>
              <w:bottom w:val="single" w:sz="2" w:space="0" w:color="808080" w:themeColor="background1" w:themeShade="80"/>
            </w:tcBorders>
            <w:hideMark/>
          </w:tcPr>
          <w:p w14:paraId="4BEE10B0" w14:textId="77777777" w:rsidR="004C0ADA" w:rsidRPr="002B5F3D" w:rsidRDefault="004C0ADA" w:rsidP="002B5F3D">
            <w:pPr>
              <w:pStyle w:val="NormalWeb"/>
              <w:jc w:val="center"/>
              <w:rPr>
                <w:sz w:val="18"/>
                <w:szCs w:val="18"/>
              </w:rPr>
            </w:pPr>
            <w:r w:rsidRPr="002B5F3D">
              <w:rPr>
                <w:sz w:val="18"/>
                <w:szCs w:val="18"/>
              </w:rPr>
              <w:t>1</w:t>
            </w:r>
          </w:p>
        </w:tc>
        <w:tc>
          <w:tcPr>
            <w:tcW w:w="1813" w:type="dxa"/>
            <w:tcBorders>
              <w:bottom w:val="single" w:sz="2" w:space="0" w:color="808080" w:themeColor="background1" w:themeShade="80"/>
            </w:tcBorders>
            <w:hideMark/>
          </w:tcPr>
          <w:p w14:paraId="07031206" w14:textId="77777777" w:rsidR="004C0ADA" w:rsidRPr="002B5F3D" w:rsidRDefault="004C0ADA" w:rsidP="002B5F3D">
            <w:pPr>
              <w:jc w:val="center"/>
              <w:rPr>
                <w:sz w:val="18"/>
                <w:szCs w:val="18"/>
              </w:rPr>
            </w:pPr>
          </w:p>
        </w:tc>
      </w:tr>
    </w:tbl>
    <w:p w14:paraId="2629A518" w14:textId="77777777" w:rsidR="004C0ADA" w:rsidRDefault="004C0ADA" w:rsidP="004C0ADA">
      <w:pPr>
        <w:pStyle w:val="CDIfootnotes"/>
        <w:rPr>
          <w:sz w:val="24"/>
          <w:szCs w:val="24"/>
          <w:lang w:val="en-GB"/>
        </w:rPr>
      </w:pPr>
      <w:r>
        <w:rPr>
          <w:lang w:val="en-GB"/>
        </w:rPr>
        <w:t>a</w:t>
      </w:r>
      <w:r>
        <w:rPr>
          <w:lang w:val="en-GB"/>
        </w:rPr>
        <w:tab/>
        <w:t>OR: odds ratio.</w:t>
      </w:r>
    </w:p>
    <w:p w14:paraId="0B89F118" w14:textId="5E5E3DAB" w:rsidR="004C0ADA" w:rsidRPr="004C0ADA" w:rsidRDefault="004C0ADA" w:rsidP="004C0ADA">
      <w:pPr>
        <w:pStyle w:val="CDIfootnotes"/>
        <w:rPr>
          <w:rStyle w:val="Strong"/>
          <w:b w:val="0"/>
          <w:bCs w:val="0"/>
          <w:lang w:val="en-GB"/>
        </w:rPr>
      </w:pPr>
      <w:r>
        <w:rPr>
          <w:lang w:val="en-GB"/>
        </w:rPr>
        <w:t>b</w:t>
      </w:r>
      <w:r>
        <w:rPr>
          <w:lang w:val="en-GB"/>
        </w:rPr>
        <w:tab/>
        <w:t>All variables included in multivariate model.</w:t>
      </w:r>
    </w:p>
    <w:p w14:paraId="3E969B5B" w14:textId="098D4482" w:rsidR="00606A6B" w:rsidRPr="00150762" w:rsidRDefault="00606A6B" w:rsidP="00606A6B">
      <w:pPr>
        <w:pStyle w:val="CDIFigures"/>
      </w:pPr>
      <w:r w:rsidRPr="00150762">
        <w:rPr>
          <w:rStyle w:val="Strong"/>
          <w:b/>
          <w:bCs w:val="0"/>
        </w:rPr>
        <w:t>Figure 3: Incidence of confirmed influenza (per 100 influenza tests and per 1000 admissions) by epidemiological week, 2019</w:t>
      </w:r>
    </w:p>
    <w:p w14:paraId="2902CFB4" w14:textId="6D4C8B5E" w:rsidR="000C1FF4" w:rsidRPr="000C1FF4" w:rsidRDefault="00606A6B" w:rsidP="000C1FF4">
      <w:pPr>
        <w:rPr>
          <w:rFonts w:eastAsia="Times New Roman"/>
          <w:lang w:val="en-GB"/>
        </w:rPr>
      </w:pPr>
      <w:r>
        <w:rPr>
          <w:rFonts w:eastAsia="Times New Roman"/>
          <w:noProof/>
          <w:lang w:val="en-GB"/>
        </w:rPr>
        <w:drawing>
          <wp:inline distT="0" distB="0" distL="0" distR="0" wp14:anchorId="597DE3E7" wp14:editId="1A6F1D58">
            <wp:extent cx="6538696" cy="4000221"/>
            <wp:effectExtent l="0" t="0" r="0" b="635"/>
            <wp:docPr id="3" name="Picture 3" descr="This graph shows the rate of cases at the sentinel hospitals, expressed per 1000 admissions and per 100 influenza tests, by week. It shows the timing and peak of the influenza season (17 cases per 1000 admissions in week 27 but 13 cases per 100 influenza tests in we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is graph shows the rate of cases at the sentinel hospitals, expressed per 1000 admissions and per 100 influenza tests, by week. It shows the timing and peak of the influenza season (17 cases per 1000 admissions in week 27 but 13 cases per 100 influenza tests in week 17)"/>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547599" cy="4005667"/>
                    </a:xfrm>
                    <a:prstGeom prst="rect">
                      <a:avLst/>
                    </a:prstGeom>
                  </pic:spPr>
                </pic:pic>
              </a:graphicData>
            </a:graphic>
          </wp:inline>
        </w:drawing>
      </w:r>
    </w:p>
    <w:p w14:paraId="7AF5344B" w14:textId="77777777" w:rsidR="00410B68" w:rsidRDefault="00410B68">
      <w:pPr>
        <w:rPr>
          <w:rStyle w:val="Strong"/>
          <w:bCs w:val="0"/>
        </w:rPr>
      </w:pPr>
      <w:r>
        <w:rPr>
          <w:rStyle w:val="Strong"/>
          <w:b w:val="0"/>
          <w:bCs w:val="0"/>
        </w:rPr>
        <w:br w:type="page"/>
      </w:r>
    </w:p>
    <w:p w14:paraId="585E07E1" w14:textId="480ECDAD" w:rsidR="004C0ADA" w:rsidRPr="00150762" w:rsidRDefault="004C0ADA" w:rsidP="004C0ADA">
      <w:pPr>
        <w:pStyle w:val="CDIFigures"/>
      </w:pPr>
      <w:r w:rsidRPr="00150762">
        <w:rPr>
          <w:rStyle w:val="Strong"/>
          <w:b/>
          <w:bCs w:val="0"/>
        </w:rPr>
        <w:lastRenderedPageBreak/>
        <w:t>Table 4: Oseltamivir treatment, by age group in patients with confirmed influenza</w:t>
      </w:r>
      <w:r w:rsidRPr="00150762">
        <w:t xml:space="preserve"> </w:t>
      </w:r>
    </w:p>
    <w:tbl>
      <w:tblPr>
        <w:tblStyle w:val="CDI-StandardTable"/>
        <w:tblW w:w="0" w:type="auto"/>
        <w:tblLook w:val="04A0" w:firstRow="1" w:lastRow="0" w:firstColumn="1" w:lastColumn="0" w:noHBand="0" w:noVBand="1"/>
        <w:tblDescription w:val="Table 4: This table presents the proportion and timing of oseltamvir treatment, by age group in patients with confirmed influenza"/>
      </w:tblPr>
      <w:tblGrid>
        <w:gridCol w:w="4468"/>
        <w:gridCol w:w="1320"/>
        <w:gridCol w:w="1462"/>
        <w:gridCol w:w="1280"/>
        <w:gridCol w:w="1881"/>
      </w:tblGrid>
      <w:tr w:rsidR="007E6A39" w:rsidRPr="007E6A39" w14:paraId="4A85A5DB" w14:textId="77777777" w:rsidTr="0032497B">
        <w:trPr>
          <w:cnfStyle w:val="100000000000" w:firstRow="1" w:lastRow="0" w:firstColumn="0" w:lastColumn="0" w:oddVBand="0" w:evenVBand="0" w:oddHBand="0" w:evenHBand="0" w:firstRowFirstColumn="0" w:firstRowLastColumn="0" w:lastRowFirstColumn="0" w:lastRowLastColumn="0"/>
        </w:trPr>
        <w:tc>
          <w:tcPr>
            <w:tcW w:w="0" w:type="auto"/>
            <w:tcBorders>
              <w:right w:val="single" w:sz="4" w:space="0" w:color="886E49"/>
            </w:tcBorders>
            <w:hideMark/>
          </w:tcPr>
          <w:p w14:paraId="2A6137DA" w14:textId="77777777" w:rsidR="004C0ADA" w:rsidRPr="007E6A39" w:rsidRDefault="004C0ADA" w:rsidP="00073CEC">
            <w:pPr>
              <w:pStyle w:val="NormalWeb"/>
              <w:rPr>
                <w:color w:val="FFFFFF" w:themeColor="background1"/>
                <w:sz w:val="18"/>
                <w:szCs w:val="18"/>
              </w:rPr>
            </w:pPr>
            <w:r w:rsidRPr="007E6A39">
              <w:rPr>
                <w:color w:val="FFFFFF" w:themeColor="background1"/>
                <w:sz w:val="18"/>
                <w:szCs w:val="18"/>
              </w:rPr>
              <w:t>Factor</w:t>
            </w:r>
          </w:p>
        </w:tc>
        <w:tc>
          <w:tcPr>
            <w:tcW w:w="0" w:type="auto"/>
            <w:tcBorders>
              <w:left w:val="single" w:sz="4" w:space="0" w:color="886E49"/>
              <w:right w:val="single" w:sz="4" w:space="0" w:color="886E49"/>
            </w:tcBorders>
            <w:hideMark/>
          </w:tcPr>
          <w:p w14:paraId="6EA87C5C" w14:textId="77777777" w:rsidR="004C0ADA" w:rsidRPr="007E6A39" w:rsidRDefault="004C0ADA" w:rsidP="007E6A39">
            <w:pPr>
              <w:pStyle w:val="NormalWeb"/>
              <w:jc w:val="center"/>
              <w:rPr>
                <w:color w:val="FFFFFF" w:themeColor="background1"/>
                <w:sz w:val="18"/>
                <w:szCs w:val="18"/>
              </w:rPr>
            </w:pPr>
            <w:r w:rsidRPr="007E6A39">
              <w:rPr>
                <w:color w:val="FFFFFF" w:themeColor="background1"/>
                <w:sz w:val="18"/>
                <w:szCs w:val="18"/>
              </w:rPr>
              <w:t>Age &lt; 16 years</w:t>
            </w:r>
          </w:p>
        </w:tc>
        <w:tc>
          <w:tcPr>
            <w:tcW w:w="0" w:type="auto"/>
            <w:tcBorders>
              <w:left w:val="single" w:sz="4" w:space="0" w:color="886E49"/>
              <w:right w:val="single" w:sz="4" w:space="0" w:color="886E49"/>
            </w:tcBorders>
            <w:hideMark/>
          </w:tcPr>
          <w:p w14:paraId="50B7D147" w14:textId="77777777" w:rsidR="004C0ADA" w:rsidRPr="007E6A39" w:rsidRDefault="004C0ADA" w:rsidP="007E6A39">
            <w:pPr>
              <w:pStyle w:val="NormalWeb"/>
              <w:jc w:val="center"/>
              <w:rPr>
                <w:color w:val="FFFFFF" w:themeColor="background1"/>
                <w:sz w:val="18"/>
                <w:szCs w:val="18"/>
              </w:rPr>
            </w:pPr>
            <w:r w:rsidRPr="007E6A39">
              <w:rPr>
                <w:color w:val="FFFFFF" w:themeColor="background1"/>
                <w:sz w:val="18"/>
                <w:szCs w:val="18"/>
              </w:rPr>
              <w:t>Age 16–64 years</w:t>
            </w:r>
          </w:p>
        </w:tc>
        <w:tc>
          <w:tcPr>
            <w:tcW w:w="0" w:type="auto"/>
            <w:tcBorders>
              <w:left w:val="single" w:sz="4" w:space="0" w:color="886E49"/>
              <w:right w:val="single" w:sz="4" w:space="0" w:color="886E49"/>
            </w:tcBorders>
            <w:hideMark/>
          </w:tcPr>
          <w:p w14:paraId="36E47460" w14:textId="77777777" w:rsidR="004C0ADA" w:rsidRPr="007E6A39" w:rsidRDefault="004C0ADA" w:rsidP="007E6A39">
            <w:pPr>
              <w:pStyle w:val="NormalWeb"/>
              <w:jc w:val="center"/>
              <w:rPr>
                <w:color w:val="FFFFFF" w:themeColor="background1"/>
                <w:sz w:val="18"/>
                <w:szCs w:val="18"/>
              </w:rPr>
            </w:pPr>
            <w:r w:rsidRPr="007E6A39">
              <w:rPr>
                <w:color w:val="FFFFFF" w:themeColor="background1"/>
                <w:sz w:val="18"/>
                <w:szCs w:val="18"/>
              </w:rPr>
              <w:t>Age 65+ years</w:t>
            </w:r>
          </w:p>
        </w:tc>
        <w:tc>
          <w:tcPr>
            <w:tcW w:w="1881" w:type="dxa"/>
            <w:tcBorders>
              <w:left w:val="single" w:sz="4" w:space="0" w:color="886E49"/>
            </w:tcBorders>
            <w:hideMark/>
          </w:tcPr>
          <w:p w14:paraId="755149B5" w14:textId="77777777" w:rsidR="004C0ADA" w:rsidRPr="007E6A39" w:rsidRDefault="004C0ADA" w:rsidP="007E6A39">
            <w:pPr>
              <w:pStyle w:val="NormalWeb"/>
              <w:jc w:val="center"/>
              <w:rPr>
                <w:color w:val="FFFFFF" w:themeColor="background1"/>
                <w:sz w:val="18"/>
                <w:szCs w:val="18"/>
              </w:rPr>
            </w:pPr>
            <w:r w:rsidRPr="00B74F96">
              <w:rPr>
                <w:i/>
                <w:iCs/>
                <w:color w:val="FFFFFF" w:themeColor="background1"/>
                <w:sz w:val="18"/>
                <w:szCs w:val="18"/>
              </w:rPr>
              <w:t>p</w:t>
            </w:r>
            <w:r w:rsidRPr="007E6A39">
              <w:rPr>
                <w:color w:val="FFFFFF" w:themeColor="background1"/>
                <w:sz w:val="18"/>
                <w:szCs w:val="18"/>
              </w:rPr>
              <w:t xml:space="preserve"> value</w:t>
            </w:r>
          </w:p>
        </w:tc>
      </w:tr>
      <w:tr w:rsidR="0032497B" w:rsidRPr="007E6A39" w14:paraId="058F78EF" w14:textId="77777777" w:rsidTr="0032497B">
        <w:tblPrEx>
          <w:tblCellMar>
            <w:top w:w="57" w:type="dxa"/>
            <w:left w:w="57" w:type="dxa"/>
            <w:bottom w:w="57" w:type="dxa"/>
            <w:right w:w="57" w:type="dxa"/>
          </w:tblCellMar>
        </w:tblPrEx>
        <w:tc>
          <w:tcPr>
            <w:tcW w:w="0" w:type="auto"/>
            <w:tcBorders>
              <w:bottom w:val="single" w:sz="2" w:space="0" w:color="000000" w:themeColor="text1"/>
            </w:tcBorders>
            <w:shd w:val="clear" w:color="auto" w:fill="auto"/>
            <w:vAlign w:val="center"/>
            <w:hideMark/>
          </w:tcPr>
          <w:p w14:paraId="04389B34" w14:textId="77777777" w:rsidR="004C0ADA" w:rsidRPr="007E6A39" w:rsidRDefault="004C0ADA" w:rsidP="007E6A39">
            <w:pPr>
              <w:pStyle w:val="NormalWeb"/>
              <w:rPr>
                <w:sz w:val="18"/>
                <w:szCs w:val="18"/>
              </w:rPr>
            </w:pPr>
            <w:r w:rsidRPr="007E6A39">
              <w:rPr>
                <w:sz w:val="18"/>
                <w:szCs w:val="18"/>
              </w:rPr>
              <w:t>Number of patients</w:t>
            </w:r>
          </w:p>
        </w:tc>
        <w:tc>
          <w:tcPr>
            <w:tcW w:w="0" w:type="auto"/>
            <w:tcBorders>
              <w:bottom w:val="single" w:sz="2" w:space="0" w:color="000000" w:themeColor="text1"/>
            </w:tcBorders>
            <w:shd w:val="clear" w:color="auto" w:fill="auto"/>
            <w:vAlign w:val="center"/>
            <w:hideMark/>
          </w:tcPr>
          <w:p w14:paraId="0AA6C8CD" w14:textId="77777777" w:rsidR="004C0ADA" w:rsidRPr="007E6A39" w:rsidRDefault="004C0ADA" w:rsidP="007E6A39">
            <w:pPr>
              <w:pStyle w:val="NormalWeb"/>
              <w:jc w:val="center"/>
              <w:rPr>
                <w:sz w:val="18"/>
                <w:szCs w:val="18"/>
              </w:rPr>
            </w:pPr>
            <w:r w:rsidRPr="007E6A39">
              <w:rPr>
                <w:sz w:val="18"/>
                <w:szCs w:val="18"/>
              </w:rPr>
              <w:t>855</w:t>
            </w:r>
          </w:p>
        </w:tc>
        <w:tc>
          <w:tcPr>
            <w:tcW w:w="0" w:type="auto"/>
            <w:tcBorders>
              <w:bottom w:val="single" w:sz="2" w:space="0" w:color="000000" w:themeColor="text1"/>
            </w:tcBorders>
            <w:shd w:val="clear" w:color="auto" w:fill="auto"/>
            <w:vAlign w:val="center"/>
            <w:hideMark/>
          </w:tcPr>
          <w:p w14:paraId="3B7208B6" w14:textId="77777777" w:rsidR="004C0ADA" w:rsidRPr="007E6A39" w:rsidRDefault="004C0ADA" w:rsidP="007E6A39">
            <w:pPr>
              <w:pStyle w:val="NormalWeb"/>
              <w:jc w:val="center"/>
              <w:rPr>
                <w:sz w:val="18"/>
                <w:szCs w:val="18"/>
              </w:rPr>
            </w:pPr>
            <w:r w:rsidRPr="007E6A39">
              <w:rPr>
                <w:sz w:val="18"/>
                <w:szCs w:val="18"/>
              </w:rPr>
              <w:t>1,171</w:t>
            </w:r>
          </w:p>
        </w:tc>
        <w:tc>
          <w:tcPr>
            <w:tcW w:w="0" w:type="auto"/>
            <w:tcBorders>
              <w:bottom w:val="single" w:sz="2" w:space="0" w:color="000000" w:themeColor="text1"/>
            </w:tcBorders>
            <w:shd w:val="clear" w:color="auto" w:fill="auto"/>
            <w:vAlign w:val="center"/>
            <w:hideMark/>
          </w:tcPr>
          <w:p w14:paraId="20C4F65A" w14:textId="77777777" w:rsidR="004C0ADA" w:rsidRPr="007E6A39" w:rsidRDefault="004C0ADA" w:rsidP="007E6A39">
            <w:pPr>
              <w:pStyle w:val="NormalWeb"/>
              <w:jc w:val="center"/>
              <w:rPr>
                <w:sz w:val="18"/>
                <w:szCs w:val="18"/>
              </w:rPr>
            </w:pPr>
            <w:r w:rsidRPr="007E6A39">
              <w:rPr>
                <w:sz w:val="18"/>
                <w:szCs w:val="18"/>
              </w:rPr>
              <w:t>1,595</w:t>
            </w:r>
          </w:p>
        </w:tc>
        <w:tc>
          <w:tcPr>
            <w:tcW w:w="1881" w:type="dxa"/>
            <w:tcBorders>
              <w:bottom w:val="single" w:sz="2" w:space="0" w:color="000000" w:themeColor="text1"/>
            </w:tcBorders>
            <w:shd w:val="clear" w:color="auto" w:fill="auto"/>
            <w:vAlign w:val="center"/>
            <w:hideMark/>
          </w:tcPr>
          <w:p w14:paraId="3F2B9211" w14:textId="77777777" w:rsidR="004C0ADA" w:rsidRPr="007E6A39" w:rsidRDefault="004C0ADA" w:rsidP="007E6A39">
            <w:pPr>
              <w:jc w:val="center"/>
              <w:rPr>
                <w:sz w:val="18"/>
                <w:szCs w:val="18"/>
              </w:rPr>
            </w:pPr>
          </w:p>
        </w:tc>
      </w:tr>
      <w:tr w:rsidR="007E6A39" w:rsidRPr="007E6A39" w14:paraId="5E03A74D" w14:textId="77777777" w:rsidTr="0032497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Borders>
              <w:top w:val="single" w:sz="2" w:space="0" w:color="000000" w:themeColor="text1"/>
              <w:bottom w:val="single" w:sz="2" w:space="0" w:color="000000" w:themeColor="text1"/>
            </w:tcBorders>
            <w:shd w:val="clear" w:color="auto" w:fill="auto"/>
            <w:vAlign w:val="center"/>
            <w:hideMark/>
          </w:tcPr>
          <w:p w14:paraId="6C1F2BBC" w14:textId="77777777" w:rsidR="004C0ADA" w:rsidRPr="007E6A39" w:rsidRDefault="004C0ADA" w:rsidP="007E6A39">
            <w:pPr>
              <w:pStyle w:val="NormalWeb"/>
              <w:rPr>
                <w:sz w:val="18"/>
                <w:szCs w:val="18"/>
              </w:rPr>
            </w:pPr>
            <w:r w:rsidRPr="007E6A39">
              <w:rPr>
                <w:sz w:val="18"/>
                <w:szCs w:val="18"/>
              </w:rPr>
              <w:t>Oseltamivir not received</w:t>
            </w:r>
          </w:p>
        </w:tc>
        <w:tc>
          <w:tcPr>
            <w:tcW w:w="0" w:type="auto"/>
            <w:tcBorders>
              <w:top w:val="single" w:sz="2" w:space="0" w:color="000000" w:themeColor="text1"/>
              <w:bottom w:val="single" w:sz="2" w:space="0" w:color="000000" w:themeColor="text1"/>
            </w:tcBorders>
            <w:shd w:val="clear" w:color="auto" w:fill="auto"/>
            <w:vAlign w:val="center"/>
            <w:hideMark/>
          </w:tcPr>
          <w:p w14:paraId="02DDAD02" w14:textId="77777777" w:rsidR="004C0ADA" w:rsidRPr="007E6A39" w:rsidRDefault="004C0ADA" w:rsidP="007E6A39">
            <w:pPr>
              <w:pStyle w:val="NormalWeb"/>
              <w:jc w:val="center"/>
              <w:rPr>
                <w:sz w:val="18"/>
                <w:szCs w:val="18"/>
              </w:rPr>
            </w:pPr>
            <w:r w:rsidRPr="007E6A39">
              <w:rPr>
                <w:sz w:val="18"/>
                <w:szCs w:val="18"/>
              </w:rPr>
              <w:t>511 (59.8%)</w:t>
            </w:r>
          </w:p>
        </w:tc>
        <w:tc>
          <w:tcPr>
            <w:tcW w:w="0" w:type="auto"/>
            <w:tcBorders>
              <w:top w:val="single" w:sz="2" w:space="0" w:color="000000" w:themeColor="text1"/>
              <w:bottom w:val="single" w:sz="2" w:space="0" w:color="000000" w:themeColor="text1"/>
            </w:tcBorders>
            <w:shd w:val="clear" w:color="auto" w:fill="auto"/>
            <w:vAlign w:val="center"/>
            <w:hideMark/>
          </w:tcPr>
          <w:p w14:paraId="0D42D3D0" w14:textId="77777777" w:rsidR="004C0ADA" w:rsidRPr="007E6A39" w:rsidRDefault="004C0ADA" w:rsidP="007E6A39">
            <w:pPr>
              <w:pStyle w:val="NormalWeb"/>
              <w:jc w:val="center"/>
              <w:rPr>
                <w:sz w:val="18"/>
                <w:szCs w:val="18"/>
              </w:rPr>
            </w:pPr>
            <w:r w:rsidRPr="007E6A39">
              <w:rPr>
                <w:sz w:val="18"/>
                <w:szCs w:val="18"/>
              </w:rPr>
              <w:t>325 (28.2%)</w:t>
            </w:r>
          </w:p>
        </w:tc>
        <w:tc>
          <w:tcPr>
            <w:tcW w:w="0" w:type="auto"/>
            <w:tcBorders>
              <w:top w:val="single" w:sz="2" w:space="0" w:color="000000" w:themeColor="text1"/>
              <w:bottom w:val="single" w:sz="2" w:space="0" w:color="000000" w:themeColor="text1"/>
              <w:right w:val="single" w:sz="2" w:space="0" w:color="000000" w:themeColor="text1"/>
            </w:tcBorders>
            <w:shd w:val="clear" w:color="auto" w:fill="auto"/>
            <w:vAlign w:val="center"/>
            <w:hideMark/>
          </w:tcPr>
          <w:p w14:paraId="57C47AE0" w14:textId="77777777" w:rsidR="004C0ADA" w:rsidRPr="007E6A39" w:rsidRDefault="004C0ADA" w:rsidP="007E6A39">
            <w:pPr>
              <w:pStyle w:val="NormalWeb"/>
              <w:jc w:val="center"/>
              <w:rPr>
                <w:sz w:val="18"/>
                <w:szCs w:val="18"/>
              </w:rPr>
            </w:pPr>
            <w:r w:rsidRPr="007E6A39">
              <w:rPr>
                <w:sz w:val="18"/>
                <w:szCs w:val="18"/>
              </w:rPr>
              <w:t>337 (21.4%)</w:t>
            </w:r>
          </w:p>
        </w:tc>
        <w:tc>
          <w:tcPr>
            <w:tcW w:w="1881" w:type="dxa"/>
            <w:vMerge w:val="restart"/>
            <w:tcBorders>
              <w:top w:val="single" w:sz="2" w:space="0" w:color="000000" w:themeColor="text1"/>
              <w:left w:val="single" w:sz="2" w:space="0" w:color="000000" w:themeColor="text1"/>
              <w:bottom w:val="single" w:sz="2" w:space="0" w:color="000000" w:themeColor="text1"/>
            </w:tcBorders>
            <w:shd w:val="clear" w:color="auto" w:fill="auto"/>
            <w:vAlign w:val="center"/>
            <w:hideMark/>
          </w:tcPr>
          <w:p w14:paraId="27AAC992" w14:textId="77777777" w:rsidR="004C0ADA" w:rsidRPr="007E6A39" w:rsidRDefault="004C0ADA" w:rsidP="007E6A39">
            <w:pPr>
              <w:pStyle w:val="NormalWeb"/>
              <w:jc w:val="center"/>
              <w:rPr>
                <w:sz w:val="18"/>
                <w:szCs w:val="18"/>
              </w:rPr>
            </w:pPr>
            <w:r w:rsidRPr="007E6A39">
              <w:rPr>
                <w:sz w:val="18"/>
                <w:szCs w:val="18"/>
              </w:rPr>
              <w:t>&lt; 0.001</w:t>
            </w:r>
            <w:r w:rsidRPr="00AC411F">
              <w:rPr>
                <w:sz w:val="18"/>
                <w:szCs w:val="18"/>
                <w:vertAlign w:val="superscript"/>
              </w:rPr>
              <w:t>b</w:t>
            </w:r>
          </w:p>
        </w:tc>
      </w:tr>
      <w:tr w:rsidR="0032497B" w:rsidRPr="007E6A39" w14:paraId="2F66628F" w14:textId="77777777" w:rsidTr="0032497B">
        <w:tblPrEx>
          <w:tblCellMar>
            <w:top w:w="57" w:type="dxa"/>
            <w:left w:w="57" w:type="dxa"/>
            <w:bottom w:w="57" w:type="dxa"/>
            <w:right w:w="57" w:type="dxa"/>
          </w:tblCellMar>
        </w:tblPrEx>
        <w:tc>
          <w:tcPr>
            <w:tcW w:w="0" w:type="auto"/>
            <w:tcBorders>
              <w:top w:val="single" w:sz="2" w:space="0" w:color="000000" w:themeColor="text1"/>
              <w:bottom w:val="single" w:sz="2" w:space="0" w:color="000000" w:themeColor="text1"/>
            </w:tcBorders>
            <w:shd w:val="clear" w:color="auto" w:fill="auto"/>
            <w:vAlign w:val="center"/>
            <w:hideMark/>
          </w:tcPr>
          <w:p w14:paraId="4D3616D4" w14:textId="77777777" w:rsidR="004C0ADA" w:rsidRPr="007E6A39" w:rsidRDefault="004C0ADA" w:rsidP="007E6A39">
            <w:pPr>
              <w:pStyle w:val="NormalWeb"/>
              <w:rPr>
                <w:sz w:val="18"/>
                <w:szCs w:val="18"/>
              </w:rPr>
            </w:pPr>
            <w:r w:rsidRPr="007E6A39">
              <w:rPr>
                <w:sz w:val="18"/>
                <w:szCs w:val="18"/>
              </w:rPr>
              <w:t>Oseltamivir received</w:t>
            </w:r>
          </w:p>
        </w:tc>
        <w:tc>
          <w:tcPr>
            <w:tcW w:w="0" w:type="auto"/>
            <w:tcBorders>
              <w:top w:val="single" w:sz="2" w:space="0" w:color="000000" w:themeColor="text1"/>
              <w:bottom w:val="single" w:sz="2" w:space="0" w:color="000000" w:themeColor="text1"/>
            </w:tcBorders>
            <w:shd w:val="clear" w:color="auto" w:fill="auto"/>
            <w:vAlign w:val="center"/>
            <w:hideMark/>
          </w:tcPr>
          <w:p w14:paraId="2F16A566" w14:textId="77777777" w:rsidR="004C0ADA" w:rsidRPr="007E6A39" w:rsidRDefault="004C0ADA" w:rsidP="007E6A39">
            <w:pPr>
              <w:pStyle w:val="NormalWeb"/>
              <w:jc w:val="center"/>
              <w:rPr>
                <w:sz w:val="18"/>
                <w:szCs w:val="18"/>
              </w:rPr>
            </w:pPr>
            <w:r w:rsidRPr="007E6A39">
              <w:rPr>
                <w:sz w:val="18"/>
                <w:szCs w:val="18"/>
              </w:rPr>
              <w:t>344 (40.2%)</w:t>
            </w:r>
          </w:p>
        </w:tc>
        <w:tc>
          <w:tcPr>
            <w:tcW w:w="0" w:type="auto"/>
            <w:tcBorders>
              <w:top w:val="single" w:sz="2" w:space="0" w:color="000000" w:themeColor="text1"/>
              <w:bottom w:val="single" w:sz="2" w:space="0" w:color="000000" w:themeColor="text1"/>
            </w:tcBorders>
            <w:shd w:val="clear" w:color="auto" w:fill="auto"/>
            <w:vAlign w:val="center"/>
            <w:hideMark/>
          </w:tcPr>
          <w:p w14:paraId="12D4007E" w14:textId="77777777" w:rsidR="004C0ADA" w:rsidRPr="007E6A39" w:rsidRDefault="004C0ADA" w:rsidP="007E6A39">
            <w:pPr>
              <w:pStyle w:val="NormalWeb"/>
              <w:jc w:val="center"/>
              <w:rPr>
                <w:sz w:val="18"/>
                <w:szCs w:val="18"/>
              </w:rPr>
            </w:pPr>
            <w:r w:rsidRPr="007E6A39">
              <w:rPr>
                <w:sz w:val="18"/>
                <w:szCs w:val="18"/>
              </w:rPr>
              <w:t>826 (71.8%)</w:t>
            </w:r>
          </w:p>
        </w:tc>
        <w:tc>
          <w:tcPr>
            <w:tcW w:w="0" w:type="auto"/>
            <w:tcBorders>
              <w:top w:val="single" w:sz="2" w:space="0" w:color="000000" w:themeColor="text1"/>
              <w:bottom w:val="single" w:sz="2" w:space="0" w:color="000000" w:themeColor="text1"/>
              <w:right w:val="single" w:sz="2" w:space="0" w:color="000000" w:themeColor="text1"/>
            </w:tcBorders>
            <w:shd w:val="clear" w:color="auto" w:fill="auto"/>
            <w:vAlign w:val="center"/>
            <w:hideMark/>
          </w:tcPr>
          <w:p w14:paraId="6A238B5B" w14:textId="77777777" w:rsidR="004C0ADA" w:rsidRPr="007E6A39" w:rsidRDefault="004C0ADA" w:rsidP="007E6A39">
            <w:pPr>
              <w:pStyle w:val="NormalWeb"/>
              <w:jc w:val="center"/>
              <w:rPr>
                <w:sz w:val="18"/>
                <w:szCs w:val="18"/>
              </w:rPr>
            </w:pPr>
            <w:r w:rsidRPr="007E6A39">
              <w:rPr>
                <w:sz w:val="18"/>
                <w:szCs w:val="18"/>
              </w:rPr>
              <w:t>1,238 (78.6%)</w:t>
            </w:r>
          </w:p>
        </w:tc>
        <w:tc>
          <w:tcPr>
            <w:tcW w:w="1881" w:type="dxa"/>
            <w:vMerge/>
            <w:tcBorders>
              <w:top w:val="single" w:sz="2" w:space="0" w:color="000000" w:themeColor="text1"/>
              <w:left w:val="single" w:sz="2" w:space="0" w:color="000000" w:themeColor="text1"/>
              <w:bottom w:val="single" w:sz="2" w:space="0" w:color="000000" w:themeColor="text1"/>
            </w:tcBorders>
            <w:shd w:val="clear" w:color="auto" w:fill="auto"/>
            <w:vAlign w:val="center"/>
            <w:hideMark/>
          </w:tcPr>
          <w:p w14:paraId="70A61AFD" w14:textId="77777777" w:rsidR="004C0ADA" w:rsidRPr="007E6A39" w:rsidRDefault="004C0ADA" w:rsidP="007E6A39">
            <w:pPr>
              <w:jc w:val="center"/>
              <w:rPr>
                <w:sz w:val="18"/>
                <w:szCs w:val="18"/>
              </w:rPr>
            </w:pPr>
          </w:p>
        </w:tc>
      </w:tr>
      <w:tr w:rsidR="007E6A39" w:rsidRPr="007E6A39" w14:paraId="7E5FD128" w14:textId="77777777" w:rsidTr="0032497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Borders>
              <w:top w:val="single" w:sz="2" w:space="0" w:color="000000" w:themeColor="text1"/>
              <w:bottom w:val="single" w:sz="2" w:space="0" w:color="000000" w:themeColor="text1"/>
            </w:tcBorders>
            <w:shd w:val="clear" w:color="auto" w:fill="auto"/>
            <w:vAlign w:val="center"/>
            <w:hideMark/>
          </w:tcPr>
          <w:p w14:paraId="05DFCB2A" w14:textId="77777777" w:rsidR="004C0ADA" w:rsidRPr="007E6A39" w:rsidRDefault="004C0ADA" w:rsidP="00077AD7">
            <w:pPr>
              <w:numPr>
                <w:ilvl w:val="0"/>
                <w:numId w:val="11"/>
              </w:numPr>
              <w:ind w:left="714" w:hanging="357"/>
              <w:rPr>
                <w:rFonts w:eastAsia="Times New Roman"/>
                <w:sz w:val="18"/>
                <w:szCs w:val="18"/>
              </w:rPr>
            </w:pPr>
            <w:r w:rsidRPr="007E6A39">
              <w:rPr>
                <w:rFonts w:eastAsia="Times New Roman"/>
                <w:sz w:val="18"/>
                <w:szCs w:val="18"/>
              </w:rPr>
              <w:t>received &lt; 48h of onset</w:t>
            </w:r>
          </w:p>
        </w:tc>
        <w:tc>
          <w:tcPr>
            <w:tcW w:w="0" w:type="auto"/>
            <w:tcBorders>
              <w:top w:val="single" w:sz="2" w:space="0" w:color="000000" w:themeColor="text1"/>
              <w:bottom w:val="single" w:sz="2" w:space="0" w:color="000000" w:themeColor="text1"/>
            </w:tcBorders>
            <w:shd w:val="clear" w:color="auto" w:fill="auto"/>
            <w:vAlign w:val="center"/>
            <w:hideMark/>
          </w:tcPr>
          <w:p w14:paraId="7581BB1C" w14:textId="77777777" w:rsidR="004C0ADA" w:rsidRPr="007E6A39" w:rsidRDefault="004C0ADA" w:rsidP="007E6A39">
            <w:pPr>
              <w:pStyle w:val="NormalWeb"/>
              <w:jc w:val="center"/>
              <w:rPr>
                <w:sz w:val="18"/>
                <w:szCs w:val="18"/>
              </w:rPr>
            </w:pPr>
            <w:r w:rsidRPr="007E6A39">
              <w:rPr>
                <w:sz w:val="18"/>
                <w:szCs w:val="18"/>
              </w:rPr>
              <w:t>157 (18.4%)</w:t>
            </w:r>
          </w:p>
        </w:tc>
        <w:tc>
          <w:tcPr>
            <w:tcW w:w="0" w:type="auto"/>
            <w:tcBorders>
              <w:top w:val="single" w:sz="2" w:space="0" w:color="000000" w:themeColor="text1"/>
              <w:bottom w:val="single" w:sz="2" w:space="0" w:color="000000" w:themeColor="text1"/>
            </w:tcBorders>
            <w:shd w:val="clear" w:color="auto" w:fill="auto"/>
            <w:vAlign w:val="center"/>
            <w:hideMark/>
          </w:tcPr>
          <w:p w14:paraId="0CF40B80" w14:textId="77777777" w:rsidR="004C0ADA" w:rsidRPr="007E6A39" w:rsidRDefault="004C0ADA" w:rsidP="007E6A39">
            <w:pPr>
              <w:pStyle w:val="NormalWeb"/>
              <w:jc w:val="center"/>
              <w:rPr>
                <w:sz w:val="18"/>
                <w:szCs w:val="18"/>
              </w:rPr>
            </w:pPr>
            <w:r w:rsidRPr="007E6A39">
              <w:rPr>
                <w:sz w:val="18"/>
                <w:szCs w:val="18"/>
              </w:rPr>
              <w:t>339 (29.5%)</w:t>
            </w:r>
          </w:p>
        </w:tc>
        <w:tc>
          <w:tcPr>
            <w:tcW w:w="0" w:type="auto"/>
            <w:tcBorders>
              <w:top w:val="single" w:sz="2" w:space="0" w:color="000000" w:themeColor="text1"/>
              <w:bottom w:val="single" w:sz="2" w:space="0" w:color="000000" w:themeColor="text1"/>
              <w:right w:val="single" w:sz="2" w:space="0" w:color="000000" w:themeColor="text1"/>
            </w:tcBorders>
            <w:shd w:val="clear" w:color="auto" w:fill="auto"/>
            <w:vAlign w:val="center"/>
            <w:hideMark/>
          </w:tcPr>
          <w:p w14:paraId="0969D763" w14:textId="77777777" w:rsidR="004C0ADA" w:rsidRPr="007E6A39" w:rsidRDefault="004C0ADA" w:rsidP="007E6A39">
            <w:pPr>
              <w:pStyle w:val="NormalWeb"/>
              <w:jc w:val="center"/>
              <w:rPr>
                <w:sz w:val="18"/>
                <w:szCs w:val="18"/>
              </w:rPr>
            </w:pPr>
            <w:r w:rsidRPr="007E6A39">
              <w:rPr>
                <w:sz w:val="18"/>
                <w:szCs w:val="18"/>
              </w:rPr>
              <w:t>465 (29.5%)</w:t>
            </w:r>
          </w:p>
        </w:tc>
        <w:tc>
          <w:tcPr>
            <w:tcW w:w="1881" w:type="dxa"/>
            <w:vMerge/>
            <w:tcBorders>
              <w:top w:val="single" w:sz="2" w:space="0" w:color="000000" w:themeColor="text1"/>
              <w:left w:val="single" w:sz="2" w:space="0" w:color="000000" w:themeColor="text1"/>
              <w:bottom w:val="single" w:sz="2" w:space="0" w:color="000000" w:themeColor="text1"/>
            </w:tcBorders>
            <w:shd w:val="clear" w:color="auto" w:fill="auto"/>
            <w:vAlign w:val="center"/>
            <w:hideMark/>
          </w:tcPr>
          <w:p w14:paraId="3C78B90C" w14:textId="77777777" w:rsidR="004C0ADA" w:rsidRPr="007E6A39" w:rsidRDefault="004C0ADA" w:rsidP="007E6A39">
            <w:pPr>
              <w:jc w:val="center"/>
              <w:rPr>
                <w:sz w:val="18"/>
                <w:szCs w:val="18"/>
              </w:rPr>
            </w:pPr>
          </w:p>
        </w:tc>
      </w:tr>
      <w:tr w:rsidR="0032497B" w:rsidRPr="007E6A39" w14:paraId="7DEB4B86" w14:textId="77777777" w:rsidTr="0032497B">
        <w:tblPrEx>
          <w:tblCellMar>
            <w:top w:w="57" w:type="dxa"/>
            <w:left w:w="57" w:type="dxa"/>
            <w:bottom w:w="57" w:type="dxa"/>
            <w:right w:w="57" w:type="dxa"/>
          </w:tblCellMar>
        </w:tblPrEx>
        <w:tc>
          <w:tcPr>
            <w:tcW w:w="0" w:type="auto"/>
            <w:tcBorders>
              <w:top w:val="single" w:sz="2" w:space="0" w:color="000000" w:themeColor="text1"/>
              <w:bottom w:val="single" w:sz="2" w:space="0" w:color="000000" w:themeColor="text1"/>
            </w:tcBorders>
            <w:shd w:val="clear" w:color="auto" w:fill="auto"/>
            <w:vAlign w:val="center"/>
            <w:hideMark/>
          </w:tcPr>
          <w:p w14:paraId="3CE7D688" w14:textId="77777777" w:rsidR="004C0ADA" w:rsidRPr="007E6A39" w:rsidRDefault="004C0ADA" w:rsidP="00077AD7">
            <w:pPr>
              <w:numPr>
                <w:ilvl w:val="0"/>
                <w:numId w:val="12"/>
              </w:numPr>
              <w:ind w:left="714" w:hanging="357"/>
              <w:rPr>
                <w:rFonts w:eastAsia="Times New Roman"/>
                <w:sz w:val="18"/>
                <w:szCs w:val="18"/>
              </w:rPr>
            </w:pPr>
            <w:r w:rsidRPr="007E6A39">
              <w:rPr>
                <w:rFonts w:eastAsia="Times New Roman"/>
                <w:sz w:val="18"/>
                <w:szCs w:val="18"/>
              </w:rPr>
              <w:t>received ≥ 48h of onset</w:t>
            </w:r>
          </w:p>
        </w:tc>
        <w:tc>
          <w:tcPr>
            <w:tcW w:w="0" w:type="auto"/>
            <w:tcBorders>
              <w:top w:val="single" w:sz="2" w:space="0" w:color="000000" w:themeColor="text1"/>
              <w:bottom w:val="single" w:sz="2" w:space="0" w:color="000000" w:themeColor="text1"/>
            </w:tcBorders>
            <w:shd w:val="clear" w:color="auto" w:fill="auto"/>
            <w:vAlign w:val="center"/>
            <w:hideMark/>
          </w:tcPr>
          <w:p w14:paraId="251DE192" w14:textId="77777777" w:rsidR="004C0ADA" w:rsidRPr="007E6A39" w:rsidRDefault="004C0ADA" w:rsidP="007E6A39">
            <w:pPr>
              <w:pStyle w:val="NormalWeb"/>
              <w:jc w:val="center"/>
              <w:rPr>
                <w:sz w:val="18"/>
                <w:szCs w:val="18"/>
              </w:rPr>
            </w:pPr>
            <w:r w:rsidRPr="007E6A39">
              <w:rPr>
                <w:sz w:val="18"/>
                <w:szCs w:val="18"/>
              </w:rPr>
              <w:t>187 (21.9%)</w:t>
            </w:r>
          </w:p>
        </w:tc>
        <w:tc>
          <w:tcPr>
            <w:tcW w:w="0" w:type="auto"/>
            <w:tcBorders>
              <w:top w:val="single" w:sz="2" w:space="0" w:color="000000" w:themeColor="text1"/>
              <w:bottom w:val="single" w:sz="2" w:space="0" w:color="000000" w:themeColor="text1"/>
            </w:tcBorders>
            <w:shd w:val="clear" w:color="auto" w:fill="auto"/>
            <w:vAlign w:val="center"/>
            <w:hideMark/>
          </w:tcPr>
          <w:p w14:paraId="0663606E" w14:textId="77777777" w:rsidR="004C0ADA" w:rsidRPr="007E6A39" w:rsidRDefault="004C0ADA" w:rsidP="007E6A39">
            <w:pPr>
              <w:pStyle w:val="NormalWeb"/>
              <w:jc w:val="center"/>
              <w:rPr>
                <w:sz w:val="18"/>
                <w:szCs w:val="18"/>
              </w:rPr>
            </w:pPr>
            <w:r w:rsidRPr="007E6A39">
              <w:rPr>
                <w:sz w:val="18"/>
                <w:szCs w:val="18"/>
              </w:rPr>
              <w:t>487 (42.3%)</w:t>
            </w:r>
          </w:p>
        </w:tc>
        <w:tc>
          <w:tcPr>
            <w:tcW w:w="0" w:type="auto"/>
            <w:tcBorders>
              <w:top w:val="single" w:sz="2" w:space="0" w:color="000000" w:themeColor="text1"/>
              <w:bottom w:val="single" w:sz="2" w:space="0" w:color="000000" w:themeColor="text1"/>
              <w:right w:val="single" w:sz="2" w:space="0" w:color="000000" w:themeColor="text1"/>
            </w:tcBorders>
            <w:shd w:val="clear" w:color="auto" w:fill="auto"/>
            <w:vAlign w:val="center"/>
            <w:hideMark/>
          </w:tcPr>
          <w:p w14:paraId="2D770CE4" w14:textId="77777777" w:rsidR="004C0ADA" w:rsidRPr="007E6A39" w:rsidRDefault="004C0ADA" w:rsidP="007E6A39">
            <w:pPr>
              <w:pStyle w:val="NormalWeb"/>
              <w:jc w:val="center"/>
              <w:rPr>
                <w:sz w:val="18"/>
                <w:szCs w:val="18"/>
              </w:rPr>
            </w:pPr>
            <w:r w:rsidRPr="007E6A39">
              <w:rPr>
                <w:sz w:val="18"/>
                <w:szCs w:val="18"/>
              </w:rPr>
              <w:t>773 (49.1%)</w:t>
            </w:r>
          </w:p>
        </w:tc>
        <w:tc>
          <w:tcPr>
            <w:tcW w:w="1881" w:type="dxa"/>
            <w:vMerge/>
            <w:tcBorders>
              <w:top w:val="single" w:sz="2" w:space="0" w:color="000000" w:themeColor="text1"/>
              <w:left w:val="single" w:sz="2" w:space="0" w:color="000000" w:themeColor="text1"/>
              <w:bottom w:val="single" w:sz="2" w:space="0" w:color="000000" w:themeColor="text1"/>
            </w:tcBorders>
            <w:shd w:val="clear" w:color="auto" w:fill="auto"/>
            <w:vAlign w:val="center"/>
            <w:hideMark/>
          </w:tcPr>
          <w:p w14:paraId="4B3651C2" w14:textId="77777777" w:rsidR="004C0ADA" w:rsidRPr="007E6A39" w:rsidRDefault="004C0ADA" w:rsidP="007E6A39">
            <w:pPr>
              <w:jc w:val="center"/>
              <w:rPr>
                <w:sz w:val="18"/>
                <w:szCs w:val="18"/>
              </w:rPr>
            </w:pPr>
          </w:p>
        </w:tc>
      </w:tr>
      <w:tr w:rsidR="007E6A39" w:rsidRPr="007E6A39" w14:paraId="39CD2379" w14:textId="77777777" w:rsidTr="0032497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Borders>
              <w:top w:val="single" w:sz="2" w:space="0" w:color="000000" w:themeColor="text1"/>
              <w:bottom w:val="single" w:sz="2" w:space="0" w:color="000000" w:themeColor="text1"/>
            </w:tcBorders>
            <w:shd w:val="clear" w:color="auto" w:fill="auto"/>
            <w:vAlign w:val="center"/>
            <w:hideMark/>
          </w:tcPr>
          <w:p w14:paraId="46BD61E5" w14:textId="77777777" w:rsidR="004C0ADA" w:rsidRPr="007E6A39" w:rsidRDefault="004C0ADA" w:rsidP="007E6A39">
            <w:pPr>
              <w:pStyle w:val="NormalWeb"/>
              <w:rPr>
                <w:sz w:val="18"/>
                <w:szCs w:val="18"/>
              </w:rPr>
            </w:pPr>
            <w:r w:rsidRPr="007E6A39">
              <w:rPr>
                <w:sz w:val="18"/>
                <w:szCs w:val="18"/>
              </w:rPr>
              <w:t>Delay between onset and admission, in days, median (IQR)</w:t>
            </w:r>
          </w:p>
        </w:tc>
        <w:tc>
          <w:tcPr>
            <w:tcW w:w="0" w:type="auto"/>
            <w:tcBorders>
              <w:top w:val="single" w:sz="2" w:space="0" w:color="000000" w:themeColor="text1"/>
              <w:bottom w:val="single" w:sz="2" w:space="0" w:color="000000" w:themeColor="text1"/>
            </w:tcBorders>
            <w:shd w:val="clear" w:color="auto" w:fill="auto"/>
            <w:vAlign w:val="center"/>
            <w:hideMark/>
          </w:tcPr>
          <w:p w14:paraId="6A615EBD" w14:textId="77777777" w:rsidR="004C0ADA" w:rsidRPr="007E6A39" w:rsidRDefault="004C0ADA" w:rsidP="007E6A39">
            <w:pPr>
              <w:pStyle w:val="NormalWeb"/>
              <w:jc w:val="center"/>
              <w:rPr>
                <w:sz w:val="18"/>
                <w:szCs w:val="18"/>
              </w:rPr>
            </w:pPr>
            <w:r w:rsidRPr="007E6A39">
              <w:rPr>
                <w:sz w:val="18"/>
                <w:szCs w:val="18"/>
              </w:rPr>
              <w:t>3 (1, 5)</w:t>
            </w:r>
          </w:p>
        </w:tc>
        <w:tc>
          <w:tcPr>
            <w:tcW w:w="0" w:type="auto"/>
            <w:tcBorders>
              <w:top w:val="single" w:sz="2" w:space="0" w:color="000000" w:themeColor="text1"/>
              <w:bottom w:val="single" w:sz="2" w:space="0" w:color="000000" w:themeColor="text1"/>
            </w:tcBorders>
            <w:shd w:val="clear" w:color="auto" w:fill="auto"/>
            <w:vAlign w:val="center"/>
            <w:hideMark/>
          </w:tcPr>
          <w:p w14:paraId="347C5C9E" w14:textId="77777777" w:rsidR="004C0ADA" w:rsidRPr="007E6A39" w:rsidRDefault="004C0ADA" w:rsidP="007E6A39">
            <w:pPr>
              <w:pStyle w:val="NormalWeb"/>
              <w:jc w:val="center"/>
              <w:rPr>
                <w:sz w:val="18"/>
                <w:szCs w:val="18"/>
              </w:rPr>
            </w:pPr>
            <w:r w:rsidRPr="007E6A39">
              <w:rPr>
                <w:sz w:val="18"/>
                <w:szCs w:val="18"/>
              </w:rPr>
              <w:t>3 (1, 5)</w:t>
            </w:r>
          </w:p>
        </w:tc>
        <w:tc>
          <w:tcPr>
            <w:tcW w:w="0" w:type="auto"/>
            <w:tcBorders>
              <w:top w:val="single" w:sz="2" w:space="0" w:color="000000" w:themeColor="text1"/>
              <w:bottom w:val="single" w:sz="2" w:space="0" w:color="000000" w:themeColor="text1"/>
            </w:tcBorders>
            <w:shd w:val="clear" w:color="auto" w:fill="auto"/>
            <w:vAlign w:val="center"/>
            <w:hideMark/>
          </w:tcPr>
          <w:p w14:paraId="21F9D8B7" w14:textId="77777777" w:rsidR="004C0ADA" w:rsidRPr="007E6A39" w:rsidRDefault="004C0ADA" w:rsidP="007E6A39">
            <w:pPr>
              <w:pStyle w:val="NormalWeb"/>
              <w:jc w:val="center"/>
              <w:rPr>
                <w:sz w:val="18"/>
                <w:szCs w:val="18"/>
              </w:rPr>
            </w:pPr>
            <w:r w:rsidRPr="007E6A39">
              <w:rPr>
                <w:sz w:val="18"/>
                <w:szCs w:val="18"/>
              </w:rPr>
              <w:t>3 (2, 4)</w:t>
            </w:r>
          </w:p>
        </w:tc>
        <w:tc>
          <w:tcPr>
            <w:tcW w:w="1881" w:type="dxa"/>
            <w:tcBorders>
              <w:top w:val="single" w:sz="2" w:space="0" w:color="000000" w:themeColor="text1"/>
              <w:bottom w:val="single" w:sz="2" w:space="0" w:color="000000" w:themeColor="text1"/>
            </w:tcBorders>
            <w:shd w:val="clear" w:color="auto" w:fill="auto"/>
            <w:vAlign w:val="center"/>
            <w:hideMark/>
          </w:tcPr>
          <w:p w14:paraId="08FBAA9E" w14:textId="77777777" w:rsidR="004C0ADA" w:rsidRPr="007E6A39" w:rsidRDefault="004C0ADA" w:rsidP="007E6A39">
            <w:pPr>
              <w:pStyle w:val="NormalWeb"/>
              <w:jc w:val="center"/>
              <w:rPr>
                <w:sz w:val="18"/>
                <w:szCs w:val="18"/>
              </w:rPr>
            </w:pPr>
            <w:r w:rsidRPr="007E6A39">
              <w:rPr>
                <w:sz w:val="18"/>
                <w:szCs w:val="18"/>
              </w:rPr>
              <w:t>0.55</w:t>
            </w:r>
          </w:p>
        </w:tc>
      </w:tr>
      <w:tr w:rsidR="0032497B" w:rsidRPr="007E6A39" w14:paraId="77A9E9A6" w14:textId="77777777" w:rsidTr="0032497B">
        <w:tblPrEx>
          <w:tblCellMar>
            <w:top w:w="57" w:type="dxa"/>
            <w:left w:w="57" w:type="dxa"/>
            <w:bottom w:w="57" w:type="dxa"/>
            <w:right w:w="57" w:type="dxa"/>
          </w:tblCellMar>
        </w:tblPrEx>
        <w:tc>
          <w:tcPr>
            <w:tcW w:w="0" w:type="auto"/>
            <w:tcBorders>
              <w:top w:val="single" w:sz="2" w:space="0" w:color="000000" w:themeColor="text1"/>
              <w:bottom w:val="single" w:sz="2" w:space="0" w:color="000000" w:themeColor="text1"/>
            </w:tcBorders>
            <w:shd w:val="clear" w:color="auto" w:fill="auto"/>
            <w:vAlign w:val="center"/>
            <w:hideMark/>
          </w:tcPr>
          <w:p w14:paraId="0DD6BC04" w14:textId="77777777" w:rsidR="004C0ADA" w:rsidRPr="007E6A39" w:rsidRDefault="004C0ADA" w:rsidP="007E6A39">
            <w:pPr>
              <w:pStyle w:val="NormalWeb"/>
              <w:rPr>
                <w:sz w:val="18"/>
                <w:szCs w:val="18"/>
              </w:rPr>
            </w:pPr>
            <w:r w:rsidRPr="007E6A39">
              <w:rPr>
                <w:sz w:val="18"/>
                <w:szCs w:val="18"/>
              </w:rPr>
              <w:t xml:space="preserve">Delay between onset and </w:t>
            </w:r>
            <w:proofErr w:type="spellStart"/>
            <w:proofErr w:type="gramStart"/>
            <w:r w:rsidRPr="007E6A39">
              <w:rPr>
                <w:sz w:val="18"/>
                <w:szCs w:val="18"/>
              </w:rPr>
              <w:t>treatment,</w:t>
            </w:r>
            <w:r w:rsidRPr="00B63925">
              <w:rPr>
                <w:sz w:val="18"/>
                <w:szCs w:val="18"/>
                <w:vertAlign w:val="superscript"/>
              </w:rPr>
              <w:t>a</w:t>
            </w:r>
            <w:proofErr w:type="spellEnd"/>
            <w:proofErr w:type="gramEnd"/>
            <w:r w:rsidRPr="007E6A39">
              <w:rPr>
                <w:sz w:val="18"/>
                <w:szCs w:val="18"/>
              </w:rPr>
              <w:t xml:space="preserve"> in days, median (IQR)</w:t>
            </w:r>
          </w:p>
        </w:tc>
        <w:tc>
          <w:tcPr>
            <w:tcW w:w="0" w:type="auto"/>
            <w:tcBorders>
              <w:top w:val="single" w:sz="2" w:space="0" w:color="000000" w:themeColor="text1"/>
              <w:bottom w:val="single" w:sz="2" w:space="0" w:color="000000" w:themeColor="text1"/>
            </w:tcBorders>
            <w:shd w:val="clear" w:color="auto" w:fill="auto"/>
            <w:vAlign w:val="center"/>
            <w:hideMark/>
          </w:tcPr>
          <w:p w14:paraId="01F79DE1" w14:textId="77777777" w:rsidR="004C0ADA" w:rsidRPr="007E6A39" w:rsidRDefault="004C0ADA" w:rsidP="007E6A39">
            <w:pPr>
              <w:pStyle w:val="NormalWeb"/>
              <w:jc w:val="center"/>
              <w:rPr>
                <w:sz w:val="18"/>
                <w:szCs w:val="18"/>
              </w:rPr>
            </w:pPr>
            <w:r w:rsidRPr="007E6A39">
              <w:rPr>
                <w:sz w:val="18"/>
                <w:szCs w:val="18"/>
              </w:rPr>
              <w:t>3 (2, 5)</w:t>
            </w:r>
          </w:p>
        </w:tc>
        <w:tc>
          <w:tcPr>
            <w:tcW w:w="0" w:type="auto"/>
            <w:tcBorders>
              <w:top w:val="single" w:sz="2" w:space="0" w:color="000000" w:themeColor="text1"/>
              <w:bottom w:val="single" w:sz="2" w:space="0" w:color="000000" w:themeColor="text1"/>
            </w:tcBorders>
            <w:shd w:val="clear" w:color="auto" w:fill="auto"/>
            <w:vAlign w:val="center"/>
            <w:hideMark/>
          </w:tcPr>
          <w:p w14:paraId="13706B9A" w14:textId="77777777" w:rsidR="004C0ADA" w:rsidRPr="007E6A39" w:rsidRDefault="004C0ADA" w:rsidP="007E6A39">
            <w:pPr>
              <w:pStyle w:val="NormalWeb"/>
              <w:jc w:val="center"/>
              <w:rPr>
                <w:sz w:val="18"/>
                <w:szCs w:val="18"/>
              </w:rPr>
            </w:pPr>
            <w:r w:rsidRPr="007E6A39">
              <w:rPr>
                <w:sz w:val="18"/>
                <w:szCs w:val="18"/>
              </w:rPr>
              <w:t>3 (2, 5)</w:t>
            </w:r>
          </w:p>
        </w:tc>
        <w:tc>
          <w:tcPr>
            <w:tcW w:w="0" w:type="auto"/>
            <w:tcBorders>
              <w:top w:val="single" w:sz="2" w:space="0" w:color="000000" w:themeColor="text1"/>
              <w:bottom w:val="single" w:sz="2" w:space="0" w:color="000000" w:themeColor="text1"/>
            </w:tcBorders>
            <w:shd w:val="clear" w:color="auto" w:fill="auto"/>
            <w:vAlign w:val="center"/>
            <w:hideMark/>
          </w:tcPr>
          <w:p w14:paraId="5ADCA287" w14:textId="77777777" w:rsidR="004C0ADA" w:rsidRPr="007E6A39" w:rsidRDefault="004C0ADA" w:rsidP="007E6A39">
            <w:pPr>
              <w:pStyle w:val="NormalWeb"/>
              <w:jc w:val="center"/>
              <w:rPr>
                <w:sz w:val="18"/>
                <w:szCs w:val="18"/>
              </w:rPr>
            </w:pPr>
            <w:r w:rsidRPr="007E6A39">
              <w:rPr>
                <w:sz w:val="18"/>
                <w:szCs w:val="18"/>
              </w:rPr>
              <w:t>3 (2, 5)</w:t>
            </w:r>
          </w:p>
        </w:tc>
        <w:tc>
          <w:tcPr>
            <w:tcW w:w="1881" w:type="dxa"/>
            <w:tcBorders>
              <w:top w:val="single" w:sz="2" w:space="0" w:color="000000" w:themeColor="text1"/>
              <w:bottom w:val="single" w:sz="2" w:space="0" w:color="000000" w:themeColor="text1"/>
            </w:tcBorders>
            <w:shd w:val="clear" w:color="auto" w:fill="auto"/>
            <w:vAlign w:val="center"/>
            <w:hideMark/>
          </w:tcPr>
          <w:p w14:paraId="5D53ECA2" w14:textId="77777777" w:rsidR="004C0ADA" w:rsidRPr="007E6A39" w:rsidRDefault="004C0ADA" w:rsidP="007E6A39">
            <w:pPr>
              <w:pStyle w:val="NormalWeb"/>
              <w:jc w:val="center"/>
              <w:rPr>
                <w:sz w:val="18"/>
                <w:szCs w:val="18"/>
              </w:rPr>
            </w:pPr>
            <w:r w:rsidRPr="007E6A39">
              <w:rPr>
                <w:sz w:val="18"/>
                <w:szCs w:val="18"/>
              </w:rPr>
              <w:t>0.100</w:t>
            </w:r>
          </w:p>
        </w:tc>
      </w:tr>
      <w:tr w:rsidR="007E6A39" w:rsidRPr="007E6A39" w14:paraId="4655179F" w14:textId="77777777" w:rsidTr="0032497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Borders>
              <w:top w:val="single" w:sz="2" w:space="0" w:color="000000" w:themeColor="text1"/>
              <w:bottom w:val="single" w:sz="2" w:space="0" w:color="000000" w:themeColor="text1"/>
            </w:tcBorders>
            <w:shd w:val="clear" w:color="auto" w:fill="auto"/>
            <w:vAlign w:val="center"/>
            <w:hideMark/>
          </w:tcPr>
          <w:p w14:paraId="4C758D99" w14:textId="77777777" w:rsidR="004C0ADA" w:rsidRPr="007E6A39" w:rsidRDefault="004C0ADA" w:rsidP="007E6A39">
            <w:pPr>
              <w:pStyle w:val="NormalWeb"/>
              <w:rPr>
                <w:sz w:val="18"/>
                <w:szCs w:val="18"/>
              </w:rPr>
            </w:pPr>
            <w:r w:rsidRPr="007E6A39">
              <w:rPr>
                <w:sz w:val="18"/>
                <w:szCs w:val="18"/>
              </w:rPr>
              <w:t>Length of stay, in days, median (IQR)</w:t>
            </w:r>
          </w:p>
        </w:tc>
        <w:tc>
          <w:tcPr>
            <w:tcW w:w="0" w:type="auto"/>
            <w:tcBorders>
              <w:top w:val="single" w:sz="2" w:space="0" w:color="000000" w:themeColor="text1"/>
              <w:bottom w:val="single" w:sz="2" w:space="0" w:color="000000" w:themeColor="text1"/>
            </w:tcBorders>
            <w:shd w:val="clear" w:color="auto" w:fill="auto"/>
            <w:vAlign w:val="center"/>
            <w:hideMark/>
          </w:tcPr>
          <w:p w14:paraId="54C61001" w14:textId="77777777" w:rsidR="004C0ADA" w:rsidRPr="007E6A39" w:rsidRDefault="004C0ADA" w:rsidP="007E6A39">
            <w:pPr>
              <w:pStyle w:val="NormalWeb"/>
              <w:jc w:val="center"/>
              <w:rPr>
                <w:sz w:val="18"/>
                <w:szCs w:val="18"/>
              </w:rPr>
            </w:pPr>
            <w:r w:rsidRPr="007E6A39">
              <w:rPr>
                <w:sz w:val="18"/>
                <w:szCs w:val="18"/>
              </w:rPr>
              <w:t>1 (1, 2)</w:t>
            </w:r>
          </w:p>
        </w:tc>
        <w:tc>
          <w:tcPr>
            <w:tcW w:w="0" w:type="auto"/>
            <w:tcBorders>
              <w:top w:val="single" w:sz="2" w:space="0" w:color="000000" w:themeColor="text1"/>
              <w:bottom w:val="single" w:sz="2" w:space="0" w:color="000000" w:themeColor="text1"/>
            </w:tcBorders>
            <w:shd w:val="clear" w:color="auto" w:fill="auto"/>
            <w:vAlign w:val="center"/>
            <w:hideMark/>
          </w:tcPr>
          <w:p w14:paraId="4D60E602" w14:textId="77777777" w:rsidR="004C0ADA" w:rsidRPr="007E6A39" w:rsidRDefault="004C0ADA" w:rsidP="007E6A39">
            <w:pPr>
              <w:pStyle w:val="NormalWeb"/>
              <w:jc w:val="center"/>
              <w:rPr>
                <w:sz w:val="18"/>
                <w:szCs w:val="18"/>
              </w:rPr>
            </w:pPr>
            <w:r w:rsidRPr="007E6A39">
              <w:rPr>
                <w:sz w:val="18"/>
                <w:szCs w:val="18"/>
              </w:rPr>
              <w:t>2 (1, 4)</w:t>
            </w:r>
          </w:p>
        </w:tc>
        <w:tc>
          <w:tcPr>
            <w:tcW w:w="0" w:type="auto"/>
            <w:tcBorders>
              <w:top w:val="single" w:sz="2" w:space="0" w:color="000000" w:themeColor="text1"/>
              <w:bottom w:val="single" w:sz="2" w:space="0" w:color="000000" w:themeColor="text1"/>
            </w:tcBorders>
            <w:shd w:val="clear" w:color="auto" w:fill="auto"/>
            <w:vAlign w:val="center"/>
            <w:hideMark/>
          </w:tcPr>
          <w:p w14:paraId="1964A6EE" w14:textId="77777777" w:rsidR="004C0ADA" w:rsidRPr="007E6A39" w:rsidRDefault="004C0ADA" w:rsidP="007E6A39">
            <w:pPr>
              <w:pStyle w:val="NormalWeb"/>
              <w:jc w:val="center"/>
              <w:rPr>
                <w:sz w:val="18"/>
                <w:szCs w:val="18"/>
              </w:rPr>
            </w:pPr>
            <w:r w:rsidRPr="007E6A39">
              <w:rPr>
                <w:sz w:val="18"/>
                <w:szCs w:val="18"/>
              </w:rPr>
              <w:t>4 (2, 7)</w:t>
            </w:r>
          </w:p>
        </w:tc>
        <w:tc>
          <w:tcPr>
            <w:tcW w:w="1881" w:type="dxa"/>
            <w:tcBorders>
              <w:top w:val="single" w:sz="2" w:space="0" w:color="000000" w:themeColor="text1"/>
              <w:bottom w:val="single" w:sz="2" w:space="0" w:color="000000" w:themeColor="text1"/>
            </w:tcBorders>
            <w:shd w:val="clear" w:color="auto" w:fill="auto"/>
            <w:vAlign w:val="center"/>
            <w:hideMark/>
          </w:tcPr>
          <w:p w14:paraId="4564C7E3" w14:textId="77777777" w:rsidR="004C0ADA" w:rsidRPr="007E6A39" w:rsidRDefault="004C0ADA" w:rsidP="007E6A39">
            <w:pPr>
              <w:jc w:val="center"/>
              <w:rPr>
                <w:sz w:val="18"/>
                <w:szCs w:val="18"/>
              </w:rPr>
            </w:pPr>
          </w:p>
        </w:tc>
      </w:tr>
    </w:tbl>
    <w:p w14:paraId="49780587" w14:textId="77777777" w:rsidR="004C0ADA" w:rsidRDefault="004C0ADA" w:rsidP="004C0ADA">
      <w:pPr>
        <w:pStyle w:val="CDIfootnotes"/>
        <w:rPr>
          <w:sz w:val="24"/>
          <w:szCs w:val="24"/>
          <w:lang w:val="en-GB"/>
        </w:rPr>
      </w:pPr>
      <w:proofErr w:type="spellStart"/>
      <w:r>
        <w:rPr>
          <w:lang w:val="en-GB"/>
        </w:rPr>
        <w:t>a</w:t>
      </w:r>
      <w:proofErr w:type="spellEnd"/>
      <w:r>
        <w:rPr>
          <w:lang w:val="en-GB"/>
        </w:rPr>
        <w:tab/>
      </w:r>
      <w:proofErr w:type="gramStart"/>
      <w:r>
        <w:rPr>
          <w:lang w:val="en-GB"/>
        </w:rPr>
        <w:t>Of</w:t>
      </w:r>
      <w:proofErr w:type="gramEnd"/>
      <w:r>
        <w:rPr>
          <w:lang w:val="en-GB"/>
        </w:rPr>
        <w:t xml:space="preserve"> patients who received oseltamivir.</w:t>
      </w:r>
    </w:p>
    <w:p w14:paraId="1C78F2EC" w14:textId="77777777" w:rsidR="004C0ADA" w:rsidRDefault="004C0ADA" w:rsidP="004C0ADA">
      <w:pPr>
        <w:pStyle w:val="CDIfootnotes"/>
        <w:rPr>
          <w:lang w:val="en-GB"/>
        </w:rPr>
      </w:pPr>
      <w:r>
        <w:rPr>
          <w:lang w:val="en-GB"/>
        </w:rPr>
        <w:t>b</w:t>
      </w:r>
      <w:r>
        <w:rPr>
          <w:lang w:val="en-GB"/>
        </w:rPr>
        <w:tab/>
        <w:t xml:space="preserve">This </w:t>
      </w:r>
      <w:r w:rsidRPr="00073CEC">
        <w:rPr>
          <w:i/>
          <w:iCs/>
          <w:lang w:val="en-GB"/>
        </w:rPr>
        <w:t>p</w:t>
      </w:r>
      <w:r>
        <w:rPr>
          <w:lang w:val="en-GB"/>
        </w:rPr>
        <w:t xml:space="preserve"> value refers to a chi squared test for the categories oseltamivir not received / oseltamivir received within 48 hr of onset / oseltamivir received more than 48 hr after onset, with a null hypothesis that proportions within each category are equal across all age groups.</w:t>
      </w:r>
    </w:p>
    <w:p w14:paraId="66A37B10" w14:textId="77777777" w:rsidR="00375CEC" w:rsidRPr="00150762" w:rsidRDefault="00375CEC" w:rsidP="00375CEC">
      <w:pPr>
        <w:pStyle w:val="CDIFigures"/>
      </w:pPr>
      <w:r w:rsidRPr="00150762">
        <w:rPr>
          <w:rStyle w:val="Strong"/>
          <w:b/>
          <w:bCs w:val="0"/>
        </w:rPr>
        <w:t>Table 5: Factors associated with length of stay in patients with confirmed influenza</w:t>
      </w:r>
      <w:r w:rsidRPr="00150762">
        <w:t xml:space="preserve"> </w:t>
      </w:r>
    </w:p>
    <w:tbl>
      <w:tblPr>
        <w:tblStyle w:val="CDI-StandardTable"/>
        <w:tblW w:w="0" w:type="auto"/>
        <w:tblLook w:val="04A0" w:firstRow="1" w:lastRow="0" w:firstColumn="1" w:lastColumn="0" w:noHBand="0" w:noVBand="1"/>
        <w:tblDescription w:val="Table 5: This table shows the results of a regression analysis for factors associated with hospital length of stay, including oseltamivir treatment, age group,  comorbidities and ICU admission"/>
      </w:tblPr>
      <w:tblGrid>
        <w:gridCol w:w="2088"/>
        <w:gridCol w:w="2088"/>
        <w:gridCol w:w="2088"/>
        <w:gridCol w:w="2088"/>
        <w:gridCol w:w="2088"/>
      </w:tblGrid>
      <w:tr w:rsidR="00C7368B" w:rsidRPr="00C7368B" w14:paraId="3A1EDA86" w14:textId="77777777" w:rsidTr="00C7368B">
        <w:trPr>
          <w:cnfStyle w:val="100000000000" w:firstRow="1" w:lastRow="0" w:firstColumn="0" w:lastColumn="0" w:oddVBand="0" w:evenVBand="0" w:oddHBand="0" w:evenHBand="0" w:firstRowFirstColumn="0" w:firstRowLastColumn="0" w:lastRowFirstColumn="0" w:lastRowLastColumn="0"/>
        </w:trPr>
        <w:tc>
          <w:tcPr>
            <w:tcW w:w="2088" w:type="dxa"/>
            <w:tcBorders>
              <w:right w:val="single" w:sz="4" w:space="0" w:color="886E49"/>
            </w:tcBorders>
            <w:hideMark/>
          </w:tcPr>
          <w:p w14:paraId="28B4FDF0" w14:textId="77777777" w:rsidR="00375CEC" w:rsidRPr="00C7368B" w:rsidRDefault="00375CEC" w:rsidP="00073CEC">
            <w:pPr>
              <w:pStyle w:val="NormalWeb"/>
              <w:rPr>
                <w:color w:val="FFFFFF" w:themeColor="background1"/>
                <w:sz w:val="18"/>
                <w:szCs w:val="18"/>
              </w:rPr>
            </w:pPr>
            <w:r w:rsidRPr="00C7368B">
              <w:rPr>
                <w:color w:val="FFFFFF" w:themeColor="background1"/>
                <w:sz w:val="18"/>
                <w:szCs w:val="18"/>
              </w:rPr>
              <w:t>Variable</w:t>
            </w:r>
          </w:p>
        </w:tc>
        <w:tc>
          <w:tcPr>
            <w:tcW w:w="2088" w:type="dxa"/>
            <w:tcBorders>
              <w:left w:val="single" w:sz="4" w:space="0" w:color="886E49"/>
              <w:right w:val="single" w:sz="4" w:space="0" w:color="886E49"/>
            </w:tcBorders>
            <w:hideMark/>
          </w:tcPr>
          <w:p w14:paraId="427EB3F5" w14:textId="77777777" w:rsidR="00375CEC" w:rsidRPr="00C7368B" w:rsidRDefault="00375CEC" w:rsidP="00C7368B">
            <w:pPr>
              <w:pStyle w:val="NormalWeb"/>
              <w:jc w:val="center"/>
              <w:rPr>
                <w:color w:val="FFFFFF" w:themeColor="background1"/>
                <w:sz w:val="18"/>
                <w:szCs w:val="18"/>
              </w:rPr>
            </w:pPr>
            <w:r w:rsidRPr="00C7368B">
              <w:rPr>
                <w:color w:val="FFFFFF" w:themeColor="background1"/>
                <w:sz w:val="18"/>
                <w:szCs w:val="18"/>
              </w:rPr>
              <w:t xml:space="preserve">Crude rate </w:t>
            </w:r>
            <w:proofErr w:type="spellStart"/>
            <w:r w:rsidRPr="00C7368B">
              <w:rPr>
                <w:color w:val="FFFFFF" w:themeColor="background1"/>
                <w:sz w:val="18"/>
                <w:szCs w:val="18"/>
              </w:rPr>
              <w:t>ratio</w:t>
            </w:r>
            <w:r w:rsidRPr="00C7368B">
              <w:rPr>
                <w:color w:val="FFFFFF" w:themeColor="background1"/>
                <w:sz w:val="18"/>
                <w:szCs w:val="18"/>
                <w:vertAlign w:val="superscript"/>
              </w:rPr>
              <w:t>a</w:t>
            </w:r>
            <w:proofErr w:type="spellEnd"/>
          </w:p>
        </w:tc>
        <w:tc>
          <w:tcPr>
            <w:tcW w:w="2088" w:type="dxa"/>
            <w:tcBorders>
              <w:left w:val="single" w:sz="4" w:space="0" w:color="886E49"/>
              <w:right w:val="single" w:sz="4" w:space="0" w:color="886E49"/>
            </w:tcBorders>
            <w:hideMark/>
          </w:tcPr>
          <w:p w14:paraId="11CA9AB1" w14:textId="77777777" w:rsidR="00375CEC" w:rsidRPr="00C7368B" w:rsidRDefault="00375CEC" w:rsidP="00C7368B">
            <w:pPr>
              <w:pStyle w:val="NormalWeb"/>
              <w:jc w:val="center"/>
              <w:rPr>
                <w:color w:val="FFFFFF" w:themeColor="background1"/>
                <w:sz w:val="18"/>
                <w:szCs w:val="18"/>
              </w:rPr>
            </w:pPr>
            <w:r w:rsidRPr="0047015A">
              <w:rPr>
                <w:i/>
                <w:iCs/>
                <w:color w:val="FFFFFF" w:themeColor="background1"/>
                <w:sz w:val="18"/>
                <w:szCs w:val="18"/>
              </w:rPr>
              <w:t>p</w:t>
            </w:r>
            <w:r w:rsidRPr="00C7368B">
              <w:rPr>
                <w:color w:val="FFFFFF" w:themeColor="background1"/>
                <w:sz w:val="18"/>
                <w:szCs w:val="18"/>
              </w:rPr>
              <w:t xml:space="preserve"> value</w:t>
            </w:r>
          </w:p>
        </w:tc>
        <w:tc>
          <w:tcPr>
            <w:tcW w:w="2088" w:type="dxa"/>
            <w:tcBorders>
              <w:left w:val="single" w:sz="4" w:space="0" w:color="886E49"/>
              <w:right w:val="single" w:sz="4" w:space="0" w:color="886E49"/>
            </w:tcBorders>
            <w:hideMark/>
          </w:tcPr>
          <w:p w14:paraId="249D463A" w14:textId="77777777" w:rsidR="00375CEC" w:rsidRPr="00C7368B" w:rsidRDefault="00375CEC" w:rsidP="00C7368B">
            <w:pPr>
              <w:pStyle w:val="NormalWeb"/>
              <w:jc w:val="center"/>
              <w:rPr>
                <w:color w:val="FFFFFF" w:themeColor="background1"/>
                <w:sz w:val="18"/>
                <w:szCs w:val="18"/>
              </w:rPr>
            </w:pPr>
            <w:r w:rsidRPr="00C7368B">
              <w:rPr>
                <w:color w:val="FFFFFF" w:themeColor="background1"/>
                <w:sz w:val="18"/>
                <w:szCs w:val="18"/>
              </w:rPr>
              <w:t xml:space="preserve">Adjusted rate </w:t>
            </w:r>
            <w:proofErr w:type="spellStart"/>
            <w:r w:rsidRPr="00C7368B">
              <w:rPr>
                <w:color w:val="FFFFFF" w:themeColor="background1"/>
                <w:sz w:val="18"/>
                <w:szCs w:val="18"/>
              </w:rPr>
              <w:t>ratio</w:t>
            </w:r>
            <w:r w:rsidRPr="00C7368B">
              <w:rPr>
                <w:color w:val="FFFFFF" w:themeColor="background1"/>
                <w:sz w:val="18"/>
                <w:szCs w:val="18"/>
                <w:vertAlign w:val="superscript"/>
              </w:rPr>
              <w:t>a</w:t>
            </w:r>
            <w:proofErr w:type="spellEnd"/>
          </w:p>
        </w:tc>
        <w:tc>
          <w:tcPr>
            <w:tcW w:w="2088" w:type="dxa"/>
            <w:tcBorders>
              <w:left w:val="single" w:sz="4" w:space="0" w:color="886E49"/>
            </w:tcBorders>
            <w:hideMark/>
          </w:tcPr>
          <w:p w14:paraId="409BF550" w14:textId="77777777" w:rsidR="00375CEC" w:rsidRPr="00C7368B" w:rsidRDefault="00375CEC" w:rsidP="00C7368B">
            <w:pPr>
              <w:pStyle w:val="NormalWeb"/>
              <w:jc w:val="center"/>
              <w:rPr>
                <w:color w:val="FFFFFF" w:themeColor="background1"/>
                <w:sz w:val="18"/>
                <w:szCs w:val="18"/>
              </w:rPr>
            </w:pPr>
            <w:r w:rsidRPr="0047015A">
              <w:rPr>
                <w:i/>
                <w:iCs/>
                <w:color w:val="FFFFFF" w:themeColor="background1"/>
                <w:sz w:val="18"/>
                <w:szCs w:val="18"/>
              </w:rPr>
              <w:t>p</w:t>
            </w:r>
            <w:r w:rsidRPr="00C7368B">
              <w:rPr>
                <w:color w:val="FFFFFF" w:themeColor="background1"/>
                <w:sz w:val="18"/>
                <w:szCs w:val="18"/>
              </w:rPr>
              <w:t xml:space="preserve"> value</w:t>
            </w:r>
          </w:p>
        </w:tc>
      </w:tr>
      <w:tr w:rsidR="00C7368B" w:rsidRPr="00C7368B" w14:paraId="7B1B1348" w14:textId="77777777" w:rsidTr="00C7368B">
        <w:tblPrEx>
          <w:tblCellMar>
            <w:top w:w="57" w:type="dxa"/>
            <w:left w:w="57" w:type="dxa"/>
            <w:bottom w:w="57" w:type="dxa"/>
            <w:right w:w="57" w:type="dxa"/>
          </w:tblCellMar>
        </w:tblPrEx>
        <w:tc>
          <w:tcPr>
            <w:tcW w:w="2088" w:type="dxa"/>
            <w:shd w:val="clear" w:color="auto" w:fill="886E49"/>
            <w:hideMark/>
          </w:tcPr>
          <w:p w14:paraId="4CB22610" w14:textId="77777777" w:rsidR="00375CEC" w:rsidRPr="00C7368B" w:rsidRDefault="00375CEC" w:rsidP="00073CEC">
            <w:pPr>
              <w:pStyle w:val="NormalWeb"/>
              <w:rPr>
                <w:b/>
                <w:bCs/>
                <w:color w:val="FFFFFF" w:themeColor="background1"/>
                <w:sz w:val="18"/>
                <w:szCs w:val="18"/>
              </w:rPr>
            </w:pPr>
            <w:r w:rsidRPr="00C7368B">
              <w:rPr>
                <w:b/>
                <w:bCs/>
                <w:color w:val="FFFFFF" w:themeColor="background1"/>
                <w:sz w:val="18"/>
                <w:szCs w:val="18"/>
              </w:rPr>
              <w:t>Oseltamivir treatment</w:t>
            </w:r>
          </w:p>
        </w:tc>
        <w:tc>
          <w:tcPr>
            <w:tcW w:w="2088" w:type="dxa"/>
            <w:shd w:val="clear" w:color="auto" w:fill="886E49"/>
            <w:hideMark/>
          </w:tcPr>
          <w:p w14:paraId="696B166A" w14:textId="77777777" w:rsidR="00375CEC" w:rsidRPr="00C7368B" w:rsidRDefault="00375CEC" w:rsidP="00C7368B">
            <w:pPr>
              <w:jc w:val="center"/>
              <w:rPr>
                <w:b/>
                <w:bCs/>
                <w:color w:val="FFFFFF" w:themeColor="background1"/>
                <w:sz w:val="18"/>
                <w:szCs w:val="18"/>
              </w:rPr>
            </w:pPr>
          </w:p>
        </w:tc>
        <w:tc>
          <w:tcPr>
            <w:tcW w:w="2088" w:type="dxa"/>
            <w:shd w:val="clear" w:color="auto" w:fill="886E49"/>
            <w:hideMark/>
          </w:tcPr>
          <w:p w14:paraId="4C47E235" w14:textId="77777777" w:rsidR="00375CEC" w:rsidRPr="00C7368B" w:rsidRDefault="00375CEC" w:rsidP="00C7368B">
            <w:pPr>
              <w:jc w:val="center"/>
              <w:rPr>
                <w:rFonts w:eastAsia="Times New Roman"/>
                <w:b/>
                <w:bCs/>
                <w:color w:val="FFFFFF" w:themeColor="background1"/>
                <w:sz w:val="18"/>
                <w:szCs w:val="18"/>
              </w:rPr>
            </w:pPr>
          </w:p>
        </w:tc>
        <w:tc>
          <w:tcPr>
            <w:tcW w:w="2088" w:type="dxa"/>
            <w:shd w:val="clear" w:color="auto" w:fill="886E49"/>
            <w:hideMark/>
          </w:tcPr>
          <w:p w14:paraId="7CBDF533" w14:textId="77777777" w:rsidR="00375CEC" w:rsidRPr="00C7368B" w:rsidRDefault="00375CEC" w:rsidP="00C7368B">
            <w:pPr>
              <w:jc w:val="center"/>
              <w:rPr>
                <w:rFonts w:eastAsia="Times New Roman"/>
                <w:b/>
                <w:bCs/>
                <w:color w:val="FFFFFF" w:themeColor="background1"/>
                <w:sz w:val="18"/>
                <w:szCs w:val="18"/>
              </w:rPr>
            </w:pPr>
          </w:p>
        </w:tc>
        <w:tc>
          <w:tcPr>
            <w:tcW w:w="2088" w:type="dxa"/>
            <w:shd w:val="clear" w:color="auto" w:fill="886E49"/>
            <w:hideMark/>
          </w:tcPr>
          <w:p w14:paraId="1E749F97" w14:textId="77777777" w:rsidR="00375CEC" w:rsidRPr="00C7368B" w:rsidRDefault="00375CEC" w:rsidP="00C7368B">
            <w:pPr>
              <w:jc w:val="center"/>
              <w:rPr>
                <w:rFonts w:eastAsia="Times New Roman"/>
                <w:b/>
                <w:bCs/>
                <w:color w:val="FFFFFF" w:themeColor="background1"/>
                <w:sz w:val="18"/>
                <w:szCs w:val="18"/>
              </w:rPr>
            </w:pPr>
          </w:p>
        </w:tc>
      </w:tr>
      <w:tr w:rsidR="00375CEC" w:rsidRPr="00C7368B" w14:paraId="1938B714" w14:textId="77777777" w:rsidTr="00C7368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088" w:type="dxa"/>
            <w:hideMark/>
          </w:tcPr>
          <w:p w14:paraId="58BFB088" w14:textId="77777777" w:rsidR="00375CEC" w:rsidRPr="00C7368B" w:rsidRDefault="00375CEC" w:rsidP="00073CEC">
            <w:pPr>
              <w:pStyle w:val="NormalWeb"/>
              <w:rPr>
                <w:sz w:val="18"/>
                <w:szCs w:val="18"/>
              </w:rPr>
            </w:pPr>
            <w:r w:rsidRPr="00C7368B">
              <w:rPr>
                <w:sz w:val="18"/>
                <w:szCs w:val="18"/>
              </w:rPr>
              <w:t>No oseltamivir</w:t>
            </w:r>
          </w:p>
        </w:tc>
        <w:tc>
          <w:tcPr>
            <w:tcW w:w="2088" w:type="dxa"/>
            <w:hideMark/>
          </w:tcPr>
          <w:p w14:paraId="4CE44984" w14:textId="77777777" w:rsidR="00375CEC" w:rsidRPr="00C7368B" w:rsidRDefault="00375CEC" w:rsidP="00C7368B">
            <w:pPr>
              <w:pStyle w:val="NormalWeb"/>
              <w:jc w:val="center"/>
              <w:rPr>
                <w:sz w:val="18"/>
                <w:szCs w:val="18"/>
              </w:rPr>
            </w:pPr>
            <w:r w:rsidRPr="00C7368B">
              <w:rPr>
                <w:sz w:val="18"/>
                <w:szCs w:val="18"/>
              </w:rPr>
              <w:t>1 (referent)</w:t>
            </w:r>
          </w:p>
        </w:tc>
        <w:tc>
          <w:tcPr>
            <w:tcW w:w="2088" w:type="dxa"/>
            <w:hideMark/>
          </w:tcPr>
          <w:p w14:paraId="6CE52D4F" w14:textId="77777777" w:rsidR="00375CEC" w:rsidRPr="00C7368B" w:rsidRDefault="00375CEC" w:rsidP="00C7368B">
            <w:pPr>
              <w:jc w:val="center"/>
              <w:rPr>
                <w:sz w:val="18"/>
                <w:szCs w:val="18"/>
              </w:rPr>
            </w:pPr>
          </w:p>
        </w:tc>
        <w:tc>
          <w:tcPr>
            <w:tcW w:w="2088" w:type="dxa"/>
            <w:hideMark/>
          </w:tcPr>
          <w:p w14:paraId="2F08202B" w14:textId="77777777" w:rsidR="00375CEC" w:rsidRPr="00C7368B" w:rsidRDefault="00375CEC" w:rsidP="00C7368B">
            <w:pPr>
              <w:pStyle w:val="NormalWeb"/>
              <w:jc w:val="center"/>
              <w:rPr>
                <w:sz w:val="18"/>
                <w:szCs w:val="18"/>
              </w:rPr>
            </w:pPr>
            <w:r w:rsidRPr="00C7368B">
              <w:rPr>
                <w:sz w:val="18"/>
                <w:szCs w:val="18"/>
              </w:rPr>
              <w:t>1 (referent)</w:t>
            </w:r>
          </w:p>
        </w:tc>
        <w:tc>
          <w:tcPr>
            <w:tcW w:w="2088" w:type="dxa"/>
            <w:hideMark/>
          </w:tcPr>
          <w:p w14:paraId="65C6DDD2" w14:textId="77777777" w:rsidR="00375CEC" w:rsidRPr="00C7368B" w:rsidRDefault="00375CEC" w:rsidP="00C7368B">
            <w:pPr>
              <w:jc w:val="center"/>
              <w:rPr>
                <w:sz w:val="18"/>
                <w:szCs w:val="18"/>
              </w:rPr>
            </w:pPr>
          </w:p>
        </w:tc>
      </w:tr>
      <w:tr w:rsidR="00375CEC" w:rsidRPr="00C7368B" w14:paraId="480C61F9" w14:textId="77777777" w:rsidTr="00C7368B">
        <w:tblPrEx>
          <w:tblCellMar>
            <w:top w:w="57" w:type="dxa"/>
            <w:left w:w="57" w:type="dxa"/>
            <w:bottom w:w="57" w:type="dxa"/>
            <w:right w:w="57" w:type="dxa"/>
          </w:tblCellMar>
        </w:tblPrEx>
        <w:tc>
          <w:tcPr>
            <w:tcW w:w="2088" w:type="dxa"/>
            <w:hideMark/>
          </w:tcPr>
          <w:p w14:paraId="2FD4426C" w14:textId="77777777" w:rsidR="00375CEC" w:rsidRPr="00C7368B" w:rsidRDefault="00375CEC" w:rsidP="00073CEC">
            <w:pPr>
              <w:pStyle w:val="NormalWeb"/>
              <w:rPr>
                <w:sz w:val="18"/>
                <w:szCs w:val="18"/>
              </w:rPr>
            </w:pPr>
            <w:r w:rsidRPr="00C7368B">
              <w:rPr>
                <w:sz w:val="18"/>
                <w:szCs w:val="18"/>
              </w:rPr>
              <w:t>received &lt; 48h of onset</w:t>
            </w:r>
          </w:p>
        </w:tc>
        <w:tc>
          <w:tcPr>
            <w:tcW w:w="2088" w:type="dxa"/>
            <w:hideMark/>
          </w:tcPr>
          <w:p w14:paraId="7D04FFFF" w14:textId="77777777" w:rsidR="00375CEC" w:rsidRPr="00C7368B" w:rsidRDefault="00375CEC" w:rsidP="00C7368B">
            <w:pPr>
              <w:pStyle w:val="NormalWeb"/>
              <w:jc w:val="center"/>
              <w:rPr>
                <w:sz w:val="18"/>
                <w:szCs w:val="18"/>
              </w:rPr>
            </w:pPr>
            <w:r w:rsidRPr="00C7368B">
              <w:rPr>
                <w:sz w:val="18"/>
                <w:szCs w:val="18"/>
              </w:rPr>
              <w:t>1.35 (1.03, 1.76)</w:t>
            </w:r>
          </w:p>
        </w:tc>
        <w:tc>
          <w:tcPr>
            <w:tcW w:w="2088" w:type="dxa"/>
            <w:hideMark/>
          </w:tcPr>
          <w:p w14:paraId="43DDE6E0" w14:textId="77777777" w:rsidR="00375CEC" w:rsidRPr="00C7368B" w:rsidRDefault="00375CEC" w:rsidP="00C7368B">
            <w:pPr>
              <w:pStyle w:val="NormalWeb"/>
              <w:jc w:val="center"/>
              <w:rPr>
                <w:sz w:val="18"/>
                <w:szCs w:val="18"/>
              </w:rPr>
            </w:pPr>
            <w:r w:rsidRPr="00C7368B">
              <w:rPr>
                <w:sz w:val="18"/>
                <w:szCs w:val="18"/>
              </w:rPr>
              <w:t>0.03</w:t>
            </w:r>
          </w:p>
        </w:tc>
        <w:tc>
          <w:tcPr>
            <w:tcW w:w="2088" w:type="dxa"/>
            <w:hideMark/>
          </w:tcPr>
          <w:p w14:paraId="32EF085A" w14:textId="77777777" w:rsidR="00375CEC" w:rsidRPr="00C7368B" w:rsidRDefault="00375CEC" w:rsidP="00C7368B">
            <w:pPr>
              <w:pStyle w:val="NormalWeb"/>
              <w:jc w:val="center"/>
              <w:rPr>
                <w:sz w:val="18"/>
                <w:szCs w:val="18"/>
              </w:rPr>
            </w:pPr>
            <w:r w:rsidRPr="00C7368B">
              <w:rPr>
                <w:sz w:val="18"/>
                <w:szCs w:val="18"/>
              </w:rPr>
              <w:t>1.12 (0.91, 1.38)</w:t>
            </w:r>
          </w:p>
        </w:tc>
        <w:tc>
          <w:tcPr>
            <w:tcW w:w="2088" w:type="dxa"/>
            <w:hideMark/>
          </w:tcPr>
          <w:p w14:paraId="17202A88" w14:textId="77777777" w:rsidR="00375CEC" w:rsidRPr="00C7368B" w:rsidRDefault="00375CEC" w:rsidP="00C7368B">
            <w:pPr>
              <w:pStyle w:val="NormalWeb"/>
              <w:jc w:val="center"/>
              <w:rPr>
                <w:sz w:val="18"/>
                <w:szCs w:val="18"/>
              </w:rPr>
            </w:pPr>
            <w:r w:rsidRPr="00C7368B">
              <w:rPr>
                <w:sz w:val="18"/>
                <w:szCs w:val="18"/>
              </w:rPr>
              <w:t>0.273</w:t>
            </w:r>
          </w:p>
        </w:tc>
      </w:tr>
      <w:tr w:rsidR="00375CEC" w:rsidRPr="00C7368B" w14:paraId="20C5C722" w14:textId="77777777" w:rsidTr="00C7368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088" w:type="dxa"/>
            <w:hideMark/>
          </w:tcPr>
          <w:p w14:paraId="1E175AA3" w14:textId="77777777" w:rsidR="00375CEC" w:rsidRPr="00C7368B" w:rsidRDefault="00375CEC" w:rsidP="00073CEC">
            <w:pPr>
              <w:pStyle w:val="NormalWeb"/>
              <w:rPr>
                <w:sz w:val="18"/>
                <w:szCs w:val="18"/>
              </w:rPr>
            </w:pPr>
            <w:r w:rsidRPr="00C7368B">
              <w:rPr>
                <w:sz w:val="18"/>
                <w:szCs w:val="18"/>
              </w:rPr>
              <w:t>received ≥ 48h of onset</w:t>
            </w:r>
          </w:p>
        </w:tc>
        <w:tc>
          <w:tcPr>
            <w:tcW w:w="2088" w:type="dxa"/>
            <w:hideMark/>
          </w:tcPr>
          <w:p w14:paraId="00FCD624" w14:textId="77777777" w:rsidR="00375CEC" w:rsidRPr="00C7368B" w:rsidRDefault="00375CEC" w:rsidP="00C7368B">
            <w:pPr>
              <w:pStyle w:val="NormalWeb"/>
              <w:jc w:val="center"/>
              <w:rPr>
                <w:sz w:val="18"/>
                <w:szCs w:val="18"/>
              </w:rPr>
            </w:pPr>
            <w:r w:rsidRPr="00C7368B">
              <w:rPr>
                <w:sz w:val="18"/>
                <w:szCs w:val="18"/>
              </w:rPr>
              <w:t>1.42 (1.06, 1.90)</w:t>
            </w:r>
          </w:p>
        </w:tc>
        <w:tc>
          <w:tcPr>
            <w:tcW w:w="2088" w:type="dxa"/>
            <w:hideMark/>
          </w:tcPr>
          <w:p w14:paraId="7EAFDC05" w14:textId="77777777" w:rsidR="00375CEC" w:rsidRPr="00C7368B" w:rsidRDefault="00375CEC" w:rsidP="00C7368B">
            <w:pPr>
              <w:pStyle w:val="NormalWeb"/>
              <w:jc w:val="center"/>
              <w:rPr>
                <w:sz w:val="18"/>
                <w:szCs w:val="18"/>
              </w:rPr>
            </w:pPr>
            <w:r w:rsidRPr="00C7368B">
              <w:rPr>
                <w:sz w:val="18"/>
                <w:szCs w:val="18"/>
              </w:rPr>
              <w:t>0.018</w:t>
            </w:r>
          </w:p>
        </w:tc>
        <w:tc>
          <w:tcPr>
            <w:tcW w:w="2088" w:type="dxa"/>
            <w:hideMark/>
          </w:tcPr>
          <w:p w14:paraId="3B98ADD2" w14:textId="77777777" w:rsidR="00375CEC" w:rsidRPr="00C7368B" w:rsidRDefault="00375CEC" w:rsidP="00C7368B">
            <w:pPr>
              <w:pStyle w:val="NormalWeb"/>
              <w:jc w:val="center"/>
              <w:rPr>
                <w:sz w:val="18"/>
                <w:szCs w:val="18"/>
              </w:rPr>
            </w:pPr>
            <w:r w:rsidRPr="00C7368B">
              <w:rPr>
                <w:sz w:val="18"/>
                <w:szCs w:val="18"/>
              </w:rPr>
              <w:t>1.10 (0.89, 1.36)</w:t>
            </w:r>
          </w:p>
        </w:tc>
        <w:tc>
          <w:tcPr>
            <w:tcW w:w="2088" w:type="dxa"/>
            <w:hideMark/>
          </w:tcPr>
          <w:p w14:paraId="6B5115FF" w14:textId="77777777" w:rsidR="00375CEC" w:rsidRPr="00C7368B" w:rsidRDefault="00375CEC" w:rsidP="00C7368B">
            <w:pPr>
              <w:pStyle w:val="NormalWeb"/>
              <w:jc w:val="center"/>
              <w:rPr>
                <w:sz w:val="18"/>
                <w:szCs w:val="18"/>
              </w:rPr>
            </w:pPr>
            <w:r w:rsidRPr="00C7368B">
              <w:rPr>
                <w:sz w:val="18"/>
                <w:szCs w:val="18"/>
              </w:rPr>
              <w:t>0.354</w:t>
            </w:r>
          </w:p>
        </w:tc>
      </w:tr>
      <w:tr w:rsidR="00C7368B" w:rsidRPr="00C7368B" w14:paraId="5E2369CC" w14:textId="77777777" w:rsidTr="00C7368B">
        <w:tblPrEx>
          <w:tblCellMar>
            <w:top w:w="57" w:type="dxa"/>
            <w:left w:w="57" w:type="dxa"/>
            <w:bottom w:w="57" w:type="dxa"/>
            <w:right w:w="57" w:type="dxa"/>
          </w:tblCellMar>
        </w:tblPrEx>
        <w:tc>
          <w:tcPr>
            <w:tcW w:w="2088" w:type="dxa"/>
            <w:shd w:val="clear" w:color="auto" w:fill="886E49"/>
            <w:hideMark/>
          </w:tcPr>
          <w:p w14:paraId="5E75219E" w14:textId="77777777" w:rsidR="00375CEC" w:rsidRPr="00C7368B" w:rsidRDefault="00375CEC" w:rsidP="00073CEC">
            <w:pPr>
              <w:pStyle w:val="NormalWeb"/>
              <w:rPr>
                <w:b/>
                <w:bCs/>
                <w:color w:val="FFFFFF" w:themeColor="background1"/>
                <w:sz w:val="18"/>
                <w:szCs w:val="18"/>
              </w:rPr>
            </w:pPr>
            <w:r w:rsidRPr="00C7368B">
              <w:rPr>
                <w:b/>
                <w:bCs/>
                <w:color w:val="FFFFFF" w:themeColor="background1"/>
                <w:sz w:val="18"/>
                <w:szCs w:val="18"/>
              </w:rPr>
              <w:t>Age group</w:t>
            </w:r>
          </w:p>
        </w:tc>
        <w:tc>
          <w:tcPr>
            <w:tcW w:w="2088" w:type="dxa"/>
            <w:shd w:val="clear" w:color="auto" w:fill="886E49"/>
            <w:hideMark/>
          </w:tcPr>
          <w:p w14:paraId="4E978210" w14:textId="77777777" w:rsidR="00375CEC" w:rsidRPr="00C7368B" w:rsidRDefault="00375CEC" w:rsidP="00C7368B">
            <w:pPr>
              <w:jc w:val="center"/>
              <w:rPr>
                <w:b/>
                <w:bCs/>
                <w:color w:val="FFFFFF" w:themeColor="background1"/>
                <w:sz w:val="18"/>
                <w:szCs w:val="18"/>
              </w:rPr>
            </w:pPr>
          </w:p>
        </w:tc>
        <w:tc>
          <w:tcPr>
            <w:tcW w:w="2088" w:type="dxa"/>
            <w:shd w:val="clear" w:color="auto" w:fill="886E49"/>
            <w:hideMark/>
          </w:tcPr>
          <w:p w14:paraId="25658D96" w14:textId="77777777" w:rsidR="00375CEC" w:rsidRPr="00C7368B" w:rsidRDefault="00375CEC" w:rsidP="00C7368B">
            <w:pPr>
              <w:jc w:val="center"/>
              <w:rPr>
                <w:rFonts w:eastAsia="Times New Roman"/>
                <w:b/>
                <w:bCs/>
                <w:color w:val="FFFFFF" w:themeColor="background1"/>
                <w:sz w:val="18"/>
                <w:szCs w:val="18"/>
              </w:rPr>
            </w:pPr>
          </w:p>
        </w:tc>
        <w:tc>
          <w:tcPr>
            <w:tcW w:w="2088" w:type="dxa"/>
            <w:shd w:val="clear" w:color="auto" w:fill="886E49"/>
            <w:hideMark/>
          </w:tcPr>
          <w:p w14:paraId="43F56AF0" w14:textId="77777777" w:rsidR="00375CEC" w:rsidRPr="00C7368B" w:rsidRDefault="00375CEC" w:rsidP="00C7368B">
            <w:pPr>
              <w:jc w:val="center"/>
              <w:rPr>
                <w:rFonts w:eastAsia="Times New Roman"/>
                <w:b/>
                <w:bCs/>
                <w:color w:val="FFFFFF" w:themeColor="background1"/>
                <w:sz w:val="18"/>
                <w:szCs w:val="18"/>
              </w:rPr>
            </w:pPr>
          </w:p>
        </w:tc>
        <w:tc>
          <w:tcPr>
            <w:tcW w:w="2088" w:type="dxa"/>
            <w:shd w:val="clear" w:color="auto" w:fill="886E49"/>
            <w:hideMark/>
          </w:tcPr>
          <w:p w14:paraId="391462E9" w14:textId="77777777" w:rsidR="00375CEC" w:rsidRPr="00C7368B" w:rsidRDefault="00375CEC" w:rsidP="00C7368B">
            <w:pPr>
              <w:jc w:val="center"/>
              <w:rPr>
                <w:rFonts w:eastAsia="Times New Roman"/>
                <w:b/>
                <w:bCs/>
                <w:color w:val="FFFFFF" w:themeColor="background1"/>
                <w:sz w:val="18"/>
                <w:szCs w:val="18"/>
              </w:rPr>
            </w:pPr>
          </w:p>
        </w:tc>
      </w:tr>
      <w:tr w:rsidR="00375CEC" w:rsidRPr="00C7368B" w14:paraId="19BB196C" w14:textId="77777777" w:rsidTr="00C7368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088" w:type="dxa"/>
            <w:hideMark/>
          </w:tcPr>
          <w:p w14:paraId="0F9E9932" w14:textId="77777777" w:rsidR="00375CEC" w:rsidRPr="00C7368B" w:rsidRDefault="00375CEC" w:rsidP="00073CEC">
            <w:pPr>
              <w:pStyle w:val="NormalWeb"/>
              <w:rPr>
                <w:sz w:val="18"/>
                <w:szCs w:val="18"/>
              </w:rPr>
            </w:pPr>
            <w:r w:rsidRPr="00C7368B">
              <w:rPr>
                <w:sz w:val="18"/>
                <w:szCs w:val="18"/>
              </w:rPr>
              <w:t>&lt; 16 years</w:t>
            </w:r>
          </w:p>
        </w:tc>
        <w:tc>
          <w:tcPr>
            <w:tcW w:w="2088" w:type="dxa"/>
            <w:hideMark/>
          </w:tcPr>
          <w:p w14:paraId="5267BDB9" w14:textId="77777777" w:rsidR="00375CEC" w:rsidRPr="00C7368B" w:rsidRDefault="00375CEC" w:rsidP="00C7368B">
            <w:pPr>
              <w:pStyle w:val="NormalWeb"/>
              <w:jc w:val="center"/>
              <w:rPr>
                <w:sz w:val="18"/>
                <w:szCs w:val="18"/>
              </w:rPr>
            </w:pPr>
            <w:r w:rsidRPr="00C7368B">
              <w:rPr>
                <w:sz w:val="18"/>
                <w:szCs w:val="18"/>
              </w:rPr>
              <w:t>0.54 (0.39, 0.75)</w:t>
            </w:r>
          </w:p>
        </w:tc>
        <w:tc>
          <w:tcPr>
            <w:tcW w:w="2088" w:type="dxa"/>
            <w:hideMark/>
          </w:tcPr>
          <w:p w14:paraId="70E642A3" w14:textId="77777777" w:rsidR="00375CEC" w:rsidRPr="00C7368B" w:rsidRDefault="00375CEC" w:rsidP="00C7368B">
            <w:pPr>
              <w:pStyle w:val="NormalWeb"/>
              <w:jc w:val="center"/>
              <w:rPr>
                <w:sz w:val="18"/>
                <w:szCs w:val="18"/>
              </w:rPr>
            </w:pPr>
            <w:r w:rsidRPr="00C7368B">
              <w:rPr>
                <w:sz w:val="18"/>
                <w:szCs w:val="18"/>
              </w:rPr>
              <w:t>&lt; 0.001</w:t>
            </w:r>
          </w:p>
        </w:tc>
        <w:tc>
          <w:tcPr>
            <w:tcW w:w="2088" w:type="dxa"/>
            <w:hideMark/>
          </w:tcPr>
          <w:p w14:paraId="4C975EA6" w14:textId="77777777" w:rsidR="00375CEC" w:rsidRPr="00C7368B" w:rsidRDefault="00375CEC" w:rsidP="00C7368B">
            <w:pPr>
              <w:pStyle w:val="NormalWeb"/>
              <w:jc w:val="center"/>
              <w:rPr>
                <w:sz w:val="18"/>
                <w:szCs w:val="18"/>
              </w:rPr>
            </w:pPr>
            <w:r w:rsidRPr="00C7368B">
              <w:rPr>
                <w:sz w:val="18"/>
                <w:szCs w:val="18"/>
              </w:rPr>
              <w:t>0.64 (0.49, 0.84)</w:t>
            </w:r>
          </w:p>
        </w:tc>
        <w:tc>
          <w:tcPr>
            <w:tcW w:w="2088" w:type="dxa"/>
            <w:hideMark/>
          </w:tcPr>
          <w:p w14:paraId="6616F4D2" w14:textId="77777777" w:rsidR="00375CEC" w:rsidRPr="00C7368B" w:rsidRDefault="00375CEC" w:rsidP="00C7368B">
            <w:pPr>
              <w:pStyle w:val="NormalWeb"/>
              <w:jc w:val="center"/>
              <w:rPr>
                <w:sz w:val="18"/>
                <w:szCs w:val="18"/>
              </w:rPr>
            </w:pPr>
            <w:r w:rsidRPr="00C7368B">
              <w:rPr>
                <w:sz w:val="18"/>
                <w:szCs w:val="18"/>
              </w:rPr>
              <w:t>0.039</w:t>
            </w:r>
          </w:p>
        </w:tc>
      </w:tr>
      <w:tr w:rsidR="00375CEC" w:rsidRPr="00C7368B" w14:paraId="35626A4B" w14:textId="77777777" w:rsidTr="00C7368B">
        <w:tblPrEx>
          <w:tblCellMar>
            <w:top w:w="57" w:type="dxa"/>
            <w:left w:w="57" w:type="dxa"/>
            <w:bottom w:w="57" w:type="dxa"/>
            <w:right w:w="57" w:type="dxa"/>
          </w:tblCellMar>
        </w:tblPrEx>
        <w:tc>
          <w:tcPr>
            <w:tcW w:w="2088" w:type="dxa"/>
            <w:hideMark/>
          </w:tcPr>
          <w:p w14:paraId="39CB04C0" w14:textId="77777777" w:rsidR="00375CEC" w:rsidRPr="00C7368B" w:rsidRDefault="00375CEC" w:rsidP="00073CEC">
            <w:pPr>
              <w:pStyle w:val="NormalWeb"/>
              <w:rPr>
                <w:sz w:val="18"/>
                <w:szCs w:val="18"/>
              </w:rPr>
            </w:pPr>
            <w:r w:rsidRPr="00C7368B">
              <w:rPr>
                <w:sz w:val="18"/>
                <w:szCs w:val="18"/>
              </w:rPr>
              <w:t>16–64 years</w:t>
            </w:r>
          </w:p>
        </w:tc>
        <w:tc>
          <w:tcPr>
            <w:tcW w:w="2088" w:type="dxa"/>
            <w:hideMark/>
          </w:tcPr>
          <w:p w14:paraId="3C81FC49" w14:textId="77777777" w:rsidR="00375CEC" w:rsidRPr="00C7368B" w:rsidRDefault="00375CEC" w:rsidP="00C7368B">
            <w:pPr>
              <w:pStyle w:val="NormalWeb"/>
              <w:jc w:val="center"/>
              <w:rPr>
                <w:sz w:val="18"/>
                <w:szCs w:val="18"/>
              </w:rPr>
            </w:pPr>
            <w:r w:rsidRPr="00C7368B">
              <w:rPr>
                <w:sz w:val="18"/>
                <w:szCs w:val="18"/>
              </w:rPr>
              <w:t>1 (referent)</w:t>
            </w:r>
          </w:p>
        </w:tc>
        <w:tc>
          <w:tcPr>
            <w:tcW w:w="2088" w:type="dxa"/>
            <w:hideMark/>
          </w:tcPr>
          <w:p w14:paraId="61B861BF" w14:textId="77777777" w:rsidR="00375CEC" w:rsidRPr="00C7368B" w:rsidRDefault="00375CEC" w:rsidP="00C7368B">
            <w:pPr>
              <w:jc w:val="center"/>
              <w:rPr>
                <w:sz w:val="18"/>
                <w:szCs w:val="18"/>
              </w:rPr>
            </w:pPr>
          </w:p>
        </w:tc>
        <w:tc>
          <w:tcPr>
            <w:tcW w:w="2088" w:type="dxa"/>
            <w:hideMark/>
          </w:tcPr>
          <w:p w14:paraId="798AC56F" w14:textId="77777777" w:rsidR="00375CEC" w:rsidRPr="00C7368B" w:rsidRDefault="00375CEC" w:rsidP="00C7368B">
            <w:pPr>
              <w:pStyle w:val="NormalWeb"/>
              <w:jc w:val="center"/>
              <w:rPr>
                <w:sz w:val="18"/>
                <w:szCs w:val="18"/>
              </w:rPr>
            </w:pPr>
            <w:r w:rsidRPr="00C7368B">
              <w:rPr>
                <w:sz w:val="18"/>
                <w:szCs w:val="18"/>
              </w:rPr>
              <w:t>1 (referent)</w:t>
            </w:r>
          </w:p>
        </w:tc>
        <w:tc>
          <w:tcPr>
            <w:tcW w:w="2088" w:type="dxa"/>
            <w:hideMark/>
          </w:tcPr>
          <w:p w14:paraId="5BC5267D" w14:textId="77777777" w:rsidR="00375CEC" w:rsidRPr="00C7368B" w:rsidRDefault="00375CEC" w:rsidP="00C7368B">
            <w:pPr>
              <w:jc w:val="center"/>
              <w:rPr>
                <w:sz w:val="18"/>
                <w:szCs w:val="18"/>
              </w:rPr>
            </w:pPr>
          </w:p>
        </w:tc>
      </w:tr>
      <w:tr w:rsidR="00375CEC" w:rsidRPr="00C7368B" w14:paraId="14F14804" w14:textId="77777777" w:rsidTr="00F057C7">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088" w:type="dxa"/>
            <w:tcBorders>
              <w:bottom w:val="single" w:sz="4" w:space="0" w:color="auto"/>
            </w:tcBorders>
            <w:hideMark/>
          </w:tcPr>
          <w:p w14:paraId="1B9493C5" w14:textId="77777777" w:rsidR="00375CEC" w:rsidRPr="00C7368B" w:rsidRDefault="00375CEC" w:rsidP="00073CEC">
            <w:pPr>
              <w:pStyle w:val="NormalWeb"/>
              <w:rPr>
                <w:sz w:val="18"/>
                <w:szCs w:val="18"/>
              </w:rPr>
            </w:pPr>
            <w:r w:rsidRPr="00C7368B">
              <w:rPr>
                <w:sz w:val="18"/>
                <w:szCs w:val="18"/>
              </w:rPr>
              <w:t>65+ years</w:t>
            </w:r>
          </w:p>
        </w:tc>
        <w:tc>
          <w:tcPr>
            <w:tcW w:w="2088" w:type="dxa"/>
            <w:tcBorders>
              <w:bottom w:val="single" w:sz="4" w:space="0" w:color="auto"/>
            </w:tcBorders>
            <w:hideMark/>
          </w:tcPr>
          <w:p w14:paraId="2DF59BD9" w14:textId="77777777" w:rsidR="00375CEC" w:rsidRPr="00C7368B" w:rsidRDefault="00375CEC" w:rsidP="00C7368B">
            <w:pPr>
              <w:pStyle w:val="NormalWeb"/>
              <w:jc w:val="center"/>
              <w:rPr>
                <w:sz w:val="18"/>
                <w:szCs w:val="18"/>
              </w:rPr>
            </w:pPr>
            <w:r w:rsidRPr="00C7368B">
              <w:rPr>
                <w:sz w:val="18"/>
                <w:szCs w:val="18"/>
              </w:rPr>
              <w:t>1.30 (1.09, 1.57)</w:t>
            </w:r>
          </w:p>
        </w:tc>
        <w:tc>
          <w:tcPr>
            <w:tcW w:w="2088" w:type="dxa"/>
            <w:tcBorders>
              <w:bottom w:val="single" w:sz="4" w:space="0" w:color="auto"/>
            </w:tcBorders>
            <w:hideMark/>
          </w:tcPr>
          <w:p w14:paraId="42689EE9" w14:textId="77777777" w:rsidR="00375CEC" w:rsidRPr="00C7368B" w:rsidRDefault="00375CEC" w:rsidP="00C7368B">
            <w:pPr>
              <w:pStyle w:val="NormalWeb"/>
              <w:jc w:val="center"/>
              <w:rPr>
                <w:sz w:val="18"/>
                <w:szCs w:val="18"/>
              </w:rPr>
            </w:pPr>
            <w:r w:rsidRPr="00C7368B">
              <w:rPr>
                <w:sz w:val="18"/>
                <w:szCs w:val="18"/>
              </w:rPr>
              <w:t>0.004</w:t>
            </w:r>
          </w:p>
        </w:tc>
        <w:tc>
          <w:tcPr>
            <w:tcW w:w="2088" w:type="dxa"/>
            <w:tcBorders>
              <w:bottom w:val="single" w:sz="4" w:space="0" w:color="auto"/>
            </w:tcBorders>
            <w:hideMark/>
          </w:tcPr>
          <w:p w14:paraId="42A52AA2" w14:textId="77777777" w:rsidR="00375CEC" w:rsidRPr="00C7368B" w:rsidRDefault="00375CEC" w:rsidP="00C7368B">
            <w:pPr>
              <w:pStyle w:val="NormalWeb"/>
              <w:jc w:val="center"/>
              <w:rPr>
                <w:sz w:val="18"/>
                <w:szCs w:val="18"/>
              </w:rPr>
            </w:pPr>
            <w:r w:rsidRPr="00C7368B">
              <w:rPr>
                <w:sz w:val="18"/>
                <w:szCs w:val="18"/>
              </w:rPr>
              <w:t>1.27 (1.07, 1.52)</w:t>
            </w:r>
          </w:p>
        </w:tc>
        <w:tc>
          <w:tcPr>
            <w:tcW w:w="2088" w:type="dxa"/>
            <w:tcBorders>
              <w:bottom w:val="single" w:sz="4" w:space="0" w:color="auto"/>
            </w:tcBorders>
            <w:hideMark/>
          </w:tcPr>
          <w:p w14:paraId="55616876" w14:textId="77777777" w:rsidR="00375CEC" w:rsidRPr="00C7368B" w:rsidRDefault="00375CEC" w:rsidP="00C7368B">
            <w:pPr>
              <w:pStyle w:val="NormalWeb"/>
              <w:jc w:val="center"/>
              <w:rPr>
                <w:sz w:val="18"/>
                <w:szCs w:val="18"/>
              </w:rPr>
            </w:pPr>
            <w:r w:rsidRPr="00C7368B">
              <w:rPr>
                <w:sz w:val="18"/>
                <w:szCs w:val="18"/>
              </w:rPr>
              <w:t>0.008</w:t>
            </w:r>
          </w:p>
        </w:tc>
      </w:tr>
      <w:tr w:rsidR="00375CEC" w:rsidRPr="00C7368B" w14:paraId="2D98E801" w14:textId="77777777" w:rsidTr="00F057C7">
        <w:tblPrEx>
          <w:tblCellMar>
            <w:top w:w="57" w:type="dxa"/>
            <w:left w:w="57" w:type="dxa"/>
            <w:bottom w:w="57" w:type="dxa"/>
            <w:right w:w="57" w:type="dxa"/>
          </w:tblCellMar>
        </w:tblPrEx>
        <w:tc>
          <w:tcPr>
            <w:tcW w:w="2088" w:type="dxa"/>
            <w:tcBorders>
              <w:top w:val="single" w:sz="4" w:space="0" w:color="auto"/>
            </w:tcBorders>
            <w:hideMark/>
          </w:tcPr>
          <w:p w14:paraId="0764906E" w14:textId="77777777" w:rsidR="00375CEC" w:rsidRPr="00C7368B" w:rsidRDefault="00375CEC" w:rsidP="00073CEC">
            <w:pPr>
              <w:pStyle w:val="NormalWeb"/>
              <w:rPr>
                <w:sz w:val="18"/>
                <w:szCs w:val="18"/>
              </w:rPr>
            </w:pPr>
            <w:r w:rsidRPr="00C7368B">
              <w:rPr>
                <w:sz w:val="18"/>
                <w:szCs w:val="18"/>
              </w:rPr>
              <w:t>Comorbidities</w:t>
            </w:r>
          </w:p>
        </w:tc>
        <w:tc>
          <w:tcPr>
            <w:tcW w:w="2088" w:type="dxa"/>
            <w:tcBorders>
              <w:top w:val="single" w:sz="4" w:space="0" w:color="auto"/>
            </w:tcBorders>
            <w:hideMark/>
          </w:tcPr>
          <w:p w14:paraId="380590AC" w14:textId="77777777" w:rsidR="00375CEC" w:rsidRPr="00C7368B" w:rsidRDefault="00375CEC" w:rsidP="00C7368B">
            <w:pPr>
              <w:pStyle w:val="NormalWeb"/>
              <w:jc w:val="center"/>
              <w:rPr>
                <w:sz w:val="18"/>
                <w:szCs w:val="18"/>
              </w:rPr>
            </w:pPr>
            <w:r w:rsidRPr="00C7368B">
              <w:rPr>
                <w:sz w:val="18"/>
                <w:szCs w:val="18"/>
              </w:rPr>
              <w:t>1.90 (1.53, 2.35)</w:t>
            </w:r>
          </w:p>
        </w:tc>
        <w:tc>
          <w:tcPr>
            <w:tcW w:w="2088" w:type="dxa"/>
            <w:tcBorders>
              <w:top w:val="single" w:sz="4" w:space="0" w:color="auto"/>
            </w:tcBorders>
            <w:hideMark/>
          </w:tcPr>
          <w:p w14:paraId="488BDF9D" w14:textId="77777777" w:rsidR="00375CEC" w:rsidRPr="00C7368B" w:rsidRDefault="00375CEC" w:rsidP="00C7368B">
            <w:pPr>
              <w:pStyle w:val="NormalWeb"/>
              <w:jc w:val="center"/>
              <w:rPr>
                <w:sz w:val="18"/>
                <w:szCs w:val="18"/>
              </w:rPr>
            </w:pPr>
            <w:r w:rsidRPr="00C7368B">
              <w:rPr>
                <w:sz w:val="18"/>
                <w:szCs w:val="18"/>
              </w:rPr>
              <w:t>&lt; 0.001</w:t>
            </w:r>
          </w:p>
        </w:tc>
        <w:tc>
          <w:tcPr>
            <w:tcW w:w="2088" w:type="dxa"/>
            <w:tcBorders>
              <w:top w:val="single" w:sz="4" w:space="0" w:color="auto"/>
            </w:tcBorders>
            <w:hideMark/>
          </w:tcPr>
          <w:p w14:paraId="390E6EAA" w14:textId="77777777" w:rsidR="00375CEC" w:rsidRPr="00C7368B" w:rsidRDefault="00375CEC" w:rsidP="00C7368B">
            <w:pPr>
              <w:pStyle w:val="NormalWeb"/>
              <w:jc w:val="center"/>
              <w:rPr>
                <w:sz w:val="18"/>
                <w:szCs w:val="18"/>
              </w:rPr>
            </w:pPr>
            <w:r w:rsidRPr="00C7368B">
              <w:rPr>
                <w:sz w:val="18"/>
                <w:szCs w:val="18"/>
              </w:rPr>
              <w:t>1.51 (1.29, 1.77)</w:t>
            </w:r>
          </w:p>
        </w:tc>
        <w:tc>
          <w:tcPr>
            <w:tcW w:w="2088" w:type="dxa"/>
            <w:tcBorders>
              <w:top w:val="single" w:sz="4" w:space="0" w:color="auto"/>
            </w:tcBorders>
            <w:hideMark/>
          </w:tcPr>
          <w:p w14:paraId="79B8476C" w14:textId="77777777" w:rsidR="00375CEC" w:rsidRPr="00C7368B" w:rsidRDefault="00375CEC" w:rsidP="00C7368B">
            <w:pPr>
              <w:pStyle w:val="NormalWeb"/>
              <w:jc w:val="center"/>
              <w:rPr>
                <w:sz w:val="18"/>
                <w:szCs w:val="18"/>
              </w:rPr>
            </w:pPr>
            <w:r w:rsidRPr="00C7368B">
              <w:rPr>
                <w:sz w:val="18"/>
                <w:szCs w:val="18"/>
              </w:rPr>
              <w:t>&lt; 0.001</w:t>
            </w:r>
          </w:p>
        </w:tc>
      </w:tr>
      <w:tr w:rsidR="00375CEC" w:rsidRPr="00C7368B" w14:paraId="49E41A18" w14:textId="77777777" w:rsidTr="00C7368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088" w:type="dxa"/>
            <w:hideMark/>
          </w:tcPr>
          <w:p w14:paraId="5E094C3F" w14:textId="77777777" w:rsidR="00375CEC" w:rsidRPr="00C7368B" w:rsidRDefault="00375CEC" w:rsidP="00073CEC">
            <w:pPr>
              <w:pStyle w:val="NormalWeb"/>
              <w:rPr>
                <w:sz w:val="18"/>
                <w:szCs w:val="18"/>
              </w:rPr>
            </w:pPr>
            <w:r w:rsidRPr="00C7368B">
              <w:rPr>
                <w:sz w:val="18"/>
                <w:szCs w:val="18"/>
              </w:rPr>
              <w:t>ICU admission</w:t>
            </w:r>
          </w:p>
        </w:tc>
        <w:tc>
          <w:tcPr>
            <w:tcW w:w="2088" w:type="dxa"/>
            <w:hideMark/>
          </w:tcPr>
          <w:p w14:paraId="25BEFD95" w14:textId="77777777" w:rsidR="00375CEC" w:rsidRPr="00C7368B" w:rsidRDefault="00375CEC" w:rsidP="00C7368B">
            <w:pPr>
              <w:pStyle w:val="NormalWeb"/>
              <w:jc w:val="center"/>
              <w:rPr>
                <w:sz w:val="18"/>
                <w:szCs w:val="18"/>
              </w:rPr>
            </w:pPr>
            <w:r w:rsidRPr="00C7368B">
              <w:rPr>
                <w:sz w:val="18"/>
                <w:szCs w:val="18"/>
              </w:rPr>
              <w:t>2.12 (1.78, 2.53)</w:t>
            </w:r>
          </w:p>
        </w:tc>
        <w:tc>
          <w:tcPr>
            <w:tcW w:w="2088" w:type="dxa"/>
            <w:hideMark/>
          </w:tcPr>
          <w:p w14:paraId="2B12F7CD" w14:textId="77777777" w:rsidR="00375CEC" w:rsidRPr="00C7368B" w:rsidRDefault="00375CEC" w:rsidP="00C7368B">
            <w:pPr>
              <w:pStyle w:val="NormalWeb"/>
              <w:jc w:val="center"/>
              <w:rPr>
                <w:sz w:val="18"/>
                <w:szCs w:val="18"/>
              </w:rPr>
            </w:pPr>
            <w:r w:rsidRPr="00C7368B">
              <w:rPr>
                <w:sz w:val="18"/>
                <w:szCs w:val="18"/>
              </w:rPr>
              <w:t>&lt; 0.001</w:t>
            </w:r>
          </w:p>
        </w:tc>
        <w:tc>
          <w:tcPr>
            <w:tcW w:w="2088" w:type="dxa"/>
            <w:hideMark/>
          </w:tcPr>
          <w:p w14:paraId="11B92F91" w14:textId="77777777" w:rsidR="00375CEC" w:rsidRPr="00C7368B" w:rsidRDefault="00375CEC" w:rsidP="00C7368B">
            <w:pPr>
              <w:pStyle w:val="NormalWeb"/>
              <w:jc w:val="center"/>
              <w:rPr>
                <w:sz w:val="18"/>
                <w:szCs w:val="18"/>
              </w:rPr>
            </w:pPr>
            <w:r w:rsidRPr="00C7368B">
              <w:rPr>
                <w:sz w:val="18"/>
                <w:szCs w:val="18"/>
              </w:rPr>
              <w:t>2.09 (1.84, 2.36)</w:t>
            </w:r>
          </w:p>
        </w:tc>
        <w:tc>
          <w:tcPr>
            <w:tcW w:w="2088" w:type="dxa"/>
            <w:hideMark/>
          </w:tcPr>
          <w:p w14:paraId="08629B15" w14:textId="77777777" w:rsidR="00375CEC" w:rsidRPr="00C7368B" w:rsidRDefault="00375CEC" w:rsidP="00C7368B">
            <w:pPr>
              <w:pStyle w:val="NormalWeb"/>
              <w:jc w:val="center"/>
              <w:rPr>
                <w:sz w:val="18"/>
                <w:szCs w:val="18"/>
              </w:rPr>
            </w:pPr>
            <w:r w:rsidRPr="00C7368B">
              <w:rPr>
                <w:sz w:val="18"/>
                <w:szCs w:val="18"/>
              </w:rPr>
              <w:t>&lt; 0.001</w:t>
            </w:r>
          </w:p>
        </w:tc>
      </w:tr>
    </w:tbl>
    <w:p w14:paraId="4EC9DDAA" w14:textId="77777777" w:rsidR="00375CEC" w:rsidRDefault="00375CEC" w:rsidP="00375CEC">
      <w:pPr>
        <w:pStyle w:val="CDIfootnotes"/>
        <w:rPr>
          <w:lang w:val="en-GB"/>
        </w:rPr>
      </w:pPr>
      <w:r>
        <w:rPr>
          <w:lang w:val="en-GB"/>
        </w:rPr>
        <w:t>a</w:t>
      </w:r>
      <w:r>
        <w:rPr>
          <w:lang w:val="en-GB"/>
        </w:rPr>
        <w:tab/>
        <w:t>Represents relative difference in length of stay; rate ratio (RR) &gt; 1 indicates longer stay associated with factor.</w:t>
      </w:r>
    </w:p>
    <w:p w14:paraId="01D16C8F" w14:textId="274DDA2E" w:rsidR="000A1D58" w:rsidRPr="00757DC5" w:rsidRDefault="000A1D58" w:rsidP="00757DC5">
      <w:pPr>
        <w:pStyle w:val="Heading2"/>
      </w:pPr>
      <w:r w:rsidRPr="00757DC5">
        <w:t xml:space="preserve">Vaccine coverage and effectiveness </w:t>
      </w:r>
    </w:p>
    <w:p w14:paraId="5A3E5542" w14:textId="77777777" w:rsidR="000A1D58" w:rsidRDefault="000A1D58" w:rsidP="00757DC5">
      <w:r>
        <w:t xml:space="preserve">A cohort to estimate vaccine effectiveness included 4,154 cases at the 17 surveillance hospitals together with 1,180 cases at additional paediatric hospitals (Figure 1). Vaccination status was ascertained in 4,617 of 5,334 cases (86.6%) and 3,083 of 3,678 test-negative control patients (83.8%). </w:t>
      </w:r>
    </w:p>
    <w:p w14:paraId="24599E5F" w14:textId="77777777" w:rsidR="000A1D58" w:rsidRDefault="000A1D58" w:rsidP="00757DC5">
      <w:r>
        <w:t xml:space="preserve">Estimated vaccine coverage was 75.3% (683/907) in the elderly (≥ 65 years) and 46.9% (285/608) in non-elderly adults with medical comorbidities. Of the elderly patients without influenza who had received influenza vaccine and the vaccine type was known, 92.1% (500/543) were vaccinated with adjuvanted trivalent influenza vaccine (TIV), 2.7% (15/543) were vaccinated with high-dose TIV, and 5.2% (28/543) were vaccinated with quadrivalent influenza vaccine (QIV). Of the 1,799 participants aged &gt; 65 years (both cases and controls) where vaccination status was ascertained, 1,123 (62.4%) were recorded in the Australian Immunisation Register. In children within the 6 months – 4 years age group, estimated vaccine coverage was 27.1% (247/910), and in children aged 5–15 years the estimated coverage was 20.1% (167/831). </w:t>
      </w:r>
    </w:p>
    <w:p w14:paraId="1D1D6161" w14:textId="77777777" w:rsidR="000A1D58" w:rsidRDefault="000A1D58" w:rsidP="00757DC5">
      <w:r>
        <w:lastRenderedPageBreak/>
        <w:t xml:space="preserve">In adults who were elderly and/or had chronic medical conditions, the adjusted odds ratio of vaccination was 0.57 (95% CI: 0.51, 0.65). The estimated vaccine effectiveness in the target adult population was therefore 42% (95% CI: 36%, 49%). In the elderly (&gt; 65 years), estimated vaccine effectiveness was lower (VE 29%, 95% CI: 11%, 43%). The estimated vaccine effectiveness (versus no vaccine) of adjuvanted TIV was 32% (95% CI: 12, 48%); the number of cases &gt; 65 years who received high-dose TIV or standard QIV was too small for meaningful analysis. </w:t>
      </w:r>
    </w:p>
    <w:p w14:paraId="0598099B" w14:textId="77777777" w:rsidR="000C1FF4" w:rsidRDefault="000C1FF4" w:rsidP="000C1FF4">
      <w:pPr>
        <w:pStyle w:val="NormalWeb"/>
        <w:rPr>
          <w:lang w:val="en-GB"/>
        </w:rPr>
      </w:pPr>
      <w:r>
        <w:rPr>
          <w:rStyle w:val="Strong"/>
          <w:lang w:val="en-GB"/>
        </w:rPr>
        <w:t xml:space="preserve">Figure 4: Peak incidence of confirmed influenza (per 100 hospital beds per week) by </w:t>
      </w:r>
      <w:proofErr w:type="spellStart"/>
      <w:r>
        <w:rPr>
          <w:rStyle w:val="Strong"/>
          <w:lang w:val="en-GB"/>
        </w:rPr>
        <w:t>hospital</w:t>
      </w:r>
      <w:r w:rsidRPr="00A912D5">
        <w:rPr>
          <w:rStyle w:val="Strong"/>
          <w:vertAlign w:val="superscript"/>
          <w:lang w:val="en-GB"/>
        </w:rPr>
        <w:t>a</w:t>
      </w:r>
      <w:proofErr w:type="spellEnd"/>
    </w:p>
    <w:p w14:paraId="34B541C5" w14:textId="77777777" w:rsidR="000C1FF4" w:rsidRDefault="000C1FF4" w:rsidP="000C1FF4">
      <w:pPr>
        <w:rPr>
          <w:rFonts w:eastAsia="Times New Roman"/>
          <w:lang w:val="en-GB"/>
        </w:rPr>
      </w:pPr>
      <w:r>
        <w:rPr>
          <w:rFonts w:eastAsia="Times New Roman"/>
          <w:noProof/>
          <w:lang w:val="en-GB"/>
        </w:rPr>
        <w:drawing>
          <wp:inline distT="0" distB="0" distL="0" distR="0" wp14:anchorId="76918BD2" wp14:editId="33C584A6">
            <wp:extent cx="6515100" cy="4120607"/>
            <wp:effectExtent l="0" t="0" r="0" b="0"/>
            <wp:docPr id="4" name="Picture 4" descr="This graph compares the peak number of cases per 100 hospital beds at each sentinel site. It shows that after adjusting for hospital size, the peak rate of admissions was highest at Alice Springs Hospital (&gt;20 cases per week per 100 hospital beds) with all other hospitals &lt;15 cases per week per 100 be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is graph compares the peak number of cases per 100 hospital beds at each sentinel site. It shows that after adjusting for hospital size, the peak rate of admissions was highest at Alice Springs Hospital (&gt;20 cases per week per 100 hospital beds) with all other hospitals &lt;15 cases per week per 100 beds. "/>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6520364" cy="4123936"/>
                    </a:xfrm>
                    <a:prstGeom prst="rect">
                      <a:avLst/>
                    </a:prstGeom>
                  </pic:spPr>
                </pic:pic>
              </a:graphicData>
            </a:graphic>
          </wp:inline>
        </w:drawing>
      </w:r>
    </w:p>
    <w:p w14:paraId="28A900D4" w14:textId="77777777" w:rsidR="000C1FF4" w:rsidRPr="00150762" w:rsidRDefault="000C1FF4" w:rsidP="000C1FF4">
      <w:pPr>
        <w:pStyle w:val="CDIfootnotes"/>
        <w:rPr>
          <w:lang w:val="en-GB"/>
        </w:rPr>
      </w:pPr>
      <w:r>
        <w:rPr>
          <w:lang w:val="en-GB"/>
        </w:rPr>
        <w:t>a</w:t>
      </w:r>
      <w:r>
        <w:rPr>
          <w:lang w:val="en-GB"/>
        </w:rPr>
        <w:tab/>
        <w:t xml:space="preserve">CA: Canberra Hospital; CLV: Calvary Hospital; CHW: Children’s Hospital at </w:t>
      </w:r>
      <w:proofErr w:type="spellStart"/>
      <w:r>
        <w:rPr>
          <w:lang w:val="en-GB"/>
        </w:rPr>
        <w:t>Westmead</w:t>
      </w:r>
      <w:proofErr w:type="spellEnd"/>
      <w:r>
        <w:rPr>
          <w:lang w:val="en-GB"/>
        </w:rPr>
        <w:t xml:space="preserve">; JHH: John Hunter Hospital; WE: </w:t>
      </w:r>
      <w:proofErr w:type="spellStart"/>
      <w:r>
        <w:rPr>
          <w:lang w:val="en-GB"/>
        </w:rPr>
        <w:t>Westmead</w:t>
      </w:r>
      <w:proofErr w:type="spellEnd"/>
      <w:r>
        <w:rPr>
          <w:lang w:val="en-GB"/>
        </w:rPr>
        <w:t xml:space="preserve"> Hospital; AS: Alice Springs Hospital; RDH: Royal Darwin Hospital; QCH: Queen’s Children Hospital; CB: Cairns Base Hospital; MA: Mater Hospital; PA: Princess Alexandra Hospital; RA: Royal Adelaide; WCH: Women’s and Children’s Hospital; RH: Royal Hobart Hospital; AL: The Alfred Hospital; GL: University Hospital Geelong; MCH: Monash Children’s Hospital; MM: Monash Medical Centre; RCH: Royal Children’s Hospital; RM: Royal Melbourne; PCH: Perth Children’s Hospital; RP: Royal Perth Hospital.</w:t>
      </w:r>
    </w:p>
    <w:p w14:paraId="0B2D88EE" w14:textId="3DDDAD8F" w:rsidR="000A1D58" w:rsidRPr="00757DC5" w:rsidRDefault="000A1D58" w:rsidP="00757DC5">
      <w:pPr>
        <w:pStyle w:val="Heading1"/>
      </w:pPr>
      <w:r w:rsidRPr="00757DC5">
        <w:t xml:space="preserve">Discussion </w:t>
      </w:r>
    </w:p>
    <w:p w14:paraId="6CEAB8E6" w14:textId="77777777" w:rsidR="000A1D58" w:rsidRDefault="000A1D58" w:rsidP="00757DC5">
      <w:r>
        <w:t xml:space="preserve">This report has documented a high number of cases in the FluCAN sentinel sites during 2019, comparable with the total number of cases reported in 2017. Based on the number of FluCAN hospital beds relative to the national bed capacity, this is estimated to represent more than 30,000 admissions across the country. Confirmed cases are likely to be an underestimate of the true burden of severe influenza in the participating sites for several reasons; the early start to the 2019 season meant that many cases may have presented prior to the commencement of surveillance in April. Additionally, not all cases of influenza are diagnosed, particularly those with delayed presentations of influenza-related complications (such as secondary bacterial pneumonia) and non-respiratory complications (such as encephalopathy or acute myocardial infarction). </w:t>
      </w:r>
    </w:p>
    <w:p w14:paraId="03C4305E" w14:textId="77777777" w:rsidR="000A1D58" w:rsidRDefault="000A1D58" w:rsidP="00757DC5">
      <w:r>
        <w:lastRenderedPageBreak/>
        <w:t xml:space="preserve">There were significant differences in the timing and duration of the influenza season across different jurisdictions, with the Northern Territory, Queensland and South Australia having early activity; Western Australia having a short spike in cases; and the Australian Capital Territory, New South Wales, </w:t>
      </w:r>
      <w:proofErr w:type="gramStart"/>
      <w:r>
        <w:t>Tasmania</w:t>
      </w:r>
      <w:proofErr w:type="gramEnd"/>
      <w:r>
        <w:t xml:space="preserve"> and Victoria having a prolonged duration of elevated influenza activity. A previous study has compared </w:t>
      </w:r>
      <w:proofErr w:type="spellStart"/>
      <w:r>
        <w:t>FluCAN’s</w:t>
      </w:r>
      <w:proofErr w:type="spellEnd"/>
      <w:r>
        <w:t xml:space="preserve"> interim case counts with those of other surveillance systems and has noted that intensity varies between southern hemisphere countries.</w:t>
      </w:r>
      <w:r>
        <w:rPr>
          <w:vertAlign w:val="superscript"/>
        </w:rPr>
        <w:t>9</w:t>
      </w:r>
      <w:r>
        <w:t xml:space="preserve"> The 2019 season was dominated by the A/H3N2 subtype, with smaller proportions due to A/H1N1 and influenza B infection. </w:t>
      </w:r>
    </w:p>
    <w:p w14:paraId="18802D57" w14:textId="77777777" w:rsidR="000A1D58" w:rsidRDefault="000A1D58" w:rsidP="00757DC5">
      <w:r>
        <w:t>There has been speculation about the impact of increased use of point of care testing on notified influenza cases that became increasingly available in 2018.</w:t>
      </w:r>
      <w:r>
        <w:rPr>
          <w:vertAlign w:val="superscript"/>
        </w:rPr>
        <w:t>10</w:t>
      </w:r>
      <w:r>
        <w:t xml:space="preserve"> The hospitals that participate in FluCAN have had </w:t>
      </w:r>
      <w:proofErr w:type="gramStart"/>
      <w:r>
        <w:t>mostly-unchanged</w:t>
      </w:r>
      <w:proofErr w:type="gramEnd"/>
      <w:r>
        <w:t xml:space="preserve"> access to nucleic acid testing over many years, and testing in hospital inpatients is generally encouraged due to clinical and infection control implications. The data reported here therefore suggest that the increased reported case numbers in 2019, compared to 2018, represent a real increase in the incidence rate of severe influenza, with hospital activity comparable to 2017. However, the possibility cannot be excluded that increased awareness amongst clinicians may have led to increased testing. </w:t>
      </w:r>
    </w:p>
    <w:p w14:paraId="08581603" w14:textId="77777777" w:rsidR="000A1D58" w:rsidRDefault="000A1D58" w:rsidP="00757DC5">
      <w:r>
        <w:t xml:space="preserve">The peak rate of influenza hospitalisations relative to hospital bed capacity provides a measure of impact. The peak rate of admissions overall was 4.5 per 100 beds/week in week 27, lower than in 2017 where peak admissions were 5.9 per 100 beds/week in week 35. Notably the two Northern Territory hospitals (Alice Springs Hospital and the paediatric ward of the Royal Darwin Hospital) had the highest peak rate of influenza admissions. Based on a mean length of hospital stay of 4.9 days, this suggests that 3.2% of hospital beds were occupied with patients with confirmed influenza during that week. </w:t>
      </w:r>
    </w:p>
    <w:p w14:paraId="3651156E" w14:textId="77777777" w:rsidR="000A1D58" w:rsidRDefault="000A1D58" w:rsidP="00757DC5">
      <w:r>
        <w:t>In 2019, there was a change to the funding arrangements for enhanced influenza vaccines for older Australians. In contrast to 2018, when both the adjuvanted (</w:t>
      </w:r>
      <w:proofErr w:type="spellStart"/>
      <w:r>
        <w:t>Fluad</w:t>
      </w:r>
      <w:proofErr w:type="spellEnd"/>
      <w:r>
        <w:t>, Seqirus) and high dose (</w:t>
      </w:r>
      <w:proofErr w:type="spellStart"/>
      <w:r>
        <w:t>Fluzone</w:t>
      </w:r>
      <w:proofErr w:type="spellEnd"/>
      <w:r>
        <w:t xml:space="preserve"> HD, Sanofi) vaccines were available,</w:t>
      </w:r>
      <w:r>
        <w:rPr>
          <w:vertAlign w:val="superscript"/>
        </w:rPr>
        <w:t>11</w:t>
      </w:r>
      <w:r>
        <w:t xml:space="preserve"> in 2019, only the adjuvanted vaccine was available under the National Immunisation Program, while the high-dose vaccine was only available on the private market. As expected, the majority of those over 65 years of age received the adjuvanted influenza vaccine. </w:t>
      </w:r>
    </w:p>
    <w:p w14:paraId="5FAFFA78" w14:textId="77777777" w:rsidR="000A1D58" w:rsidRDefault="000A1D58" w:rsidP="00757DC5">
      <w:r>
        <w:t xml:space="preserve">Jurisdictional paediatric influenza vaccine programs for children aged 6 months – 4 years were initiated in 2018 and continued in 2019. These will be funded under the National Immunisation Program in 2020. The impact of this program is yet to be formally </w:t>
      </w:r>
      <w:proofErr w:type="gramStart"/>
      <w:r>
        <w:t>evaluated, but</w:t>
      </w:r>
      <w:proofErr w:type="gramEnd"/>
      <w:r>
        <w:t xml:space="preserve"> is likely to be positive given good vaccine effectiveness and improving vaccine coverage. Although complications are rare, at a population level, influenza causes hospitalisations, severe </w:t>
      </w:r>
      <w:proofErr w:type="gramStart"/>
      <w:r>
        <w:t>complications</w:t>
      </w:r>
      <w:proofErr w:type="gramEnd"/>
      <w:r>
        <w:t xml:space="preserve"> and mortality in this patient group.</w:t>
      </w:r>
      <w:r>
        <w:rPr>
          <w:vertAlign w:val="superscript"/>
        </w:rPr>
        <w:t xml:space="preserve">3,12 </w:t>
      </w:r>
    </w:p>
    <w:p w14:paraId="7D28C1CE" w14:textId="77777777" w:rsidR="000A1D58" w:rsidRDefault="000A1D58" w:rsidP="00757DC5">
      <w:r>
        <w:t>Estimates of influenza vaccine coverage obtained from the present report are higher than estimates made from the Australian Immunisation Register (AIR). Based on AIR data, estimated coverage in children aged 6 months – 4 years was 5.6% in 2017 and at 26.2% in 2018.</w:t>
      </w:r>
      <w:r>
        <w:rPr>
          <w:vertAlign w:val="superscript"/>
        </w:rPr>
        <w:t>13</w:t>
      </w:r>
      <w:r>
        <w:t xml:space="preserve"> In adults, estimated coverage in people aged 18–49 years was 8.9%; in those aged 50–64 years, coverage was 17.2%; and in those aged ≥ 65 years it was 46.3%.</w:t>
      </w:r>
      <w:r>
        <w:rPr>
          <w:vertAlign w:val="superscript"/>
        </w:rPr>
        <w:t>14</w:t>
      </w:r>
      <w:r>
        <w:t xml:space="preserve"> In contrast, surveys and surveillance systems have consistently found higher coverage.</w:t>
      </w:r>
      <w:r>
        <w:rPr>
          <w:vertAlign w:val="superscript"/>
        </w:rPr>
        <w:t>5,6,15</w:t>
      </w:r>
      <w:r>
        <w:t xml:space="preserve"> Although estimated coverage in older Australians &gt; 65 years has been similar, there was a change in the vaccine formulation received, consistent with the change in funding status for the high-dose vaccine. However, it is difficult to reconcile the present report’s estimates of relatively stable vaccine coverage with distribution data which suggested an increase in doses supplied by around 13% since 2018.</w:t>
      </w:r>
      <w:r>
        <w:rPr>
          <w:vertAlign w:val="superscript"/>
        </w:rPr>
        <w:t>16</w:t>
      </w:r>
      <w:r>
        <w:t xml:space="preserve"> The capture of the AIR in vaccinated cases and controls &gt; 65 years increased from 48% in 2018 to 62% in 2019. </w:t>
      </w:r>
    </w:p>
    <w:p w14:paraId="1F9FF17A" w14:textId="77777777" w:rsidR="000A1D58" w:rsidRDefault="000A1D58" w:rsidP="00757DC5">
      <w:r>
        <w:t xml:space="preserve">Estimates of vaccine effectiveness are likely to vary due to differences in circulating strains, target populations, methodology and, potentially, the vaccine types used. The most </w:t>
      </w:r>
      <w:proofErr w:type="gramStart"/>
      <w:r>
        <w:t>recently-reported</w:t>
      </w:r>
      <w:proofErr w:type="gramEnd"/>
      <w:r>
        <w:t xml:space="preserve"> estimates from the northern hemisphere were from the 2018/2019 season dominated by A/H1N1, where vaccine effectiveness has been higher than against A/H3N2. These include primary-care based estimates in the United States of America (47%; 95% CI: 34–</w:t>
      </w:r>
      <w:r>
        <w:lastRenderedPageBreak/>
        <w:t>57%),</w:t>
      </w:r>
      <w:r>
        <w:rPr>
          <w:vertAlign w:val="superscript"/>
        </w:rPr>
        <w:t>17</w:t>
      </w:r>
      <w:r>
        <w:t xml:space="preserve"> Europe (32–43% in different systems),</w:t>
      </w:r>
      <w:r>
        <w:rPr>
          <w:vertAlign w:val="superscript"/>
        </w:rPr>
        <w:t>18</w:t>
      </w:r>
      <w:r>
        <w:t xml:space="preserve"> and Canada (72%; 95% CI: 60–81% against A/H1N1),</w:t>
      </w:r>
      <w:r>
        <w:rPr>
          <w:vertAlign w:val="superscript"/>
        </w:rPr>
        <w:t>19</w:t>
      </w:r>
      <w:r>
        <w:t xml:space="preserve"> and a Danish hospital-based system (38%; 95% CI: 24–49%).</w:t>
      </w:r>
      <w:r>
        <w:rPr>
          <w:vertAlign w:val="superscript"/>
        </w:rPr>
        <w:t>18</w:t>
      </w:r>
      <w:r>
        <w:t xml:space="preserve"> A recent study has reported heterogeneous interim estimates in southern hemisphere systems.</w:t>
      </w:r>
      <w:r>
        <w:rPr>
          <w:vertAlign w:val="superscript"/>
        </w:rPr>
        <w:t>9</w:t>
      </w:r>
      <w:r>
        <w:t xml:space="preserve"> The present report’s estimates of vaccine effectiveness in the target population are relatively high when compared to previous seasons where A/H3N2 has dominated. </w:t>
      </w:r>
    </w:p>
    <w:p w14:paraId="55FF8FB0" w14:textId="362621A1" w:rsidR="000A1D58" w:rsidRDefault="000A1D58" w:rsidP="00757DC5">
      <w:r>
        <w:t>Data suggest that influenza vaccination of elderly adults averts 10–15% of confirmed influenza in primary care in US and European studies.</w:t>
      </w:r>
      <w:r>
        <w:rPr>
          <w:vertAlign w:val="superscript"/>
        </w:rPr>
        <w:t>20–22</w:t>
      </w:r>
      <w:r>
        <w:t xml:space="preserve"> A previous FluCAN report has estimated that influenza vaccination averted 50% of hospital admissions with confirmed influenza in the elderly, 41% in non-elderly adults with comorbidities and 25% in children,</w:t>
      </w:r>
      <w:r>
        <w:rPr>
          <w:vertAlign w:val="superscript"/>
        </w:rPr>
        <w:t>23</w:t>
      </w:r>
      <w:r>
        <w:t xml:space="preserve"> although these proportions would be expected to vary with vaccine effectiveness and coverage. A recent study has found that the influenza vaccine protects against fatal hospital admission with confirmed influenza by</w:t>
      </w:r>
      <w:r w:rsidR="00A912D5">
        <w:t> </w:t>
      </w:r>
      <w:r>
        <w:t>31%.</w:t>
      </w:r>
      <w:r>
        <w:rPr>
          <w:vertAlign w:val="superscript"/>
        </w:rPr>
        <w:t xml:space="preserve">24 </w:t>
      </w:r>
    </w:p>
    <w:p w14:paraId="48383FE2" w14:textId="77777777" w:rsidR="000A1D58" w:rsidRDefault="000A1D58" w:rsidP="00757DC5">
      <w:r>
        <w:t>The ALIC4E trial, a clinical trial of oseltamivir in elderly patients in primary care conducted independently of pharmaceutical sponsorship, was recently reported.</w:t>
      </w:r>
      <w:r>
        <w:rPr>
          <w:vertAlign w:val="superscript"/>
        </w:rPr>
        <w:t>25</w:t>
      </w:r>
      <w:r>
        <w:t xml:space="preserve"> The trial confirmed previous findings that oseltamivir is associated with an improvement of around 24 hours in the time to recovery. However, it found that benefits were greater in the elderly; in those with chronic comorbidities; and in those with an increased severity of symptoms. Interestingly, the trial also suggested that patients with delayed presentations of more than 48–72 hours also appeared to benefit. </w:t>
      </w:r>
    </w:p>
    <w:p w14:paraId="30F79EFD" w14:textId="77777777" w:rsidR="000A1D58" w:rsidRDefault="000A1D58" w:rsidP="00757DC5">
      <w:r>
        <w:t>Although the ALIC4E trial was based in primary care, its finding is of relevance to hospitalized patients who tend to be older, to have chronic comorbidities, to have severe illness and to present later in the course of illness. Unfortunately, despite enrolling 3,266 patients, the ALIC4E trial was underpowered to detect differences in complications of influenza relevant for public health policy, such as hospitalisation and death. National guidelines continue to recommend use of oseltamivir based on observational studies.</w:t>
      </w:r>
      <w:r>
        <w:rPr>
          <w:vertAlign w:val="superscript"/>
        </w:rPr>
        <w:t>26</w:t>
      </w:r>
      <w:r>
        <w:t xml:space="preserve"> The present report’s finding that patients that received oseltamivir had a longer length of stay is largely accounted for by confounding, as this association was not found on adjusted analyses. </w:t>
      </w:r>
    </w:p>
    <w:p w14:paraId="269B1A3E" w14:textId="77777777" w:rsidR="000A1D58" w:rsidRDefault="000A1D58" w:rsidP="00757DC5">
      <w:r>
        <w:t xml:space="preserve">There are several limitations to this surveillance system. Not all cases of influenza in hospitals are diagnosed due to the lack of use of diagnostics, poor quality sample collection or delayed presentations. Surveillance data from other systems documented intense </w:t>
      </w:r>
      <w:proofErr w:type="spellStart"/>
      <w:r>
        <w:t>interseasonal</w:t>
      </w:r>
      <w:proofErr w:type="spellEnd"/>
      <w:r>
        <w:t xml:space="preserve"> activity with notifications in March 2019 comparable to peak activity in 2018,</w:t>
      </w:r>
      <w:r>
        <w:rPr>
          <w:vertAlign w:val="superscript"/>
        </w:rPr>
        <w:t>27</w:t>
      </w:r>
      <w:r>
        <w:t xml:space="preserve"> prior to FluCAN surveillance commencing in April. There are </w:t>
      </w:r>
      <w:proofErr w:type="gramStart"/>
      <w:r>
        <w:t>a number of</w:t>
      </w:r>
      <w:proofErr w:type="gramEnd"/>
      <w:r>
        <w:t xml:space="preserve"> potential confounders when considering the association between influenza hospitalisation and influenza vaccination, including confounding by indication, the healthy user effect, and confounding by frailty. Additionally, there are some concerns that other biases may be inherent to the test negative study design commonly used to assess vaccine effectiveness, although more recent data suggests that these may not result in significant bias.</w:t>
      </w:r>
      <w:r>
        <w:rPr>
          <w:vertAlign w:val="superscript"/>
        </w:rPr>
        <w:t xml:space="preserve">28,29 </w:t>
      </w:r>
    </w:p>
    <w:p w14:paraId="274A7732" w14:textId="77777777" w:rsidR="000A1D58" w:rsidRDefault="000A1D58" w:rsidP="00757DC5">
      <w:r>
        <w:t xml:space="preserve">In summary, the 2019 FluCAN surveillance system detected a larger number of hospital admissions with laboratory-confirmed influenza in a national observational study than has been seen in recent seasons. Vaccination coverage appeared similar to previous seasons in </w:t>
      </w:r>
      <w:proofErr w:type="gramStart"/>
      <w:r>
        <w:t>adults, but</w:t>
      </w:r>
      <w:proofErr w:type="gramEnd"/>
      <w:r>
        <w:t xml:space="preserve"> increased in children. With the change in funding status, the adjuvanted vaccine was </w:t>
      </w:r>
      <w:proofErr w:type="gramStart"/>
      <w:r>
        <w:t>used most commonly</w:t>
      </w:r>
      <w:proofErr w:type="gramEnd"/>
      <w:r>
        <w:t xml:space="preserve"> in the elderly. Vaccine effectiveness in the target population and the elderly was moderate </w:t>
      </w:r>
      <w:proofErr w:type="gramStart"/>
      <w:r>
        <w:t>overall, but</w:t>
      </w:r>
      <w:proofErr w:type="gramEnd"/>
      <w:r>
        <w:t xml:space="preserve"> was particularly high in children.</w:t>
      </w:r>
    </w:p>
    <w:p w14:paraId="6ECB7541" w14:textId="77777777" w:rsidR="000A1D58" w:rsidRPr="00757DC5" w:rsidRDefault="000A1D58" w:rsidP="00757DC5">
      <w:pPr>
        <w:pStyle w:val="Heading1"/>
      </w:pPr>
      <w:r w:rsidRPr="00757DC5">
        <w:t xml:space="preserve">Acknowledgements </w:t>
      </w:r>
    </w:p>
    <w:p w14:paraId="0E5E3261" w14:textId="77777777" w:rsidR="000A1D58" w:rsidRDefault="000A1D58" w:rsidP="00757DC5">
      <w:r>
        <w:t xml:space="preserve">We thank Janette Taylor Li (Lucy) Ying, Renuka Liyanage(Westmead Hospital), </w:t>
      </w:r>
      <w:proofErr w:type="spellStart"/>
      <w:r>
        <w:t>Cazz</w:t>
      </w:r>
      <w:proofErr w:type="spellEnd"/>
      <w:r>
        <w:t xml:space="preserve"> Finucane, Camille Gibson (Perth Children’s Hospital; Telethon Institute), Janine Roney, Jill Garlick, Virginia Cable, Nicola Dunford (The Alfred Hospital), Stevie </w:t>
      </w:r>
      <w:proofErr w:type="spellStart"/>
      <w:r>
        <w:t>Lingman</w:t>
      </w:r>
      <w:proofErr w:type="spellEnd"/>
      <w:r>
        <w:t xml:space="preserve">, Melissa Finney, Megan Martin (Mater Hospital), Michelle Thompson, Fiona Sultana Casey McLeod, </w:t>
      </w:r>
      <w:r>
        <w:lastRenderedPageBreak/>
        <w:t xml:space="preserve">Adam </w:t>
      </w:r>
      <w:proofErr w:type="spellStart"/>
      <w:r>
        <w:t>Kadmon</w:t>
      </w:r>
      <w:proofErr w:type="spellEnd"/>
      <w:r>
        <w:t xml:space="preserve">, Stewart </w:t>
      </w:r>
      <w:proofErr w:type="spellStart"/>
      <w:r>
        <w:t>Duncum</w:t>
      </w:r>
      <w:proofErr w:type="spellEnd"/>
      <w:r>
        <w:t xml:space="preserve">, Gerri </w:t>
      </w:r>
      <w:proofErr w:type="spellStart"/>
      <w:r>
        <w:t>Shandler</w:t>
      </w:r>
      <w:proofErr w:type="spellEnd"/>
      <w:r>
        <w:t xml:space="preserve">, Sarah Mclean (Royal Melbourne Hospital), </w:t>
      </w:r>
      <w:proofErr w:type="spellStart"/>
      <w:r>
        <w:t>Jocelynne</w:t>
      </w:r>
      <w:proofErr w:type="spellEnd"/>
      <w:r>
        <w:t xml:space="preserve"> McRae, Laura </w:t>
      </w:r>
      <w:proofErr w:type="spellStart"/>
      <w:r>
        <w:t>Rost</w:t>
      </w:r>
      <w:proofErr w:type="spellEnd"/>
      <w:r>
        <w:t xml:space="preserve">, Nicole Dinsmore Gemma </w:t>
      </w:r>
      <w:proofErr w:type="spellStart"/>
      <w:r>
        <w:t>Saravanos</w:t>
      </w:r>
      <w:proofErr w:type="spellEnd"/>
      <w:r>
        <w:t xml:space="preserve">, Kathy Meredith (Children’s Hospital at Westmead), Wendy </w:t>
      </w:r>
      <w:proofErr w:type="spellStart"/>
      <w:r>
        <w:t>Beckingham</w:t>
      </w:r>
      <w:proofErr w:type="spellEnd"/>
      <w:r>
        <w:t xml:space="preserve">, Sandra Root, Michelle Gordon, Teena Russell, Kris </w:t>
      </w:r>
      <w:proofErr w:type="spellStart"/>
      <w:r>
        <w:t>Farrelly</w:t>
      </w:r>
      <w:proofErr w:type="spellEnd"/>
      <w:r>
        <w:t xml:space="preserve">, </w:t>
      </w:r>
      <w:proofErr w:type="spellStart"/>
      <w:r>
        <w:t>Staphanie</w:t>
      </w:r>
      <w:proofErr w:type="spellEnd"/>
      <w:r>
        <w:t xml:space="preserve"> </w:t>
      </w:r>
      <w:proofErr w:type="spellStart"/>
      <w:r>
        <w:t>Hatte</w:t>
      </w:r>
      <w:proofErr w:type="spellEnd"/>
      <w:r>
        <w:t xml:space="preserve"> (Canberra and Calvary Hospitals), Stella Green, Sue Richmond, Michelle </w:t>
      </w:r>
      <w:proofErr w:type="spellStart"/>
      <w:r>
        <w:t>Gosley</w:t>
      </w:r>
      <w:proofErr w:type="spellEnd"/>
      <w:r>
        <w:t xml:space="preserve"> (Cairns Base Hospital), Jane Nelson, </w:t>
      </w:r>
      <w:proofErr w:type="spellStart"/>
      <w:r>
        <w:t>Anngie</w:t>
      </w:r>
      <w:proofErr w:type="spellEnd"/>
      <w:r>
        <w:t xml:space="preserve"> Everitt (Alice Springs Hospital; Menzies School of Health Research), Tina Collins, Krystal </w:t>
      </w:r>
      <w:proofErr w:type="spellStart"/>
      <w:r>
        <w:t>Rudland</w:t>
      </w:r>
      <w:proofErr w:type="spellEnd"/>
      <w:r>
        <w:t xml:space="preserve"> (Princess Alexandra Hospital), Susan Wagg (Royal Hobart Hospital), Tiffany Perkins, Anne Welsh (University Hospital Geelong, Barwon Health), Doug </w:t>
      </w:r>
      <w:proofErr w:type="spellStart"/>
      <w:r>
        <w:t>Dorahy</w:t>
      </w:r>
      <w:proofErr w:type="spellEnd"/>
      <w:r>
        <w:t xml:space="preserve">, Isabella Mackay (John Hunter Hospital), Jenny McGrath, Louise Milazzo, Sarah Richards, Cathy Short, Cate Green, Mary McAlister, Eve </w:t>
      </w:r>
      <w:proofErr w:type="spellStart"/>
      <w:r>
        <w:t>Boxhall</w:t>
      </w:r>
      <w:proofErr w:type="spellEnd"/>
      <w:r>
        <w:t xml:space="preserve">, Ashleigh Richardson, Catriona Doran, Nicole </w:t>
      </w:r>
      <w:proofErr w:type="spellStart"/>
      <w:r>
        <w:t>Gurrey</w:t>
      </w:r>
      <w:proofErr w:type="spellEnd"/>
      <w:r>
        <w:t xml:space="preserve">, Sophie Whitehead, </w:t>
      </w:r>
      <w:proofErr w:type="spellStart"/>
      <w:r>
        <w:t>Jiayas</w:t>
      </w:r>
      <w:proofErr w:type="spellEnd"/>
      <w:r>
        <w:t xml:space="preserve"> Lin, Rebecca Glover, Segun Kandel, </w:t>
      </w:r>
      <w:proofErr w:type="spellStart"/>
      <w:r>
        <w:t>Monima</w:t>
      </w:r>
      <w:proofErr w:type="spellEnd"/>
      <w:r>
        <w:t xml:space="preserve"> </w:t>
      </w:r>
      <w:proofErr w:type="spellStart"/>
      <w:r>
        <w:t>Pamang</w:t>
      </w:r>
      <w:proofErr w:type="spellEnd"/>
      <w:r>
        <w:t xml:space="preserve">, Kate Shelton (Royal Adelaide Hospital), Jonathon Burcham, Sophie </w:t>
      </w:r>
      <w:proofErr w:type="spellStart"/>
      <w:r>
        <w:t>Damianopoulos</w:t>
      </w:r>
      <w:proofErr w:type="spellEnd"/>
      <w:r>
        <w:t xml:space="preserve">, Helen Hammersley Fiona </w:t>
      </w:r>
      <w:proofErr w:type="spellStart"/>
      <w:r>
        <w:t>Seroney</w:t>
      </w:r>
      <w:proofErr w:type="spellEnd"/>
      <w:r>
        <w:t xml:space="preserve"> (Royal Perth Hospital). We also thank Rebecca Doyle, Sara Cook, Sonia Dougherty (Queensland Children’s Hospital), Chris Heath, Mary Walker (Women &amp; </w:t>
      </w:r>
      <w:proofErr w:type="spellStart"/>
      <w:r>
        <w:t>Childrens</w:t>
      </w:r>
      <w:proofErr w:type="spellEnd"/>
      <w:r>
        <w:t xml:space="preserve"> Hospital Adelaide), Laura Francis (Royal Darwin Hospital) Gowri Selvaraj, Karen Bellamy (Monash Children’s Hospital) and Alissa McMinn, Donna Lee, Isabella Overmars, Lois </w:t>
      </w:r>
      <w:proofErr w:type="spellStart"/>
      <w:r>
        <w:t>Tham</w:t>
      </w:r>
      <w:proofErr w:type="spellEnd"/>
      <w:r>
        <w:t xml:space="preserve"> (Royal Children’s Hospital). We acknowledge the support of the Australian Government Department of Health for funding this system.</w:t>
      </w:r>
    </w:p>
    <w:p w14:paraId="4EBF7F24" w14:textId="77777777" w:rsidR="000A1D58" w:rsidRPr="00757DC5" w:rsidRDefault="000A1D58" w:rsidP="00757DC5">
      <w:pPr>
        <w:pStyle w:val="Heading1"/>
      </w:pPr>
      <w:r w:rsidRPr="00757DC5">
        <w:t xml:space="preserve">Author details </w:t>
      </w:r>
    </w:p>
    <w:p w14:paraId="237D61FF" w14:textId="77777777" w:rsidR="000A1D58" w:rsidRDefault="000A1D58" w:rsidP="00451D93">
      <w:pPr>
        <w:pStyle w:val="NoSpacing"/>
      </w:pPr>
      <w:r>
        <w:t xml:space="preserve">Prof Allen C Cheng, </w:t>
      </w:r>
      <w:r w:rsidRPr="00687487">
        <w:rPr>
          <w:rStyle w:val="Emphasis"/>
          <w:b w:val="0"/>
          <w:bCs w:val="0"/>
        </w:rPr>
        <w:t xml:space="preserve">Alfred Health; Monash University </w:t>
      </w:r>
    </w:p>
    <w:p w14:paraId="1C2525EB" w14:textId="77777777" w:rsidR="000A1D58" w:rsidRDefault="000A1D58" w:rsidP="00451D93">
      <w:pPr>
        <w:pStyle w:val="NoSpacing"/>
      </w:pPr>
      <w:r>
        <w:t xml:space="preserve">Prof Dominic E Dwyer, </w:t>
      </w:r>
      <w:r w:rsidRPr="00687487">
        <w:rPr>
          <w:rStyle w:val="Emphasis"/>
          <w:b w:val="0"/>
          <w:bCs w:val="0"/>
        </w:rPr>
        <w:t xml:space="preserve">University of Sydney, Westmead Hospital, </w:t>
      </w:r>
    </w:p>
    <w:p w14:paraId="582C5746" w14:textId="77777777" w:rsidR="000A1D58" w:rsidRDefault="000A1D58" w:rsidP="00451D93">
      <w:pPr>
        <w:pStyle w:val="NoSpacing"/>
      </w:pPr>
      <w:r>
        <w:t xml:space="preserve">Prof Mark Holmes, </w:t>
      </w:r>
      <w:r w:rsidRPr="00687487">
        <w:rPr>
          <w:rStyle w:val="Emphasis"/>
          <w:b w:val="0"/>
          <w:bCs w:val="0"/>
        </w:rPr>
        <w:t xml:space="preserve">University of Adelaide, Royal Adelaide Hospital, </w:t>
      </w:r>
    </w:p>
    <w:p w14:paraId="381D0D65" w14:textId="77777777" w:rsidR="000A1D58" w:rsidRDefault="000A1D58" w:rsidP="00451D93">
      <w:pPr>
        <w:pStyle w:val="NoSpacing"/>
      </w:pPr>
      <w:r>
        <w:t xml:space="preserve">A/Prof Louis Irving, </w:t>
      </w:r>
      <w:r w:rsidRPr="00687487">
        <w:rPr>
          <w:rStyle w:val="Emphasis"/>
          <w:b w:val="0"/>
          <w:bCs w:val="0"/>
        </w:rPr>
        <w:t xml:space="preserve">Royal Melbourne Hospital, University of Melbourne, </w:t>
      </w:r>
    </w:p>
    <w:p w14:paraId="4D97A3EC" w14:textId="77777777" w:rsidR="000A1D58" w:rsidRDefault="000A1D58" w:rsidP="00451D93">
      <w:pPr>
        <w:pStyle w:val="NoSpacing"/>
      </w:pPr>
      <w:r>
        <w:t xml:space="preserve">Dr Graham Simpson, </w:t>
      </w:r>
      <w:r w:rsidRPr="00687487">
        <w:rPr>
          <w:rStyle w:val="Emphasis"/>
          <w:b w:val="0"/>
          <w:bCs w:val="0"/>
        </w:rPr>
        <w:t xml:space="preserve">Cairns Base Hospital, </w:t>
      </w:r>
    </w:p>
    <w:p w14:paraId="4D787278" w14:textId="77777777" w:rsidR="000A1D58" w:rsidRDefault="000A1D58" w:rsidP="00451D93">
      <w:pPr>
        <w:pStyle w:val="NoSpacing"/>
      </w:pPr>
      <w:r>
        <w:t xml:space="preserve">A/Prof Sanjaya </w:t>
      </w:r>
      <w:proofErr w:type="spellStart"/>
      <w:r>
        <w:t>Senenayake</w:t>
      </w:r>
      <w:proofErr w:type="spellEnd"/>
      <w:r>
        <w:t xml:space="preserve">, </w:t>
      </w:r>
      <w:r w:rsidRPr="00687487">
        <w:rPr>
          <w:rStyle w:val="Emphasis"/>
          <w:b w:val="0"/>
          <w:bCs w:val="0"/>
        </w:rPr>
        <w:t xml:space="preserve">Australian National University, The Canberra Hospital, </w:t>
      </w:r>
    </w:p>
    <w:p w14:paraId="20CC485A" w14:textId="77777777" w:rsidR="000A1D58" w:rsidRDefault="000A1D58" w:rsidP="00451D93">
      <w:pPr>
        <w:pStyle w:val="NoSpacing"/>
      </w:pPr>
      <w:r>
        <w:t xml:space="preserve">A/Prof Tony </w:t>
      </w:r>
      <w:proofErr w:type="spellStart"/>
      <w:r>
        <w:t>Korman</w:t>
      </w:r>
      <w:proofErr w:type="spellEnd"/>
      <w:r>
        <w:t xml:space="preserve">, </w:t>
      </w:r>
      <w:r w:rsidRPr="00687487">
        <w:rPr>
          <w:rStyle w:val="Emphasis"/>
          <w:b w:val="0"/>
          <w:bCs w:val="0"/>
        </w:rPr>
        <w:t xml:space="preserve">Monash Medical Centre; Monash University, </w:t>
      </w:r>
    </w:p>
    <w:p w14:paraId="5800679B" w14:textId="77777777" w:rsidR="000A1D58" w:rsidRDefault="000A1D58" w:rsidP="00451D93">
      <w:pPr>
        <w:pStyle w:val="NoSpacing"/>
      </w:pPr>
      <w:r>
        <w:t xml:space="preserve">A/Prof N. Deborah Friedman, </w:t>
      </w:r>
      <w:r w:rsidRPr="00687487">
        <w:rPr>
          <w:rStyle w:val="Emphasis"/>
          <w:b w:val="0"/>
          <w:bCs w:val="0"/>
        </w:rPr>
        <w:t xml:space="preserve">University Hospital Geelong, </w:t>
      </w:r>
    </w:p>
    <w:p w14:paraId="22938704" w14:textId="77777777" w:rsidR="000A1D58" w:rsidRDefault="000A1D58" w:rsidP="00451D93">
      <w:pPr>
        <w:pStyle w:val="NoSpacing"/>
      </w:pPr>
      <w:r>
        <w:t xml:space="preserve">Dr Louise Cooley, </w:t>
      </w:r>
      <w:r w:rsidRPr="00687487">
        <w:rPr>
          <w:rStyle w:val="Emphasis"/>
          <w:b w:val="0"/>
          <w:bCs w:val="0"/>
        </w:rPr>
        <w:t xml:space="preserve">Royal Hobart Hospital </w:t>
      </w:r>
    </w:p>
    <w:p w14:paraId="10AF78E7" w14:textId="77777777" w:rsidR="000A1D58" w:rsidRDefault="000A1D58" w:rsidP="00451D93">
      <w:pPr>
        <w:pStyle w:val="NoSpacing"/>
      </w:pPr>
      <w:r>
        <w:t xml:space="preserve">Prof Peter </w:t>
      </w:r>
      <w:proofErr w:type="spellStart"/>
      <w:r>
        <w:t>Wark</w:t>
      </w:r>
      <w:proofErr w:type="spellEnd"/>
      <w:r>
        <w:t xml:space="preserve">, </w:t>
      </w:r>
      <w:r w:rsidRPr="00687487">
        <w:rPr>
          <w:rStyle w:val="Emphasis"/>
          <w:b w:val="0"/>
          <w:bCs w:val="0"/>
        </w:rPr>
        <w:t xml:space="preserve">University of Newcastle, John Hunter Hospital </w:t>
      </w:r>
    </w:p>
    <w:p w14:paraId="36BDDE3B" w14:textId="77777777" w:rsidR="000A1D58" w:rsidRDefault="000A1D58" w:rsidP="00451D93">
      <w:pPr>
        <w:pStyle w:val="NoSpacing"/>
      </w:pPr>
      <w:r>
        <w:t xml:space="preserve">Dr Anna Holwell, </w:t>
      </w:r>
      <w:r w:rsidRPr="00687487">
        <w:rPr>
          <w:rStyle w:val="Emphasis"/>
          <w:b w:val="0"/>
          <w:bCs w:val="0"/>
        </w:rPr>
        <w:t xml:space="preserve">Alice Springs Hospital, </w:t>
      </w:r>
    </w:p>
    <w:p w14:paraId="2D034CA2" w14:textId="77777777" w:rsidR="000A1D58" w:rsidRDefault="000A1D58" w:rsidP="00451D93">
      <w:pPr>
        <w:pStyle w:val="NoSpacing"/>
      </w:pPr>
      <w:r>
        <w:t xml:space="preserve">Dr Simon Bowler, </w:t>
      </w:r>
      <w:r w:rsidRPr="00687487">
        <w:rPr>
          <w:rStyle w:val="Emphasis"/>
          <w:b w:val="0"/>
          <w:bCs w:val="0"/>
        </w:rPr>
        <w:t xml:space="preserve">Mater Hospitals </w:t>
      </w:r>
    </w:p>
    <w:p w14:paraId="729FBC77" w14:textId="77777777" w:rsidR="000A1D58" w:rsidRDefault="000A1D58" w:rsidP="00451D93">
      <w:pPr>
        <w:pStyle w:val="NoSpacing"/>
      </w:pPr>
      <w:r>
        <w:t xml:space="preserve">Prof John Upham, </w:t>
      </w:r>
      <w:r w:rsidRPr="00687487">
        <w:rPr>
          <w:rStyle w:val="Emphasis"/>
          <w:b w:val="0"/>
          <w:bCs w:val="0"/>
        </w:rPr>
        <w:t xml:space="preserve">Princess Alexandra Hospital, University of Queensland </w:t>
      </w:r>
    </w:p>
    <w:p w14:paraId="750E045C" w14:textId="77777777" w:rsidR="000A1D58" w:rsidRDefault="000A1D58" w:rsidP="00451D93">
      <w:pPr>
        <w:pStyle w:val="NoSpacing"/>
      </w:pPr>
      <w:r>
        <w:t xml:space="preserve">Prof Daniel M. </w:t>
      </w:r>
      <w:proofErr w:type="spellStart"/>
      <w:r>
        <w:t>Fatovich</w:t>
      </w:r>
      <w:proofErr w:type="spellEnd"/>
      <w:r>
        <w:t xml:space="preserve">, </w:t>
      </w:r>
      <w:r w:rsidRPr="00687487">
        <w:rPr>
          <w:rStyle w:val="Emphasis"/>
          <w:b w:val="0"/>
          <w:bCs w:val="0"/>
        </w:rPr>
        <w:t xml:space="preserve">University of Western Australia, Royal Perth Hospital </w:t>
      </w:r>
    </w:p>
    <w:p w14:paraId="35CA2340" w14:textId="77777777" w:rsidR="000A1D58" w:rsidRDefault="000A1D58" w:rsidP="00451D93">
      <w:pPr>
        <w:pStyle w:val="NoSpacing"/>
      </w:pPr>
      <w:r>
        <w:t xml:space="preserve">Prof Grant Waterer, </w:t>
      </w:r>
      <w:r w:rsidRPr="00687487">
        <w:rPr>
          <w:rStyle w:val="Emphasis"/>
          <w:b w:val="0"/>
          <w:bCs w:val="0"/>
        </w:rPr>
        <w:t xml:space="preserve">University of Western Australia, Royal Perth Hospital </w:t>
      </w:r>
    </w:p>
    <w:p w14:paraId="26B72265" w14:textId="77777777" w:rsidR="000A1D58" w:rsidRDefault="000A1D58" w:rsidP="00451D93">
      <w:pPr>
        <w:pStyle w:val="NoSpacing"/>
      </w:pPr>
      <w:r>
        <w:t xml:space="preserve">A/Prof Christopher C Blyth, </w:t>
      </w:r>
      <w:r w:rsidRPr="00687487">
        <w:rPr>
          <w:rStyle w:val="Emphasis"/>
          <w:b w:val="0"/>
          <w:bCs w:val="0"/>
        </w:rPr>
        <w:t xml:space="preserve">Perth Children’s Hospital, University of Western Australia, Telethon Kids Institute </w:t>
      </w:r>
    </w:p>
    <w:p w14:paraId="5AAF55DB" w14:textId="77777777" w:rsidR="000A1D58" w:rsidRDefault="000A1D58" w:rsidP="00451D93">
      <w:pPr>
        <w:pStyle w:val="NoSpacing"/>
      </w:pPr>
      <w:r>
        <w:t xml:space="preserve">Dr Nigel Crawford, </w:t>
      </w:r>
      <w:r w:rsidRPr="00687487">
        <w:rPr>
          <w:rStyle w:val="Emphasis"/>
          <w:b w:val="0"/>
          <w:bCs w:val="0"/>
        </w:rPr>
        <w:t xml:space="preserve">Royal Children’s Hospital, Melbourne; Murdoch Children’s Research Institute </w:t>
      </w:r>
    </w:p>
    <w:p w14:paraId="137D923F" w14:textId="77777777" w:rsidR="000A1D58" w:rsidRDefault="000A1D58" w:rsidP="00451D93">
      <w:pPr>
        <w:pStyle w:val="NoSpacing"/>
      </w:pPr>
      <w:r>
        <w:t xml:space="preserve">Prof Jim Buttery, </w:t>
      </w:r>
      <w:r w:rsidRPr="00687487">
        <w:rPr>
          <w:rStyle w:val="Emphasis"/>
          <w:b w:val="0"/>
          <w:bCs w:val="0"/>
        </w:rPr>
        <w:t xml:space="preserve">Monash Children’s Hospital, Monash University </w:t>
      </w:r>
    </w:p>
    <w:p w14:paraId="53602CA3" w14:textId="77777777" w:rsidR="000A1D58" w:rsidRDefault="000A1D58" w:rsidP="00451D93">
      <w:pPr>
        <w:pStyle w:val="NoSpacing"/>
      </w:pPr>
      <w:r>
        <w:t xml:space="preserve">Prof Helen S. Marshall, </w:t>
      </w:r>
      <w:r w:rsidRPr="00687487">
        <w:rPr>
          <w:rStyle w:val="Emphasis"/>
          <w:b w:val="0"/>
          <w:bCs w:val="0"/>
        </w:rPr>
        <w:t xml:space="preserve">Women’s and Children’s Hospital, University of Adelaide </w:t>
      </w:r>
    </w:p>
    <w:p w14:paraId="2B9D5A6F" w14:textId="77777777" w:rsidR="000A1D58" w:rsidRDefault="000A1D58" w:rsidP="00451D93">
      <w:pPr>
        <w:pStyle w:val="NoSpacing"/>
      </w:pPr>
      <w:r>
        <w:t xml:space="preserve">A/Prof Julia E. Clark, </w:t>
      </w:r>
      <w:r w:rsidRPr="00687487">
        <w:rPr>
          <w:rStyle w:val="Emphasis"/>
          <w:b w:val="0"/>
          <w:bCs w:val="0"/>
        </w:rPr>
        <w:t xml:space="preserve">Queensland Children’s Hospital </w:t>
      </w:r>
    </w:p>
    <w:p w14:paraId="4EA31968" w14:textId="77777777" w:rsidR="000A1D58" w:rsidRDefault="000A1D58" w:rsidP="00451D93">
      <w:pPr>
        <w:pStyle w:val="NoSpacing"/>
      </w:pPr>
      <w:r>
        <w:t xml:space="preserve">Dr Joshua Francis, </w:t>
      </w:r>
      <w:r w:rsidRPr="00687487">
        <w:rPr>
          <w:rStyle w:val="Emphasis"/>
          <w:b w:val="0"/>
          <w:bCs w:val="0"/>
        </w:rPr>
        <w:t xml:space="preserve">Royal Darwin Hospital </w:t>
      </w:r>
    </w:p>
    <w:p w14:paraId="621296C0" w14:textId="77777777" w:rsidR="000A1D58" w:rsidRDefault="000A1D58" w:rsidP="00451D93">
      <w:pPr>
        <w:pStyle w:val="NoSpacing"/>
      </w:pPr>
      <w:r>
        <w:t xml:space="preserve">Prof Kristine Macartney, </w:t>
      </w:r>
      <w:r w:rsidRPr="00687487">
        <w:rPr>
          <w:rStyle w:val="Emphasis"/>
          <w:b w:val="0"/>
          <w:bCs w:val="0"/>
        </w:rPr>
        <w:t xml:space="preserve">Children’s Hospital at Westmead, </w:t>
      </w:r>
    </w:p>
    <w:p w14:paraId="7E2E3A22" w14:textId="77777777" w:rsidR="000A1D58" w:rsidRDefault="000A1D58" w:rsidP="00451D93">
      <w:pPr>
        <w:pStyle w:val="NoSpacing"/>
      </w:pPr>
      <w:r>
        <w:t xml:space="preserve">A/Prof Tom </w:t>
      </w:r>
      <w:proofErr w:type="spellStart"/>
      <w:r>
        <w:t>Kotsimbos</w:t>
      </w:r>
      <w:proofErr w:type="spellEnd"/>
      <w:r>
        <w:t xml:space="preserve">, </w:t>
      </w:r>
      <w:r w:rsidRPr="00687487">
        <w:rPr>
          <w:rStyle w:val="Emphasis"/>
          <w:b w:val="0"/>
          <w:bCs w:val="0"/>
        </w:rPr>
        <w:t xml:space="preserve">Alfred Health; Monash University </w:t>
      </w:r>
    </w:p>
    <w:p w14:paraId="4E792A41" w14:textId="77777777" w:rsidR="000A1D58" w:rsidRDefault="000A1D58" w:rsidP="00451D93">
      <w:pPr>
        <w:pStyle w:val="NoSpacing"/>
      </w:pPr>
      <w:r>
        <w:t xml:space="preserve">Adjunct Prof Paul Kelly, </w:t>
      </w:r>
      <w:r w:rsidRPr="00687487">
        <w:rPr>
          <w:rStyle w:val="Emphasis"/>
          <w:b w:val="0"/>
          <w:bCs w:val="0"/>
        </w:rPr>
        <w:t xml:space="preserve">Australian Department of Health; Australian National University Medical School </w:t>
      </w:r>
    </w:p>
    <w:p w14:paraId="1956DBDA" w14:textId="77777777" w:rsidR="000A1D58" w:rsidRPr="00757DC5" w:rsidRDefault="000A1D58" w:rsidP="00757DC5">
      <w:pPr>
        <w:pStyle w:val="Heading2"/>
      </w:pPr>
      <w:r w:rsidRPr="00757DC5">
        <w:t xml:space="preserve">Corresponding author </w:t>
      </w:r>
    </w:p>
    <w:p w14:paraId="59AA74C9" w14:textId="77777777" w:rsidR="00451D93" w:rsidRDefault="000A1D58" w:rsidP="00451D93">
      <w:pPr>
        <w:pStyle w:val="NoSpacing"/>
      </w:pPr>
      <w:r>
        <w:t>Prof Allen Cheng, Department of Epidemiology and Preventive Medicine, Monash University, Commercial Road, Melbourne VIC 3004.</w:t>
      </w:r>
    </w:p>
    <w:p w14:paraId="23E92975" w14:textId="3A7FF36D" w:rsidR="000A1D58" w:rsidRDefault="000A1D58" w:rsidP="00451D93">
      <w:pPr>
        <w:pStyle w:val="NoSpacing"/>
      </w:pPr>
      <w:r>
        <w:t>Email: allen.cheng@monash.edu</w:t>
      </w:r>
    </w:p>
    <w:p w14:paraId="59F1528D" w14:textId="77777777" w:rsidR="00692801" w:rsidRDefault="00692801">
      <w:pPr>
        <w:rPr>
          <w:rFonts w:asciiTheme="majorHAnsi" w:eastAsiaTheme="majorEastAsia" w:hAnsiTheme="majorHAnsi" w:cstheme="majorBidi"/>
          <w:b/>
          <w:bCs/>
          <w:sz w:val="32"/>
          <w:szCs w:val="28"/>
        </w:rPr>
      </w:pPr>
      <w:r>
        <w:br w:type="page"/>
      </w:r>
    </w:p>
    <w:p w14:paraId="42E8215B" w14:textId="770019F9" w:rsidR="000A1D58" w:rsidRPr="00757DC5" w:rsidRDefault="000A1D58" w:rsidP="00757DC5">
      <w:pPr>
        <w:pStyle w:val="Heading1"/>
      </w:pPr>
      <w:r w:rsidRPr="00757DC5">
        <w:lastRenderedPageBreak/>
        <w:t xml:space="preserve">References </w:t>
      </w:r>
    </w:p>
    <w:p w14:paraId="5E546E35" w14:textId="77777777" w:rsidR="000A1D58" w:rsidRPr="00757DC5" w:rsidRDefault="000A1D58" w:rsidP="00757DC5">
      <w:pPr>
        <w:pStyle w:val="ListParagraph"/>
        <w:numPr>
          <w:ilvl w:val="0"/>
          <w:numId w:val="10"/>
        </w:numPr>
        <w:rPr>
          <w:rFonts w:eastAsia="Times New Roman"/>
        </w:rPr>
      </w:pPr>
      <w:r w:rsidRPr="00757DC5">
        <w:rPr>
          <w:rFonts w:eastAsia="Times New Roman"/>
        </w:rPr>
        <w:t xml:space="preserve">Lam TT, Tang JW, Lai FY, </w:t>
      </w:r>
      <w:proofErr w:type="spellStart"/>
      <w:r w:rsidRPr="00757DC5">
        <w:rPr>
          <w:rFonts w:eastAsia="Times New Roman"/>
        </w:rPr>
        <w:t>Zaraket</w:t>
      </w:r>
      <w:proofErr w:type="spellEnd"/>
      <w:r w:rsidRPr="00757DC5">
        <w:rPr>
          <w:rFonts w:eastAsia="Times New Roman"/>
        </w:rPr>
        <w:t xml:space="preserve"> H, </w:t>
      </w:r>
      <w:proofErr w:type="spellStart"/>
      <w:r w:rsidRPr="00757DC5">
        <w:rPr>
          <w:rFonts w:eastAsia="Times New Roman"/>
        </w:rPr>
        <w:t>Dbaibo</w:t>
      </w:r>
      <w:proofErr w:type="spellEnd"/>
      <w:r w:rsidRPr="00757DC5">
        <w:rPr>
          <w:rFonts w:eastAsia="Times New Roman"/>
        </w:rPr>
        <w:t xml:space="preserve"> G, </w:t>
      </w:r>
      <w:proofErr w:type="spellStart"/>
      <w:r w:rsidRPr="00757DC5">
        <w:rPr>
          <w:rFonts w:eastAsia="Times New Roman"/>
        </w:rPr>
        <w:t>Bialasiewicz</w:t>
      </w:r>
      <w:proofErr w:type="spellEnd"/>
      <w:r w:rsidRPr="00757DC5">
        <w:rPr>
          <w:rFonts w:eastAsia="Times New Roman"/>
        </w:rPr>
        <w:t xml:space="preserve"> S et al. Comparative global epidemiology of influenza, respiratory syncytial and parainfluenza viruses, 2010-2015. </w:t>
      </w:r>
      <w:r w:rsidRPr="00687487">
        <w:rPr>
          <w:rStyle w:val="Emphasis"/>
          <w:rFonts w:eastAsia="Times New Roman"/>
          <w:b w:val="0"/>
          <w:bCs w:val="0"/>
        </w:rPr>
        <w:t>J Infect</w:t>
      </w:r>
      <w:r w:rsidRPr="00757DC5">
        <w:rPr>
          <w:rFonts w:eastAsia="Times New Roman"/>
        </w:rPr>
        <w:t xml:space="preserve">. 2019;79(4):373–82. </w:t>
      </w:r>
    </w:p>
    <w:p w14:paraId="6814D266" w14:textId="77777777" w:rsidR="000A1D58" w:rsidRPr="00757DC5" w:rsidRDefault="000A1D58" w:rsidP="00757DC5">
      <w:pPr>
        <w:pStyle w:val="ListParagraph"/>
        <w:numPr>
          <w:ilvl w:val="0"/>
          <w:numId w:val="10"/>
        </w:numPr>
        <w:rPr>
          <w:rFonts w:eastAsia="Times New Roman"/>
        </w:rPr>
      </w:pPr>
      <w:r w:rsidRPr="00757DC5">
        <w:rPr>
          <w:rFonts w:eastAsia="Times New Roman"/>
        </w:rPr>
        <w:t xml:space="preserve">GBD 2017 Influenza Collaborators. Mortality, morbidity, and hospitalisations due to influenza lower respiratory tract infections, 2017: an analysis for the Global Burden of Disease Study 2017. </w:t>
      </w:r>
      <w:r w:rsidRPr="00687487">
        <w:rPr>
          <w:rStyle w:val="Emphasis"/>
          <w:rFonts w:eastAsia="Times New Roman"/>
          <w:b w:val="0"/>
          <w:bCs w:val="0"/>
        </w:rPr>
        <w:t>Lancet Respir Med</w:t>
      </w:r>
      <w:r w:rsidRPr="00757DC5">
        <w:rPr>
          <w:rFonts w:eastAsia="Times New Roman"/>
        </w:rPr>
        <w:t xml:space="preserve">. 2019;7(1):69–89. </w:t>
      </w:r>
    </w:p>
    <w:p w14:paraId="01D88985" w14:textId="77777777" w:rsidR="000A1D58" w:rsidRPr="00757DC5" w:rsidRDefault="000A1D58" w:rsidP="00757DC5">
      <w:pPr>
        <w:pStyle w:val="ListParagraph"/>
        <w:numPr>
          <w:ilvl w:val="0"/>
          <w:numId w:val="10"/>
        </w:numPr>
        <w:rPr>
          <w:rFonts w:eastAsia="Times New Roman"/>
        </w:rPr>
      </w:pPr>
      <w:r w:rsidRPr="00757DC5">
        <w:rPr>
          <w:rFonts w:eastAsia="Times New Roman"/>
        </w:rPr>
        <w:t xml:space="preserve">Li-Kim-Moy J, Yin JK, Patel C, Beard FH, Chiu C, Macartney KK et al. Australian vaccine preventable disease epidemiological review series: influenza 2006 to 2015. </w:t>
      </w:r>
      <w:proofErr w:type="spellStart"/>
      <w:r w:rsidRPr="00687487">
        <w:rPr>
          <w:rStyle w:val="Emphasis"/>
          <w:rFonts w:eastAsia="Times New Roman"/>
          <w:b w:val="0"/>
          <w:bCs w:val="0"/>
        </w:rPr>
        <w:t>Commun</w:t>
      </w:r>
      <w:proofErr w:type="spellEnd"/>
      <w:r w:rsidRPr="00687487">
        <w:rPr>
          <w:rStyle w:val="Emphasis"/>
          <w:rFonts w:eastAsia="Times New Roman"/>
          <w:b w:val="0"/>
          <w:bCs w:val="0"/>
        </w:rPr>
        <w:t xml:space="preserve"> Dis </w:t>
      </w:r>
      <w:proofErr w:type="spellStart"/>
      <w:r w:rsidRPr="00687487">
        <w:rPr>
          <w:rStyle w:val="Emphasis"/>
          <w:rFonts w:eastAsia="Times New Roman"/>
          <w:b w:val="0"/>
          <w:bCs w:val="0"/>
        </w:rPr>
        <w:t>Intell</w:t>
      </w:r>
      <w:proofErr w:type="spellEnd"/>
      <w:r w:rsidRPr="00687487">
        <w:rPr>
          <w:rStyle w:val="Emphasis"/>
          <w:rFonts w:eastAsia="Times New Roman"/>
          <w:b w:val="0"/>
          <w:bCs w:val="0"/>
        </w:rPr>
        <w:t xml:space="preserve"> Q Rep</w:t>
      </w:r>
      <w:r w:rsidRPr="00757DC5">
        <w:rPr>
          <w:rFonts w:eastAsia="Times New Roman"/>
        </w:rPr>
        <w:t>. 2016;40(4</w:t>
      </w:r>
      <w:proofErr w:type="gramStart"/>
      <w:r w:rsidRPr="00757DC5">
        <w:rPr>
          <w:rFonts w:eastAsia="Times New Roman"/>
        </w:rPr>
        <w:t>):E</w:t>
      </w:r>
      <w:proofErr w:type="gramEnd"/>
      <w:r w:rsidRPr="00757DC5">
        <w:rPr>
          <w:rFonts w:eastAsia="Times New Roman"/>
        </w:rPr>
        <w:t xml:space="preserve">482–95. </w:t>
      </w:r>
    </w:p>
    <w:p w14:paraId="6B206D75" w14:textId="77777777" w:rsidR="000A1D58" w:rsidRPr="00757DC5" w:rsidRDefault="000A1D58" w:rsidP="00757DC5">
      <w:pPr>
        <w:pStyle w:val="ListParagraph"/>
        <w:numPr>
          <w:ilvl w:val="0"/>
          <w:numId w:val="10"/>
        </w:numPr>
        <w:rPr>
          <w:rFonts w:eastAsia="Times New Roman"/>
        </w:rPr>
      </w:pPr>
      <w:r w:rsidRPr="00757DC5">
        <w:rPr>
          <w:rFonts w:eastAsia="Times New Roman"/>
        </w:rPr>
        <w:t xml:space="preserve">Kelly PM, </w:t>
      </w:r>
      <w:proofErr w:type="spellStart"/>
      <w:r w:rsidRPr="00757DC5">
        <w:rPr>
          <w:rFonts w:eastAsia="Times New Roman"/>
        </w:rPr>
        <w:t>Kotsimbos</w:t>
      </w:r>
      <w:proofErr w:type="spellEnd"/>
      <w:r w:rsidRPr="00757DC5">
        <w:rPr>
          <w:rFonts w:eastAsia="Times New Roman"/>
        </w:rPr>
        <w:t xml:space="preserve"> T, Reynolds A, Wood-Baker R, </w:t>
      </w:r>
      <w:proofErr w:type="spellStart"/>
      <w:r w:rsidRPr="00757DC5">
        <w:rPr>
          <w:rFonts w:eastAsia="Times New Roman"/>
        </w:rPr>
        <w:t>Hancox</w:t>
      </w:r>
      <w:proofErr w:type="spellEnd"/>
      <w:r w:rsidRPr="00757DC5">
        <w:rPr>
          <w:rFonts w:eastAsia="Times New Roman"/>
        </w:rPr>
        <w:t xml:space="preserve"> B, Brown SGA et al. FluCAN 2009: initial results from sentinel surveillance for adult influenza and pneumonia in eight Australian hospitals. </w:t>
      </w:r>
      <w:r w:rsidRPr="00687487">
        <w:rPr>
          <w:rStyle w:val="Emphasis"/>
          <w:rFonts w:eastAsia="Times New Roman"/>
          <w:b w:val="0"/>
          <w:bCs w:val="0"/>
        </w:rPr>
        <w:t>Med J Aust</w:t>
      </w:r>
      <w:r w:rsidRPr="00757DC5">
        <w:rPr>
          <w:rFonts w:eastAsia="Times New Roman"/>
        </w:rPr>
        <w:t xml:space="preserve">. 2011;194(4):169–74. </w:t>
      </w:r>
    </w:p>
    <w:p w14:paraId="56141FE9" w14:textId="77777777" w:rsidR="000A1D58" w:rsidRPr="00757DC5" w:rsidRDefault="000A1D58" w:rsidP="00757DC5">
      <w:pPr>
        <w:pStyle w:val="ListParagraph"/>
        <w:numPr>
          <w:ilvl w:val="0"/>
          <w:numId w:val="10"/>
        </w:numPr>
        <w:rPr>
          <w:rFonts w:eastAsia="Times New Roman"/>
        </w:rPr>
      </w:pPr>
      <w:r w:rsidRPr="00757DC5">
        <w:rPr>
          <w:rFonts w:eastAsia="Times New Roman"/>
        </w:rPr>
        <w:t xml:space="preserve">Cheng AC, Holmes M, Dwyer DE, Senanayake S, Cooley L, Irving LB et al. Influenza epidemiology in patients admitted to sentinel Australian hospitals in 2018: </w:t>
      </w:r>
      <w:proofErr w:type="gramStart"/>
      <w:r w:rsidRPr="00757DC5">
        <w:rPr>
          <w:rFonts w:eastAsia="Times New Roman"/>
        </w:rPr>
        <w:t>the</w:t>
      </w:r>
      <w:proofErr w:type="gramEnd"/>
      <w:r w:rsidRPr="00757DC5">
        <w:rPr>
          <w:rFonts w:eastAsia="Times New Roman"/>
        </w:rPr>
        <w:t xml:space="preserve"> Influenza Complications Alert Network (FluCAN). </w:t>
      </w:r>
      <w:proofErr w:type="spellStart"/>
      <w:r w:rsidRPr="00687487">
        <w:rPr>
          <w:rStyle w:val="Emphasis"/>
          <w:rFonts w:eastAsia="Times New Roman"/>
          <w:b w:val="0"/>
          <w:bCs w:val="0"/>
        </w:rPr>
        <w:t>Commun</w:t>
      </w:r>
      <w:proofErr w:type="spellEnd"/>
      <w:r w:rsidRPr="00687487">
        <w:rPr>
          <w:rStyle w:val="Emphasis"/>
          <w:rFonts w:eastAsia="Times New Roman"/>
          <w:b w:val="0"/>
          <w:bCs w:val="0"/>
        </w:rPr>
        <w:t xml:space="preserve"> Dis </w:t>
      </w:r>
      <w:proofErr w:type="spellStart"/>
      <w:r w:rsidRPr="00687487">
        <w:rPr>
          <w:rStyle w:val="Emphasis"/>
          <w:rFonts w:eastAsia="Times New Roman"/>
          <w:b w:val="0"/>
          <w:bCs w:val="0"/>
        </w:rPr>
        <w:t>Intell</w:t>
      </w:r>
      <w:proofErr w:type="spellEnd"/>
      <w:r w:rsidRPr="00687487">
        <w:rPr>
          <w:rStyle w:val="Emphasis"/>
          <w:rFonts w:eastAsia="Times New Roman"/>
          <w:b w:val="0"/>
          <w:bCs w:val="0"/>
        </w:rPr>
        <w:t xml:space="preserve"> (2018)</w:t>
      </w:r>
      <w:r w:rsidRPr="00757DC5">
        <w:rPr>
          <w:rFonts w:eastAsia="Times New Roman"/>
        </w:rPr>
        <w:t xml:space="preserve">. 2019;43. </w:t>
      </w:r>
      <w:proofErr w:type="spellStart"/>
      <w:r w:rsidRPr="00757DC5">
        <w:rPr>
          <w:rFonts w:eastAsia="Times New Roman"/>
        </w:rPr>
        <w:t>doi</w:t>
      </w:r>
      <w:proofErr w:type="spellEnd"/>
      <w:r w:rsidRPr="00757DC5">
        <w:rPr>
          <w:rFonts w:eastAsia="Times New Roman"/>
        </w:rPr>
        <w:t xml:space="preserve">: https://doi.org/10.33321/cdi.2019.43.48. </w:t>
      </w:r>
    </w:p>
    <w:p w14:paraId="5D190888" w14:textId="77777777" w:rsidR="000A1D58" w:rsidRPr="00757DC5" w:rsidRDefault="000A1D58" w:rsidP="00757DC5">
      <w:pPr>
        <w:pStyle w:val="ListParagraph"/>
        <w:numPr>
          <w:ilvl w:val="0"/>
          <w:numId w:val="10"/>
        </w:numPr>
        <w:rPr>
          <w:rFonts w:eastAsia="Times New Roman"/>
        </w:rPr>
      </w:pPr>
      <w:r w:rsidRPr="00757DC5">
        <w:rPr>
          <w:rFonts w:eastAsia="Times New Roman"/>
        </w:rPr>
        <w:t xml:space="preserve">Cheng AC, Holmes M, Dwyer DE, Senanayake S, Cooley L, Irving LB et al. Influenza epidemiology in patients admitted to sentinel Australian hospitals in 2017: </w:t>
      </w:r>
      <w:proofErr w:type="gramStart"/>
      <w:r w:rsidRPr="00757DC5">
        <w:rPr>
          <w:rFonts w:eastAsia="Times New Roman"/>
        </w:rPr>
        <w:t>the</w:t>
      </w:r>
      <w:proofErr w:type="gramEnd"/>
      <w:r w:rsidRPr="00757DC5">
        <w:rPr>
          <w:rFonts w:eastAsia="Times New Roman"/>
        </w:rPr>
        <w:t xml:space="preserve"> Influenza Complications Alert Network (FluCAN). </w:t>
      </w:r>
      <w:proofErr w:type="spellStart"/>
      <w:r w:rsidRPr="00687487">
        <w:rPr>
          <w:rStyle w:val="Emphasis"/>
          <w:rFonts w:eastAsia="Times New Roman"/>
          <w:b w:val="0"/>
          <w:bCs w:val="0"/>
        </w:rPr>
        <w:t>Commun</w:t>
      </w:r>
      <w:proofErr w:type="spellEnd"/>
      <w:r w:rsidRPr="00687487">
        <w:rPr>
          <w:rStyle w:val="Emphasis"/>
          <w:rFonts w:eastAsia="Times New Roman"/>
          <w:b w:val="0"/>
          <w:bCs w:val="0"/>
        </w:rPr>
        <w:t xml:space="preserve"> Dis </w:t>
      </w:r>
      <w:proofErr w:type="spellStart"/>
      <w:r w:rsidRPr="00687487">
        <w:rPr>
          <w:rStyle w:val="Emphasis"/>
          <w:rFonts w:eastAsia="Times New Roman"/>
          <w:b w:val="0"/>
          <w:bCs w:val="0"/>
        </w:rPr>
        <w:t>Intell</w:t>
      </w:r>
      <w:proofErr w:type="spellEnd"/>
      <w:r w:rsidRPr="00687487">
        <w:rPr>
          <w:rStyle w:val="Emphasis"/>
          <w:rFonts w:eastAsia="Times New Roman"/>
          <w:b w:val="0"/>
          <w:bCs w:val="0"/>
        </w:rPr>
        <w:t xml:space="preserve"> (2018)</w:t>
      </w:r>
      <w:r w:rsidRPr="00757DC5">
        <w:rPr>
          <w:rFonts w:eastAsia="Times New Roman"/>
        </w:rPr>
        <w:t xml:space="preserve">. 2019;43. </w:t>
      </w:r>
      <w:proofErr w:type="spellStart"/>
      <w:r w:rsidRPr="00757DC5">
        <w:rPr>
          <w:rFonts w:eastAsia="Times New Roman"/>
        </w:rPr>
        <w:t>doi</w:t>
      </w:r>
      <w:proofErr w:type="spellEnd"/>
      <w:r w:rsidRPr="00757DC5">
        <w:rPr>
          <w:rFonts w:eastAsia="Times New Roman"/>
        </w:rPr>
        <w:t xml:space="preserve">: https://doi.org/10.33321/cdi.2019.43.39. </w:t>
      </w:r>
    </w:p>
    <w:p w14:paraId="24692FE9" w14:textId="77777777" w:rsidR="000A1D58" w:rsidRPr="00757DC5" w:rsidRDefault="000A1D58" w:rsidP="00757DC5">
      <w:pPr>
        <w:pStyle w:val="ListParagraph"/>
        <w:numPr>
          <w:ilvl w:val="0"/>
          <w:numId w:val="10"/>
        </w:numPr>
        <w:rPr>
          <w:rFonts w:eastAsia="Times New Roman"/>
        </w:rPr>
      </w:pPr>
      <w:r w:rsidRPr="00757DC5">
        <w:rPr>
          <w:rFonts w:eastAsia="Times New Roman"/>
        </w:rPr>
        <w:t xml:space="preserve">Australian Institute of Health and Welfare (AIHW). </w:t>
      </w:r>
      <w:r w:rsidRPr="00687487">
        <w:rPr>
          <w:rStyle w:val="Emphasis"/>
          <w:rFonts w:eastAsia="Times New Roman"/>
          <w:b w:val="0"/>
          <w:bCs w:val="0"/>
        </w:rPr>
        <w:t>Hospital resources 2016–17: Australian hospital statistics</w:t>
      </w:r>
      <w:r w:rsidRPr="00757DC5">
        <w:rPr>
          <w:rFonts w:eastAsia="Times New Roman"/>
        </w:rPr>
        <w:t xml:space="preserve">. Canberra: Australian Government, AIHW; 27 June 2018. Available from: https://www.aihw.gov.au/reports/hospitals/ahs-2016-17-hospital-resources/contents/table-of-contents. </w:t>
      </w:r>
    </w:p>
    <w:p w14:paraId="725FC3B3" w14:textId="77777777" w:rsidR="000A1D58" w:rsidRPr="00757DC5" w:rsidRDefault="000A1D58" w:rsidP="00757DC5">
      <w:pPr>
        <w:pStyle w:val="ListParagraph"/>
        <w:numPr>
          <w:ilvl w:val="0"/>
          <w:numId w:val="10"/>
        </w:numPr>
        <w:rPr>
          <w:rFonts w:eastAsia="Times New Roman"/>
        </w:rPr>
      </w:pPr>
      <w:proofErr w:type="spellStart"/>
      <w:r w:rsidRPr="00757DC5">
        <w:rPr>
          <w:rFonts w:eastAsia="Times New Roman"/>
        </w:rPr>
        <w:t>Oken</w:t>
      </w:r>
      <w:proofErr w:type="spellEnd"/>
      <w:r w:rsidRPr="00757DC5">
        <w:rPr>
          <w:rFonts w:eastAsia="Times New Roman"/>
        </w:rPr>
        <w:t xml:space="preserve"> MM, Creech RH, </w:t>
      </w:r>
      <w:proofErr w:type="spellStart"/>
      <w:r w:rsidRPr="00757DC5">
        <w:rPr>
          <w:rFonts w:eastAsia="Times New Roman"/>
        </w:rPr>
        <w:t>Tormey</w:t>
      </w:r>
      <w:proofErr w:type="spellEnd"/>
      <w:r w:rsidRPr="00757DC5">
        <w:rPr>
          <w:rFonts w:eastAsia="Times New Roman"/>
        </w:rPr>
        <w:t xml:space="preserve"> DC, Horton J, Davis TE, McFadden ET </w:t>
      </w:r>
      <w:proofErr w:type="spellStart"/>
      <w:r w:rsidRPr="00757DC5">
        <w:rPr>
          <w:rFonts w:eastAsia="Times New Roman"/>
        </w:rPr>
        <w:t>et</w:t>
      </w:r>
      <w:proofErr w:type="spellEnd"/>
      <w:r w:rsidRPr="00757DC5">
        <w:rPr>
          <w:rFonts w:eastAsia="Times New Roman"/>
        </w:rPr>
        <w:t xml:space="preserve"> al. Toxicity and response criteria of the Eastern Cooperative Oncology Group. </w:t>
      </w:r>
      <w:r w:rsidRPr="00687487">
        <w:rPr>
          <w:rStyle w:val="Emphasis"/>
          <w:rFonts w:eastAsia="Times New Roman"/>
          <w:b w:val="0"/>
          <w:bCs w:val="0"/>
        </w:rPr>
        <w:t>Am J Clin Oncol</w:t>
      </w:r>
      <w:r w:rsidRPr="00757DC5">
        <w:rPr>
          <w:rFonts w:eastAsia="Times New Roman"/>
        </w:rPr>
        <w:t xml:space="preserve">. 1982;5(6):649–55. </w:t>
      </w:r>
    </w:p>
    <w:p w14:paraId="5EE3A3DC" w14:textId="77777777" w:rsidR="000A1D58" w:rsidRPr="00757DC5" w:rsidRDefault="000A1D58" w:rsidP="00757DC5">
      <w:pPr>
        <w:pStyle w:val="ListParagraph"/>
        <w:numPr>
          <w:ilvl w:val="0"/>
          <w:numId w:val="10"/>
        </w:numPr>
        <w:rPr>
          <w:rFonts w:eastAsia="Times New Roman"/>
        </w:rPr>
      </w:pPr>
      <w:r w:rsidRPr="00757DC5">
        <w:rPr>
          <w:rFonts w:eastAsia="Times New Roman"/>
        </w:rPr>
        <w:t xml:space="preserve">Sullivan SG, Arriola CS, </w:t>
      </w:r>
      <w:proofErr w:type="spellStart"/>
      <w:r w:rsidRPr="00757DC5">
        <w:rPr>
          <w:rFonts w:eastAsia="Times New Roman"/>
        </w:rPr>
        <w:t>Bocacao</w:t>
      </w:r>
      <w:proofErr w:type="spellEnd"/>
      <w:r w:rsidRPr="00757DC5">
        <w:rPr>
          <w:rFonts w:eastAsia="Times New Roman"/>
        </w:rPr>
        <w:t xml:space="preserve"> J, Burgos P, Bustos P, Carville KS et al. Heterogeneity in influenza seasonality and vaccine effectiveness in Australia, Chile, New </w:t>
      </w:r>
      <w:proofErr w:type="gramStart"/>
      <w:r w:rsidRPr="00757DC5">
        <w:rPr>
          <w:rFonts w:eastAsia="Times New Roman"/>
        </w:rPr>
        <w:t>Zealand</w:t>
      </w:r>
      <w:proofErr w:type="gramEnd"/>
      <w:r w:rsidRPr="00757DC5">
        <w:rPr>
          <w:rFonts w:eastAsia="Times New Roman"/>
        </w:rPr>
        <w:t xml:space="preserve"> and South Africa: early estimates of the 2019 influenza season. </w:t>
      </w:r>
      <w:r w:rsidRPr="00687487">
        <w:rPr>
          <w:rStyle w:val="Emphasis"/>
          <w:rFonts w:eastAsia="Times New Roman"/>
          <w:b w:val="0"/>
          <w:bCs w:val="0"/>
        </w:rPr>
        <w:t xml:space="preserve">Euro </w:t>
      </w:r>
      <w:proofErr w:type="spellStart"/>
      <w:r w:rsidRPr="00687487">
        <w:rPr>
          <w:rStyle w:val="Emphasis"/>
          <w:rFonts w:eastAsia="Times New Roman"/>
          <w:b w:val="0"/>
          <w:bCs w:val="0"/>
        </w:rPr>
        <w:t>Surveill</w:t>
      </w:r>
      <w:proofErr w:type="spellEnd"/>
      <w:r w:rsidRPr="00757DC5">
        <w:rPr>
          <w:rFonts w:eastAsia="Times New Roman"/>
        </w:rPr>
        <w:t xml:space="preserve">. 2019;24(45). </w:t>
      </w:r>
      <w:proofErr w:type="spellStart"/>
      <w:r w:rsidRPr="00757DC5">
        <w:rPr>
          <w:rFonts w:eastAsia="Times New Roman"/>
        </w:rPr>
        <w:t>doi</w:t>
      </w:r>
      <w:proofErr w:type="spellEnd"/>
      <w:r w:rsidRPr="00757DC5">
        <w:rPr>
          <w:rFonts w:eastAsia="Times New Roman"/>
        </w:rPr>
        <w:t xml:space="preserve">: https://doi.org/10.2807/1560-7917.ES.2019.24.45.1900645. </w:t>
      </w:r>
    </w:p>
    <w:p w14:paraId="5E12163F" w14:textId="77777777" w:rsidR="000A1D58" w:rsidRPr="00757DC5" w:rsidRDefault="000A1D58" w:rsidP="00757DC5">
      <w:pPr>
        <w:pStyle w:val="ListParagraph"/>
        <w:numPr>
          <w:ilvl w:val="0"/>
          <w:numId w:val="10"/>
        </w:numPr>
        <w:rPr>
          <w:rFonts w:eastAsia="Times New Roman"/>
        </w:rPr>
      </w:pPr>
      <w:proofErr w:type="spellStart"/>
      <w:r w:rsidRPr="00757DC5">
        <w:rPr>
          <w:rFonts w:eastAsia="Times New Roman"/>
        </w:rPr>
        <w:t>Sheppeard</w:t>
      </w:r>
      <w:proofErr w:type="spellEnd"/>
      <w:r w:rsidRPr="00757DC5">
        <w:rPr>
          <w:rFonts w:eastAsia="Times New Roman"/>
        </w:rPr>
        <w:t xml:space="preserve"> V, Gilmour R, Tobin S. Record number of influenza tests in 2019, not a “mutant flu crisis”. </w:t>
      </w:r>
      <w:r w:rsidRPr="00687487">
        <w:rPr>
          <w:rStyle w:val="Emphasis"/>
          <w:rFonts w:eastAsia="Times New Roman"/>
          <w:b w:val="0"/>
          <w:bCs w:val="0"/>
        </w:rPr>
        <w:t>Med J Aust</w:t>
      </w:r>
      <w:r w:rsidRPr="00757DC5">
        <w:rPr>
          <w:rFonts w:eastAsia="Times New Roman"/>
        </w:rPr>
        <w:t xml:space="preserve">. 2019;211(7). </w:t>
      </w:r>
      <w:proofErr w:type="spellStart"/>
      <w:r w:rsidRPr="00757DC5">
        <w:rPr>
          <w:rFonts w:eastAsia="Times New Roman"/>
        </w:rPr>
        <w:t>doi</w:t>
      </w:r>
      <w:proofErr w:type="spellEnd"/>
      <w:r w:rsidRPr="00757DC5">
        <w:rPr>
          <w:rFonts w:eastAsia="Times New Roman"/>
        </w:rPr>
        <w:t xml:space="preserve">: https://doi.org/10.5694/mja2.50321. </w:t>
      </w:r>
    </w:p>
    <w:p w14:paraId="76EC5B3B" w14:textId="77777777" w:rsidR="000A1D58" w:rsidRPr="00757DC5" w:rsidRDefault="000A1D58" w:rsidP="00757DC5">
      <w:pPr>
        <w:pStyle w:val="ListParagraph"/>
        <w:numPr>
          <w:ilvl w:val="0"/>
          <w:numId w:val="10"/>
        </w:numPr>
        <w:rPr>
          <w:rFonts w:eastAsia="Times New Roman"/>
        </w:rPr>
      </w:pPr>
      <w:r w:rsidRPr="00757DC5">
        <w:rPr>
          <w:rFonts w:eastAsia="Times New Roman"/>
        </w:rPr>
        <w:t xml:space="preserve">Sheridan SL, Patel C, Macartney K, Cheng AC. New enhanced influenza vaccines for older Australians: what promise do they hold? </w:t>
      </w:r>
      <w:r w:rsidRPr="00687487">
        <w:rPr>
          <w:rStyle w:val="Emphasis"/>
          <w:rFonts w:eastAsia="Times New Roman"/>
          <w:b w:val="0"/>
          <w:bCs w:val="0"/>
        </w:rPr>
        <w:t>Med J Aust</w:t>
      </w:r>
      <w:r w:rsidRPr="00757DC5">
        <w:rPr>
          <w:rFonts w:eastAsia="Times New Roman"/>
        </w:rPr>
        <w:t xml:space="preserve">. 2018;209(3):110–2. </w:t>
      </w:r>
    </w:p>
    <w:p w14:paraId="6474D94C" w14:textId="77777777" w:rsidR="000A1D58" w:rsidRPr="00757DC5" w:rsidRDefault="000A1D58" w:rsidP="00757DC5">
      <w:pPr>
        <w:pStyle w:val="ListParagraph"/>
        <w:numPr>
          <w:ilvl w:val="0"/>
          <w:numId w:val="10"/>
        </w:numPr>
        <w:rPr>
          <w:rFonts w:eastAsia="Times New Roman"/>
        </w:rPr>
      </w:pPr>
      <w:r w:rsidRPr="00757DC5">
        <w:rPr>
          <w:rFonts w:eastAsia="Times New Roman"/>
        </w:rPr>
        <w:t xml:space="preserve">Britton PN, Blyth CC, Macartney K, Dale RC, Li-Kim-Moy J, Khandaker G et al. The spectrum and burden of influenza-associated neurological disease in children: combined encephalitis and influenza sentinel site surveillance from Australia, 2013–2015. </w:t>
      </w:r>
      <w:r w:rsidRPr="00687487">
        <w:rPr>
          <w:rStyle w:val="Emphasis"/>
          <w:rFonts w:eastAsia="Times New Roman"/>
          <w:b w:val="0"/>
          <w:bCs w:val="0"/>
        </w:rPr>
        <w:t>Clin Infect Dis</w:t>
      </w:r>
      <w:r w:rsidRPr="00757DC5">
        <w:rPr>
          <w:rFonts w:eastAsia="Times New Roman"/>
        </w:rPr>
        <w:t xml:space="preserve">. 2017;65(4):653–60. </w:t>
      </w:r>
    </w:p>
    <w:p w14:paraId="71C123FB" w14:textId="77777777" w:rsidR="000A1D58" w:rsidRPr="00757DC5" w:rsidRDefault="000A1D58" w:rsidP="00757DC5">
      <w:pPr>
        <w:pStyle w:val="ListParagraph"/>
        <w:numPr>
          <w:ilvl w:val="0"/>
          <w:numId w:val="10"/>
        </w:numPr>
        <w:rPr>
          <w:rFonts w:eastAsia="Times New Roman"/>
        </w:rPr>
      </w:pPr>
      <w:r w:rsidRPr="00757DC5">
        <w:rPr>
          <w:rFonts w:eastAsia="Times New Roman"/>
        </w:rPr>
        <w:t xml:space="preserve">National Centre for Immunisation Research and Surveillance (NCIRS). </w:t>
      </w:r>
      <w:r w:rsidRPr="00687487">
        <w:rPr>
          <w:rStyle w:val="Emphasis"/>
          <w:rFonts w:eastAsia="Times New Roman"/>
          <w:b w:val="0"/>
          <w:bCs w:val="0"/>
        </w:rPr>
        <w:t>Annual Immunisation Coverage Report 2018</w:t>
      </w:r>
      <w:r w:rsidRPr="00757DC5">
        <w:rPr>
          <w:rFonts w:eastAsia="Times New Roman"/>
        </w:rPr>
        <w:t xml:space="preserve">. Sydney: NCIRS; November 2019. Available from: https://www.ncirs.org.au/sites/default/files/2019-11/NCIRS%20Annual%20Immunisation%20Coverage%20Report%202018.pdf. </w:t>
      </w:r>
    </w:p>
    <w:p w14:paraId="198E3931" w14:textId="77777777" w:rsidR="000A1D58" w:rsidRPr="00757DC5" w:rsidRDefault="000A1D58" w:rsidP="00757DC5">
      <w:pPr>
        <w:pStyle w:val="ListParagraph"/>
        <w:numPr>
          <w:ilvl w:val="0"/>
          <w:numId w:val="10"/>
        </w:numPr>
        <w:rPr>
          <w:rFonts w:eastAsia="Times New Roman"/>
        </w:rPr>
      </w:pPr>
      <w:r w:rsidRPr="00757DC5">
        <w:rPr>
          <w:rFonts w:eastAsia="Times New Roman"/>
        </w:rPr>
        <w:t xml:space="preserve">NCIRS. </w:t>
      </w:r>
      <w:r w:rsidRPr="00687487">
        <w:rPr>
          <w:rStyle w:val="Emphasis"/>
          <w:rFonts w:eastAsia="Times New Roman"/>
          <w:b w:val="0"/>
          <w:bCs w:val="0"/>
        </w:rPr>
        <w:t>Exploratory analysis of the ﬁrst 2 years of adult vaccination data recorded on AIR</w:t>
      </w:r>
      <w:r w:rsidRPr="00757DC5">
        <w:rPr>
          <w:rFonts w:eastAsia="Times New Roman"/>
        </w:rPr>
        <w:t xml:space="preserve">. Sydney: NCIRS; 6 December 2019. Available from: https://www.ncirs.org.au/new-ncirs-report-exploratory-analysis-first-2-years-adult-vaccination-data-recorded-air. </w:t>
      </w:r>
    </w:p>
    <w:p w14:paraId="0034BA96" w14:textId="77777777" w:rsidR="000A1D58" w:rsidRPr="00757DC5" w:rsidRDefault="000A1D58" w:rsidP="00757DC5">
      <w:pPr>
        <w:pStyle w:val="ListParagraph"/>
        <w:numPr>
          <w:ilvl w:val="0"/>
          <w:numId w:val="10"/>
        </w:numPr>
        <w:rPr>
          <w:rFonts w:eastAsia="Times New Roman"/>
        </w:rPr>
      </w:pPr>
      <w:proofErr w:type="spellStart"/>
      <w:r w:rsidRPr="00757DC5">
        <w:rPr>
          <w:rFonts w:eastAsia="Times New Roman"/>
        </w:rPr>
        <w:t>Dyda</w:t>
      </w:r>
      <w:proofErr w:type="spellEnd"/>
      <w:r w:rsidRPr="00757DC5">
        <w:rPr>
          <w:rFonts w:eastAsia="Times New Roman"/>
        </w:rPr>
        <w:t xml:space="preserve"> A, Karki S, </w:t>
      </w:r>
      <w:proofErr w:type="spellStart"/>
      <w:r w:rsidRPr="00757DC5">
        <w:rPr>
          <w:rFonts w:eastAsia="Times New Roman"/>
        </w:rPr>
        <w:t>Hayen</w:t>
      </w:r>
      <w:proofErr w:type="spellEnd"/>
      <w:r w:rsidRPr="00757DC5">
        <w:rPr>
          <w:rFonts w:eastAsia="Times New Roman"/>
        </w:rPr>
        <w:t xml:space="preserve"> A, </w:t>
      </w:r>
      <w:proofErr w:type="spellStart"/>
      <w:r w:rsidRPr="00757DC5">
        <w:rPr>
          <w:rFonts w:eastAsia="Times New Roman"/>
        </w:rPr>
        <w:t>MacIntyre</w:t>
      </w:r>
      <w:proofErr w:type="spellEnd"/>
      <w:r w:rsidRPr="00757DC5">
        <w:rPr>
          <w:rFonts w:eastAsia="Times New Roman"/>
        </w:rPr>
        <w:t xml:space="preserve"> CR, Menzies R, Banks E et al. Influenza and pneumococcal vaccination in Australian adults: a systematic review of coverage and factors associated with uptake. </w:t>
      </w:r>
      <w:r w:rsidRPr="00687487">
        <w:rPr>
          <w:rStyle w:val="Emphasis"/>
          <w:rFonts w:eastAsia="Times New Roman"/>
          <w:b w:val="0"/>
          <w:bCs w:val="0"/>
        </w:rPr>
        <w:t>BMC Infect Dis</w:t>
      </w:r>
      <w:r w:rsidRPr="00757DC5">
        <w:rPr>
          <w:rFonts w:eastAsia="Times New Roman"/>
        </w:rPr>
        <w:t xml:space="preserve">. 2016;16(1). </w:t>
      </w:r>
      <w:proofErr w:type="spellStart"/>
      <w:r w:rsidRPr="00757DC5">
        <w:rPr>
          <w:rFonts w:eastAsia="Times New Roman"/>
        </w:rPr>
        <w:t>doi</w:t>
      </w:r>
      <w:proofErr w:type="spellEnd"/>
      <w:r w:rsidRPr="00757DC5">
        <w:rPr>
          <w:rFonts w:eastAsia="Times New Roman"/>
        </w:rPr>
        <w:t xml:space="preserve">: https://doi.org/10.1186/s12879-016-1820-8. </w:t>
      </w:r>
    </w:p>
    <w:p w14:paraId="01E6BF4C" w14:textId="77777777" w:rsidR="000A1D58" w:rsidRPr="00757DC5" w:rsidRDefault="000A1D58" w:rsidP="00757DC5">
      <w:pPr>
        <w:pStyle w:val="ListParagraph"/>
        <w:numPr>
          <w:ilvl w:val="0"/>
          <w:numId w:val="10"/>
        </w:numPr>
        <w:rPr>
          <w:rFonts w:eastAsia="Times New Roman"/>
        </w:rPr>
      </w:pPr>
      <w:r w:rsidRPr="00757DC5">
        <w:rPr>
          <w:rFonts w:eastAsia="Times New Roman"/>
        </w:rPr>
        <w:lastRenderedPageBreak/>
        <w:t xml:space="preserve">Hunt G. Record numbers of Australians getting vaccinated against the flu. [Internet.] Canberra: Greg Hunt, Federal Member for Flinders / Minister for Health and Aged Care; 29 May 2019. Available from: https://www.greghunt.com.au/record-numbers-of-australians-getting-vaccinated-against-the-flu/. </w:t>
      </w:r>
    </w:p>
    <w:p w14:paraId="0C457FEF" w14:textId="77777777" w:rsidR="000A1D58" w:rsidRPr="00757DC5" w:rsidRDefault="000A1D58" w:rsidP="00757DC5">
      <w:pPr>
        <w:pStyle w:val="ListParagraph"/>
        <w:numPr>
          <w:ilvl w:val="0"/>
          <w:numId w:val="10"/>
        </w:numPr>
        <w:rPr>
          <w:rFonts w:eastAsia="Times New Roman"/>
        </w:rPr>
      </w:pPr>
      <w:r w:rsidRPr="00757DC5">
        <w:rPr>
          <w:rFonts w:eastAsia="Times New Roman"/>
        </w:rPr>
        <w:t xml:space="preserve">Doyle JD, Chung JR, Kim SS, </w:t>
      </w:r>
      <w:proofErr w:type="spellStart"/>
      <w:r w:rsidRPr="00757DC5">
        <w:rPr>
          <w:rFonts w:eastAsia="Times New Roman"/>
        </w:rPr>
        <w:t>Gaglani</w:t>
      </w:r>
      <w:proofErr w:type="spellEnd"/>
      <w:r w:rsidRPr="00757DC5">
        <w:rPr>
          <w:rFonts w:eastAsia="Times New Roman"/>
        </w:rPr>
        <w:t xml:space="preserve"> M, </w:t>
      </w:r>
      <w:proofErr w:type="spellStart"/>
      <w:r w:rsidRPr="00757DC5">
        <w:rPr>
          <w:rFonts w:eastAsia="Times New Roman"/>
        </w:rPr>
        <w:t>Raiyani</w:t>
      </w:r>
      <w:proofErr w:type="spellEnd"/>
      <w:r w:rsidRPr="00757DC5">
        <w:rPr>
          <w:rFonts w:eastAsia="Times New Roman"/>
        </w:rPr>
        <w:t xml:space="preserve"> C, Zimmerman RK et al. Interim estimates of 2018–19 seasonal influenza vaccine effectiveness — United States, February 2019. </w:t>
      </w:r>
      <w:r w:rsidRPr="00687487">
        <w:rPr>
          <w:rStyle w:val="Emphasis"/>
          <w:rFonts w:eastAsia="Times New Roman"/>
          <w:b w:val="0"/>
          <w:bCs w:val="0"/>
        </w:rPr>
        <w:t xml:space="preserve">MMWR </w:t>
      </w:r>
      <w:proofErr w:type="spellStart"/>
      <w:r w:rsidRPr="00687487">
        <w:rPr>
          <w:rStyle w:val="Emphasis"/>
          <w:rFonts w:eastAsia="Times New Roman"/>
          <w:b w:val="0"/>
          <w:bCs w:val="0"/>
        </w:rPr>
        <w:t>Morb</w:t>
      </w:r>
      <w:proofErr w:type="spellEnd"/>
      <w:r w:rsidRPr="00687487">
        <w:rPr>
          <w:rStyle w:val="Emphasis"/>
          <w:rFonts w:eastAsia="Times New Roman"/>
          <w:b w:val="0"/>
          <w:bCs w:val="0"/>
        </w:rPr>
        <w:t xml:space="preserve"> Mortal </w:t>
      </w:r>
      <w:proofErr w:type="spellStart"/>
      <w:r w:rsidRPr="00687487">
        <w:rPr>
          <w:rStyle w:val="Emphasis"/>
          <w:rFonts w:eastAsia="Times New Roman"/>
          <w:b w:val="0"/>
          <w:bCs w:val="0"/>
        </w:rPr>
        <w:t>Wkly</w:t>
      </w:r>
      <w:proofErr w:type="spellEnd"/>
      <w:r w:rsidRPr="00687487">
        <w:rPr>
          <w:rStyle w:val="Emphasis"/>
          <w:rFonts w:eastAsia="Times New Roman"/>
          <w:b w:val="0"/>
          <w:bCs w:val="0"/>
        </w:rPr>
        <w:t xml:space="preserve"> Rep</w:t>
      </w:r>
      <w:r w:rsidRPr="00757DC5">
        <w:rPr>
          <w:rFonts w:eastAsia="Times New Roman"/>
        </w:rPr>
        <w:t xml:space="preserve">. 2019;68(6):135–9. </w:t>
      </w:r>
    </w:p>
    <w:p w14:paraId="6149B3F3" w14:textId="77777777" w:rsidR="000A1D58" w:rsidRPr="00757DC5" w:rsidRDefault="000A1D58" w:rsidP="00757DC5">
      <w:pPr>
        <w:pStyle w:val="ListParagraph"/>
        <w:numPr>
          <w:ilvl w:val="0"/>
          <w:numId w:val="10"/>
        </w:numPr>
        <w:rPr>
          <w:rFonts w:eastAsia="Times New Roman"/>
        </w:rPr>
      </w:pPr>
      <w:r w:rsidRPr="00757DC5">
        <w:rPr>
          <w:rFonts w:eastAsia="Times New Roman"/>
        </w:rPr>
        <w:t xml:space="preserve">Kissling E, Rose A, </w:t>
      </w:r>
      <w:proofErr w:type="spellStart"/>
      <w:r w:rsidRPr="00757DC5">
        <w:rPr>
          <w:rFonts w:eastAsia="Times New Roman"/>
        </w:rPr>
        <w:t>Emborg</w:t>
      </w:r>
      <w:proofErr w:type="spellEnd"/>
      <w:r w:rsidRPr="00757DC5">
        <w:rPr>
          <w:rFonts w:eastAsia="Times New Roman"/>
        </w:rPr>
        <w:t xml:space="preserve"> HD, </w:t>
      </w:r>
      <w:proofErr w:type="spellStart"/>
      <w:r w:rsidRPr="00757DC5">
        <w:rPr>
          <w:rFonts w:eastAsia="Times New Roman"/>
        </w:rPr>
        <w:t>Gherasim</w:t>
      </w:r>
      <w:proofErr w:type="spellEnd"/>
      <w:r w:rsidRPr="00757DC5">
        <w:rPr>
          <w:rFonts w:eastAsia="Times New Roman"/>
        </w:rPr>
        <w:t xml:space="preserve"> A, </w:t>
      </w:r>
      <w:proofErr w:type="spellStart"/>
      <w:r w:rsidRPr="00757DC5">
        <w:rPr>
          <w:rFonts w:eastAsia="Times New Roman"/>
        </w:rPr>
        <w:t>Pebody</w:t>
      </w:r>
      <w:proofErr w:type="spellEnd"/>
      <w:r w:rsidRPr="00757DC5">
        <w:rPr>
          <w:rFonts w:eastAsia="Times New Roman"/>
        </w:rPr>
        <w:t xml:space="preserve"> R, </w:t>
      </w:r>
      <w:proofErr w:type="spellStart"/>
      <w:r w:rsidRPr="00757DC5">
        <w:rPr>
          <w:rFonts w:eastAsia="Times New Roman"/>
        </w:rPr>
        <w:t>Pozo</w:t>
      </w:r>
      <w:proofErr w:type="spellEnd"/>
      <w:r w:rsidRPr="00757DC5">
        <w:rPr>
          <w:rFonts w:eastAsia="Times New Roman"/>
        </w:rPr>
        <w:t xml:space="preserve"> F et al. Interim 2018/19 influenza vaccine effectiveness: six European studies, October 2018 to January 2019. </w:t>
      </w:r>
      <w:r w:rsidRPr="00687487">
        <w:rPr>
          <w:rStyle w:val="Emphasis"/>
          <w:rFonts w:eastAsia="Times New Roman"/>
          <w:b w:val="0"/>
          <w:bCs w:val="0"/>
        </w:rPr>
        <w:t xml:space="preserve">Euro </w:t>
      </w:r>
      <w:proofErr w:type="spellStart"/>
      <w:r w:rsidRPr="00687487">
        <w:rPr>
          <w:rStyle w:val="Emphasis"/>
          <w:rFonts w:eastAsia="Times New Roman"/>
          <w:b w:val="0"/>
          <w:bCs w:val="0"/>
        </w:rPr>
        <w:t>Surveill</w:t>
      </w:r>
      <w:proofErr w:type="spellEnd"/>
      <w:r w:rsidRPr="00757DC5">
        <w:rPr>
          <w:rFonts w:eastAsia="Times New Roman"/>
        </w:rPr>
        <w:t xml:space="preserve">. 2019;24(8). </w:t>
      </w:r>
      <w:proofErr w:type="spellStart"/>
      <w:r w:rsidRPr="00757DC5">
        <w:rPr>
          <w:rFonts w:eastAsia="Times New Roman"/>
        </w:rPr>
        <w:t>doi</w:t>
      </w:r>
      <w:proofErr w:type="spellEnd"/>
      <w:r w:rsidRPr="00757DC5">
        <w:rPr>
          <w:rFonts w:eastAsia="Times New Roman"/>
        </w:rPr>
        <w:t xml:space="preserve">: https://doi.org/10.2807/1560-7917.ES.2019.24.1900121. </w:t>
      </w:r>
    </w:p>
    <w:p w14:paraId="63895DCF" w14:textId="77777777" w:rsidR="000A1D58" w:rsidRPr="00757DC5" w:rsidRDefault="000A1D58" w:rsidP="00757DC5">
      <w:pPr>
        <w:pStyle w:val="ListParagraph"/>
        <w:numPr>
          <w:ilvl w:val="0"/>
          <w:numId w:val="10"/>
        </w:numPr>
        <w:rPr>
          <w:rFonts w:eastAsia="Times New Roman"/>
        </w:rPr>
      </w:pPr>
      <w:proofErr w:type="spellStart"/>
      <w:r w:rsidRPr="00757DC5">
        <w:rPr>
          <w:rFonts w:eastAsia="Times New Roman"/>
        </w:rPr>
        <w:t>Skowronski</w:t>
      </w:r>
      <w:proofErr w:type="spellEnd"/>
      <w:r w:rsidRPr="00757DC5">
        <w:rPr>
          <w:rFonts w:eastAsia="Times New Roman"/>
        </w:rPr>
        <w:t xml:space="preserve"> DM, Leir S, </w:t>
      </w:r>
      <w:proofErr w:type="spellStart"/>
      <w:r w:rsidRPr="00757DC5">
        <w:rPr>
          <w:rFonts w:eastAsia="Times New Roman"/>
        </w:rPr>
        <w:t>Sabaiduc</w:t>
      </w:r>
      <w:proofErr w:type="spellEnd"/>
      <w:r w:rsidRPr="00757DC5">
        <w:rPr>
          <w:rFonts w:eastAsia="Times New Roman"/>
        </w:rPr>
        <w:t xml:space="preserve"> S, Murti M, Dickinson JA, </w:t>
      </w:r>
      <w:proofErr w:type="spellStart"/>
      <w:r w:rsidRPr="00757DC5">
        <w:rPr>
          <w:rFonts w:eastAsia="Times New Roman"/>
        </w:rPr>
        <w:t>Olsha</w:t>
      </w:r>
      <w:proofErr w:type="spellEnd"/>
      <w:r w:rsidRPr="00757DC5">
        <w:rPr>
          <w:rFonts w:eastAsia="Times New Roman"/>
        </w:rPr>
        <w:t xml:space="preserve"> R et al. Interim estimates of 2018/19 vaccine effectiveness against influenza A(H1N</w:t>
      </w:r>
      <w:proofErr w:type="gramStart"/>
      <w:r w:rsidRPr="00757DC5">
        <w:rPr>
          <w:rFonts w:eastAsia="Times New Roman"/>
        </w:rPr>
        <w:t>1)pdm</w:t>
      </w:r>
      <w:proofErr w:type="gramEnd"/>
      <w:r w:rsidRPr="00757DC5">
        <w:rPr>
          <w:rFonts w:eastAsia="Times New Roman"/>
        </w:rPr>
        <w:t xml:space="preserve">09, Canada, January 2019. </w:t>
      </w:r>
      <w:r w:rsidRPr="00687487">
        <w:rPr>
          <w:rStyle w:val="Emphasis"/>
          <w:rFonts w:eastAsia="Times New Roman"/>
          <w:b w:val="0"/>
          <w:bCs w:val="0"/>
        </w:rPr>
        <w:t xml:space="preserve">Euro </w:t>
      </w:r>
      <w:proofErr w:type="spellStart"/>
      <w:r w:rsidRPr="00687487">
        <w:rPr>
          <w:rStyle w:val="Emphasis"/>
          <w:rFonts w:eastAsia="Times New Roman"/>
          <w:b w:val="0"/>
          <w:bCs w:val="0"/>
        </w:rPr>
        <w:t>Surveill</w:t>
      </w:r>
      <w:proofErr w:type="spellEnd"/>
      <w:r w:rsidRPr="00757DC5">
        <w:rPr>
          <w:rFonts w:eastAsia="Times New Roman"/>
        </w:rPr>
        <w:t xml:space="preserve">. 2019;24(4). </w:t>
      </w:r>
      <w:proofErr w:type="spellStart"/>
      <w:r w:rsidRPr="00757DC5">
        <w:rPr>
          <w:rFonts w:eastAsia="Times New Roman"/>
        </w:rPr>
        <w:t>doi</w:t>
      </w:r>
      <w:proofErr w:type="spellEnd"/>
      <w:r w:rsidRPr="00757DC5">
        <w:rPr>
          <w:rFonts w:eastAsia="Times New Roman"/>
        </w:rPr>
        <w:t xml:space="preserve">: https://doi.org/10.2807/1560-7917.ES.2019.24.4.1900055. </w:t>
      </w:r>
    </w:p>
    <w:p w14:paraId="27E0BF58" w14:textId="77777777" w:rsidR="000A1D58" w:rsidRPr="00757DC5" w:rsidRDefault="000A1D58" w:rsidP="00757DC5">
      <w:pPr>
        <w:pStyle w:val="ListParagraph"/>
        <w:numPr>
          <w:ilvl w:val="0"/>
          <w:numId w:val="10"/>
        </w:numPr>
        <w:rPr>
          <w:rFonts w:eastAsia="Times New Roman"/>
        </w:rPr>
      </w:pPr>
      <w:proofErr w:type="spellStart"/>
      <w:r w:rsidRPr="00757DC5">
        <w:rPr>
          <w:rFonts w:eastAsia="Times New Roman"/>
        </w:rPr>
        <w:t>Kostova</w:t>
      </w:r>
      <w:proofErr w:type="spellEnd"/>
      <w:r w:rsidRPr="00757DC5">
        <w:rPr>
          <w:rFonts w:eastAsia="Times New Roman"/>
        </w:rPr>
        <w:t xml:space="preserve"> D, Reed C, </w:t>
      </w:r>
      <w:proofErr w:type="spellStart"/>
      <w:r w:rsidRPr="00757DC5">
        <w:rPr>
          <w:rFonts w:eastAsia="Times New Roman"/>
        </w:rPr>
        <w:t>Finelli</w:t>
      </w:r>
      <w:proofErr w:type="spellEnd"/>
      <w:r w:rsidRPr="00757DC5">
        <w:rPr>
          <w:rFonts w:eastAsia="Times New Roman"/>
        </w:rPr>
        <w:t xml:space="preserve"> L, Cheng PY, </w:t>
      </w:r>
      <w:proofErr w:type="spellStart"/>
      <w:r w:rsidRPr="00757DC5">
        <w:rPr>
          <w:rFonts w:eastAsia="Times New Roman"/>
        </w:rPr>
        <w:t>Gargiullo</w:t>
      </w:r>
      <w:proofErr w:type="spellEnd"/>
      <w:r w:rsidRPr="00757DC5">
        <w:rPr>
          <w:rFonts w:eastAsia="Times New Roman"/>
        </w:rPr>
        <w:t xml:space="preserve"> PM, Shay DK et al. Influenza illness and hospitalizations averted by influenza vaccination in the United States, 2005–2011. </w:t>
      </w:r>
      <w:proofErr w:type="spellStart"/>
      <w:r w:rsidRPr="00687487">
        <w:rPr>
          <w:rStyle w:val="Emphasis"/>
          <w:rFonts w:eastAsia="Times New Roman"/>
          <w:b w:val="0"/>
          <w:bCs w:val="0"/>
        </w:rPr>
        <w:t>PLoS</w:t>
      </w:r>
      <w:proofErr w:type="spellEnd"/>
      <w:r w:rsidRPr="00687487">
        <w:rPr>
          <w:rStyle w:val="Emphasis"/>
          <w:rFonts w:eastAsia="Times New Roman"/>
          <w:b w:val="0"/>
          <w:bCs w:val="0"/>
        </w:rPr>
        <w:t xml:space="preserve"> One</w:t>
      </w:r>
      <w:r w:rsidRPr="00757DC5">
        <w:rPr>
          <w:rFonts w:eastAsia="Times New Roman"/>
        </w:rPr>
        <w:t xml:space="preserve">. 2013;8(6). </w:t>
      </w:r>
      <w:proofErr w:type="spellStart"/>
      <w:r w:rsidRPr="00757DC5">
        <w:rPr>
          <w:rFonts w:eastAsia="Times New Roman"/>
        </w:rPr>
        <w:t>doi</w:t>
      </w:r>
      <w:proofErr w:type="spellEnd"/>
      <w:r w:rsidRPr="00757DC5">
        <w:rPr>
          <w:rFonts w:eastAsia="Times New Roman"/>
        </w:rPr>
        <w:t xml:space="preserve">: https://doi.org/10.1371/journal.pone.0066312. </w:t>
      </w:r>
    </w:p>
    <w:p w14:paraId="74195115" w14:textId="77777777" w:rsidR="000A1D58" w:rsidRPr="00757DC5" w:rsidRDefault="000A1D58" w:rsidP="00757DC5">
      <w:pPr>
        <w:pStyle w:val="ListParagraph"/>
        <w:numPr>
          <w:ilvl w:val="0"/>
          <w:numId w:val="10"/>
        </w:numPr>
        <w:rPr>
          <w:rFonts w:eastAsia="Times New Roman"/>
        </w:rPr>
      </w:pPr>
      <w:r w:rsidRPr="00757DC5">
        <w:rPr>
          <w:rFonts w:eastAsia="Times New Roman"/>
        </w:rPr>
        <w:t xml:space="preserve">Jackson ML, Phillips CH, Benoit J, Jackson LA, </w:t>
      </w:r>
      <w:proofErr w:type="spellStart"/>
      <w:r w:rsidRPr="00757DC5">
        <w:rPr>
          <w:rFonts w:eastAsia="Times New Roman"/>
        </w:rPr>
        <w:t>Gaglani</w:t>
      </w:r>
      <w:proofErr w:type="spellEnd"/>
      <w:r w:rsidRPr="00757DC5">
        <w:rPr>
          <w:rFonts w:eastAsia="Times New Roman"/>
        </w:rPr>
        <w:t xml:space="preserve"> M, Murthy K et al. Burden of medically attended influenza infection and cases averted by vaccination – United States, 2013/14 through 2015/16 influenza seasons. </w:t>
      </w:r>
      <w:r w:rsidRPr="00687487">
        <w:rPr>
          <w:rStyle w:val="Emphasis"/>
          <w:rFonts w:eastAsia="Times New Roman"/>
          <w:b w:val="0"/>
          <w:bCs w:val="0"/>
        </w:rPr>
        <w:t>Vaccine</w:t>
      </w:r>
      <w:r w:rsidRPr="00757DC5">
        <w:rPr>
          <w:rFonts w:eastAsia="Times New Roman"/>
        </w:rPr>
        <w:t xml:space="preserve">. 2018;36(4):467–72. </w:t>
      </w:r>
    </w:p>
    <w:p w14:paraId="0A4882BA" w14:textId="77777777" w:rsidR="000A1D58" w:rsidRPr="00757DC5" w:rsidRDefault="000A1D58" w:rsidP="00757DC5">
      <w:pPr>
        <w:pStyle w:val="ListParagraph"/>
        <w:numPr>
          <w:ilvl w:val="0"/>
          <w:numId w:val="10"/>
        </w:numPr>
        <w:rPr>
          <w:rFonts w:eastAsia="Times New Roman"/>
        </w:rPr>
      </w:pPr>
      <w:r w:rsidRPr="00757DC5">
        <w:rPr>
          <w:rFonts w:eastAsia="Times New Roman"/>
        </w:rPr>
        <w:t xml:space="preserve">Machado A, </w:t>
      </w:r>
      <w:proofErr w:type="spellStart"/>
      <w:r w:rsidRPr="00757DC5">
        <w:rPr>
          <w:rFonts w:eastAsia="Times New Roman"/>
        </w:rPr>
        <w:t>Mazagatos</w:t>
      </w:r>
      <w:proofErr w:type="spellEnd"/>
      <w:r w:rsidRPr="00757DC5">
        <w:rPr>
          <w:rFonts w:eastAsia="Times New Roman"/>
        </w:rPr>
        <w:t xml:space="preserve"> C, Dijkstra F, </w:t>
      </w:r>
      <w:proofErr w:type="spellStart"/>
      <w:r w:rsidRPr="00757DC5">
        <w:rPr>
          <w:rFonts w:eastAsia="Times New Roman"/>
        </w:rPr>
        <w:t>Kislaya</w:t>
      </w:r>
      <w:proofErr w:type="spellEnd"/>
      <w:r w:rsidRPr="00757DC5">
        <w:rPr>
          <w:rFonts w:eastAsia="Times New Roman"/>
        </w:rPr>
        <w:t xml:space="preserve"> I, </w:t>
      </w:r>
      <w:proofErr w:type="spellStart"/>
      <w:r w:rsidRPr="00757DC5">
        <w:rPr>
          <w:rFonts w:eastAsia="Times New Roman"/>
        </w:rPr>
        <w:t>Gherasim</w:t>
      </w:r>
      <w:proofErr w:type="spellEnd"/>
      <w:r w:rsidRPr="00757DC5">
        <w:rPr>
          <w:rFonts w:eastAsia="Times New Roman"/>
        </w:rPr>
        <w:t xml:space="preserve"> A, McDonald SA et al. Impact of influenza vaccination programmes among the elderly population on primary care, Portugal, </w:t>
      </w:r>
      <w:proofErr w:type="gramStart"/>
      <w:r w:rsidRPr="00757DC5">
        <w:rPr>
          <w:rFonts w:eastAsia="Times New Roman"/>
        </w:rPr>
        <w:t>Spain</w:t>
      </w:r>
      <w:proofErr w:type="gramEnd"/>
      <w:r w:rsidRPr="00757DC5">
        <w:rPr>
          <w:rFonts w:eastAsia="Times New Roman"/>
        </w:rPr>
        <w:t xml:space="preserve"> and the Netherlands: 2015/16 to 2017/18 influenza seasons. </w:t>
      </w:r>
      <w:r w:rsidRPr="00687487">
        <w:rPr>
          <w:rStyle w:val="Emphasis"/>
          <w:rFonts w:eastAsia="Times New Roman"/>
          <w:b w:val="0"/>
          <w:bCs w:val="0"/>
        </w:rPr>
        <w:t xml:space="preserve">Euro </w:t>
      </w:r>
      <w:proofErr w:type="spellStart"/>
      <w:r w:rsidRPr="00687487">
        <w:rPr>
          <w:rStyle w:val="Emphasis"/>
          <w:rFonts w:eastAsia="Times New Roman"/>
          <w:b w:val="0"/>
          <w:bCs w:val="0"/>
        </w:rPr>
        <w:t>Surveill</w:t>
      </w:r>
      <w:proofErr w:type="spellEnd"/>
      <w:r w:rsidRPr="00757DC5">
        <w:rPr>
          <w:rFonts w:eastAsia="Times New Roman"/>
        </w:rPr>
        <w:t xml:space="preserve">. 2019;24(45). </w:t>
      </w:r>
      <w:proofErr w:type="spellStart"/>
      <w:r w:rsidRPr="00757DC5">
        <w:rPr>
          <w:rFonts w:eastAsia="Times New Roman"/>
        </w:rPr>
        <w:t>doi</w:t>
      </w:r>
      <w:proofErr w:type="spellEnd"/>
      <w:r w:rsidRPr="00757DC5">
        <w:rPr>
          <w:rFonts w:eastAsia="Times New Roman"/>
        </w:rPr>
        <w:t xml:space="preserve">: https://doi.org/10.2807/1560-7917.ES.2019.24.45.1900268. </w:t>
      </w:r>
    </w:p>
    <w:p w14:paraId="1ACBC2DC" w14:textId="77777777" w:rsidR="000A1D58" w:rsidRPr="00757DC5" w:rsidRDefault="000A1D58" w:rsidP="00757DC5">
      <w:pPr>
        <w:pStyle w:val="ListParagraph"/>
        <w:numPr>
          <w:ilvl w:val="0"/>
          <w:numId w:val="10"/>
        </w:numPr>
        <w:rPr>
          <w:rFonts w:eastAsia="Times New Roman"/>
        </w:rPr>
      </w:pPr>
      <w:r w:rsidRPr="00757DC5">
        <w:rPr>
          <w:rFonts w:eastAsia="Times New Roman"/>
        </w:rPr>
        <w:t xml:space="preserve">Cheng AC, Holmes M, Dwyer DE, Irving LB, </w:t>
      </w:r>
      <w:proofErr w:type="spellStart"/>
      <w:r w:rsidRPr="00757DC5">
        <w:rPr>
          <w:rFonts w:eastAsia="Times New Roman"/>
        </w:rPr>
        <w:t>Korman</w:t>
      </w:r>
      <w:proofErr w:type="spellEnd"/>
      <w:r w:rsidRPr="00757DC5">
        <w:rPr>
          <w:rFonts w:eastAsia="Times New Roman"/>
        </w:rPr>
        <w:t xml:space="preserve"> TM, </w:t>
      </w:r>
      <w:proofErr w:type="spellStart"/>
      <w:r w:rsidRPr="00757DC5">
        <w:rPr>
          <w:rFonts w:eastAsia="Times New Roman"/>
        </w:rPr>
        <w:t>Senenayake</w:t>
      </w:r>
      <w:proofErr w:type="spellEnd"/>
      <w:r w:rsidRPr="00757DC5">
        <w:rPr>
          <w:rFonts w:eastAsia="Times New Roman"/>
        </w:rPr>
        <w:t xml:space="preserve"> S et al. Influenza epidemiology in patients admitted to sentinel Australian hospitals in 2015: </w:t>
      </w:r>
      <w:proofErr w:type="gramStart"/>
      <w:r w:rsidRPr="00757DC5">
        <w:rPr>
          <w:rFonts w:eastAsia="Times New Roman"/>
        </w:rPr>
        <w:t>the</w:t>
      </w:r>
      <w:proofErr w:type="gramEnd"/>
      <w:r w:rsidRPr="00757DC5">
        <w:rPr>
          <w:rFonts w:eastAsia="Times New Roman"/>
        </w:rPr>
        <w:t xml:space="preserve"> Influenza Complications Alert Network. </w:t>
      </w:r>
      <w:proofErr w:type="spellStart"/>
      <w:r w:rsidRPr="00687487">
        <w:rPr>
          <w:rStyle w:val="Emphasis"/>
          <w:rFonts w:eastAsia="Times New Roman"/>
          <w:b w:val="0"/>
          <w:bCs w:val="0"/>
        </w:rPr>
        <w:t>Commun</w:t>
      </w:r>
      <w:proofErr w:type="spellEnd"/>
      <w:r w:rsidRPr="00687487">
        <w:rPr>
          <w:rStyle w:val="Emphasis"/>
          <w:rFonts w:eastAsia="Times New Roman"/>
          <w:b w:val="0"/>
          <w:bCs w:val="0"/>
        </w:rPr>
        <w:t xml:space="preserve"> Dis </w:t>
      </w:r>
      <w:proofErr w:type="spellStart"/>
      <w:r w:rsidRPr="00687487">
        <w:rPr>
          <w:rStyle w:val="Emphasis"/>
          <w:rFonts w:eastAsia="Times New Roman"/>
          <w:b w:val="0"/>
          <w:bCs w:val="0"/>
        </w:rPr>
        <w:t>Intell</w:t>
      </w:r>
      <w:proofErr w:type="spellEnd"/>
      <w:r w:rsidRPr="00687487">
        <w:rPr>
          <w:rStyle w:val="Emphasis"/>
          <w:rFonts w:eastAsia="Times New Roman"/>
          <w:b w:val="0"/>
          <w:bCs w:val="0"/>
        </w:rPr>
        <w:t xml:space="preserve"> Q Rep</w:t>
      </w:r>
      <w:r w:rsidRPr="00757DC5">
        <w:rPr>
          <w:rFonts w:eastAsia="Times New Roman"/>
        </w:rPr>
        <w:t>. 2016;40(4</w:t>
      </w:r>
      <w:proofErr w:type="gramStart"/>
      <w:r w:rsidRPr="00757DC5">
        <w:rPr>
          <w:rFonts w:eastAsia="Times New Roman"/>
        </w:rPr>
        <w:t>):E</w:t>
      </w:r>
      <w:proofErr w:type="gramEnd"/>
      <w:r w:rsidRPr="00757DC5">
        <w:rPr>
          <w:rFonts w:eastAsia="Times New Roman"/>
        </w:rPr>
        <w:t xml:space="preserve">521–6. </w:t>
      </w:r>
    </w:p>
    <w:p w14:paraId="15FF289F" w14:textId="77777777" w:rsidR="000A1D58" w:rsidRPr="00757DC5" w:rsidRDefault="000A1D58" w:rsidP="00757DC5">
      <w:pPr>
        <w:pStyle w:val="ListParagraph"/>
        <w:numPr>
          <w:ilvl w:val="0"/>
          <w:numId w:val="10"/>
        </w:numPr>
        <w:rPr>
          <w:rFonts w:eastAsia="Times New Roman"/>
        </w:rPr>
      </w:pPr>
      <w:r w:rsidRPr="00757DC5">
        <w:rPr>
          <w:rFonts w:eastAsia="Times New Roman"/>
        </w:rPr>
        <w:t xml:space="preserve">Nation ML, Moss R, </w:t>
      </w:r>
      <w:proofErr w:type="spellStart"/>
      <w:r w:rsidRPr="00757DC5">
        <w:rPr>
          <w:rFonts w:eastAsia="Times New Roman"/>
        </w:rPr>
        <w:t>Spittal</w:t>
      </w:r>
      <w:proofErr w:type="spellEnd"/>
      <w:r w:rsidRPr="00757DC5">
        <w:rPr>
          <w:rFonts w:eastAsia="Times New Roman"/>
        </w:rPr>
        <w:t xml:space="preserve"> MJ, </w:t>
      </w:r>
      <w:proofErr w:type="spellStart"/>
      <w:r w:rsidRPr="00757DC5">
        <w:rPr>
          <w:rFonts w:eastAsia="Times New Roman"/>
        </w:rPr>
        <w:t>Kotsimbos</w:t>
      </w:r>
      <w:proofErr w:type="spellEnd"/>
      <w:r w:rsidRPr="00757DC5">
        <w:rPr>
          <w:rFonts w:eastAsia="Times New Roman"/>
        </w:rPr>
        <w:t xml:space="preserve"> T, Kelly PM, Cheng AC. Influenza vaccine effectiveness against influenza-related mortality in Australian hospitalized patients: a propensity score analysis. </w:t>
      </w:r>
      <w:r w:rsidRPr="00687487">
        <w:rPr>
          <w:rStyle w:val="Emphasis"/>
          <w:rFonts w:eastAsia="Times New Roman"/>
          <w:b w:val="0"/>
          <w:bCs w:val="0"/>
        </w:rPr>
        <w:t>Clin Infect Dis</w:t>
      </w:r>
      <w:r w:rsidRPr="00757DC5">
        <w:rPr>
          <w:rFonts w:eastAsia="Times New Roman"/>
        </w:rPr>
        <w:t xml:space="preserve">. 2020;72(1):99–107. </w:t>
      </w:r>
    </w:p>
    <w:p w14:paraId="78C6262A" w14:textId="77777777" w:rsidR="000A1D58" w:rsidRPr="00757DC5" w:rsidRDefault="000A1D58" w:rsidP="00757DC5">
      <w:pPr>
        <w:pStyle w:val="ListParagraph"/>
        <w:numPr>
          <w:ilvl w:val="0"/>
          <w:numId w:val="10"/>
        </w:numPr>
        <w:rPr>
          <w:rFonts w:eastAsia="Times New Roman"/>
        </w:rPr>
      </w:pPr>
      <w:proofErr w:type="gramStart"/>
      <w:r w:rsidRPr="00757DC5">
        <w:rPr>
          <w:rFonts w:eastAsia="Times New Roman"/>
        </w:rPr>
        <w:t>Butler CC,</w:t>
      </w:r>
      <w:proofErr w:type="gramEnd"/>
      <w:r w:rsidRPr="00757DC5">
        <w:rPr>
          <w:rFonts w:eastAsia="Times New Roman"/>
        </w:rPr>
        <w:t xml:space="preserve"> van der Velden AW, </w:t>
      </w:r>
      <w:proofErr w:type="spellStart"/>
      <w:r w:rsidRPr="00757DC5">
        <w:rPr>
          <w:rFonts w:eastAsia="Times New Roman"/>
        </w:rPr>
        <w:t>Bongard</w:t>
      </w:r>
      <w:proofErr w:type="spellEnd"/>
      <w:r w:rsidRPr="00757DC5">
        <w:rPr>
          <w:rFonts w:eastAsia="Times New Roman"/>
        </w:rPr>
        <w:t xml:space="preserve"> E, Saville BR, Holmes J, </w:t>
      </w:r>
      <w:proofErr w:type="spellStart"/>
      <w:r w:rsidRPr="00757DC5">
        <w:rPr>
          <w:rFonts w:eastAsia="Times New Roman"/>
        </w:rPr>
        <w:t>Coenen</w:t>
      </w:r>
      <w:proofErr w:type="spellEnd"/>
      <w:r w:rsidRPr="00757DC5">
        <w:rPr>
          <w:rFonts w:eastAsia="Times New Roman"/>
        </w:rPr>
        <w:t xml:space="preserve"> S et al. Oseltamivir plus usual care versus usual care for influenza-like illness in primary care: an open-label, pragmatic, randomised controlled trial. </w:t>
      </w:r>
      <w:r w:rsidRPr="00687487">
        <w:rPr>
          <w:rStyle w:val="Emphasis"/>
          <w:rFonts w:eastAsia="Times New Roman"/>
          <w:b w:val="0"/>
          <w:bCs w:val="0"/>
        </w:rPr>
        <w:t>Lancet</w:t>
      </w:r>
      <w:r w:rsidRPr="00757DC5">
        <w:rPr>
          <w:rFonts w:eastAsia="Times New Roman"/>
        </w:rPr>
        <w:t xml:space="preserve">. 2020;395(10217):42–52. </w:t>
      </w:r>
    </w:p>
    <w:p w14:paraId="64B30142" w14:textId="77777777" w:rsidR="000A1D58" w:rsidRPr="00757DC5" w:rsidRDefault="000A1D58" w:rsidP="00757DC5">
      <w:pPr>
        <w:pStyle w:val="ListParagraph"/>
        <w:numPr>
          <w:ilvl w:val="0"/>
          <w:numId w:val="10"/>
        </w:numPr>
        <w:rPr>
          <w:rFonts w:eastAsia="Times New Roman"/>
        </w:rPr>
      </w:pPr>
      <w:proofErr w:type="spellStart"/>
      <w:r w:rsidRPr="00757DC5">
        <w:rPr>
          <w:rFonts w:eastAsia="Times New Roman"/>
        </w:rPr>
        <w:t>Muthuri</w:t>
      </w:r>
      <w:proofErr w:type="spellEnd"/>
      <w:r w:rsidRPr="00757DC5">
        <w:rPr>
          <w:rFonts w:eastAsia="Times New Roman"/>
        </w:rPr>
        <w:t xml:space="preserve"> SG, Venkatesan S, Myles PR, Leonardi-Bee J, Al </w:t>
      </w:r>
      <w:proofErr w:type="spellStart"/>
      <w:r w:rsidRPr="00757DC5">
        <w:rPr>
          <w:rFonts w:eastAsia="Times New Roman"/>
        </w:rPr>
        <w:t>Khuwaitir</w:t>
      </w:r>
      <w:proofErr w:type="spellEnd"/>
      <w:r w:rsidRPr="00757DC5">
        <w:rPr>
          <w:rFonts w:eastAsia="Times New Roman"/>
        </w:rPr>
        <w:t xml:space="preserve"> TSA, Al Mamun A et al. Effectiveness of neuraminidase inhibitors in reducing mortality in patients admitted to hospital with influenza A H1N1pdm09 virus infection: a meta-analysis of individual participant data. </w:t>
      </w:r>
      <w:r w:rsidRPr="00687487">
        <w:rPr>
          <w:rStyle w:val="Emphasis"/>
          <w:rFonts w:eastAsia="Times New Roman"/>
          <w:b w:val="0"/>
          <w:bCs w:val="0"/>
        </w:rPr>
        <w:t>Lancet Respir Med</w:t>
      </w:r>
      <w:r w:rsidRPr="00757DC5">
        <w:rPr>
          <w:rFonts w:eastAsia="Times New Roman"/>
        </w:rPr>
        <w:t xml:space="preserve">. 2014;2(5):395–404. </w:t>
      </w:r>
    </w:p>
    <w:p w14:paraId="42441F50" w14:textId="77777777" w:rsidR="000A1D58" w:rsidRPr="00757DC5" w:rsidRDefault="000A1D58" w:rsidP="00757DC5">
      <w:pPr>
        <w:pStyle w:val="ListParagraph"/>
        <w:numPr>
          <w:ilvl w:val="0"/>
          <w:numId w:val="10"/>
        </w:numPr>
        <w:rPr>
          <w:rFonts w:eastAsia="Times New Roman"/>
        </w:rPr>
      </w:pPr>
      <w:r w:rsidRPr="00757DC5">
        <w:rPr>
          <w:rFonts w:eastAsia="Times New Roman"/>
        </w:rPr>
        <w:t xml:space="preserve">Barr IG, Deng YM, Grau ML, Han AX, Gilmour R, Irwin M et al. Intense </w:t>
      </w:r>
      <w:proofErr w:type="spellStart"/>
      <w:r w:rsidRPr="00757DC5">
        <w:rPr>
          <w:rFonts w:eastAsia="Times New Roman"/>
        </w:rPr>
        <w:t>interseasonal</w:t>
      </w:r>
      <w:proofErr w:type="spellEnd"/>
      <w:r w:rsidRPr="00757DC5">
        <w:rPr>
          <w:rFonts w:eastAsia="Times New Roman"/>
        </w:rPr>
        <w:t xml:space="preserve"> influenza outbreaks, Australia, 2018/19. </w:t>
      </w:r>
      <w:r w:rsidRPr="00687487">
        <w:rPr>
          <w:rStyle w:val="Emphasis"/>
          <w:rFonts w:eastAsia="Times New Roman"/>
          <w:b w:val="0"/>
          <w:bCs w:val="0"/>
        </w:rPr>
        <w:t xml:space="preserve">Euro </w:t>
      </w:r>
      <w:proofErr w:type="spellStart"/>
      <w:r w:rsidRPr="00687487">
        <w:rPr>
          <w:rStyle w:val="Emphasis"/>
          <w:rFonts w:eastAsia="Times New Roman"/>
          <w:b w:val="0"/>
          <w:bCs w:val="0"/>
        </w:rPr>
        <w:t>Surveill</w:t>
      </w:r>
      <w:proofErr w:type="spellEnd"/>
      <w:r w:rsidRPr="00757DC5">
        <w:rPr>
          <w:rFonts w:eastAsia="Times New Roman"/>
        </w:rPr>
        <w:t xml:space="preserve">. 2019;24(33). </w:t>
      </w:r>
      <w:proofErr w:type="spellStart"/>
      <w:r w:rsidRPr="00757DC5">
        <w:rPr>
          <w:rFonts w:eastAsia="Times New Roman"/>
        </w:rPr>
        <w:t>doi</w:t>
      </w:r>
      <w:proofErr w:type="spellEnd"/>
      <w:r w:rsidRPr="00757DC5">
        <w:rPr>
          <w:rFonts w:eastAsia="Times New Roman"/>
        </w:rPr>
        <w:t xml:space="preserve">: https://doi.org/10.2807/1560-7917.ES.2019.24.33.1900421. </w:t>
      </w:r>
    </w:p>
    <w:p w14:paraId="4A720DD6" w14:textId="77777777" w:rsidR="000A1D58" w:rsidRPr="00757DC5" w:rsidRDefault="000A1D58" w:rsidP="00757DC5">
      <w:pPr>
        <w:pStyle w:val="ListParagraph"/>
        <w:numPr>
          <w:ilvl w:val="0"/>
          <w:numId w:val="10"/>
        </w:numPr>
        <w:rPr>
          <w:rFonts w:eastAsia="Times New Roman"/>
        </w:rPr>
      </w:pPr>
      <w:r w:rsidRPr="00757DC5">
        <w:rPr>
          <w:rFonts w:eastAsia="Times New Roman"/>
        </w:rPr>
        <w:t xml:space="preserve">Ainslie KEC, Shi M, Haber M, Orenstein WA. On the bias of estimates of influenza vaccine effectiveness from test-negative studies. </w:t>
      </w:r>
      <w:r w:rsidRPr="00687487">
        <w:rPr>
          <w:rStyle w:val="Emphasis"/>
          <w:rFonts w:eastAsia="Times New Roman"/>
          <w:b w:val="0"/>
          <w:bCs w:val="0"/>
        </w:rPr>
        <w:t>Vaccine</w:t>
      </w:r>
      <w:r w:rsidRPr="00757DC5">
        <w:rPr>
          <w:rFonts w:eastAsia="Times New Roman"/>
        </w:rPr>
        <w:t xml:space="preserve">. 2017;35(52):7297–301. </w:t>
      </w:r>
    </w:p>
    <w:p w14:paraId="1489B96A" w14:textId="77777777" w:rsidR="000A1D58" w:rsidRPr="00757DC5" w:rsidRDefault="000A1D58" w:rsidP="00757DC5">
      <w:pPr>
        <w:pStyle w:val="ListParagraph"/>
        <w:numPr>
          <w:ilvl w:val="0"/>
          <w:numId w:val="10"/>
        </w:numPr>
        <w:rPr>
          <w:rFonts w:eastAsia="Times New Roman"/>
        </w:rPr>
      </w:pPr>
      <w:proofErr w:type="spellStart"/>
      <w:r w:rsidRPr="00757DC5">
        <w:rPr>
          <w:rFonts w:eastAsia="Times New Roman"/>
        </w:rPr>
        <w:t>Lewnard</w:t>
      </w:r>
      <w:proofErr w:type="spellEnd"/>
      <w:r w:rsidRPr="00757DC5">
        <w:rPr>
          <w:rFonts w:eastAsia="Times New Roman"/>
        </w:rPr>
        <w:t xml:space="preserve"> JA, </w:t>
      </w:r>
      <w:proofErr w:type="spellStart"/>
      <w:r w:rsidRPr="00757DC5">
        <w:rPr>
          <w:rFonts w:eastAsia="Times New Roman"/>
        </w:rPr>
        <w:t>Tedijanto</w:t>
      </w:r>
      <w:proofErr w:type="spellEnd"/>
      <w:r w:rsidRPr="00757DC5">
        <w:rPr>
          <w:rFonts w:eastAsia="Times New Roman"/>
        </w:rPr>
        <w:t xml:space="preserve"> C, Cowling BJ, </w:t>
      </w:r>
      <w:proofErr w:type="spellStart"/>
      <w:r w:rsidRPr="00757DC5">
        <w:rPr>
          <w:rFonts w:eastAsia="Times New Roman"/>
        </w:rPr>
        <w:t>Lipsitch</w:t>
      </w:r>
      <w:proofErr w:type="spellEnd"/>
      <w:r w:rsidRPr="00757DC5">
        <w:rPr>
          <w:rFonts w:eastAsia="Times New Roman"/>
        </w:rPr>
        <w:t xml:space="preserve"> M. Measurement of vaccine direct effects under the test-negative design. </w:t>
      </w:r>
      <w:r w:rsidRPr="00687487">
        <w:rPr>
          <w:rStyle w:val="Emphasis"/>
          <w:rFonts w:eastAsia="Times New Roman"/>
          <w:b w:val="0"/>
          <w:bCs w:val="0"/>
        </w:rPr>
        <w:t>Am J Epidemiol.</w:t>
      </w:r>
      <w:r w:rsidRPr="00757DC5">
        <w:rPr>
          <w:rFonts w:eastAsia="Times New Roman"/>
        </w:rPr>
        <w:t xml:space="preserve"> 2018;187(12):2686–97.</w:t>
      </w:r>
    </w:p>
    <w:p w14:paraId="18F630ED" w14:textId="77777777" w:rsidR="008B5348" w:rsidRDefault="008B5348">
      <w:pPr>
        <w:rPr>
          <w:rStyle w:val="A10"/>
        </w:rPr>
      </w:pPr>
      <w:r>
        <w:rPr>
          <w:rStyle w:val="A10"/>
        </w:rPr>
        <w:br w:type="page"/>
      </w:r>
    </w:p>
    <w:p w14:paraId="37BFB3CA" w14:textId="77777777" w:rsidR="008B5348" w:rsidRDefault="008B5348">
      <w:pPr>
        <w:rPr>
          <w:rStyle w:val="A10"/>
        </w:rPr>
        <w:sectPr w:rsidR="008B5348" w:rsidSect="00A30C37">
          <w:headerReference w:type="default" r:id="rId13"/>
          <w:footerReference w:type="default" r:id="rId14"/>
          <w:footerReference w:type="first" r:id="rId15"/>
          <w:pgSz w:w="11906" w:h="16838"/>
          <w:pgMar w:top="720" w:right="720" w:bottom="1134" w:left="720" w:header="709" w:footer="284" w:gutter="0"/>
          <w:cols w:space="708"/>
          <w:titlePg/>
          <w:docGrid w:linePitch="360"/>
        </w:sectPr>
      </w:pPr>
    </w:p>
    <w:p w14:paraId="50610EFE"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36891279"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43966A86" w14:textId="77777777" w:rsidR="000A5F42" w:rsidRPr="000606CC" w:rsidRDefault="000A5F42" w:rsidP="000A5F42">
      <w:pPr>
        <w:pStyle w:val="NoSpacing"/>
        <w:rPr>
          <w:rStyle w:val="URI"/>
          <w:rFonts w:cstheme="minorHAnsi"/>
          <w:sz w:val="20"/>
          <w:szCs w:val="18"/>
        </w:rPr>
      </w:pPr>
    </w:p>
    <w:p w14:paraId="7C8163DA"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w:t>
      </w:r>
      <w:r w:rsidR="000325A0">
        <w:rPr>
          <w:rStyle w:val="Strong"/>
          <w:rFonts w:cs="Calibri"/>
          <w:b w:val="0"/>
          <w:bCs w:val="0"/>
          <w:sz w:val="20"/>
          <w:szCs w:val="18"/>
        </w:rPr>
        <w:t xml:space="preserve"> and Response</w:t>
      </w:r>
      <w:r w:rsidRPr="000606CC">
        <w:rPr>
          <w:rStyle w:val="Strong"/>
          <w:rFonts w:cs="Calibri"/>
          <w:b w:val="0"/>
          <w:bCs w:val="0"/>
          <w:sz w:val="20"/>
          <w:szCs w:val="18"/>
        </w:rPr>
        <w:t xml:space="preserve">, Department of Health. The journal aims to disseminate information on the epidemiology, surveillance, </w:t>
      </w:r>
      <w:proofErr w:type="gramStart"/>
      <w:r w:rsidRPr="000606CC">
        <w:rPr>
          <w:rStyle w:val="Strong"/>
          <w:rFonts w:cs="Calibri"/>
          <w:b w:val="0"/>
          <w:bCs w:val="0"/>
          <w:sz w:val="20"/>
          <w:szCs w:val="18"/>
        </w:rPr>
        <w:t>prevention</w:t>
      </w:r>
      <w:proofErr w:type="gramEnd"/>
      <w:r w:rsidRPr="000606CC">
        <w:rPr>
          <w:rStyle w:val="Strong"/>
          <w:rFonts w:cs="Calibri"/>
          <w:b w:val="0"/>
          <w:bCs w:val="0"/>
          <w:sz w:val="20"/>
          <w:szCs w:val="18"/>
        </w:rPr>
        <w:t xml:space="preserve"> and control of communicable diseases of relevance to Australia.</w:t>
      </w:r>
    </w:p>
    <w:p w14:paraId="0AE0A5D9" w14:textId="77777777" w:rsidR="000A5F42" w:rsidRPr="000606CC" w:rsidRDefault="000A5F42" w:rsidP="000A5F42">
      <w:pPr>
        <w:pStyle w:val="NoSpacing"/>
        <w:rPr>
          <w:rStyle w:val="Strong"/>
          <w:rFonts w:cstheme="minorHAnsi"/>
          <w:sz w:val="20"/>
          <w:szCs w:val="18"/>
        </w:rPr>
      </w:pPr>
    </w:p>
    <w:p w14:paraId="67472EDA" w14:textId="1200E1B9"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5C66A6" w:rsidRPr="005C66A6">
        <w:rPr>
          <w:rFonts w:cstheme="minorHAnsi"/>
          <w:sz w:val="20"/>
          <w:szCs w:val="18"/>
        </w:rPr>
        <w:t>Jennie Hood</w:t>
      </w:r>
      <w:r w:rsidR="005365FF">
        <w:rPr>
          <w:rFonts w:cstheme="minorHAnsi"/>
          <w:sz w:val="20"/>
          <w:szCs w:val="18"/>
        </w:rPr>
        <w:t xml:space="preserve"> and </w:t>
      </w:r>
      <w:r w:rsidR="005365FF" w:rsidRPr="005365FF">
        <w:rPr>
          <w:rFonts w:cstheme="minorHAnsi"/>
          <w:sz w:val="20"/>
          <w:szCs w:val="18"/>
        </w:rPr>
        <w:t xml:space="preserve">Noel </w:t>
      </w:r>
      <w:proofErr w:type="spellStart"/>
      <w:r w:rsidR="005365FF" w:rsidRPr="005365FF">
        <w:rPr>
          <w:rFonts w:cstheme="minorHAnsi"/>
          <w:sz w:val="20"/>
          <w:szCs w:val="18"/>
        </w:rPr>
        <w:t>Lally</w:t>
      </w:r>
      <w:proofErr w:type="spellEnd"/>
    </w:p>
    <w:p w14:paraId="30DD43CD"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337EEAD0"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2702F126"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w:t>
      </w:r>
      <w:proofErr w:type="spellStart"/>
      <w:r w:rsidRPr="000606CC">
        <w:rPr>
          <w:rFonts w:cstheme="minorHAnsi"/>
          <w:sz w:val="20"/>
          <w:szCs w:val="18"/>
        </w:rPr>
        <w:t>Durrheim</w:t>
      </w:r>
      <w:proofErr w:type="spellEnd"/>
      <w:r w:rsidRPr="000606CC">
        <w:rPr>
          <w:rFonts w:cstheme="minorHAnsi"/>
          <w:sz w:val="20"/>
          <w:szCs w:val="18"/>
        </w:rPr>
        <w:t xml:space="preserve">, </w:t>
      </w:r>
      <w:r w:rsidRPr="000606CC">
        <w:rPr>
          <w:rStyle w:val="nobreak"/>
          <w:rFonts w:cstheme="minorHAnsi"/>
          <w:sz w:val="20"/>
          <w:szCs w:val="18"/>
        </w:rPr>
        <w:t xml:space="preserve">Mark </w:t>
      </w:r>
      <w:proofErr w:type="spellStart"/>
      <w:r w:rsidRPr="000606CC">
        <w:rPr>
          <w:rStyle w:val="nobreak"/>
          <w:rFonts w:cstheme="minorHAnsi"/>
          <w:sz w:val="20"/>
          <w:szCs w:val="18"/>
        </w:rPr>
        <w:t>Ferson</w:t>
      </w:r>
      <w:proofErr w:type="spellEnd"/>
      <w:r w:rsidR="00F55648">
        <w:rPr>
          <w:rFonts w:cstheme="minorHAnsi"/>
          <w:sz w:val="20"/>
          <w:szCs w:val="18"/>
        </w:rPr>
        <w:t xml:space="preserve">, John Kaldor, </w:t>
      </w:r>
      <w:r w:rsidRPr="000606CC">
        <w:rPr>
          <w:rStyle w:val="nobreak"/>
          <w:rFonts w:cstheme="minorHAnsi"/>
          <w:sz w:val="20"/>
          <w:szCs w:val="18"/>
        </w:rPr>
        <w:t xml:space="preserve">Martyn </w:t>
      </w:r>
      <w:proofErr w:type="gramStart"/>
      <w:r w:rsidRPr="000606CC">
        <w:rPr>
          <w:rStyle w:val="nobreak"/>
          <w:rFonts w:cstheme="minorHAnsi"/>
          <w:sz w:val="20"/>
          <w:szCs w:val="18"/>
        </w:rPr>
        <w:t>Kirk</w:t>
      </w:r>
      <w:proofErr w:type="gramEnd"/>
      <w:r w:rsidR="00F55648">
        <w:rPr>
          <w:rStyle w:val="nobreak"/>
          <w:rFonts w:cstheme="minorHAnsi"/>
          <w:sz w:val="20"/>
          <w:szCs w:val="18"/>
        </w:rPr>
        <w:t xml:space="preserve"> and Linda Selvey</w:t>
      </w:r>
    </w:p>
    <w:p w14:paraId="36EA1280" w14:textId="77777777" w:rsidR="000A5F42" w:rsidRPr="000606CC" w:rsidRDefault="000A5F42" w:rsidP="000A5F42">
      <w:pPr>
        <w:pStyle w:val="NoSpacing"/>
        <w:rPr>
          <w:rStyle w:val="Strong"/>
          <w:rFonts w:cstheme="minorHAnsi"/>
          <w:sz w:val="20"/>
          <w:szCs w:val="18"/>
        </w:rPr>
      </w:pPr>
    </w:p>
    <w:p w14:paraId="4CD48E38" w14:textId="42C2EEAA"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6"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1160CC65" w14:textId="77777777" w:rsidR="000A5F42" w:rsidRPr="000606CC" w:rsidRDefault="000A5F42" w:rsidP="000A5F42">
      <w:pPr>
        <w:pStyle w:val="NoSpacing"/>
        <w:rPr>
          <w:rStyle w:val="Strong"/>
          <w:rFonts w:cstheme="minorHAnsi"/>
          <w:sz w:val="20"/>
          <w:szCs w:val="18"/>
        </w:rPr>
      </w:pPr>
    </w:p>
    <w:p w14:paraId="498DEE32"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CDI is produced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and Response, Australian Government Department of Health, GPO Box 9848, (MDP 6) CANBERRA ACT 2601</w:t>
      </w:r>
    </w:p>
    <w:p w14:paraId="64F7D425" w14:textId="77777777" w:rsidR="000A5F42" w:rsidRPr="000606CC" w:rsidRDefault="000A5F42" w:rsidP="000A5F42">
      <w:pPr>
        <w:pStyle w:val="NoSpacing"/>
        <w:rPr>
          <w:rStyle w:val="Strong"/>
          <w:rFonts w:cstheme="minorHAnsi"/>
          <w:sz w:val="20"/>
          <w:szCs w:val="18"/>
        </w:rPr>
      </w:pPr>
    </w:p>
    <w:p w14:paraId="1292836F" w14:textId="290C3DEE"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7"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19C8F3B2" w14:textId="77777777" w:rsidR="000A5F42" w:rsidRPr="000606CC" w:rsidRDefault="000A5F42" w:rsidP="000A5F42">
      <w:pPr>
        <w:pStyle w:val="NoSpacing"/>
        <w:rPr>
          <w:rStyle w:val="Strong"/>
          <w:rFonts w:cstheme="minorHAnsi"/>
          <w:sz w:val="20"/>
          <w:szCs w:val="18"/>
        </w:rPr>
      </w:pPr>
    </w:p>
    <w:p w14:paraId="4D39BA3F" w14:textId="51FBBDB1"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8"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3AAAE0C6" w14:textId="61163A24"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9" w:history="1">
        <w:r w:rsidRPr="000606CC">
          <w:rPr>
            <w:rStyle w:val="Hyperlink"/>
            <w:rFonts w:cstheme="minorHAnsi"/>
            <w:sz w:val="20"/>
            <w:szCs w:val="18"/>
          </w:rPr>
          <w:t>cdi.editor@health.gov.au</w:t>
        </w:r>
      </w:hyperlink>
      <w:r w:rsidRPr="000606CC">
        <w:rPr>
          <w:rFonts w:cstheme="minorHAnsi"/>
          <w:sz w:val="20"/>
          <w:szCs w:val="18"/>
        </w:rPr>
        <w:t>.</w:t>
      </w:r>
    </w:p>
    <w:p w14:paraId="487DD642" w14:textId="77777777" w:rsidR="000A5F42" w:rsidRPr="000606CC" w:rsidRDefault="000A5F42" w:rsidP="000A5F42">
      <w:pPr>
        <w:pStyle w:val="NoSpacing"/>
        <w:pBdr>
          <w:bottom w:val="single" w:sz="6" w:space="1" w:color="auto"/>
        </w:pBdr>
        <w:rPr>
          <w:rStyle w:val="Strong"/>
          <w:rFonts w:cstheme="minorHAnsi"/>
          <w:sz w:val="12"/>
          <w:szCs w:val="18"/>
        </w:rPr>
      </w:pPr>
    </w:p>
    <w:p w14:paraId="1E918303" w14:textId="77777777" w:rsidR="000A5F42" w:rsidRPr="000606CC" w:rsidRDefault="000A5F42" w:rsidP="000A5F42">
      <w:pPr>
        <w:pStyle w:val="NoSpacing"/>
        <w:rPr>
          <w:rFonts w:cstheme="minorHAnsi"/>
          <w:sz w:val="20"/>
          <w:szCs w:val="18"/>
        </w:rPr>
      </w:pPr>
    </w:p>
    <w:p w14:paraId="4F5BC62F" w14:textId="77777777" w:rsidR="000A5F42" w:rsidRPr="000606CC" w:rsidRDefault="000A5F42" w:rsidP="000A5F42">
      <w:pPr>
        <w:pStyle w:val="NoSpacing"/>
        <w:rPr>
          <w:rFonts w:cstheme="minorHAnsi"/>
          <w:sz w:val="20"/>
          <w:szCs w:val="18"/>
        </w:rPr>
      </w:pPr>
      <w:r w:rsidRPr="000606CC">
        <w:rPr>
          <w:rFonts w:cstheme="minorHAnsi"/>
          <w:sz w:val="20"/>
          <w:szCs w:val="18"/>
        </w:rPr>
        <w:t>This journal is indexed by Index Medicus and Medline.</w:t>
      </w:r>
    </w:p>
    <w:p w14:paraId="0ECEC67A" w14:textId="77777777" w:rsidR="000A5F42" w:rsidRPr="000606CC" w:rsidRDefault="000A5F42" w:rsidP="000A5F42">
      <w:pPr>
        <w:pStyle w:val="NoSpacing"/>
        <w:rPr>
          <w:rFonts w:cstheme="minorHAnsi"/>
          <w:sz w:val="20"/>
          <w:szCs w:val="18"/>
        </w:rPr>
      </w:pPr>
    </w:p>
    <w:p w14:paraId="2DA10226"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14DC3EC1"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852E2B">
        <w:rPr>
          <w:rFonts w:cstheme="minorHAnsi"/>
          <w:sz w:val="20"/>
          <w:szCs w:val="18"/>
        </w:rPr>
        <w:fldChar w:fldCharType="begin"/>
      </w:r>
      <w:r w:rsidR="00852E2B">
        <w:rPr>
          <w:rFonts w:cstheme="minorHAnsi"/>
          <w:sz w:val="20"/>
          <w:szCs w:val="18"/>
        </w:rPr>
        <w:instrText xml:space="preserve"> DOCPROPERTY  Year  \* MERGEFORMAT </w:instrText>
      </w:r>
      <w:r w:rsidR="00852E2B">
        <w:rPr>
          <w:rFonts w:cstheme="minorHAnsi"/>
          <w:sz w:val="20"/>
          <w:szCs w:val="18"/>
        </w:rPr>
        <w:fldChar w:fldCharType="separate"/>
      </w:r>
      <w:r w:rsidR="00472DFA">
        <w:rPr>
          <w:rFonts w:cstheme="minorHAnsi"/>
          <w:sz w:val="20"/>
          <w:szCs w:val="18"/>
        </w:rPr>
        <w:t>2022</w:t>
      </w:r>
      <w:r w:rsidR="00852E2B">
        <w:rPr>
          <w:rFonts w:cstheme="minorHAnsi"/>
          <w:sz w:val="20"/>
          <w:szCs w:val="18"/>
        </w:rPr>
        <w:fldChar w:fldCharType="end"/>
      </w:r>
      <w:r w:rsidR="00852E2B">
        <w:rPr>
          <w:rFonts w:cstheme="minorHAnsi"/>
          <w:sz w:val="20"/>
          <w:szCs w:val="18"/>
        </w:rPr>
        <w:t xml:space="preserve"> </w:t>
      </w:r>
      <w:r w:rsidRPr="000606CC">
        <w:rPr>
          <w:rFonts w:cstheme="minorHAnsi"/>
          <w:sz w:val="20"/>
          <w:szCs w:val="18"/>
        </w:rPr>
        <w:t>Commonwealth of Australia as represented by the Department of Health</w:t>
      </w:r>
    </w:p>
    <w:p w14:paraId="60602882" w14:textId="13E9A860"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20"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63FEFE7B" w14:textId="77777777" w:rsidR="000A5F42" w:rsidRPr="000606CC" w:rsidRDefault="000A5F42" w:rsidP="000A5F42">
      <w:pPr>
        <w:pStyle w:val="NoSpacing"/>
        <w:rPr>
          <w:rFonts w:cstheme="minorHAnsi"/>
          <w:sz w:val="20"/>
          <w:szCs w:val="18"/>
        </w:rPr>
      </w:pPr>
    </w:p>
    <w:p w14:paraId="4875AD2B"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65812775" w14:textId="1E78B485"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21" w:tooltip="Australian Honours system website" w:history="1">
        <w:r w:rsidRPr="000606CC">
          <w:rPr>
            <w:rStyle w:val="Hyperlink"/>
            <w:rFonts w:cstheme="minorHAnsi"/>
            <w:sz w:val="20"/>
            <w:szCs w:val="18"/>
          </w:rPr>
          <w:t>www.itsanhonour.gov.au</w:t>
        </w:r>
      </w:hyperlink>
      <w:proofErr w:type="gramStart"/>
      <w:r w:rsidRPr="000606CC">
        <w:rPr>
          <w:rStyle w:val="URI"/>
          <w:rFonts w:cstheme="minorHAnsi"/>
          <w:sz w:val="20"/>
          <w:szCs w:val="18"/>
          <w:u w:val="none"/>
        </w:rPr>
        <w:t>)</w:t>
      </w:r>
      <w:r w:rsidRPr="000606CC">
        <w:rPr>
          <w:rFonts w:cstheme="minorHAnsi"/>
          <w:sz w:val="20"/>
          <w:szCs w:val="18"/>
        </w:rPr>
        <w:t>;</w:t>
      </w:r>
      <w:proofErr w:type="gramEnd"/>
      <w:r w:rsidRPr="000606CC">
        <w:rPr>
          <w:rFonts w:cstheme="minorHAnsi"/>
          <w:sz w:val="20"/>
          <w:szCs w:val="18"/>
        </w:rPr>
        <w:t xml:space="preserve">  </w:t>
      </w:r>
    </w:p>
    <w:p w14:paraId="26D38F5E"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Department of Health’s logo) and </w:t>
      </w:r>
      <w:proofErr w:type="gramStart"/>
      <w:r w:rsidRPr="000606CC">
        <w:rPr>
          <w:rFonts w:cstheme="minorHAnsi"/>
          <w:sz w:val="20"/>
          <w:szCs w:val="18"/>
        </w:rPr>
        <w:t>trademarks;</w:t>
      </w:r>
      <w:proofErr w:type="gramEnd"/>
    </w:p>
    <w:p w14:paraId="1D2FD727"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4F5DAA04"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575033CB"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3ADFD281" w14:textId="77777777" w:rsidR="000A5F42" w:rsidRPr="000606CC" w:rsidRDefault="000A5F42" w:rsidP="000A5F42">
      <w:pPr>
        <w:pStyle w:val="NoSpacing"/>
        <w:rPr>
          <w:rStyle w:val="Strong"/>
          <w:rFonts w:cstheme="minorHAnsi"/>
          <w:sz w:val="20"/>
          <w:szCs w:val="18"/>
        </w:rPr>
      </w:pPr>
    </w:p>
    <w:p w14:paraId="379B7DF3"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633B9A02" w14:textId="77777777" w:rsidR="000A5F42" w:rsidRPr="000606CC" w:rsidRDefault="000A5F42" w:rsidP="000A5F42">
      <w:pPr>
        <w:pStyle w:val="NoSpacing"/>
        <w:rPr>
          <w:rStyle w:val="Strong"/>
          <w:rFonts w:cstheme="minorHAnsi"/>
          <w:sz w:val="20"/>
          <w:szCs w:val="18"/>
        </w:rPr>
      </w:pPr>
    </w:p>
    <w:p w14:paraId="00902A8D" w14:textId="20AE1DEF"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22"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35BD254F" w14:textId="77777777" w:rsidR="000A5F42" w:rsidRPr="000606CC" w:rsidRDefault="000A5F42" w:rsidP="000A5F42">
      <w:pPr>
        <w:pStyle w:val="NoSpacing"/>
        <w:rPr>
          <w:rStyle w:val="URI"/>
          <w:rFonts w:cstheme="minorHAnsi"/>
          <w:sz w:val="20"/>
          <w:szCs w:val="18"/>
        </w:rPr>
      </w:pPr>
    </w:p>
    <w:p w14:paraId="344D297C" w14:textId="03EBE00A"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3" w:tooltip="Communicable Diseases Network Australia website" w:history="1">
        <w:r w:rsidRPr="000606CC">
          <w:rPr>
            <w:rStyle w:val="Hyperlink"/>
            <w:rFonts w:cstheme="minorHAnsi"/>
            <w:sz w:val="20"/>
            <w:szCs w:val="18"/>
          </w:rPr>
          <w:t>http://www.health.gov.au/cdna</w:t>
        </w:r>
      </w:hyperlink>
    </w:p>
    <w:p w14:paraId="0F3D3A90" w14:textId="77777777" w:rsidR="001B37B8" w:rsidRPr="00E92237" w:rsidRDefault="001B37B8" w:rsidP="001B37B8">
      <w:pPr>
        <w:rPr>
          <w:rFonts w:cs="Myriad Pro"/>
          <w:color w:val="211D1E"/>
          <w:sz w:val="20"/>
          <w:szCs w:val="20"/>
        </w:rPr>
      </w:pPr>
    </w:p>
    <w:sectPr w:rsidR="001B37B8" w:rsidRPr="00E92237" w:rsidSect="002B75A9">
      <w:headerReference w:type="default" r:id="rId24"/>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301DBB" w14:textId="77777777" w:rsidR="00073CEC" w:rsidRDefault="00073CEC" w:rsidP="00E54DBA">
      <w:r>
        <w:separator/>
      </w:r>
    </w:p>
    <w:p w14:paraId="3FF157EA" w14:textId="77777777" w:rsidR="00073CEC" w:rsidRDefault="00073CEC"/>
    <w:p w14:paraId="28C682B4" w14:textId="77777777" w:rsidR="00073CEC" w:rsidRDefault="00073CEC" w:rsidP="008714B0"/>
  </w:endnote>
  <w:endnote w:type="continuationSeparator" w:id="0">
    <w:p w14:paraId="6CDE79D8" w14:textId="77777777" w:rsidR="00073CEC" w:rsidRDefault="00073CEC" w:rsidP="00E54DBA">
      <w:r>
        <w:continuationSeparator/>
      </w:r>
    </w:p>
    <w:p w14:paraId="2DF53853" w14:textId="77777777" w:rsidR="00073CEC" w:rsidRDefault="00073CEC"/>
    <w:p w14:paraId="337E8E83" w14:textId="77777777" w:rsidR="00073CEC" w:rsidRDefault="00073CEC"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490520" w14:textId="35148ECA" w:rsidR="00073CEC" w:rsidRPr="0042435E" w:rsidRDefault="00073CEC"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Pr>
        <w:noProof/>
        <w:sz w:val="18"/>
      </w:rPr>
      <w:t>3</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Pr>
        <w:noProof/>
        <w:sz w:val="18"/>
      </w:rPr>
      <w:t>3</w:t>
    </w:r>
    <w:r>
      <w:rPr>
        <w:noProof/>
        <w:sz w:val="18"/>
      </w:rPr>
      <w:fldChar w:fldCharType="end"/>
    </w:r>
    <w:r>
      <w:rPr>
        <w:noProof/>
        <w:sz w:val="18"/>
      </w:rPr>
      <w:t xml:space="preserve"> </w:t>
    </w:r>
    <w:r w:rsidRPr="004315F5">
      <w:rPr>
        <w:sz w:val="18"/>
      </w:rPr>
      <w:t xml:space="preserve"> </w:t>
    </w:r>
    <w:r>
      <w:rPr>
        <w:noProof/>
        <w:sz w:val="18"/>
      </w:rPr>
      <w:ptab w:relativeTo="margin" w:alignment="center" w:leader="none"/>
    </w:r>
    <w:r w:rsidRPr="004315F5">
      <w:rPr>
        <w:sz w:val="18"/>
      </w:rPr>
      <w:t xml:space="preserve"> </w:t>
    </w:r>
    <w:proofErr w:type="spellStart"/>
    <w:r w:rsidRPr="00687487">
      <w:rPr>
        <w:i/>
        <w:sz w:val="18"/>
      </w:rPr>
      <w:t>Commun</w:t>
    </w:r>
    <w:proofErr w:type="spellEnd"/>
    <w:r w:rsidRPr="00687487">
      <w:rPr>
        <w:i/>
        <w:sz w:val="18"/>
      </w:rPr>
      <w:t xml:space="preserve"> Dis </w:t>
    </w:r>
    <w:proofErr w:type="spellStart"/>
    <w:r w:rsidRPr="00687487">
      <w:rPr>
        <w:i/>
        <w:sz w:val="18"/>
      </w:rPr>
      <w:t>Intell</w:t>
    </w:r>
    <w:proofErr w:type="spellEnd"/>
    <w:r w:rsidRPr="00687487">
      <w:rPr>
        <w:i/>
        <w:sz w:val="18"/>
      </w:rPr>
      <w:t xml:space="preserve">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2022</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46</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8915F4">
      <w:rPr>
        <w:sz w:val="18"/>
      </w:rPr>
      <w:t>https://doi.org/10.33321/cdi.2022.46.14</w:t>
    </w:r>
    <w:r>
      <w:rPr>
        <w:sz w:val="18"/>
      </w:rPr>
      <w:fldChar w:fldCharType="end"/>
    </w:r>
    <w:r>
      <w:rPr>
        <w:sz w:val="18"/>
      </w:rPr>
      <w:t xml:space="preserve"> </w:t>
    </w:r>
    <w:proofErr w:type="spellStart"/>
    <w:r w:rsidRPr="00155582">
      <w:rPr>
        <w:sz w:val="18"/>
      </w:rPr>
      <w:t>Epub</w:t>
    </w:r>
    <w:proofErr w:type="spellEnd"/>
    <w:r>
      <w:rPr>
        <w:sz w:val="18"/>
      </w:rPr>
      <w:t xml:space="preserve"> </w:t>
    </w:r>
    <w:r>
      <w:rPr>
        <w:sz w:val="18"/>
      </w:rPr>
      <w:fldChar w:fldCharType="begin"/>
    </w:r>
    <w:r>
      <w:rPr>
        <w:sz w:val="18"/>
      </w:rPr>
      <w:instrText xml:space="preserve"> DOCPROPERTY  ePubDate  \* MERGEFORMAT </w:instrText>
    </w:r>
    <w:r>
      <w:rPr>
        <w:sz w:val="18"/>
      </w:rPr>
      <w:fldChar w:fldCharType="separate"/>
    </w:r>
    <w:r w:rsidR="008915F4">
      <w:rPr>
        <w:sz w:val="18"/>
      </w:rPr>
      <w:t>26/4/2022</w:t>
    </w:r>
    <w:r>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2120B" w14:textId="036A069E" w:rsidR="00073CEC" w:rsidRPr="00BB5378" w:rsidRDefault="00073CEC"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Pr>
        <w:noProof/>
        <w:sz w:val="18"/>
      </w:rPr>
      <w:t>1</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Pr>
        <w:noProof/>
        <w:sz w:val="18"/>
      </w:rPr>
      <w:t>3</w:t>
    </w:r>
    <w:r>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Pr="00687487">
      <w:rPr>
        <w:i/>
        <w:sz w:val="18"/>
      </w:rPr>
      <w:t>Commun</w:t>
    </w:r>
    <w:proofErr w:type="spellEnd"/>
    <w:r w:rsidRPr="00687487">
      <w:rPr>
        <w:i/>
        <w:sz w:val="18"/>
      </w:rPr>
      <w:t xml:space="preserve"> Dis </w:t>
    </w:r>
    <w:proofErr w:type="spellStart"/>
    <w:r w:rsidRPr="00687487">
      <w:rPr>
        <w:i/>
        <w:sz w:val="18"/>
      </w:rPr>
      <w:t>Intell</w:t>
    </w:r>
    <w:proofErr w:type="spellEnd"/>
    <w:r w:rsidRPr="00687487">
      <w:rPr>
        <w:i/>
        <w:sz w:val="18"/>
      </w:rPr>
      <w:t xml:space="preserve">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2022</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46</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8915F4">
      <w:rPr>
        <w:sz w:val="18"/>
      </w:rPr>
      <w:t>https://doi.org/10.33321/cdi.2022.46.14</w:t>
    </w:r>
    <w:r>
      <w:rPr>
        <w:sz w:val="18"/>
      </w:rPr>
      <w:fldChar w:fldCharType="end"/>
    </w:r>
    <w:r>
      <w:rPr>
        <w:sz w:val="18"/>
      </w:rPr>
      <w:t xml:space="preserve"> </w:t>
    </w:r>
    <w:proofErr w:type="spellStart"/>
    <w:r w:rsidRPr="00155582">
      <w:rPr>
        <w:sz w:val="18"/>
      </w:rPr>
      <w:t>Epub</w:t>
    </w:r>
    <w:proofErr w:type="spellEnd"/>
    <w:r w:rsidRPr="00155582">
      <w:rPr>
        <w:sz w:val="18"/>
      </w:rPr>
      <w:t xml:space="preserve"> </w:t>
    </w:r>
    <w:r>
      <w:rPr>
        <w:sz w:val="18"/>
      </w:rPr>
      <w:fldChar w:fldCharType="begin"/>
    </w:r>
    <w:r>
      <w:rPr>
        <w:sz w:val="18"/>
      </w:rPr>
      <w:instrText xml:space="preserve"> DOCPROPERTY  ePubDate  \* MERGEFORMAT </w:instrText>
    </w:r>
    <w:r>
      <w:rPr>
        <w:sz w:val="18"/>
      </w:rPr>
      <w:fldChar w:fldCharType="separate"/>
    </w:r>
    <w:r w:rsidR="008915F4">
      <w:rPr>
        <w:sz w:val="18"/>
      </w:rPr>
      <w:t>26/4/2022</w:t>
    </w:r>
    <w:r>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4F3210" w14:textId="77777777" w:rsidR="00073CEC" w:rsidRPr="00B91FB5" w:rsidRDefault="00073CEC" w:rsidP="00B91FB5">
      <w:pPr>
        <w:spacing w:after="0" w:line="240" w:lineRule="auto"/>
        <w:rPr>
          <w:sz w:val="18"/>
          <w:szCs w:val="18"/>
        </w:rPr>
      </w:pPr>
      <w:r w:rsidRPr="00B91FB5">
        <w:rPr>
          <w:sz w:val="18"/>
          <w:szCs w:val="18"/>
        </w:rPr>
        <w:separator/>
      </w:r>
    </w:p>
  </w:footnote>
  <w:footnote w:type="continuationSeparator" w:id="0">
    <w:p w14:paraId="33A9C54E" w14:textId="77777777" w:rsidR="00073CEC" w:rsidRDefault="00073CEC" w:rsidP="00E54DBA">
      <w:r>
        <w:continuationSeparator/>
      </w:r>
    </w:p>
  </w:footnote>
  <w:footnote w:type="continuationNotice" w:id="1">
    <w:p w14:paraId="76ACBC3E" w14:textId="77777777" w:rsidR="00073CEC" w:rsidRPr="00224EFF" w:rsidRDefault="00073CEC"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D8B7BC" w14:textId="5A071C29" w:rsidR="00073CEC" w:rsidRPr="00A153B6" w:rsidRDefault="005365FF"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073CEC">
          <w:t>Annual report</w:t>
        </w:r>
      </w:sdtContent>
    </w:sdt>
    <w:r w:rsidR="00073CEC">
      <w:ptab w:relativeTo="margin" w:alignment="right" w:leader="none"/>
    </w:r>
    <w:r w:rsidR="00073CEC"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DE6583" w14:textId="77777777" w:rsidR="00073CEC" w:rsidRPr="000A5F42" w:rsidRDefault="00073CEC" w:rsidP="000A5F42">
    <w:pPr>
      <w:pStyle w:val="Header"/>
      <w:jc w:val="center"/>
      <w:rPr>
        <w:b/>
      </w:rPr>
    </w:pPr>
    <w:r w:rsidRPr="00E810C5">
      <w:rPr>
        <w:rFonts w:cs="Myriad Pro"/>
        <w:noProof/>
        <w:color w:val="211D1E"/>
        <w:sz w:val="16"/>
      </w:rPr>
      <w:drawing>
        <wp:inline distT="0" distB="0" distL="0" distR="0" wp14:anchorId="030F2664" wp14:editId="77406A2B">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3722AB"/>
    <w:multiLevelType w:val="multilevel"/>
    <w:tmpl w:val="7C1CA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C72772"/>
    <w:multiLevelType w:val="multilevel"/>
    <w:tmpl w:val="DEE8F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0C3464F"/>
    <w:multiLevelType w:val="hybridMultilevel"/>
    <w:tmpl w:val="220EFD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B234437"/>
    <w:multiLevelType w:val="multilevel"/>
    <w:tmpl w:val="5FF6F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C92943"/>
    <w:multiLevelType w:val="multilevel"/>
    <w:tmpl w:val="3236B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AB137A2"/>
    <w:multiLevelType w:val="hybridMultilevel"/>
    <w:tmpl w:val="FAB69E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2"/>
  </w:num>
  <w:num w:numId="5">
    <w:abstractNumId w:val="9"/>
  </w:num>
  <w:num w:numId="6">
    <w:abstractNumId w:val="10"/>
  </w:num>
  <w:num w:numId="7">
    <w:abstractNumId w:val="7"/>
  </w:num>
  <w:num w:numId="8">
    <w:abstractNumId w:val="8"/>
  </w:num>
  <w:num w:numId="9">
    <w:abstractNumId w:val="11"/>
  </w:num>
  <w:num w:numId="10">
    <w:abstractNumId w:val="4"/>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noPunctuationKerning/>
  <w:characterSpacingControl w:val="doNotCompress"/>
  <w:hdrShapeDefaults>
    <o:shapedefaults v:ext="edit" spidmax="14337"/>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DFA"/>
    <w:rsid w:val="00000B5B"/>
    <w:rsid w:val="00001611"/>
    <w:rsid w:val="000104A8"/>
    <w:rsid w:val="0001246E"/>
    <w:rsid w:val="000124B1"/>
    <w:rsid w:val="00016FE6"/>
    <w:rsid w:val="00031064"/>
    <w:rsid w:val="00031692"/>
    <w:rsid w:val="00032531"/>
    <w:rsid w:val="000325A0"/>
    <w:rsid w:val="000471BF"/>
    <w:rsid w:val="00047B68"/>
    <w:rsid w:val="00052600"/>
    <w:rsid w:val="0005643C"/>
    <w:rsid w:val="0006264A"/>
    <w:rsid w:val="00073CEC"/>
    <w:rsid w:val="00073D77"/>
    <w:rsid w:val="00077AD7"/>
    <w:rsid w:val="00081655"/>
    <w:rsid w:val="000864E0"/>
    <w:rsid w:val="00092220"/>
    <w:rsid w:val="000969B3"/>
    <w:rsid w:val="000A1D58"/>
    <w:rsid w:val="000A5F42"/>
    <w:rsid w:val="000C1FF4"/>
    <w:rsid w:val="000D4B4D"/>
    <w:rsid w:val="000F6C8F"/>
    <w:rsid w:val="00113D58"/>
    <w:rsid w:val="001200CB"/>
    <w:rsid w:val="00135204"/>
    <w:rsid w:val="001378A3"/>
    <w:rsid w:val="00155582"/>
    <w:rsid w:val="00161590"/>
    <w:rsid w:val="00171CC0"/>
    <w:rsid w:val="00175494"/>
    <w:rsid w:val="00175629"/>
    <w:rsid w:val="001830EC"/>
    <w:rsid w:val="00183534"/>
    <w:rsid w:val="00194109"/>
    <w:rsid w:val="00195CDD"/>
    <w:rsid w:val="001A4A96"/>
    <w:rsid w:val="001A5D05"/>
    <w:rsid w:val="001A796C"/>
    <w:rsid w:val="001B2614"/>
    <w:rsid w:val="001B37B8"/>
    <w:rsid w:val="001B552F"/>
    <w:rsid w:val="001C0893"/>
    <w:rsid w:val="001C1303"/>
    <w:rsid w:val="001C70B2"/>
    <w:rsid w:val="001D37C7"/>
    <w:rsid w:val="001D6888"/>
    <w:rsid w:val="00224EFF"/>
    <w:rsid w:val="002276DC"/>
    <w:rsid w:val="00227E00"/>
    <w:rsid w:val="002307CB"/>
    <w:rsid w:val="00231046"/>
    <w:rsid w:val="00234F21"/>
    <w:rsid w:val="00242659"/>
    <w:rsid w:val="002428F7"/>
    <w:rsid w:val="0024315F"/>
    <w:rsid w:val="0024631C"/>
    <w:rsid w:val="00252C9A"/>
    <w:rsid w:val="00256309"/>
    <w:rsid w:val="00257484"/>
    <w:rsid w:val="00260636"/>
    <w:rsid w:val="00275C78"/>
    <w:rsid w:val="00280594"/>
    <w:rsid w:val="00281EE3"/>
    <w:rsid w:val="00284E4A"/>
    <w:rsid w:val="002A3799"/>
    <w:rsid w:val="002A3BCC"/>
    <w:rsid w:val="002A4516"/>
    <w:rsid w:val="002A569F"/>
    <w:rsid w:val="002A7066"/>
    <w:rsid w:val="002B001E"/>
    <w:rsid w:val="002B09B7"/>
    <w:rsid w:val="002B5F3D"/>
    <w:rsid w:val="002B75A9"/>
    <w:rsid w:val="002C21B0"/>
    <w:rsid w:val="002E2FB3"/>
    <w:rsid w:val="002F327B"/>
    <w:rsid w:val="00301626"/>
    <w:rsid w:val="003059EC"/>
    <w:rsid w:val="00316CCD"/>
    <w:rsid w:val="0032497B"/>
    <w:rsid w:val="00324F7E"/>
    <w:rsid w:val="003323BC"/>
    <w:rsid w:val="00346D42"/>
    <w:rsid w:val="00346E11"/>
    <w:rsid w:val="003601C0"/>
    <w:rsid w:val="003635F5"/>
    <w:rsid w:val="00372A88"/>
    <w:rsid w:val="00375CEC"/>
    <w:rsid w:val="00381A0F"/>
    <w:rsid w:val="003A1B3A"/>
    <w:rsid w:val="003A40F5"/>
    <w:rsid w:val="003B5B8C"/>
    <w:rsid w:val="003D79B1"/>
    <w:rsid w:val="003E74EE"/>
    <w:rsid w:val="003F0552"/>
    <w:rsid w:val="003F3BC2"/>
    <w:rsid w:val="00401ED1"/>
    <w:rsid w:val="0040224C"/>
    <w:rsid w:val="00410B68"/>
    <w:rsid w:val="00413EE1"/>
    <w:rsid w:val="004164BB"/>
    <w:rsid w:val="0042000E"/>
    <w:rsid w:val="00421ECE"/>
    <w:rsid w:val="00422FEB"/>
    <w:rsid w:val="0042435E"/>
    <w:rsid w:val="004315F5"/>
    <w:rsid w:val="00433456"/>
    <w:rsid w:val="00433DFA"/>
    <w:rsid w:val="00435D67"/>
    <w:rsid w:val="00451D93"/>
    <w:rsid w:val="00464A58"/>
    <w:rsid w:val="0047015A"/>
    <w:rsid w:val="00472DFA"/>
    <w:rsid w:val="00473D2D"/>
    <w:rsid w:val="00495B84"/>
    <w:rsid w:val="004A2125"/>
    <w:rsid w:val="004A38F6"/>
    <w:rsid w:val="004B4EB6"/>
    <w:rsid w:val="004C083C"/>
    <w:rsid w:val="004C0ADA"/>
    <w:rsid w:val="004C67C6"/>
    <w:rsid w:val="004D29DE"/>
    <w:rsid w:val="00510EAC"/>
    <w:rsid w:val="005365FF"/>
    <w:rsid w:val="00542A57"/>
    <w:rsid w:val="00565974"/>
    <w:rsid w:val="005732C0"/>
    <w:rsid w:val="0057336D"/>
    <w:rsid w:val="0057489A"/>
    <w:rsid w:val="00574ACF"/>
    <w:rsid w:val="00581588"/>
    <w:rsid w:val="0058540B"/>
    <w:rsid w:val="00587C87"/>
    <w:rsid w:val="00590B80"/>
    <w:rsid w:val="005B3134"/>
    <w:rsid w:val="005B4E61"/>
    <w:rsid w:val="005B595A"/>
    <w:rsid w:val="005B66C2"/>
    <w:rsid w:val="005C66A6"/>
    <w:rsid w:val="005D2465"/>
    <w:rsid w:val="005E33DD"/>
    <w:rsid w:val="005E4229"/>
    <w:rsid w:val="005E540E"/>
    <w:rsid w:val="005E55FB"/>
    <w:rsid w:val="005F16BB"/>
    <w:rsid w:val="00606A6B"/>
    <w:rsid w:val="00607115"/>
    <w:rsid w:val="00620768"/>
    <w:rsid w:val="0062594B"/>
    <w:rsid w:val="00631406"/>
    <w:rsid w:val="006324FF"/>
    <w:rsid w:val="006351D6"/>
    <w:rsid w:val="00636E0D"/>
    <w:rsid w:val="0064142F"/>
    <w:rsid w:val="00643CB4"/>
    <w:rsid w:val="00656427"/>
    <w:rsid w:val="00660255"/>
    <w:rsid w:val="00663377"/>
    <w:rsid w:val="00663EA5"/>
    <w:rsid w:val="00687487"/>
    <w:rsid w:val="00692801"/>
    <w:rsid w:val="006971F3"/>
    <w:rsid w:val="006C74A3"/>
    <w:rsid w:val="006D1381"/>
    <w:rsid w:val="006D31BC"/>
    <w:rsid w:val="006D37F3"/>
    <w:rsid w:val="006D5740"/>
    <w:rsid w:val="006E7943"/>
    <w:rsid w:val="006F24EA"/>
    <w:rsid w:val="00704CA9"/>
    <w:rsid w:val="0071048D"/>
    <w:rsid w:val="00710F86"/>
    <w:rsid w:val="007111A8"/>
    <w:rsid w:val="00731BC3"/>
    <w:rsid w:val="00741192"/>
    <w:rsid w:val="00743A33"/>
    <w:rsid w:val="00746080"/>
    <w:rsid w:val="0075144A"/>
    <w:rsid w:val="00757DC5"/>
    <w:rsid w:val="00786329"/>
    <w:rsid w:val="00792C7D"/>
    <w:rsid w:val="00794A4D"/>
    <w:rsid w:val="007A5234"/>
    <w:rsid w:val="007B7854"/>
    <w:rsid w:val="007C56A1"/>
    <w:rsid w:val="007C6454"/>
    <w:rsid w:val="007E01E0"/>
    <w:rsid w:val="007E6A39"/>
    <w:rsid w:val="007F0B93"/>
    <w:rsid w:val="007F2ECA"/>
    <w:rsid w:val="00811708"/>
    <w:rsid w:val="00816B90"/>
    <w:rsid w:val="00817799"/>
    <w:rsid w:val="00822F5F"/>
    <w:rsid w:val="00824FD3"/>
    <w:rsid w:val="00826589"/>
    <w:rsid w:val="00826866"/>
    <w:rsid w:val="00834BCC"/>
    <w:rsid w:val="00850D54"/>
    <w:rsid w:val="00852E2B"/>
    <w:rsid w:val="008714B0"/>
    <w:rsid w:val="00876331"/>
    <w:rsid w:val="00880726"/>
    <w:rsid w:val="00891161"/>
    <w:rsid w:val="008915F4"/>
    <w:rsid w:val="008A3544"/>
    <w:rsid w:val="008B48B8"/>
    <w:rsid w:val="008B5348"/>
    <w:rsid w:val="008B58F8"/>
    <w:rsid w:val="008C0712"/>
    <w:rsid w:val="008C4520"/>
    <w:rsid w:val="008C5F09"/>
    <w:rsid w:val="008D470F"/>
    <w:rsid w:val="008E1F8F"/>
    <w:rsid w:val="008E4768"/>
    <w:rsid w:val="008E761E"/>
    <w:rsid w:val="008F5E13"/>
    <w:rsid w:val="008F77B3"/>
    <w:rsid w:val="009008F5"/>
    <w:rsid w:val="00904CC1"/>
    <w:rsid w:val="009066AF"/>
    <w:rsid w:val="00912050"/>
    <w:rsid w:val="00912E48"/>
    <w:rsid w:val="0092746F"/>
    <w:rsid w:val="00935DC9"/>
    <w:rsid w:val="009446C0"/>
    <w:rsid w:val="0096082E"/>
    <w:rsid w:val="00961347"/>
    <w:rsid w:val="00967410"/>
    <w:rsid w:val="00967D73"/>
    <w:rsid w:val="009775B7"/>
    <w:rsid w:val="0098119A"/>
    <w:rsid w:val="00984AAF"/>
    <w:rsid w:val="00991B09"/>
    <w:rsid w:val="00993CB2"/>
    <w:rsid w:val="009A5166"/>
    <w:rsid w:val="009A76F8"/>
    <w:rsid w:val="009B2B83"/>
    <w:rsid w:val="009C49F8"/>
    <w:rsid w:val="009D429E"/>
    <w:rsid w:val="009D77CC"/>
    <w:rsid w:val="009E2423"/>
    <w:rsid w:val="009E55D7"/>
    <w:rsid w:val="009E7869"/>
    <w:rsid w:val="009F4150"/>
    <w:rsid w:val="009F5665"/>
    <w:rsid w:val="009F5DAD"/>
    <w:rsid w:val="00A01BCA"/>
    <w:rsid w:val="00A06DFA"/>
    <w:rsid w:val="00A10458"/>
    <w:rsid w:val="00A153B6"/>
    <w:rsid w:val="00A164D5"/>
    <w:rsid w:val="00A273C3"/>
    <w:rsid w:val="00A30C37"/>
    <w:rsid w:val="00A36C65"/>
    <w:rsid w:val="00A41BBE"/>
    <w:rsid w:val="00A443E3"/>
    <w:rsid w:val="00A45BDD"/>
    <w:rsid w:val="00A46A0A"/>
    <w:rsid w:val="00A553F8"/>
    <w:rsid w:val="00A6708F"/>
    <w:rsid w:val="00A71BF6"/>
    <w:rsid w:val="00A72AF9"/>
    <w:rsid w:val="00A86F9A"/>
    <w:rsid w:val="00A912D5"/>
    <w:rsid w:val="00AA35E6"/>
    <w:rsid w:val="00AA50B6"/>
    <w:rsid w:val="00AB1A9B"/>
    <w:rsid w:val="00AB3472"/>
    <w:rsid w:val="00AC411F"/>
    <w:rsid w:val="00AD0762"/>
    <w:rsid w:val="00AE3DCF"/>
    <w:rsid w:val="00AE4452"/>
    <w:rsid w:val="00AE7C38"/>
    <w:rsid w:val="00B01F99"/>
    <w:rsid w:val="00B02B37"/>
    <w:rsid w:val="00B05276"/>
    <w:rsid w:val="00B132DB"/>
    <w:rsid w:val="00B31427"/>
    <w:rsid w:val="00B33861"/>
    <w:rsid w:val="00B40DE2"/>
    <w:rsid w:val="00B50210"/>
    <w:rsid w:val="00B53955"/>
    <w:rsid w:val="00B63925"/>
    <w:rsid w:val="00B6408A"/>
    <w:rsid w:val="00B714B8"/>
    <w:rsid w:val="00B74F96"/>
    <w:rsid w:val="00B82C2C"/>
    <w:rsid w:val="00B8720B"/>
    <w:rsid w:val="00B876EF"/>
    <w:rsid w:val="00B91FB5"/>
    <w:rsid w:val="00BA4697"/>
    <w:rsid w:val="00BB5378"/>
    <w:rsid w:val="00BC0BD3"/>
    <w:rsid w:val="00BD0107"/>
    <w:rsid w:val="00BE0C33"/>
    <w:rsid w:val="00BE262C"/>
    <w:rsid w:val="00BE4C25"/>
    <w:rsid w:val="00BE6C3D"/>
    <w:rsid w:val="00C040A7"/>
    <w:rsid w:val="00C040DC"/>
    <w:rsid w:val="00C07606"/>
    <w:rsid w:val="00C12542"/>
    <w:rsid w:val="00C15154"/>
    <w:rsid w:val="00C236F3"/>
    <w:rsid w:val="00C24725"/>
    <w:rsid w:val="00C30BA9"/>
    <w:rsid w:val="00C3541E"/>
    <w:rsid w:val="00C36A8F"/>
    <w:rsid w:val="00C42834"/>
    <w:rsid w:val="00C42FFA"/>
    <w:rsid w:val="00C507D8"/>
    <w:rsid w:val="00C62EAC"/>
    <w:rsid w:val="00C63F9F"/>
    <w:rsid w:val="00C7368B"/>
    <w:rsid w:val="00C7723C"/>
    <w:rsid w:val="00C838F5"/>
    <w:rsid w:val="00C841C0"/>
    <w:rsid w:val="00CA1AF4"/>
    <w:rsid w:val="00CA3EB7"/>
    <w:rsid w:val="00CA6068"/>
    <w:rsid w:val="00CB15E1"/>
    <w:rsid w:val="00CB3D46"/>
    <w:rsid w:val="00CD1366"/>
    <w:rsid w:val="00CD1A87"/>
    <w:rsid w:val="00CD35F3"/>
    <w:rsid w:val="00CD5C93"/>
    <w:rsid w:val="00CE342B"/>
    <w:rsid w:val="00CF320C"/>
    <w:rsid w:val="00CF3A4B"/>
    <w:rsid w:val="00CF4001"/>
    <w:rsid w:val="00D05837"/>
    <w:rsid w:val="00D12D8A"/>
    <w:rsid w:val="00D13E0C"/>
    <w:rsid w:val="00D25896"/>
    <w:rsid w:val="00D373A1"/>
    <w:rsid w:val="00D37C0F"/>
    <w:rsid w:val="00D45661"/>
    <w:rsid w:val="00D45943"/>
    <w:rsid w:val="00D47D22"/>
    <w:rsid w:val="00D51865"/>
    <w:rsid w:val="00D51D0C"/>
    <w:rsid w:val="00D74140"/>
    <w:rsid w:val="00D9644A"/>
    <w:rsid w:val="00DA6E56"/>
    <w:rsid w:val="00DC24E5"/>
    <w:rsid w:val="00DC6705"/>
    <w:rsid w:val="00DD2DE8"/>
    <w:rsid w:val="00DE38B4"/>
    <w:rsid w:val="00DE5D02"/>
    <w:rsid w:val="00E005A9"/>
    <w:rsid w:val="00E1166E"/>
    <w:rsid w:val="00E24DC0"/>
    <w:rsid w:val="00E2519C"/>
    <w:rsid w:val="00E25F2A"/>
    <w:rsid w:val="00E41455"/>
    <w:rsid w:val="00E42AD2"/>
    <w:rsid w:val="00E50856"/>
    <w:rsid w:val="00E538CC"/>
    <w:rsid w:val="00E54BBD"/>
    <w:rsid w:val="00E54DBA"/>
    <w:rsid w:val="00E559AA"/>
    <w:rsid w:val="00E63D7C"/>
    <w:rsid w:val="00E640D5"/>
    <w:rsid w:val="00E66E2E"/>
    <w:rsid w:val="00E67691"/>
    <w:rsid w:val="00E92237"/>
    <w:rsid w:val="00E951EF"/>
    <w:rsid w:val="00EA3D54"/>
    <w:rsid w:val="00EA56D9"/>
    <w:rsid w:val="00EA5CE3"/>
    <w:rsid w:val="00EB51C1"/>
    <w:rsid w:val="00EB5AE1"/>
    <w:rsid w:val="00EB5E0B"/>
    <w:rsid w:val="00EC2171"/>
    <w:rsid w:val="00EC64E9"/>
    <w:rsid w:val="00ED442D"/>
    <w:rsid w:val="00ED70C2"/>
    <w:rsid w:val="00EE18FF"/>
    <w:rsid w:val="00EE489F"/>
    <w:rsid w:val="00F057C7"/>
    <w:rsid w:val="00F0647F"/>
    <w:rsid w:val="00F10CE3"/>
    <w:rsid w:val="00F12006"/>
    <w:rsid w:val="00F13443"/>
    <w:rsid w:val="00F14F3B"/>
    <w:rsid w:val="00F16362"/>
    <w:rsid w:val="00F207C7"/>
    <w:rsid w:val="00F36B6D"/>
    <w:rsid w:val="00F43FA3"/>
    <w:rsid w:val="00F55648"/>
    <w:rsid w:val="00F70046"/>
    <w:rsid w:val="00F748C2"/>
    <w:rsid w:val="00F74958"/>
    <w:rsid w:val="00F76C5C"/>
    <w:rsid w:val="00F81EF3"/>
    <w:rsid w:val="00F84496"/>
    <w:rsid w:val="00F85DCB"/>
    <w:rsid w:val="00F86F9C"/>
    <w:rsid w:val="00F90D76"/>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AFA2158"/>
  <w15:docId w15:val="{35A83B71-99AE-4BC0-B072-337821841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42000E"/>
    <w:pPr>
      <w:spacing w:after="0" w:line="240" w:lineRule="auto"/>
    </w:pPr>
    <w:rPr>
      <w:rFonts w:ascii="Calibri" w:hAnsi="Calibri"/>
    </w:rPr>
    <w:tblPr>
      <w:tblStyleRowBandSize w:val="1"/>
      <w:tblCellMar>
        <w:top w:w="57" w:type="dxa"/>
        <w:left w:w="57" w:type="dxa"/>
        <w:bottom w:w="57" w:type="dxa"/>
        <w:right w:w="57" w:type="dxa"/>
      </w:tblCellMar>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health.gov.au/cdi"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www.itsanhonour.gov.au/"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mailto:cdi.editor@health.gov.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health.gov.au/cdi" TargetMode="External"/><Relationship Id="rId20" Type="http://schemas.openxmlformats.org/officeDocument/2006/relationships/hyperlink" Target="https://creativecommons.org/licenses/by-nc-nd/4.0/legalcod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www.health.gov.au/cdna" TargetMode="External"/><Relationship Id="rId10" Type="http://schemas.openxmlformats.org/officeDocument/2006/relationships/image" Target="media/image2.png"/><Relationship Id="rId19" Type="http://schemas.openxmlformats.org/officeDocument/2006/relationships/hyperlink" Target="mailto:cdi.editor@health.gov.a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hyperlink" Target="mailto:copyright@health.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tiff"/></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2\template-202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template-2022.dotm</Template>
  <TotalTime>3</TotalTime>
  <Pages>15</Pages>
  <Words>6059</Words>
  <Characters>35976</Characters>
  <Application>Microsoft Office Word</Application>
  <DocSecurity>0</DocSecurity>
  <Lines>299</Lines>
  <Paragraphs>83</Paragraphs>
  <ScaleCrop>false</ScaleCrop>
  <HeadingPairs>
    <vt:vector size="2" baseType="variant">
      <vt:variant>
        <vt:lpstr>Title</vt:lpstr>
      </vt:variant>
      <vt:variant>
        <vt:i4>1</vt:i4>
      </vt:variant>
    </vt:vector>
  </HeadingPairs>
  <TitlesOfParts>
    <vt:vector size="1" baseType="lpstr">
      <vt:lpstr>Communicable Diseases Intelligence 2021 - Influenza epidemiology in patients admitted to sentinel Australian hospitals in 2019: the Influenza Complications Alert Network (FluCAN)</vt:lpstr>
    </vt:vector>
  </TitlesOfParts>
  <Company>Australian Government, Department of Health</Company>
  <LinksUpToDate>false</LinksUpToDate>
  <CharactersWithSpaces>41952</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2021 - Influenza epidemiology in patients admitted to sentinel Australian hospitals in 2019: the Influenza Complications Alert Network (FluCAN)</dc:title>
  <dc:subject>During the period 1 April to 31 October 2019 (the 2019 influenza season), there were 4,154 patients admitted with confirmed influenza to one of 17 FluCAN sentinel hospitals. Of these, 44% were elderly (≥ 65 years), 21% were children (&lt; 16 years), 7.7% were Aboriginal and Torres Strait Islander peoples, 1.7% were pregnant and 73% had chronic comorbidities.</dc:subject>
  <dc:creator>Allen C Cheng; Dominic E Dwyer; Mark Holmes; Louis B Irving; Graham Simpson; Sanjaya Senanayake; Tony Korman; N Deborah Friedman; Louise Cooley; Peter Wark; Anna Holwell; Simon Bowler; John W Upham; Daniel M Fatovich; Grant W Waterer; Kristine Macartney; Christopher C Blyth; Nigel Crawford; Jim Buttery; Helen S Marshall; Julia E Clark; Joshua Francis; Tom Kotsimbos; Paul M Kelly</dc:creator>
  <cp:keywords>Influenza; public health surveillance; influenza vaccines; vaccination coverage; vaccine effectiveness</cp:keywords>
  <dc:description>© Commonwealth of Australia CC BY-NC-ND ISSN: 2209-6051 (Online)</dc:description>
  <cp:lastModifiedBy>YOUSEFI, Kasra</cp:lastModifiedBy>
  <cp:revision>6</cp:revision>
  <cp:lastPrinted>2018-05-10T02:19:00Z</cp:lastPrinted>
  <dcterms:created xsi:type="dcterms:W3CDTF">2022-03-15T22:55:00Z</dcterms:created>
  <dcterms:modified xsi:type="dcterms:W3CDTF">2022-04-08T06:12:00Z</dcterms:modified>
  <cp:category>Annual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2022</vt:lpwstr>
  </property>
  <property fmtid="{D5CDD505-2E9C-101B-9397-08002B2CF9AE}" pid="3" name="Vol">
    <vt:i4>46</vt:i4>
  </property>
  <property fmtid="{D5CDD505-2E9C-101B-9397-08002B2CF9AE}" pid="4" name="ePubDate">
    <vt:lpwstr>26/4/2022</vt:lpwstr>
  </property>
  <property fmtid="{D5CDD505-2E9C-101B-9397-08002B2CF9AE}" pid="5" name="DOI">
    <vt:lpwstr>https://doi.org/10.33321/cdi.2022.46.14</vt:lpwstr>
  </property>
</Properties>
</file>