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2EF55" w14:textId="77777777" w:rsidR="0092082A" w:rsidRPr="00BA51B6" w:rsidRDefault="0092082A" w:rsidP="00DB0E4F">
      <w:pPr>
        <w:pStyle w:val="Title"/>
        <w:rPr>
          <w:w w:val="90"/>
        </w:rPr>
      </w:pPr>
      <w:r w:rsidRPr="00BA51B6">
        <w:rPr>
          <w:w w:val="90"/>
        </w:rPr>
        <w:t xml:space="preserve">Surveillance for severe influenza and COVID-19 in patients admitted to sentinel Australian hospitals in 2020: </w:t>
      </w:r>
      <w:proofErr w:type="gramStart"/>
      <w:r w:rsidRPr="00BA51B6">
        <w:rPr>
          <w:w w:val="90"/>
        </w:rPr>
        <w:t>the</w:t>
      </w:r>
      <w:proofErr w:type="gramEnd"/>
      <w:r w:rsidRPr="00BA51B6">
        <w:rPr>
          <w:w w:val="90"/>
        </w:rPr>
        <w:t xml:space="preserve"> Influenza Complications Alert Network (FluCAN)</w:t>
      </w:r>
    </w:p>
    <w:p w14:paraId="21F48C56" w14:textId="77777777" w:rsidR="0092082A" w:rsidRDefault="0092082A" w:rsidP="0092082A">
      <w:r>
        <w:t xml:space="preserve">Husna Begum, Dominic E Dwyer, Mark Holmes, Louis B Irving, Graham Simpson, Sanjaya Senanayake, Tony </w:t>
      </w:r>
      <w:proofErr w:type="spellStart"/>
      <w:r>
        <w:t>Korman</w:t>
      </w:r>
      <w:proofErr w:type="spellEnd"/>
      <w:r>
        <w:t xml:space="preserve">, N Deborah Friedman, Louise Cooley, Peter </w:t>
      </w:r>
      <w:proofErr w:type="spellStart"/>
      <w:r>
        <w:t>Wark</w:t>
      </w:r>
      <w:proofErr w:type="spellEnd"/>
      <w:r>
        <w:t xml:space="preserve">, Simon Bowler, Jen </w:t>
      </w:r>
      <w:proofErr w:type="spellStart"/>
      <w:r>
        <w:t>Kok</w:t>
      </w:r>
      <w:proofErr w:type="spellEnd"/>
      <w:r>
        <w:t xml:space="preserve">, John W Upham, Daniel M </w:t>
      </w:r>
      <w:proofErr w:type="spellStart"/>
      <w:r>
        <w:t>Fatovich</w:t>
      </w:r>
      <w:proofErr w:type="spellEnd"/>
      <w:r>
        <w:t xml:space="preserve">, Grant W Waterer, Kristine Macartney, Christopher C Blyth, Nigel Crawford, Jim Buttery, Helen S Marshall, Julia E Clark, Joshua R Francis, Tom </w:t>
      </w:r>
      <w:proofErr w:type="spellStart"/>
      <w:r>
        <w:t>Kotsimbos</w:t>
      </w:r>
      <w:proofErr w:type="spellEnd"/>
      <w:r>
        <w:t xml:space="preserve">, Paul M Kelly, Allen C Cheng </w:t>
      </w:r>
    </w:p>
    <w:p w14:paraId="3DB88DC4" w14:textId="77777777" w:rsidR="0092082A" w:rsidRPr="0092082A" w:rsidRDefault="0092082A" w:rsidP="0092082A">
      <w:pPr>
        <w:pStyle w:val="Heading1"/>
      </w:pPr>
      <w:r w:rsidRPr="0092082A">
        <w:t>Abstract</w:t>
      </w:r>
    </w:p>
    <w:p w14:paraId="6C237FD4" w14:textId="77777777" w:rsidR="0092082A" w:rsidRPr="0092082A" w:rsidRDefault="0092082A" w:rsidP="0092082A">
      <w:pPr>
        <w:pStyle w:val="Heading2"/>
      </w:pPr>
      <w:r w:rsidRPr="0092082A">
        <w:t>Introduction</w:t>
      </w:r>
    </w:p>
    <w:p w14:paraId="28EBC9E0" w14:textId="6EBDECFB" w:rsidR="0092082A" w:rsidRDefault="0092082A" w:rsidP="0092082A">
      <w:r>
        <w:t xml:space="preserve">Influenza is a common cause of acute respiratory </w:t>
      </w:r>
      <w:proofErr w:type="gramStart"/>
      <w:r>
        <w:t>infection, and</w:t>
      </w:r>
      <w:proofErr w:type="gramEnd"/>
      <w:r>
        <w:t xml:space="preserve"> is a major cause of morbidity and mortality. Coronavirus disease 2019 (COVID-19) is an acute respiratory infection that emerged as a pandemic worldwide before the start of the 2020 Australian influenza season. This report summarises the epidemiology of hospitalisations with laboratory-confirmed influenza and COVID-19 during the 2020 influenza season in a sentinel surveillance system.</w:t>
      </w:r>
    </w:p>
    <w:p w14:paraId="78AC528A" w14:textId="77777777" w:rsidR="0092082A" w:rsidRPr="0092082A" w:rsidRDefault="0092082A" w:rsidP="0092082A">
      <w:pPr>
        <w:pStyle w:val="Heading2"/>
      </w:pPr>
      <w:r w:rsidRPr="0092082A">
        <w:t>Methods</w:t>
      </w:r>
    </w:p>
    <w:p w14:paraId="05E772DF" w14:textId="77777777" w:rsidR="0092082A" w:rsidRDefault="0092082A" w:rsidP="0092082A">
      <w:r>
        <w:t>The Influenza Complications Alert Network (FluCAN) is a sentinel hospital-based surveillance program that operates at sites in all jurisdictions in Australia. Influenza and COVID-19 cases were defined as patients hospitalised at sentinel hospitals and confirmed by nucleic acid detection.</w:t>
      </w:r>
    </w:p>
    <w:p w14:paraId="1B2E7682" w14:textId="77777777" w:rsidR="0092082A" w:rsidRPr="0092082A" w:rsidRDefault="0092082A" w:rsidP="0092082A">
      <w:pPr>
        <w:pStyle w:val="Heading2"/>
      </w:pPr>
      <w:r w:rsidRPr="0092082A">
        <w:t>Results</w:t>
      </w:r>
    </w:p>
    <w:p w14:paraId="6085141E" w14:textId="77777777" w:rsidR="0092082A" w:rsidRDefault="0092082A" w:rsidP="0092082A">
      <w:r>
        <w:t>There were 448 patients with COVID-19 admitted between 16 March and 31 December 2020, and only 20 patients with influenza admitted between 1 April and 30 November 2020, to one of 22 FluCAN hospitals. Of the COVID-19 cases, 173 (39%) were &gt; 65 years of age, 36 (8%) were children (&lt; 16 years), 6 (1%) were Aboriginal and Torres Strait Islander peoples, 4 (1%) were pregnant and 289 (65%) had chronic comorbidities. COVID-19 hospital admissions peaked between weeks 13 and 15 (first wave) nationally, and again between weeks 31 and 35 (Victoria), with most admissions represented by those above 40 years of age.</w:t>
      </w:r>
    </w:p>
    <w:p w14:paraId="6C61BA42" w14:textId="77777777" w:rsidR="0092082A" w:rsidRPr="0092082A" w:rsidRDefault="0092082A" w:rsidP="0092082A">
      <w:pPr>
        <w:pStyle w:val="Heading2"/>
      </w:pPr>
      <w:r w:rsidRPr="0092082A">
        <w:t>Discussion</w:t>
      </w:r>
    </w:p>
    <w:p w14:paraId="7C335D60" w14:textId="77777777" w:rsidR="0092082A" w:rsidRDefault="0092082A" w:rsidP="0092082A">
      <w:r>
        <w:t xml:space="preserve">There was an unusually low number of hospital admissions with laboratory-confirmed influenza in this season, compared to recent seasons. This is likely to be due to effective public health interventions and international border closures </w:t>
      </w:r>
      <w:proofErr w:type="gramStart"/>
      <w:r>
        <w:t>as a result of</w:t>
      </w:r>
      <w:proofErr w:type="gramEnd"/>
      <w:r>
        <w:t xml:space="preserve"> a rise in COVID-19 respiratory infections and associated hospitalisations.</w:t>
      </w:r>
    </w:p>
    <w:p w14:paraId="59921F30" w14:textId="77777777" w:rsidR="0092082A" w:rsidRDefault="0092082A" w:rsidP="0092082A">
      <w:r>
        <w:t>Keywords: Influenza, public health surveillance, influenza vaccines, vaccination coverage, coronavirus</w:t>
      </w:r>
    </w:p>
    <w:p w14:paraId="55C36341" w14:textId="77777777" w:rsidR="0092082A" w:rsidRPr="0092082A" w:rsidRDefault="0092082A" w:rsidP="0092082A">
      <w:pPr>
        <w:pStyle w:val="Heading1"/>
      </w:pPr>
      <w:r w:rsidRPr="0092082A">
        <w:t>Introduction</w:t>
      </w:r>
    </w:p>
    <w:p w14:paraId="43C3A741" w14:textId="3A360A08" w:rsidR="0092082A" w:rsidRDefault="0092082A" w:rsidP="0092082A">
      <w:r>
        <w:t xml:space="preserve">In 2020, most countries saw an unprecedented rise in viral respiratory tract infections worldwide caused by a unique respiratory coronavirus, SARS-CoV-2. Coronavirus disease 2019 (COVID-19) resulted in substantial morbidity and </w:t>
      </w:r>
      <w:proofErr w:type="gramStart"/>
      <w:r>
        <w:t>mortality, and</w:t>
      </w:r>
      <w:proofErr w:type="gramEnd"/>
      <w:r>
        <w:t xml:space="preserve"> was declared a pandemic by the World Health Organization (WHO) on 11 March 2020. While the countries in the Southern Hemisphere were preparing for the upcoming winter respiratory pathogen infections, it was anticipated that there would be a co-circulation of both COVID-19 and the influenza virus, amongst other respiratory viruses.</w:t>
      </w:r>
    </w:p>
    <w:p w14:paraId="43F43F01" w14:textId="368AA900" w:rsidR="0092082A" w:rsidRDefault="0092082A" w:rsidP="0092082A">
      <w:r>
        <w:lastRenderedPageBreak/>
        <w:t>Influenza is an acute respiratory viral infection caused by influenza viruses. Global studies suggest that, along with respiratory syncytial virus (RSV), influenza A and B are the most common viruses identified in surveillance systems.</w:t>
      </w:r>
      <w:r>
        <w:rPr>
          <w:vertAlign w:val="superscript"/>
        </w:rPr>
        <w:t>1</w:t>
      </w:r>
      <w:r>
        <w:t xml:space="preserve"> It has been estimated that influenza caused 9.5 million hospitalisations and 145,000 deaths in 2017.</w:t>
      </w:r>
      <w:r>
        <w:rPr>
          <w:vertAlign w:val="superscript"/>
        </w:rPr>
        <w:t>2</w:t>
      </w:r>
      <w:r>
        <w:t xml:space="preserve"> In Australia, an analysis of administrative hospital data found that influenza is diagnosed in up to 10,000 admissions annually, with the highest incidence in children and the elderly.</w:t>
      </w:r>
      <w:r>
        <w:rPr>
          <w:vertAlign w:val="superscript"/>
        </w:rPr>
        <w:t>3</w:t>
      </w:r>
      <w:r>
        <w:t xml:space="preserve"> In 2020, the COVID-19 pandemic caused an unprecedented rise in hospitalisations due to acute respiratory illness caused by SARS-CoV-2, while simultaneously resulting in an all-time low record of influenza infections in Australia.</w:t>
      </w:r>
      <w:r>
        <w:rPr>
          <w:vertAlign w:val="superscript"/>
        </w:rPr>
        <w:t>4</w:t>
      </w:r>
      <w:r>
        <w:t xml:space="preserve"> In this report, we characterise the epidemiology of hospitalisations in Australia due to influenza and COVID-19.</w:t>
      </w:r>
    </w:p>
    <w:p w14:paraId="0C21F3C4" w14:textId="77777777" w:rsidR="0092082A" w:rsidRPr="0092082A" w:rsidRDefault="0092082A" w:rsidP="0092082A">
      <w:pPr>
        <w:pStyle w:val="Heading1"/>
      </w:pPr>
      <w:r w:rsidRPr="0092082A">
        <w:t>Methods</w:t>
      </w:r>
    </w:p>
    <w:p w14:paraId="0D9156FC" w14:textId="0082358D" w:rsidR="0092082A" w:rsidRDefault="0092082A" w:rsidP="0092082A">
      <w:r>
        <w:t>The Influenza Complications Alert Network (FluCAN) is a national hospital-based sentinel surveillance system,</w:t>
      </w:r>
      <w:r>
        <w:rPr>
          <w:vertAlign w:val="superscript"/>
        </w:rPr>
        <w:t>5–7</w:t>
      </w:r>
      <w:r>
        <w:t xml:space="preserve"> with the capacity to activate data collection for new infections such as the current pandemic. Since 2011, the participating sites have been:</w:t>
      </w:r>
    </w:p>
    <w:p w14:paraId="1BC2BE8B" w14:textId="77777777" w:rsidR="0092082A" w:rsidRPr="0092082A" w:rsidRDefault="0092082A" w:rsidP="0092082A">
      <w:pPr>
        <w:pStyle w:val="ListParagraph"/>
        <w:numPr>
          <w:ilvl w:val="0"/>
          <w:numId w:val="10"/>
        </w:numPr>
        <w:rPr>
          <w:rFonts w:eastAsia="Times New Roman"/>
        </w:rPr>
      </w:pPr>
      <w:r w:rsidRPr="0092082A">
        <w:rPr>
          <w:rFonts w:eastAsia="Times New Roman"/>
        </w:rPr>
        <w:t>Canberra Hospital (Australian Capital Territory, ACT)</w:t>
      </w:r>
    </w:p>
    <w:p w14:paraId="1914886E" w14:textId="77777777" w:rsidR="0092082A" w:rsidRPr="0092082A" w:rsidRDefault="0092082A" w:rsidP="0092082A">
      <w:pPr>
        <w:pStyle w:val="ListParagraph"/>
        <w:numPr>
          <w:ilvl w:val="0"/>
          <w:numId w:val="10"/>
        </w:numPr>
        <w:rPr>
          <w:rFonts w:eastAsia="Times New Roman"/>
        </w:rPr>
      </w:pPr>
      <w:r w:rsidRPr="0092082A">
        <w:rPr>
          <w:rFonts w:eastAsia="Times New Roman"/>
        </w:rPr>
        <w:t>Calvary Hospital (ACT)</w:t>
      </w:r>
    </w:p>
    <w:p w14:paraId="43C2A4B3" w14:textId="77777777" w:rsidR="0092082A" w:rsidRPr="0092082A" w:rsidRDefault="0092082A" w:rsidP="0092082A">
      <w:pPr>
        <w:pStyle w:val="ListParagraph"/>
        <w:numPr>
          <w:ilvl w:val="0"/>
          <w:numId w:val="10"/>
        </w:numPr>
        <w:rPr>
          <w:rFonts w:eastAsia="Times New Roman"/>
        </w:rPr>
      </w:pPr>
      <w:r w:rsidRPr="0092082A">
        <w:rPr>
          <w:rFonts w:eastAsia="Times New Roman"/>
        </w:rPr>
        <w:t>Westmead Hospital (New South Wales, NSW)</w:t>
      </w:r>
    </w:p>
    <w:p w14:paraId="1D353E79" w14:textId="77777777" w:rsidR="0092082A" w:rsidRPr="0092082A" w:rsidRDefault="0092082A" w:rsidP="0092082A">
      <w:pPr>
        <w:pStyle w:val="ListParagraph"/>
        <w:numPr>
          <w:ilvl w:val="0"/>
          <w:numId w:val="10"/>
        </w:numPr>
        <w:rPr>
          <w:rFonts w:eastAsia="Times New Roman"/>
        </w:rPr>
      </w:pPr>
      <w:r w:rsidRPr="0092082A">
        <w:rPr>
          <w:rFonts w:eastAsia="Times New Roman"/>
        </w:rPr>
        <w:t>John Hunter Hospital (NSW)</w:t>
      </w:r>
    </w:p>
    <w:p w14:paraId="1EAA5A76" w14:textId="77777777" w:rsidR="0092082A" w:rsidRPr="0092082A" w:rsidRDefault="0092082A" w:rsidP="0092082A">
      <w:pPr>
        <w:pStyle w:val="ListParagraph"/>
        <w:numPr>
          <w:ilvl w:val="0"/>
          <w:numId w:val="10"/>
        </w:numPr>
        <w:rPr>
          <w:rFonts w:eastAsia="Times New Roman"/>
        </w:rPr>
      </w:pPr>
      <w:r w:rsidRPr="0092082A">
        <w:rPr>
          <w:rFonts w:eastAsia="Times New Roman"/>
        </w:rPr>
        <w:t>Children’s Hospital at Westmead (NSW)</w:t>
      </w:r>
    </w:p>
    <w:p w14:paraId="085D24AE" w14:textId="77777777" w:rsidR="0092082A" w:rsidRPr="0092082A" w:rsidRDefault="0092082A" w:rsidP="0092082A">
      <w:pPr>
        <w:pStyle w:val="ListParagraph"/>
        <w:numPr>
          <w:ilvl w:val="0"/>
          <w:numId w:val="10"/>
        </w:numPr>
        <w:rPr>
          <w:rFonts w:eastAsia="Times New Roman"/>
        </w:rPr>
      </w:pPr>
      <w:r w:rsidRPr="0092082A">
        <w:rPr>
          <w:rFonts w:eastAsia="Times New Roman"/>
        </w:rPr>
        <w:t>Alice Springs Hospital (Northern Territory, NT)</w:t>
      </w:r>
    </w:p>
    <w:p w14:paraId="7854E972" w14:textId="77777777" w:rsidR="0092082A" w:rsidRPr="0092082A" w:rsidRDefault="0092082A" w:rsidP="0092082A">
      <w:pPr>
        <w:pStyle w:val="ListParagraph"/>
        <w:numPr>
          <w:ilvl w:val="0"/>
          <w:numId w:val="10"/>
        </w:numPr>
        <w:rPr>
          <w:rFonts w:eastAsia="Times New Roman"/>
        </w:rPr>
      </w:pPr>
      <w:r w:rsidRPr="0092082A">
        <w:rPr>
          <w:rFonts w:eastAsia="Times New Roman"/>
        </w:rPr>
        <w:t>Mater Hospital (Queensland, Qld)</w:t>
      </w:r>
    </w:p>
    <w:p w14:paraId="6C8CAA21" w14:textId="77777777" w:rsidR="0092082A" w:rsidRPr="0092082A" w:rsidRDefault="0092082A" w:rsidP="0092082A">
      <w:pPr>
        <w:pStyle w:val="ListParagraph"/>
        <w:numPr>
          <w:ilvl w:val="0"/>
          <w:numId w:val="10"/>
        </w:numPr>
        <w:rPr>
          <w:rFonts w:eastAsia="Times New Roman"/>
        </w:rPr>
      </w:pPr>
      <w:r w:rsidRPr="0092082A">
        <w:rPr>
          <w:rFonts w:eastAsia="Times New Roman"/>
        </w:rPr>
        <w:t>Princess Alexandra Hospital (Qld)</w:t>
      </w:r>
    </w:p>
    <w:p w14:paraId="6B67AD98" w14:textId="77777777" w:rsidR="0092082A" w:rsidRPr="0092082A" w:rsidRDefault="0092082A" w:rsidP="0092082A">
      <w:pPr>
        <w:pStyle w:val="ListParagraph"/>
        <w:numPr>
          <w:ilvl w:val="0"/>
          <w:numId w:val="10"/>
        </w:numPr>
        <w:rPr>
          <w:rFonts w:eastAsia="Times New Roman"/>
        </w:rPr>
      </w:pPr>
      <w:r w:rsidRPr="0092082A">
        <w:rPr>
          <w:rFonts w:eastAsia="Times New Roman"/>
        </w:rPr>
        <w:t>Cairns Base Hospital (Qld),</w:t>
      </w:r>
    </w:p>
    <w:p w14:paraId="037B98EF" w14:textId="77777777" w:rsidR="0092082A" w:rsidRPr="0092082A" w:rsidRDefault="0092082A" w:rsidP="0092082A">
      <w:pPr>
        <w:pStyle w:val="ListParagraph"/>
        <w:numPr>
          <w:ilvl w:val="0"/>
          <w:numId w:val="10"/>
        </w:numPr>
        <w:rPr>
          <w:rFonts w:eastAsia="Times New Roman"/>
        </w:rPr>
      </w:pPr>
      <w:r w:rsidRPr="0092082A">
        <w:rPr>
          <w:rFonts w:eastAsia="Times New Roman"/>
        </w:rPr>
        <w:t>Royal Adelaide Hospital (South Australia, SA)</w:t>
      </w:r>
    </w:p>
    <w:p w14:paraId="37A6ADEA" w14:textId="77777777" w:rsidR="0092082A" w:rsidRPr="0092082A" w:rsidRDefault="0092082A" w:rsidP="0092082A">
      <w:pPr>
        <w:pStyle w:val="ListParagraph"/>
        <w:numPr>
          <w:ilvl w:val="0"/>
          <w:numId w:val="10"/>
        </w:numPr>
        <w:rPr>
          <w:rFonts w:eastAsia="Times New Roman"/>
        </w:rPr>
      </w:pPr>
      <w:r w:rsidRPr="0092082A">
        <w:rPr>
          <w:rFonts w:eastAsia="Times New Roman"/>
        </w:rPr>
        <w:t>Royal Hobart Hospital (Tasmania, Tas.)</w:t>
      </w:r>
    </w:p>
    <w:p w14:paraId="106AC07A" w14:textId="77777777" w:rsidR="0092082A" w:rsidRPr="0092082A" w:rsidRDefault="0092082A" w:rsidP="0092082A">
      <w:pPr>
        <w:pStyle w:val="ListParagraph"/>
        <w:numPr>
          <w:ilvl w:val="0"/>
          <w:numId w:val="10"/>
        </w:numPr>
        <w:rPr>
          <w:rFonts w:eastAsia="Times New Roman"/>
        </w:rPr>
      </w:pPr>
      <w:r w:rsidRPr="0092082A">
        <w:rPr>
          <w:rFonts w:eastAsia="Times New Roman"/>
        </w:rPr>
        <w:t>The Alfred Hospital (Victoria, Vic.)</w:t>
      </w:r>
    </w:p>
    <w:p w14:paraId="6A66D352" w14:textId="77777777" w:rsidR="0092082A" w:rsidRPr="0092082A" w:rsidRDefault="0092082A" w:rsidP="0092082A">
      <w:pPr>
        <w:pStyle w:val="ListParagraph"/>
        <w:numPr>
          <w:ilvl w:val="0"/>
          <w:numId w:val="10"/>
        </w:numPr>
        <w:rPr>
          <w:rFonts w:eastAsia="Times New Roman"/>
        </w:rPr>
      </w:pPr>
      <w:r w:rsidRPr="0092082A">
        <w:rPr>
          <w:rFonts w:eastAsia="Times New Roman"/>
        </w:rPr>
        <w:t>Royal Melbourne Hospital (Vic.)</w:t>
      </w:r>
    </w:p>
    <w:p w14:paraId="05C5EA2D" w14:textId="77777777" w:rsidR="0092082A" w:rsidRPr="0092082A" w:rsidRDefault="0092082A" w:rsidP="0092082A">
      <w:pPr>
        <w:pStyle w:val="ListParagraph"/>
        <w:numPr>
          <w:ilvl w:val="0"/>
          <w:numId w:val="10"/>
        </w:numPr>
        <w:rPr>
          <w:rFonts w:eastAsia="Times New Roman"/>
        </w:rPr>
      </w:pPr>
      <w:r w:rsidRPr="0092082A">
        <w:rPr>
          <w:rFonts w:eastAsia="Times New Roman"/>
        </w:rPr>
        <w:t>Monash Medical Centre (Vic.)</w:t>
      </w:r>
    </w:p>
    <w:p w14:paraId="14B57DB8" w14:textId="77777777" w:rsidR="0092082A" w:rsidRPr="0092082A" w:rsidRDefault="0092082A" w:rsidP="0092082A">
      <w:pPr>
        <w:pStyle w:val="ListParagraph"/>
        <w:numPr>
          <w:ilvl w:val="0"/>
          <w:numId w:val="10"/>
        </w:numPr>
        <w:rPr>
          <w:rFonts w:eastAsia="Times New Roman"/>
        </w:rPr>
      </w:pPr>
      <w:r w:rsidRPr="0092082A">
        <w:rPr>
          <w:rFonts w:eastAsia="Times New Roman"/>
        </w:rPr>
        <w:t>University Hospital Geelong (Vic.)</w:t>
      </w:r>
    </w:p>
    <w:p w14:paraId="11A4A642" w14:textId="77777777" w:rsidR="0092082A" w:rsidRPr="0092082A" w:rsidRDefault="0092082A" w:rsidP="0092082A">
      <w:pPr>
        <w:pStyle w:val="ListParagraph"/>
        <w:numPr>
          <w:ilvl w:val="0"/>
          <w:numId w:val="10"/>
        </w:numPr>
        <w:rPr>
          <w:rFonts w:eastAsia="Times New Roman"/>
        </w:rPr>
      </w:pPr>
      <w:r w:rsidRPr="0092082A">
        <w:rPr>
          <w:rFonts w:eastAsia="Times New Roman"/>
        </w:rPr>
        <w:t>Royal Perth Hospital (Western Australia, WA)</w:t>
      </w:r>
    </w:p>
    <w:p w14:paraId="748ADE1B" w14:textId="77777777" w:rsidR="0092082A" w:rsidRPr="0092082A" w:rsidRDefault="0092082A" w:rsidP="0092082A">
      <w:pPr>
        <w:pStyle w:val="ListParagraph"/>
        <w:numPr>
          <w:ilvl w:val="0"/>
          <w:numId w:val="10"/>
        </w:numPr>
        <w:rPr>
          <w:rFonts w:eastAsia="Times New Roman"/>
        </w:rPr>
      </w:pPr>
      <w:r w:rsidRPr="0092082A">
        <w:rPr>
          <w:rFonts w:eastAsia="Times New Roman"/>
        </w:rPr>
        <w:t>Perth Children’s Hospital (previously Princess Margaret Hospital; WA)</w:t>
      </w:r>
    </w:p>
    <w:p w14:paraId="0E77B17D" w14:textId="297F8AEA" w:rsidR="0092082A" w:rsidRDefault="0092082A" w:rsidP="0092082A">
      <w:r>
        <w:t>Since 2018, additional specialist paediatric hospitals—Queensland Children’s Hospital (previously Lady Cilento Children’s Hospital, QLD); Women’s and Children’s Hospital (SA); the paediatric ward of the Royal Darwin Hospital (NT); and Royal Children’s Hospital (VIC)—also have contributed data. Influenza vaccine effectiveness has been estimated in previous years but was not examined in 2020 due to low numbers. Data were also collected for hospitalised COVID-19 patients in this network of sentinel hospitals. Research ethics has been obtained at all participating sites and at Monash University. Hospital bed capacity statistics were obtained from each participating hospital, and national bed capacity was obtained from the last published Australian Institute of Health and Welfare (AIHW) report.</w:t>
      </w:r>
      <w:r>
        <w:rPr>
          <w:vertAlign w:val="superscript"/>
        </w:rPr>
        <w:t>8</w:t>
      </w:r>
      <w:r>
        <w:t xml:space="preserve"> </w:t>
      </w:r>
    </w:p>
    <w:p w14:paraId="20E0CFAB" w14:textId="4321B7A5" w:rsidR="0092082A" w:rsidRDefault="0092082A" w:rsidP="0092082A">
      <w:r>
        <w:t>An influenza or COVID-19 case was defined as a patient admitted to hospital with influenza or COVID-19 as confirmed by nucleic acid testing (NAT). Surveillance was conducted from mid-March to the end of December 2020 for COVID-19 cases, and from April to November 2020 for influenza cases. Patients who were admitted with an acute respiratory infection but tested negative for influenza (including those with COVID-</w:t>
      </w:r>
      <w:r w:rsidR="00345559">
        <w:t>19)</w:t>
      </w:r>
      <w:r>
        <w:t xml:space="preserve"> were regarded as influenza </w:t>
      </w:r>
      <w:r>
        <w:lastRenderedPageBreak/>
        <w:t>controls. Admission or transfer to an intensive care unit (ICU) included patients managed in a high dependency unit (HDU). The onset date was defined as the date of admission except for patients where the date of the test was more than seven days after admission, where the onset date was the date of the test. The presence of risk factors and comorbidities was ascertained from the patient’s medical record.</w:t>
      </w:r>
    </w:p>
    <w:p w14:paraId="6B8BA2FE" w14:textId="77777777" w:rsidR="0092082A" w:rsidRDefault="0092082A" w:rsidP="0092082A">
      <w:r>
        <w:t>We examined factors associated with ICU admission using multivariable regression. Factors independently associated with ICU admission were determined using a logistic regression model with no variable selection process, as all included factors were plausibly related to ICU admission. We modelled factors associated with length of hospital stay using a negative binomial regression, where the exponential of the regression coefficient represents the relative increase in hospital length of stay.</w:t>
      </w:r>
    </w:p>
    <w:p w14:paraId="66F8DC3D" w14:textId="77777777" w:rsidR="0092082A" w:rsidRDefault="0092082A" w:rsidP="0092082A">
      <w:r>
        <w:t>The presentation delay was defined as the time from the date of symptom onset to the date of admission to hospital. For influenza patients, the treatment delay was defined as the time from onset of illness to prescription of oseltamivir (in patients that received treatment). Patients were categorised into those that either (a) did not receive oseltamivir; (b) received oseltamivir within two days of symptom onset; or (c) received oseltamivir more than two days after symptom onset.</w:t>
      </w:r>
    </w:p>
    <w:p w14:paraId="7425F4A3" w14:textId="77777777" w:rsidR="0092082A" w:rsidRPr="0092082A" w:rsidRDefault="0092082A" w:rsidP="0092082A">
      <w:pPr>
        <w:pStyle w:val="Heading1"/>
      </w:pPr>
      <w:r w:rsidRPr="0092082A">
        <w:t>Results</w:t>
      </w:r>
    </w:p>
    <w:p w14:paraId="6F27014E" w14:textId="77777777" w:rsidR="0092082A" w:rsidRPr="00FD1467" w:rsidRDefault="0092082A" w:rsidP="00FD1467">
      <w:pPr>
        <w:pStyle w:val="Heading2"/>
      </w:pPr>
      <w:r w:rsidRPr="00FD1467">
        <w:t>Influenza</w:t>
      </w:r>
    </w:p>
    <w:p w14:paraId="466A0359" w14:textId="77777777" w:rsidR="0092082A" w:rsidRDefault="0092082A" w:rsidP="0092082A">
      <w:r>
        <w:t xml:space="preserve">During the influenza season (1 April – 30 November 2020), a total of 20 patients were admitted with laboratory-confirmed influenza to the 17 FluCAN sentinel hospitals. </w:t>
      </w:r>
      <w:proofErr w:type="gramStart"/>
      <w:r>
        <w:t>The majority of</w:t>
      </w:r>
      <w:proofErr w:type="gramEnd"/>
      <w:r>
        <w:t xml:space="preserve"> cases were due to influenza A (A/H1N1= 25%; A/unknown = 40%) and B (30%) (Table 1). </w:t>
      </w:r>
    </w:p>
    <w:p w14:paraId="6C0F4A77" w14:textId="77777777" w:rsidR="0092082A" w:rsidRDefault="0092082A" w:rsidP="0092082A">
      <w:r>
        <w:t>Of the 20 patients admitted with confirmed influenza, five (25%) were ≥ 65 years of age, eight (40%) were children (&lt; 16 years), five (25%) were Aboriginal and Torres Strait Islander peoples, and eleven (55%) had chronic comorbidities (Table 1; Table 2). There were no pregnant women hospitalised at FluCAN sentinel hospitals with influenza in 2020. Peak hospital admission was reported on week 13 (n = 5, equivalent to 25% of influenza positive cases) as seen in Figure 1. Of all cases, only one influenza patient (5%) was admitted to ICU (Table 2).</w:t>
      </w:r>
    </w:p>
    <w:p w14:paraId="21A8AEF8" w14:textId="77777777" w:rsidR="0092082A" w:rsidRDefault="0092082A" w:rsidP="0092082A">
      <w:r>
        <w:t>Overall, the peak incidence of admissions with confirmed influenza was 1.2 per 100 hospital beds in the Children’s Hospital at Westmead (Appendix Figures 1 and 2; in epidemiological week 13).</w:t>
      </w:r>
    </w:p>
    <w:p w14:paraId="1FEA5EAD" w14:textId="77777777" w:rsidR="002E3B69" w:rsidRDefault="002E3B69" w:rsidP="00FD1467">
      <w:pPr>
        <w:pStyle w:val="Heading2"/>
        <w:sectPr w:rsidR="002E3B69"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7D3EDA2D" w14:textId="77777777" w:rsidR="002E3B69" w:rsidRDefault="002E3B69" w:rsidP="002E3B69">
      <w:pPr>
        <w:pStyle w:val="NormalWeb"/>
        <w:rPr>
          <w:lang w:val="en-GB"/>
        </w:rPr>
      </w:pPr>
      <w:r>
        <w:rPr>
          <w:rStyle w:val="Strong"/>
          <w:lang w:val="en-GB"/>
        </w:rPr>
        <w:lastRenderedPageBreak/>
        <w:t xml:space="preserve">Figure 1: Date of </w:t>
      </w:r>
      <w:proofErr w:type="spellStart"/>
      <w:r>
        <w:rPr>
          <w:rStyle w:val="Strong"/>
          <w:lang w:val="en-GB"/>
        </w:rPr>
        <w:t>admission</w:t>
      </w:r>
      <w:r w:rsidRPr="00D166B0">
        <w:rPr>
          <w:rStyle w:val="Strong"/>
          <w:vertAlign w:val="superscript"/>
          <w:lang w:val="en-GB"/>
        </w:rPr>
        <w:t>a</w:t>
      </w:r>
      <w:proofErr w:type="spellEnd"/>
      <w:r>
        <w:rPr>
          <w:rStyle w:val="Strong"/>
          <w:lang w:val="en-GB"/>
        </w:rPr>
        <w:t xml:space="preserve"> in patients hospitalised with confirmed influenza</w:t>
      </w:r>
    </w:p>
    <w:p w14:paraId="6F44ED8D" w14:textId="77777777" w:rsidR="002E3B69" w:rsidRDefault="002E3B69" w:rsidP="002E3B69">
      <w:pPr>
        <w:jc w:val="center"/>
        <w:rPr>
          <w:rFonts w:eastAsia="Times New Roman"/>
          <w:lang w:val="en-GB"/>
        </w:rPr>
      </w:pPr>
      <w:r>
        <w:rPr>
          <w:rFonts w:eastAsia="Times New Roman"/>
          <w:noProof/>
          <w:lang w:val="en-GB"/>
        </w:rPr>
        <w:drawing>
          <wp:inline distT="0" distB="0" distL="0" distR="0" wp14:anchorId="17C2D8E7" wp14:editId="67D6CDF9">
            <wp:extent cx="5511832" cy="8286639"/>
            <wp:effectExtent l="0" t="0" r="0" b="635"/>
            <wp:docPr id="6" name="Picture 6" descr="This figure shows the date of admission in patients hospitalised with influenza with comparison to previous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figure shows the date of admission in patients hospitalised with influenza with comparison to previous year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511832" cy="8286639"/>
                    </a:xfrm>
                    <a:prstGeom prst="rect">
                      <a:avLst/>
                    </a:prstGeom>
                  </pic:spPr>
                </pic:pic>
              </a:graphicData>
            </a:graphic>
          </wp:inline>
        </w:drawing>
      </w:r>
    </w:p>
    <w:p w14:paraId="425A2825" w14:textId="77777777" w:rsidR="002E3B69" w:rsidRDefault="002E3B69" w:rsidP="002E3B69">
      <w:pPr>
        <w:pStyle w:val="CDIfootnotes"/>
        <w:rPr>
          <w:lang w:val="en-GB"/>
        </w:rPr>
      </w:pPr>
      <w:r>
        <w:rPr>
          <w:lang w:val="en-GB"/>
        </w:rPr>
        <w:t>a</w:t>
      </w:r>
      <w:r>
        <w:rPr>
          <w:lang w:val="en-GB"/>
        </w:rPr>
        <w:tab/>
      </w:r>
      <w:proofErr w:type="spellStart"/>
      <w:proofErr w:type="gramStart"/>
      <w:r>
        <w:rPr>
          <w:lang w:val="en-GB"/>
        </w:rPr>
        <w:t>By</w:t>
      </w:r>
      <w:proofErr w:type="spellEnd"/>
      <w:proofErr w:type="gramEnd"/>
      <w:r>
        <w:rPr>
          <w:lang w:val="en-GB"/>
        </w:rPr>
        <w:t xml:space="preserve"> week beginning on listed date; representing date of admission (or date of influenza diagnosis if acquired &gt; 7 days in hospital).</w:t>
      </w:r>
    </w:p>
    <w:p w14:paraId="4995C205" w14:textId="1126FDFC" w:rsidR="002E3B69" w:rsidRDefault="002E3B69" w:rsidP="00FD1467">
      <w:pPr>
        <w:pStyle w:val="Heading2"/>
        <w:sectPr w:rsidR="002E3B69" w:rsidSect="00A30C37">
          <w:pgSz w:w="11906" w:h="16838"/>
          <w:pgMar w:top="720" w:right="720" w:bottom="1134" w:left="720" w:header="709" w:footer="284" w:gutter="0"/>
          <w:cols w:space="708"/>
          <w:titlePg/>
          <w:docGrid w:linePitch="360"/>
        </w:sectPr>
      </w:pPr>
    </w:p>
    <w:p w14:paraId="5F4D1DC2" w14:textId="5F75E9C3" w:rsidR="0092082A" w:rsidRPr="00FD1467" w:rsidRDefault="0092082A" w:rsidP="00FD1467">
      <w:pPr>
        <w:pStyle w:val="Heading2"/>
      </w:pPr>
      <w:r w:rsidRPr="00FD1467">
        <w:lastRenderedPageBreak/>
        <w:t>Use of antivirals and vaccine effectiveness</w:t>
      </w:r>
    </w:p>
    <w:p w14:paraId="2C7B8820" w14:textId="462BA2FB" w:rsidR="0092082A" w:rsidRDefault="0092082A" w:rsidP="0092082A">
      <w:r>
        <w:t>Of the 17 influenza cases where the date of onset was reported, 47% did not receive oseltamivir, 6% received oseltamivir within two days of symptom onset and 17% received oseltamivir more than two days after the onset of illness. Oseltamivir use was lower in children (13% within two days; a further 13% more than two days) than in non-elderly adults (0%; 80%) and the elderly (0%; 75%) (Appendix, Table A.1). The small number of cases precluded meaningful estimation of vaccine effectiveness. However, influenza vaccination coverage was estimated based on the vaccination status of patients without influenza (including those with COVID-19) (Table 3). Estimated influenza vaccine was 74% (88/119) in the elderly (≥ 65 years), and 50% (52/104) in non-elderly adults with medical comorbidities. In children below 16 years of age, the estimated influenza vaccine coverage was 19% (11/58).</w:t>
      </w:r>
    </w:p>
    <w:p w14:paraId="00301C8C" w14:textId="77777777" w:rsidR="006B3111" w:rsidRDefault="006B3111" w:rsidP="0092082A">
      <w:pPr>
        <w:pStyle w:val="Heading2"/>
        <w:sectPr w:rsidR="006B3111" w:rsidSect="00A30C37">
          <w:pgSz w:w="11906" w:h="16838"/>
          <w:pgMar w:top="720" w:right="720" w:bottom="1134" w:left="720" w:header="709" w:footer="284" w:gutter="0"/>
          <w:cols w:space="708"/>
          <w:titlePg/>
          <w:docGrid w:linePitch="360"/>
        </w:sectPr>
      </w:pPr>
    </w:p>
    <w:p w14:paraId="31107A1A" w14:textId="77777777" w:rsidR="006B3111" w:rsidRPr="009B2CC6" w:rsidRDefault="006B3111" w:rsidP="006B3111">
      <w:pPr>
        <w:pStyle w:val="CDIFigures"/>
      </w:pPr>
      <w:r w:rsidRPr="009B2CC6">
        <w:rPr>
          <w:rStyle w:val="Strong"/>
          <w:b/>
          <w:bCs w:val="0"/>
        </w:rPr>
        <w:lastRenderedPageBreak/>
        <w:t xml:space="preserve">Table 1: Demographic characteristics of hospitalised patients with confirmed influenza </w:t>
      </w:r>
    </w:p>
    <w:tbl>
      <w:tblPr>
        <w:tblStyle w:val="CDI-StandardTable"/>
        <w:tblW w:w="0" w:type="auto"/>
        <w:tblLook w:val="04A0" w:firstRow="1" w:lastRow="0" w:firstColumn="1" w:lastColumn="0" w:noHBand="0" w:noVBand="1"/>
        <w:tblDescription w:val="Table 1: This table presents the characteristics of influenza patients admitted to the sentinel hospitals, including age, sex, pregnancy status, Indigenous status and jurisdiction, with confirmed influenza, by influenza type and subtype.&#10;"/>
      </w:tblPr>
      <w:tblGrid>
        <w:gridCol w:w="3681"/>
        <w:gridCol w:w="992"/>
        <w:gridCol w:w="676"/>
        <w:gridCol w:w="1095"/>
        <w:gridCol w:w="962"/>
        <w:gridCol w:w="1557"/>
        <w:gridCol w:w="1136"/>
        <w:gridCol w:w="1154"/>
        <w:gridCol w:w="1348"/>
        <w:gridCol w:w="1132"/>
        <w:gridCol w:w="1232"/>
        <w:gridCol w:w="13"/>
      </w:tblGrid>
      <w:tr w:rsidR="006B3111" w:rsidRPr="00F1005B" w14:paraId="789D4342" w14:textId="77777777" w:rsidTr="006B3111">
        <w:trPr>
          <w:cnfStyle w:val="100000000000" w:firstRow="1" w:lastRow="0" w:firstColumn="0" w:lastColumn="0" w:oddVBand="0" w:evenVBand="0" w:oddHBand="0" w:evenHBand="0" w:firstRowFirstColumn="0" w:firstRowLastColumn="0" w:lastRowFirstColumn="0" w:lastRowLastColumn="0"/>
          <w:tblHeader/>
        </w:trPr>
        <w:tc>
          <w:tcPr>
            <w:tcW w:w="3686" w:type="dxa"/>
            <w:tcBorders>
              <w:top w:val="single" w:sz="2" w:space="0" w:color="886E49"/>
              <w:left w:val="single" w:sz="2" w:space="0" w:color="886E49"/>
              <w:bottom w:val="single" w:sz="2" w:space="0" w:color="886E49"/>
              <w:right w:val="single" w:sz="2" w:space="0" w:color="886E49"/>
            </w:tcBorders>
            <w:hideMark/>
          </w:tcPr>
          <w:p w14:paraId="6028F722" w14:textId="77777777" w:rsidR="006B3111" w:rsidRPr="00F1005B" w:rsidRDefault="006B3111" w:rsidP="00035553">
            <w:pPr>
              <w:rPr>
                <w:color w:val="FFFFFF" w:themeColor="background1"/>
                <w:sz w:val="18"/>
                <w:szCs w:val="18"/>
                <w:lang w:val="en-GB"/>
              </w:rPr>
            </w:pPr>
          </w:p>
        </w:tc>
        <w:tc>
          <w:tcPr>
            <w:tcW w:w="8930" w:type="dxa"/>
            <w:gridSpan w:val="8"/>
            <w:tcBorders>
              <w:top w:val="single" w:sz="2" w:space="0" w:color="886E49"/>
              <w:left w:val="single" w:sz="2" w:space="0" w:color="886E49"/>
              <w:bottom w:val="single" w:sz="2" w:space="0" w:color="886E49"/>
              <w:right w:val="single" w:sz="2" w:space="0" w:color="886E49"/>
            </w:tcBorders>
            <w:hideMark/>
          </w:tcPr>
          <w:p w14:paraId="1E9DBC54"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Influenza type/subtype</w:t>
            </w:r>
          </w:p>
        </w:tc>
        <w:tc>
          <w:tcPr>
            <w:tcW w:w="2368" w:type="dxa"/>
            <w:gridSpan w:val="3"/>
            <w:vMerge w:val="restart"/>
            <w:tcBorders>
              <w:top w:val="single" w:sz="2" w:space="0" w:color="886E49"/>
              <w:left w:val="single" w:sz="2" w:space="0" w:color="886E49"/>
              <w:bottom w:val="single" w:sz="2" w:space="0" w:color="886E49"/>
              <w:right w:val="single" w:sz="2" w:space="0" w:color="886E49"/>
            </w:tcBorders>
            <w:vAlign w:val="center"/>
            <w:hideMark/>
          </w:tcPr>
          <w:p w14:paraId="244EA85A"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Total</w:t>
            </w:r>
            <w:r w:rsidRPr="00F1005B">
              <w:rPr>
                <w:color w:val="FFFFFF" w:themeColor="background1"/>
                <w:sz w:val="18"/>
                <w:szCs w:val="18"/>
              </w:rPr>
              <w:br/>
              <w:t xml:space="preserve">( n = </w:t>
            </w:r>
            <w:proofErr w:type="gramStart"/>
            <w:r w:rsidRPr="00F1005B">
              <w:rPr>
                <w:color w:val="FFFFFF" w:themeColor="background1"/>
                <w:sz w:val="18"/>
                <w:szCs w:val="18"/>
              </w:rPr>
              <w:t>20 )</w:t>
            </w:r>
            <w:proofErr w:type="gramEnd"/>
          </w:p>
        </w:tc>
      </w:tr>
      <w:tr w:rsidR="006B3111" w:rsidRPr="00F1005B" w14:paraId="5B07DB72" w14:textId="77777777" w:rsidTr="006B3111">
        <w:trPr>
          <w:cnfStyle w:val="100000000000" w:firstRow="1" w:lastRow="0" w:firstColumn="0" w:lastColumn="0" w:oddVBand="0" w:evenVBand="0" w:oddHBand="0" w:evenHBand="0" w:firstRowFirstColumn="0" w:firstRowLastColumn="0" w:lastRowFirstColumn="0" w:lastRowLastColumn="0"/>
          <w:tblHeader/>
        </w:trPr>
        <w:tc>
          <w:tcPr>
            <w:tcW w:w="3686" w:type="dxa"/>
            <w:tcBorders>
              <w:top w:val="single" w:sz="2" w:space="0" w:color="886E49"/>
              <w:left w:val="single" w:sz="2" w:space="0" w:color="886E49"/>
              <w:bottom w:val="single" w:sz="2" w:space="0" w:color="886E49"/>
              <w:right w:val="single" w:sz="2" w:space="0" w:color="886E49"/>
            </w:tcBorders>
            <w:hideMark/>
          </w:tcPr>
          <w:p w14:paraId="442A2E84" w14:textId="77777777" w:rsidR="006B3111" w:rsidRPr="00F1005B" w:rsidRDefault="006B3111" w:rsidP="00035553">
            <w:pPr>
              <w:rPr>
                <w:color w:val="FFFFFF" w:themeColor="background1"/>
                <w:sz w:val="18"/>
                <w:szCs w:val="18"/>
              </w:rPr>
            </w:pPr>
          </w:p>
        </w:tc>
        <w:tc>
          <w:tcPr>
            <w:tcW w:w="1669" w:type="dxa"/>
            <w:gridSpan w:val="2"/>
            <w:tcBorders>
              <w:top w:val="single" w:sz="2" w:space="0" w:color="886E49"/>
              <w:left w:val="single" w:sz="2" w:space="0" w:color="886E49"/>
              <w:bottom w:val="single" w:sz="2" w:space="0" w:color="886E49"/>
              <w:right w:val="single" w:sz="2" w:space="0" w:color="886E49"/>
            </w:tcBorders>
            <w:hideMark/>
          </w:tcPr>
          <w:p w14:paraId="21475B64"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A/H1N1</w:t>
            </w:r>
            <w:r w:rsidRPr="00F1005B">
              <w:rPr>
                <w:color w:val="FFFFFF" w:themeColor="background1"/>
                <w:sz w:val="18"/>
                <w:szCs w:val="18"/>
              </w:rPr>
              <w:br/>
              <w:t>( n = 5; 25%)</w:t>
            </w:r>
          </w:p>
        </w:tc>
        <w:tc>
          <w:tcPr>
            <w:tcW w:w="2059" w:type="dxa"/>
            <w:gridSpan w:val="2"/>
            <w:tcBorders>
              <w:top w:val="single" w:sz="2" w:space="0" w:color="886E49"/>
              <w:left w:val="single" w:sz="2" w:space="0" w:color="886E49"/>
              <w:bottom w:val="single" w:sz="2" w:space="0" w:color="886E49"/>
              <w:right w:val="single" w:sz="2" w:space="0" w:color="886E49"/>
            </w:tcBorders>
            <w:hideMark/>
          </w:tcPr>
          <w:p w14:paraId="4989D236"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A/H3N2</w:t>
            </w:r>
            <w:r w:rsidRPr="00F1005B">
              <w:rPr>
                <w:color w:val="FFFFFF" w:themeColor="background1"/>
                <w:sz w:val="18"/>
                <w:szCs w:val="18"/>
              </w:rPr>
              <w:br/>
              <w:t>( n = 1; 5%)</w:t>
            </w:r>
          </w:p>
        </w:tc>
        <w:tc>
          <w:tcPr>
            <w:tcW w:w="2696" w:type="dxa"/>
            <w:gridSpan w:val="2"/>
            <w:tcBorders>
              <w:top w:val="single" w:sz="2" w:space="0" w:color="886E49"/>
              <w:left w:val="single" w:sz="2" w:space="0" w:color="886E49"/>
              <w:bottom w:val="single" w:sz="2" w:space="0" w:color="886E49"/>
              <w:right w:val="single" w:sz="2" w:space="0" w:color="886E49"/>
            </w:tcBorders>
            <w:hideMark/>
          </w:tcPr>
          <w:p w14:paraId="47523503"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A/unknown</w:t>
            </w:r>
            <w:r w:rsidRPr="00F1005B">
              <w:rPr>
                <w:color w:val="FFFFFF" w:themeColor="background1"/>
                <w:sz w:val="18"/>
                <w:szCs w:val="18"/>
              </w:rPr>
              <w:br/>
              <w:t>( n = 8; 40%)</w:t>
            </w:r>
          </w:p>
        </w:tc>
        <w:tc>
          <w:tcPr>
            <w:tcW w:w="2506" w:type="dxa"/>
            <w:gridSpan w:val="2"/>
            <w:tcBorders>
              <w:top w:val="single" w:sz="2" w:space="0" w:color="886E49"/>
              <w:left w:val="single" w:sz="2" w:space="0" w:color="886E49"/>
              <w:bottom w:val="single" w:sz="2" w:space="0" w:color="886E49"/>
              <w:right w:val="single" w:sz="2" w:space="0" w:color="886E49"/>
            </w:tcBorders>
            <w:hideMark/>
          </w:tcPr>
          <w:p w14:paraId="37C8944C"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B</w:t>
            </w:r>
            <w:r w:rsidRPr="00F1005B">
              <w:rPr>
                <w:color w:val="FFFFFF" w:themeColor="background1"/>
                <w:sz w:val="18"/>
                <w:szCs w:val="18"/>
              </w:rPr>
              <w:br/>
              <w:t>( n = 6; 30%)</w:t>
            </w:r>
          </w:p>
        </w:tc>
        <w:tc>
          <w:tcPr>
            <w:tcW w:w="2368" w:type="dxa"/>
            <w:gridSpan w:val="3"/>
            <w:vMerge/>
            <w:tcBorders>
              <w:top w:val="single" w:sz="2" w:space="0" w:color="886E49"/>
              <w:left w:val="single" w:sz="2" w:space="0" w:color="886E49"/>
              <w:bottom w:val="single" w:sz="2" w:space="0" w:color="886E49"/>
              <w:right w:val="single" w:sz="2" w:space="0" w:color="886E49"/>
            </w:tcBorders>
            <w:hideMark/>
          </w:tcPr>
          <w:p w14:paraId="24EE0A24" w14:textId="77777777" w:rsidR="006B3111" w:rsidRPr="00F1005B" w:rsidRDefault="006B3111" w:rsidP="00035553">
            <w:pPr>
              <w:jc w:val="center"/>
              <w:rPr>
                <w:color w:val="FFFFFF" w:themeColor="background1"/>
                <w:sz w:val="18"/>
                <w:szCs w:val="18"/>
              </w:rPr>
            </w:pPr>
          </w:p>
        </w:tc>
      </w:tr>
      <w:tr w:rsidR="006B3111" w:rsidRPr="00F1005B" w14:paraId="3E78410E" w14:textId="77777777" w:rsidTr="006B3111">
        <w:trPr>
          <w:cnfStyle w:val="100000000000" w:firstRow="1" w:lastRow="0" w:firstColumn="0" w:lastColumn="0" w:oddVBand="0" w:evenVBand="0" w:oddHBand="0" w:evenHBand="0" w:firstRowFirstColumn="0" w:firstRowLastColumn="0" w:lastRowFirstColumn="0" w:lastRowLastColumn="0"/>
          <w:tblHeader/>
        </w:trPr>
        <w:tc>
          <w:tcPr>
            <w:tcW w:w="3686" w:type="dxa"/>
            <w:tcBorders>
              <w:top w:val="single" w:sz="2" w:space="0" w:color="886E49"/>
              <w:left w:val="single" w:sz="2" w:space="0" w:color="886E49"/>
              <w:bottom w:val="single" w:sz="2" w:space="0" w:color="886E49"/>
              <w:right w:val="single" w:sz="2" w:space="0" w:color="886E49"/>
            </w:tcBorders>
            <w:hideMark/>
          </w:tcPr>
          <w:p w14:paraId="577A927C" w14:textId="77777777" w:rsidR="006B3111" w:rsidRPr="00F1005B" w:rsidRDefault="006B3111" w:rsidP="00035553">
            <w:pPr>
              <w:rPr>
                <w:color w:val="FFFFFF" w:themeColor="background1"/>
                <w:sz w:val="18"/>
                <w:szCs w:val="18"/>
              </w:rPr>
            </w:pPr>
          </w:p>
        </w:tc>
        <w:tc>
          <w:tcPr>
            <w:tcW w:w="992" w:type="dxa"/>
            <w:tcBorders>
              <w:top w:val="single" w:sz="2" w:space="0" w:color="886E49"/>
              <w:left w:val="single" w:sz="2" w:space="0" w:color="886E49"/>
              <w:bottom w:val="single" w:sz="2" w:space="0" w:color="886E49"/>
              <w:right w:val="single" w:sz="2" w:space="0" w:color="886E49"/>
            </w:tcBorders>
            <w:hideMark/>
          </w:tcPr>
          <w:p w14:paraId="1452725F"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A/H1N1</w:t>
            </w:r>
          </w:p>
        </w:tc>
        <w:tc>
          <w:tcPr>
            <w:tcW w:w="677" w:type="dxa"/>
            <w:tcBorders>
              <w:top w:val="single" w:sz="2" w:space="0" w:color="886E49"/>
              <w:left w:val="single" w:sz="2" w:space="0" w:color="886E49"/>
              <w:bottom w:val="single" w:sz="2" w:space="0" w:color="886E49"/>
              <w:right w:val="single" w:sz="2" w:space="0" w:color="886E49"/>
            </w:tcBorders>
            <w:hideMark/>
          </w:tcPr>
          <w:p w14:paraId="39FA5964"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w:t>
            </w:r>
            <w:r w:rsidRPr="00F1005B">
              <w:rPr>
                <w:color w:val="FFFFFF" w:themeColor="background1"/>
                <w:sz w:val="18"/>
                <w:szCs w:val="18"/>
                <w:vertAlign w:val="superscript"/>
              </w:rPr>
              <w:t>a</w:t>
            </w:r>
          </w:p>
        </w:tc>
        <w:tc>
          <w:tcPr>
            <w:tcW w:w="1096" w:type="dxa"/>
            <w:tcBorders>
              <w:top w:val="single" w:sz="2" w:space="0" w:color="886E49"/>
              <w:left w:val="single" w:sz="2" w:space="0" w:color="886E49"/>
              <w:bottom w:val="single" w:sz="2" w:space="0" w:color="886E49"/>
              <w:right w:val="single" w:sz="2" w:space="0" w:color="886E49"/>
            </w:tcBorders>
            <w:hideMark/>
          </w:tcPr>
          <w:p w14:paraId="5444119E"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A/H3N2</w:t>
            </w:r>
          </w:p>
        </w:tc>
        <w:tc>
          <w:tcPr>
            <w:tcW w:w="963" w:type="dxa"/>
            <w:tcBorders>
              <w:top w:val="single" w:sz="2" w:space="0" w:color="886E49"/>
              <w:left w:val="single" w:sz="2" w:space="0" w:color="886E49"/>
              <w:bottom w:val="single" w:sz="2" w:space="0" w:color="886E49"/>
              <w:right w:val="single" w:sz="2" w:space="0" w:color="886E49"/>
            </w:tcBorders>
            <w:hideMark/>
          </w:tcPr>
          <w:p w14:paraId="5264AE64"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w:t>
            </w:r>
            <w:r w:rsidRPr="00F1005B">
              <w:rPr>
                <w:color w:val="FFFFFF" w:themeColor="background1"/>
                <w:sz w:val="18"/>
                <w:szCs w:val="18"/>
                <w:vertAlign w:val="superscript"/>
              </w:rPr>
              <w:t>a</w:t>
            </w:r>
          </w:p>
        </w:tc>
        <w:tc>
          <w:tcPr>
            <w:tcW w:w="1558" w:type="dxa"/>
            <w:tcBorders>
              <w:top w:val="single" w:sz="2" w:space="0" w:color="886E49"/>
              <w:left w:val="single" w:sz="2" w:space="0" w:color="886E49"/>
              <w:bottom w:val="single" w:sz="2" w:space="0" w:color="886E49"/>
              <w:right w:val="single" w:sz="2" w:space="0" w:color="886E49"/>
            </w:tcBorders>
            <w:hideMark/>
          </w:tcPr>
          <w:p w14:paraId="7B8323EB"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A/unknown</w:t>
            </w:r>
          </w:p>
        </w:tc>
        <w:tc>
          <w:tcPr>
            <w:tcW w:w="1138" w:type="dxa"/>
            <w:tcBorders>
              <w:top w:val="single" w:sz="2" w:space="0" w:color="886E49"/>
              <w:left w:val="single" w:sz="2" w:space="0" w:color="886E49"/>
              <w:bottom w:val="single" w:sz="2" w:space="0" w:color="886E49"/>
              <w:right w:val="single" w:sz="2" w:space="0" w:color="886E49"/>
            </w:tcBorders>
            <w:hideMark/>
          </w:tcPr>
          <w:p w14:paraId="7105D64B"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w:t>
            </w:r>
            <w:r w:rsidRPr="00F1005B">
              <w:rPr>
                <w:color w:val="FFFFFF" w:themeColor="background1"/>
                <w:sz w:val="18"/>
                <w:szCs w:val="18"/>
                <w:vertAlign w:val="superscript"/>
              </w:rPr>
              <w:t>a</w:t>
            </w:r>
          </w:p>
        </w:tc>
        <w:tc>
          <w:tcPr>
            <w:tcW w:w="1156" w:type="dxa"/>
            <w:tcBorders>
              <w:top w:val="single" w:sz="2" w:space="0" w:color="886E49"/>
              <w:left w:val="single" w:sz="2" w:space="0" w:color="886E49"/>
              <w:bottom w:val="single" w:sz="2" w:space="0" w:color="886E49"/>
              <w:right w:val="single" w:sz="2" w:space="0" w:color="886E49"/>
            </w:tcBorders>
            <w:hideMark/>
          </w:tcPr>
          <w:p w14:paraId="07FAF90E"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B</w:t>
            </w:r>
          </w:p>
        </w:tc>
        <w:tc>
          <w:tcPr>
            <w:tcW w:w="1350" w:type="dxa"/>
            <w:tcBorders>
              <w:top w:val="single" w:sz="2" w:space="0" w:color="886E49"/>
              <w:left w:val="single" w:sz="2" w:space="0" w:color="886E49"/>
              <w:bottom w:val="single" w:sz="2" w:space="0" w:color="886E49"/>
              <w:right w:val="single" w:sz="2" w:space="0" w:color="886E49"/>
            </w:tcBorders>
            <w:hideMark/>
          </w:tcPr>
          <w:p w14:paraId="423140AA"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w:t>
            </w:r>
            <w:r w:rsidRPr="00F1005B">
              <w:rPr>
                <w:color w:val="FFFFFF" w:themeColor="background1"/>
                <w:sz w:val="18"/>
                <w:szCs w:val="18"/>
                <w:vertAlign w:val="superscript"/>
              </w:rPr>
              <w:t>a</w:t>
            </w:r>
          </w:p>
        </w:tc>
        <w:tc>
          <w:tcPr>
            <w:tcW w:w="1134" w:type="dxa"/>
            <w:tcBorders>
              <w:top w:val="single" w:sz="2" w:space="0" w:color="886E49"/>
              <w:left w:val="single" w:sz="2" w:space="0" w:color="886E49"/>
              <w:bottom w:val="single" w:sz="2" w:space="0" w:color="886E49"/>
              <w:right w:val="single" w:sz="2" w:space="0" w:color="886E49"/>
            </w:tcBorders>
            <w:hideMark/>
          </w:tcPr>
          <w:p w14:paraId="768A8489"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n</w:t>
            </w:r>
          </w:p>
        </w:tc>
        <w:tc>
          <w:tcPr>
            <w:tcW w:w="1234" w:type="dxa"/>
            <w:gridSpan w:val="2"/>
            <w:tcBorders>
              <w:top w:val="single" w:sz="2" w:space="0" w:color="886E49"/>
              <w:left w:val="single" w:sz="2" w:space="0" w:color="886E49"/>
              <w:bottom w:val="single" w:sz="2" w:space="0" w:color="886E49"/>
              <w:right w:val="single" w:sz="2" w:space="0" w:color="886E49"/>
            </w:tcBorders>
            <w:hideMark/>
          </w:tcPr>
          <w:p w14:paraId="3B0B6040" w14:textId="77777777" w:rsidR="006B3111" w:rsidRPr="00F1005B" w:rsidRDefault="006B3111" w:rsidP="00035553">
            <w:pPr>
              <w:pStyle w:val="NormalWeb"/>
              <w:jc w:val="center"/>
              <w:rPr>
                <w:color w:val="FFFFFF" w:themeColor="background1"/>
                <w:sz w:val="18"/>
                <w:szCs w:val="18"/>
              </w:rPr>
            </w:pPr>
            <w:r w:rsidRPr="00F1005B">
              <w:rPr>
                <w:color w:val="FFFFFF" w:themeColor="background1"/>
                <w:sz w:val="18"/>
                <w:szCs w:val="18"/>
              </w:rPr>
              <w:t>%</w:t>
            </w:r>
            <w:r w:rsidRPr="00F1005B">
              <w:rPr>
                <w:color w:val="FFFFFF" w:themeColor="background1"/>
                <w:sz w:val="18"/>
                <w:szCs w:val="18"/>
                <w:vertAlign w:val="superscript"/>
              </w:rPr>
              <w:t>a</w:t>
            </w:r>
          </w:p>
        </w:tc>
      </w:tr>
      <w:tr w:rsidR="006B3111" w:rsidRPr="00F1005B" w14:paraId="360ABDA9" w14:textId="77777777" w:rsidTr="006B3111">
        <w:tblPrEx>
          <w:tblCellMar>
            <w:top w:w="57" w:type="dxa"/>
            <w:left w:w="57" w:type="dxa"/>
            <w:bottom w:w="57" w:type="dxa"/>
            <w:right w:w="57" w:type="dxa"/>
          </w:tblCellMar>
        </w:tblPrEx>
        <w:tc>
          <w:tcPr>
            <w:tcW w:w="3686" w:type="dxa"/>
            <w:tcBorders>
              <w:top w:val="single" w:sz="2" w:space="0" w:color="886E49"/>
            </w:tcBorders>
            <w:shd w:val="clear" w:color="auto" w:fill="886E49"/>
            <w:hideMark/>
          </w:tcPr>
          <w:p w14:paraId="26648CB4" w14:textId="77777777" w:rsidR="006B3111" w:rsidRPr="00F1005B" w:rsidRDefault="006B3111" w:rsidP="00035553">
            <w:pPr>
              <w:pStyle w:val="NormalWeb"/>
              <w:rPr>
                <w:b/>
                <w:bCs/>
                <w:color w:val="FFFFFF" w:themeColor="background1"/>
                <w:sz w:val="18"/>
                <w:szCs w:val="18"/>
              </w:rPr>
            </w:pPr>
            <w:r w:rsidRPr="00F1005B">
              <w:rPr>
                <w:b/>
                <w:bCs/>
                <w:color w:val="FFFFFF" w:themeColor="background1"/>
                <w:sz w:val="18"/>
                <w:szCs w:val="18"/>
              </w:rPr>
              <w:t>Age group</w:t>
            </w:r>
          </w:p>
        </w:tc>
        <w:tc>
          <w:tcPr>
            <w:tcW w:w="11298" w:type="dxa"/>
            <w:gridSpan w:val="11"/>
            <w:tcBorders>
              <w:top w:val="single" w:sz="2" w:space="0" w:color="886E49"/>
            </w:tcBorders>
            <w:shd w:val="clear" w:color="auto" w:fill="886E49"/>
            <w:hideMark/>
          </w:tcPr>
          <w:p w14:paraId="7A76AE54" w14:textId="77777777" w:rsidR="006B3111" w:rsidRPr="00F1005B" w:rsidRDefault="006B3111" w:rsidP="00035553">
            <w:pPr>
              <w:jc w:val="center"/>
              <w:rPr>
                <w:b/>
                <w:bCs/>
                <w:color w:val="FFFFFF" w:themeColor="background1"/>
                <w:sz w:val="18"/>
                <w:szCs w:val="18"/>
              </w:rPr>
            </w:pPr>
          </w:p>
        </w:tc>
      </w:tr>
      <w:tr w:rsidR="006B3111" w:rsidRPr="00F1005B" w14:paraId="4DC895E1" w14:textId="77777777" w:rsidTr="006B3111">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13" w:type="dxa"/>
        </w:trPr>
        <w:tc>
          <w:tcPr>
            <w:tcW w:w="3686" w:type="dxa"/>
            <w:hideMark/>
          </w:tcPr>
          <w:p w14:paraId="551ABAA9" w14:textId="77777777" w:rsidR="006B3111" w:rsidRPr="00F1005B" w:rsidRDefault="006B3111" w:rsidP="00035553">
            <w:pPr>
              <w:pStyle w:val="NormalWeb"/>
              <w:rPr>
                <w:sz w:val="18"/>
                <w:szCs w:val="18"/>
              </w:rPr>
            </w:pPr>
            <w:r w:rsidRPr="00F1005B">
              <w:rPr>
                <w:sz w:val="18"/>
                <w:szCs w:val="18"/>
              </w:rPr>
              <w:t>&lt; 16 years</w:t>
            </w:r>
          </w:p>
        </w:tc>
        <w:tc>
          <w:tcPr>
            <w:tcW w:w="992" w:type="dxa"/>
            <w:hideMark/>
          </w:tcPr>
          <w:p w14:paraId="7D77BD0F" w14:textId="77777777" w:rsidR="006B3111" w:rsidRPr="00F1005B" w:rsidRDefault="006B3111" w:rsidP="00035553">
            <w:pPr>
              <w:pStyle w:val="NormalWeb"/>
              <w:jc w:val="center"/>
              <w:rPr>
                <w:sz w:val="18"/>
                <w:szCs w:val="18"/>
              </w:rPr>
            </w:pPr>
            <w:r w:rsidRPr="00F1005B">
              <w:rPr>
                <w:sz w:val="18"/>
                <w:szCs w:val="18"/>
              </w:rPr>
              <w:t>5</w:t>
            </w:r>
          </w:p>
        </w:tc>
        <w:tc>
          <w:tcPr>
            <w:tcW w:w="677" w:type="dxa"/>
            <w:hideMark/>
          </w:tcPr>
          <w:p w14:paraId="759CD637" w14:textId="77777777" w:rsidR="006B3111" w:rsidRPr="00F1005B" w:rsidRDefault="006B3111" w:rsidP="00035553">
            <w:pPr>
              <w:pStyle w:val="NormalWeb"/>
              <w:jc w:val="center"/>
              <w:rPr>
                <w:sz w:val="18"/>
                <w:szCs w:val="18"/>
              </w:rPr>
            </w:pPr>
            <w:r w:rsidRPr="00F1005B">
              <w:rPr>
                <w:sz w:val="18"/>
                <w:szCs w:val="18"/>
              </w:rPr>
              <w:t>100</w:t>
            </w:r>
          </w:p>
        </w:tc>
        <w:tc>
          <w:tcPr>
            <w:tcW w:w="1096" w:type="dxa"/>
            <w:hideMark/>
          </w:tcPr>
          <w:p w14:paraId="1CD3003B" w14:textId="77777777" w:rsidR="006B3111" w:rsidRPr="00F1005B" w:rsidRDefault="006B3111" w:rsidP="00035553">
            <w:pPr>
              <w:pStyle w:val="NormalWeb"/>
              <w:jc w:val="center"/>
              <w:rPr>
                <w:sz w:val="18"/>
                <w:szCs w:val="18"/>
              </w:rPr>
            </w:pPr>
            <w:r w:rsidRPr="00F1005B">
              <w:rPr>
                <w:sz w:val="18"/>
                <w:szCs w:val="18"/>
              </w:rPr>
              <w:t>0</w:t>
            </w:r>
          </w:p>
        </w:tc>
        <w:tc>
          <w:tcPr>
            <w:tcW w:w="963" w:type="dxa"/>
            <w:hideMark/>
          </w:tcPr>
          <w:p w14:paraId="65BCA1D6" w14:textId="77777777" w:rsidR="006B3111" w:rsidRPr="00F1005B" w:rsidRDefault="006B3111" w:rsidP="00035553">
            <w:pPr>
              <w:pStyle w:val="NormalWeb"/>
              <w:jc w:val="center"/>
              <w:rPr>
                <w:sz w:val="18"/>
                <w:szCs w:val="18"/>
              </w:rPr>
            </w:pPr>
            <w:r w:rsidRPr="00F1005B">
              <w:rPr>
                <w:sz w:val="18"/>
                <w:szCs w:val="18"/>
              </w:rPr>
              <w:t>0</w:t>
            </w:r>
          </w:p>
        </w:tc>
        <w:tc>
          <w:tcPr>
            <w:tcW w:w="1558" w:type="dxa"/>
            <w:hideMark/>
          </w:tcPr>
          <w:p w14:paraId="109976BF" w14:textId="77777777" w:rsidR="006B3111" w:rsidRPr="00F1005B" w:rsidRDefault="006B3111" w:rsidP="00035553">
            <w:pPr>
              <w:pStyle w:val="NormalWeb"/>
              <w:jc w:val="center"/>
              <w:rPr>
                <w:sz w:val="18"/>
                <w:szCs w:val="18"/>
              </w:rPr>
            </w:pPr>
            <w:r w:rsidRPr="00F1005B">
              <w:rPr>
                <w:sz w:val="18"/>
                <w:szCs w:val="18"/>
              </w:rPr>
              <w:t>1</w:t>
            </w:r>
          </w:p>
        </w:tc>
        <w:tc>
          <w:tcPr>
            <w:tcW w:w="1138" w:type="dxa"/>
            <w:hideMark/>
          </w:tcPr>
          <w:p w14:paraId="6A6D355B" w14:textId="77777777" w:rsidR="006B3111" w:rsidRPr="00F1005B" w:rsidRDefault="006B3111" w:rsidP="00035553">
            <w:pPr>
              <w:pStyle w:val="NormalWeb"/>
              <w:jc w:val="center"/>
              <w:rPr>
                <w:sz w:val="18"/>
                <w:szCs w:val="18"/>
              </w:rPr>
            </w:pPr>
            <w:r w:rsidRPr="00F1005B">
              <w:rPr>
                <w:sz w:val="18"/>
                <w:szCs w:val="18"/>
              </w:rPr>
              <w:t>13</w:t>
            </w:r>
          </w:p>
        </w:tc>
        <w:tc>
          <w:tcPr>
            <w:tcW w:w="1156" w:type="dxa"/>
            <w:hideMark/>
          </w:tcPr>
          <w:p w14:paraId="7AA4D832" w14:textId="77777777" w:rsidR="006B3111" w:rsidRPr="00F1005B" w:rsidRDefault="006B3111" w:rsidP="00035553">
            <w:pPr>
              <w:pStyle w:val="NormalWeb"/>
              <w:jc w:val="center"/>
              <w:rPr>
                <w:sz w:val="18"/>
                <w:szCs w:val="18"/>
              </w:rPr>
            </w:pPr>
            <w:r w:rsidRPr="00F1005B">
              <w:rPr>
                <w:sz w:val="18"/>
                <w:szCs w:val="18"/>
              </w:rPr>
              <w:t>2</w:t>
            </w:r>
          </w:p>
        </w:tc>
        <w:tc>
          <w:tcPr>
            <w:tcW w:w="1350" w:type="dxa"/>
            <w:hideMark/>
          </w:tcPr>
          <w:p w14:paraId="2106E4D6" w14:textId="77777777" w:rsidR="006B3111" w:rsidRPr="00F1005B" w:rsidRDefault="006B3111" w:rsidP="00035553">
            <w:pPr>
              <w:pStyle w:val="NormalWeb"/>
              <w:jc w:val="center"/>
              <w:rPr>
                <w:sz w:val="18"/>
                <w:szCs w:val="18"/>
              </w:rPr>
            </w:pPr>
            <w:r w:rsidRPr="00F1005B">
              <w:rPr>
                <w:sz w:val="18"/>
                <w:szCs w:val="18"/>
              </w:rPr>
              <w:t>33</w:t>
            </w:r>
          </w:p>
        </w:tc>
        <w:tc>
          <w:tcPr>
            <w:tcW w:w="1134" w:type="dxa"/>
            <w:hideMark/>
          </w:tcPr>
          <w:p w14:paraId="2085A429" w14:textId="77777777" w:rsidR="006B3111" w:rsidRPr="00F1005B" w:rsidRDefault="006B3111" w:rsidP="00035553">
            <w:pPr>
              <w:pStyle w:val="NormalWeb"/>
              <w:jc w:val="center"/>
              <w:rPr>
                <w:sz w:val="18"/>
                <w:szCs w:val="18"/>
              </w:rPr>
            </w:pPr>
            <w:r w:rsidRPr="00F1005B">
              <w:rPr>
                <w:sz w:val="18"/>
                <w:szCs w:val="18"/>
              </w:rPr>
              <w:t>8</w:t>
            </w:r>
          </w:p>
        </w:tc>
        <w:tc>
          <w:tcPr>
            <w:tcW w:w="1234" w:type="dxa"/>
            <w:hideMark/>
          </w:tcPr>
          <w:p w14:paraId="41F77822" w14:textId="77777777" w:rsidR="006B3111" w:rsidRPr="00F1005B" w:rsidRDefault="006B3111" w:rsidP="00035553">
            <w:pPr>
              <w:pStyle w:val="NormalWeb"/>
              <w:jc w:val="center"/>
              <w:rPr>
                <w:sz w:val="18"/>
                <w:szCs w:val="18"/>
              </w:rPr>
            </w:pPr>
            <w:r w:rsidRPr="00F1005B">
              <w:rPr>
                <w:sz w:val="18"/>
                <w:szCs w:val="18"/>
              </w:rPr>
              <w:t>40</w:t>
            </w:r>
          </w:p>
        </w:tc>
      </w:tr>
      <w:tr w:rsidR="006B3111" w:rsidRPr="00F1005B" w14:paraId="122D21BB" w14:textId="77777777" w:rsidTr="006B3111">
        <w:tblPrEx>
          <w:tblCellMar>
            <w:top w:w="57" w:type="dxa"/>
            <w:left w:w="57" w:type="dxa"/>
            <w:bottom w:w="57" w:type="dxa"/>
            <w:right w:w="57" w:type="dxa"/>
          </w:tblCellMar>
        </w:tblPrEx>
        <w:trPr>
          <w:gridAfter w:val="1"/>
          <w:wAfter w:w="13" w:type="dxa"/>
        </w:trPr>
        <w:tc>
          <w:tcPr>
            <w:tcW w:w="3686" w:type="dxa"/>
            <w:hideMark/>
          </w:tcPr>
          <w:p w14:paraId="232AB74D" w14:textId="77777777" w:rsidR="006B3111" w:rsidRPr="00F1005B" w:rsidRDefault="006B3111" w:rsidP="00035553">
            <w:pPr>
              <w:pStyle w:val="NormalWeb"/>
              <w:rPr>
                <w:sz w:val="18"/>
                <w:szCs w:val="18"/>
              </w:rPr>
            </w:pPr>
            <w:r w:rsidRPr="00F1005B">
              <w:rPr>
                <w:sz w:val="18"/>
                <w:szCs w:val="18"/>
              </w:rPr>
              <w:t>16–49 years</w:t>
            </w:r>
          </w:p>
        </w:tc>
        <w:tc>
          <w:tcPr>
            <w:tcW w:w="992" w:type="dxa"/>
            <w:hideMark/>
          </w:tcPr>
          <w:p w14:paraId="38C6C14A" w14:textId="77777777" w:rsidR="006B3111" w:rsidRPr="00F1005B" w:rsidRDefault="006B3111" w:rsidP="00035553">
            <w:pPr>
              <w:pStyle w:val="NormalWeb"/>
              <w:jc w:val="center"/>
              <w:rPr>
                <w:sz w:val="18"/>
                <w:szCs w:val="18"/>
              </w:rPr>
            </w:pPr>
            <w:r w:rsidRPr="00F1005B">
              <w:rPr>
                <w:sz w:val="18"/>
                <w:szCs w:val="18"/>
              </w:rPr>
              <w:t>0</w:t>
            </w:r>
          </w:p>
        </w:tc>
        <w:tc>
          <w:tcPr>
            <w:tcW w:w="677" w:type="dxa"/>
            <w:hideMark/>
          </w:tcPr>
          <w:p w14:paraId="3BF21630" w14:textId="77777777" w:rsidR="006B3111" w:rsidRPr="00F1005B" w:rsidRDefault="006B3111" w:rsidP="00035553">
            <w:pPr>
              <w:pStyle w:val="NormalWeb"/>
              <w:jc w:val="center"/>
              <w:rPr>
                <w:sz w:val="18"/>
                <w:szCs w:val="18"/>
              </w:rPr>
            </w:pPr>
            <w:r w:rsidRPr="00F1005B">
              <w:rPr>
                <w:sz w:val="18"/>
                <w:szCs w:val="18"/>
              </w:rPr>
              <w:t>0</w:t>
            </w:r>
          </w:p>
        </w:tc>
        <w:tc>
          <w:tcPr>
            <w:tcW w:w="1096" w:type="dxa"/>
            <w:hideMark/>
          </w:tcPr>
          <w:p w14:paraId="514A1544" w14:textId="77777777" w:rsidR="006B3111" w:rsidRPr="00F1005B" w:rsidRDefault="006B3111" w:rsidP="00035553">
            <w:pPr>
              <w:pStyle w:val="NormalWeb"/>
              <w:jc w:val="center"/>
              <w:rPr>
                <w:sz w:val="18"/>
                <w:szCs w:val="18"/>
              </w:rPr>
            </w:pPr>
            <w:r w:rsidRPr="00F1005B">
              <w:rPr>
                <w:sz w:val="18"/>
                <w:szCs w:val="18"/>
              </w:rPr>
              <w:t>0</w:t>
            </w:r>
          </w:p>
        </w:tc>
        <w:tc>
          <w:tcPr>
            <w:tcW w:w="963" w:type="dxa"/>
            <w:hideMark/>
          </w:tcPr>
          <w:p w14:paraId="221EA5C6" w14:textId="77777777" w:rsidR="006B3111" w:rsidRPr="00F1005B" w:rsidRDefault="006B3111" w:rsidP="00035553">
            <w:pPr>
              <w:pStyle w:val="NormalWeb"/>
              <w:jc w:val="center"/>
              <w:rPr>
                <w:sz w:val="18"/>
                <w:szCs w:val="18"/>
              </w:rPr>
            </w:pPr>
            <w:r w:rsidRPr="00F1005B">
              <w:rPr>
                <w:sz w:val="18"/>
                <w:szCs w:val="18"/>
              </w:rPr>
              <w:t>0</w:t>
            </w:r>
          </w:p>
        </w:tc>
        <w:tc>
          <w:tcPr>
            <w:tcW w:w="1558" w:type="dxa"/>
            <w:hideMark/>
          </w:tcPr>
          <w:p w14:paraId="0CCA6F21" w14:textId="77777777" w:rsidR="006B3111" w:rsidRPr="00F1005B" w:rsidRDefault="006B3111" w:rsidP="00035553">
            <w:pPr>
              <w:pStyle w:val="NormalWeb"/>
              <w:jc w:val="center"/>
              <w:rPr>
                <w:sz w:val="18"/>
                <w:szCs w:val="18"/>
              </w:rPr>
            </w:pPr>
            <w:r w:rsidRPr="00F1005B">
              <w:rPr>
                <w:sz w:val="18"/>
                <w:szCs w:val="18"/>
              </w:rPr>
              <w:t>1</w:t>
            </w:r>
          </w:p>
        </w:tc>
        <w:tc>
          <w:tcPr>
            <w:tcW w:w="1138" w:type="dxa"/>
            <w:hideMark/>
          </w:tcPr>
          <w:p w14:paraId="4D16026E" w14:textId="77777777" w:rsidR="006B3111" w:rsidRPr="00F1005B" w:rsidRDefault="006B3111" w:rsidP="00035553">
            <w:pPr>
              <w:pStyle w:val="NormalWeb"/>
              <w:jc w:val="center"/>
              <w:rPr>
                <w:sz w:val="18"/>
                <w:szCs w:val="18"/>
              </w:rPr>
            </w:pPr>
            <w:r w:rsidRPr="00F1005B">
              <w:rPr>
                <w:sz w:val="18"/>
                <w:szCs w:val="18"/>
              </w:rPr>
              <w:t>13</w:t>
            </w:r>
          </w:p>
        </w:tc>
        <w:tc>
          <w:tcPr>
            <w:tcW w:w="1156" w:type="dxa"/>
            <w:hideMark/>
          </w:tcPr>
          <w:p w14:paraId="60680DB3" w14:textId="77777777" w:rsidR="006B3111" w:rsidRPr="00F1005B" w:rsidRDefault="006B3111" w:rsidP="00035553">
            <w:pPr>
              <w:pStyle w:val="NormalWeb"/>
              <w:jc w:val="center"/>
              <w:rPr>
                <w:sz w:val="18"/>
                <w:szCs w:val="18"/>
              </w:rPr>
            </w:pPr>
            <w:r w:rsidRPr="00F1005B">
              <w:rPr>
                <w:sz w:val="18"/>
                <w:szCs w:val="18"/>
              </w:rPr>
              <w:t>3</w:t>
            </w:r>
          </w:p>
        </w:tc>
        <w:tc>
          <w:tcPr>
            <w:tcW w:w="1350" w:type="dxa"/>
            <w:hideMark/>
          </w:tcPr>
          <w:p w14:paraId="12E280C5" w14:textId="77777777" w:rsidR="006B3111" w:rsidRPr="00F1005B" w:rsidRDefault="006B3111" w:rsidP="00035553">
            <w:pPr>
              <w:pStyle w:val="NormalWeb"/>
              <w:jc w:val="center"/>
              <w:rPr>
                <w:sz w:val="18"/>
                <w:szCs w:val="18"/>
              </w:rPr>
            </w:pPr>
            <w:r w:rsidRPr="00F1005B">
              <w:rPr>
                <w:sz w:val="18"/>
                <w:szCs w:val="18"/>
              </w:rPr>
              <w:t>50</w:t>
            </w:r>
          </w:p>
        </w:tc>
        <w:tc>
          <w:tcPr>
            <w:tcW w:w="1134" w:type="dxa"/>
            <w:hideMark/>
          </w:tcPr>
          <w:p w14:paraId="1672B8E5" w14:textId="77777777" w:rsidR="006B3111" w:rsidRPr="00F1005B" w:rsidRDefault="006B3111" w:rsidP="00035553">
            <w:pPr>
              <w:pStyle w:val="NormalWeb"/>
              <w:jc w:val="center"/>
              <w:rPr>
                <w:sz w:val="18"/>
                <w:szCs w:val="18"/>
              </w:rPr>
            </w:pPr>
            <w:r w:rsidRPr="00F1005B">
              <w:rPr>
                <w:sz w:val="18"/>
                <w:szCs w:val="18"/>
              </w:rPr>
              <w:t>4</w:t>
            </w:r>
          </w:p>
        </w:tc>
        <w:tc>
          <w:tcPr>
            <w:tcW w:w="1234" w:type="dxa"/>
            <w:hideMark/>
          </w:tcPr>
          <w:p w14:paraId="4A2BECED" w14:textId="77777777" w:rsidR="006B3111" w:rsidRPr="00F1005B" w:rsidRDefault="006B3111" w:rsidP="00035553">
            <w:pPr>
              <w:pStyle w:val="NormalWeb"/>
              <w:jc w:val="center"/>
              <w:rPr>
                <w:sz w:val="18"/>
                <w:szCs w:val="18"/>
              </w:rPr>
            </w:pPr>
            <w:r w:rsidRPr="00F1005B">
              <w:rPr>
                <w:sz w:val="18"/>
                <w:szCs w:val="18"/>
              </w:rPr>
              <w:t>20</w:t>
            </w:r>
          </w:p>
        </w:tc>
      </w:tr>
      <w:tr w:rsidR="006B3111" w:rsidRPr="00F1005B" w14:paraId="7EAD649D" w14:textId="77777777" w:rsidTr="006B3111">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13" w:type="dxa"/>
        </w:trPr>
        <w:tc>
          <w:tcPr>
            <w:tcW w:w="3686" w:type="dxa"/>
            <w:hideMark/>
          </w:tcPr>
          <w:p w14:paraId="6873D068" w14:textId="77777777" w:rsidR="006B3111" w:rsidRPr="00F1005B" w:rsidRDefault="006B3111" w:rsidP="00035553">
            <w:pPr>
              <w:pStyle w:val="NormalWeb"/>
              <w:rPr>
                <w:sz w:val="18"/>
                <w:szCs w:val="18"/>
              </w:rPr>
            </w:pPr>
            <w:r w:rsidRPr="00F1005B">
              <w:rPr>
                <w:sz w:val="18"/>
                <w:szCs w:val="18"/>
              </w:rPr>
              <w:t>50–64 years</w:t>
            </w:r>
          </w:p>
        </w:tc>
        <w:tc>
          <w:tcPr>
            <w:tcW w:w="992" w:type="dxa"/>
            <w:hideMark/>
          </w:tcPr>
          <w:p w14:paraId="3E0F1EF1" w14:textId="77777777" w:rsidR="006B3111" w:rsidRPr="00F1005B" w:rsidRDefault="006B3111" w:rsidP="00035553">
            <w:pPr>
              <w:pStyle w:val="NormalWeb"/>
              <w:jc w:val="center"/>
              <w:rPr>
                <w:sz w:val="18"/>
                <w:szCs w:val="18"/>
              </w:rPr>
            </w:pPr>
            <w:r w:rsidRPr="00F1005B">
              <w:rPr>
                <w:sz w:val="18"/>
                <w:szCs w:val="18"/>
              </w:rPr>
              <w:t>0</w:t>
            </w:r>
          </w:p>
        </w:tc>
        <w:tc>
          <w:tcPr>
            <w:tcW w:w="677" w:type="dxa"/>
            <w:hideMark/>
          </w:tcPr>
          <w:p w14:paraId="6522D260" w14:textId="77777777" w:rsidR="006B3111" w:rsidRPr="00F1005B" w:rsidRDefault="006B3111" w:rsidP="00035553">
            <w:pPr>
              <w:pStyle w:val="NormalWeb"/>
              <w:jc w:val="center"/>
              <w:rPr>
                <w:sz w:val="18"/>
                <w:szCs w:val="18"/>
              </w:rPr>
            </w:pPr>
            <w:r w:rsidRPr="00F1005B">
              <w:rPr>
                <w:sz w:val="18"/>
                <w:szCs w:val="18"/>
              </w:rPr>
              <w:t>0</w:t>
            </w:r>
          </w:p>
        </w:tc>
        <w:tc>
          <w:tcPr>
            <w:tcW w:w="1096" w:type="dxa"/>
            <w:hideMark/>
          </w:tcPr>
          <w:p w14:paraId="03ED8A04" w14:textId="77777777" w:rsidR="006B3111" w:rsidRPr="00F1005B" w:rsidRDefault="006B3111" w:rsidP="00035553">
            <w:pPr>
              <w:pStyle w:val="NormalWeb"/>
              <w:jc w:val="center"/>
              <w:rPr>
                <w:sz w:val="18"/>
                <w:szCs w:val="18"/>
              </w:rPr>
            </w:pPr>
            <w:r w:rsidRPr="00F1005B">
              <w:rPr>
                <w:sz w:val="18"/>
                <w:szCs w:val="18"/>
              </w:rPr>
              <w:t>0</w:t>
            </w:r>
          </w:p>
        </w:tc>
        <w:tc>
          <w:tcPr>
            <w:tcW w:w="963" w:type="dxa"/>
            <w:hideMark/>
          </w:tcPr>
          <w:p w14:paraId="4AD46676" w14:textId="77777777" w:rsidR="006B3111" w:rsidRPr="00F1005B" w:rsidRDefault="006B3111" w:rsidP="00035553">
            <w:pPr>
              <w:pStyle w:val="NormalWeb"/>
              <w:jc w:val="center"/>
              <w:rPr>
                <w:sz w:val="18"/>
                <w:szCs w:val="18"/>
              </w:rPr>
            </w:pPr>
            <w:r w:rsidRPr="00F1005B">
              <w:rPr>
                <w:sz w:val="18"/>
                <w:szCs w:val="18"/>
              </w:rPr>
              <w:t>0</w:t>
            </w:r>
          </w:p>
        </w:tc>
        <w:tc>
          <w:tcPr>
            <w:tcW w:w="1558" w:type="dxa"/>
            <w:hideMark/>
          </w:tcPr>
          <w:p w14:paraId="516BA0BF" w14:textId="77777777" w:rsidR="006B3111" w:rsidRPr="00F1005B" w:rsidRDefault="006B3111" w:rsidP="00035553">
            <w:pPr>
              <w:pStyle w:val="NormalWeb"/>
              <w:jc w:val="center"/>
              <w:rPr>
                <w:sz w:val="18"/>
                <w:szCs w:val="18"/>
              </w:rPr>
            </w:pPr>
            <w:r w:rsidRPr="00F1005B">
              <w:rPr>
                <w:sz w:val="18"/>
                <w:szCs w:val="18"/>
              </w:rPr>
              <w:t>2</w:t>
            </w:r>
          </w:p>
        </w:tc>
        <w:tc>
          <w:tcPr>
            <w:tcW w:w="1138" w:type="dxa"/>
            <w:hideMark/>
          </w:tcPr>
          <w:p w14:paraId="29029E19" w14:textId="77777777" w:rsidR="006B3111" w:rsidRPr="00F1005B" w:rsidRDefault="006B3111" w:rsidP="00035553">
            <w:pPr>
              <w:pStyle w:val="NormalWeb"/>
              <w:jc w:val="center"/>
              <w:rPr>
                <w:sz w:val="18"/>
                <w:szCs w:val="18"/>
              </w:rPr>
            </w:pPr>
            <w:r w:rsidRPr="00F1005B">
              <w:rPr>
                <w:sz w:val="18"/>
                <w:szCs w:val="18"/>
              </w:rPr>
              <w:t>25</w:t>
            </w:r>
          </w:p>
        </w:tc>
        <w:tc>
          <w:tcPr>
            <w:tcW w:w="1156" w:type="dxa"/>
            <w:hideMark/>
          </w:tcPr>
          <w:p w14:paraId="6477EF56" w14:textId="77777777" w:rsidR="006B3111" w:rsidRPr="00F1005B" w:rsidRDefault="006B3111" w:rsidP="00035553">
            <w:pPr>
              <w:pStyle w:val="NormalWeb"/>
              <w:jc w:val="center"/>
              <w:rPr>
                <w:sz w:val="18"/>
                <w:szCs w:val="18"/>
              </w:rPr>
            </w:pPr>
            <w:r w:rsidRPr="00F1005B">
              <w:rPr>
                <w:sz w:val="18"/>
                <w:szCs w:val="18"/>
              </w:rPr>
              <w:t>1</w:t>
            </w:r>
          </w:p>
        </w:tc>
        <w:tc>
          <w:tcPr>
            <w:tcW w:w="1350" w:type="dxa"/>
            <w:hideMark/>
          </w:tcPr>
          <w:p w14:paraId="6825904E" w14:textId="77777777" w:rsidR="006B3111" w:rsidRPr="00F1005B" w:rsidRDefault="006B3111" w:rsidP="00035553">
            <w:pPr>
              <w:pStyle w:val="NormalWeb"/>
              <w:jc w:val="center"/>
              <w:rPr>
                <w:sz w:val="18"/>
                <w:szCs w:val="18"/>
              </w:rPr>
            </w:pPr>
            <w:r w:rsidRPr="00F1005B">
              <w:rPr>
                <w:sz w:val="18"/>
                <w:szCs w:val="18"/>
              </w:rPr>
              <w:t>17</w:t>
            </w:r>
          </w:p>
        </w:tc>
        <w:tc>
          <w:tcPr>
            <w:tcW w:w="1134" w:type="dxa"/>
            <w:hideMark/>
          </w:tcPr>
          <w:p w14:paraId="041DE6EB" w14:textId="77777777" w:rsidR="006B3111" w:rsidRPr="00F1005B" w:rsidRDefault="006B3111" w:rsidP="00035553">
            <w:pPr>
              <w:pStyle w:val="NormalWeb"/>
              <w:jc w:val="center"/>
              <w:rPr>
                <w:sz w:val="18"/>
                <w:szCs w:val="18"/>
              </w:rPr>
            </w:pPr>
            <w:r w:rsidRPr="00F1005B">
              <w:rPr>
                <w:sz w:val="18"/>
                <w:szCs w:val="18"/>
              </w:rPr>
              <w:t>3</w:t>
            </w:r>
          </w:p>
        </w:tc>
        <w:tc>
          <w:tcPr>
            <w:tcW w:w="1234" w:type="dxa"/>
            <w:hideMark/>
          </w:tcPr>
          <w:p w14:paraId="0A306C0A" w14:textId="77777777" w:rsidR="006B3111" w:rsidRPr="00F1005B" w:rsidRDefault="006B3111" w:rsidP="00035553">
            <w:pPr>
              <w:pStyle w:val="NormalWeb"/>
              <w:jc w:val="center"/>
              <w:rPr>
                <w:sz w:val="18"/>
                <w:szCs w:val="18"/>
              </w:rPr>
            </w:pPr>
            <w:r w:rsidRPr="00F1005B">
              <w:rPr>
                <w:sz w:val="18"/>
                <w:szCs w:val="18"/>
              </w:rPr>
              <w:t>15</w:t>
            </w:r>
          </w:p>
        </w:tc>
      </w:tr>
      <w:tr w:rsidR="006B3111" w:rsidRPr="00F1005B" w14:paraId="7D1698D5" w14:textId="77777777" w:rsidTr="0014582A">
        <w:tblPrEx>
          <w:tblCellMar>
            <w:top w:w="57" w:type="dxa"/>
            <w:left w:w="57" w:type="dxa"/>
            <w:bottom w:w="57" w:type="dxa"/>
            <w:right w:w="57" w:type="dxa"/>
          </w:tblCellMar>
        </w:tblPrEx>
        <w:trPr>
          <w:gridAfter w:val="1"/>
          <w:wAfter w:w="13" w:type="dxa"/>
        </w:trPr>
        <w:tc>
          <w:tcPr>
            <w:tcW w:w="3686" w:type="dxa"/>
            <w:hideMark/>
          </w:tcPr>
          <w:p w14:paraId="5CF9E8F3" w14:textId="77777777" w:rsidR="006B3111" w:rsidRPr="00F1005B" w:rsidRDefault="006B3111" w:rsidP="00035553">
            <w:pPr>
              <w:pStyle w:val="NormalWeb"/>
              <w:rPr>
                <w:sz w:val="18"/>
                <w:szCs w:val="18"/>
              </w:rPr>
            </w:pPr>
            <w:r w:rsidRPr="00F1005B">
              <w:rPr>
                <w:sz w:val="18"/>
                <w:szCs w:val="18"/>
              </w:rPr>
              <w:t>65–79 years</w:t>
            </w:r>
          </w:p>
        </w:tc>
        <w:tc>
          <w:tcPr>
            <w:tcW w:w="992" w:type="dxa"/>
            <w:hideMark/>
          </w:tcPr>
          <w:p w14:paraId="7A6A8D50" w14:textId="77777777" w:rsidR="006B3111" w:rsidRPr="00F1005B" w:rsidRDefault="006B3111" w:rsidP="00035553">
            <w:pPr>
              <w:pStyle w:val="NormalWeb"/>
              <w:jc w:val="center"/>
              <w:rPr>
                <w:sz w:val="18"/>
                <w:szCs w:val="18"/>
              </w:rPr>
            </w:pPr>
            <w:r w:rsidRPr="00F1005B">
              <w:rPr>
                <w:sz w:val="18"/>
                <w:szCs w:val="18"/>
              </w:rPr>
              <w:t>0</w:t>
            </w:r>
          </w:p>
        </w:tc>
        <w:tc>
          <w:tcPr>
            <w:tcW w:w="677" w:type="dxa"/>
            <w:hideMark/>
          </w:tcPr>
          <w:p w14:paraId="64BC2A80" w14:textId="77777777" w:rsidR="006B3111" w:rsidRPr="00F1005B" w:rsidRDefault="006B3111" w:rsidP="00035553">
            <w:pPr>
              <w:pStyle w:val="NormalWeb"/>
              <w:jc w:val="center"/>
              <w:rPr>
                <w:sz w:val="18"/>
                <w:szCs w:val="18"/>
              </w:rPr>
            </w:pPr>
            <w:r w:rsidRPr="00F1005B">
              <w:rPr>
                <w:sz w:val="18"/>
                <w:szCs w:val="18"/>
              </w:rPr>
              <w:t>0</w:t>
            </w:r>
          </w:p>
        </w:tc>
        <w:tc>
          <w:tcPr>
            <w:tcW w:w="1096" w:type="dxa"/>
            <w:hideMark/>
          </w:tcPr>
          <w:p w14:paraId="21B754D5" w14:textId="77777777" w:rsidR="006B3111" w:rsidRPr="00F1005B" w:rsidRDefault="006B3111" w:rsidP="00035553">
            <w:pPr>
              <w:pStyle w:val="NormalWeb"/>
              <w:jc w:val="center"/>
              <w:rPr>
                <w:sz w:val="18"/>
                <w:szCs w:val="18"/>
              </w:rPr>
            </w:pPr>
            <w:r w:rsidRPr="00F1005B">
              <w:rPr>
                <w:sz w:val="18"/>
                <w:szCs w:val="18"/>
              </w:rPr>
              <w:t>1</w:t>
            </w:r>
          </w:p>
        </w:tc>
        <w:tc>
          <w:tcPr>
            <w:tcW w:w="963" w:type="dxa"/>
            <w:hideMark/>
          </w:tcPr>
          <w:p w14:paraId="113E2B2D" w14:textId="77777777" w:rsidR="006B3111" w:rsidRPr="00F1005B" w:rsidRDefault="006B3111" w:rsidP="00035553">
            <w:pPr>
              <w:pStyle w:val="NormalWeb"/>
              <w:jc w:val="center"/>
              <w:rPr>
                <w:sz w:val="18"/>
                <w:szCs w:val="18"/>
              </w:rPr>
            </w:pPr>
            <w:r w:rsidRPr="00F1005B">
              <w:rPr>
                <w:sz w:val="18"/>
                <w:szCs w:val="18"/>
              </w:rPr>
              <w:t>100</w:t>
            </w:r>
          </w:p>
        </w:tc>
        <w:tc>
          <w:tcPr>
            <w:tcW w:w="1558" w:type="dxa"/>
            <w:hideMark/>
          </w:tcPr>
          <w:p w14:paraId="190B0EE1" w14:textId="77777777" w:rsidR="006B3111" w:rsidRPr="00F1005B" w:rsidRDefault="006B3111" w:rsidP="00035553">
            <w:pPr>
              <w:pStyle w:val="NormalWeb"/>
              <w:jc w:val="center"/>
              <w:rPr>
                <w:sz w:val="18"/>
                <w:szCs w:val="18"/>
              </w:rPr>
            </w:pPr>
            <w:r w:rsidRPr="00F1005B">
              <w:rPr>
                <w:sz w:val="18"/>
                <w:szCs w:val="18"/>
              </w:rPr>
              <w:t>2</w:t>
            </w:r>
          </w:p>
        </w:tc>
        <w:tc>
          <w:tcPr>
            <w:tcW w:w="1138" w:type="dxa"/>
            <w:hideMark/>
          </w:tcPr>
          <w:p w14:paraId="584683AF" w14:textId="77777777" w:rsidR="006B3111" w:rsidRPr="00F1005B" w:rsidRDefault="006B3111" w:rsidP="00035553">
            <w:pPr>
              <w:pStyle w:val="NormalWeb"/>
              <w:jc w:val="center"/>
              <w:rPr>
                <w:sz w:val="18"/>
                <w:szCs w:val="18"/>
              </w:rPr>
            </w:pPr>
            <w:r w:rsidRPr="00F1005B">
              <w:rPr>
                <w:sz w:val="18"/>
                <w:szCs w:val="18"/>
              </w:rPr>
              <w:t>25</w:t>
            </w:r>
          </w:p>
        </w:tc>
        <w:tc>
          <w:tcPr>
            <w:tcW w:w="1156" w:type="dxa"/>
            <w:hideMark/>
          </w:tcPr>
          <w:p w14:paraId="2436C863" w14:textId="77777777" w:rsidR="006B3111" w:rsidRPr="00F1005B" w:rsidRDefault="006B3111" w:rsidP="00035553">
            <w:pPr>
              <w:pStyle w:val="NormalWeb"/>
              <w:jc w:val="center"/>
              <w:rPr>
                <w:sz w:val="18"/>
                <w:szCs w:val="18"/>
              </w:rPr>
            </w:pPr>
            <w:r w:rsidRPr="00F1005B">
              <w:rPr>
                <w:sz w:val="18"/>
                <w:szCs w:val="18"/>
              </w:rPr>
              <w:t>0</w:t>
            </w:r>
          </w:p>
        </w:tc>
        <w:tc>
          <w:tcPr>
            <w:tcW w:w="1350" w:type="dxa"/>
            <w:hideMark/>
          </w:tcPr>
          <w:p w14:paraId="64B24273" w14:textId="77777777" w:rsidR="006B3111" w:rsidRPr="00F1005B" w:rsidRDefault="006B3111" w:rsidP="00035553">
            <w:pPr>
              <w:pStyle w:val="NormalWeb"/>
              <w:jc w:val="center"/>
              <w:rPr>
                <w:sz w:val="18"/>
                <w:szCs w:val="18"/>
              </w:rPr>
            </w:pPr>
            <w:r w:rsidRPr="00F1005B">
              <w:rPr>
                <w:sz w:val="18"/>
                <w:szCs w:val="18"/>
              </w:rPr>
              <w:t>0</w:t>
            </w:r>
          </w:p>
        </w:tc>
        <w:tc>
          <w:tcPr>
            <w:tcW w:w="1134" w:type="dxa"/>
            <w:hideMark/>
          </w:tcPr>
          <w:p w14:paraId="25AC105E" w14:textId="77777777" w:rsidR="006B3111" w:rsidRPr="00F1005B" w:rsidRDefault="006B3111" w:rsidP="00035553">
            <w:pPr>
              <w:pStyle w:val="NormalWeb"/>
              <w:jc w:val="center"/>
              <w:rPr>
                <w:sz w:val="18"/>
                <w:szCs w:val="18"/>
              </w:rPr>
            </w:pPr>
            <w:r w:rsidRPr="00F1005B">
              <w:rPr>
                <w:sz w:val="18"/>
                <w:szCs w:val="18"/>
              </w:rPr>
              <w:t>3</w:t>
            </w:r>
          </w:p>
        </w:tc>
        <w:tc>
          <w:tcPr>
            <w:tcW w:w="1234" w:type="dxa"/>
            <w:hideMark/>
          </w:tcPr>
          <w:p w14:paraId="54FCB0C7" w14:textId="77777777" w:rsidR="006B3111" w:rsidRPr="00F1005B" w:rsidRDefault="006B3111" w:rsidP="00035553">
            <w:pPr>
              <w:pStyle w:val="NormalWeb"/>
              <w:jc w:val="center"/>
              <w:rPr>
                <w:sz w:val="18"/>
                <w:szCs w:val="18"/>
              </w:rPr>
            </w:pPr>
            <w:r w:rsidRPr="00F1005B">
              <w:rPr>
                <w:sz w:val="18"/>
                <w:szCs w:val="18"/>
              </w:rPr>
              <w:t>15</w:t>
            </w:r>
          </w:p>
        </w:tc>
      </w:tr>
      <w:tr w:rsidR="006B3111" w:rsidRPr="00F1005B" w14:paraId="3ABE9A2E" w14:textId="77777777" w:rsidTr="0014582A">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13" w:type="dxa"/>
        </w:trPr>
        <w:tc>
          <w:tcPr>
            <w:tcW w:w="3686" w:type="dxa"/>
            <w:tcBorders>
              <w:bottom w:val="single" w:sz="4" w:space="0" w:color="auto"/>
            </w:tcBorders>
            <w:hideMark/>
          </w:tcPr>
          <w:p w14:paraId="66F21BB6" w14:textId="77777777" w:rsidR="006B3111" w:rsidRPr="00F1005B" w:rsidRDefault="006B3111" w:rsidP="00035553">
            <w:pPr>
              <w:pStyle w:val="NormalWeb"/>
              <w:rPr>
                <w:sz w:val="18"/>
                <w:szCs w:val="18"/>
              </w:rPr>
            </w:pPr>
            <w:r w:rsidRPr="00F1005B">
              <w:rPr>
                <w:sz w:val="18"/>
                <w:szCs w:val="18"/>
              </w:rPr>
              <w:t>80+ years</w:t>
            </w:r>
          </w:p>
        </w:tc>
        <w:tc>
          <w:tcPr>
            <w:tcW w:w="992" w:type="dxa"/>
            <w:tcBorders>
              <w:bottom w:val="single" w:sz="4" w:space="0" w:color="auto"/>
            </w:tcBorders>
            <w:hideMark/>
          </w:tcPr>
          <w:p w14:paraId="711E0A87" w14:textId="77777777" w:rsidR="006B3111" w:rsidRPr="00F1005B" w:rsidRDefault="006B3111" w:rsidP="00035553">
            <w:pPr>
              <w:pStyle w:val="NormalWeb"/>
              <w:jc w:val="center"/>
              <w:rPr>
                <w:sz w:val="18"/>
                <w:szCs w:val="18"/>
              </w:rPr>
            </w:pPr>
            <w:r w:rsidRPr="00F1005B">
              <w:rPr>
                <w:sz w:val="18"/>
                <w:szCs w:val="18"/>
              </w:rPr>
              <w:t>0</w:t>
            </w:r>
          </w:p>
        </w:tc>
        <w:tc>
          <w:tcPr>
            <w:tcW w:w="677" w:type="dxa"/>
            <w:tcBorders>
              <w:bottom w:val="single" w:sz="4" w:space="0" w:color="auto"/>
            </w:tcBorders>
            <w:hideMark/>
          </w:tcPr>
          <w:p w14:paraId="2886CF16" w14:textId="77777777" w:rsidR="006B3111" w:rsidRPr="00F1005B" w:rsidRDefault="006B3111" w:rsidP="00035553">
            <w:pPr>
              <w:pStyle w:val="NormalWeb"/>
              <w:jc w:val="center"/>
              <w:rPr>
                <w:sz w:val="18"/>
                <w:szCs w:val="18"/>
              </w:rPr>
            </w:pPr>
            <w:r w:rsidRPr="00F1005B">
              <w:rPr>
                <w:sz w:val="18"/>
                <w:szCs w:val="18"/>
              </w:rPr>
              <w:t>0</w:t>
            </w:r>
          </w:p>
        </w:tc>
        <w:tc>
          <w:tcPr>
            <w:tcW w:w="1096" w:type="dxa"/>
            <w:tcBorders>
              <w:bottom w:val="single" w:sz="4" w:space="0" w:color="auto"/>
            </w:tcBorders>
            <w:hideMark/>
          </w:tcPr>
          <w:p w14:paraId="56C34426" w14:textId="77777777" w:rsidR="006B3111" w:rsidRPr="00F1005B" w:rsidRDefault="006B3111" w:rsidP="00035553">
            <w:pPr>
              <w:pStyle w:val="NormalWeb"/>
              <w:jc w:val="center"/>
              <w:rPr>
                <w:sz w:val="18"/>
                <w:szCs w:val="18"/>
              </w:rPr>
            </w:pPr>
            <w:r w:rsidRPr="00F1005B">
              <w:rPr>
                <w:sz w:val="18"/>
                <w:szCs w:val="18"/>
              </w:rPr>
              <w:t>0</w:t>
            </w:r>
          </w:p>
        </w:tc>
        <w:tc>
          <w:tcPr>
            <w:tcW w:w="963" w:type="dxa"/>
            <w:tcBorders>
              <w:bottom w:val="single" w:sz="4" w:space="0" w:color="auto"/>
            </w:tcBorders>
            <w:hideMark/>
          </w:tcPr>
          <w:p w14:paraId="1C1A58BF" w14:textId="77777777" w:rsidR="006B3111" w:rsidRPr="00F1005B" w:rsidRDefault="006B3111" w:rsidP="00035553">
            <w:pPr>
              <w:pStyle w:val="NormalWeb"/>
              <w:jc w:val="center"/>
              <w:rPr>
                <w:sz w:val="18"/>
                <w:szCs w:val="18"/>
              </w:rPr>
            </w:pPr>
            <w:r w:rsidRPr="00F1005B">
              <w:rPr>
                <w:sz w:val="18"/>
                <w:szCs w:val="18"/>
              </w:rPr>
              <w:t>0</w:t>
            </w:r>
          </w:p>
        </w:tc>
        <w:tc>
          <w:tcPr>
            <w:tcW w:w="1558" w:type="dxa"/>
            <w:tcBorders>
              <w:bottom w:val="single" w:sz="4" w:space="0" w:color="auto"/>
            </w:tcBorders>
            <w:hideMark/>
          </w:tcPr>
          <w:p w14:paraId="39CB634A" w14:textId="77777777" w:rsidR="006B3111" w:rsidRPr="00F1005B" w:rsidRDefault="006B3111" w:rsidP="00035553">
            <w:pPr>
              <w:pStyle w:val="NormalWeb"/>
              <w:jc w:val="center"/>
              <w:rPr>
                <w:sz w:val="18"/>
                <w:szCs w:val="18"/>
              </w:rPr>
            </w:pPr>
            <w:r w:rsidRPr="00F1005B">
              <w:rPr>
                <w:sz w:val="18"/>
                <w:szCs w:val="18"/>
              </w:rPr>
              <w:t>2</w:t>
            </w:r>
          </w:p>
        </w:tc>
        <w:tc>
          <w:tcPr>
            <w:tcW w:w="1138" w:type="dxa"/>
            <w:tcBorders>
              <w:bottom w:val="single" w:sz="4" w:space="0" w:color="auto"/>
            </w:tcBorders>
            <w:hideMark/>
          </w:tcPr>
          <w:p w14:paraId="4AACE7CC" w14:textId="77777777" w:rsidR="006B3111" w:rsidRPr="00F1005B" w:rsidRDefault="006B3111" w:rsidP="00035553">
            <w:pPr>
              <w:pStyle w:val="NormalWeb"/>
              <w:jc w:val="center"/>
              <w:rPr>
                <w:sz w:val="18"/>
                <w:szCs w:val="18"/>
              </w:rPr>
            </w:pPr>
            <w:r w:rsidRPr="00F1005B">
              <w:rPr>
                <w:sz w:val="18"/>
                <w:szCs w:val="18"/>
              </w:rPr>
              <w:t>25</w:t>
            </w:r>
          </w:p>
        </w:tc>
        <w:tc>
          <w:tcPr>
            <w:tcW w:w="1156" w:type="dxa"/>
            <w:tcBorders>
              <w:bottom w:val="single" w:sz="4" w:space="0" w:color="auto"/>
            </w:tcBorders>
            <w:hideMark/>
          </w:tcPr>
          <w:p w14:paraId="664555BF" w14:textId="77777777" w:rsidR="006B3111" w:rsidRPr="00F1005B" w:rsidRDefault="006B3111" w:rsidP="00035553">
            <w:pPr>
              <w:pStyle w:val="NormalWeb"/>
              <w:jc w:val="center"/>
              <w:rPr>
                <w:sz w:val="18"/>
                <w:szCs w:val="18"/>
              </w:rPr>
            </w:pPr>
            <w:r w:rsidRPr="00F1005B">
              <w:rPr>
                <w:sz w:val="18"/>
                <w:szCs w:val="18"/>
              </w:rPr>
              <w:t>0</w:t>
            </w:r>
          </w:p>
        </w:tc>
        <w:tc>
          <w:tcPr>
            <w:tcW w:w="1350" w:type="dxa"/>
            <w:tcBorders>
              <w:bottom w:val="single" w:sz="4" w:space="0" w:color="auto"/>
            </w:tcBorders>
            <w:hideMark/>
          </w:tcPr>
          <w:p w14:paraId="0CF77C06" w14:textId="77777777" w:rsidR="006B3111" w:rsidRPr="00F1005B" w:rsidRDefault="006B3111" w:rsidP="00035553">
            <w:pPr>
              <w:pStyle w:val="NormalWeb"/>
              <w:jc w:val="center"/>
              <w:rPr>
                <w:sz w:val="18"/>
                <w:szCs w:val="18"/>
              </w:rPr>
            </w:pPr>
            <w:r w:rsidRPr="00F1005B">
              <w:rPr>
                <w:sz w:val="18"/>
                <w:szCs w:val="18"/>
              </w:rPr>
              <w:t>0</w:t>
            </w:r>
          </w:p>
        </w:tc>
        <w:tc>
          <w:tcPr>
            <w:tcW w:w="1134" w:type="dxa"/>
            <w:tcBorders>
              <w:bottom w:val="single" w:sz="4" w:space="0" w:color="auto"/>
            </w:tcBorders>
            <w:hideMark/>
          </w:tcPr>
          <w:p w14:paraId="0D5D9A6B" w14:textId="77777777" w:rsidR="006B3111" w:rsidRPr="00F1005B" w:rsidRDefault="006B3111" w:rsidP="00035553">
            <w:pPr>
              <w:pStyle w:val="NormalWeb"/>
              <w:jc w:val="center"/>
              <w:rPr>
                <w:sz w:val="18"/>
                <w:szCs w:val="18"/>
              </w:rPr>
            </w:pPr>
            <w:r w:rsidRPr="00F1005B">
              <w:rPr>
                <w:sz w:val="18"/>
                <w:szCs w:val="18"/>
              </w:rPr>
              <w:t>2</w:t>
            </w:r>
          </w:p>
        </w:tc>
        <w:tc>
          <w:tcPr>
            <w:tcW w:w="1234" w:type="dxa"/>
            <w:tcBorders>
              <w:bottom w:val="single" w:sz="4" w:space="0" w:color="auto"/>
            </w:tcBorders>
            <w:hideMark/>
          </w:tcPr>
          <w:p w14:paraId="5AF9C31A" w14:textId="77777777" w:rsidR="006B3111" w:rsidRPr="00F1005B" w:rsidRDefault="006B3111" w:rsidP="00035553">
            <w:pPr>
              <w:pStyle w:val="NormalWeb"/>
              <w:jc w:val="center"/>
              <w:rPr>
                <w:sz w:val="18"/>
                <w:szCs w:val="18"/>
              </w:rPr>
            </w:pPr>
            <w:r w:rsidRPr="00F1005B">
              <w:rPr>
                <w:sz w:val="18"/>
                <w:szCs w:val="18"/>
              </w:rPr>
              <w:t>10</w:t>
            </w:r>
          </w:p>
        </w:tc>
      </w:tr>
      <w:tr w:rsidR="006B3111" w:rsidRPr="00F1005B" w14:paraId="6FB3B9BB" w14:textId="77777777" w:rsidTr="0014582A">
        <w:tblPrEx>
          <w:tblCellMar>
            <w:top w:w="57" w:type="dxa"/>
            <w:left w:w="57" w:type="dxa"/>
            <w:bottom w:w="57" w:type="dxa"/>
            <w:right w:w="57" w:type="dxa"/>
          </w:tblCellMar>
        </w:tblPrEx>
        <w:trPr>
          <w:gridAfter w:val="1"/>
          <w:wAfter w:w="13" w:type="dxa"/>
        </w:trPr>
        <w:tc>
          <w:tcPr>
            <w:tcW w:w="3686" w:type="dxa"/>
            <w:tcBorders>
              <w:top w:val="single" w:sz="4" w:space="0" w:color="auto"/>
            </w:tcBorders>
            <w:hideMark/>
          </w:tcPr>
          <w:p w14:paraId="3D2DB978" w14:textId="77777777" w:rsidR="006B3111" w:rsidRPr="00F1005B" w:rsidRDefault="006B3111" w:rsidP="00035553">
            <w:pPr>
              <w:pStyle w:val="NormalWeb"/>
              <w:rPr>
                <w:sz w:val="18"/>
                <w:szCs w:val="18"/>
              </w:rPr>
            </w:pPr>
            <w:r w:rsidRPr="00F1005B">
              <w:rPr>
                <w:sz w:val="18"/>
                <w:szCs w:val="18"/>
              </w:rPr>
              <w:t>Male</w:t>
            </w:r>
          </w:p>
        </w:tc>
        <w:tc>
          <w:tcPr>
            <w:tcW w:w="992" w:type="dxa"/>
            <w:tcBorders>
              <w:top w:val="single" w:sz="4" w:space="0" w:color="auto"/>
            </w:tcBorders>
            <w:hideMark/>
          </w:tcPr>
          <w:p w14:paraId="1E30F382" w14:textId="77777777" w:rsidR="006B3111" w:rsidRPr="00F1005B" w:rsidRDefault="006B3111" w:rsidP="00035553">
            <w:pPr>
              <w:pStyle w:val="NormalWeb"/>
              <w:jc w:val="center"/>
              <w:rPr>
                <w:sz w:val="18"/>
                <w:szCs w:val="18"/>
              </w:rPr>
            </w:pPr>
            <w:r w:rsidRPr="00F1005B">
              <w:rPr>
                <w:sz w:val="18"/>
                <w:szCs w:val="18"/>
              </w:rPr>
              <w:t>3</w:t>
            </w:r>
          </w:p>
        </w:tc>
        <w:tc>
          <w:tcPr>
            <w:tcW w:w="677" w:type="dxa"/>
            <w:tcBorders>
              <w:top w:val="single" w:sz="4" w:space="0" w:color="auto"/>
            </w:tcBorders>
            <w:hideMark/>
          </w:tcPr>
          <w:p w14:paraId="56FA7D92" w14:textId="77777777" w:rsidR="006B3111" w:rsidRPr="00F1005B" w:rsidRDefault="006B3111" w:rsidP="00035553">
            <w:pPr>
              <w:pStyle w:val="NormalWeb"/>
              <w:jc w:val="center"/>
              <w:rPr>
                <w:sz w:val="18"/>
                <w:szCs w:val="18"/>
              </w:rPr>
            </w:pPr>
            <w:r w:rsidRPr="00F1005B">
              <w:rPr>
                <w:sz w:val="18"/>
                <w:szCs w:val="18"/>
              </w:rPr>
              <w:t>60</w:t>
            </w:r>
          </w:p>
        </w:tc>
        <w:tc>
          <w:tcPr>
            <w:tcW w:w="1096" w:type="dxa"/>
            <w:tcBorders>
              <w:top w:val="single" w:sz="4" w:space="0" w:color="auto"/>
            </w:tcBorders>
            <w:hideMark/>
          </w:tcPr>
          <w:p w14:paraId="62B01E7B" w14:textId="77777777" w:rsidR="006B3111" w:rsidRPr="00F1005B" w:rsidRDefault="006B3111" w:rsidP="00035553">
            <w:pPr>
              <w:pStyle w:val="NormalWeb"/>
              <w:jc w:val="center"/>
              <w:rPr>
                <w:sz w:val="18"/>
                <w:szCs w:val="18"/>
              </w:rPr>
            </w:pPr>
            <w:r w:rsidRPr="00F1005B">
              <w:rPr>
                <w:sz w:val="18"/>
                <w:szCs w:val="18"/>
              </w:rPr>
              <w:t>1</w:t>
            </w:r>
          </w:p>
        </w:tc>
        <w:tc>
          <w:tcPr>
            <w:tcW w:w="963" w:type="dxa"/>
            <w:tcBorders>
              <w:top w:val="single" w:sz="4" w:space="0" w:color="auto"/>
            </w:tcBorders>
            <w:hideMark/>
          </w:tcPr>
          <w:p w14:paraId="198E49B9" w14:textId="77777777" w:rsidR="006B3111" w:rsidRPr="00F1005B" w:rsidRDefault="006B3111" w:rsidP="00035553">
            <w:pPr>
              <w:pStyle w:val="NormalWeb"/>
              <w:jc w:val="center"/>
              <w:rPr>
                <w:sz w:val="18"/>
                <w:szCs w:val="18"/>
              </w:rPr>
            </w:pPr>
            <w:r w:rsidRPr="00F1005B">
              <w:rPr>
                <w:sz w:val="18"/>
                <w:szCs w:val="18"/>
              </w:rPr>
              <w:t>100</w:t>
            </w:r>
          </w:p>
        </w:tc>
        <w:tc>
          <w:tcPr>
            <w:tcW w:w="1558" w:type="dxa"/>
            <w:tcBorders>
              <w:top w:val="single" w:sz="4" w:space="0" w:color="auto"/>
            </w:tcBorders>
            <w:hideMark/>
          </w:tcPr>
          <w:p w14:paraId="02AF0D69" w14:textId="77777777" w:rsidR="006B3111" w:rsidRPr="00F1005B" w:rsidRDefault="006B3111" w:rsidP="00035553">
            <w:pPr>
              <w:pStyle w:val="NormalWeb"/>
              <w:jc w:val="center"/>
              <w:rPr>
                <w:sz w:val="18"/>
                <w:szCs w:val="18"/>
              </w:rPr>
            </w:pPr>
            <w:r w:rsidRPr="00F1005B">
              <w:rPr>
                <w:sz w:val="18"/>
                <w:szCs w:val="18"/>
              </w:rPr>
              <w:t>7</w:t>
            </w:r>
          </w:p>
        </w:tc>
        <w:tc>
          <w:tcPr>
            <w:tcW w:w="1138" w:type="dxa"/>
            <w:tcBorders>
              <w:top w:val="single" w:sz="4" w:space="0" w:color="auto"/>
            </w:tcBorders>
            <w:hideMark/>
          </w:tcPr>
          <w:p w14:paraId="10A22866" w14:textId="77777777" w:rsidR="006B3111" w:rsidRPr="00F1005B" w:rsidRDefault="006B3111" w:rsidP="00035553">
            <w:pPr>
              <w:pStyle w:val="NormalWeb"/>
              <w:jc w:val="center"/>
              <w:rPr>
                <w:sz w:val="18"/>
                <w:szCs w:val="18"/>
              </w:rPr>
            </w:pPr>
            <w:r w:rsidRPr="00F1005B">
              <w:rPr>
                <w:sz w:val="18"/>
                <w:szCs w:val="18"/>
              </w:rPr>
              <w:t>88</w:t>
            </w:r>
          </w:p>
        </w:tc>
        <w:tc>
          <w:tcPr>
            <w:tcW w:w="1156" w:type="dxa"/>
            <w:tcBorders>
              <w:top w:val="single" w:sz="4" w:space="0" w:color="auto"/>
            </w:tcBorders>
            <w:hideMark/>
          </w:tcPr>
          <w:p w14:paraId="37F48DD3" w14:textId="77777777" w:rsidR="006B3111" w:rsidRPr="00F1005B" w:rsidRDefault="006B3111" w:rsidP="00035553">
            <w:pPr>
              <w:pStyle w:val="NormalWeb"/>
              <w:jc w:val="center"/>
              <w:rPr>
                <w:sz w:val="18"/>
                <w:szCs w:val="18"/>
              </w:rPr>
            </w:pPr>
            <w:r w:rsidRPr="00F1005B">
              <w:rPr>
                <w:sz w:val="18"/>
                <w:szCs w:val="18"/>
              </w:rPr>
              <w:t>3</w:t>
            </w:r>
          </w:p>
        </w:tc>
        <w:tc>
          <w:tcPr>
            <w:tcW w:w="1350" w:type="dxa"/>
            <w:tcBorders>
              <w:top w:val="single" w:sz="4" w:space="0" w:color="auto"/>
            </w:tcBorders>
            <w:hideMark/>
          </w:tcPr>
          <w:p w14:paraId="3BF1AE0C" w14:textId="77777777" w:rsidR="006B3111" w:rsidRPr="00F1005B" w:rsidRDefault="006B3111" w:rsidP="00035553">
            <w:pPr>
              <w:pStyle w:val="NormalWeb"/>
              <w:jc w:val="center"/>
              <w:rPr>
                <w:sz w:val="18"/>
                <w:szCs w:val="18"/>
              </w:rPr>
            </w:pPr>
            <w:r w:rsidRPr="00F1005B">
              <w:rPr>
                <w:sz w:val="18"/>
                <w:szCs w:val="18"/>
              </w:rPr>
              <w:t>50</w:t>
            </w:r>
          </w:p>
        </w:tc>
        <w:tc>
          <w:tcPr>
            <w:tcW w:w="1134" w:type="dxa"/>
            <w:tcBorders>
              <w:top w:val="single" w:sz="4" w:space="0" w:color="auto"/>
            </w:tcBorders>
            <w:hideMark/>
          </w:tcPr>
          <w:p w14:paraId="41AEC665" w14:textId="77777777" w:rsidR="006B3111" w:rsidRPr="00F1005B" w:rsidRDefault="006B3111" w:rsidP="00035553">
            <w:pPr>
              <w:pStyle w:val="NormalWeb"/>
              <w:jc w:val="center"/>
              <w:rPr>
                <w:sz w:val="18"/>
                <w:szCs w:val="18"/>
              </w:rPr>
            </w:pPr>
            <w:r w:rsidRPr="00F1005B">
              <w:rPr>
                <w:sz w:val="18"/>
                <w:szCs w:val="18"/>
              </w:rPr>
              <w:t>14</w:t>
            </w:r>
          </w:p>
        </w:tc>
        <w:tc>
          <w:tcPr>
            <w:tcW w:w="1234" w:type="dxa"/>
            <w:tcBorders>
              <w:top w:val="single" w:sz="4" w:space="0" w:color="auto"/>
            </w:tcBorders>
            <w:hideMark/>
          </w:tcPr>
          <w:p w14:paraId="68FDE7D5" w14:textId="77777777" w:rsidR="006B3111" w:rsidRPr="00F1005B" w:rsidRDefault="006B3111" w:rsidP="00035553">
            <w:pPr>
              <w:pStyle w:val="NormalWeb"/>
              <w:jc w:val="center"/>
              <w:rPr>
                <w:sz w:val="18"/>
                <w:szCs w:val="18"/>
              </w:rPr>
            </w:pPr>
            <w:r w:rsidRPr="00F1005B">
              <w:rPr>
                <w:sz w:val="18"/>
                <w:szCs w:val="18"/>
              </w:rPr>
              <w:t>70</w:t>
            </w:r>
          </w:p>
        </w:tc>
      </w:tr>
      <w:tr w:rsidR="006B3111" w:rsidRPr="00F1005B" w14:paraId="085F1FF1" w14:textId="77777777" w:rsidTr="006B3111">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13" w:type="dxa"/>
        </w:trPr>
        <w:tc>
          <w:tcPr>
            <w:tcW w:w="3686" w:type="dxa"/>
            <w:hideMark/>
          </w:tcPr>
          <w:p w14:paraId="5CE93597" w14:textId="77777777" w:rsidR="006B3111" w:rsidRPr="00F1005B" w:rsidRDefault="006B3111" w:rsidP="00035553">
            <w:pPr>
              <w:pStyle w:val="NormalWeb"/>
              <w:rPr>
                <w:sz w:val="18"/>
                <w:szCs w:val="18"/>
              </w:rPr>
            </w:pPr>
            <w:r w:rsidRPr="00F1005B">
              <w:rPr>
                <w:sz w:val="18"/>
                <w:szCs w:val="18"/>
              </w:rPr>
              <w:t>Pregnant</w:t>
            </w:r>
          </w:p>
        </w:tc>
        <w:tc>
          <w:tcPr>
            <w:tcW w:w="992" w:type="dxa"/>
            <w:hideMark/>
          </w:tcPr>
          <w:p w14:paraId="79B9C907" w14:textId="77777777" w:rsidR="006B3111" w:rsidRPr="00F1005B" w:rsidRDefault="006B3111" w:rsidP="00035553">
            <w:pPr>
              <w:pStyle w:val="NormalWeb"/>
              <w:jc w:val="center"/>
              <w:rPr>
                <w:sz w:val="18"/>
                <w:szCs w:val="18"/>
              </w:rPr>
            </w:pPr>
            <w:r w:rsidRPr="00F1005B">
              <w:rPr>
                <w:sz w:val="18"/>
                <w:szCs w:val="18"/>
              </w:rPr>
              <w:t>0</w:t>
            </w:r>
          </w:p>
        </w:tc>
        <w:tc>
          <w:tcPr>
            <w:tcW w:w="677" w:type="dxa"/>
            <w:hideMark/>
          </w:tcPr>
          <w:p w14:paraId="67621650" w14:textId="77777777" w:rsidR="006B3111" w:rsidRPr="00F1005B" w:rsidRDefault="006B3111" w:rsidP="00035553">
            <w:pPr>
              <w:pStyle w:val="NormalWeb"/>
              <w:jc w:val="center"/>
              <w:rPr>
                <w:sz w:val="18"/>
                <w:szCs w:val="18"/>
              </w:rPr>
            </w:pPr>
            <w:r w:rsidRPr="00F1005B">
              <w:rPr>
                <w:sz w:val="18"/>
                <w:szCs w:val="18"/>
              </w:rPr>
              <w:t>0</w:t>
            </w:r>
          </w:p>
        </w:tc>
        <w:tc>
          <w:tcPr>
            <w:tcW w:w="1096" w:type="dxa"/>
            <w:hideMark/>
          </w:tcPr>
          <w:p w14:paraId="38FEF62C" w14:textId="77777777" w:rsidR="006B3111" w:rsidRPr="00F1005B" w:rsidRDefault="006B3111" w:rsidP="00035553">
            <w:pPr>
              <w:pStyle w:val="NormalWeb"/>
              <w:jc w:val="center"/>
              <w:rPr>
                <w:sz w:val="18"/>
                <w:szCs w:val="18"/>
              </w:rPr>
            </w:pPr>
            <w:r w:rsidRPr="00F1005B">
              <w:rPr>
                <w:sz w:val="18"/>
                <w:szCs w:val="18"/>
              </w:rPr>
              <w:t>0</w:t>
            </w:r>
          </w:p>
        </w:tc>
        <w:tc>
          <w:tcPr>
            <w:tcW w:w="963" w:type="dxa"/>
            <w:hideMark/>
          </w:tcPr>
          <w:p w14:paraId="2836BA2C" w14:textId="77777777" w:rsidR="006B3111" w:rsidRPr="00F1005B" w:rsidRDefault="006B3111" w:rsidP="00035553">
            <w:pPr>
              <w:pStyle w:val="NormalWeb"/>
              <w:jc w:val="center"/>
              <w:rPr>
                <w:sz w:val="18"/>
                <w:szCs w:val="18"/>
              </w:rPr>
            </w:pPr>
            <w:r w:rsidRPr="00F1005B">
              <w:rPr>
                <w:sz w:val="18"/>
                <w:szCs w:val="18"/>
              </w:rPr>
              <w:t>0</w:t>
            </w:r>
          </w:p>
        </w:tc>
        <w:tc>
          <w:tcPr>
            <w:tcW w:w="1558" w:type="dxa"/>
            <w:hideMark/>
          </w:tcPr>
          <w:p w14:paraId="5690E8B3" w14:textId="77777777" w:rsidR="006B3111" w:rsidRPr="00F1005B" w:rsidRDefault="006B3111" w:rsidP="00035553">
            <w:pPr>
              <w:pStyle w:val="NormalWeb"/>
              <w:jc w:val="center"/>
              <w:rPr>
                <w:sz w:val="18"/>
                <w:szCs w:val="18"/>
              </w:rPr>
            </w:pPr>
            <w:r w:rsidRPr="00F1005B">
              <w:rPr>
                <w:sz w:val="18"/>
                <w:szCs w:val="18"/>
              </w:rPr>
              <w:t>0</w:t>
            </w:r>
          </w:p>
        </w:tc>
        <w:tc>
          <w:tcPr>
            <w:tcW w:w="1138" w:type="dxa"/>
            <w:hideMark/>
          </w:tcPr>
          <w:p w14:paraId="103BF625" w14:textId="77777777" w:rsidR="006B3111" w:rsidRPr="00F1005B" w:rsidRDefault="006B3111" w:rsidP="00035553">
            <w:pPr>
              <w:pStyle w:val="NormalWeb"/>
              <w:jc w:val="center"/>
              <w:rPr>
                <w:sz w:val="18"/>
                <w:szCs w:val="18"/>
              </w:rPr>
            </w:pPr>
            <w:r w:rsidRPr="00F1005B">
              <w:rPr>
                <w:sz w:val="18"/>
                <w:szCs w:val="18"/>
              </w:rPr>
              <w:t>0</w:t>
            </w:r>
          </w:p>
        </w:tc>
        <w:tc>
          <w:tcPr>
            <w:tcW w:w="1156" w:type="dxa"/>
            <w:hideMark/>
          </w:tcPr>
          <w:p w14:paraId="675E981F" w14:textId="77777777" w:rsidR="006B3111" w:rsidRPr="00F1005B" w:rsidRDefault="006B3111" w:rsidP="00035553">
            <w:pPr>
              <w:pStyle w:val="NormalWeb"/>
              <w:jc w:val="center"/>
              <w:rPr>
                <w:sz w:val="18"/>
                <w:szCs w:val="18"/>
              </w:rPr>
            </w:pPr>
            <w:r w:rsidRPr="00F1005B">
              <w:rPr>
                <w:sz w:val="18"/>
                <w:szCs w:val="18"/>
              </w:rPr>
              <w:t>0</w:t>
            </w:r>
          </w:p>
        </w:tc>
        <w:tc>
          <w:tcPr>
            <w:tcW w:w="1350" w:type="dxa"/>
            <w:hideMark/>
          </w:tcPr>
          <w:p w14:paraId="32FEBD52" w14:textId="77777777" w:rsidR="006B3111" w:rsidRPr="00F1005B" w:rsidRDefault="006B3111" w:rsidP="00035553">
            <w:pPr>
              <w:pStyle w:val="NormalWeb"/>
              <w:jc w:val="center"/>
              <w:rPr>
                <w:sz w:val="18"/>
                <w:szCs w:val="18"/>
              </w:rPr>
            </w:pPr>
            <w:r w:rsidRPr="00F1005B">
              <w:rPr>
                <w:sz w:val="18"/>
                <w:szCs w:val="18"/>
              </w:rPr>
              <w:t>0</w:t>
            </w:r>
          </w:p>
        </w:tc>
        <w:tc>
          <w:tcPr>
            <w:tcW w:w="1134" w:type="dxa"/>
            <w:hideMark/>
          </w:tcPr>
          <w:p w14:paraId="71B1C761" w14:textId="77777777" w:rsidR="006B3111" w:rsidRPr="00F1005B" w:rsidRDefault="006B3111" w:rsidP="00035553">
            <w:pPr>
              <w:pStyle w:val="NormalWeb"/>
              <w:jc w:val="center"/>
              <w:rPr>
                <w:sz w:val="18"/>
                <w:szCs w:val="18"/>
              </w:rPr>
            </w:pPr>
            <w:r w:rsidRPr="00F1005B">
              <w:rPr>
                <w:sz w:val="18"/>
                <w:szCs w:val="18"/>
              </w:rPr>
              <w:t>0</w:t>
            </w:r>
          </w:p>
        </w:tc>
        <w:tc>
          <w:tcPr>
            <w:tcW w:w="1234" w:type="dxa"/>
            <w:hideMark/>
          </w:tcPr>
          <w:p w14:paraId="4C3AD736" w14:textId="77777777" w:rsidR="006B3111" w:rsidRPr="00F1005B" w:rsidRDefault="006B3111" w:rsidP="00035553">
            <w:pPr>
              <w:pStyle w:val="NormalWeb"/>
              <w:jc w:val="center"/>
              <w:rPr>
                <w:sz w:val="18"/>
                <w:szCs w:val="18"/>
              </w:rPr>
            </w:pPr>
            <w:r w:rsidRPr="00F1005B">
              <w:rPr>
                <w:sz w:val="18"/>
                <w:szCs w:val="18"/>
              </w:rPr>
              <w:t>0</w:t>
            </w:r>
          </w:p>
        </w:tc>
      </w:tr>
      <w:tr w:rsidR="006B3111" w:rsidRPr="00F1005B" w14:paraId="2C83C696" w14:textId="77777777" w:rsidTr="006B3111">
        <w:tblPrEx>
          <w:tblCellMar>
            <w:top w:w="57" w:type="dxa"/>
            <w:left w:w="57" w:type="dxa"/>
            <w:bottom w:w="57" w:type="dxa"/>
            <w:right w:w="57" w:type="dxa"/>
          </w:tblCellMar>
        </w:tblPrEx>
        <w:trPr>
          <w:gridAfter w:val="1"/>
          <w:wAfter w:w="13" w:type="dxa"/>
        </w:trPr>
        <w:tc>
          <w:tcPr>
            <w:tcW w:w="3686" w:type="dxa"/>
            <w:hideMark/>
          </w:tcPr>
          <w:p w14:paraId="4459148D" w14:textId="77777777" w:rsidR="006B3111" w:rsidRPr="00F1005B" w:rsidRDefault="006B3111" w:rsidP="00035553">
            <w:pPr>
              <w:pStyle w:val="NormalWeb"/>
              <w:rPr>
                <w:sz w:val="18"/>
                <w:szCs w:val="18"/>
              </w:rPr>
            </w:pPr>
            <w:r w:rsidRPr="00F1005B">
              <w:rPr>
                <w:sz w:val="18"/>
                <w:szCs w:val="18"/>
              </w:rPr>
              <w:t>Aboriginal and Torres Strait Islander</w:t>
            </w:r>
          </w:p>
        </w:tc>
        <w:tc>
          <w:tcPr>
            <w:tcW w:w="992" w:type="dxa"/>
            <w:hideMark/>
          </w:tcPr>
          <w:p w14:paraId="28764150" w14:textId="77777777" w:rsidR="006B3111" w:rsidRPr="00F1005B" w:rsidRDefault="006B3111" w:rsidP="00035553">
            <w:pPr>
              <w:pStyle w:val="NormalWeb"/>
              <w:jc w:val="center"/>
              <w:rPr>
                <w:sz w:val="18"/>
                <w:szCs w:val="18"/>
              </w:rPr>
            </w:pPr>
            <w:r w:rsidRPr="00F1005B">
              <w:rPr>
                <w:sz w:val="18"/>
                <w:szCs w:val="18"/>
              </w:rPr>
              <w:t>0</w:t>
            </w:r>
          </w:p>
        </w:tc>
        <w:tc>
          <w:tcPr>
            <w:tcW w:w="677" w:type="dxa"/>
            <w:hideMark/>
          </w:tcPr>
          <w:p w14:paraId="5BB4569A" w14:textId="77777777" w:rsidR="006B3111" w:rsidRPr="00F1005B" w:rsidRDefault="006B3111" w:rsidP="00035553">
            <w:pPr>
              <w:pStyle w:val="NormalWeb"/>
              <w:jc w:val="center"/>
              <w:rPr>
                <w:sz w:val="18"/>
                <w:szCs w:val="18"/>
              </w:rPr>
            </w:pPr>
            <w:r w:rsidRPr="00F1005B">
              <w:rPr>
                <w:sz w:val="18"/>
                <w:szCs w:val="18"/>
              </w:rPr>
              <w:t>0</w:t>
            </w:r>
          </w:p>
        </w:tc>
        <w:tc>
          <w:tcPr>
            <w:tcW w:w="1096" w:type="dxa"/>
            <w:hideMark/>
          </w:tcPr>
          <w:p w14:paraId="306B4928" w14:textId="77777777" w:rsidR="006B3111" w:rsidRPr="00F1005B" w:rsidRDefault="006B3111" w:rsidP="00035553">
            <w:pPr>
              <w:pStyle w:val="NormalWeb"/>
              <w:jc w:val="center"/>
              <w:rPr>
                <w:sz w:val="18"/>
                <w:szCs w:val="18"/>
              </w:rPr>
            </w:pPr>
            <w:r w:rsidRPr="00F1005B">
              <w:rPr>
                <w:sz w:val="18"/>
                <w:szCs w:val="18"/>
              </w:rPr>
              <w:t>0</w:t>
            </w:r>
          </w:p>
        </w:tc>
        <w:tc>
          <w:tcPr>
            <w:tcW w:w="963" w:type="dxa"/>
            <w:hideMark/>
          </w:tcPr>
          <w:p w14:paraId="1EE25CFF" w14:textId="77777777" w:rsidR="006B3111" w:rsidRPr="00F1005B" w:rsidRDefault="006B3111" w:rsidP="00035553">
            <w:pPr>
              <w:pStyle w:val="NormalWeb"/>
              <w:jc w:val="center"/>
              <w:rPr>
                <w:sz w:val="18"/>
                <w:szCs w:val="18"/>
              </w:rPr>
            </w:pPr>
            <w:r w:rsidRPr="00F1005B">
              <w:rPr>
                <w:sz w:val="18"/>
                <w:szCs w:val="18"/>
              </w:rPr>
              <w:t>0</w:t>
            </w:r>
          </w:p>
        </w:tc>
        <w:tc>
          <w:tcPr>
            <w:tcW w:w="1558" w:type="dxa"/>
            <w:hideMark/>
          </w:tcPr>
          <w:p w14:paraId="6D1677D4" w14:textId="77777777" w:rsidR="006B3111" w:rsidRPr="00F1005B" w:rsidRDefault="006B3111" w:rsidP="00035553">
            <w:pPr>
              <w:pStyle w:val="NormalWeb"/>
              <w:jc w:val="center"/>
              <w:rPr>
                <w:sz w:val="18"/>
                <w:szCs w:val="18"/>
              </w:rPr>
            </w:pPr>
            <w:r w:rsidRPr="00F1005B">
              <w:rPr>
                <w:sz w:val="18"/>
                <w:szCs w:val="18"/>
              </w:rPr>
              <w:t>2</w:t>
            </w:r>
          </w:p>
        </w:tc>
        <w:tc>
          <w:tcPr>
            <w:tcW w:w="1138" w:type="dxa"/>
            <w:hideMark/>
          </w:tcPr>
          <w:p w14:paraId="11FFEE03" w14:textId="77777777" w:rsidR="006B3111" w:rsidRPr="00F1005B" w:rsidRDefault="006B3111" w:rsidP="00035553">
            <w:pPr>
              <w:pStyle w:val="NormalWeb"/>
              <w:jc w:val="center"/>
              <w:rPr>
                <w:sz w:val="18"/>
                <w:szCs w:val="18"/>
              </w:rPr>
            </w:pPr>
            <w:r w:rsidRPr="00F1005B">
              <w:rPr>
                <w:sz w:val="18"/>
                <w:szCs w:val="18"/>
              </w:rPr>
              <w:t>25</w:t>
            </w:r>
          </w:p>
        </w:tc>
        <w:tc>
          <w:tcPr>
            <w:tcW w:w="1156" w:type="dxa"/>
            <w:hideMark/>
          </w:tcPr>
          <w:p w14:paraId="225AB572" w14:textId="77777777" w:rsidR="006B3111" w:rsidRPr="00F1005B" w:rsidRDefault="006B3111" w:rsidP="00035553">
            <w:pPr>
              <w:pStyle w:val="NormalWeb"/>
              <w:jc w:val="center"/>
              <w:rPr>
                <w:sz w:val="18"/>
                <w:szCs w:val="18"/>
              </w:rPr>
            </w:pPr>
            <w:r w:rsidRPr="00F1005B">
              <w:rPr>
                <w:sz w:val="18"/>
                <w:szCs w:val="18"/>
              </w:rPr>
              <w:t>3</w:t>
            </w:r>
          </w:p>
        </w:tc>
        <w:tc>
          <w:tcPr>
            <w:tcW w:w="1350" w:type="dxa"/>
            <w:hideMark/>
          </w:tcPr>
          <w:p w14:paraId="0CEF8D6A" w14:textId="77777777" w:rsidR="006B3111" w:rsidRPr="00F1005B" w:rsidRDefault="006B3111" w:rsidP="00035553">
            <w:pPr>
              <w:pStyle w:val="NormalWeb"/>
              <w:jc w:val="center"/>
              <w:rPr>
                <w:sz w:val="18"/>
                <w:szCs w:val="18"/>
              </w:rPr>
            </w:pPr>
            <w:r w:rsidRPr="00F1005B">
              <w:rPr>
                <w:sz w:val="18"/>
                <w:szCs w:val="18"/>
              </w:rPr>
              <w:t>50</w:t>
            </w:r>
          </w:p>
        </w:tc>
        <w:tc>
          <w:tcPr>
            <w:tcW w:w="1134" w:type="dxa"/>
            <w:hideMark/>
          </w:tcPr>
          <w:p w14:paraId="5D10DB6C" w14:textId="77777777" w:rsidR="006B3111" w:rsidRPr="00F1005B" w:rsidRDefault="006B3111" w:rsidP="00035553">
            <w:pPr>
              <w:pStyle w:val="NormalWeb"/>
              <w:jc w:val="center"/>
              <w:rPr>
                <w:sz w:val="18"/>
                <w:szCs w:val="18"/>
              </w:rPr>
            </w:pPr>
            <w:r w:rsidRPr="00F1005B">
              <w:rPr>
                <w:sz w:val="18"/>
                <w:szCs w:val="18"/>
              </w:rPr>
              <w:t>5</w:t>
            </w:r>
          </w:p>
        </w:tc>
        <w:tc>
          <w:tcPr>
            <w:tcW w:w="1234" w:type="dxa"/>
            <w:hideMark/>
          </w:tcPr>
          <w:p w14:paraId="6ABE95C0" w14:textId="77777777" w:rsidR="006B3111" w:rsidRPr="00F1005B" w:rsidRDefault="006B3111" w:rsidP="00035553">
            <w:pPr>
              <w:pStyle w:val="NormalWeb"/>
              <w:jc w:val="center"/>
              <w:rPr>
                <w:sz w:val="18"/>
                <w:szCs w:val="18"/>
              </w:rPr>
            </w:pPr>
            <w:r w:rsidRPr="00F1005B">
              <w:rPr>
                <w:sz w:val="18"/>
                <w:szCs w:val="18"/>
              </w:rPr>
              <w:t>25</w:t>
            </w:r>
          </w:p>
        </w:tc>
      </w:tr>
      <w:tr w:rsidR="006B3111" w:rsidRPr="00F1005B" w14:paraId="7B8406C4" w14:textId="77777777" w:rsidTr="006B3111">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13" w:type="dxa"/>
        </w:trPr>
        <w:tc>
          <w:tcPr>
            <w:tcW w:w="3686" w:type="dxa"/>
            <w:shd w:val="clear" w:color="auto" w:fill="886E49"/>
            <w:hideMark/>
          </w:tcPr>
          <w:p w14:paraId="5666282E" w14:textId="77777777" w:rsidR="006B3111" w:rsidRPr="00F1005B" w:rsidRDefault="006B3111" w:rsidP="00035553">
            <w:pPr>
              <w:pStyle w:val="NormalWeb"/>
              <w:rPr>
                <w:b/>
                <w:bCs/>
                <w:color w:val="FFFFFF" w:themeColor="background1"/>
                <w:sz w:val="18"/>
                <w:szCs w:val="18"/>
              </w:rPr>
            </w:pPr>
            <w:r w:rsidRPr="00F1005B">
              <w:rPr>
                <w:b/>
                <w:bCs/>
                <w:color w:val="FFFFFF" w:themeColor="background1"/>
                <w:sz w:val="18"/>
                <w:szCs w:val="18"/>
              </w:rPr>
              <w:t>Jurisdiction</w:t>
            </w:r>
          </w:p>
        </w:tc>
        <w:tc>
          <w:tcPr>
            <w:tcW w:w="11298" w:type="dxa"/>
            <w:gridSpan w:val="10"/>
            <w:shd w:val="clear" w:color="auto" w:fill="886E49"/>
            <w:hideMark/>
          </w:tcPr>
          <w:p w14:paraId="282055B0" w14:textId="77777777" w:rsidR="006B3111" w:rsidRPr="00F1005B" w:rsidRDefault="006B3111" w:rsidP="00035553">
            <w:pPr>
              <w:jc w:val="center"/>
              <w:rPr>
                <w:b/>
                <w:bCs/>
                <w:color w:val="FFFFFF" w:themeColor="background1"/>
                <w:sz w:val="18"/>
                <w:szCs w:val="18"/>
              </w:rPr>
            </w:pPr>
          </w:p>
        </w:tc>
      </w:tr>
      <w:tr w:rsidR="006B3111" w:rsidRPr="00F1005B" w14:paraId="4E042888" w14:textId="77777777" w:rsidTr="006B3111">
        <w:tblPrEx>
          <w:tblCellMar>
            <w:top w:w="57" w:type="dxa"/>
            <w:left w:w="57" w:type="dxa"/>
            <w:bottom w:w="57" w:type="dxa"/>
            <w:right w:w="57" w:type="dxa"/>
          </w:tblCellMar>
        </w:tblPrEx>
        <w:trPr>
          <w:gridAfter w:val="1"/>
          <w:wAfter w:w="13" w:type="dxa"/>
        </w:trPr>
        <w:tc>
          <w:tcPr>
            <w:tcW w:w="3686" w:type="dxa"/>
            <w:hideMark/>
          </w:tcPr>
          <w:p w14:paraId="1304987F" w14:textId="77777777" w:rsidR="006B3111" w:rsidRPr="00F1005B" w:rsidRDefault="006B3111" w:rsidP="00035553">
            <w:pPr>
              <w:pStyle w:val="NormalWeb"/>
              <w:rPr>
                <w:sz w:val="18"/>
                <w:szCs w:val="18"/>
              </w:rPr>
            </w:pPr>
            <w:r w:rsidRPr="00F1005B">
              <w:rPr>
                <w:sz w:val="18"/>
                <w:szCs w:val="18"/>
              </w:rPr>
              <w:t>ACT</w:t>
            </w:r>
          </w:p>
        </w:tc>
        <w:tc>
          <w:tcPr>
            <w:tcW w:w="992" w:type="dxa"/>
            <w:hideMark/>
          </w:tcPr>
          <w:p w14:paraId="325B0D64" w14:textId="77777777" w:rsidR="006B3111" w:rsidRPr="00F1005B" w:rsidRDefault="006B3111" w:rsidP="00035553">
            <w:pPr>
              <w:pStyle w:val="NormalWeb"/>
              <w:jc w:val="center"/>
              <w:rPr>
                <w:sz w:val="18"/>
                <w:szCs w:val="18"/>
              </w:rPr>
            </w:pPr>
            <w:r w:rsidRPr="00F1005B">
              <w:rPr>
                <w:sz w:val="18"/>
                <w:szCs w:val="18"/>
              </w:rPr>
              <w:t>0</w:t>
            </w:r>
          </w:p>
        </w:tc>
        <w:tc>
          <w:tcPr>
            <w:tcW w:w="677" w:type="dxa"/>
            <w:hideMark/>
          </w:tcPr>
          <w:p w14:paraId="6A1D7337" w14:textId="77777777" w:rsidR="006B3111" w:rsidRPr="00F1005B" w:rsidRDefault="006B3111" w:rsidP="00035553">
            <w:pPr>
              <w:pStyle w:val="NormalWeb"/>
              <w:jc w:val="center"/>
              <w:rPr>
                <w:sz w:val="18"/>
                <w:szCs w:val="18"/>
              </w:rPr>
            </w:pPr>
            <w:r w:rsidRPr="00F1005B">
              <w:rPr>
                <w:sz w:val="18"/>
                <w:szCs w:val="18"/>
              </w:rPr>
              <w:t>0</w:t>
            </w:r>
          </w:p>
        </w:tc>
        <w:tc>
          <w:tcPr>
            <w:tcW w:w="1096" w:type="dxa"/>
            <w:hideMark/>
          </w:tcPr>
          <w:p w14:paraId="06DA0689" w14:textId="77777777" w:rsidR="006B3111" w:rsidRPr="00F1005B" w:rsidRDefault="006B3111" w:rsidP="00035553">
            <w:pPr>
              <w:pStyle w:val="NormalWeb"/>
              <w:jc w:val="center"/>
              <w:rPr>
                <w:sz w:val="18"/>
                <w:szCs w:val="18"/>
              </w:rPr>
            </w:pPr>
            <w:r w:rsidRPr="00F1005B">
              <w:rPr>
                <w:sz w:val="18"/>
                <w:szCs w:val="18"/>
              </w:rPr>
              <w:t>0</w:t>
            </w:r>
          </w:p>
        </w:tc>
        <w:tc>
          <w:tcPr>
            <w:tcW w:w="963" w:type="dxa"/>
            <w:hideMark/>
          </w:tcPr>
          <w:p w14:paraId="75396B6A" w14:textId="77777777" w:rsidR="006B3111" w:rsidRPr="00F1005B" w:rsidRDefault="006B3111" w:rsidP="00035553">
            <w:pPr>
              <w:pStyle w:val="NormalWeb"/>
              <w:jc w:val="center"/>
              <w:rPr>
                <w:sz w:val="18"/>
                <w:szCs w:val="18"/>
              </w:rPr>
            </w:pPr>
            <w:r w:rsidRPr="00F1005B">
              <w:rPr>
                <w:sz w:val="18"/>
                <w:szCs w:val="18"/>
              </w:rPr>
              <w:t>0</w:t>
            </w:r>
          </w:p>
        </w:tc>
        <w:tc>
          <w:tcPr>
            <w:tcW w:w="1558" w:type="dxa"/>
            <w:hideMark/>
          </w:tcPr>
          <w:p w14:paraId="36DAC3CF" w14:textId="77777777" w:rsidR="006B3111" w:rsidRPr="00F1005B" w:rsidRDefault="006B3111" w:rsidP="00035553">
            <w:pPr>
              <w:pStyle w:val="NormalWeb"/>
              <w:jc w:val="center"/>
              <w:rPr>
                <w:sz w:val="18"/>
                <w:szCs w:val="18"/>
              </w:rPr>
            </w:pPr>
            <w:r w:rsidRPr="00F1005B">
              <w:rPr>
                <w:sz w:val="18"/>
                <w:szCs w:val="18"/>
              </w:rPr>
              <w:t>0</w:t>
            </w:r>
          </w:p>
        </w:tc>
        <w:tc>
          <w:tcPr>
            <w:tcW w:w="1138" w:type="dxa"/>
            <w:hideMark/>
          </w:tcPr>
          <w:p w14:paraId="0196B13F" w14:textId="77777777" w:rsidR="006B3111" w:rsidRPr="00F1005B" w:rsidRDefault="006B3111" w:rsidP="00035553">
            <w:pPr>
              <w:pStyle w:val="NormalWeb"/>
              <w:jc w:val="center"/>
              <w:rPr>
                <w:sz w:val="18"/>
                <w:szCs w:val="18"/>
              </w:rPr>
            </w:pPr>
            <w:r w:rsidRPr="00F1005B">
              <w:rPr>
                <w:sz w:val="18"/>
                <w:szCs w:val="18"/>
              </w:rPr>
              <w:t>0</w:t>
            </w:r>
          </w:p>
        </w:tc>
        <w:tc>
          <w:tcPr>
            <w:tcW w:w="1156" w:type="dxa"/>
            <w:hideMark/>
          </w:tcPr>
          <w:p w14:paraId="0D1A7796" w14:textId="77777777" w:rsidR="006B3111" w:rsidRPr="00F1005B" w:rsidRDefault="006B3111" w:rsidP="00035553">
            <w:pPr>
              <w:pStyle w:val="NormalWeb"/>
              <w:jc w:val="center"/>
              <w:rPr>
                <w:sz w:val="18"/>
                <w:szCs w:val="18"/>
              </w:rPr>
            </w:pPr>
            <w:r w:rsidRPr="00F1005B">
              <w:rPr>
                <w:sz w:val="18"/>
                <w:szCs w:val="18"/>
              </w:rPr>
              <w:t>0</w:t>
            </w:r>
          </w:p>
        </w:tc>
        <w:tc>
          <w:tcPr>
            <w:tcW w:w="1350" w:type="dxa"/>
            <w:hideMark/>
          </w:tcPr>
          <w:p w14:paraId="4B6A63B9" w14:textId="77777777" w:rsidR="006B3111" w:rsidRPr="00F1005B" w:rsidRDefault="006B3111" w:rsidP="00035553">
            <w:pPr>
              <w:pStyle w:val="NormalWeb"/>
              <w:jc w:val="center"/>
              <w:rPr>
                <w:sz w:val="18"/>
                <w:szCs w:val="18"/>
              </w:rPr>
            </w:pPr>
            <w:r w:rsidRPr="00F1005B">
              <w:rPr>
                <w:sz w:val="18"/>
                <w:szCs w:val="18"/>
              </w:rPr>
              <w:t>0</w:t>
            </w:r>
          </w:p>
        </w:tc>
        <w:tc>
          <w:tcPr>
            <w:tcW w:w="1134" w:type="dxa"/>
            <w:hideMark/>
          </w:tcPr>
          <w:p w14:paraId="4B809852" w14:textId="77777777" w:rsidR="006B3111" w:rsidRPr="00F1005B" w:rsidRDefault="006B3111" w:rsidP="00035553">
            <w:pPr>
              <w:pStyle w:val="NormalWeb"/>
              <w:jc w:val="center"/>
              <w:rPr>
                <w:sz w:val="18"/>
                <w:szCs w:val="18"/>
              </w:rPr>
            </w:pPr>
            <w:r w:rsidRPr="00F1005B">
              <w:rPr>
                <w:sz w:val="18"/>
                <w:szCs w:val="18"/>
              </w:rPr>
              <w:t>0</w:t>
            </w:r>
          </w:p>
        </w:tc>
        <w:tc>
          <w:tcPr>
            <w:tcW w:w="1234" w:type="dxa"/>
            <w:hideMark/>
          </w:tcPr>
          <w:p w14:paraId="1F60575C" w14:textId="77777777" w:rsidR="006B3111" w:rsidRPr="00F1005B" w:rsidRDefault="006B3111" w:rsidP="00035553">
            <w:pPr>
              <w:pStyle w:val="NormalWeb"/>
              <w:jc w:val="center"/>
              <w:rPr>
                <w:sz w:val="18"/>
                <w:szCs w:val="18"/>
              </w:rPr>
            </w:pPr>
            <w:r w:rsidRPr="00F1005B">
              <w:rPr>
                <w:sz w:val="18"/>
                <w:szCs w:val="18"/>
              </w:rPr>
              <w:t>0</w:t>
            </w:r>
          </w:p>
        </w:tc>
      </w:tr>
      <w:tr w:rsidR="006B3111" w:rsidRPr="00F1005B" w14:paraId="2946036A" w14:textId="77777777" w:rsidTr="006B3111">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13" w:type="dxa"/>
        </w:trPr>
        <w:tc>
          <w:tcPr>
            <w:tcW w:w="3686" w:type="dxa"/>
            <w:hideMark/>
          </w:tcPr>
          <w:p w14:paraId="1093C785" w14:textId="77777777" w:rsidR="006B3111" w:rsidRPr="00F1005B" w:rsidRDefault="006B3111" w:rsidP="00035553">
            <w:pPr>
              <w:pStyle w:val="NormalWeb"/>
              <w:rPr>
                <w:sz w:val="18"/>
                <w:szCs w:val="18"/>
              </w:rPr>
            </w:pPr>
            <w:r w:rsidRPr="00F1005B">
              <w:rPr>
                <w:sz w:val="18"/>
                <w:szCs w:val="18"/>
              </w:rPr>
              <w:t>NSW</w:t>
            </w:r>
          </w:p>
        </w:tc>
        <w:tc>
          <w:tcPr>
            <w:tcW w:w="992" w:type="dxa"/>
            <w:hideMark/>
          </w:tcPr>
          <w:p w14:paraId="1059F231" w14:textId="77777777" w:rsidR="006B3111" w:rsidRPr="00F1005B" w:rsidRDefault="006B3111" w:rsidP="00035553">
            <w:pPr>
              <w:pStyle w:val="NormalWeb"/>
              <w:jc w:val="center"/>
              <w:rPr>
                <w:sz w:val="18"/>
                <w:szCs w:val="18"/>
              </w:rPr>
            </w:pPr>
            <w:r w:rsidRPr="00F1005B">
              <w:rPr>
                <w:sz w:val="18"/>
                <w:szCs w:val="18"/>
              </w:rPr>
              <w:t>5</w:t>
            </w:r>
          </w:p>
        </w:tc>
        <w:tc>
          <w:tcPr>
            <w:tcW w:w="677" w:type="dxa"/>
            <w:hideMark/>
          </w:tcPr>
          <w:p w14:paraId="65ACF01B" w14:textId="77777777" w:rsidR="006B3111" w:rsidRPr="00F1005B" w:rsidRDefault="006B3111" w:rsidP="00035553">
            <w:pPr>
              <w:pStyle w:val="NormalWeb"/>
              <w:jc w:val="center"/>
              <w:rPr>
                <w:sz w:val="18"/>
                <w:szCs w:val="18"/>
              </w:rPr>
            </w:pPr>
            <w:r w:rsidRPr="00F1005B">
              <w:rPr>
                <w:sz w:val="18"/>
                <w:szCs w:val="18"/>
              </w:rPr>
              <w:t>100</w:t>
            </w:r>
          </w:p>
        </w:tc>
        <w:tc>
          <w:tcPr>
            <w:tcW w:w="1096" w:type="dxa"/>
            <w:hideMark/>
          </w:tcPr>
          <w:p w14:paraId="36841F64" w14:textId="77777777" w:rsidR="006B3111" w:rsidRPr="00F1005B" w:rsidRDefault="006B3111" w:rsidP="00035553">
            <w:pPr>
              <w:pStyle w:val="NormalWeb"/>
              <w:jc w:val="center"/>
              <w:rPr>
                <w:sz w:val="18"/>
                <w:szCs w:val="18"/>
              </w:rPr>
            </w:pPr>
            <w:r w:rsidRPr="00F1005B">
              <w:rPr>
                <w:sz w:val="18"/>
                <w:szCs w:val="18"/>
              </w:rPr>
              <w:t>1</w:t>
            </w:r>
          </w:p>
        </w:tc>
        <w:tc>
          <w:tcPr>
            <w:tcW w:w="963" w:type="dxa"/>
            <w:hideMark/>
          </w:tcPr>
          <w:p w14:paraId="05B5022B" w14:textId="77777777" w:rsidR="006B3111" w:rsidRPr="00F1005B" w:rsidRDefault="006B3111" w:rsidP="00035553">
            <w:pPr>
              <w:pStyle w:val="NormalWeb"/>
              <w:jc w:val="center"/>
              <w:rPr>
                <w:sz w:val="18"/>
                <w:szCs w:val="18"/>
              </w:rPr>
            </w:pPr>
            <w:r w:rsidRPr="00F1005B">
              <w:rPr>
                <w:sz w:val="18"/>
                <w:szCs w:val="18"/>
              </w:rPr>
              <w:t>100</w:t>
            </w:r>
          </w:p>
        </w:tc>
        <w:tc>
          <w:tcPr>
            <w:tcW w:w="1558" w:type="dxa"/>
            <w:hideMark/>
          </w:tcPr>
          <w:p w14:paraId="0C20E000" w14:textId="77777777" w:rsidR="006B3111" w:rsidRPr="00F1005B" w:rsidRDefault="006B3111" w:rsidP="00035553">
            <w:pPr>
              <w:pStyle w:val="NormalWeb"/>
              <w:jc w:val="center"/>
              <w:rPr>
                <w:sz w:val="18"/>
                <w:szCs w:val="18"/>
              </w:rPr>
            </w:pPr>
            <w:r w:rsidRPr="00F1005B">
              <w:rPr>
                <w:sz w:val="18"/>
                <w:szCs w:val="18"/>
              </w:rPr>
              <w:t>2</w:t>
            </w:r>
          </w:p>
        </w:tc>
        <w:tc>
          <w:tcPr>
            <w:tcW w:w="1138" w:type="dxa"/>
            <w:hideMark/>
          </w:tcPr>
          <w:p w14:paraId="643E1233" w14:textId="77777777" w:rsidR="006B3111" w:rsidRPr="00F1005B" w:rsidRDefault="006B3111" w:rsidP="00035553">
            <w:pPr>
              <w:pStyle w:val="NormalWeb"/>
              <w:jc w:val="center"/>
              <w:rPr>
                <w:sz w:val="18"/>
                <w:szCs w:val="18"/>
              </w:rPr>
            </w:pPr>
            <w:r w:rsidRPr="00F1005B">
              <w:rPr>
                <w:sz w:val="18"/>
                <w:szCs w:val="18"/>
              </w:rPr>
              <w:t>25</w:t>
            </w:r>
          </w:p>
        </w:tc>
        <w:tc>
          <w:tcPr>
            <w:tcW w:w="1156" w:type="dxa"/>
            <w:hideMark/>
          </w:tcPr>
          <w:p w14:paraId="3C4D2331" w14:textId="77777777" w:rsidR="006B3111" w:rsidRPr="00F1005B" w:rsidRDefault="006B3111" w:rsidP="00035553">
            <w:pPr>
              <w:pStyle w:val="NormalWeb"/>
              <w:jc w:val="center"/>
              <w:rPr>
                <w:sz w:val="18"/>
                <w:szCs w:val="18"/>
              </w:rPr>
            </w:pPr>
            <w:r w:rsidRPr="00F1005B">
              <w:rPr>
                <w:sz w:val="18"/>
                <w:szCs w:val="18"/>
              </w:rPr>
              <w:t>0</w:t>
            </w:r>
          </w:p>
        </w:tc>
        <w:tc>
          <w:tcPr>
            <w:tcW w:w="1350" w:type="dxa"/>
            <w:hideMark/>
          </w:tcPr>
          <w:p w14:paraId="764BE185" w14:textId="77777777" w:rsidR="006B3111" w:rsidRPr="00F1005B" w:rsidRDefault="006B3111" w:rsidP="00035553">
            <w:pPr>
              <w:pStyle w:val="NormalWeb"/>
              <w:jc w:val="center"/>
              <w:rPr>
                <w:sz w:val="18"/>
                <w:szCs w:val="18"/>
              </w:rPr>
            </w:pPr>
            <w:r w:rsidRPr="00F1005B">
              <w:rPr>
                <w:sz w:val="18"/>
                <w:szCs w:val="18"/>
              </w:rPr>
              <w:t>0</w:t>
            </w:r>
          </w:p>
        </w:tc>
        <w:tc>
          <w:tcPr>
            <w:tcW w:w="1134" w:type="dxa"/>
            <w:hideMark/>
          </w:tcPr>
          <w:p w14:paraId="58179989" w14:textId="77777777" w:rsidR="006B3111" w:rsidRPr="00F1005B" w:rsidRDefault="006B3111" w:rsidP="00035553">
            <w:pPr>
              <w:pStyle w:val="NormalWeb"/>
              <w:jc w:val="center"/>
              <w:rPr>
                <w:sz w:val="18"/>
                <w:szCs w:val="18"/>
              </w:rPr>
            </w:pPr>
            <w:r w:rsidRPr="00F1005B">
              <w:rPr>
                <w:sz w:val="18"/>
                <w:szCs w:val="18"/>
              </w:rPr>
              <w:t>8</w:t>
            </w:r>
          </w:p>
        </w:tc>
        <w:tc>
          <w:tcPr>
            <w:tcW w:w="1234" w:type="dxa"/>
            <w:hideMark/>
          </w:tcPr>
          <w:p w14:paraId="1C69FE1B" w14:textId="77777777" w:rsidR="006B3111" w:rsidRPr="00F1005B" w:rsidRDefault="006B3111" w:rsidP="00035553">
            <w:pPr>
              <w:pStyle w:val="NormalWeb"/>
              <w:jc w:val="center"/>
              <w:rPr>
                <w:sz w:val="18"/>
                <w:szCs w:val="18"/>
              </w:rPr>
            </w:pPr>
            <w:r w:rsidRPr="00F1005B">
              <w:rPr>
                <w:sz w:val="18"/>
                <w:szCs w:val="18"/>
              </w:rPr>
              <w:t>40</w:t>
            </w:r>
          </w:p>
        </w:tc>
      </w:tr>
      <w:tr w:rsidR="006B3111" w:rsidRPr="00F1005B" w14:paraId="0D860DE8" w14:textId="77777777" w:rsidTr="006B3111">
        <w:tblPrEx>
          <w:tblCellMar>
            <w:top w:w="57" w:type="dxa"/>
            <w:left w:w="57" w:type="dxa"/>
            <w:bottom w:w="57" w:type="dxa"/>
            <w:right w:w="57" w:type="dxa"/>
          </w:tblCellMar>
        </w:tblPrEx>
        <w:trPr>
          <w:gridAfter w:val="1"/>
          <w:wAfter w:w="13" w:type="dxa"/>
        </w:trPr>
        <w:tc>
          <w:tcPr>
            <w:tcW w:w="3686" w:type="dxa"/>
            <w:hideMark/>
          </w:tcPr>
          <w:p w14:paraId="7DFDB66C" w14:textId="77777777" w:rsidR="006B3111" w:rsidRPr="00F1005B" w:rsidRDefault="006B3111" w:rsidP="00035553">
            <w:pPr>
              <w:pStyle w:val="NormalWeb"/>
              <w:rPr>
                <w:sz w:val="18"/>
                <w:szCs w:val="18"/>
              </w:rPr>
            </w:pPr>
            <w:r w:rsidRPr="00F1005B">
              <w:rPr>
                <w:sz w:val="18"/>
                <w:szCs w:val="18"/>
              </w:rPr>
              <w:t>NT</w:t>
            </w:r>
          </w:p>
        </w:tc>
        <w:tc>
          <w:tcPr>
            <w:tcW w:w="992" w:type="dxa"/>
            <w:hideMark/>
          </w:tcPr>
          <w:p w14:paraId="094C40ED" w14:textId="77777777" w:rsidR="006B3111" w:rsidRPr="00F1005B" w:rsidRDefault="006B3111" w:rsidP="00035553">
            <w:pPr>
              <w:pStyle w:val="NormalWeb"/>
              <w:jc w:val="center"/>
              <w:rPr>
                <w:sz w:val="18"/>
                <w:szCs w:val="18"/>
              </w:rPr>
            </w:pPr>
            <w:r w:rsidRPr="00F1005B">
              <w:rPr>
                <w:sz w:val="18"/>
                <w:szCs w:val="18"/>
              </w:rPr>
              <w:t>0</w:t>
            </w:r>
          </w:p>
        </w:tc>
        <w:tc>
          <w:tcPr>
            <w:tcW w:w="677" w:type="dxa"/>
            <w:hideMark/>
          </w:tcPr>
          <w:p w14:paraId="4D6388F5" w14:textId="77777777" w:rsidR="006B3111" w:rsidRPr="00F1005B" w:rsidRDefault="006B3111" w:rsidP="00035553">
            <w:pPr>
              <w:pStyle w:val="NormalWeb"/>
              <w:jc w:val="center"/>
              <w:rPr>
                <w:sz w:val="18"/>
                <w:szCs w:val="18"/>
              </w:rPr>
            </w:pPr>
            <w:r w:rsidRPr="00F1005B">
              <w:rPr>
                <w:sz w:val="18"/>
                <w:szCs w:val="18"/>
              </w:rPr>
              <w:t>0</w:t>
            </w:r>
          </w:p>
        </w:tc>
        <w:tc>
          <w:tcPr>
            <w:tcW w:w="1096" w:type="dxa"/>
            <w:hideMark/>
          </w:tcPr>
          <w:p w14:paraId="7E89F611" w14:textId="77777777" w:rsidR="006B3111" w:rsidRPr="00F1005B" w:rsidRDefault="006B3111" w:rsidP="00035553">
            <w:pPr>
              <w:pStyle w:val="NormalWeb"/>
              <w:jc w:val="center"/>
              <w:rPr>
                <w:sz w:val="18"/>
                <w:szCs w:val="18"/>
              </w:rPr>
            </w:pPr>
            <w:r w:rsidRPr="00F1005B">
              <w:rPr>
                <w:sz w:val="18"/>
                <w:szCs w:val="18"/>
              </w:rPr>
              <w:t>0</w:t>
            </w:r>
          </w:p>
        </w:tc>
        <w:tc>
          <w:tcPr>
            <w:tcW w:w="963" w:type="dxa"/>
            <w:hideMark/>
          </w:tcPr>
          <w:p w14:paraId="0DB1ECEE" w14:textId="77777777" w:rsidR="006B3111" w:rsidRPr="00F1005B" w:rsidRDefault="006B3111" w:rsidP="00035553">
            <w:pPr>
              <w:pStyle w:val="NormalWeb"/>
              <w:jc w:val="center"/>
              <w:rPr>
                <w:sz w:val="18"/>
                <w:szCs w:val="18"/>
              </w:rPr>
            </w:pPr>
            <w:r w:rsidRPr="00F1005B">
              <w:rPr>
                <w:sz w:val="18"/>
                <w:szCs w:val="18"/>
              </w:rPr>
              <w:t>0</w:t>
            </w:r>
          </w:p>
        </w:tc>
        <w:tc>
          <w:tcPr>
            <w:tcW w:w="1558" w:type="dxa"/>
            <w:hideMark/>
          </w:tcPr>
          <w:p w14:paraId="7DDB1896" w14:textId="77777777" w:rsidR="006B3111" w:rsidRPr="00F1005B" w:rsidRDefault="006B3111" w:rsidP="00035553">
            <w:pPr>
              <w:pStyle w:val="NormalWeb"/>
              <w:jc w:val="center"/>
              <w:rPr>
                <w:sz w:val="18"/>
                <w:szCs w:val="18"/>
              </w:rPr>
            </w:pPr>
            <w:r w:rsidRPr="00F1005B">
              <w:rPr>
                <w:sz w:val="18"/>
                <w:szCs w:val="18"/>
              </w:rPr>
              <w:t>0</w:t>
            </w:r>
          </w:p>
        </w:tc>
        <w:tc>
          <w:tcPr>
            <w:tcW w:w="1138" w:type="dxa"/>
            <w:hideMark/>
          </w:tcPr>
          <w:p w14:paraId="594B2030" w14:textId="77777777" w:rsidR="006B3111" w:rsidRPr="00F1005B" w:rsidRDefault="006B3111" w:rsidP="00035553">
            <w:pPr>
              <w:pStyle w:val="NormalWeb"/>
              <w:jc w:val="center"/>
              <w:rPr>
                <w:sz w:val="18"/>
                <w:szCs w:val="18"/>
              </w:rPr>
            </w:pPr>
            <w:r w:rsidRPr="00F1005B">
              <w:rPr>
                <w:sz w:val="18"/>
                <w:szCs w:val="18"/>
              </w:rPr>
              <w:t>0</w:t>
            </w:r>
          </w:p>
        </w:tc>
        <w:tc>
          <w:tcPr>
            <w:tcW w:w="1156" w:type="dxa"/>
            <w:hideMark/>
          </w:tcPr>
          <w:p w14:paraId="321EA848" w14:textId="77777777" w:rsidR="006B3111" w:rsidRPr="00F1005B" w:rsidRDefault="006B3111" w:rsidP="00035553">
            <w:pPr>
              <w:pStyle w:val="NormalWeb"/>
              <w:jc w:val="center"/>
              <w:rPr>
                <w:sz w:val="18"/>
                <w:szCs w:val="18"/>
              </w:rPr>
            </w:pPr>
            <w:r w:rsidRPr="00F1005B">
              <w:rPr>
                <w:sz w:val="18"/>
                <w:szCs w:val="18"/>
              </w:rPr>
              <w:t>4</w:t>
            </w:r>
          </w:p>
        </w:tc>
        <w:tc>
          <w:tcPr>
            <w:tcW w:w="1350" w:type="dxa"/>
            <w:hideMark/>
          </w:tcPr>
          <w:p w14:paraId="5D2A99A3" w14:textId="77777777" w:rsidR="006B3111" w:rsidRPr="00F1005B" w:rsidRDefault="006B3111" w:rsidP="00035553">
            <w:pPr>
              <w:pStyle w:val="NormalWeb"/>
              <w:jc w:val="center"/>
              <w:rPr>
                <w:sz w:val="18"/>
                <w:szCs w:val="18"/>
              </w:rPr>
            </w:pPr>
            <w:r w:rsidRPr="00F1005B">
              <w:rPr>
                <w:sz w:val="18"/>
                <w:szCs w:val="18"/>
              </w:rPr>
              <w:t>67</w:t>
            </w:r>
          </w:p>
        </w:tc>
        <w:tc>
          <w:tcPr>
            <w:tcW w:w="1134" w:type="dxa"/>
            <w:hideMark/>
          </w:tcPr>
          <w:p w14:paraId="4654E6FE" w14:textId="77777777" w:rsidR="006B3111" w:rsidRPr="00F1005B" w:rsidRDefault="006B3111" w:rsidP="00035553">
            <w:pPr>
              <w:pStyle w:val="NormalWeb"/>
              <w:jc w:val="center"/>
              <w:rPr>
                <w:sz w:val="18"/>
                <w:szCs w:val="18"/>
              </w:rPr>
            </w:pPr>
            <w:r w:rsidRPr="00F1005B">
              <w:rPr>
                <w:sz w:val="18"/>
                <w:szCs w:val="18"/>
              </w:rPr>
              <w:t>4</w:t>
            </w:r>
          </w:p>
        </w:tc>
        <w:tc>
          <w:tcPr>
            <w:tcW w:w="1234" w:type="dxa"/>
            <w:hideMark/>
          </w:tcPr>
          <w:p w14:paraId="422E83E0" w14:textId="77777777" w:rsidR="006B3111" w:rsidRPr="00F1005B" w:rsidRDefault="006B3111" w:rsidP="00035553">
            <w:pPr>
              <w:pStyle w:val="NormalWeb"/>
              <w:jc w:val="center"/>
              <w:rPr>
                <w:sz w:val="18"/>
                <w:szCs w:val="18"/>
              </w:rPr>
            </w:pPr>
            <w:r w:rsidRPr="00F1005B">
              <w:rPr>
                <w:sz w:val="18"/>
                <w:szCs w:val="18"/>
              </w:rPr>
              <w:t>20</w:t>
            </w:r>
          </w:p>
        </w:tc>
      </w:tr>
      <w:tr w:rsidR="006B3111" w:rsidRPr="00F1005B" w14:paraId="116AB4EE" w14:textId="77777777" w:rsidTr="006B3111">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13" w:type="dxa"/>
        </w:trPr>
        <w:tc>
          <w:tcPr>
            <w:tcW w:w="3686" w:type="dxa"/>
            <w:hideMark/>
          </w:tcPr>
          <w:p w14:paraId="6AD0357A" w14:textId="77777777" w:rsidR="006B3111" w:rsidRPr="00F1005B" w:rsidRDefault="006B3111" w:rsidP="00035553">
            <w:pPr>
              <w:pStyle w:val="NormalWeb"/>
              <w:rPr>
                <w:sz w:val="18"/>
                <w:szCs w:val="18"/>
              </w:rPr>
            </w:pPr>
            <w:r w:rsidRPr="00F1005B">
              <w:rPr>
                <w:sz w:val="18"/>
                <w:szCs w:val="18"/>
              </w:rPr>
              <w:t>Qld</w:t>
            </w:r>
          </w:p>
        </w:tc>
        <w:tc>
          <w:tcPr>
            <w:tcW w:w="992" w:type="dxa"/>
            <w:hideMark/>
          </w:tcPr>
          <w:p w14:paraId="50A06C00" w14:textId="77777777" w:rsidR="006B3111" w:rsidRPr="00F1005B" w:rsidRDefault="006B3111" w:rsidP="00035553">
            <w:pPr>
              <w:pStyle w:val="NormalWeb"/>
              <w:jc w:val="center"/>
              <w:rPr>
                <w:sz w:val="18"/>
                <w:szCs w:val="18"/>
              </w:rPr>
            </w:pPr>
            <w:r w:rsidRPr="00F1005B">
              <w:rPr>
                <w:sz w:val="18"/>
                <w:szCs w:val="18"/>
              </w:rPr>
              <w:t>0</w:t>
            </w:r>
          </w:p>
        </w:tc>
        <w:tc>
          <w:tcPr>
            <w:tcW w:w="677" w:type="dxa"/>
            <w:hideMark/>
          </w:tcPr>
          <w:p w14:paraId="355C1E62" w14:textId="77777777" w:rsidR="006B3111" w:rsidRPr="00F1005B" w:rsidRDefault="006B3111" w:rsidP="00035553">
            <w:pPr>
              <w:pStyle w:val="NormalWeb"/>
              <w:jc w:val="center"/>
              <w:rPr>
                <w:sz w:val="18"/>
                <w:szCs w:val="18"/>
              </w:rPr>
            </w:pPr>
            <w:r w:rsidRPr="00F1005B">
              <w:rPr>
                <w:sz w:val="18"/>
                <w:szCs w:val="18"/>
              </w:rPr>
              <w:t>0</w:t>
            </w:r>
          </w:p>
        </w:tc>
        <w:tc>
          <w:tcPr>
            <w:tcW w:w="1096" w:type="dxa"/>
            <w:hideMark/>
          </w:tcPr>
          <w:p w14:paraId="2A065C09" w14:textId="77777777" w:rsidR="006B3111" w:rsidRPr="00F1005B" w:rsidRDefault="006B3111" w:rsidP="00035553">
            <w:pPr>
              <w:pStyle w:val="NormalWeb"/>
              <w:jc w:val="center"/>
              <w:rPr>
                <w:sz w:val="18"/>
                <w:szCs w:val="18"/>
              </w:rPr>
            </w:pPr>
            <w:r w:rsidRPr="00F1005B">
              <w:rPr>
                <w:sz w:val="18"/>
                <w:szCs w:val="18"/>
              </w:rPr>
              <w:t>0</w:t>
            </w:r>
          </w:p>
        </w:tc>
        <w:tc>
          <w:tcPr>
            <w:tcW w:w="963" w:type="dxa"/>
            <w:hideMark/>
          </w:tcPr>
          <w:p w14:paraId="51059538" w14:textId="77777777" w:rsidR="006B3111" w:rsidRPr="00F1005B" w:rsidRDefault="006B3111" w:rsidP="00035553">
            <w:pPr>
              <w:pStyle w:val="NormalWeb"/>
              <w:jc w:val="center"/>
              <w:rPr>
                <w:sz w:val="18"/>
                <w:szCs w:val="18"/>
              </w:rPr>
            </w:pPr>
            <w:r w:rsidRPr="00F1005B">
              <w:rPr>
                <w:sz w:val="18"/>
                <w:szCs w:val="18"/>
              </w:rPr>
              <w:t>0</w:t>
            </w:r>
          </w:p>
        </w:tc>
        <w:tc>
          <w:tcPr>
            <w:tcW w:w="1558" w:type="dxa"/>
            <w:hideMark/>
          </w:tcPr>
          <w:p w14:paraId="5E3A57EA" w14:textId="77777777" w:rsidR="006B3111" w:rsidRPr="00F1005B" w:rsidRDefault="006B3111" w:rsidP="00035553">
            <w:pPr>
              <w:pStyle w:val="NormalWeb"/>
              <w:jc w:val="center"/>
              <w:rPr>
                <w:sz w:val="18"/>
                <w:szCs w:val="18"/>
              </w:rPr>
            </w:pPr>
            <w:r w:rsidRPr="00F1005B">
              <w:rPr>
                <w:sz w:val="18"/>
                <w:szCs w:val="18"/>
              </w:rPr>
              <w:t>2</w:t>
            </w:r>
          </w:p>
        </w:tc>
        <w:tc>
          <w:tcPr>
            <w:tcW w:w="1138" w:type="dxa"/>
            <w:hideMark/>
          </w:tcPr>
          <w:p w14:paraId="7F4B8C4A" w14:textId="77777777" w:rsidR="006B3111" w:rsidRPr="00F1005B" w:rsidRDefault="006B3111" w:rsidP="00035553">
            <w:pPr>
              <w:pStyle w:val="NormalWeb"/>
              <w:jc w:val="center"/>
              <w:rPr>
                <w:sz w:val="18"/>
                <w:szCs w:val="18"/>
              </w:rPr>
            </w:pPr>
            <w:r w:rsidRPr="00F1005B">
              <w:rPr>
                <w:sz w:val="18"/>
                <w:szCs w:val="18"/>
              </w:rPr>
              <w:t>25</w:t>
            </w:r>
          </w:p>
        </w:tc>
        <w:tc>
          <w:tcPr>
            <w:tcW w:w="1156" w:type="dxa"/>
            <w:hideMark/>
          </w:tcPr>
          <w:p w14:paraId="1051DC63" w14:textId="77777777" w:rsidR="006B3111" w:rsidRPr="00F1005B" w:rsidRDefault="006B3111" w:rsidP="00035553">
            <w:pPr>
              <w:pStyle w:val="NormalWeb"/>
              <w:jc w:val="center"/>
              <w:rPr>
                <w:sz w:val="18"/>
                <w:szCs w:val="18"/>
              </w:rPr>
            </w:pPr>
            <w:r w:rsidRPr="00F1005B">
              <w:rPr>
                <w:sz w:val="18"/>
                <w:szCs w:val="18"/>
              </w:rPr>
              <w:t>0</w:t>
            </w:r>
          </w:p>
        </w:tc>
        <w:tc>
          <w:tcPr>
            <w:tcW w:w="1350" w:type="dxa"/>
            <w:hideMark/>
          </w:tcPr>
          <w:p w14:paraId="2F806BDA" w14:textId="77777777" w:rsidR="006B3111" w:rsidRPr="00F1005B" w:rsidRDefault="006B3111" w:rsidP="00035553">
            <w:pPr>
              <w:pStyle w:val="NormalWeb"/>
              <w:jc w:val="center"/>
              <w:rPr>
                <w:sz w:val="18"/>
                <w:szCs w:val="18"/>
              </w:rPr>
            </w:pPr>
            <w:r w:rsidRPr="00F1005B">
              <w:rPr>
                <w:sz w:val="18"/>
                <w:szCs w:val="18"/>
              </w:rPr>
              <w:t>0</w:t>
            </w:r>
          </w:p>
        </w:tc>
        <w:tc>
          <w:tcPr>
            <w:tcW w:w="1134" w:type="dxa"/>
            <w:hideMark/>
          </w:tcPr>
          <w:p w14:paraId="6CB65246" w14:textId="77777777" w:rsidR="006B3111" w:rsidRPr="00F1005B" w:rsidRDefault="006B3111" w:rsidP="00035553">
            <w:pPr>
              <w:pStyle w:val="NormalWeb"/>
              <w:jc w:val="center"/>
              <w:rPr>
                <w:sz w:val="18"/>
                <w:szCs w:val="18"/>
              </w:rPr>
            </w:pPr>
            <w:r w:rsidRPr="00F1005B">
              <w:rPr>
                <w:sz w:val="18"/>
                <w:szCs w:val="18"/>
              </w:rPr>
              <w:t>2</w:t>
            </w:r>
          </w:p>
        </w:tc>
        <w:tc>
          <w:tcPr>
            <w:tcW w:w="1234" w:type="dxa"/>
            <w:hideMark/>
          </w:tcPr>
          <w:p w14:paraId="297F3D98" w14:textId="77777777" w:rsidR="006B3111" w:rsidRPr="00F1005B" w:rsidRDefault="006B3111" w:rsidP="00035553">
            <w:pPr>
              <w:pStyle w:val="NormalWeb"/>
              <w:jc w:val="center"/>
              <w:rPr>
                <w:sz w:val="18"/>
                <w:szCs w:val="18"/>
              </w:rPr>
            </w:pPr>
            <w:r w:rsidRPr="00F1005B">
              <w:rPr>
                <w:sz w:val="18"/>
                <w:szCs w:val="18"/>
              </w:rPr>
              <w:t>10</w:t>
            </w:r>
          </w:p>
        </w:tc>
      </w:tr>
      <w:tr w:rsidR="006B3111" w:rsidRPr="00F1005B" w14:paraId="52BF7FC2" w14:textId="77777777" w:rsidTr="006B3111">
        <w:tblPrEx>
          <w:tblCellMar>
            <w:top w:w="57" w:type="dxa"/>
            <w:left w:w="57" w:type="dxa"/>
            <w:bottom w:w="57" w:type="dxa"/>
            <w:right w:w="57" w:type="dxa"/>
          </w:tblCellMar>
        </w:tblPrEx>
        <w:trPr>
          <w:gridAfter w:val="1"/>
          <w:wAfter w:w="13" w:type="dxa"/>
        </w:trPr>
        <w:tc>
          <w:tcPr>
            <w:tcW w:w="3686" w:type="dxa"/>
            <w:hideMark/>
          </w:tcPr>
          <w:p w14:paraId="45ABD797" w14:textId="77777777" w:rsidR="006B3111" w:rsidRPr="00F1005B" w:rsidRDefault="006B3111" w:rsidP="00035553">
            <w:pPr>
              <w:pStyle w:val="NormalWeb"/>
              <w:rPr>
                <w:sz w:val="18"/>
                <w:szCs w:val="18"/>
              </w:rPr>
            </w:pPr>
            <w:r w:rsidRPr="00F1005B">
              <w:rPr>
                <w:sz w:val="18"/>
                <w:szCs w:val="18"/>
              </w:rPr>
              <w:t>SA</w:t>
            </w:r>
          </w:p>
        </w:tc>
        <w:tc>
          <w:tcPr>
            <w:tcW w:w="992" w:type="dxa"/>
            <w:hideMark/>
          </w:tcPr>
          <w:p w14:paraId="6C7AA07B" w14:textId="77777777" w:rsidR="006B3111" w:rsidRPr="00F1005B" w:rsidRDefault="006B3111" w:rsidP="00035553">
            <w:pPr>
              <w:pStyle w:val="NormalWeb"/>
              <w:jc w:val="center"/>
              <w:rPr>
                <w:sz w:val="18"/>
                <w:szCs w:val="18"/>
              </w:rPr>
            </w:pPr>
            <w:r w:rsidRPr="00F1005B">
              <w:rPr>
                <w:sz w:val="18"/>
                <w:szCs w:val="18"/>
              </w:rPr>
              <w:t>0</w:t>
            </w:r>
          </w:p>
        </w:tc>
        <w:tc>
          <w:tcPr>
            <w:tcW w:w="677" w:type="dxa"/>
            <w:hideMark/>
          </w:tcPr>
          <w:p w14:paraId="376B8CB7" w14:textId="77777777" w:rsidR="006B3111" w:rsidRPr="00F1005B" w:rsidRDefault="006B3111" w:rsidP="00035553">
            <w:pPr>
              <w:pStyle w:val="NormalWeb"/>
              <w:jc w:val="center"/>
              <w:rPr>
                <w:sz w:val="18"/>
                <w:szCs w:val="18"/>
              </w:rPr>
            </w:pPr>
            <w:r w:rsidRPr="00F1005B">
              <w:rPr>
                <w:sz w:val="18"/>
                <w:szCs w:val="18"/>
              </w:rPr>
              <w:t>0</w:t>
            </w:r>
          </w:p>
        </w:tc>
        <w:tc>
          <w:tcPr>
            <w:tcW w:w="1096" w:type="dxa"/>
            <w:hideMark/>
          </w:tcPr>
          <w:p w14:paraId="3402100A" w14:textId="77777777" w:rsidR="006B3111" w:rsidRPr="00F1005B" w:rsidRDefault="006B3111" w:rsidP="00035553">
            <w:pPr>
              <w:pStyle w:val="NormalWeb"/>
              <w:jc w:val="center"/>
              <w:rPr>
                <w:sz w:val="18"/>
                <w:szCs w:val="18"/>
              </w:rPr>
            </w:pPr>
            <w:r w:rsidRPr="00F1005B">
              <w:rPr>
                <w:sz w:val="18"/>
                <w:szCs w:val="18"/>
              </w:rPr>
              <w:t>0</w:t>
            </w:r>
          </w:p>
        </w:tc>
        <w:tc>
          <w:tcPr>
            <w:tcW w:w="963" w:type="dxa"/>
            <w:hideMark/>
          </w:tcPr>
          <w:p w14:paraId="4E2E1504" w14:textId="77777777" w:rsidR="006B3111" w:rsidRPr="00F1005B" w:rsidRDefault="006B3111" w:rsidP="00035553">
            <w:pPr>
              <w:pStyle w:val="NormalWeb"/>
              <w:jc w:val="center"/>
              <w:rPr>
                <w:sz w:val="18"/>
                <w:szCs w:val="18"/>
              </w:rPr>
            </w:pPr>
            <w:r w:rsidRPr="00F1005B">
              <w:rPr>
                <w:sz w:val="18"/>
                <w:szCs w:val="18"/>
              </w:rPr>
              <w:t>0</w:t>
            </w:r>
          </w:p>
        </w:tc>
        <w:tc>
          <w:tcPr>
            <w:tcW w:w="1558" w:type="dxa"/>
            <w:hideMark/>
          </w:tcPr>
          <w:p w14:paraId="58E91BEF" w14:textId="77777777" w:rsidR="006B3111" w:rsidRPr="00F1005B" w:rsidRDefault="006B3111" w:rsidP="00035553">
            <w:pPr>
              <w:pStyle w:val="NormalWeb"/>
              <w:jc w:val="center"/>
              <w:rPr>
                <w:sz w:val="18"/>
                <w:szCs w:val="18"/>
              </w:rPr>
            </w:pPr>
            <w:r w:rsidRPr="00F1005B">
              <w:rPr>
                <w:sz w:val="18"/>
                <w:szCs w:val="18"/>
              </w:rPr>
              <w:t>0</w:t>
            </w:r>
          </w:p>
        </w:tc>
        <w:tc>
          <w:tcPr>
            <w:tcW w:w="1138" w:type="dxa"/>
            <w:hideMark/>
          </w:tcPr>
          <w:p w14:paraId="01E185BB" w14:textId="77777777" w:rsidR="006B3111" w:rsidRPr="00F1005B" w:rsidRDefault="006B3111" w:rsidP="00035553">
            <w:pPr>
              <w:pStyle w:val="NormalWeb"/>
              <w:jc w:val="center"/>
              <w:rPr>
                <w:sz w:val="18"/>
                <w:szCs w:val="18"/>
              </w:rPr>
            </w:pPr>
            <w:r w:rsidRPr="00F1005B">
              <w:rPr>
                <w:sz w:val="18"/>
                <w:szCs w:val="18"/>
              </w:rPr>
              <w:t>0</w:t>
            </w:r>
          </w:p>
        </w:tc>
        <w:tc>
          <w:tcPr>
            <w:tcW w:w="1156" w:type="dxa"/>
            <w:hideMark/>
          </w:tcPr>
          <w:p w14:paraId="43D40B9C" w14:textId="77777777" w:rsidR="006B3111" w:rsidRPr="00F1005B" w:rsidRDefault="006B3111" w:rsidP="00035553">
            <w:pPr>
              <w:pStyle w:val="NormalWeb"/>
              <w:jc w:val="center"/>
              <w:rPr>
                <w:sz w:val="18"/>
                <w:szCs w:val="18"/>
              </w:rPr>
            </w:pPr>
            <w:r w:rsidRPr="00F1005B">
              <w:rPr>
                <w:sz w:val="18"/>
                <w:szCs w:val="18"/>
              </w:rPr>
              <w:t>1</w:t>
            </w:r>
          </w:p>
        </w:tc>
        <w:tc>
          <w:tcPr>
            <w:tcW w:w="1350" w:type="dxa"/>
            <w:hideMark/>
          </w:tcPr>
          <w:p w14:paraId="38CE2DC0" w14:textId="77777777" w:rsidR="006B3111" w:rsidRPr="00F1005B" w:rsidRDefault="006B3111" w:rsidP="00035553">
            <w:pPr>
              <w:pStyle w:val="NormalWeb"/>
              <w:jc w:val="center"/>
              <w:rPr>
                <w:sz w:val="18"/>
                <w:szCs w:val="18"/>
              </w:rPr>
            </w:pPr>
            <w:r w:rsidRPr="00F1005B">
              <w:rPr>
                <w:sz w:val="18"/>
                <w:szCs w:val="18"/>
              </w:rPr>
              <w:t>17</w:t>
            </w:r>
          </w:p>
        </w:tc>
        <w:tc>
          <w:tcPr>
            <w:tcW w:w="1134" w:type="dxa"/>
            <w:hideMark/>
          </w:tcPr>
          <w:p w14:paraId="58BDF391" w14:textId="77777777" w:rsidR="006B3111" w:rsidRPr="00F1005B" w:rsidRDefault="006B3111" w:rsidP="00035553">
            <w:pPr>
              <w:pStyle w:val="NormalWeb"/>
              <w:jc w:val="center"/>
              <w:rPr>
                <w:sz w:val="18"/>
                <w:szCs w:val="18"/>
              </w:rPr>
            </w:pPr>
            <w:r w:rsidRPr="00F1005B">
              <w:rPr>
                <w:sz w:val="18"/>
                <w:szCs w:val="18"/>
              </w:rPr>
              <w:t>1</w:t>
            </w:r>
          </w:p>
        </w:tc>
        <w:tc>
          <w:tcPr>
            <w:tcW w:w="1234" w:type="dxa"/>
            <w:hideMark/>
          </w:tcPr>
          <w:p w14:paraId="0A35F332" w14:textId="77777777" w:rsidR="006B3111" w:rsidRPr="00F1005B" w:rsidRDefault="006B3111" w:rsidP="00035553">
            <w:pPr>
              <w:pStyle w:val="NormalWeb"/>
              <w:jc w:val="center"/>
              <w:rPr>
                <w:sz w:val="18"/>
                <w:szCs w:val="18"/>
              </w:rPr>
            </w:pPr>
            <w:r w:rsidRPr="00F1005B">
              <w:rPr>
                <w:sz w:val="18"/>
                <w:szCs w:val="18"/>
              </w:rPr>
              <w:t>5</w:t>
            </w:r>
          </w:p>
        </w:tc>
      </w:tr>
      <w:tr w:rsidR="006B3111" w:rsidRPr="00F1005B" w14:paraId="09A53A32" w14:textId="77777777" w:rsidTr="006B3111">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13" w:type="dxa"/>
        </w:trPr>
        <w:tc>
          <w:tcPr>
            <w:tcW w:w="3686" w:type="dxa"/>
            <w:hideMark/>
          </w:tcPr>
          <w:p w14:paraId="179510F8" w14:textId="77777777" w:rsidR="006B3111" w:rsidRPr="00F1005B" w:rsidRDefault="006B3111" w:rsidP="00035553">
            <w:pPr>
              <w:pStyle w:val="NormalWeb"/>
              <w:rPr>
                <w:sz w:val="18"/>
                <w:szCs w:val="18"/>
              </w:rPr>
            </w:pPr>
            <w:r w:rsidRPr="00F1005B">
              <w:rPr>
                <w:sz w:val="18"/>
                <w:szCs w:val="18"/>
              </w:rPr>
              <w:t>Tas.</w:t>
            </w:r>
          </w:p>
        </w:tc>
        <w:tc>
          <w:tcPr>
            <w:tcW w:w="992" w:type="dxa"/>
            <w:hideMark/>
          </w:tcPr>
          <w:p w14:paraId="4CB8A541" w14:textId="77777777" w:rsidR="006B3111" w:rsidRPr="00F1005B" w:rsidRDefault="006B3111" w:rsidP="00035553">
            <w:pPr>
              <w:pStyle w:val="NormalWeb"/>
              <w:jc w:val="center"/>
              <w:rPr>
                <w:sz w:val="18"/>
                <w:szCs w:val="18"/>
              </w:rPr>
            </w:pPr>
            <w:r w:rsidRPr="00F1005B">
              <w:rPr>
                <w:sz w:val="18"/>
                <w:szCs w:val="18"/>
              </w:rPr>
              <w:t>0</w:t>
            </w:r>
          </w:p>
        </w:tc>
        <w:tc>
          <w:tcPr>
            <w:tcW w:w="677" w:type="dxa"/>
            <w:hideMark/>
          </w:tcPr>
          <w:p w14:paraId="62A87A10" w14:textId="77777777" w:rsidR="006B3111" w:rsidRPr="00F1005B" w:rsidRDefault="006B3111" w:rsidP="00035553">
            <w:pPr>
              <w:pStyle w:val="NormalWeb"/>
              <w:jc w:val="center"/>
              <w:rPr>
                <w:sz w:val="18"/>
                <w:szCs w:val="18"/>
              </w:rPr>
            </w:pPr>
            <w:r w:rsidRPr="00F1005B">
              <w:rPr>
                <w:sz w:val="18"/>
                <w:szCs w:val="18"/>
              </w:rPr>
              <w:t>0</w:t>
            </w:r>
          </w:p>
        </w:tc>
        <w:tc>
          <w:tcPr>
            <w:tcW w:w="1096" w:type="dxa"/>
            <w:hideMark/>
          </w:tcPr>
          <w:p w14:paraId="745FB4A4" w14:textId="77777777" w:rsidR="006B3111" w:rsidRPr="00F1005B" w:rsidRDefault="006B3111" w:rsidP="00035553">
            <w:pPr>
              <w:pStyle w:val="NormalWeb"/>
              <w:jc w:val="center"/>
              <w:rPr>
                <w:sz w:val="18"/>
                <w:szCs w:val="18"/>
              </w:rPr>
            </w:pPr>
            <w:r w:rsidRPr="00F1005B">
              <w:rPr>
                <w:sz w:val="18"/>
                <w:szCs w:val="18"/>
              </w:rPr>
              <w:t>0</w:t>
            </w:r>
          </w:p>
        </w:tc>
        <w:tc>
          <w:tcPr>
            <w:tcW w:w="963" w:type="dxa"/>
            <w:hideMark/>
          </w:tcPr>
          <w:p w14:paraId="16A1E8F3" w14:textId="77777777" w:rsidR="006B3111" w:rsidRPr="00F1005B" w:rsidRDefault="006B3111" w:rsidP="00035553">
            <w:pPr>
              <w:pStyle w:val="NormalWeb"/>
              <w:jc w:val="center"/>
              <w:rPr>
                <w:sz w:val="18"/>
                <w:szCs w:val="18"/>
              </w:rPr>
            </w:pPr>
            <w:r w:rsidRPr="00F1005B">
              <w:rPr>
                <w:sz w:val="18"/>
                <w:szCs w:val="18"/>
              </w:rPr>
              <w:t>0</w:t>
            </w:r>
          </w:p>
        </w:tc>
        <w:tc>
          <w:tcPr>
            <w:tcW w:w="1558" w:type="dxa"/>
            <w:hideMark/>
          </w:tcPr>
          <w:p w14:paraId="5C725F02" w14:textId="77777777" w:rsidR="006B3111" w:rsidRPr="00F1005B" w:rsidRDefault="006B3111" w:rsidP="00035553">
            <w:pPr>
              <w:pStyle w:val="NormalWeb"/>
              <w:jc w:val="center"/>
              <w:rPr>
                <w:sz w:val="18"/>
                <w:szCs w:val="18"/>
              </w:rPr>
            </w:pPr>
            <w:r w:rsidRPr="00F1005B">
              <w:rPr>
                <w:sz w:val="18"/>
                <w:szCs w:val="18"/>
              </w:rPr>
              <w:t>0</w:t>
            </w:r>
          </w:p>
        </w:tc>
        <w:tc>
          <w:tcPr>
            <w:tcW w:w="1138" w:type="dxa"/>
            <w:hideMark/>
          </w:tcPr>
          <w:p w14:paraId="2AB3BA6D" w14:textId="77777777" w:rsidR="006B3111" w:rsidRPr="00F1005B" w:rsidRDefault="006B3111" w:rsidP="00035553">
            <w:pPr>
              <w:pStyle w:val="NormalWeb"/>
              <w:jc w:val="center"/>
              <w:rPr>
                <w:sz w:val="18"/>
                <w:szCs w:val="18"/>
              </w:rPr>
            </w:pPr>
            <w:r w:rsidRPr="00F1005B">
              <w:rPr>
                <w:sz w:val="18"/>
                <w:szCs w:val="18"/>
              </w:rPr>
              <w:t>0</w:t>
            </w:r>
          </w:p>
        </w:tc>
        <w:tc>
          <w:tcPr>
            <w:tcW w:w="1156" w:type="dxa"/>
            <w:hideMark/>
          </w:tcPr>
          <w:p w14:paraId="4C03B440" w14:textId="77777777" w:rsidR="006B3111" w:rsidRPr="00F1005B" w:rsidRDefault="006B3111" w:rsidP="00035553">
            <w:pPr>
              <w:pStyle w:val="NormalWeb"/>
              <w:jc w:val="center"/>
              <w:rPr>
                <w:sz w:val="18"/>
                <w:szCs w:val="18"/>
              </w:rPr>
            </w:pPr>
            <w:r w:rsidRPr="00F1005B">
              <w:rPr>
                <w:sz w:val="18"/>
                <w:szCs w:val="18"/>
              </w:rPr>
              <w:t>0</w:t>
            </w:r>
          </w:p>
        </w:tc>
        <w:tc>
          <w:tcPr>
            <w:tcW w:w="1350" w:type="dxa"/>
            <w:hideMark/>
          </w:tcPr>
          <w:p w14:paraId="4526CE1F" w14:textId="77777777" w:rsidR="006B3111" w:rsidRPr="00F1005B" w:rsidRDefault="006B3111" w:rsidP="00035553">
            <w:pPr>
              <w:pStyle w:val="NormalWeb"/>
              <w:jc w:val="center"/>
              <w:rPr>
                <w:sz w:val="18"/>
                <w:szCs w:val="18"/>
              </w:rPr>
            </w:pPr>
            <w:r w:rsidRPr="00F1005B">
              <w:rPr>
                <w:sz w:val="18"/>
                <w:szCs w:val="18"/>
              </w:rPr>
              <w:t>0</w:t>
            </w:r>
          </w:p>
        </w:tc>
        <w:tc>
          <w:tcPr>
            <w:tcW w:w="1134" w:type="dxa"/>
            <w:hideMark/>
          </w:tcPr>
          <w:p w14:paraId="7CBE510D" w14:textId="77777777" w:rsidR="006B3111" w:rsidRPr="00F1005B" w:rsidRDefault="006B3111" w:rsidP="00035553">
            <w:pPr>
              <w:pStyle w:val="NormalWeb"/>
              <w:jc w:val="center"/>
              <w:rPr>
                <w:sz w:val="18"/>
                <w:szCs w:val="18"/>
              </w:rPr>
            </w:pPr>
            <w:r w:rsidRPr="00F1005B">
              <w:rPr>
                <w:sz w:val="18"/>
                <w:szCs w:val="18"/>
              </w:rPr>
              <w:t>0</w:t>
            </w:r>
          </w:p>
        </w:tc>
        <w:tc>
          <w:tcPr>
            <w:tcW w:w="1234" w:type="dxa"/>
            <w:hideMark/>
          </w:tcPr>
          <w:p w14:paraId="2C385F1A" w14:textId="77777777" w:rsidR="006B3111" w:rsidRPr="00F1005B" w:rsidRDefault="006B3111" w:rsidP="00035553">
            <w:pPr>
              <w:pStyle w:val="NormalWeb"/>
              <w:jc w:val="center"/>
              <w:rPr>
                <w:sz w:val="18"/>
                <w:szCs w:val="18"/>
              </w:rPr>
            </w:pPr>
            <w:r w:rsidRPr="00F1005B">
              <w:rPr>
                <w:sz w:val="18"/>
                <w:szCs w:val="18"/>
              </w:rPr>
              <w:t>0</w:t>
            </w:r>
          </w:p>
        </w:tc>
      </w:tr>
      <w:tr w:rsidR="006B3111" w:rsidRPr="00F1005B" w14:paraId="0C1B68F8" w14:textId="77777777" w:rsidTr="006B3111">
        <w:tblPrEx>
          <w:tblCellMar>
            <w:top w:w="57" w:type="dxa"/>
            <w:left w:w="57" w:type="dxa"/>
            <w:bottom w:w="57" w:type="dxa"/>
            <w:right w:w="57" w:type="dxa"/>
          </w:tblCellMar>
        </w:tblPrEx>
        <w:trPr>
          <w:gridAfter w:val="1"/>
          <w:wAfter w:w="13" w:type="dxa"/>
        </w:trPr>
        <w:tc>
          <w:tcPr>
            <w:tcW w:w="3686" w:type="dxa"/>
            <w:hideMark/>
          </w:tcPr>
          <w:p w14:paraId="22B64A29" w14:textId="77777777" w:rsidR="006B3111" w:rsidRPr="00F1005B" w:rsidRDefault="006B3111" w:rsidP="00035553">
            <w:pPr>
              <w:pStyle w:val="NormalWeb"/>
              <w:rPr>
                <w:sz w:val="18"/>
                <w:szCs w:val="18"/>
              </w:rPr>
            </w:pPr>
            <w:r w:rsidRPr="00F1005B">
              <w:rPr>
                <w:sz w:val="18"/>
                <w:szCs w:val="18"/>
              </w:rPr>
              <w:t>Vic.</w:t>
            </w:r>
          </w:p>
        </w:tc>
        <w:tc>
          <w:tcPr>
            <w:tcW w:w="992" w:type="dxa"/>
            <w:hideMark/>
          </w:tcPr>
          <w:p w14:paraId="4647D100" w14:textId="77777777" w:rsidR="006B3111" w:rsidRPr="00F1005B" w:rsidRDefault="006B3111" w:rsidP="00035553">
            <w:pPr>
              <w:pStyle w:val="NormalWeb"/>
              <w:jc w:val="center"/>
              <w:rPr>
                <w:sz w:val="18"/>
                <w:szCs w:val="18"/>
              </w:rPr>
            </w:pPr>
            <w:r w:rsidRPr="00F1005B">
              <w:rPr>
                <w:sz w:val="18"/>
                <w:szCs w:val="18"/>
              </w:rPr>
              <w:t>0</w:t>
            </w:r>
          </w:p>
        </w:tc>
        <w:tc>
          <w:tcPr>
            <w:tcW w:w="677" w:type="dxa"/>
            <w:hideMark/>
          </w:tcPr>
          <w:p w14:paraId="4C29B920" w14:textId="77777777" w:rsidR="006B3111" w:rsidRPr="00F1005B" w:rsidRDefault="006B3111" w:rsidP="00035553">
            <w:pPr>
              <w:pStyle w:val="NormalWeb"/>
              <w:jc w:val="center"/>
              <w:rPr>
                <w:sz w:val="18"/>
                <w:szCs w:val="18"/>
              </w:rPr>
            </w:pPr>
            <w:r w:rsidRPr="00F1005B">
              <w:rPr>
                <w:sz w:val="18"/>
                <w:szCs w:val="18"/>
              </w:rPr>
              <w:t>0</w:t>
            </w:r>
          </w:p>
        </w:tc>
        <w:tc>
          <w:tcPr>
            <w:tcW w:w="1096" w:type="dxa"/>
            <w:hideMark/>
          </w:tcPr>
          <w:p w14:paraId="77AFEF71" w14:textId="77777777" w:rsidR="006B3111" w:rsidRPr="00F1005B" w:rsidRDefault="006B3111" w:rsidP="00035553">
            <w:pPr>
              <w:pStyle w:val="NormalWeb"/>
              <w:jc w:val="center"/>
              <w:rPr>
                <w:sz w:val="18"/>
                <w:szCs w:val="18"/>
              </w:rPr>
            </w:pPr>
            <w:r w:rsidRPr="00F1005B">
              <w:rPr>
                <w:sz w:val="18"/>
                <w:szCs w:val="18"/>
              </w:rPr>
              <w:t>0</w:t>
            </w:r>
          </w:p>
        </w:tc>
        <w:tc>
          <w:tcPr>
            <w:tcW w:w="963" w:type="dxa"/>
            <w:hideMark/>
          </w:tcPr>
          <w:p w14:paraId="3381B4B1" w14:textId="77777777" w:rsidR="006B3111" w:rsidRPr="00F1005B" w:rsidRDefault="006B3111" w:rsidP="00035553">
            <w:pPr>
              <w:pStyle w:val="NormalWeb"/>
              <w:jc w:val="center"/>
              <w:rPr>
                <w:sz w:val="18"/>
                <w:szCs w:val="18"/>
              </w:rPr>
            </w:pPr>
            <w:r w:rsidRPr="00F1005B">
              <w:rPr>
                <w:sz w:val="18"/>
                <w:szCs w:val="18"/>
              </w:rPr>
              <w:t>0</w:t>
            </w:r>
          </w:p>
        </w:tc>
        <w:tc>
          <w:tcPr>
            <w:tcW w:w="1558" w:type="dxa"/>
            <w:hideMark/>
          </w:tcPr>
          <w:p w14:paraId="11FDC0D9" w14:textId="77777777" w:rsidR="006B3111" w:rsidRPr="00F1005B" w:rsidRDefault="006B3111" w:rsidP="00035553">
            <w:pPr>
              <w:pStyle w:val="NormalWeb"/>
              <w:jc w:val="center"/>
              <w:rPr>
                <w:sz w:val="18"/>
                <w:szCs w:val="18"/>
              </w:rPr>
            </w:pPr>
            <w:r w:rsidRPr="00F1005B">
              <w:rPr>
                <w:sz w:val="18"/>
                <w:szCs w:val="18"/>
              </w:rPr>
              <w:t>3</w:t>
            </w:r>
          </w:p>
        </w:tc>
        <w:tc>
          <w:tcPr>
            <w:tcW w:w="1138" w:type="dxa"/>
            <w:hideMark/>
          </w:tcPr>
          <w:p w14:paraId="4EDBF071" w14:textId="77777777" w:rsidR="006B3111" w:rsidRPr="00F1005B" w:rsidRDefault="006B3111" w:rsidP="00035553">
            <w:pPr>
              <w:pStyle w:val="NormalWeb"/>
              <w:jc w:val="center"/>
              <w:rPr>
                <w:sz w:val="18"/>
                <w:szCs w:val="18"/>
              </w:rPr>
            </w:pPr>
            <w:r w:rsidRPr="00F1005B">
              <w:rPr>
                <w:sz w:val="18"/>
                <w:szCs w:val="18"/>
              </w:rPr>
              <w:t>38</w:t>
            </w:r>
          </w:p>
        </w:tc>
        <w:tc>
          <w:tcPr>
            <w:tcW w:w="1156" w:type="dxa"/>
            <w:hideMark/>
          </w:tcPr>
          <w:p w14:paraId="66A3EDF3" w14:textId="77777777" w:rsidR="006B3111" w:rsidRPr="00F1005B" w:rsidRDefault="006B3111" w:rsidP="00035553">
            <w:pPr>
              <w:pStyle w:val="NormalWeb"/>
              <w:jc w:val="center"/>
              <w:rPr>
                <w:sz w:val="18"/>
                <w:szCs w:val="18"/>
              </w:rPr>
            </w:pPr>
            <w:r w:rsidRPr="00F1005B">
              <w:rPr>
                <w:sz w:val="18"/>
                <w:szCs w:val="18"/>
              </w:rPr>
              <w:t>1</w:t>
            </w:r>
          </w:p>
        </w:tc>
        <w:tc>
          <w:tcPr>
            <w:tcW w:w="1350" w:type="dxa"/>
            <w:hideMark/>
          </w:tcPr>
          <w:p w14:paraId="39EC6762" w14:textId="77777777" w:rsidR="006B3111" w:rsidRPr="00F1005B" w:rsidRDefault="006B3111" w:rsidP="00035553">
            <w:pPr>
              <w:pStyle w:val="NormalWeb"/>
              <w:jc w:val="center"/>
              <w:rPr>
                <w:sz w:val="18"/>
                <w:szCs w:val="18"/>
              </w:rPr>
            </w:pPr>
            <w:r w:rsidRPr="00F1005B">
              <w:rPr>
                <w:sz w:val="18"/>
                <w:szCs w:val="18"/>
              </w:rPr>
              <w:t>17</w:t>
            </w:r>
          </w:p>
        </w:tc>
        <w:tc>
          <w:tcPr>
            <w:tcW w:w="1134" w:type="dxa"/>
            <w:hideMark/>
          </w:tcPr>
          <w:p w14:paraId="3D46E7DA" w14:textId="77777777" w:rsidR="006B3111" w:rsidRPr="00F1005B" w:rsidRDefault="006B3111" w:rsidP="00035553">
            <w:pPr>
              <w:pStyle w:val="NormalWeb"/>
              <w:jc w:val="center"/>
              <w:rPr>
                <w:sz w:val="18"/>
                <w:szCs w:val="18"/>
              </w:rPr>
            </w:pPr>
            <w:r w:rsidRPr="00F1005B">
              <w:rPr>
                <w:sz w:val="18"/>
                <w:szCs w:val="18"/>
              </w:rPr>
              <w:t>4</w:t>
            </w:r>
          </w:p>
        </w:tc>
        <w:tc>
          <w:tcPr>
            <w:tcW w:w="1234" w:type="dxa"/>
            <w:hideMark/>
          </w:tcPr>
          <w:p w14:paraId="64397A73" w14:textId="77777777" w:rsidR="006B3111" w:rsidRPr="00F1005B" w:rsidRDefault="006B3111" w:rsidP="00035553">
            <w:pPr>
              <w:pStyle w:val="NormalWeb"/>
              <w:jc w:val="center"/>
              <w:rPr>
                <w:sz w:val="18"/>
                <w:szCs w:val="18"/>
              </w:rPr>
            </w:pPr>
            <w:r w:rsidRPr="00F1005B">
              <w:rPr>
                <w:sz w:val="18"/>
                <w:szCs w:val="18"/>
              </w:rPr>
              <w:t>20</w:t>
            </w:r>
          </w:p>
        </w:tc>
      </w:tr>
      <w:tr w:rsidR="006B3111" w:rsidRPr="001F0097" w14:paraId="38531BE7" w14:textId="77777777" w:rsidTr="001F0097">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13" w:type="dxa"/>
        </w:trPr>
        <w:tc>
          <w:tcPr>
            <w:tcW w:w="3686" w:type="dxa"/>
            <w:hideMark/>
          </w:tcPr>
          <w:p w14:paraId="1296A7BF" w14:textId="77777777" w:rsidR="006B3111" w:rsidRPr="001F0097" w:rsidRDefault="006B3111" w:rsidP="00035553">
            <w:pPr>
              <w:pStyle w:val="NormalWeb"/>
              <w:rPr>
                <w:sz w:val="18"/>
                <w:szCs w:val="18"/>
              </w:rPr>
            </w:pPr>
            <w:r w:rsidRPr="001F0097">
              <w:rPr>
                <w:sz w:val="18"/>
                <w:szCs w:val="18"/>
              </w:rPr>
              <w:t>WA</w:t>
            </w:r>
          </w:p>
        </w:tc>
        <w:tc>
          <w:tcPr>
            <w:tcW w:w="992" w:type="dxa"/>
            <w:hideMark/>
          </w:tcPr>
          <w:p w14:paraId="38ADFFF6" w14:textId="77777777" w:rsidR="006B3111" w:rsidRPr="001F0097" w:rsidRDefault="006B3111" w:rsidP="00035553">
            <w:pPr>
              <w:pStyle w:val="NormalWeb"/>
              <w:jc w:val="center"/>
              <w:rPr>
                <w:sz w:val="18"/>
                <w:szCs w:val="18"/>
              </w:rPr>
            </w:pPr>
            <w:r w:rsidRPr="001F0097">
              <w:rPr>
                <w:sz w:val="18"/>
                <w:szCs w:val="18"/>
              </w:rPr>
              <w:t>0</w:t>
            </w:r>
          </w:p>
        </w:tc>
        <w:tc>
          <w:tcPr>
            <w:tcW w:w="677" w:type="dxa"/>
            <w:hideMark/>
          </w:tcPr>
          <w:p w14:paraId="06415557" w14:textId="77777777" w:rsidR="006B3111" w:rsidRPr="001F0097" w:rsidRDefault="006B3111" w:rsidP="00035553">
            <w:pPr>
              <w:pStyle w:val="NormalWeb"/>
              <w:jc w:val="center"/>
              <w:rPr>
                <w:sz w:val="18"/>
                <w:szCs w:val="18"/>
              </w:rPr>
            </w:pPr>
            <w:r w:rsidRPr="001F0097">
              <w:rPr>
                <w:sz w:val="18"/>
                <w:szCs w:val="18"/>
              </w:rPr>
              <w:t>0</w:t>
            </w:r>
          </w:p>
        </w:tc>
        <w:tc>
          <w:tcPr>
            <w:tcW w:w="1096" w:type="dxa"/>
            <w:hideMark/>
          </w:tcPr>
          <w:p w14:paraId="13739D56" w14:textId="77777777" w:rsidR="006B3111" w:rsidRPr="001F0097" w:rsidRDefault="006B3111" w:rsidP="00035553">
            <w:pPr>
              <w:pStyle w:val="NormalWeb"/>
              <w:jc w:val="center"/>
              <w:rPr>
                <w:sz w:val="18"/>
                <w:szCs w:val="18"/>
              </w:rPr>
            </w:pPr>
            <w:r w:rsidRPr="001F0097">
              <w:rPr>
                <w:sz w:val="18"/>
                <w:szCs w:val="18"/>
              </w:rPr>
              <w:t>0</w:t>
            </w:r>
          </w:p>
        </w:tc>
        <w:tc>
          <w:tcPr>
            <w:tcW w:w="963" w:type="dxa"/>
            <w:hideMark/>
          </w:tcPr>
          <w:p w14:paraId="55679E98" w14:textId="77777777" w:rsidR="006B3111" w:rsidRPr="001F0097" w:rsidRDefault="006B3111" w:rsidP="00035553">
            <w:pPr>
              <w:pStyle w:val="NormalWeb"/>
              <w:jc w:val="center"/>
              <w:rPr>
                <w:sz w:val="18"/>
                <w:szCs w:val="18"/>
              </w:rPr>
            </w:pPr>
            <w:r w:rsidRPr="001F0097">
              <w:rPr>
                <w:sz w:val="18"/>
                <w:szCs w:val="18"/>
              </w:rPr>
              <w:t>0</w:t>
            </w:r>
          </w:p>
        </w:tc>
        <w:tc>
          <w:tcPr>
            <w:tcW w:w="1558" w:type="dxa"/>
            <w:hideMark/>
          </w:tcPr>
          <w:p w14:paraId="033C0976" w14:textId="77777777" w:rsidR="006B3111" w:rsidRPr="001F0097" w:rsidRDefault="006B3111" w:rsidP="00035553">
            <w:pPr>
              <w:pStyle w:val="NormalWeb"/>
              <w:jc w:val="center"/>
              <w:rPr>
                <w:sz w:val="18"/>
                <w:szCs w:val="18"/>
              </w:rPr>
            </w:pPr>
            <w:r w:rsidRPr="001F0097">
              <w:rPr>
                <w:sz w:val="18"/>
                <w:szCs w:val="18"/>
              </w:rPr>
              <w:t>1</w:t>
            </w:r>
          </w:p>
        </w:tc>
        <w:tc>
          <w:tcPr>
            <w:tcW w:w="1138" w:type="dxa"/>
            <w:hideMark/>
          </w:tcPr>
          <w:p w14:paraId="314397FC" w14:textId="77777777" w:rsidR="006B3111" w:rsidRPr="001F0097" w:rsidRDefault="006B3111" w:rsidP="00035553">
            <w:pPr>
              <w:pStyle w:val="NormalWeb"/>
              <w:jc w:val="center"/>
              <w:rPr>
                <w:sz w:val="18"/>
                <w:szCs w:val="18"/>
              </w:rPr>
            </w:pPr>
            <w:r w:rsidRPr="001F0097">
              <w:rPr>
                <w:sz w:val="18"/>
                <w:szCs w:val="18"/>
              </w:rPr>
              <w:t>13</w:t>
            </w:r>
          </w:p>
        </w:tc>
        <w:tc>
          <w:tcPr>
            <w:tcW w:w="1156" w:type="dxa"/>
            <w:hideMark/>
          </w:tcPr>
          <w:p w14:paraId="092A6729" w14:textId="77777777" w:rsidR="006B3111" w:rsidRPr="001F0097" w:rsidRDefault="006B3111" w:rsidP="00035553">
            <w:pPr>
              <w:pStyle w:val="NormalWeb"/>
              <w:jc w:val="center"/>
              <w:rPr>
                <w:sz w:val="18"/>
                <w:szCs w:val="18"/>
              </w:rPr>
            </w:pPr>
            <w:r w:rsidRPr="001F0097">
              <w:rPr>
                <w:sz w:val="18"/>
                <w:szCs w:val="18"/>
              </w:rPr>
              <w:t>0</w:t>
            </w:r>
          </w:p>
        </w:tc>
        <w:tc>
          <w:tcPr>
            <w:tcW w:w="1350" w:type="dxa"/>
            <w:hideMark/>
          </w:tcPr>
          <w:p w14:paraId="3AC43463" w14:textId="77777777" w:rsidR="006B3111" w:rsidRPr="001F0097" w:rsidRDefault="006B3111" w:rsidP="00035553">
            <w:pPr>
              <w:pStyle w:val="NormalWeb"/>
              <w:jc w:val="center"/>
              <w:rPr>
                <w:sz w:val="18"/>
                <w:szCs w:val="18"/>
              </w:rPr>
            </w:pPr>
            <w:r w:rsidRPr="001F0097">
              <w:rPr>
                <w:sz w:val="18"/>
                <w:szCs w:val="18"/>
              </w:rPr>
              <w:t>0</w:t>
            </w:r>
          </w:p>
        </w:tc>
        <w:tc>
          <w:tcPr>
            <w:tcW w:w="1134" w:type="dxa"/>
            <w:hideMark/>
          </w:tcPr>
          <w:p w14:paraId="141A7F0D" w14:textId="77777777" w:rsidR="006B3111" w:rsidRPr="001F0097" w:rsidRDefault="006B3111" w:rsidP="00035553">
            <w:pPr>
              <w:pStyle w:val="NormalWeb"/>
              <w:jc w:val="center"/>
              <w:rPr>
                <w:sz w:val="18"/>
                <w:szCs w:val="18"/>
              </w:rPr>
            </w:pPr>
            <w:r w:rsidRPr="001F0097">
              <w:rPr>
                <w:sz w:val="18"/>
                <w:szCs w:val="18"/>
              </w:rPr>
              <w:t>1</w:t>
            </w:r>
          </w:p>
        </w:tc>
        <w:tc>
          <w:tcPr>
            <w:tcW w:w="1234" w:type="dxa"/>
            <w:hideMark/>
          </w:tcPr>
          <w:p w14:paraId="5788DB54" w14:textId="77777777" w:rsidR="006B3111" w:rsidRPr="001F0097" w:rsidRDefault="006B3111" w:rsidP="00035553">
            <w:pPr>
              <w:pStyle w:val="NormalWeb"/>
              <w:jc w:val="center"/>
              <w:rPr>
                <w:sz w:val="18"/>
                <w:szCs w:val="18"/>
              </w:rPr>
            </w:pPr>
            <w:r w:rsidRPr="001F0097">
              <w:rPr>
                <w:sz w:val="18"/>
                <w:szCs w:val="18"/>
              </w:rPr>
              <w:t>5</w:t>
            </w:r>
          </w:p>
        </w:tc>
      </w:tr>
    </w:tbl>
    <w:p w14:paraId="67624675" w14:textId="77777777" w:rsidR="006B3111" w:rsidRPr="000D33E9" w:rsidRDefault="006B3111" w:rsidP="006B3111">
      <w:pPr>
        <w:pStyle w:val="CDIfootnotes"/>
      </w:pPr>
      <w:r w:rsidRPr="000D33E9">
        <w:t>a</w:t>
      </w:r>
      <w:r w:rsidRPr="000D33E9">
        <w:tab/>
        <w:t>Percentage within the indicated demographic category or jurisdiction among all cases of this influenza subtype (i.e., denominator = n).</w:t>
      </w:r>
    </w:p>
    <w:p w14:paraId="04DE03F2" w14:textId="77777777" w:rsidR="006B3111" w:rsidRDefault="006B3111" w:rsidP="0092082A">
      <w:pPr>
        <w:pStyle w:val="Heading2"/>
        <w:sectPr w:rsidR="006B3111" w:rsidSect="006B3111">
          <w:pgSz w:w="16838" w:h="11906" w:orient="landscape"/>
          <w:pgMar w:top="720" w:right="720" w:bottom="720" w:left="1134" w:header="709" w:footer="284" w:gutter="0"/>
          <w:cols w:space="708"/>
          <w:titlePg/>
          <w:docGrid w:linePitch="360"/>
        </w:sectPr>
      </w:pPr>
    </w:p>
    <w:p w14:paraId="1A5BBB7D" w14:textId="77777777" w:rsidR="00B8248E" w:rsidRPr="00C97941" w:rsidRDefault="00B8248E" w:rsidP="00B8248E">
      <w:pPr>
        <w:pStyle w:val="CDIFigures"/>
      </w:pPr>
      <w:r w:rsidRPr="00C97941">
        <w:rPr>
          <w:rStyle w:val="Strong"/>
          <w:b/>
          <w:bCs w:val="0"/>
        </w:rPr>
        <w:lastRenderedPageBreak/>
        <w:t xml:space="preserve">Table 2: Risk factors, </w:t>
      </w:r>
      <w:proofErr w:type="gramStart"/>
      <w:r w:rsidRPr="00C97941">
        <w:rPr>
          <w:rStyle w:val="Strong"/>
          <w:b/>
          <w:bCs w:val="0"/>
        </w:rPr>
        <w:t>severity</w:t>
      </w:r>
      <w:proofErr w:type="gramEnd"/>
      <w:r w:rsidRPr="00C97941">
        <w:rPr>
          <w:rStyle w:val="Strong"/>
          <w:b/>
          <w:bCs w:val="0"/>
        </w:rPr>
        <w:t xml:space="preserve"> and outcomes in hospitalised patients with confirmed influenza</w:t>
      </w:r>
      <w:r w:rsidRPr="00C97941">
        <w:t xml:space="preserve"> </w:t>
      </w:r>
    </w:p>
    <w:tbl>
      <w:tblPr>
        <w:tblStyle w:val="CDI-StandardTable"/>
        <w:tblW w:w="0" w:type="auto"/>
        <w:tblLook w:val="04A0" w:firstRow="1" w:lastRow="0" w:firstColumn="1" w:lastColumn="0" w:noHBand="0" w:noVBand="1"/>
        <w:tblDescription w:val="Table 2: this table presents risk factors, including pregnancy, medical co-morbidities, residence in nursing home and influenza vaccine status, in patients admitted to ICU.&#10;"/>
      </w:tblPr>
      <w:tblGrid>
        <w:gridCol w:w="4395"/>
        <w:gridCol w:w="1275"/>
        <w:gridCol w:w="993"/>
        <w:gridCol w:w="1134"/>
        <w:gridCol w:w="850"/>
        <w:gridCol w:w="851"/>
        <w:gridCol w:w="942"/>
      </w:tblGrid>
      <w:tr w:rsidR="00B8248E" w:rsidRPr="00236684" w14:paraId="060F8AD7" w14:textId="77777777" w:rsidTr="00035553">
        <w:trPr>
          <w:cnfStyle w:val="100000000000" w:firstRow="1" w:lastRow="0" w:firstColumn="0" w:lastColumn="0" w:oddVBand="0" w:evenVBand="0" w:oddHBand="0" w:evenHBand="0" w:firstRowFirstColumn="0" w:firstRowLastColumn="0" w:lastRowFirstColumn="0" w:lastRowLastColumn="0"/>
          <w:tblHeader/>
        </w:trPr>
        <w:tc>
          <w:tcPr>
            <w:tcW w:w="4395" w:type="dxa"/>
            <w:tcBorders>
              <w:top w:val="single" w:sz="2" w:space="0" w:color="886E49"/>
              <w:left w:val="single" w:sz="2" w:space="0" w:color="886E49"/>
              <w:bottom w:val="single" w:sz="2" w:space="0" w:color="886E49"/>
              <w:right w:val="single" w:sz="2" w:space="0" w:color="886E49"/>
            </w:tcBorders>
            <w:hideMark/>
          </w:tcPr>
          <w:p w14:paraId="4C3459FD" w14:textId="77777777" w:rsidR="00B8248E" w:rsidRPr="00236684" w:rsidRDefault="00B8248E" w:rsidP="00035553">
            <w:pPr>
              <w:rPr>
                <w:color w:val="FFFFFF" w:themeColor="background1"/>
                <w:sz w:val="18"/>
                <w:szCs w:val="18"/>
                <w:lang w:val="en-GB"/>
              </w:rPr>
            </w:pPr>
          </w:p>
        </w:tc>
        <w:tc>
          <w:tcPr>
            <w:tcW w:w="2268" w:type="dxa"/>
            <w:gridSpan w:val="2"/>
            <w:tcBorders>
              <w:top w:val="single" w:sz="2" w:space="0" w:color="886E49"/>
              <w:left w:val="single" w:sz="2" w:space="0" w:color="886E49"/>
              <w:bottom w:val="single" w:sz="2" w:space="0" w:color="886E49"/>
              <w:right w:val="single" w:sz="2" w:space="0" w:color="886E49"/>
            </w:tcBorders>
            <w:hideMark/>
          </w:tcPr>
          <w:p w14:paraId="0F6D25DD" w14:textId="77777777" w:rsidR="00B8248E" w:rsidRPr="00236684" w:rsidRDefault="00B8248E" w:rsidP="00035553">
            <w:pPr>
              <w:pStyle w:val="NormalWeb"/>
              <w:jc w:val="center"/>
              <w:rPr>
                <w:color w:val="FFFFFF" w:themeColor="background1"/>
                <w:sz w:val="18"/>
                <w:szCs w:val="18"/>
              </w:rPr>
            </w:pPr>
            <w:r w:rsidRPr="00236684">
              <w:rPr>
                <w:color w:val="FFFFFF" w:themeColor="background1"/>
                <w:sz w:val="18"/>
                <w:szCs w:val="18"/>
              </w:rPr>
              <w:t>Not admitted to ICU</w:t>
            </w:r>
            <w:r w:rsidRPr="00236684">
              <w:rPr>
                <w:color w:val="FFFFFF" w:themeColor="background1"/>
                <w:sz w:val="18"/>
                <w:szCs w:val="18"/>
              </w:rPr>
              <w:br/>
              <w:t>( n = 19; 95%)</w:t>
            </w:r>
          </w:p>
        </w:tc>
        <w:tc>
          <w:tcPr>
            <w:tcW w:w="1984" w:type="dxa"/>
            <w:gridSpan w:val="2"/>
            <w:tcBorders>
              <w:top w:val="single" w:sz="2" w:space="0" w:color="886E49"/>
              <w:left w:val="single" w:sz="2" w:space="0" w:color="886E49"/>
              <w:bottom w:val="single" w:sz="2" w:space="0" w:color="886E49"/>
              <w:right w:val="single" w:sz="2" w:space="0" w:color="886E49"/>
            </w:tcBorders>
            <w:hideMark/>
          </w:tcPr>
          <w:p w14:paraId="695258CA" w14:textId="77777777" w:rsidR="00B8248E" w:rsidRPr="00236684" w:rsidRDefault="00B8248E" w:rsidP="00035553">
            <w:pPr>
              <w:pStyle w:val="NormalWeb"/>
              <w:jc w:val="center"/>
              <w:rPr>
                <w:color w:val="FFFFFF" w:themeColor="background1"/>
                <w:sz w:val="18"/>
                <w:szCs w:val="18"/>
              </w:rPr>
            </w:pPr>
            <w:r w:rsidRPr="00236684">
              <w:rPr>
                <w:color w:val="FFFFFF" w:themeColor="background1"/>
                <w:sz w:val="18"/>
                <w:szCs w:val="18"/>
              </w:rPr>
              <w:t>Admitted to ICU</w:t>
            </w:r>
            <w:r w:rsidRPr="00236684">
              <w:rPr>
                <w:color w:val="FFFFFF" w:themeColor="background1"/>
                <w:sz w:val="18"/>
                <w:szCs w:val="18"/>
              </w:rPr>
              <w:br/>
              <w:t>( n = 1; 5%)</w:t>
            </w:r>
          </w:p>
        </w:tc>
        <w:tc>
          <w:tcPr>
            <w:tcW w:w="1793" w:type="dxa"/>
            <w:gridSpan w:val="2"/>
            <w:tcBorders>
              <w:top w:val="single" w:sz="2" w:space="0" w:color="886E49"/>
              <w:left w:val="single" w:sz="2" w:space="0" w:color="886E49"/>
              <w:bottom w:val="single" w:sz="2" w:space="0" w:color="886E49"/>
              <w:right w:val="single" w:sz="2" w:space="0" w:color="886E49"/>
            </w:tcBorders>
            <w:hideMark/>
          </w:tcPr>
          <w:p w14:paraId="17251E7E" w14:textId="77777777" w:rsidR="00B8248E" w:rsidRPr="00236684" w:rsidRDefault="00B8248E" w:rsidP="00035553">
            <w:pPr>
              <w:pStyle w:val="NormalWeb"/>
              <w:jc w:val="center"/>
              <w:rPr>
                <w:color w:val="FFFFFF" w:themeColor="background1"/>
                <w:sz w:val="18"/>
                <w:szCs w:val="18"/>
              </w:rPr>
            </w:pPr>
            <w:r w:rsidRPr="00236684">
              <w:rPr>
                <w:color w:val="FFFFFF" w:themeColor="background1"/>
                <w:sz w:val="18"/>
                <w:szCs w:val="18"/>
              </w:rPr>
              <w:t>Total</w:t>
            </w:r>
            <w:r w:rsidRPr="00236684">
              <w:rPr>
                <w:color w:val="FFFFFF" w:themeColor="background1"/>
                <w:sz w:val="18"/>
                <w:szCs w:val="18"/>
              </w:rPr>
              <w:br/>
              <w:t xml:space="preserve">( n = </w:t>
            </w:r>
            <w:proofErr w:type="gramStart"/>
            <w:r w:rsidRPr="00236684">
              <w:rPr>
                <w:color w:val="FFFFFF" w:themeColor="background1"/>
                <w:sz w:val="18"/>
                <w:szCs w:val="18"/>
              </w:rPr>
              <w:t>20 )</w:t>
            </w:r>
            <w:proofErr w:type="gramEnd"/>
          </w:p>
        </w:tc>
      </w:tr>
      <w:tr w:rsidR="00B8248E" w:rsidRPr="00236684" w14:paraId="327FFDA0" w14:textId="77777777" w:rsidTr="00035553">
        <w:trPr>
          <w:cnfStyle w:val="100000000000" w:firstRow="1" w:lastRow="0" w:firstColumn="0" w:lastColumn="0" w:oddVBand="0" w:evenVBand="0" w:oddHBand="0" w:evenHBand="0" w:firstRowFirstColumn="0" w:firstRowLastColumn="0" w:lastRowFirstColumn="0" w:lastRowLastColumn="0"/>
          <w:tblHeader/>
        </w:trPr>
        <w:tc>
          <w:tcPr>
            <w:tcW w:w="4395" w:type="dxa"/>
            <w:tcBorders>
              <w:top w:val="single" w:sz="2" w:space="0" w:color="886E49"/>
              <w:left w:val="single" w:sz="2" w:space="0" w:color="886E49"/>
              <w:bottom w:val="single" w:sz="2" w:space="0" w:color="886E49"/>
              <w:right w:val="single" w:sz="2" w:space="0" w:color="886E49"/>
            </w:tcBorders>
            <w:hideMark/>
          </w:tcPr>
          <w:p w14:paraId="1D4DFD06" w14:textId="77777777" w:rsidR="00B8248E" w:rsidRPr="00236684" w:rsidRDefault="00B8248E" w:rsidP="00035553">
            <w:pPr>
              <w:rPr>
                <w:color w:val="FFFFFF" w:themeColor="background1"/>
                <w:sz w:val="18"/>
                <w:szCs w:val="18"/>
              </w:rPr>
            </w:pPr>
          </w:p>
        </w:tc>
        <w:tc>
          <w:tcPr>
            <w:tcW w:w="1275" w:type="dxa"/>
            <w:tcBorders>
              <w:top w:val="single" w:sz="2" w:space="0" w:color="886E49"/>
              <w:left w:val="single" w:sz="2" w:space="0" w:color="886E49"/>
              <w:bottom w:val="single" w:sz="2" w:space="0" w:color="886E49"/>
              <w:right w:val="single" w:sz="2" w:space="0" w:color="886E49"/>
            </w:tcBorders>
            <w:hideMark/>
          </w:tcPr>
          <w:p w14:paraId="53F09B62" w14:textId="77777777" w:rsidR="00B8248E" w:rsidRPr="00236684" w:rsidRDefault="00B8248E" w:rsidP="00035553">
            <w:pPr>
              <w:pStyle w:val="NormalWeb"/>
              <w:jc w:val="center"/>
              <w:rPr>
                <w:color w:val="FFFFFF" w:themeColor="background1"/>
                <w:sz w:val="18"/>
                <w:szCs w:val="18"/>
              </w:rPr>
            </w:pPr>
            <w:r w:rsidRPr="00236684">
              <w:rPr>
                <w:color w:val="FFFFFF" w:themeColor="background1"/>
                <w:sz w:val="18"/>
                <w:szCs w:val="18"/>
              </w:rPr>
              <w:t>n</w:t>
            </w:r>
          </w:p>
        </w:tc>
        <w:tc>
          <w:tcPr>
            <w:tcW w:w="993" w:type="dxa"/>
            <w:tcBorders>
              <w:top w:val="single" w:sz="2" w:space="0" w:color="886E49"/>
              <w:left w:val="single" w:sz="2" w:space="0" w:color="886E49"/>
              <w:bottom w:val="single" w:sz="2" w:space="0" w:color="886E49"/>
              <w:right w:val="single" w:sz="2" w:space="0" w:color="886E49"/>
            </w:tcBorders>
            <w:hideMark/>
          </w:tcPr>
          <w:p w14:paraId="5085CE06" w14:textId="77777777" w:rsidR="00B8248E" w:rsidRPr="00236684" w:rsidRDefault="00B8248E" w:rsidP="00035553">
            <w:pPr>
              <w:pStyle w:val="NormalWeb"/>
              <w:jc w:val="center"/>
              <w:rPr>
                <w:color w:val="FFFFFF" w:themeColor="background1"/>
                <w:sz w:val="18"/>
                <w:szCs w:val="18"/>
              </w:rPr>
            </w:pPr>
            <w:r w:rsidRPr="00236684">
              <w:rPr>
                <w:color w:val="FFFFFF" w:themeColor="background1"/>
                <w:sz w:val="18"/>
                <w:szCs w:val="18"/>
              </w:rPr>
              <w:t>%</w:t>
            </w:r>
            <w:r w:rsidRPr="00236684">
              <w:rPr>
                <w:color w:val="FFFFFF" w:themeColor="background1"/>
                <w:sz w:val="18"/>
                <w:szCs w:val="18"/>
                <w:vertAlign w:val="superscript"/>
              </w:rPr>
              <w:t>a</w:t>
            </w:r>
          </w:p>
        </w:tc>
        <w:tc>
          <w:tcPr>
            <w:tcW w:w="1134" w:type="dxa"/>
            <w:tcBorders>
              <w:top w:val="single" w:sz="2" w:space="0" w:color="886E49"/>
              <w:left w:val="single" w:sz="2" w:space="0" w:color="886E49"/>
              <w:bottom w:val="single" w:sz="2" w:space="0" w:color="886E49"/>
              <w:right w:val="single" w:sz="2" w:space="0" w:color="886E49"/>
            </w:tcBorders>
            <w:hideMark/>
          </w:tcPr>
          <w:p w14:paraId="383DAAB3" w14:textId="77777777" w:rsidR="00B8248E" w:rsidRPr="00236684" w:rsidRDefault="00B8248E" w:rsidP="00035553">
            <w:pPr>
              <w:pStyle w:val="NormalWeb"/>
              <w:jc w:val="center"/>
              <w:rPr>
                <w:color w:val="FFFFFF" w:themeColor="background1"/>
                <w:sz w:val="18"/>
                <w:szCs w:val="18"/>
              </w:rPr>
            </w:pPr>
            <w:r w:rsidRPr="00236684">
              <w:rPr>
                <w:color w:val="FFFFFF" w:themeColor="background1"/>
                <w:sz w:val="18"/>
                <w:szCs w:val="18"/>
              </w:rPr>
              <w:t>n</w:t>
            </w:r>
          </w:p>
        </w:tc>
        <w:tc>
          <w:tcPr>
            <w:tcW w:w="850" w:type="dxa"/>
            <w:tcBorders>
              <w:top w:val="single" w:sz="2" w:space="0" w:color="886E49"/>
              <w:left w:val="single" w:sz="2" w:space="0" w:color="886E49"/>
              <w:bottom w:val="single" w:sz="2" w:space="0" w:color="886E49"/>
              <w:right w:val="single" w:sz="2" w:space="0" w:color="886E49"/>
            </w:tcBorders>
            <w:hideMark/>
          </w:tcPr>
          <w:p w14:paraId="30CA6BCC" w14:textId="77777777" w:rsidR="00B8248E" w:rsidRPr="00236684" w:rsidRDefault="00B8248E" w:rsidP="00035553">
            <w:pPr>
              <w:pStyle w:val="NormalWeb"/>
              <w:jc w:val="center"/>
              <w:rPr>
                <w:color w:val="FFFFFF" w:themeColor="background1"/>
                <w:sz w:val="18"/>
                <w:szCs w:val="18"/>
              </w:rPr>
            </w:pPr>
            <w:r w:rsidRPr="00236684">
              <w:rPr>
                <w:color w:val="FFFFFF" w:themeColor="background1"/>
                <w:sz w:val="18"/>
                <w:szCs w:val="18"/>
              </w:rPr>
              <w:t>%</w:t>
            </w:r>
            <w:r w:rsidRPr="00236684">
              <w:rPr>
                <w:color w:val="FFFFFF" w:themeColor="background1"/>
                <w:sz w:val="18"/>
                <w:szCs w:val="18"/>
                <w:vertAlign w:val="superscript"/>
              </w:rPr>
              <w:t>a</w:t>
            </w:r>
          </w:p>
        </w:tc>
        <w:tc>
          <w:tcPr>
            <w:tcW w:w="851" w:type="dxa"/>
            <w:tcBorders>
              <w:top w:val="single" w:sz="2" w:space="0" w:color="886E49"/>
              <w:left w:val="single" w:sz="2" w:space="0" w:color="886E49"/>
              <w:bottom w:val="single" w:sz="2" w:space="0" w:color="886E49"/>
              <w:right w:val="single" w:sz="2" w:space="0" w:color="886E49"/>
            </w:tcBorders>
            <w:hideMark/>
          </w:tcPr>
          <w:p w14:paraId="6096319F" w14:textId="77777777" w:rsidR="00B8248E" w:rsidRPr="00236684" w:rsidRDefault="00B8248E" w:rsidP="00035553">
            <w:pPr>
              <w:pStyle w:val="NormalWeb"/>
              <w:jc w:val="center"/>
              <w:rPr>
                <w:color w:val="FFFFFF" w:themeColor="background1"/>
                <w:sz w:val="18"/>
                <w:szCs w:val="18"/>
              </w:rPr>
            </w:pPr>
            <w:r w:rsidRPr="00236684">
              <w:rPr>
                <w:color w:val="FFFFFF" w:themeColor="background1"/>
                <w:sz w:val="18"/>
                <w:szCs w:val="18"/>
              </w:rPr>
              <w:t>n</w:t>
            </w:r>
          </w:p>
        </w:tc>
        <w:tc>
          <w:tcPr>
            <w:tcW w:w="942" w:type="dxa"/>
            <w:tcBorders>
              <w:top w:val="single" w:sz="2" w:space="0" w:color="886E49"/>
              <w:left w:val="single" w:sz="2" w:space="0" w:color="886E49"/>
              <w:bottom w:val="single" w:sz="2" w:space="0" w:color="886E49"/>
              <w:right w:val="single" w:sz="2" w:space="0" w:color="886E49"/>
            </w:tcBorders>
            <w:hideMark/>
          </w:tcPr>
          <w:p w14:paraId="7CFA89A8" w14:textId="77777777" w:rsidR="00B8248E" w:rsidRPr="00236684" w:rsidRDefault="00B8248E" w:rsidP="00035553">
            <w:pPr>
              <w:pStyle w:val="NormalWeb"/>
              <w:jc w:val="center"/>
              <w:rPr>
                <w:color w:val="FFFFFF" w:themeColor="background1"/>
                <w:sz w:val="18"/>
                <w:szCs w:val="18"/>
              </w:rPr>
            </w:pPr>
            <w:r w:rsidRPr="00236684">
              <w:rPr>
                <w:color w:val="FFFFFF" w:themeColor="background1"/>
                <w:sz w:val="18"/>
                <w:szCs w:val="18"/>
              </w:rPr>
              <w:t>%</w:t>
            </w:r>
            <w:r w:rsidRPr="00236684">
              <w:rPr>
                <w:color w:val="FFFFFF" w:themeColor="background1"/>
                <w:sz w:val="18"/>
                <w:szCs w:val="18"/>
                <w:vertAlign w:val="superscript"/>
              </w:rPr>
              <w:t>a</w:t>
            </w:r>
          </w:p>
        </w:tc>
      </w:tr>
      <w:tr w:rsidR="00B8248E" w:rsidRPr="00236684" w14:paraId="72C56029" w14:textId="77777777" w:rsidTr="00035553">
        <w:tblPrEx>
          <w:tblCellMar>
            <w:top w:w="57" w:type="dxa"/>
            <w:left w:w="57" w:type="dxa"/>
            <w:bottom w:w="57" w:type="dxa"/>
            <w:right w:w="57" w:type="dxa"/>
          </w:tblCellMar>
        </w:tblPrEx>
        <w:tc>
          <w:tcPr>
            <w:tcW w:w="4395" w:type="dxa"/>
            <w:tcBorders>
              <w:top w:val="single" w:sz="2" w:space="0" w:color="886E49"/>
            </w:tcBorders>
            <w:hideMark/>
          </w:tcPr>
          <w:p w14:paraId="7331A5E2" w14:textId="77777777" w:rsidR="00B8248E" w:rsidRPr="00236684" w:rsidRDefault="00B8248E" w:rsidP="00035553">
            <w:pPr>
              <w:pStyle w:val="NormalWeb"/>
              <w:rPr>
                <w:sz w:val="18"/>
                <w:szCs w:val="18"/>
              </w:rPr>
            </w:pPr>
            <w:r w:rsidRPr="00236684">
              <w:rPr>
                <w:sz w:val="18"/>
                <w:szCs w:val="18"/>
              </w:rPr>
              <w:t>Pregnant</w:t>
            </w:r>
          </w:p>
        </w:tc>
        <w:tc>
          <w:tcPr>
            <w:tcW w:w="1275" w:type="dxa"/>
            <w:tcBorders>
              <w:top w:val="single" w:sz="2" w:space="0" w:color="886E49"/>
            </w:tcBorders>
            <w:hideMark/>
          </w:tcPr>
          <w:p w14:paraId="52B5C93C" w14:textId="77777777" w:rsidR="00B8248E" w:rsidRPr="00236684" w:rsidRDefault="00B8248E" w:rsidP="00035553">
            <w:pPr>
              <w:pStyle w:val="NormalWeb"/>
              <w:jc w:val="center"/>
              <w:rPr>
                <w:sz w:val="18"/>
                <w:szCs w:val="18"/>
              </w:rPr>
            </w:pPr>
            <w:r w:rsidRPr="00236684">
              <w:rPr>
                <w:sz w:val="18"/>
                <w:szCs w:val="18"/>
              </w:rPr>
              <w:t>0</w:t>
            </w:r>
          </w:p>
        </w:tc>
        <w:tc>
          <w:tcPr>
            <w:tcW w:w="993" w:type="dxa"/>
            <w:tcBorders>
              <w:top w:val="single" w:sz="2" w:space="0" w:color="886E49"/>
            </w:tcBorders>
            <w:hideMark/>
          </w:tcPr>
          <w:p w14:paraId="22F5DFA3" w14:textId="77777777" w:rsidR="00B8248E" w:rsidRPr="00236684" w:rsidRDefault="00B8248E" w:rsidP="00035553">
            <w:pPr>
              <w:pStyle w:val="NormalWeb"/>
              <w:jc w:val="center"/>
              <w:rPr>
                <w:sz w:val="18"/>
                <w:szCs w:val="18"/>
              </w:rPr>
            </w:pPr>
            <w:r w:rsidRPr="00236684">
              <w:rPr>
                <w:sz w:val="18"/>
                <w:szCs w:val="18"/>
              </w:rPr>
              <w:t>0</w:t>
            </w:r>
          </w:p>
        </w:tc>
        <w:tc>
          <w:tcPr>
            <w:tcW w:w="1134" w:type="dxa"/>
            <w:tcBorders>
              <w:top w:val="single" w:sz="2" w:space="0" w:color="886E49"/>
            </w:tcBorders>
            <w:hideMark/>
          </w:tcPr>
          <w:p w14:paraId="4D9125B7" w14:textId="77777777" w:rsidR="00B8248E" w:rsidRPr="00236684" w:rsidRDefault="00B8248E" w:rsidP="00035553">
            <w:pPr>
              <w:pStyle w:val="NormalWeb"/>
              <w:jc w:val="center"/>
              <w:rPr>
                <w:sz w:val="18"/>
                <w:szCs w:val="18"/>
              </w:rPr>
            </w:pPr>
            <w:r w:rsidRPr="00236684">
              <w:rPr>
                <w:sz w:val="18"/>
                <w:szCs w:val="18"/>
              </w:rPr>
              <w:t>0</w:t>
            </w:r>
          </w:p>
        </w:tc>
        <w:tc>
          <w:tcPr>
            <w:tcW w:w="850" w:type="dxa"/>
            <w:tcBorders>
              <w:top w:val="single" w:sz="2" w:space="0" w:color="886E49"/>
            </w:tcBorders>
            <w:hideMark/>
          </w:tcPr>
          <w:p w14:paraId="5460AB7B" w14:textId="77777777" w:rsidR="00B8248E" w:rsidRPr="00236684" w:rsidRDefault="00B8248E" w:rsidP="00035553">
            <w:pPr>
              <w:pStyle w:val="NormalWeb"/>
              <w:jc w:val="center"/>
              <w:rPr>
                <w:sz w:val="18"/>
                <w:szCs w:val="18"/>
              </w:rPr>
            </w:pPr>
            <w:r w:rsidRPr="00236684">
              <w:rPr>
                <w:sz w:val="18"/>
                <w:szCs w:val="18"/>
              </w:rPr>
              <w:t>0</w:t>
            </w:r>
          </w:p>
        </w:tc>
        <w:tc>
          <w:tcPr>
            <w:tcW w:w="851" w:type="dxa"/>
            <w:tcBorders>
              <w:top w:val="single" w:sz="2" w:space="0" w:color="886E49"/>
            </w:tcBorders>
            <w:hideMark/>
          </w:tcPr>
          <w:p w14:paraId="1B9F6AE6" w14:textId="77777777" w:rsidR="00B8248E" w:rsidRPr="00236684" w:rsidRDefault="00B8248E" w:rsidP="00035553">
            <w:pPr>
              <w:pStyle w:val="NormalWeb"/>
              <w:jc w:val="center"/>
              <w:rPr>
                <w:sz w:val="18"/>
                <w:szCs w:val="18"/>
              </w:rPr>
            </w:pPr>
            <w:r w:rsidRPr="00236684">
              <w:rPr>
                <w:sz w:val="18"/>
                <w:szCs w:val="18"/>
              </w:rPr>
              <w:t>0</w:t>
            </w:r>
          </w:p>
        </w:tc>
        <w:tc>
          <w:tcPr>
            <w:tcW w:w="942" w:type="dxa"/>
            <w:tcBorders>
              <w:top w:val="single" w:sz="2" w:space="0" w:color="886E49"/>
            </w:tcBorders>
            <w:hideMark/>
          </w:tcPr>
          <w:p w14:paraId="4DD4AB88" w14:textId="77777777" w:rsidR="00B8248E" w:rsidRPr="00236684" w:rsidRDefault="00B8248E" w:rsidP="00035553">
            <w:pPr>
              <w:pStyle w:val="NormalWeb"/>
              <w:jc w:val="center"/>
              <w:rPr>
                <w:sz w:val="18"/>
                <w:szCs w:val="18"/>
              </w:rPr>
            </w:pPr>
            <w:r w:rsidRPr="00236684">
              <w:rPr>
                <w:sz w:val="18"/>
                <w:szCs w:val="18"/>
              </w:rPr>
              <w:t>0</w:t>
            </w:r>
          </w:p>
        </w:tc>
      </w:tr>
      <w:tr w:rsidR="00B8248E" w:rsidRPr="00236684" w14:paraId="20F4583B" w14:textId="77777777" w:rsidTr="0003555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19070A58" w14:textId="77777777" w:rsidR="00B8248E" w:rsidRPr="00236684" w:rsidRDefault="00B8248E" w:rsidP="00035553">
            <w:pPr>
              <w:pStyle w:val="NormalWeb"/>
              <w:rPr>
                <w:sz w:val="18"/>
                <w:szCs w:val="18"/>
              </w:rPr>
            </w:pPr>
            <w:r w:rsidRPr="00236684">
              <w:rPr>
                <w:sz w:val="18"/>
                <w:szCs w:val="18"/>
              </w:rPr>
              <w:t>Chronic comorbidities</w:t>
            </w:r>
          </w:p>
        </w:tc>
        <w:tc>
          <w:tcPr>
            <w:tcW w:w="1275" w:type="dxa"/>
            <w:hideMark/>
          </w:tcPr>
          <w:p w14:paraId="3E2498C7" w14:textId="77777777" w:rsidR="00B8248E" w:rsidRPr="00236684" w:rsidRDefault="00B8248E" w:rsidP="00035553">
            <w:pPr>
              <w:pStyle w:val="NormalWeb"/>
              <w:jc w:val="center"/>
              <w:rPr>
                <w:sz w:val="18"/>
                <w:szCs w:val="18"/>
              </w:rPr>
            </w:pPr>
            <w:r w:rsidRPr="00236684">
              <w:rPr>
                <w:sz w:val="18"/>
                <w:szCs w:val="18"/>
              </w:rPr>
              <w:t>11</w:t>
            </w:r>
          </w:p>
        </w:tc>
        <w:tc>
          <w:tcPr>
            <w:tcW w:w="993" w:type="dxa"/>
            <w:hideMark/>
          </w:tcPr>
          <w:p w14:paraId="1D05D6B9" w14:textId="77777777" w:rsidR="00B8248E" w:rsidRPr="00236684" w:rsidRDefault="00B8248E" w:rsidP="00035553">
            <w:pPr>
              <w:pStyle w:val="NormalWeb"/>
              <w:jc w:val="center"/>
              <w:rPr>
                <w:sz w:val="18"/>
                <w:szCs w:val="18"/>
              </w:rPr>
            </w:pPr>
            <w:r w:rsidRPr="00236684">
              <w:rPr>
                <w:sz w:val="18"/>
                <w:szCs w:val="18"/>
              </w:rPr>
              <w:t>58</w:t>
            </w:r>
          </w:p>
        </w:tc>
        <w:tc>
          <w:tcPr>
            <w:tcW w:w="1134" w:type="dxa"/>
            <w:hideMark/>
          </w:tcPr>
          <w:p w14:paraId="040B352D"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3D03BB24"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532F2BF8" w14:textId="77777777" w:rsidR="00B8248E" w:rsidRPr="00236684" w:rsidRDefault="00B8248E" w:rsidP="00035553">
            <w:pPr>
              <w:pStyle w:val="NormalWeb"/>
              <w:jc w:val="center"/>
              <w:rPr>
                <w:sz w:val="18"/>
                <w:szCs w:val="18"/>
              </w:rPr>
            </w:pPr>
            <w:r w:rsidRPr="00236684">
              <w:rPr>
                <w:sz w:val="18"/>
                <w:szCs w:val="18"/>
              </w:rPr>
              <w:t>11</w:t>
            </w:r>
          </w:p>
        </w:tc>
        <w:tc>
          <w:tcPr>
            <w:tcW w:w="942" w:type="dxa"/>
            <w:hideMark/>
          </w:tcPr>
          <w:p w14:paraId="53B6A568" w14:textId="77777777" w:rsidR="00B8248E" w:rsidRPr="00236684" w:rsidRDefault="00B8248E" w:rsidP="00035553">
            <w:pPr>
              <w:pStyle w:val="NormalWeb"/>
              <w:jc w:val="center"/>
              <w:rPr>
                <w:sz w:val="18"/>
                <w:szCs w:val="18"/>
              </w:rPr>
            </w:pPr>
            <w:r w:rsidRPr="00236684">
              <w:rPr>
                <w:sz w:val="18"/>
                <w:szCs w:val="18"/>
              </w:rPr>
              <w:t>55</w:t>
            </w:r>
          </w:p>
        </w:tc>
      </w:tr>
      <w:tr w:rsidR="00B8248E" w:rsidRPr="00236684" w14:paraId="08E42711" w14:textId="77777777" w:rsidTr="00035553">
        <w:tblPrEx>
          <w:tblCellMar>
            <w:top w:w="57" w:type="dxa"/>
            <w:left w:w="57" w:type="dxa"/>
            <w:bottom w:w="57" w:type="dxa"/>
            <w:right w:w="57" w:type="dxa"/>
          </w:tblCellMar>
        </w:tblPrEx>
        <w:tc>
          <w:tcPr>
            <w:tcW w:w="4395" w:type="dxa"/>
            <w:hideMark/>
          </w:tcPr>
          <w:p w14:paraId="58E993EB" w14:textId="77777777" w:rsidR="00B8248E" w:rsidRPr="00236684" w:rsidRDefault="00B8248E" w:rsidP="00035553">
            <w:pPr>
              <w:pStyle w:val="NormalWeb"/>
              <w:rPr>
                <w:sz w:val="18"/>
                <w:szCs w:val="18"/>
              </w:rPr>
            </w:pPr>
            <w:r w:rsidRPr="00236684">
              <w:rPr>
                <w:sz w:val="18"/>
                <w:szCs w:val="18"/>
              </w:rPr>
              <w:t>Chronic respiratory illness</w:t>
            </w:r>
          </w:p>
        </w:tc>
        <w:tc>
          <w:tcPr>
            <w:tcW w:w="1275" w:type="dxa"/>
            <w:hideMark/>
          </w:tcPr>
          <w:p w14:paraId="13DC78F6" w14:textId="77777777" w:rsidR="00B8248E" w:rsidRPr="00236684" w:rsidRDefault="00B8248E" w:rsidP="00035553">
            <w:pPr>
              <w:pStyle w:val="NormalWeb"/>
              <w:jc w:val="center"/>
              <w:rPr>
                <w:sz w:val="18"/>
                <w:szCs w:val="18"/>
              </w:rPr>
            </w:pPr>
            <w:r w:rsidRPr="00236684">
              <w:rPr>
                <w:sz w:val="18"/>
                <w:szCs w:val="18"/>
              </w:rPr>
              <w:t>3</w:t>
            </w:r>
          </w:p>
        </w:tc>
        <w:tc>
          <w:tcPr>
            <w:tcW w:w="993" w:type="dxa"/>
            <w:hideMark/>
          </w:tcPr>
          <w:p w14:paraId="0C194000" w14:textId="77777777" w:rsidR="00B8248E" w:rsidRPr="00236684" w:rsidRDefault="00B8248E" w:rsidP="00035553">
            <w:pPr>
              <w:pStyle w:val="NormalWeb"/>
              <w:jc w:val="center"/>
              <w:rPr>
                <w:sz w:val="18"/>
                <w:szCs w:val="18"/>
              </w:rPr>
            </w:pPr>
            <w:r w:rsidRPr="00236684">
              <w:rPr>
                <w:sz w:val="18"/>
                <w:szCs w:val="18"/>
              </w:rPr>
              <w:t>16</w:t>
            </w:r>
          </w:p>
        </w:tc>
        <w:tc>
          <w:tcPr>
            <w:tcW w:w="1134" w:type="dxa"/>
            <w:hideMark/>
          </w:tcPr>
          <w:p w14:paraId="3FB8F02E"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34E2E6AF"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7FB89678" w14:textId="77777777" w:rsidR="00B8248E" w:rsidRPr="00236684" w:rsidRDefault="00B8248E" w:rsidP="00035553">
            <w:pPr>
              <w:pStyle w:val="NormalWeb"/>
              <w:jc w:val="center"/>
              <w:rPr>
                <w:sz w:val="18"/>
                <w:szCs w:val="18"/>
              </w:rPr>
            </w:pPr>
            <w:r w:rsidRPr="00236684">
              <w:rPr>
                <w:sz w:val="18"/>
                <w:szCs w:val="18"/>
              </w:rPr>
              <w:t>3</w:t>
            </w:r>
          </w:p>
        </w:tc>
        <w:tc>
          <w:tcPr>
            <w:tcW w:w="942" w:type="dxa"/>
            <w:hideMark/>
          </w:tcPr>
          <w:p w14:paraId="6771840F" w14:textId="77777777" w:rsidR="00B8248E" w:rsidRPr="00236684" w:rsidRDefault="00B8248E" w:rsidP="00035553">
            <w:pPr>
              <w:pStyle w:val="NormalWeb"/>
              <w:jc w:val="center"/>
              <w:rPr>
                <w:sz w:val="18"/>
                <w:szCs w:val="18"/>
              </w:rPr>
            </w:pPr>
            <w:r w:rsidRPr="00236684">
              <w:rPr>
                <w:sz w:val="18"/>
                <w:szCs w:val="18"/>
              </w:rPr>
              <w:t>15</w:t>
            </w:r>
          </w:p>
        </w:tc>
      </w:tr>
      <w:tr w:rsidR="00B8248E" w:rsidRPr="00236684" w14:paraId="423C5A6B" w14:textId="77777777" w:rsidTr="0003555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33BB7511" w14:textId="77777777" w:rsidR="00B8248E" w:rsidRPr="00236684" w:rsidRDefault="00B8248E" w:rsidP="00035553">
            <w:pPr>
              <w:pStyle w:val="NormalWeb"/>
              <w:rPr>
                <w:sz w:val="18"/>
                <w:szCs w:val="18"/>
              </w:rPr>
            </w:pPr>
            <w:r w:rsidRPr="00236684">
              <w:rPr>
                <w:sz w:val="18"/>
                <w:szCs w:val="18"/>
              </w:rPr>
              <w:t>Diabetes</w:t>
            </w:r>
          </w:p>
        </w:tc>
        <w:tc>
          <w:tcPr>
            <w:tcW w:w="1275" w:type="dxa"/>
            <w:hideMark/>
          </w:tcPr>
          <w:p w14:paraId="3986E85D" w14:textId="77777777" w:rsidR="00B8248E" w:rsidRPr="00236684" w:rsidRDefault="00B8248E" w:rsidP="00035553">
            <w:pPr>
              <w:pStyle w:val="NormalWeb"/>
              <w:jc w:val="center"/>
              <w:rPr>
                <w:sz w:val="18"/>
                <w:szCs w:val="18"/>
              </w:rPr>
            </w:pPr>
            <w:r w:rsidRPr="00236684">
              <w:rPr>
                <w:sz w:val="18"/>
                <w:szCs w:val="18"/>
              </w:rPr>
              <w:t>2</w:t>
            </w:r>
          </w:p>
        </w:tc>
        <w:tc>
          <w:tcPr>
            <w:tcW w:w="993" w:type="dxa"/>
            <w:hideMark/>
          </w:tcPr>
          <w:p w14:paraId="078D13CD" w14:textId="77777777" w:rsidR="00B8248E" w:rsidRPr="00236684" w:rsidRDefault="00B8248E" w:rsidP="00035553">
            <w:pPr>
              <w:pStyle w:val="NormalWeb"/>
              <w:jc w:val="center"/>
              <w:rPr>
                <w:sz w:val="18"/>
                <w:szCs w:val="18"/>
              </w:rPr>
            </w:pPr>
            <w:r w:rsidRPr="00236684">
              <w:rPr>
                <w:sz w:val="18"/>
                <w:szCs w:val="18"/>
              </w:rPr>
              <w:t>11</w:t>
            </w:r>
          </w:p>
        </w:tc>
        <w:tc>
          <w:tcPr>
            <w:tcW w:w="1134" w:type="dxa"/>
            <w:hideMark/>
          </w:tcPr>
          <w:p w14:paraId="4A3D550C"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2DF48254"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1838A99C" w14:textId="77777777" w:rsidR="00B8248E" w:rsidRPr="00236684" w:rsidRDefault="00B8248E" w:rsidP="00035553">
            <w:pPr>
              <w:pStyle w:val="NormalWeb"/>
              <w:jc w:val="center"/>
              <w:rPr>
                <w:sz w:val="18"/>
                <w:szCs w:val="18"/>
              </w:rPr>
            </w:pPr>
            <w:r w:rsidRPr="00236684">
              <w:rPr>
                <w:sz w:val="18"/>
                <w:szCs w:val="18"/>
              </w:rPr>
              <w:t>2</w:t>
            </w:r>
          </w:p>
        </w:tc>
        <w:tc>
          <w:tcPr>
            <w:tcW w:w="942" w:type="dxa"/>
            <w:hideMark/>
          </w:tcPr>
          <w:p w14:paraId="50CF7806" w14:textId="77777777" w:rsidR="00B8248E" w:rsidRPr="00236684" w:rsidRDefault="00B8248E" w:rsidP="00035553">
            <w:pPr>
              <w:pStyle w:val="NormalWeb"/>
              <w:jc w:val="center"/>
              <w:rPr>
                <w:sz w:val="18"/>
                <w:szCs w:val="18"/>
              </w:rPr>
            </w:pPr>
            <w:r w:rsidRPr="00236684">
              <w:rPr>
                <w:sz w:val="18"/>
                <w:szCs w:val="18"/>
              </w:rPr>
              <w:t>10</w:t>
            </w:r>
          </w:p>
        </w:tc>
      </w:tr>
      <w:tr w:rsidR="00B8248E" w:rsidRPr="00236684" w14:paraId="43E8614D" w14:textId="77777777" w:rsidTr="00035553">
        <w:tblPrEx>
          <w:tblCellMar>
            <w:top w:w="57" w:type="dxa"/>
            <w:left w:w="57" w:type="dxa"/>
            <w:bottom w:w="57" w:type="dxa"/>
            <w:right w:w="57" w:type="dxa"/>
          </w:tblCellMar>
        </w:tblPrEx>
        <w:tc>
          <w:tcPr>
            <w:tcW w:w="4395" w:type="dxa"/>
            <w:hideMark/>
          </w:tcPr>
          <w:p w14:paraId="2065855A" w14:textId="77777777" w:rsidR="00B8248E" w:rsidRPr="00236684" w:rsidRDefault="00B8248E" w:rsidP="00035553">
            <w:pPr>
              <w:pStyle w:val="NormalWeb"/>
              <w:rPr>
                <w:sz w:val="18"/>
                <w:szCs w:val="18"/>
              </w:rPr>
            </w:pPr>
            <w:r w:rsidRPr="00236684">
              <w:rPr>
                <w:sz w:val="18"/>
                <w:szCs w:val="18"/>
              </w:rPr>
              <w:t>Chronic liver disease</w:t>
            </w:r>
          </w:p>
        </w:tc>
        <w:tc>
          <w:tcPr>
            <w:tcW w:w="1275" w:type="dxa"/>
            <w:hideMark/>
          </w:tcPr>
          <w:p w14:paraId="71B9964C" w14:textId="77777777" w:rsidR="00B8248E" w:rsidRPr="00236684" w:rsidRDefault="00B8248E" w:rsidP="00035553">
            <w:pPr>
              <w:pStyle w:val="NormalWeb"/>
              <w:jc w:val="center"/>
              <w:rPr>
                <w:sz w:val="18"/>
                <w:szCs w:val="18"/>
              </w:rPr>
            </w:pPr>
            <w:r w:rsidRPr="00236684">
              <w:rPr>
                <w:sz w:val="18"/>
                <w:szCs w:val="18"/>
              </w:rPr>
              <w:t>1</w:t>
            </w:r>
          </w:p>
        </w:tc>
        <w:tc>
          <w:tcPr>
            <w:tcW w:w="993" w:type="dxa"/>
            <w:hideMark/>
          </w:tcPr>
          <w:p w14:paraId="77C7E22F" w14:textId="77777777" w:rsidR="00B8248E" w:rsidRPr="00236684" w:rsidRDefault="00B8248E" w:rsidP="00035553">
            <w:pPr>
              <w:pStyle w:val="NormalWeb"/>
              <w:jc w:val="center"/>
              <w:rPr>
                <w:sz w:val="18"/>
                <w:szCs w:val="18"/>
              </w:rPr>
            </w:pPr>
            <w:r w:rsidRPr="00236684">
              <w:rPr>
                <w:sz w:val="18"/>
                <w:szCs w:val="18"/>
              </w:rPr>
              <w:t>5</w:t>
            </w:r>
          </w:p>
        </w:tc>
        <w:tc>
          <w:tcPr>
            <w:tcW w:w="1134" w:type="dxa"/>
            <w:hideMark/>
          </w:tcPr>
          <w:p w14:paraId="4A3D1996"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250B7AB7"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446F958C" w14:textId="77777777" w:rsidR="00B8248E" w:rsidRPr="00236684" w:rsidRDefault="00B8248E" w:rsidP="00035553">
            <w:pPr>
              <w:pStyle w:val="NormalWeb"/>
              <w:jc w:val="center"/>
              <w:rPr>
                <w:sz w:val="18"/>
                <w:szCs w:val="18"/>
              </w:rPr>
            </w:pPr>
            <w:r w:rsidRPr="00236684">
              <w:rPr>
                <w:sz w:val="18"/>
                <w:szCs w:val="18"/>
              </w:rPr>
              <w:t>1</w:t>
            </w:r>
          </w:p>
        </w:tc>
        <w:tc>
          <w:tcPr>
            <w:tcW w:w="942" w:type="dxa"/>
            <w:hideMark/>
          </w:tcPr>
          <w:p w14:paraId="07C8F840" w14:textId="77777777" w:rsidR="00B8248E" w:rsidRPr="00236684" w:rsidRDefault="00B8248E" w:rsidP="00035553">
            <w:pPr>
              <w:pStyle w:val="NormalWeb"/>
              <w:jc w:val="center"/>
              <w:rPr>
                <w:sz w:val="18"/>
                <w:szCs w:val="18"/>
              </w:rPr>
            </w:pPr>
            <w:r w:rsidRPr="00236684">
              <w:rPr>
                <w:sz w:val="18"/>
                <w:szCs w:val="18"/>
              </w:rPr>
              <w:t>5</w:t>
            </w:r>
          </w:p>
        </w:tc>
      </w:tr>
      <w:tr w:rsidR="00B8248E" w:rsidRPr="00236684" w14:paraId="4042BD51" w14:textId="77777777" w:rsidTr="0003555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44E9ADB3" w14:textId="77777777" w:rsidR="00B8248E" w:rsidRPr="00236684" w:rsidRDefault="00B8248E" w:rsidP="00035553">
            <w:pPr>
              <w:pStyle w:val="NormalWeb"/>
              <w:rPr>
                <w:sz w:val="18"/>
                <w:szCs w:val="18"/>
              </w:rPr>
            </w:pPr>
            <w:r w:rsidRPr="00236684">
              <w:rPr>
                <w:sz w:val="18"/>
                <w:szCs w:val="18"/>
              </w:rPr>
              <w:t>Immunosuppressed</w:t>
            </w:r>
          </w:p>
        </w:tc>
        <w:tc>
          <w:tcPr>
            <w:tcW w:w="1275" w:type="dxa"/>
            <w:hideMark/>
          </w:tcPr>
          <w:p w14:paraId="53B986FD" w14:textId="77777777" w:rsidR="00B8248E" w:rsidRPr="00236684" w:rsidRDefault="00B8248E" w:rsidP="00035553">
            <w:pPr>
              <w:pStyle w:val="NormalWeb"/>
              <w:jc w:val="center"/>
              <w:rPr>
                <w:sz w:val="18"/>
                <w:szCs w:val="18"/>
              </w:rPr>
            </w:pPr>
            <w:r w:rsidRPr="00236684">
              <w:rPr>
                <w:sz w:val="18"/>
                <w:szCs w:val="18"/>
              </w:rPr>
              <w:t>1</w:t>
            </w:r>
          </w:p>
        </w:tc>
        <w:tc>
          <w:tcPr>
            <w:tcW w:w="993" w:type="dxa"/>
            <w:hideMark/>
          </w:tcPr>
          <w:p w14:paraId="0F7C8562" w14:textId="77777777" w:rsidR="00B8248E" w:rsidRPr="00236684" w:rsidRDefault="00B8248E" w:rsidP="00035553">
            <w:pPr>
              <w:pStyle w:val="NormalWeb"/>
              <w:jc w:val="center"/>
              <w:rPr>
                <w:sz w:val="18"/>
                <w:szCs w:val="18"/>
              </w:rPr>
            </w:pPr>
            <w:r w:rsidRPr="00236684">
              <w:rPr>
                <w:sz w:val="18"/>
                <w:szCs w:val="18"/>
              </w:rPr>
              <w:t>5</w:t>
            </w:r>
          </w:p>
        </w:tc>
        <w:tc>
          <w:tcPr>
            <w:tcW w:w="1134" w:type="dxa"/>
            <w:hideMark/>
          </w:tcPr>
          <w:p w14:paraId="3715C28A"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58D4FBFA"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7DD38979" w14:textId="77777777" w:rsidR="00B8248E" w:rsidRPr="00236684" w:rsidRDefault="00B8248E" w:rsidP="00035553">
            <w:pPr>
              <w:pStyle w:val="NormalWeb"/>
              <w:jc w:val="center"/>
              <w:rPr>
                <w:sz w:val="18"/>
                <w:szCs w:val="18"/>
              </w:rPr>
            </w:pPr>
            <w:r w:rsidRPr="00236684">
              <w:rPr>
                <w:sz w:val="18"/>
                <w:szCs w:val="18"/>
              </w:rPr>
              <w:t>1</w:t>
            </w:r>
          </w:p>
        </w:tc>
        <w:tc>
          <w:tcPr>
            <w:tcW w:w="942" w:type="dxa"/>
            <w:hideMark/>
          </w:tcPr>
          <w:p w14:paraId="374DD720" w14:textId="77777777" w:rsidR="00B8248E" w:rsidRPr="00236684" w:rsidRDefault="00B8248E" w:rsidP="00035553">
            <w:pPr>
              <w:pStyle w:val="NormalWeb"/>
              <w:jc w:val="center"/>
              <w:rPr>
                <w:sz w:val="18"/>
                <w:szCs w:val="18"/>
              </w:rPr>
            </w:pPr>
            <w:r w:rsidRPr="00236684">
              <w:rPr>
                <w:sz w:val="18"/>
                <w:szCs w:val="18"/>
              </w:rPr>
              <w:t>5</w:t>
            </w:r>
          </w:p>
        </w:tc>
      </w:tr>
      <w:tr w:rsidR="00B8248E" w:rsidRPr="00236684" w14:paraId="7D8B83C0" w14:textId="77777777" w:rsidTr="00035553">
        <w:tblPrEx>
          <w:tblCellMar>
            <w:top w:w="57" w:type="dxa"/>
            <w:left w:w="57" w:type="dxa"/>
            <w:bottom w:w="57" w:type="dxa"/>
            <w:right w:w="57" w:type="dxa"/>
          </w:tblCellMar>
        </w:tblPrEx>
        <w:tc>
          <w:tcPr>
            <w:tcW w:w="4395" w:type="dxa"/>
            <w:hideMark/>
          </w:tcPr>
          <w:p w14:paraId="5B65AC55" w14:textId="77777777" w:rsidR="00B8248E" w:rsidRPr="00236684" w:rsidRDefault="00B8248E" w:rsidP="00035553">
            <w:pPr>
              <w:pStyle w:val="NormalWeb"/>
              <w:rPr>
                <w:sz w:val="18"/>
                <w:szCs w:val="18"/>
              </w:rPr>
            </w:pPr>
            <w:r w:rsidRPr="00236684">
              <w:rPr>
                <w:sz w:val="18"/>
                <w:szCs w:val="18"/>
              </w:rPr>
              <w:t>Malignancy</w:t>
            </w:r>
          </w:p>
        </w:tc>
        <w:tc>
          <w:tcPr>
            <w:tcW w:w="1275" w:type="dxa"/>
            <w:hideMark/>
          </w:tcPr>
          <w:p w14:paraId="669125E6" w14:textId="77777777" w:rsidR="00B8248E" w:rsidRPr="00236684" w:rsidRDefault="00B8248E" w:rsidP="00035553">
            <w:pPr>
              <w:pStyle w:val="NormalWeb"/>
              <w:jc w:val="center"/>
              <w:rPr>
                <w:sz w:val="18"/>
                <w:szCs w:val="18"/>
              </w:rPr>
            </w:pPr>
            <w:r w:rsidRPr="00236684">
              <w:rPr>
                <w:sz w:val="18"/>
                <w:szCs w:val="18"/>
              </w:rPr>
              <w:t>0</w:t>
            </w:r>
          </w:p>
        </w:tc>
        <w:tc>
          <w:tcPr>
            <w:tcW w:w="993" w:type="dxa"/>
            <w:hideMark/>
          </w:tcPr>
          <w:p w14:paraId="6967CD68" w14:textId="77777777" w:rsidR="00B8248E" w:rsidRPr="00236684" w:rsidRDefault="00B8248E" w:rsidP="00035553">
            <w:pPr>
              <w:pStyle w:val="NormalWeb"/>
              <w:jc w:val="center"/>
              <w:rPr>
                <w:sz w:val="18"/>
                <w:szCs w:val="18"/>
              </w:rPr>
            </w:pPr>
            <w:r w:rsidRPr="00236684">
              <w:rPr>
                <w:sz w:val="18"/>
                <w:szCs w:val="18"/>
              </w:rPr>
              <w:t>0</w:t>
            </w:r>
          </w:p>
        </w:tc>
        <w:tc>
          <w:tcPr>
            <w:tcW w:w="1134" w:type="dxa"/>
            <w:hideMark/>
          </w:tcPr>
          <w:p w14:paraId="4E3FFB5A"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079A8D1B"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4F23FD61" w14:textId="77777777" w:rsidR="00B8248E" w:rsidRPr="00236684" w:rsidRDefault="00B8248E" w:rsidP="00035553">
            <w:pPr>
              <w:pStyle w:val="NormalWeb"/>
              <w:jc w:val="center"/>
              <w:rPr>
                <w:sz w:val="18"/>
                <w:szCs w:val="18"/>
              </w:rPr>
            </w:pPr>
            <w:r w:rsidRPr="00236684">
              <w:rPr>
                <w:sz w:val="18"/>
                <w:szCs w:val="18"/>
              </w:rPr>
              <w:t>0</w:t>
            </w:r>
          </w:p>
        </w:tc>
        <w:tc>
          <w:tcPr>
            <w:tcW w:w="942" w:type="dxa"/>
            <w:hideMark/>
          </w:tcPr>
          <w:p w14:paraId="32BC5166" w14:textId="77777777" w:rsidR="00B8248E" w:rsidRPr="00236684" w:rsidRDefault="00B8248E" w:rsidP="00035553">
            <w:pPr>
              <w:pStyle w:val="NormalWeb"/>
              <w:jc w:val="center"/>
              <w:rPr>
                <w:sz w:val="18"/>
                <w:szCs w:val="18"/>
              </w:rPr>
            </w:pPr>
            <w:r w:rsidRPr="00236684">
              <w:rPr>
                <w:sz w:val="18"/>
                <w:szCs w:val="18"/>
              </w:rPr>
              <w:t>0</w:t>
            </w:r>
          </w:p>
        </w:tc>
      </w:tr>
      <w:tr w:rsidR="00B8248E" w:rsidRPr="00236684" w14:paraId="26A0FE41" w14:textId="77777777" w:rsidTr="0003555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6C4A6AD0" w14:textId="77777777" w:rsidR="00B8248E" w:rsidRPr="00236684" w:rsidRDefault="00B8248E" w:rsidP="00035553">
            <w:pPr>
              <w:pStyle w:val="NormalWeb"/>
              <w:rPr>
                <w:sz w:val="18"/>
                <w:szCs w:val="18"/>
              </w:rPr>
            </w:pPr>
            <w:r w:rsidRPr="00236684">
              <w:rPr>
                <w:sz w:val="18"/>
                <w:szCs w:val="18"/>
              </w:rPr>
              <w:t>Chronic cardiac disease</w:t>
            </w:r>
          </w:p>
        </w:tc>
        <w:tc>
          <w:tcPr>
            <w:tcW w:w="1275" w:type="dxa"/>
            <w:hideMark/>
          </w:tcPr>
          <w:p w14:paraId="7DF09662" w14:textId="77777777" w:rsidR="00B8248E" w:rsidRPr="00236684" w:rsidRDefault="00B8248E" w:rsidP="00035553">
            <w:pPr>
              <w:pStyle w:val="NormalWeb"/>
              <w:jc w:val="center"/>
              <w:rPr>
                <w:sz w:val="18"/>
                <w:szCs w:val="18"/>
              </w:rPr>
            </w:pPr>
            <w:r w:rsidRPr="00236684">
              <w:rPr>
                <w:sz w:val="18"/>
                <w:szCs w:val="18"/>
              </w:rPr>
              <w:t>4</w:t>
            </w:r>
          </w:p>
        </w:tc>
        <w:tc>
          <w:tcPr>
            <w:tcW w:w="993" w:type="dxa"/>
            <w:hideMark/>
          </w:tcPr>
          <w:p w14:paraId="11C6324D" w14:textId="77777777" w:rsidR="00B8248E" w:rsidRPr="00236684" w:rsidRDefault="00B8248E" w:rsidP="00035553">
            <w:pPr>
              <w:pStyle w:val="NormalWeb"/>
              <w:jc w:val="center"/>
              <w:rPr>
                <w:sz w:val="18"/>
                <w:szCs w:val="18"/>
              </w:rPr>
            </w:pPr>
            <w:r w:rsidRPr="00236684">
              <w:rPr>
                <w:sz w:val="18"/>
                <w:szCs w:val="18"/>
              </w:rPr>
              <w:t>21</w:t>
            </w:r>
          </w:p>
        </w:tc>
        <w:tc>
          <w:tcPr>
            <w:tcW w:w="1134" w:type="dxa"/>
            <w:hideMark/>
          </w:tcPr>
          <w:p w14:paraId="7B8481D2"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25754AEE"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1FC846D5" w14:textId="77777777" w:rsidR="00B8248E" w:rsidRPr="00236684" w:rsidRDefault="00B8248E" w:rsidP="00035553">
            <w:pPr>
              <w:pStyle w:val="NormalWeb"/>
              <w:jc w:val="center"/>
              <w:rPr>
                <w:sz w:val="18"/>
                <w:szCs w:val="18"/>
              </w:rPr>
            </w:pPr>
            <w:r w:rsidRPr="00236684">
              <w:rPr>
                <w:sz w:val="18"/>
                <w:szCs w:val="18"/>
              </w:rPr>
              <w:t>4</w:t>
            </w:r>
          </w:p>
        </w:tc>
        <w:tc>
          <w:tcPr>
            <w:tcW w:w="942" w:type="dxa"/>
            <w:hideMark/>
          </w:tcPr>
          <w:p w14:paraId="61521FF6" w14:textId="77777777" w:rsidR="00B8248E" w:rsidRPr="00236684" w:rsidRDefault="00B8248E" w:rsidP="00035553">
            <w:pPr>
              <w:pStyle w:val="NormalWeb"/>
              <w:jc w:val="center"/>
              <w:rPr>
                <w:sz w:val="18"/>
                <w:szCs w:val="18"/>
              </w:rPr>
            </w:pPr>
            <w:r w:rsidRPr="00236684">
              <w:rPr>
                <w:sz w:val="18"/>
                <w:szCs w:val="18"/>
              </w:rPr>
              <w:t>20</w:t>
            </w:r>
          </w:p>
        </w:tc>
      </w:tr>
      <w:tr w:rsidR="00B8248E" w:rsidRPr="00236684" w14:paraId="24ABFF94" w14:textId="77777777" w:rsidTr="00035553">
        <w:tblPrEx>
          <w:tblCellMar>
            <w:top w:w="57" w:type="dxa"/>
            <w:left w:w="57" w:type="dxa"/>
            <w:bottom w:w="57" w:type="dxa"/>
            <w:right w:w="57" w:type="dxa"/>
          </w:tblCellMar>
        </w:tblPrEx>
        <w:tc>
          <w:tcPr>
            <w:tcW w:w="4395" w:type="dxa"/>
            <w:hideMark/>
          </w:tcPr>
          <w:p w14:paraId="0946CDF2" w14:textId="77777777" w:rsidR="00B8248E" w:rsidRPr="00236684" w:rsidRDefault="00B8248E" w:rsidP="00035553">
            <w:pPr>
              <w:pStyle w:val="NormalWeb"/>
              <w:rPr>
                <w:sz w:val="18"/>
                <w:szCs w:val="18"/>
              </w:rPr>
            </w:pPr>
            <w:r w:rsidRPr="00236684">
              <w:rPr>
                <w:sz w:val="18"/>
                <w:szCs w:val="18"/>
              </w:rPr>
              <w:t>Obesity</w:t>
            </w:r>
          </w:p>
        </w:tc>
        <w:tc>
          <w:tcPr>
            <w:tcW w:w="1275" w:type="dxa"/>
            <w:hideMark/>
          </w:tcPr>
          <w:p w14:paraId="7C577794" w14:textId="77777777" w:rsidR="00B8248E" w:rsidRPr="00236684" w:rsidRDefault="00B8248E" w:rsidP="00035553">
            <w:pPr>
              <w:pStyle w:val="NormalWeb"/>
              <w:jc w:val="center"/>
              <w:rPr>
                <w:sz w:val="18"/>
                <w:szCs w:val="18"/>
              </w:rPr>
            </w:pPr>
            <w:r w:rsidRPr="00236684">
              <w:rPr>
                <w:sz w:val="18"/>
                <w:szCs w:val="18"/>
              </w:rPr>
              <w:t>1</w:t>
            </w:r>
          </w:p>
        </w:tc>
        <w:tc>
          <w:tcPr>
            <w:tcW w:w="993" w:type="dxa"/>
            <w:hideMark/>
          </w:tcPr>
          <w:p w14:paraId="42937196" w14:textId="77777777" w:rsidR="00B8248E" w:rsidRPr="00236684" w:rsidRDefault="00B8248E" w:rsidP="00035553">
            <w:pPr>
              <w:pStyle w:val="NormalWeb"/>
              <w:jc w:val="center"/>
              <w:rPr>
                <w:sz w:val="18"/>
                <w:szCs w:val="18"/>
              </w:rPr>
            </w:pPr>
            <w:r w:rsidRPr="00236684">
              <w:rPr>
                <w:sz w:val="18"/>
                <w:szCs w:val="18"/>
              </w:rPr>
              <w:t>5</w:t>
            </w:r>
          </w:p>
        </w:tc>
        <w:tc>
          <w:tcPr>
            <w:tcW w:w="1134" w:type="dxa"/>
            <w:hideMark/>
          </w:tcPr>
          <w:p w14:paraId="2D79550B"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22C060C3"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494CE38B" w14:textId="77777777" w:rsidR="00B8248E" w:rsidRPr="00236684" w:rsidRDefault="00B8248E" w:rsidP="00035553">
            <w:pPr>
              <w:pStyle w:val="NormalWeb"/>
              <w:jc w:val="center"/>
              <w:rPr>
                <w:sz w:val="18"/>
                <w:szCs w:val="18"/>
              </w:rPr>
            </w:pPr>
            <w:r w:rsidRPr="00236684">
              <w:rPr>
                <w:sz w:val="18"/>
                <w:szCs w:val="18"/>
              </w:rPr>
              <w:t>1</w:t>
            </w:r>
          </w:p>
        </w:tc>
        <w:tc>
          <w:tcPr>
            <w:tcW w:w="942" w:type="dxa"/>
            <w:hideMark/>
          </w:tcPr>
          <w:p w14:paraId="25C22902" w14:textId="77777777" w:rsidR="00B8248E" w:rsidRPr="00236684" w:rsidRDefault="00B8248E" w:rsidP="00035553">
            <w:pPr>
              <w:pStyle w:val="NormalWeb"/>
              <w:jc w:val="center"/>
              <w:rPr>
                <w:sz w:val="18"/>
                <w:szCs w:val="18"/>
              </w:rPr>
            </w:pPr>
            <w:r w:rsidRPr="00236684">
              <w:rPr>
                <w:sz w:val="18"/>
                <w:szCs w:val="18"/>
              </w:rPr>
              <w:t>5</w:t>
            </w:r>
          </w:p>
        </w:tc>
      </w:tr>
      <w:tr w:rsidR="00B8248E" w:rsidRPr="00236684" w14:paraId="39066FC3" w14:textId="77777777" w:rsidTr="0003555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7578A009" w14:textId="77777777" w:rsidR="00B8248E" w:rsidRPr="00236684" w:rsidRDefault="00B8248E" w:rsidP="00035553">
            <w:pPr>
              <w:pStyle w:val="NormalWeb"/>
              <w:rPr>
                <w:sz w:val="18"/>
                <w:szCs w:val="18"/>
              </w:rPr>
            </w:pPr>
            <w:r w:rsidRPr="00236684">
              <w:rPr>
                <w:sz w:val="18"/>
                <w:szCs w:val="18"/>
              </w:rPr>
              <w:t>Chronic neurological illness</w:t>
            </w:r>
          </w:p>
        </w:tc>
        <w:tc>
          <w:tcPr>
            <w:tcW w:w="1275" w:type="dxa"/>
            <w:hideMark/>
          </w:tcPr>
          <w:p w14:paraId="2FA08037" w14:textId="77777777" w:rsidR="00B8248E" w:rsidRPr="00236684" w:rsidRDefault="00B8248E" w:rsidP="00035553">
            <w:pPr>
              <w:pStyle w:val="NormalWeb"/>
              <w:jc w:val="center"/>
              <w:rPr>
                <w:sz w:val="18"/>
                <w:szCs w:val="18"/>
              </w:rPr>
            </w:pPr>
            <w:r w:rsidRPr="00236684">
              <w:rPr>
                <w:sz w:val="18"/>
                <w:szCs w:val="18"/>
              </w:rPr>
              <w:t>2</w:t>
            </w:r>
          </w:p>
        </w:tc>
        <w:tc>
          <w:tcPr>
            <w:tcW w:w="993" w:type="dxa"/>
            <w:hideMark/>
          </w:tcPr>
          <w:p w14:paraId="3B639D11" w14:textId="77777777" w:rsidR="00B8248E" w:rsidRPr="00236684" w:rsidRDefault="00B8248E" w:rsidP="00035553">
            <w:pPr>
              <w:pStyle w:val="NormalWeb"/>
              <w:jc w:val="center"/>
              <w:rPr>
                <w:sz w:val="18"/>
                <w:szCs w:val="18"/>
              </w:rPr>
            </w:pPr>
            <w:r w:rsidRPr="00236684">
              <w:rPr>
                <w:sz w:val="18"/>
                <w:szCs w:val="18"/>
              </w:rPr>
              <w:t>11</w:t>
            </w:r>
          </w:p>
        </w:tc>
        <w:tc>
          <w:tcPr>
            <w:tcW w:w="1134" w:type="dxa"/>
            <w:hideMark/>
          </w:tcPr>
          <w:p w14:paraId="778D5BE8"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050BBF1B"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2EAF30F9" w14:textId="77777777" w:rsidR="00B8248E" w:rsidRPr="00236684" w:rsidRDefault="00B8248E" w:rsidP="00035553">
            <w:pPr>
              <w:pStyle w:val="NormalWeb"/>
              <w:jc w:val="center"/>
              <w:rPr>
                <w:sz w:val="18"/>
                <w:szCs w:val="18"/>
              </w:rPr>
            </w:pPr>
            <w:r w:rsidRPr="00236684">
              <w:rPr>
                <w:sz w:val="18"/>
                <w:szCs w:val="18"/>
              </w:rPr>
              <w:t>2</w:t>
            </w:r>
          </w:p>
        </w:tc>
        <w:tc>
          <w:tcPr>
            <w:tcW w:w="942" w:type="dxa"/>
            <w:hideMark/>
          </w:tcPr>
          <w:p w14:paraId="11F682D9" w14:textId="77777777" w:rsidR="00B8248E" w:rsidRPr="00236684" w:rsidRDefault="00B8248E" w:rsidP="00035553">
            <w:pPr>
              <w:pStyle w:val="NormalWeb"/>
              <w:jc w:val="center"/>
              <w:rPr>
                <w:sz w:val="18"/>
                <w:szCs w:val="18"/>
              </w:rPr>
            </w:pPr>
            <w:r w:rsidRPr="00236684">
              <w:rPr>
                <w:sz w:val="18"/>
                <w:szCs w:val="18"/>
              </w:rPr>
              <w:t>10</w:t>
            </w:r>
          </w:p>
        </w:tc>
      </w:tr>
      <w:tr w:rsidR="00B8248E" w:rsidRPr="00236684" w14:paraId="50F81B42" w14:textId="77777777" w:rsidTr="00035553">
        <w:tblPrEx>
          <w:tblCellMar>
            <w:top w:w="57" w:type="dxa"/>
            <w:left w:w="57" w:type="dxa"/>
            <w:bottom w:w="57" w:type="dxa"/>
            <w:right w:w="57" w:type="dxa"/>
          </w:tblCellMar>
        </w:tblPrEx>
        <w:tc>
          <w:tcPr>
            <w:tcW w:w="4395" w:type="dxa"/>
            <w:hideMark/>
          </w:tcPr>
          <w:p w14:paraId="46FA56C5" w14:textId="77777777" w:rsidR="00B8248E" w:rsidRPr="00236684" w:rsidRDefault="00B8248E" w:rsidP="00035553">
            <w:pPr>
              <w:pStyle w:val="NormalWeb"/>
              <w:rPr>
                <w:sz w:val="18"/>
                <w:szCs w:val="18"/>
              </w:rPr>
            </w:pPr>
            <w:r w:rsidRPr="00236684">
              <w:rPr>
                <w:sz w:val="18"/>
                <w:szCs w:val="18"/>
              </w:rPr>
              <w:t>Chronic renal disease</w:t>
            </w:r>
          </w:p>
        </w:tc>
        <w:tc>
          <w:tcPr>
            <w:tcW w:w="1275" w:type="dxa"/>
            <w:hideMark/>
          </w:tcPr>
          <w:p w14:paraId="0CDF8F9F" w14:textId="77777777" w:rsidR="00B8248E" w:rsidRPr="00236684" w:rsidRDefault="00B8248E" w:rsidP="00035553">
            <w:pPr>
              <w:pStyle w:val="NormalWeb"/>
              <w:jc w:val="center"/>
              <w:rPr>
                <w:sz w:val="18"/>
                <w:szCs w:val="18"/>
              </w:rPr>
            </w:pPr>
            <w:r w:rsidRPr="00236684">
              <w:rPr>
                <w:sz w:val="18"/>
                <w:szCs w:val="18"/>
              </w:rPr>
              <w:t>2</w:t>
            </w:r>
          </w:p>
        </w:tc>
        <w:tc>
          <w:tcPr>
            <w:tcW w:w="993" w:type="dxa"/>
            <w:hideMark/>
          </w:tcPr>
          <w:p w14:paraId="7795883F" w14:textId="77777777" w:rsidR="00B8248E" w:rsidRPr="00236684" w:rsidRDefault="00B8248E" w:rsidP="00035553">
            <w:pPr>
              <w:pStyle w:val="NormalWeb"/>
              <w:jc w:val="center"/>
              <w:rPr>
                <w:sz w:val="18"/>
                <w:szCs w:val="18"/>
              </w:rPr>
            </w:pPr>
            <w:r w:rsidRPr="00236684">
              <w:rPr>
                <w:sz w:val="18"/>
                <w:szCs w:val="18"/>
              </w:rPr>
              <w:t>11</w:t>
            </w:r>
          </w:p>
        </w:tc>
        <w:tc>
          <w:tcPr>
            <w:tcW w:w="1134" w:type="dxa"/>
            <w:hideMark/>
          </w:tcPr>
          <w:p w14:paraId="3E98CFA6"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0762E967"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78A0BC94" w14:textId="77777777" w:rsidR="00B8248E" w:rsidRPr="00236684" w:rsidRDefault="00B8248E" w:rsidP="00035553">
            <w:pPr>
              <w:pStyle w:val="NormalWeb"/>
              <w:jc w:val="center"/>
              <w:rPr>
                <w:sz w:val="18"/>
                <w:szCs w:val="18"/>
              </w:rPr>
            </w:pPr>
            <w:r w:rsidRPr="00236684">
              <w:rPr>
                <w:sz w:val="18"/>
                <w:szCs w:val="18"/>
              </w:rPr>
              <w:t>2</w:t>
            </w:r>
          </w:p>
        </w:tc>
        <w:tc>
          <w:tcPr>
            <w:tcW w:w="942" w:type="dxa"/>
            <w:hideMark/>
          </w:tcPr>
          <w:p w14:paraId="496F6164" w14:textId="77777777" w:rsidR="00B8248E" w:rsidRPr="00236684" w:rsidRDefault="00B8248E" w:rsidP="00035553">
            <w:pPr>
              <w:pStyle w:val="NormalWeb"/>
              <w:jc w:val="center"/>
              <w:rPr>
                <w:sz w:val="18"/>
                <w:szCs w:val="18"/>
              </w:rPr>
            </w:pPr>
            <w:r w:rsidRPr="00236684">
              <w:rPr>
                <w:sz w:val="18"/>
                <w:szCs w:val="18"/>
              </w:rPr>
              <w:t>10</w:t>
            </w:r>
          </w:p>
        </w:tc>
      </w:tr>
      <w:tr w:rsidR="00B8248E" w:rsidRPr="00236684" w14:paraId="53B11C93" w14:textId="77777777" w:rsidTr="0003555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593A9C53" w14:textId="77777777" w:rsidR="00B8248E" w:rsidRPr="00236684" w:rsidRDefault="00B8248E" w:rsidP="00035553">
            <w:pPr>
              <w:pStyle w:val="NormalWeb"/>
              <w:rPr>
                <w:sz w:val="18"/>
                <w:szCs w:val="18"/>
              </w:rPr>
            </w:pPr>
            <w:r w:rsidRPr="00236684">
              <w:rPr>
                <w:sz w:val="18"/>
                <w:szCs w:val="18"/>
              </w:rPr>
              <w:t>Nursing home resident</w:t>
            </w:r>
          </w:p>
        </w:tc>
        <w:tc>
          <w:tcPr>
            <w:tcW w:w="1275" w:type="dxa"/>
            <w:hideMark/>
          </w:tcPr>
          <w:p w14:paraId="388C04D4" w14:textId="77777777" w:rsidR="00B8248E" w:rsidRPr="00236684" w:rsidRDefault="00B8248E" w:rsidP="00035553">
            <w:pPr>
              <w:pStyle w:val="NormalWeb"/>
              <w:jc w:val="center"/>
              <w:rPr>
                <w:sz w:val="18"/>
                <w:szCs w:val="18"/>
              </w:rPr>
            </w:pPr>
            <w:r w:rsidRPr="00236684">
              <w:rPr>
                <w:sz w:val="18"/>
                <w:szCs w:val="18"/>
              </w:rPr>
              <w:t>0</w:t>
            </w:r>
          </w:p>
        </w:tc>
        <w:tc>
          <w:tcPr>
            <w:tcW w:w="993" w:type="dxa"/>
            <w:hideMark/>
          </w:tcPr>
          <w:p w14:paraId="6EA20956" w14:textId="77777777" w:rsidR="00B8248E" w:rsidRPr="00236684" w:rsidRDefault="00B8248E" w:rsidP="00035553">
            <w:pPr>
              <w:pStyle w:val="NormalWeb"/>
              <w:jc w:val="center"/>
              <w:rPr>
                <w:sz w:val="18"/>
                <w:szCs w:val="18"/>
              </w:rPr>
            </w:pPr>
            <w:r w:rsidRPr="00236684">
              <w:rPr>
                <w:sz w:val="18"/>
                <w:szCs w:val="18"/>
              </w:rPr>
              <w:t>0</w:t>
            </w:r>
          </w:p>
        </w:tc>
        <w:tc>
          <w:tcPr>
            <w:tcW w:w="1134" w:type="dxa"/>
            <w:hideMark/>
          </w:tcPr>
          <w:p w14:paraId="594D1DA7"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7E7781C8"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49BAC7FF" w14:textId="77777777" w:rsidR="00B8248E" w:rsidRPr="00236684" w:rsidRDefault="00B8248E" w:rsidP="00035553">
            <w:pPr>
              <w:pStyle w:val="NormalWeb"/>
              <w:jc w:val="center"/>
              <w:rPr>
                <w:sz w:val="18"/>
                <w:szCs w:val="18"/>
              </w:rPr>
            </w:pPr>
            <w:r w:rsidRPr="00236684">
              <w:rPr>
                <w:sz w:val="18"/>
                <w:szCs w:val="18"/>
              </w:rPr>
              <w:t>0</w:t>
            </w:r>
          </w:p>
        </w:tc>
        <w:tc>
          <w:tcPr>
            <w:tcW w:w="942" w:type="dxa"/>
            <w:hideMark/>
          </w:tcPr>
          <w:p w14:paraId="1D9762AC" w14:textId="77777777" w:rsidR="00B8248E" w:rsidRPr="00236684" w:rsidRDefault="00B8248E" w:rsidP="00035553">
            <w:pPr>
              <w:pStyle w:val="NormalWeb"/>
              <w:jc w:val="center"/>
              <w:rPr>
                <w:sz w:val="18"/>
                <w:szCs w:val="18"/>
              </w:rPr>
            </w:pPr>
            <w:r w:rsidRPr="00236684">
              <w:rPr>
                <w:sz w:val="18"/>
                <w:szCs w:val="18"/>
              </w:rPr>
              <w:t>0</w:t>
            </w:r>
          </w:p>
        </w:tc>
      </w:tr>
      <w:tr w:rsidR="00B8248E" w:rsidRPr="00236684" w14:paraId="25811CE3" w14:textId="77777777" w:rsidTr="00035553">
        <w:tblPrEx>
          <w:tblCellMar>
            <w:top w:w="57" w:type="dxa"/>
            <w:left w:w="57" w:type="dxa"/>
            <w:bottom w:w="57" w:type="dxa"/>
            <w:right w:w="57" w:type="dxa"/>
          </w:tblCellMar>
        </w:tblPrEx>
        <w:tc>
          <w:tcPr>
            <w:tcW w:w="4395" w:type="dxa"/>
            <w:hideMark/>
          </w:tcPr>
          <w:p w14:paraId="4CA2272B" w14:textId="77777777" w:rsidR="00B8248E" w:rsidRPr="00236684" w:rsidRDefault="00B8248E" w:rsidP="00035553">
            <w:pPr>
              <w:pStyle w:val="NormalWeb"/>
              <w:rPr>
                <w:sz w:val="18"/>
                <w:szCs w:val="18"/>
              </w:rPr>
            </w:pPr>
            <w:r w:rsidRPr="00236684">
              <w:rPr>
                <w:sz w:val="18"/>
                <w:szCs w:val="18"/>
              </w:rPr>
              <w:t>Received influenza vaccine</w:t>
            </w:r>
          </w:p>
        </w:tc>
        <w:tc>
          <w:tcPr>
            <w:tcW w:w="1275" w:type="dxa"/>
            <w:hideMark/>
          </w:tcPr>
          <w:p w14:paraId="03C56874" w14:textId="77777777" w:rsidR="00B8248E" w:rsidRPr="00236684" w:rsidRDefault="00B8248E" w:rsidP="00035553">
            <w:pPr>
              <w:pStyle w:val="NormalWeb"/>
              <w:jc w:val="center"/>
              <w:rPr>
                <w:sz w:val="18"/>
                <w:szCs w:val="18"/>
              </w:rPr>
            </w:pPr>
            <w:r w:rsidRPr="00236684">
              <w:rPr>
                <w:sz w:val="18"/>
                <w:szCs w:val="18"/>
              </w:rPr>
              <w:t>2</w:t>
            </w:r>
          </w:p>
        </w:tc>
        <w:tc>
          <w:tcPr>
            <w:tcW w:w="993" w:type="dxa"/>
            <w:hideMark/>
          </w:tcPr>
          <w:p w14:paraId="4744D6B9" w14:textId="77777777" w:rsidR="00B8248E" w:rsidRPr="00236684" w:rsidRDefault="00B8248E" w:rsidP="00035553">
            <w:pPr>
              <w:pStyle w:val="NormalWeb"/>
              <w:jc w:val="center"/>
              <w:rPr>
                <w:sz w:val="18"/>
                <w:szCs w:val="18"/>
              </w:rPr>
            </w:pPr>
            <w:r w:rsidRPr="00236684">
              <w:rPr>
                <w:sz w:val="18"/>
                <w:szCs w:val="18"/>
              </w:rPr>
              <w:t>15</w:t>
            </w:r>
          </w:p>
        </w:tc>
        <w:tc>
          <w:tcPr>
            <w:tcW w:w="1134" w:type="dxa"/>
            <w:hideMark/>
          </w:tcPr>
          <w:p w14:paraId="36EE53F8"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701825FC"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69762D08" w14:textId="77777777" w:rsidR="00B8248E" w:rsidRPr="00236684" w:rsidRDefault="00B8248E" w:rsidP="00035553">
            <w:pPr>
              <w:pStyle w:val="NormalWeb"/>
              <w:jc w:val="center"/>
              <w:rPr>
                <w:sz w:val="18"/>
                <w:szCs w:val="18"/>
              </w:rPr>
            </w:pPr>
            <w:r w:rsidRPr="00236684">
              <w:rPr>
                <w:sz w:val="18"/>
                <w:szCs w:val="18"/>
              </w:rPr>
              <w:t>2</w:t>
            </w:r>
          </w:p>
        </w:tc>
        <w:tc>
          <w:tcPr>
            <w:tcW w:w="942" w:type="dxa"/>
            <w:hideMark/>
          </w:tcPr>
          <w:p w14:paraId="75AA68BD" w14:textId="77777777" w:rsidR="00B8248E" w:rsidRPr="00236684" w:rsidRDefault="00B8248E" w:rsidP="00035553">
            <w:pPr>
              <w:pStyle w:val="NormalWeb"/>
              <w:jc w:val="center"/>
              <w:rPr>
                <w:sz w:val="18"/>
                <w:szCs w:val="18"/>
              </w:rPr>
            </w:pPr>
            <w:r w:rsidRPr="00236684">
              <w:rPr>
                <w:sz w:val="18"/>
                <w:szCs w:val="18"/>
              </w:rPr>
              <w:t>14</w:t>
            </w:r>
          </w:p>
        </w:tc>
      </w:tr>
      <w:tr w:rsidR="00B8248E" w:rsidRPr="00236684" w14:paraId="246FB32D" w14:textId="77777777" w:rsidTr="0003555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shd w:val="clear" w:color="auto" w:fill="886E49"/>
            <w:hideMark/>
          </w:tcPr>
          <w:p w14:paraId="653DFE9D" w14:textId="77777777" w:rsidR="00B8248E" w:rsidRPr="00236684" w:rsidRDefault="00B8248E" w:rsidP="00035553">
            <w:pPr>
              <w:pStyle w:val="NormalWeb"/>
              <w:rPr>
                <w:b/>
                <w:bCs/>
                <w:color w:val="FFFFFF" w:themeColor="background1"/>
                <w:sz w:val="18"/>
                <w:szCs w:val="18"/>
              </w:rPr>
            </w:pPr>
            <w:r w:rsidRPr="00236684">
              <w:rPr>
                <w:b/>
                <w:bCs/>
                <w:color w:val="FFFFFF" w:themeColor="background1"/>
                <w:sz w:val="18"/>
                <w:szCs w:val="18"/>
              </w:rPr>
              <w:t>Influenza subtype</w:t>
            </w:r>
          </w:p>
        </w:tc>
        <w:tc>
          <w:tcPr>
            <w:tcW w:w="6045" w:type="dxa"/>
            <w:gridSpan w:val="6"/>
            <w:shd w:val="clear" w:color="auto" w:fill="886E49"/>
            <w:hideMark/>
          </w:tcPr>
          <w:p w14:paraId="165DB82F" w14:textId="77777777" w:rsidR="00B8248E" w:rsidRPr="00236684" w:rsidRDefault="00B8248E" w:rsidP="00035553">
            <w:pPr>
              <w:jc w:val="center"/>
              <w:rPr>
                <w:b/>
                <w:bCs/>
                <w:color w:val="FFFFFF" w:themeColor="background1"/>
                <w:sz w:val="18"/>
                <w:szCs w:val="18"/>
              </w:rPr>
            </w:pPr>
          </w:p>
        </w:tc>
      </w:tr>
      <w:tr w:rsidR="00B8248E" w:rsidRPr="00236684" w14:paraId="6F773FED" w14:textId="77777777" w:rsidTr="00035553">
        <w:tblPrEx>
          <w:tblCellMar>
            <w:top w:w="57" w:type="dxa"/>
            <w:left w:w="57" w:type="dxa"/>
            <w:bottom w:w="57" w:type="dxa"/>
            <w:right w:w="57" w:type="dxa"/>
          </w:tblCellMar>
        </w:tblPrEx>
        <w:tc>
          <w:tcPr>
            <w:tcW w:w="4395" w:type="dxa"/>
            <w:hideMark/>
          </w:tcPr>
          <w:p w14:paraId="6C397F7D" w14:textId="77777777" w:rsidR="00B8248E" w:rsidRPr="00236684" w:rsidRDefault="00B8248E" w:rsidP="00035553">
            <w:pPr>
              <w:pStyle w:val="NormalWeb"/>
              <w:rPr>
                <w:sz w:val="18"/>
                <w:szCs w:val="18"/>
              </w:rPr>
            </w:pPr>
            <w:r w:rsidRPr="00236684">
              <w:rPr>
                <w:sz w:val="18"/>
                <w:szCs w:val="18"/>
              </w:rPr>
              <w:t>A/H1N1</w:t>
            </w:r>
          </w:p>
        </w:tc>
        <w:tc>
          <w:tcPr>
            <w:tcW w:w="1275" w:type="dxa"/>
            <w:hideMark/>
          </w:tcPr>
          <w:p w14:paraId="74DCDCD0" w14:textId="77777777" w:rsidR="00B8248E" w:rsidRPr="00236684" w:rsidRDefault="00B8248E" w:rsidP="00035553">
            <w:pPr>
              <w:pStyle w:val="NormalWeb"/>
              <w:jc w:val="center"/>
              <w:rPr>
                <w:sz w:val="18"/>
                <w:szCs w:val="18"/>
              </w:rPr>
            </w:pPr>
            <w:r w:rsidRPr="00236684">
              <w:rPr>
                <w:sz w:val="18"/>
                <w:szCs w:val="18"/>
              </w:rPr>
              <w:t>4</w:t>
            </w:r>
          </w:p>
        </w:tc>
        <w:tc>
          <w:tcPr>
            <w:tcW w:w="993" w:type="dxa"/>
            <w:hideMark/>
          </w:tcPr>
          <w:p w14:paraId="581001E2" w14:textId="77777777" w:rsidR="00B8248E" w:rsidRPr="00236684" w:rsidRDefault="00B8248E" w:rsidP="00035553">
            <w:pPr>
              <w:pStyle w:val="NormalWeb"/>
              <w:jc w:val="center"/>
              <w:rPr>
                <w:sz w:val="18"/>
                <w:szCs w:val="18"/>
              </w:rPr>
            </w:pPr>
            <w:r w:rsidRPr="00236684">
              <w:rPr>
                <w:sz w:val="18"/>
                <w:szCs w:val="18"/>
              </w:rPr>
              <w:t>21</w:t>
            </w:r>
          </w:p>
        </w:tc>
        <w:tc>
          <w:tcPr>
            <w:tcW w:w="1134" w:type="dxa"/>
            <w:hideMark/>
          </w:tcPr>
          <w:p w14:paraId="792531B6" w14:textId="77777777" w:rsidR="00B8248E" w:rsidRPr="00236684" w:rsidRDefault="00B8248E" w:rsidP="00035553">
            <w:pPr>
              <w:pStyle w:val="NormalWeb"/>
              <w:jc w:val="center"/>
              <w:rPr>
                <w:sz w:val="18"/>
                <w:szCs w:val="18"/>
              </w:rPr>
            </w:pPr>
            <w:r w:rsidRPr="00236684">
              <w:rPr>
                <w:sz w:val="18"/>
                <w:szCs w:val="18"/>
              </w:rPr>
              <w:t>1</w:t>
            </w:r>
          </w:p>
        </w:tc>
        <w:tc>
          <w:tcPr>
            <w:tcW w:w="850" w:type="dxa"/>
            <w:hideMark/>
          </w:tcPr>
          <w:p w14:paraId="22F10190" w14:textId="77777777" w:rsidR="00B8248E" w:rsidRPr="00236684" w:rsidRDefault="00B8248E" w:rsidP="00035553">
            <w:pPr>
              <w:pStyle w:val="NormalWeb"/>
              <w:jc w:val="center"/>
              <w:rPr>
                <w:sz w:val="18"/>
                <w:szCs w:val="18"/>
              </w:rPr>
            </w:pPr>
            <w:r w:rsidRPr="00236684">
              <w:rPr>
                <w:sz w:val="18"/>
                <w:szCs w:val="18"/>
              </w:rPr>
              <w:t>100</w:t>
            </w:r>
          </w:p>
        </w:tc>
        <w:tc>
          <w:tcPr>
            <w:tcW w:w="851" w:type="dxa"/>
            <w:hideMark/>
          </w:tcPr>
          <w:p w14:paraId="12D5C144" w14:textId="77777777" w:rsidR="00B8248E" w:rsidRPr="00236684" w:rsidRDefault="00B8248E" w:rsidP="00035553">
            <w:pPr>
              <w:pStyle w:val="NormalWeb"/>
              <w:jc w:val="center"/>
              <w:rPr>
                <w:sz w:val="18"/>
                <w:szCs w:val="18"/>
              </w:rPr>
            </w:pPr>
            <w:r w:rsidRPr="00236684">
              <w:rPr>
                <w:sz w:val="18"/>
                <w:szCs w:val="18"/>
              </w:rPr>
              <w:t>5</w:t>
            </w:r>
          </w:p>
        </w:tc>
        <w:tc>
          <w:tcPr>
            <w:tcW w:w="942" w:type="dxa"/>
            <w:hideMark/>
          </w:tcPr>
          <w:p w14:paraId="2D63F9EA" w14:textId="77777777" w:rsidR="00B8248E" w:rsidRPr="00236684" w:rsidRDefault="00B8248E" w:rsidP="00035553">
            <w:pPr>
              <w:pStyle w:val="NormalWeb"/>
              <w:jc w:val="center"/>
              <w:rPr>
                <w:sz w:val="18"/>
                <w:szCs w:val="18"/>
              </w:rPr>
            </w:pPr>
            <w:r w:rsidRPr="00236684">
              <w:rPr>
                <w:sz w:val="18"/>
                <w:szCs w:val="18"/>
              </w:rPr>
              <w:t>25</w:t>
            </w:r>
          </w:p>
        </w:tc>
      </w:tr>
      <w:tr w:rsidR="00B8248E" w:rsidRPr="00236684" w14:paraId="53240E4C" w14:textId="77777777" w:rsidTr="0003555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4CDC5099" w14:textId="77777777" w:rsidR="00B8248E" w:rsidRPr="00236684" w:rsidRDefault="00B8248E" w:rsidP="00035553">
            <w:pPr>
              <w:pStyle w:val="NormalWeb"/>
              <w:rPr>
                <w:sz w:val="18"/>
                <w:szCs w:val="18"/>
              </w:rPr>
            </w:pPr>
            <w:r w:rsidRPr="00236684">
              <w:rPr>
                <w:sz w:val="18"/>
                <w:szCs w:val="18"/>
              </w:rPr>
              <w:t>A/H3N2</w:t>
            </w:r>
          </w:p>
        </w:tc>
        <w:tc>
          <w:tcPr>
            <w:tcW w:w="1275" w:type="dxa"/>
            <w:hideMark/>
          </w:tcPr>
          <w:p w14:paraId="3B0CCDD5" w14:textId="77777777" w:rsidR="00B8248E" w:rsidRPr="00236684" w:rsidRDefault="00B8248E" w:rsidP="00035553">
            <w:pPr>
              <w:pStyle w:val="NormalWeb"/>
              <w:jc w:val="center"/>
              <w:rPr>
                <w:sz w:val="18"/>
                <w:szCs w:val="18"/>
              </w:rPr>
            </w:pPr>
            <w:r w:rsidRPr="00236684">
              <w:rPr>
                <w:sz w:val="18"/>
                <w:szCs w:val="18"/>
              </w:rPr>
              <w:t>1</w:t>
            </w:r>
          </w:p>
        </w:tc>
        <w:tc>
          <w:tcPr>
            <w:tcW w:w="993" w:type="dxa"/>
            <w:hideMark/>
          </w:tcPr>
          <w:p w14:paraId="75412C75" w14:textId="77777777" w:rsidR="00B8248E" w:rsidRPr="00236684" w:rsidRDefault="00B8248E" w:rsidP="00035553">
            <w:pPr>
              <w:pStyle w:val="NormalWeb"/>
              <w:jc w:val="center"/>
              <w:rPr>
                <w:sz w:val="18"/>
                <w:szCs w:val="18"/>
              </w:rPr>
            </w:pPr>
            <w:r w:rsidRPr="00236684">
              <w:rPr>
                <w:sz w:val="18"/>
                <w:szCs w:val="18"/>
              </w:rPr>
              <w:t>5</w:t>
            </w:r>
          </w:p>
        </w:tc>
        <w:tc>
          <w:tcPr>
            <w:tcW w:w="1134" w:type="dxa"/>
            <w:hideMark/>
          </w:tcPr>
          <w:p w14:paraId="60537AAA"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7D95B6D4"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7393D282" w14:textId="77777777" w:rsidR="00B8248E" w:rsidRPr="00236684" w:rsidRDefault="00B8248E" w:rsidP="00035553">
            <w:pPr>
              <w:pStyle w:val="NormalWeb"/>
              <w:jc w:val="center"/>
              <w:rPr>
                <w:sz w:val="18"/>
                <w:szCs w:val="18"/>
              </w:rPr>
            </w:pPr>
            <w:r w:rsidRPr="00236684">
              <w:rPr>
                <w:sz w:val="18"/>
                <w:szCs w:val="18"/>
              </w:rPr>
              <w:t>1</w:t>
            </w:r>
          </w:p>
        </w:tc>
        <w:tc>
          <w:tcPr>
            <w:tcW w:w="942" w:type="dxa"/>
            <w:hideMark/>
          </w:tcPr>
          <w:p w14:paraId="08FFA9DC" w14:textId="77777777" w:rsidR="00B8248E" w:rsidRPr="00236684" w:rsidRDefault="00B8248E" w:rsidP="00035553">
            <w:pPr>
              <w:pStyle w:val="NormalWeb"/>
              <w:jc w:val="center"/>
              <w:rPr>
                <w:sz w:val="18"/>
                <w:szCs w:val="18"/>
              </w:rPr>
            </w:pPr>
            <w:r w:rsidRPr="00236684">
              <w:rPr>
                <w:sz w:val="18"/>
                <w:szCs w:val="18"/>
              </w:rPr>
              <w:t>5</w:t>
            </w:r>
          </w:p>
        </w:tc>
      </w:tr>
      <w:tr w:rsidR="00B8248E" w:rsidRPr="00236684" w14:paraId="08DEE22F" w14:textId="77777777" w:rsidTr="00035553">
        <w:tblPrEx>
          <w:tblCellMar>
            <w:top w:w="57" w:type="dxa"/>
            <w:left w:w="57" w:type="dxa"/>
            <w:bottom w:w="57" w:type="dxa"/>
            <w:right w:w="57" w:type="dxa"/>
          </w:tblCellMar>
        </w:tblPrEx>
        <w:tc>
          <w:tcPr>
            <w:tcW w:w="4395" w:type="dxa"/>
            <w:hideMark/>
          </w:tcPr>
          <w:p w14:paraId="29456E59" w14:textId="77777777" w:rsidR="00B8248E" w:rsidRPr="00236684" w:rsidRDefault="00B8248E" w:rsidP="00035553">
            <w:pPr>
              <w:pStyle w:val="NormalWeb"/>
              <w:rPr>
                <w:sz w:val="18"/>
                <w:szCs w:val="18"/>
              </w:rPr>
            </w:pPr>
            <w:r w:rsidRPr="00236684">
              <w:rPr>
                <w:sz w:val="18"/>
                <w:szCs w:val="18"/>
              </w:rPr>
              <w:t>A/unknown</w:t>
            </w:r>
          </w:p>
        </w:tc>
        <w:tc>
          <w:tcPr>
            <w:tcW w:w="1275" w:type="dxa"/>
            <w:hideMark/>
          </w:tcPr>
          <w:p w14:paraId="67A72605" w14:textId="77777777" w:rsidR="00B8248E" w:rsidRPr="00236684" w:rsidRDefault="00B8248E" w:rsidP="00035553">
            <w:pPr>
              <w:pStyle w:val="NormalWeb"/>
              <w:jc w:val="center"/>
              <w:rPr>
                <w:sz w:val="18"/>
                <w:szCs w:val="18"/>
              </w:rPr>
            </w:pPr>
            <w:r w:rsidRPr="00236684">
              <w:rPr>
                <w:sz w:val="18"/>
                <w:szCs w:val="18"/>
              </w:rPr>
              <w:t>8</w:t>
            </w:r>
          </w:p>
        </w:tc>
        <w:tc>
          <w:tcPr>
            <w:tcW w:w="993" w:type="dxa"/>
            <w:hideMark/>
          </w:tcPr>
          <w:p w14:paraId="126A77EB" w14:textId="77777777" w:rsidR="00B8248E" w:rsidRPr="00236684" w:rsidRDefault="00B8248E" w:rsidP="00035553">
            <w:pPr>
              <w:pStyle w:val="NormalWeb"/>
              <w:jc w:val="center"/>
              <w:rPr>
                <w:sz w:val="18"/>
                <w:szCs w:val="18"/>
              </w:rPr>
            </w:pPr>
            <w:r w:rsidRPr="00236684">
              <w:rPr>
                <w:sz w:val="18"/>
                <w:szCs w:val="18"/>
              </w:rPr>
              <w:t>42</w:t>
            </w:r>
          </w:p>
        </w:tc>
        <w:tc>
          <w:tcPr>
            <w:tcW w:w="1134" w:type="dxa"/>
            <w:hideMark/>
          </w:tcPr>
          <w:p w14:paraId="19872DA4"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71EEBA0D"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6E647DE1" w14:textId="77777777" w:rsidR="00B8248E" w:rsidRPr="00236684" w:rsidRDefault="00B8248E" w:rsidP="00035553">
            <w:pPr>
              <w:pStyle w:val="NormalWeb"/>
              <w:jc w:val="center"/>
              <w:rPr>
                <w:sz w:val="18"/>
                <w:szCs w:val="18"/>
              </w:rPr>
            </w:pPr>
            <w:r w:rsidRPr="00236684">
              <w:rPr>
                <w:sz w:val="18"/>
                <w:szCs w:val="18"/>
              </w:rPr>
              <w:t>8</w:t>
            </w:r>
          </w:p>
        </w:tc>
        <w:tc>
          <w:tcPr>
            <w:tcW w:w="942" w:type="dxa"/>
            <w:hideMark/>
          </w:tcPr>
          <w:p w14:paraId="203E1601" w14:textId="77777777" w:rsidR="00B8248E" w:rsidRPr="00236684" w:rsidRDefault="00B8248E" w:rsidP="00035553">
            <w:pPr>
              <w:pStyle w:val="NormalWeb"/>
              <w:jc w:val="center"/>
              <w:rPr>
                <w:sz w:val="18"/>
                <w:szCs w:val="18"/>
              </w:rPr>
            </w:pPr>
            <w:r w:rsidRPr="00236684">
              <w:rPr>
                <w:sz w:val="18"/>
                <w:szCs w:val="18"/>
              </w:rPr>
              <w:t>40</w:t>
            </w:r>
          </w:p>
        </w:tc>
      </w:tr>
      <w:tr w:rsidR="00B8248E" w:rsidRPr="00236684" w14:paraId="35BCB9C4" w14:textId="77777777" w:rsidTr="0003555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6997D2EE" w14:textId="77777777" w:rsidR="00B8248E" w:rsidRPr="00236684" w:rsidRDefault="00B8248E" w:rsidP="00035553">
            <w:pPr>
              <w:pStyle w:val="NormalWeb"/>
              <w:rPr>
                <w:sz w:val="18"/>
                <w:szCs w:val="18"/>
              </w:rPr>
            </w:pPr>
            <w:r w:rsidRPr="00236684">
              <w:rPr>
                <w:sz w:val="18"/>
                <w:szCs w:val="18"/>
              </w:rPr>
              <w:t>B</w:t>
            </w:r>
          </w:p>
        </w:tc>
        <w:tc>
          <w:tcPr>
            <w:tcW w:w="1275" w:type="dxa"/>
            <w:hideMark/>
          </w:tcPr>
          <w:p w14:paraId="0083D499" w14:textId="77777777" w:rsidR="00B8248E" w:rsidRPr="00236684" w:rsidRDefault="00B8248E" w:rsidP="00035553">
            <w:pPr>
              <w:pStyle w:val="NormalWeb"/>
              <w:jc w:val="center"/>
              <w:rPr>
                <w:sz w:val="18"/>
                <w:szCs w:val="18"/>
              </w:rPr>
            </w:pPr>
            <w:r w:rsidRPr="00236684">
              <w:rPr>
                <w:sz w:val="18"/>
                <w:szCs w:val="18"/>
              </w:rPr>
              <w:t>6</w:t>
            </w:r>
          </w:p>
        </w:tc>
        <w:tc>
          <w:tcPr>
            <w:tcW w:w="993" w:type="dxa"/>
            <w:hideMark/>
          </w:tcPr>
          <w:p w14:paraId="5C7FA6C8" w14:textId="77777777" w:rsidR="00B8248E" w:rsidRPr="00236684" w:rsidRDefault="00B8248E" w:rsidP="00035553">
            <w:pPr>
              <w:pStyle w:val="NormalWeb"/>
              <w:jc w:val="center"/>
              <w:rPr>
                <w:sz w:val="18"/>
                <w:szCs w:val="18"/>
              </w:rPr>
            </w:pPr>
            <w:r w:rsidRPr="00236684">
              <w:rPr>
                <w:sz w:val="18"/>
                <w:szCs w:val="18"/>
              </w:rPr>
              <w:t>32</w:t>
            </w:r>
          </w:p>
        </w:tc>
        <w:tc>
          <w:tcPr>
            <w:tcW w:w="1134" w:type="dxa"/>
            <w:hideMark/>
          </w:tcPr>
          <w:p w14:paraId="282E1F26" w14:textId="77777777" w:rsidR="00B8248E" w:rsidRPr="00236684" w:rsidRDefault="00B8248E" w:rsidP="00035553">
            <w:pPr>
              <w:pStyle w:val="NormalWeb"/>
              <w:jc w:val="center"/>
              <w:rPr>
                <w:sz w:val="18"/>
                <w:szCs w:val="18"/>
              </w:rPr>
            </w:pPr>
            <w:r w:rsidRPr="00236684">
              <w:rPr>
                <w:sz w:val="18"/>
                <w:szCs w:val="18"/>
              </w:rPr>
              <w:t>0</w:t>
            </w:r>
          </w:p>
        </w:tc>
        <w:tc>
          <w:tcPr>
            <w:tcW w:w="850" w:type="dxa"/>
            <w:hideMark/>
          </w:tcPr>
          <w:p w14:paraId="0C6DC79B" w14:textId="77777777" w:rsidR="00B8248E" w:rsidRPr="00236684" w:rsidRDefault="00B8248E" w:rsidP="00035553">
            <w:pPr>
              <w:pStyle w:val="NormalWeb"/>
              <w:jc w:val="center"/>
              <w:rPr>
                <w:sz w:val="18"/>
                <w:szCs w:val="18"/>
              </w:rPr>
            </w:pPr>
            <w:r w:rsidRPr="00236684">
              <w:rPr>
                <w:sz w:val="18"/>
                <w:szCs w:val="18"/>
              </w:rPr>
              <w:t>0</w:t>
            </w:r>
          </w:p>
        </w:tc>
        <w:tc>
          <w:tcPr>
            <w:tcW w:w="851" w:type="dxa"/>
            <w:hideMark/>
          </w:tcPr>
          <w:p w14:paraId="6A8F2DC5" w14:textId="77777777" w:rsidR="00B8248E" w:rsidRPr="00236684" w:rsidRDefault="00B8248E" w:rsidP="00035553">
            <w:pPr>
              <w:pStyle w:val="NormalWeb"/>
              <w:jc w:val="center"/>
              <w:rPr>
                <w:sz w:val="18"/>
                <w:szCs w:val="18"/>
              </w:rPr>
            </w:pPr>
            <w:r w:rsidRPr="00236684">
              <w:rPr>
                <w:sz w:val="18"/>
                <w:szCs w:val="18"/>
              </w:rPr>
              <w:t>6</w:t>
            </w:r>
          </w:p>
        </w:tc>
        <w:tc>
          <w:tcPr>
            <w:tcW w:w="942" w:type="dxa"/>
            <w:hideMark/>
          </w:tcPr>
          <w:p w14:paraId="11DBBBB5" w14:textId="77777777" w:rsidR="00B8248E" w:rsidRPr="00236684" w:rsidRDefault="00B8248E" w:rsidP="00035553">
            <w:pPr>
              <w:pStyle w:val="NormalWeb"/>
              <w:jc w:val="center"/>
              <w:rPr>
                <w:sz w:val="18"/>
                <w:szCs w:val="18"/>
              </w:rPr>
            </w:pPr>
            <w:r w:rsidRPr="00236684">
              <w:rPr>
                <w:sz w:val="18"/>
                <w:szCs w:val="18"/>
              </w:rPr>
              <w:t>30</w:t>
            </w:r>
          </w:p>
        </w:tc>
      </w:tr>
      <w:tr w:rsidR="00B8248E" w:rsidRPr="00236684" w14:paraId="566AAE44" w14:textId="77777777" w:rsidTr="00035553">
        <w:tblPrEx>
          <w:tblCellMar>
            <w:top w:w="57" w:type="dxa"/>
            <w:left w:w="57" w:type="dxa"/>
            <w:bottom w:w="57" w:type="dxa"/>
            <w:right w:w="57" w:type="dxa"/>
          </w:tblCellMar>
        </w:tblPrEx>
        <w:tc>
          <w:tcPr>
            <w:tcW w:w="4395" w:type="dxa"/>
            <w:tcBorders>
              <w:bottom w:val="single" w:sz="2" w:space="0" w:color="808080" w:themeColor="background1" w:themeShade="80"/>
            </w:tcBorders>
            <w:hideMark/>
          </w:tcPr>
          <w:p w14:paraId="242F51B9" w14:textId="77777777" w:rsidR="00B8248E" w:rsidRPr="00236684" w:rsidRDefault="00B8248E" w:rsidP="00035553">
            <w:pPr>
              <w:pStyle w:val="NormalWeb"/>
              <w:rPr>
                <w:sz w:val="18"/>
                <w:szCs w:val="18"/>
              </w:rPr>
            </w:pPr>
            <w:r w:rsidRPr="00236684">
              <w:rPr>
                <w:sz w:val="18"/>
                <w:szCs w:val="18"/>
              </w:rPr>
              <w:t xml:space="preserve">In-hospital mortality, </w:t>
            </w:r>
            <w:proofErr w:type="spellStart"/>
            <w:r w:rsidRPr="00236684">
              <w:rPr>
                <w:sz w:val="18"/>
                <w:szCs w:val="18"/>
              </w:rPr>
              <w:t>HFR</w:t>
            </w:r>
            <w:r w:rsidRPr="00236684">
              <w:rPr>
                <w:sz w:val="18"/>
                <w:szCs w:val="18"/>
                <w:vertAlign w:val="superscript"/>
              </w:rPr>
              <w:t>a</w:t>
            </w:r>
            <w:proofErr w:type="spellEnd"/>
          </w:p>
        </w:tc>
        <w:tc>
          <w:tcPr>
            <w:tcW w:w="1275" w:type="dxa"/>
            <w:tcBorders>
              <w:bottom w:val="single" w:sz="2" w:space="0" w:color="808080" w:themeColor="background1" w:themeShade="80"/>
            </w:tcBorders>
            <w:hideMark/>
          </w:tcPr>
          <w:p w14:paraId="465EDE8E" w14:textId="77777777" w:rsidR="00B8248E" w:rsidRPr="00236684" w:rsidRDefault="00B8248E" w:rsidP="00035553">
            <w:pPr>
              <w:pStyle w:val="NormalWeb"/>
              <w:jc w:val="center"/>
              <w:rPr>
                <w:sz w:val="18"/>
                <w:szCs w:val="18"/>
              </w:rPr>
            </w:pPr>
            <w:r w:rsidRPr="00236684">
              <w:rPr>
                <w:sz w:val="18"/>
                <w:szCs w:val="18"/>
              </w:rPr>
              <w:t>3/19</w:t>
            </w:r>
          </w:p>
        </w:tc>
        <w:tc>
          <w:tcPr>
            <w:tcW w:w="993" w:type="dxa"/>
            <w:tcBorders>
              <w:bottom w:val="single" w:sz="2" w:space="0" w:color="808080" w:themeColor="background1" w:themeShade="80"/>
            </w:tcBorders>
            <w:hideMark/>
          </w:tcPr>
          <w:p w14:paraId="408CB7D7" w14:textId="77777777" w:rsidR="00B8248E" w:rsidRPr="00236684" w:rsidRDefault="00B8248E" w:rsidP="00035553">
            <w:pPr>
              <w:pStyle w:val="NormalWeb"/>
              <w:jc w:val="center"/>
              <w:rPr>
                <w:sz w:val="18"/>
                <w:szCs w:val="18"/>
              </w:rPr>
            </w:pPr>
            <w:r w:rsidRPr="00236684">
              <w:rPr>
                <w:sz w:val="18"/>
                <w:szCs w:val="18"/>
              </w:rPr>
              <w:t>16</w:t>
            </w:r>
          </w:p>
        </w:tc>
        <w:tc>
          <w:tcPr>
            <w:tcW w:w="1134" w:type="dxa"/>
            <w:tcBorders>
              <w:bottom w:val="single" w:sz="2" w:space="0" w:color="808080" w:themeColor="background1" w:themeShade="80"/>
            </w:tcBorders>
            <w:hideMark/>
          </w:tcPr>
          <w:p w14:paraId="71758D2B" w14:textId="77777777" w:rsidR="00B8248E" w:rsidRPr="00236684" w:rsidRDefault="00B8248E" w:rsidP="00035553">
            <w:pPr>
              <w:pStyle w:val="NormalWeb"/>
              <w:jc w:val="center"/>
              <w:rPr>
                <w:sz w:val="18"/>
                <w:szCs w:val="18"/>
              </w:rPr>
            </w:pPr>
            <w:r w:rsidRPr="00236684">
              <w:rPr>
                <w:sz w:val="18"/>
                <w:szCs w:val="18"/>
              </w:rPr>
              <w:t>0/1</w:t>
            </w:r>
          </w:p>
        </w:tc>
        <w:tc>
          <w:tcPr>
            <w:tcW w:w="850" w:type="dxa"/>
            <w:tcBorders>
              <w:bottom w:val="single" w:sz="2" w:space="0" w:color="808080" w:themeColor="background1" w:themeShade="80"/>
            </w:tcBorders>
            <w:hideMark/>
          </w:tcPr>
          <w:p w14:paraId="45B59133" w14:textId="77777777" w:rsidR="00B8248E" w:rsidRPr="00236684" w:rsidRDefault="00B8248E" w:rsidP="00035553">
            <w:pPr>
              <w:pStyle w:val="NormalWeb"/>
              <w:jc w:val="center"/>
              <w:rPr>
                <w:sz w:val="18"/>
                <w:szCs w:val="18"/>
              </w:rPr>
            </w:pPr>
            <w:r w:rsidRPr="00236684">
              <w:rPr>
                <w:sz w:val="18"/>
                <w:szCs w:val="18"/>
              </w:rPr>
              <w:t>0</w:t>
            </w:r>
          </w:p>
        </w:tc>
        <w:tc>
          <w:tcPr>
            <w:tcW w:w="851" w:type="dxa"/>
            <w:tcBorders>
              <w:bottom w:val="single" w:sz="2" w:space="0" w:color="808080" w:themeColor="background1" w:themeShade="80"/>
            </w:tcBorders>
            <w:hideMark/>
          </w:tcPr>
          <w:p w14:paraId="61901EA0" w14:textId="77777777" w:rsidR="00B8248E" w:rsidRPr="00236684" w:rsidRDefault="00B8248E" w:rsidP="00035553">
            <w:pPr>
              <w:pStyle w:val="NormalWeb"/>
              <w:jc w:val="center"/>
              <w:rPr>
                <w:sz w:val="18"/>
                <w:szCs w:val="18"/>
              </w:rPr>
            </w:pPr>
            <w:r w:rsidRPr="00236684">
              <w:rPr>
                <w:sz w:val="18"/>
                <w:szCs w:val="18"/>
              </w:rPr>
              <w:t>3/20</w:t>
            </w:r>
          </w:p>
        </w:tc>
        <w:tc>
          <w:tcPr>
            <w:tcW w:w="942" w:type="dxa"/>
            <w:tcBorders>
              <w:bottom w:val="single" w:sz="2" w:space="0" w:color="808080" w:themeColor="background1" w:themeShade="80"/>
            </w:tcBorders>
            <w:hideMark/>
          </w:tcPr>
          <w:p w14:paraId="70F3DCCE" w14:textId="77777777" w:rsidR="00B8248E" w:rsidRPr="00236684" w:rsidRDefault="00B8248E" w:rsidP="00035553">
            <w:pPr>
              <w:pStyle w:val="NormalWeb"/>
              <w:jc w:val="center"/>
              <w:rPr>
                <w:sz w:val="18"/>
                <w:szCs w:val="18"/>
              </w:rPr>
            </w:pPr>
            <w:r w:rsidRPr="00236684">
              <w:rPr>
                <w:sz w:val="18"/>
                <w:szCs w:val="18"/>
              </w:rPr>
              <w:t>15</w:t>
            </w:r>
          </w:p>
        </w:tc>
      </w:tr>
    </w:tbl>
    <w:p w14:paraId="55AC420A" w14:textId="77777777" w:rsidR="00B8248E" w:rsidRDefault="00B8248E" w:rsidP="00B8248E">
      <w:pPr>
        <w:pStyle w:val="CDIfootnotes"/>
        <w:rPr>
          <w:lang w:val="en-GB"/>
        </w:rPr>
      </w:pPr>
      <w:r>
        <w:rPr>
          <w:lang w:val="en-GB"/>
        </w:rPr>
        <w:t>a</w:t>
      </w:r>
      <w:r>
        <w:rPr>
          <w:lang w:val="en-GB"/>
        </w:rPr>
        <w:tab/>
        <w:t>Percentage having the indicated comorbidity or influenza subtype among all cases having this ICU status (i.e., denominator = n).</w:t>
      </w:r>
    </w:p>
    <w:p w14:paraId="717B182F" w14:textId="37169226" w:rsidR="00B8248E" w:rsidRPr="00B8248E" w:rsidRDefault="00B8248E" w:rsidP="00B8248E">
      <w:pPr>
        <w:pStyle w:val="CDIfootnotes"/>
        <w:rPr>
          <w:lang w:val="en-GB"/>
        </w:rPr>
      </w:pPr>
      <w:r>
        <w:rPr>
          <w:lang w:val="en-GB"/>
        </w:rPr>
        <w:t>b</w:t>
      </w:r>
      <w:r>
        <w:rPr>
          <w:lang w:val="en-GB"/>
        </w:rPr>
        <w:tab/>
        <w:t>HFR: Hospitalisation fatality ratio.</w:t>
      </w:r>
    </w:p>
    <w:p w14:paraId="16010B57" w14:textId="77777777" w:rsidR="00811C5A" w:rsidRPr="00A47973" w:rsidRDefault="00811C5A" w:rsidP="00811C5A">
      <w:pPr>
        <w:pStyle w:val="CDIFigures"/>
      </w:pPr>
      <w:r w:rsidRPr="00A47973">
        <w:rPr>
          <w:rStyle w:val="Strong"/>
          <w:b/>
          <w:bCs w:val="0"/>
        </w:rPr>
        <w:t>Table 3: Estimated influenza vaccine coverage among patients without influenza</w:t>
      </w:r>
      <w:r w:rsidRPr="00A47973">
        <w:t xml:space="preserve"> </w:t>
      </w:r>
    </w:p>
    <w:tbl>
      <w:tblPr>
        <w:tblStyle w:val="CDI-StandardTable"/>
        <w:tblW w:w="0" w:type="auto"/>
        <w:tblLook w:val="04A0" w:firstRow="1" w:lastRow="0" w:firstColumn="1" w:lastColumn="0" w:noHBand="0" w:noVBand="1"/>
        <w:tblDescription w:val="Table 3: This table presents estimated vaccine coverage in patients without influenza across all age groups and those with and without comorbidities.&#10;"/>
      </w:tblPr>
      <w:tblGrid>
        <w:gridCol w:w="928"/>
        <w:gridCol w:w="3041"/>
        <w:gridCol w:w="1985"/>
        <w:gridCol w:w="1417"/>
        <w:gridCol w:w="1134"/>
        <w:gridCol w:w="1935"/>
      </w:tblGrid>
      <w:tr w:rsidR="00811C5A" w:rsidRPr="00E47983" w14:paraId="2C3136E9" w14:textId="77777777" w:rsidTr="00952B39">
        <w:trPr>
          <w:cnfStyle w:val="100000000000" w:firstRow="1" w:lastRow="0" w:firstColumn="0" w:lastColumn="0" w:oddVBand="0" w:evenVBand="0" w:oddHBand="0" w:evenHBand="0" w:firstRowFirstColumn="0" w:firstRowLastColumn="0" w:lastRowFirstColumn="0" w:lastRowLastColumn="0"/>
          <w:tblHeader/>
        </w:trPr>
        <w:tc>
          <w:tcPr>
            <w:tcW w:w="3969" w:type="dxa"/>
            <w:gridSpan w:val="2"/>
            <w:tcBorders>
              <w:top w:val="single" w:sz="2" w:space="0" w:color="886E49"/>
              <w:left w:val="single" w:sz="2" w:space="0" w:color="886E49"/>
              <w:bottom w:val="single" w:sz="2" w:space="0" w:color="886E49"/>
              <w:right w:val="single" w:sz="2" w:space="0" w:color="886E49"/>
            </w:tcBorders>
            <w:hideMark/>
          </w:tcPr>
          <w:p w14:paraId="411CD2EF" w14:textId="77777777" w:rsidR="00811C5A" w:rsidRPr="00E47983" w:rsidRDefault="00811C5A" w:rsidP="00035553">
            <w:pPr>
              <w:rPr>
                <w:color w:val="FFFFFF" w:themeColor="background1"/>
                <w:sz w:val="18"/>
                <w:szCs w:val="18"/>
                <w:lang w:val="en-GB"/>
              </w:rPr>
            </w:pPr>
          </w:p>
        </w:tc>
        <w:tc>
          <w:tcPr>
            <w:tcW w:w="1985" w:type="dxa"/>
            <w:tcBorders>
              <w:top w:val="single" w:sz="2" w:space="0" w:color="886E49"/>
              <w:left w:val="single" w:sz="2" w:space="0" w:color="886E49"/>
              <w:bottom w:val="single" w:sz="2" w:space="0" w:color="886E49"/>
              <w:right w:val="single" w:sz="2" w:space="0" w:color="886E49"/>
            </w:tcBorders>
            <w:hideMark/>
          </w:tcPr>
          <w:p w14:paraId="09D4FBDC" w14:textId="77777777" w:rsidR="00811C5A" w:rsidRPr="00E47983" w:rsidRDefault="00811C5A" w:rsidP="00035553">
            <w:pPr>
              <w:pStyle w:val="NormalWeb"/>
              <w:jc w:val="center"/>
              <w:rPr>
                <w:color w:val="FFFFFF" w:themeColor="background1"/>
                <w:sz w:val="18"/>
                <w:szCs w:val="18"/>
              </w:rPr>
            </w:pPr>
            <w:r w:rsidRPr="00E47983">
              <w:rPr>
                <w:color w:val="FFFFFF" w:themeColor="background1"/>
                <w:sz w:val="18"/>
                <w:szCs w:val="18"/>
              </w:rPr>
              <w:t>Not vaccinated</w:t>
            </w:r>
          </w:p>
        </w:tc>
        <w:tc>
          <w:tcPr>
            <w:tcW w:w="1417" w:type="dxa"/>
            <w:tcBorders>
              <w:top w:val="single" w:sz="2" w:space="0" w:color="886E49"/>
              <w:left w:val="single" w:sz="2" w:space="0" w:color="886E49"/>
              <w:bottom w:val="single" w:sz="2" w:space="0" w:color="886E49"/>
              <w:right w:val="single" w:sz="2" w:space="0" w:color="886E49"/>
            </w:tcBorders>
            <w:hideMark/>
          </w:tcPr>
          <w:p w14:paraId="4ACEE304" w14:textId="77777777" w:rsidR="00811C5A" w:rsidRPr="00E47983" w:rsidRDefault="00811C5A" w:rsidP="00035553">
            <w:pPr>
              <w:pStyle w:val="NormalWeb"/>
              <w:jc w:val="center"/>
              <w:rPr>
                <w:color w:val="FFFFFF" w:themeColor="background1"/>
                <w:sz w:val="18"/>
                <w:szCs w:val="18"/>
              </w:rPr>
            </w:pPr>
            <w:r w:rsidRPr="00E47983">
              <w:rPr>
                <w:color w:val="FFFFFF" w:themeColor="background1"/>
                <w:sz w:val="18"/>
                <w:szCs w:val="18"/>
              </w:rPr>
              <w:t>Vaccinated</w:t>
            </w:r>
          </w:p>
        </w:tc>
        <w:tc>
          <w:tcPr>
            <w:tcW w:w="1134" w:type="dxa"/>
            <w:tcBorders>
              <w:top w:val="single" w:sz="2" w:space="0" w:color="886E49"/>
              <w:left w:val="single" w:sz="2" w:space="0" w:color="886E49"/>
              <w:bottom w:val="single" w:sz="2" w:space="0" w:color="886E49"/>
              <w:right w:val="single" w:sz="2" w:space="0" w:color="886E49"/>
            </w:tcBorders>
            <w:hideMark/>
          </w:tcPr>
          <w:p w14:paraId="7DE7DDDA" w14:textId="77777777" w:rsidR="00811C5A" w:rsidRPr="00E47983" w:rsidRDefault="00811C5A" w:rsidP="00035553">
            <w:pPr>
              <w:pStyle w:val="NormalWeb"/>
              <w:jc w:val="center"/>
              <w:rPr>
                <w:color w:val="FFFFFF" w:themeColor="background1"/>
                <w:sz w:val="18"/>
                <w:szCs w:val="18"/>
              </w:rPr>
            </w:pPr>
            <w:r w:rsidRPr="00E47983">
              <w:rPr>
                <w:color w:val="FFFFFF" w:themeColor="background1"/>
                <w:sz w:val="18"/>
                <w:szCs w:val="18"/>
              </w:rPr>
              <w:t>Total</w:t>
            </w:r>
          </w:p>
        </w:tc>
        <w:tc>
          <w:tcPr>
            <w:tcW w:w="1935" w:type="dxa"/>
            <w:tcBorders>
              <w:top w:val="single" w:sz="2" w:space="0" w:color="886E49"/>
              <w:left w:val="single" w:sz="2" w:space="0" w:color="886E49"/>
              <w:bottom w:val="single" w:sz="2" w:space="0" w:color="886E49"/>
              <w:right w:val="single" w:sz="2" w:space="0" w:color="886E49"/>
            </w:tcBorders>
            <w:hideMark/>
          </w:tcPr>
          <w:p w14:paraId="4336E663" w14:textId="77777777" w:rsidR="00811C5A" w:rsidRPr="00E47983" w:rsidRDefault="00811C5A" w:rsidP="00035553">
            <w:pPr>
              <w:pStyle w:val="NormalWeb"/>
              <w:jc w:val="center"/>
              <w:rPr>
                <w:color w:val="FFFFFF" w:themeColor="background1"/>
                <w:sz w:val="18"/>
                <w:szCs w:val="18"/>
              </w:rPr>
            </w:pPr>
            <w:r w:rsidRPr="00E47983">
              <w:rPr>
                <w:color w:val="FFFFFF" w:themeColor="background1"/>
                <w:sz w:val="18"/>
                <w:szCs w:val="18"/>
              </w:rPr>
              <w:t>Vaccination %</w:t>
            </w:r>
          </w:p>
        </w:tc>
      </w:tr>
      <w:tr w:rsidR="00811C5A" w:rsidRPr="00E47983" w14:paraId="1E0B83C0" w14:textId="77777777" w:rsidTr="00D213AD">
        <w:tblPrEx>
          <w:tblCellMar>
            <w:top w:w="57" w:type="dxa"/>
            <w:left w:w="57" w:type="dxa"/>
            <w:bottom w:w="57" w:type="dxa"/>
            <w:right w:w="57" w:type="dxa"/>
          </w:tblCellMar>
        </w:tblPrEx>
        <w:tc>
          <w:tcPr>
            <w:tcW w:w="0" w:type="auto"/>
            <w:vMerge w:val="restart"/>
            <w:shd w:val="clear" w:color="auto" w:fill="auto"/>
            <w:hideMark/>
          </w:tcPr>
          <w:p w14:paraId="77146567" w14:textId="77777777" w:rsidR="00811C5A" w:rsidRPr="00E47983" w:rsidRDefault="00811C5A" w:rsidP="00035553">
            <w:pPr>
              <w:pStyle w:val="NormalWeb"/>
              <w:rPr>
                <w:sz w:val="18"/>
                <w:szCs w:val="18"/>
              </w:rPr>
            </w:pPr>
            <w:r w:rsidRPr="00E47983">
              <w:rPr>
                <w:sz w:val="18"/>
                <w:szCs w:val="18"/>
              </w:rPr>
              <w:t>Age &lt; 16</w:t>
            </w:r>
          </w:p>
        </w:tc>
        <w:tc>
          <w:tcPr>
            <w:tcW w:w="2909" w:type="dxa"/>
            <w:tcBorders>
              <w:top w:val="single" w:sz="2" w:space="0" w:color="886E49"/>
              <w:bottom w:val="single" w:sz="2" w:space="0" w:color="808080" w:themeColor="background1" w:themeShade="80"/>
            </w:tcBorders>
            <w:shd w:val="clear" w:color="auto" w:fill="auto"/>
            <w:hideMark/>
          </w:tcPr>
          <w:p w14:paraId="64831BAC" w14:textId="77777777" w:rsidR="00811C5A" w:rsidRPr="00E47983" w:rsidRDefault="00811C5A" w:rsidP="00035553">
            <w:pPr>
              <w:pStyle w:val="NormalWeb"/>
              <w:rPr>
                <w:sz w:val="18"/>
                <w:szCs w:val="18"/>
              </w:rPr>
            </w:pPr>
            <w:r w:rsidRPr="00E47983">
              <w:rPr>
                <w:sz w:val="18"/>
                <w:szCs w:val="18"/>
              </w:rPr>
              <w:t>No risk factors</w:t>
            </w:r>
          </w:p>
        </w:tc>
        <w:tc>
          <w:tcPr>
            <w:tcW w:w="1985" w:type="dxa"/>
            <w:tcBorders>
              <w:top w:val="single" w:sz="2" w:space="0" w:color="886E49"/>
              <w:bottom w:val="single" w:sz="2" w:space="0" w:color="808080" w:themeColor="background1" w:themeShade="80"/>
            </w:tcBorders>
            <w:shd w:val="clear" w:color="auto" w:fill="auto"/>
            <w:hideMark/>
          </w:tcPr>
          <w:p w14:paraId="14C98E0C" w14:textId="77777777" w:rsidR="00811C5A" w:rsidRPr="00E47983" w:rsidRDefault="00811C5A" w:rsidP="00035553">
            <w:pPr>
              <w:pStyle w:val="NormalWeb"/>
              <w:jc w:val="center"/>
              <w:rPr>
                <w:sz w:val="18"/>
                <w:szCs w:val="18"/>
              </w:rPr>
            </w:pPr>
            <w:r w:rsidRPr="00E47983">
              <w:rPr>
                <w:sz w:val="18"/>
                <w:szCs w:val="18"/>
              </w:rPr>
              <w:t>30</w:t>
            </w:r>
          </w:p>
        </w:tc>
        <w:tc>
          <w:tcPr>
            <w:tcW w:w="1417" w:type="dxa"/>
            <w:tcBorders>
              <w:top w:val="single" w:sz="2" w:space="0" w:color="886E49"/>
              <w:bottom w:val="single" w:sz="2" w:space="0" w:color="808080" w:themeColor="background1" w:themeShade="80"/>
            </w:tcBorders>
            <w:shd w:val="clear" w:color="auto" w:fill="auto"/>
            <w:hideMark/>
          </w:tcPr>
          <w:p w14:paraId="135B1FCE" w14:textId="77777777" w:rsidR="00811C5A" w:rsidRPr="00E47983" w:rsidRDefault="00811C5A" w:rsidP="00035553">
            <w:pPr>
              <w:pStyle w:val="NormalWeb"/>
              <w:jc w:val="center"/>
              <w:rPr>
                <w:sz w:val="18"/>
                <w:szCs w:val="18"/>
              </w:rPr>
            </w:pPr>
            <w:r w:rsidRPr="00E47983">
              <w:rPr>
                <w:sz w:val="18"/>
                <w:szCs w:val="18"/>
              </w:rPr>
              <w:t>6</w:t>
            </w:r>
          </w:p>
        </w:tc>
        <w:tc>
          <w:tcPr>
            <w:tcW w:w="1134" w:type="dxa"/>
            <w:tcBorders>
              <w:top w:val="single" w:sz="2" w:space="0" w:color="886E49"/>
              <w:bottom w:val="single" w:sz="2" w:space="0" w:color="808080" w:themeColor="background1" w:themeShade="80"/>
            </w:tcBorders>
            <w:shd w:val="clear" w:color="auto" w:fill="auto"/>
            <w:hideMark/>
          </w:tcPr>
          <w:p w14:paraId="29DFD337" w14:textId="77777777" w:rsidR="00811C5A" w:rsidRPr="00E47983" w:rsidRDefault="00811C5A" w:rsidP="00035553">
            <w:pPr>
              <w:pStyle w:val="NormalWeb"/>
              <w:jc w:val="center"/>
              <w:rPr>
                <w:sz w:val="18"/>
                <w:szCs w:val="18"/>
              </w:rPr>
            </w:pPr>
            <w:r w:rsidRPr="00E47983">
              <w:rPr>
                <w:sz w:val="18"/>
                <w:szCs w:val="18"/>
              </w:rPr>
              <w:t>36</w:t>
            </w:r>
          </w:p>
        </w:tc>
        <w:tc>
          <w:tcPr>
            <w:tcW w:w="1935" w:type="dxa"/>
            <w:tcBorders>
              <w:top w:val="single" w:sz="2" w:space="0" w:color="886E49"/>
              <w:bottom w:val="single" w:sz="2" w:space="0" w:color="808080" w:themeColor="background1" w:themeShade="80"/>
            </w:tcBorders>
            <w:shd w:val="clear" w:color="auto" w:fill="auto"/>
            <w:hideMark/>
          </w:tcPr>
          <w:p w14:paraId="0AB6B35C" w14:textId="77777777" w:rsidR="00811C5A" w:rsidRPr="00E47983" w:rsidRDefault="00811C5A" w:rsidP="00035553">
            <w:pPr>
              <w:pStyle w:val="NormalWeb"/>
              <w:jc w:val="center"/>
              <w:rPr>
                <w:sz w:val="18"/>
                <w:szCs w:val="18"/>
              </w:rPr>
            </w:pPr>
            <w:r w:rsidRPr="00E47983">
              <w:rPr>
                <w:sz w:val="18"/>
                <w:szCs w:val="18"/>
              </w:rPr>
              <w:t>16.7</w:t>
            </w:r>
          </w:p>
        </w:tc>
      </w:tr>
      <w:tr w:rsidR="00811C5A" w:rsidRPr="00E47983" w14:paraId="180F3FD6" w14:textId="77777777" w:rsidTr="00D213A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3ACA207C" w14:textId="77777777" w:rsidR="00811C5A" w:rsidRPr="00E47983" w:rsidRDefault="00811C5A" w:rsidP="00035553">
            <w:pPr>
              <w:rPr>
                <w:sz w:val="18"/>
                <w:szCs w:val="18"/>
              </w:rPr>
            </w:pPr>
          </w:p>
        </w:tc>
        <w:tc>
          <w:tcPr>
            <w:tcW w:w="2909" w:type="dxa"/>
            <w:tcBorders>
              <w:top w:val="single" w:sz="2" w:space="0" w:color="808080" w:themeColor="background1" w:themeShade="80"/>
              <w:bottom w:val="single" w:sz="2" w:space="0" w:color="808080" w:themeColor="background1" w:themeShade="80"/>
            </w:tcBorders>
            <w:shd w:val="clear" w:color="auto" w:fill="auto"/>
            <w:hideMark/>
          </w:tcPr>
          <w:p w14:paraId="774D16AD" w14:textId="77777777" w:rsidR="00811C5A" w:rsidRPr="00E47983" w:rsidRDefault="00811C5A" w:rsidP="00035553">
            <w:pPr>
              <w:pStyle w:val="NormalWeb"/>
              <w:rPr>
                <w:sz w:val="18"/>
                <w:szCs w:val="18"/>
              </w:rPr>
            </w:pPr>
            <w:r w:rsidRPr="00E47983">
              <w:rPr>
                <w:sz w:val="18"/>
                <w:szCs w:val="18"/>
              </w:rPr>
              <w:t>Risk factors</w:t>
            </w:r>
          </w:p>
        </w:tc>
        <w:tc>
          <w:tcPr>
            <w:tcW w:w="1985" w:type="dxa"/>
            <w:tcBorders>
              <w:top w:val="single" w:sz="2" w:space="0" w:color="808080" w:themeColor="background1" w:themeShade="80"/>
              <w:bottom w:val="single" w:sz="2" w:space="0" w:color="808080" w:themeColor="background1" w:themeShade="80"/>
            </w:tcBorders>
            <w:shd w:val="clear" w:color="auto" w:fill="auto"/>
            <w:hideMark/>
          </w:tcPr>
          <w:p w14:paraId="636BDEAF" w14:textId="77777777" w:rsidR="00811C5A" w:rsidRPr="00E47983" w:rsidRDefault="00811C5A" w:rsidP="00035553">
            <w:pPr>
              <w:pStyle w:val="NormalWeb"/>
              <w:jc w:val="center"/>
              <w:rPr>
                <w:sz w:val="18"/>
                <w:szCs w:val="18"/>
              </w:rPr>
            </w:pPr>
            <w:r w:rsidRPr="00E47983">
              <w:rPr>
                <w:sz w:val="18"/>
                <w:szCs w:val="18"/>
              </w:rPr>
              <w:t>17</w:t>
            </w:r>
          </w:p>
        </w:tc>
        <w:tc>
          <w:tcPr>
            <w:tcW w:w="1417" w:type="dxa"/>
            <w:tcBorders>
              <w:top w:val="single" w:sz="2" w:space="0" w:color="808080" w:themeColor="background1" w:themeShade="80"/>
              <w:bottom w:val="single" w:sz="2" w:space="0" w:color="808080" w:themeColor="background1" w:themeShade="80"/>
            </w:tcBorders>
            <w:shd w:val="clear" w:color="auto" w:fill="auto"/>
            <w:hideMark/>
          </w:tcPr>
          <w:p w14:paraId="3C4AD8E2" w14:textId="77777777" w:rsidR="00811C5A" w:rsidRPr="00E47983" w:rsidRDefault="00811C5A" w:rsidP="00035553">
            <w:pPr>
              <w:pStyle w:val="NormalWeb"/>
              <w:jc w:val="center"/>
              <w:rPr>
                <w:sz w:val="18"/>
                <w:szCs w:val="18"/>
              </w:rPr>
            </w:pPr>
            <w:r w:rsidRPr="00E47983">
              <w:rPr>
                <w:sz w:val="18"/>
                <w:szCs w:val="18"/>
              </w:rPr>
              <w:t>5</w:t>
            </w:r>
          </w:p>
        </w:tc>
        <w:tc>
          <w:tcPr>
            <w:tcW w:w="1134" w:type="dxa"/>
            <w:tcBorders>
              <w:top w:val="single" w:sz="2" w:space="0" w:color="808080" w:themeColor="background1" w:themeShade="80"/>
              <w:bottom w:val="single" w:sz="2" w:space="0" w:color="808080" w:themeColor="background1" w:themeShade="80"/>
            </w:tcBorders>
            <w:shd w:val="clear" w:color="auto" w:fill="auto"/>
            <w:hideMark/>
          </w:tcPr>
          <w:p w14:paraId="1E6F32DD" w14:textId="77777777" w:rsidR="00811C5A" w:rsidRPr="00E47983" w:rsidRDefault="00811C5A" w:rsidP="00035553">
            <w:pPr>
              <w:pStyle w:val="NormalWeb"/>
              <w:jc w:val="center"/>
              <w:rPr>
                <w:sz w:val="18"/>
                <w:szCs w:val="18"/>
              </w:rPr>
            </w:pPr>
            <w:r w:rsidRPr="00E47983">
              <w:rPr>
                <w:sz w:val="18"/>
                <w:szCs w:val="18"/>
              </w:rPr>
              <w:t>22</w:t>
            </w:r>
          </w:p>
        </w:tc>
        <w:tc>
          <w:tcPr>
            <w:tcW w:w="1935" w:type="dxa"/>
            <w:tcBorders>
              <w:top w:val="single" w:sz="2" w:space="0" w:color="808080" w:themeColor="background1" w:themeShade="80"/>
              <w:bottom w:val="single" w:sz="2" w:space="0" w:color="808080" w:themeColor="background1" w:themeShade="80"/>
            </w:tcBorders>
            <w:shd w:val="clear" w:color="auto" w:fill="auto"/>
            <w:hideMark/>
          </w:tcPr>
          <w:p w14:paraId="2AFF1D2E" w14:textId="77777777" w:rsidR="00811C5A" w:rsidRPr="00E47983" w:rsidRDefault="00811C5A" w:rsidP="00035553">
            <w:pPr>
              <w:pStyle w:val="NormalWeb"/>
              <w:jc w:val="center"/>
              <w:rPr>
                <w:sz w:val="18"/>
                <w:szCs w:val="18"/>
              </w:rPr>
            </w:pPr>
            <w:r w:rsidRPr="00E47983">
              <w:rPr>
                <w:sz w:val="18"/>
                <w:szCs w:val="18"/>
              </w:rPr>
              <w:t>22.7</w:t>
            </w:r>
          </w:p>
        </w:tc>
      </w:tr>
      <w:tr w:rsidR="00E47983" w:rsidRPr="00E47983" w14:paraId="3276FBE5" w14:textId="77777777" w:rsidTr="00D213AD">
        <w:tblPrEx>
          <w:tblCellMar>
            <w:top w:w="57" w:type="dxa"/>
            <w:left w:w="57" w:type="dxa"/>
            <w:bottom w:w="57" w:type="dxa"/>
            <w:right w:w="57" w:type="dxa"/>
          </w:tblCellMar>
        </w:tblPrEx>
        <w:tc>
          <w:tcPr>
            <w:tcW w:w="0" w:type="auto"/>
            <w:tcBorders>
              <w:bottom w:val="single" w:sz="2" w:space="0" w:color="auto"/>
            </w:tcBorders>
            <w:shd w:val="clear" w:color="auto" w:fill="auto"/>
            <w:hideMark/>
          </w:tcPr>
          <w:p w14:paraId="1C10AB38" w14:textId="77777777" w:rsidR="00811C5A" w:rsidRPr="00E47983" w:rsidRDefault="00811C5A" w:rsidP="00035553">
            <w:pPr>
              <w:rPr>
                <w:sz w:val="18"/>
                <w:szCs w:val="18"/>
              </w:rPr>
            </w:pPr>
          </w:p>
        </w:tc>
        <w:tc>
          <w:tcPr>
            <w:tcW w:w="2909" w:type="dxa"/>
            <w:tcBorders>
              <w:top w:val="single" w:sz="2" w:space="0" w:color="808080" w:themeColor="background1" w:themeShade="80"/>
              <w:bottom w:val="single" w:sz="2" w:space="0" w:color="auto"/>
            </w:tcBorders>
            <w:shd w:val="clear" w:color="auto" w:fill="886E49"/>
            <w:hideMark/>
          </w:tcPr>
          <w:p w14:paraId="468538D8" w14:textId="77777777" w:rsidR="00811C5A" w:rsidRPr="00E47983" w:rsidRDefault="00811C5A" w:rsidP="00035553">
            <w:pPr>
              <w:pStyle w:val="NormalWeb"/>
              <w:rPr>
                <w:b/>
                <w:bCs/>
                <w:color w:val="FFFFFF" w:themeColor="background1"/>
                <w:sz w:val="18"/>
                <w:szCs w:val="18"/>
              </w:rPr>
            </w:pPr>
            <w:r w:rsidRPr="00E47983">
              <w:rPr>
                <w:b/>
                <w:bCs/>
                <w:color w:val="FFFFFF" w:themeColor="background1"/>
                <w:sz w:val="18"/>
                <w:szCs w:val="18"/>
              </w:rPr>
              <w:t>Total</w:t>
            </w:r>
          </w:p>
        </w:tc>
        <w:tc>
          <w:tcPr>
            <w:tcW w:w="1985" w:type="dxa"/>
            <w:tcBorders>
              <w:top w:val="single" w:sz="2" w:space="0" w:color="808080" w:themeColor="background1" w:themeShade="80"/>
              <w:bottom w:val="single" w:sz="2" w:space="0" w:color="auto"/>
            </w:tcBorders>
            <w:shd w:val="clear" w:color="auto" w:fill="886E49"/>
            <w:hideMark/>
          </w:tcPr>
          <w:p w14:paraId="7FE28477" w14:textId="77777777" w:rsidR="00811C5A" w:rsidRPr="00E47983" w:rsidRDefault="00811C5A" w:rsidP="00035553">
            <w:pPr>
              <w:pStyle w:val="NormalWeb"/>
              <w:jc w:val="center"/>
              <w:rPr>
                <w:b/>
                <w:bCs/>
                <w:color w:val="FFFFFF" w:themeColor="background1"/>
                <w:sz w:val="18"/>
                <w:szCs w:val="18"/>
              </w:rPr>
            </w:pPr>
            <w:r w:rsidRPr="00E47983">
              <w:rPr>
                <w:b/>
                <w:bCs/>
                <w:color w:val="FFFFFF" w:themeColor="background1"/>
                <w:sz w:val="18"/>
                <w:szCs w:val="18"/>
              </w:rPr>
              <w:t>47</w:t>
            </w:r>
          </w:p>
        </w:tc>
        <w:tc>
          <w:tcPr>
            <w:tcW w:w="1417" w:type="dxa"/>
            <w:tcBorders>
              <w:top w:val="single" w:sz="2" w:space="0" w:color="808080" w:themeColor="background1" w:themeShade="80"/>
              <w:bottom w:val="single" w:sz="2" w:space="0" w:color="auto"/>
            </w:tcBorders>
            <w:shd w:val="clear" w:color="auto" w:fill="886E49"/>
            <w:hideMark/>
          </w:tcPr>
          <w:p w14:paraId="3000CCCE" w14:textId="77777777" w:rsidR="00811C5A" w:rsidRPr="00E47983" w:rsidRDefault="00811C5A" w:rsidP="00035553">
            <w:pPr>
              <w:pStyle w:val="NormalWeb"/>
              <w:jc w:val="center"/>
              <w:rPr>
                <w:b/>
                <w:bCs/>
                <w:color w:val="FFFFFF" w:themeColor="background1"/>
                <w:sz w:val="18"/>
                <w:szCs w:val="18"/>
              </w:rPr>
            </w:pPr>
            <w:r w:rsidRPr="00E47983">
              <w:rPr>
                <w:b/>
                <w:bCs/>
                <w:color w:val="FFFFFF" w:themeColor="background1"/>
                <w:sz w:val="18"/>
                <w:szCs w:val="18"/>
              </w:rPr>
              <w:t>11</w:t>
            </w:r>
          </w:p>
        </w:tc>
        <w:tc>
          <w:tcPr>
            <w:tcW w:w="1134" w:type="dxa"/>
            <w:tcBorders>
              <w:top w:val="single" w:sz="2" w:space="0" w:color="808080" w:themeColor="background1" w:themeShade="80"/>
              <w:bottom w:val="single" w:sz="2" w:space="0" w:color="auto"/>
            </w:tcBorders>
            <w:shd w:val="clear" w:color="auto" w:fill="886E49"/>
            <w:hideMark/>
          </w:tcPr>
          <w:p w14:paraId="29BDD32E" w14:textId="77777777" w:rsidR="00811C5A" w:rsidRPr="00E47983" w:rsidRDefault="00811C5A" w:rsidP="00035553">
            <w:pPr>
              <w:pStyle w:val="NormalWeb"/>
              <w:jc w:val="center"/>
              <w:rPr>
                <w:b/>
                <w:bCs/>
                <w:color w:val="FFFFFF" w:themeColor="background1"/>
                <w:sz w:val="18"/>
                <w:szCs w:val="18"/>
              </w:rPr>
            </w:pPr>
            <w:r w:rsidRPr="00E47983">
              <w:rPr>
                <w:b/>
                <w:bCs/>
                <w:color w:val="FFFFFF" w:themeColor="background1"/>
                <w:sz w:val="18"/>
                <w:szCs w:val="18"/>
              </w:rPr>
              <w:t>58</w:t>
            </w:r>
          </w:p>
        </w:tc>
        <w:tc>
          <w:tcPr>
            <w:tcW w:w="1935" w:type="dxa"/>
            <w:tcBorders>
              <w:top w:val="single" w:sz="2" w:space="0" w:color="808080" w:themeColor="background1" w:themeShade="80"/>
              <w:bottom w:val="single" w:sz="2" w:space="0" w:color="auto"/>
            </w:tcBorders>
            <w:shd w:val="clear" w:color="auto" w:fill="886E49"/>
            <w:hideMark/>
          </w:tcPr>
          <w:p w14:paraId="725B451A" w14:textId="77777777" w:rsidR="00811C5A" w:rsidRPr="00E47983" w:rsidRDefault="00811C5A" w:rsidP="00035553">
            <w:pPr>
              <w:pStyle w:val="NormalWeb"/>
              <w:jc w:val="center"/>
              <w:rPr>
                <w:b/>
                <w:bCs/>
                <w:color w:val="FFFFFF" w:themeColor="background1"/>
                <w:sz w:val="18"/>
                <w:szCs w:val="18"/>
              </w:rPr>
            </w:pPr>
            <w:r w:rsidRPr="00E47983">
              <w:rPr>
                <w:b/>
                <w:bCs/>
                <w:color w:val="FFFFFF" w:themeColor="background1"/>
                <w:sz w:val="18"/>
                <w:szCs w:val="18"/>
              </w:rPr>
              <w:t>19.0</w:t>
            </w:r>
          </w:p>
        </w:tc>
      </w:tr>
      <w:tr w:rsidR="00811C5A" w:rsidRPr="00E47983" w14:paraId="1E2DABCC" w14:textId="77777777" w:rsidTr="00D213A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auto"/>
            </w:tcBorders>
            <w:shd w:val="clear" w:color="auto" w:fill="auto"/>
            <w:hideMark/>
          </w:tcPr>
          <w:p w14:paraId="19AA4700" w14:textId="77777777" w:rsidR="00811C5A" w:rsidRPr="00E47983" w:rsidRDefault="00811C5A" w:rsidP="00035553">
            <w:pPr>
              <w:pStyle w:val="NormalWeb"/>
              <w:rPr>
                <w:sz w:val="18"/>
                <w:szCs w:val="18"/>
              </w:rPr>
            </w:pPr>
            <w:r w:rsidRPr="00E47983">
              <w:rPr>
                <w:sz w:val="18"/>
                <w:szCs w:val="18"/>
              </w:rPr>
              <w:t>Age 16–64</w:t>
            </w:r>
          </w:p>
        </w:tc>
        <w:tc>
          <w:tcPr>
            <w:tcW w:w="2909" w:type="dxa"/>
            <w:tcBorders>
              <w:top w:val="single" w:sz="2" w:space="0" w:color="auto"/>
              <w:bottom w:val="single" w:sz="2" w:space="0" w:color="808080" w:themeColor="background1" w:themeShade="80"/>
            </w:tcBorders>
            <w:shd w:val="clear" w:color="auto" w:fill="auto"/>
            <w:hideMark/>
          </w:tcPr>
          <w:p w14:paraId="3472976E" w14:textId="77777777" w:rsidR="00811C5A" w:rsidRPr="00E47983" w:rsidRDefault="00811C5A" w:rsidP="00035553">
            <w:pPr>
              <w:pStyle w:val="NormalWeb"/>
              <w:rPr>
                <w:sz w:val="18"/>
                <w:szCs w:val="18"/>
              </w:rPr>
            </w:pPr>
            <w:r w:rsidRPr="00E47983">
              <w:rPr>
                <w:sz w:val="18"/>
                <w:szCs w:val="18"/>
              </w:rPr>
              <w:t>No risk factors</w:t>
            </w:r>
          </w:p>
        </w:tc>
        <w:tc>
          <w:tcPr>
            <w:tcW w:w="1985" w:type="dxa"/>
            <w:tcBorders>
              <w:top w:val="single" w:sz="2" w:space="0" w:color="auto"/>
              <w:bottom w:val="single" w:sz="2" w:space="0" w:color="808080" w:themeColor="background1" w:themeShade="80"/>
            </w:tcBorders>
            <w:shd w:val="clear" w:color="auto" w:fill="auto"/>
            <w:hideMark/>
          </w:tcPr>
          <w:p w14:paraId="2B2814EE" w14:textId="77777777" w:rsidR="00811C5A" w:rsidRPr="00E47983" w:rsidRDefault="00811C5A" w:rsidP="00035553">
            <w:pPr>
              <w:pStyle w:val="NormalWeb"/>
              <w:jc w:val="center"/>
              <w:rPr>
                <w:sz w:val="18"/>
                <w:szCs w:val="18"/>
              </w:rPr>
            </w:pPr>
            <w:r w:rsidRPr="00E47983">
              <w:rPr>
                <w:sz w:val="18"/>
                <w:szCs w:val="18"/>
              </w:rPr>
              <w:t>56</w:t>
            </w:r>
          </w:p>
        </w:tc>
        <w:tc>
          <w:tcPr>
            <w:tcW w:w="1417" w:type="dxa"/>
            <w:tcBorders>
              <w:top w:val="single" w:sz="2" w:space="0" w:color="auto"/>
              <w:bottom w:val="single" w:sz="2" w:space="0" w:color="808080" w:themeColor="background1" w:themeShade="80"/>
            </w:tcBorders>
            <w:shd w:val="clear" w:color="auto" w:fill="auto"/>
            <w:hideMark/>
          </w:tcPr>
          <w:p w14:paraId="3BB7AA41" w14:textId="77777777" w:rsidR="00811C5A" w:rsidRPr="00E47983" w:rsidRDefault="00811C5A" w:rsidP="00035553">
            <w:pPr>
              <w:pStyle w:val="NormalWeb"/>
              <w:jc w:val="center"/>
              <w:rPr>
                <w:sz w:val="18"/>
                <w:szCs w:val="18"/>
              </w:rPr>
            </w:pPr>
            <w:r w:rsidRPr="00E47983">
              <w:rPr>
                <w:sz w:val="18"/>
                <w:szCs w:val="18"/>
              </w:rPr>
              <w:t>33</w:t>
            </w:r>
          </w:p>
        </w:tc>
        <w:tc>
          <w:tcPr>
            <w:tcW w:w="1134" w:type="dxa"/>
            <w:tcBorders>
              <w:top w:val="single" w:sz="2" w:space="0" w:color="auto"/>
              <w:bottom w:val="single" w:sz="2" w:space="0" w:color="808080" w:themeColor="background1" w:themeShade="80"/>
            </w:tcBorders>
            <w:shd w:val="clear" w:color="auto" w:fill="auto"/>
            <w:hideMark/>
          </w:tcPr>
          <w:p w14:paraId="100B5782" w14:textId="77777777" w:rsidR="00811C5A" w:rsidRPr="00E47983" w:rsidRDefault="00811C5A" w:rsidP="00035553">
            <w:pPr>
              <w:pStyle w:val="NormalWeb"/>
              <w:jc w:val="center"/>
              <w:rPr>
                <w:sz w:val="18"/>
                <w:szCs w:val="18"/>
              </w:rPr>
            </w:pPr>
            <w:r w:rsidRPr="00E47983">
              <w:rPr>
                <w:sz w:val="18"/>
                <w:szCs w:val="18"/>
              </w:rPr>
              <w:t>89</w:t>
            </w:r>
          </w:p>
        </w:tc>
        <w:tc>
          <w:tcPr>
            <w:tcW w:w="1935" w:type="dxa"/>
            <w:tcBorders>
              <w:top w:val="single" w:sz="2" w:space="0" w:color="auto"/>
              <w:bottom w:val="single" w:sz="2" w:space="0" w:color="808080" w:themeColor="background1" w:themeShade="80"/>
            </w:tcBorders>
            <w:shd w:val="clear" w:color="auto" w:fill="auto"/>
            <w:hideMark/>
          </w:tcPr>
          <w:p w14:paraId="1E28CC2D" w14:textId="77777777" w:rsidR="00811C5A" w:rsidRPr="00E47983" w:rsidRDefault="00811C5A" w:rsidP="00035553">
            <w:pPr>
              <w:pStyle w:val="NormalWeb"/>
              <w:jc w:val="center"/>
              <w:rPr>
                <w:sz w:val="18"/>
                <w:szCs w:val="18"/>
              </w:rPr>
            </w:pPr>
            <w:r w:rsidRPr="00E47983">
              <w:rPr>
                <w:sz w:val="18"/>
                <w:szCs w:val="18"/>
              </w:rPr>
              <w:t>37.1</w:t>
            </w:r>
          </w:p>
        </w:tc>
      </w:tr>
      <w:tr w:rsidR="00811C5A" w:rsidRPr="00E47983" w14:paraId="4DB587D9" w14:textId="77777777" w:rsidTr="00D213AD">
        <w:tblPrEx>
          <w:tblCellMar>
            <w:top w:w="57" w:type="dxa"/>
            <w:left w:w="57" w:type="dxa"/>
            <w:bottom w:w="57" w:type="dxa"/>
            <w:right w:w="57" w:type="dxa"/>
          </w:tblCellMar>
        </w:tblPrEx>
        <w:tc>
          <w:tcPr>
            <w:tcW w:w="0" w:type="auto"/>
            <w:vMerge/>
            <w:shd w:val="clear" w:color="auto" w:fill="auto"/>
            <w:hideMark/>
          </w:tcPr>
          <w:p w14:paraId="59247598" w14:textId="77777777" w:rsidR="00811C5A" w:rsidRPr="00E47983" w:rsidRDefault="00811C5A" w:rsidP="00035553">
            <w:pPr>
              <w:rPr>
                <w:sz w:val="18"/>
                <w:szCs w:val="18"/>
              </w:rPr>
            </w:pPr>
          </w:p>
        </w:tc>
        <w:tc>
          <w:tcPr>
            <w:tcW w:w="2909" w:type="dxa"/>
            <w:tcBorders>
              <w:top w:val="single" w:sz="2" w:space="0" w:color="808080" w:themeColor="background1" w:themeShade="80"/>
            </w:tcBorders>
            <w:shd w:val="clear" w:color="auto" w:fill="auto"/>
            <w:hideMark/>
          </w:tcPr>
          <w:p w14:paraId="66C022CE" w14:textId="77777777" w:rsidR="00811C5A" w:rsidRPr="00E47983" w:rsidRDefault="00811C5A" w:rsidP="00035553">
            <w:pPr>
              <w:pStyle w:val="NormalWeb"/>
              <w:rPr>
                <w:sz w:val="18"/>
                <w:szCs w:val="18"/>
              </w:rPr>
            </w:pPr>
            <w:r w:rsidRPr="00E47983">
              <w:rPr>
                <w:sz w:val="18"/>
                <w:szCs w:val="18"/>
              </w:rPr>
              <w:t>Risk factors</w:t>
            </w:r>
          </w:p>
        </w:tc>
        <w:tc>
          <w:tcPr>
            <w:tcW w:w="1985" w:type="dxa"/>
            <w:tcBorders>
              <w:top w:val="single" w:sz="2" w:space="0" w:color="808080" w:themeColor="background1" w:themeShade="80"/>
            </w:tcBorders>
            <w:shd w:val="clear" w:color="auto" w:fill="auto"/>
            <w:hideMark/>
          </w:tcPr>
          <w:p w14:paraId="740429D3" w14:textId="77777777" w:rsidR="00811C5A" w:rsidRPr="00E47983" w:rsidRDefault="00811C5A" w:rsidP="00035553">
            <w:pPr>
              <w:pStyle w:val="NormalWeb"/>
              <w:jc w:val="center"/>
              <w:rPr>
                <w:sz w:val="18"/>
                <w:szCs w:val="18"/>
              </w:rPr>
            </w:pPr>
            <w:r w:rsidRPr="00E47983">
              <w:rPr>
                <w:sz w:val="18"/>
                <w:szCs w:val="18"/>
              </w:rPr>
              <w:t>52</w:t>
            </w:r>
          </w:p>
        </w:tc>
        <w:tc>
          <w:tcPr>
            <w:tcW w:w="1417" w:type="dxa"/>
            <w:tcBorders>
              <w:top w:val="single" w:sz="2" w:space="0" w:color="808080" w:themeColor="background1" w:themeShade="80"/>
            </w:tcBorders>
            <w:shd w:val="clear" w:color="auto" w:fill="auto"/>
            <w:hideMark/>
          </w:tcPr>
          <w:p w14:paraId="5EC5808E" w14:textId="77777777" w:rsidR="00811C5A" w:rsidRPr="00E47983" w:rsidRDefault="00811C5A" w:rsidP="00035553">
            <w:pPr>
              <w:pStyle w:val="NormalWeb"/>
              <w:jc w:val="center"/>
              <w:rPr>
                <w:sz w:val="18"/>
                <w:szCs w:val="18"/>
              </w:rPr>
            </w:pPr>
            <w:r w:rsidRPr="00E47983">
              <w:rPr>
                <w:sz w:val="18"/>
                <w:szCs w:val="18"/>
              </w:rPr>
              <w:t>52</w:t>
            </w:r>
          </w:p>
        </w:tc>
        <w:tc>
          <w:tcPr>
            <w:tcW w:w="1134" w:type="dxa"/>
            <w:tcBorders>
              <w:top w:val="single" w:sz="2" w:space="0" w:color="808080" w:themeColor="background1" w:themeShade="80"/>
            </w:tcBorders>
            <w:shd w:val="clear" w:color="auto" w:fill="auto"/>
            <w:hideMark/>
          </w:tcPr>
          <w:p w14:paraId="59E1BFFF" w14:textId="77777777" w:rsidR="00811C5A" w:rsidRPr="00E47983" w:rsidRDefault="00811C5A" w:rsidP="00035553">
            <w:pPr>
              <w:pStyle w:val="NormalWeb"/>
              <w:jc w:val="center"/>
              <w:rPr>
                <w:sz w:val="18"/>
                <w:szCs w:val="18"/>
              </w:rPr>
            </w:pPr>
            <w:r w:rsidRPr="00E47983">
              <w:rPr>
                <w:sz w:val="18"/>
                <w:szCs w:val="18"/>
              </w:rPr>
              <w:t>104</w:t>
            </w:r>
          </w:p>
        </w:tc>
        <w:tc>
          <w:tcPr>
            <w:tcW w:w="1935" w:type="dxa"/>
            <w:tcBorders>
              <w:top w:val="single" w:sz="2" w:space="0" w:color="808080" w:themeColor="background1" w:themeShade="80"/>
            </w:tcBorders>
            <w:shd w:val="clear" w:color="auto" w:fill="auto"/>
            <w:hideMark/>
          </w:tcPr>
          <w:p w14:paraId="448F6F81" w14:textId="77777777" w:rsidR="00811C5A" w:rsidRPr="00E47983" w:rsidRDefault="00811C5A" w:rsidP="00035553">
            <w:pPr>
              <w:pStyle w:val="NormalWeb"/>
              <w:jc w:val="center"/>
              <w:rPr>
                <w:sz w:val="18"/>
                <w:szCs w:val="18"/>
              </w:rPr>
            </w:pPr>
            <w:r w:rsidRPr="00E47983">
              <w:rPr>
                <w:sz w:val="18"/>
                <w:szCs w:val="18"/>
              </w:rPr>
              <w:t>50.0</w:t>
            </w:r>
          </w:p>
        </w:tc>
      </w:tr>
      <w:tr w:rsidR="00E47983" w:rsidRPr="00E47983" w14:paraId="7C786145" w14:textId="77777777" w:rsidTr="00D213A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2" w:space="0" w:color="auto"/>
            </w:tcBorders>
            <w:shd w:val="clear" w:color="auto" w:fill="auto"/>
            <w:hideMark/>
          </w:tcPr>
          <w:p w14:paraId="48295D75" w14:textId="77777777" w:rsidR="00811C5A" w:rsidRPr="00E47983" w:rsidRDefault="00811C5A" w:rsidP="00035553">
            <w:pPr>
              <w:rPr>
                <w:sz w:val="18"/>
                <w:szCs w:val="18"/>
              </w:rPr>
            </w:pPr>
          </w:p>
        </w:tc>
        <w:tc>
          <w:tcPr>
            <w:tcW w:w="2909" w:type="dxa"/>
            <w:tcBorders>
              <w:bottom w:val="single" w:sz="2" w:space="0" w:color="auto"/>
            </w:tcBorders>
            <w:shd w:val="clear" w:color="auto" w:fill="886E49"/>
            <w:hideMark/>
          </w:tcPr>
          <w:p w14:paraId="75F3323C" w14:textId="77777777" w:rsidR="00811C5A" w:rsidRPr="00E47983" w:rsidRDefault="00811C5A" w:rsidP="00035553">
            <w:pPr>
              <w:pStyle w:val="NormalWeb"/>
              <w:rPr>
                <w:b/>
                <w:bCs/>
                <w:color w:val="FFFFFF" w:themeColor="background1"/>
                <w:sz w:val="18"/>
                <w:szCs w:val="18"/>
              </w:rPr>
            </w:pPr>
            <w:r w:rsidRPr="00E47983">
              <w:rPr>
                <w:b/>
                <w:bCs/>
                <w:color w:val="FFFFFF" w:themeColor="background1"/>
                <w:sz w:val="18"/>
                <w:szCs w:val="18"/>
              </w:rPr>
              <w:t>Total</w:t>
            </w:r>
          </w:p>
        </w:tc>
        <w:tc>
          <w:tcPr>
            <w:tcW w:w="1985" w:type="dxa"/>
            <w:tcBorders>
              <w:bottom w:val="single" w:sz="2" w:space="0" w:color="auto"/>
            </w:tcBorders>
            <w:shd w:val="clear" w:color="auto" w:fill="886E49"/>
            <w:hideMark/>
          </w:tcPr>
          <w:p w14:paraId="0DDB14BF" w14:textId="77777777" w:rsidR="00811C5A" w:rsidRPr="00E47983" w:rsidRDefault="00811C5A" w:rsidP="00035553">
            <w:pPr>
              <w:pStyle w:val="NormalWeb"/>
              <w:jc w:val="center"/>
              <w:rPr>
                <w:b/>
                <w:bCs/>
                <w:color w:val="FFFFFF" w:themeColor="background1"/>
                <w:sz w:val="18"/>
                <w:szCs w:val="18"/>
              </w:rPr>
            </w:pPr>
            <w:r w:rsidRPr="00E47983">
              <w:rPr>
                <w:b/>
                <w:bCs/>
                <w:color w:val="FFFFFF" w:themeColor="background1"/>
                <w:sz w:val="18"/>
                <w:szCs w:val="18"/>
              </w:rPr>
              <w:t>108</w:t>
            </w:r>
          </w:p>
        </w:tc>
        <w:tc>
          <w:tcPr>
            <w:tcW w:w="1417" w:type="dxa"/>
            <w:tcBorders>
              <w:bottom w:val="single" w:sz="2" w:space="0" w:color="auto"/>
            </w:tcBorders>
            <w:shd w:val="clear" w:color="auto" w:fill="886E49"/>
            <w:hideMark/>
          </w:tcPr>
          <w:p w14:paraId="28B79B0F" w14:textId="77777777" w:rsidR="00811C5A" w:rsidRPr="00E47983" w:rsidRDefault="00811C5A" w:rsidP="00035553">
            <w:pPr>
              <w:pStyle w:val="NormalWeb"/>
              <w:jc w:val="center"/>
              <w:rPr>
                <w:b/>
                <w:bCs/>
                <w:color w:val="FFFFFF" w:themeColor="background1"/>
                <w:sz w:val="18"/>
                <w:szCs w:val="18"/>
              </w:rPr>
            </w:pPr>
            <w:r w:rsidRPr="00E47983">
              <w:rPr>
                <w:b/>
                <w:bCs/>
                <w:color w:val="FFFFFF" w:themeColor="background1"/>
                <w:sz w:val="18"/>
                <w:szCs w:val="18"/>
              </w:rPr>
              <w:t>85</w:t>
            </w:r>
          </w:p>
        </w:tc>
        <w:tc>
          <w:tcPr>
            <w:tcW w:w="1134" w:type="dxa"/>
            <w:tcBorders>
              <w:bottom w:val="single" w:sz="2" w:space="0" w:color="auto"/>
            </w:tcBorders>
            <w:shd w:val="clear" w:color="auto" w:fill="886E49"/>
            <w:hideMark/>
          </w:tcPr>
          <w:p w14:paraId="26C466B7" w14:textId="77777777" w:rsidR="00811C5A" w:rsidRPr="00E47983" w:rsidRDefault="00811C5A" w:rsidP="00035553">
            <w:pPr>
              <w:pStyle w:val="NormalWeb"/>
              <w:jc w:val="center"/>
              <w:rPr>
                <w:b/>
                <w:bCs/>
                <w:color w:val="FFFFFF" w:themeColor="background1"/>
                <w:sz w:val="18"/>
                <w:szCs w:val="18"/>
              </w:rPr>
            </w:pPr>
            <w:r w:rsidRPr="00E47983">
              <w:rPr>
                <w:b/>
                <w:bCs/>
                <w:color w:val="FFFFFF" w:themeColor="background1"/>
                <w:sz w:val="18"/>
                <w:szCs w:val="18"/>
              </w:rPr>
              <w:t>193</w:t>
            </w:r>
          </w:p>
        </w:tc>
        <w:tc>
          <w:tcPr>
            <w:tcW w:w="1935" w:type="dxa"/>
            <w:tcBorders>
              <w:bottom w:val="single" w:sz="2" w:space="0" w:color="auto"/>
            </w:tcBorders>
            <w:shd w:val="clear" w:color="auto" w:fill="886E49"/>
            <w:hideMark/>
          </w:tcPr>
          <w:p w14:paraId="57A55345" w14:textId="77777777" w:rsidR="00811C5A" w:rsidRPr="00E47983" w:rsidRDefault="00811C5A" w:rsidP="00035553">
            <w:pPr>
              <w:pStyle w:val="NormalWeb"/>
              <w:jc w:val="center"/>
              <w:rPr>
                <w:b/>
                <w:bCs/>
                <w:color w:val="FFFFFF" w:themeColor="background1"/>
                <w:sz w:val="18"/>
                <w:szCs w:val="18"/>
              </w:rPr>
            </w:pPr>
            <w:r w:rsidRPr="00E47983">
              <w:rPr>
                <w:b/>
                <w:bCs/>
                <w:color w:val="FFFFFF" w:themeColor="background1"/>
                <w:sz w:val="18"/>
                <w:szCs w:val="18"/>
              </w:rPr>
              <w:t>44.0</w:t>
            </w:r>
          </w:p>
        </w:tc>
      </w:tr>
      <w:tr w:rsidR="00811C5A" w:rsidRPr="00E47983" w14:paraId="3DFDADCF" w14:textId="77777777" w:rsidTr="00D213AD">
        <w:tblPrEx>
          <w:tblCellMar>
            <w:top w:w="57" w:type="dxa"/>
            <w:left w:w="57" w:type="dxa"/>
            <w:bottom w:w="57" w:type="dxa"/>
            <w:right w:w="57" w:type="dxa"/>
          </w:tblCellMar>
        </w:tblPrEx>
        <w:tc>
          <w:tcPr>
            <w:tcW w:w="0" w:type="auto"/>
            <w:vMerge w:val="restart"/>
            <w:tcBorders>
              <w:top w:val="single" w:sz="2" w:space="0" w:color="auto"/>
            </w:tcBorders>
            <w:shd w:val="clear" w:color="auto" w:fill="auto"/>
            <w:hideMark/>
          </w:tcPr>
          <w:p w14:paraId="313880CA" w14:textId="77777777" w:rsidR="00811C5A" w:rsidRPr="00E47983" w:rsidRDefault="00811C5A" w:rsidP="00035553">
            <w:pPr>
              <w:pStyle w:val="NormalWeb"/>
              <w:rPr>
                <w:sz w:val="18"/>
                <w:szCs w:val="18"/>
              </w:rPr>
            </w:pPr>
            <w:r w:rsidRPr="00E47983">
              <w:rPr>
                <w:sz w:val="18"/>
                <w:szCs w:val="18"/>
              </w:rPr>
              <w:t>Age ≥ 65</w:t>
            </w:r>
          </w:p>
        </w:tc>
        <w:tc>
          <w:tcPr>
            <w:tcW w:w="2909" w:type="dxa"/>
            <w:tcBorders>
              <w:top w:val="single" w:sz="2" w:space="0" w:color="auto"/>
              <w:bottom w:val="single" w:sz="2" w:space="0" w:color="808080" w:themeColor="background1" w:themeShade="80"/>
            </w:tcBorders>
            <w:shd w:val="clear" w:color="auto" w:fill="auto"/>
            <w:hideMark/>
          </w:tcPr>
          <w:p w14:paraId="5FB18E70" w14:textId="77777777" w:rsidR="00811C5A" w:rsidRPr="00E47983" w:rsidRDefault="00811C5A" w:rsidP="00035553">
            <w:pPr>
              <w:pStyle w:val="NormalWeb"/>
              <w:rPr>
                <w:sz w:val="18"/>
                <w:szCs w:val="18"/>
              </w:rPr>
            </w:pPr>
            <w:r w:rsidRPr="00E47983">
              <w:rPr>
                <w:sz w:val="18"/>
                <w:szCs w:val="18"/>
              </w:rPr>
              <w:t>No risk factors</w:t>
            </w:r>
          </w:p>
        </w:tc>
        <w:tc>
          <w:tcPr>
            <w:tcW w:w="1985" w:type="dxa"/>
            <w:tcBorders>
              <w:top w:val="single" w:sz="2" w:space="0" w:color="auto"/>
              <w:bottom w:val="single" w:sz="2" w:space="0" w:color="808080" w:themeColor="background1" w:themeShade="80"/>
            </w:tcBorders>
            <w:shd w:val="clear" w:color="auto" w:fill="auto"/>
            <w:hideMark/>
          </w:tcPr>
          <w:p w14:paraId="39B23C59" w14:textId="77777777" w:rsidR="00811C5A" w:rsidRPr="00E47983" w:rsidRDefault="00811C5A" w:rsidP="00035553">
            <w:pPr>
              <w:pStyle w:val="NormalWeb"/>
              <w:jc w:val="center"/>
              <w:rPr>
                <w:sz w:val="18"/>
                <w:szCs w:val="18"/>
              </w:rPr>
            </w:pPr>
            <w:r w:rsidRPr="00E47983">
              <w:rPr>
                <w:sz w:val="18"/>
                <w:szCs w:val="18"/>
              </w:rPr>
              <w:t>9</w:t>
            </w:r>
          </w:p>
        </w:tc>
        <w:tc>
          <w:tcPr>
            <w:tcW w:w="1417" w:type="dxa"/>
            <w:tcBorders>
              <w:top w:val="single" w:sz="2" w:space="0" w:color="auto"/>
              <w:bottom w:val="single" w:sz="2" w:space="0" w:color="808080" w:themeColor="background1" w:themeShade="80"/>
            </w:tcBorders>
            <w:shd w:val="clear" w:color="auto" w:fill="auto"/>
            <w:hideMark/>
          </w:tcPr>
          <w:p w14:paraId="05C1FE20" w14:textId="77777777" w:rsidR="00811C5A" w:rsidRPr="00E47983" w:rsidRDefault="00811C5A" w:rsidP="00035553">
            <w:pPr>
              <w:pStyle w:val="NormalWeb"/>
              <w:jc w:val="center"/>
              <w:rPr>
                <w:sz w:val="18"/>
                <w:szCs w:val="18"/>
              </w:rPr>
            </w:pPr>
            <w:r w:rsidRPr="00E47983">
              <w:rPr>
                <w:sz w:val="18"/>
                <w:szCs w:val="18"/>
              </w:rPr>
              <w:t>12</w:t>
            </w:r>
          </w:p>
        </w:tc>
        <w:tc>
          <w:tcPr>
            <w:tcW w:w="1134" w:type="dxa"/>
            <w:tcBorders>
              <w:top w:val="single" w:sz="2" w:space="0" w:color="auto"/>
              <w:bottom w:val="single" w:sz="2" w:space="0" w:color="808080" w:themeColor="background1" w:themeShade="80"/>
            </w:tcBorders>
            <w:shd w:val="clear" w:color="auto" w:fill="auto"/>
            <w:hideMark/>
          </w:tcPr>
          <w:p w14:paraId="7E3EB24A" w14:textId="77777777" w:rsidR="00811C5A" w:rsidRPr="00E47983" w:rsidRDefault="00811C5A" w:rsidP="00035553">
            <w:pPr>
              <w:pStyle w:val="NormalWeb"/>
              <w:jc w:val="center"/>
              <w:rPr>
                <w:sz w:val="18"/>
                <w:szCs w:val="18"/>
              </w:rPr>
            </w:pPr>
            <w:r w:rsidRPr="00E47983">
              <w:rPr>
                <w:sz w:val="18"/>
                <w:szCs w:val="18"/>
              </w:rPr>
              <w:t>21</w:t>
            </w:r>
          </w:p>
        </w:tc>
        <w:tc>
          <w:tcPr>
            <w:tcW w:w="1935" w:type="dxa"/>
            <w:tcBorders>
              <w:top w:val="single" w:sz="2" w:space="0" w:color="auto"/>
              <w:bottom w:val="single" w:sz="2" w:space="0" w:color="808080" w:themeColor="background1" w:themeShade="80"/>
            </w:tcBorders>
            <w:shd w:val="clear" w:color="auto" w:fill="auto"/>
            <w:hideMark/>
          </w:tcPr>
          <w:p w14:paraId="464AC894" w14:textId="77777777" w:rsidR="00811C5A" w:rsidRPr="00E47983" w:rsidRDefault="00811C5A" w:rsidP="00035553">
            <w:pPr>
              <w:pStyle w:val="NormalWeb"/>
              <w:jc w:val="center"/>
              <w:rPr>
                <w:sz w:val="18"/>
                <w:szCs w:val="18"/>
              </w:rPr>
            </w:pPr>
            <w:r w:rsidRPr="00E47983">
              <w:rPr>
                <w:sz w:val="18"/>
                <w:szCs w:val="18"/>
              </w:rPr>
              <w:t>57.1</w:t>
            </w:r>
          </w:p>
        </w:tc>
      </w:tr>
      <w:tr w:rsidR="00811C5A" w:rsidRPr="00E47983" w14:paraId="0E6C1059" w14:textId="77777777" w:rsidTr="00D213A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4801A216" w14:textId="77777777" w:rsidR="00811C5A" w:rsidRPr="00E47983" w:rsidRDefault="00811C5A" w:rsidP="00035553">
            <w:pPr>
              <w:rPr>
                <w:sz w:val="18"/>
                <w:szCs w:val="18"/>
              </w:rPr>
            </w:pPr>
          </w:p>
        </w:tc>
        <w:tc>
          <w:tcPr>
            <w:tcW w:w="2909" w:type="dxa"/>
            <w:tcBorders>
              <w:top w:val="single" w:sz="2" w:space="0" w:color="808080" w:themeColor="background1" w:themeShade="80"/>
              <w:bottom w:val="single" w:sz="2" w:space="0" w:color="808080" w:themeColor="background1" w:themeShade="80"/>
            </w:tcBorders>
            <w:shd w:val="clear" w:color="auto" w:fill="auto"/>
            <w:hideMark/>
          </w:tcPr>
          <w:p w14:paraId="01B3EF34" w14:textId="77777777" w:rsidR="00811C5A" w:rsidRPr="00E47983" w:rsidRDefault="00811C5A" w:rsidP="00035553">
            <w:pPr>
              <w:pStyle w:val="NormalWeb"/>
              <w:rPr>
                <w:sz w:val="18"/>
                <w:szCs w:val="18"/>
              </w:rPr>
            </w:pPr>
            <w:r w:rsidRPr="00E47983">
              <w:rPr>
                <w:sz w:val="18"/>
                <w:szCs w:val="18"/>
              </w:rPr>
              <w:t>Risk factors</w:t>
            </w:r>
          </w:p>
        </w:tc>
        <w:tc>
          <w:tcPr>
            <w:tcW w:w="1985" w:type="dxa"/>
            <w:tcBorders>
              <w:top w:val="single" w:sz="2" w:space="0" w:color="808080" w:themeColor="background1" w:themeShade="80"/>
              <w:bottom w:val="single" w:sz="2" w:space="0" w:color="808080" w:themeColor="background1" w:themeShade="80"/>
            </w:tcBorders>
            <w:shd w:val="clear" w:color="auto" w:fill="auto"/>
            <w:hideMark/>
          </w:tcPr>
          <w:p w14:paraId="6EEC3CC2" w14:textId="77777777" w:rsidR="00811C5A" w:rsidRPr="00E47983" w:rsidRDefault="00811C5A" w:rsidP="00035553">
            <w:pPr>
              <w:pStyle w:val="NormalWeb"/>
              <w:jc w:val="center"/>
              <w:rPr>
                <w:sz w:val="18"/>
                <w:szCs w:val="18"/>
              </w:rPr>
            </w:pPr>
            <w:r w:rsidRPr="00E47983">
              <w:rPr>
                <w:sz w:val="18"/>
                <w:szCs w:val="18"/>
              </w:rPr>
              <w:t>31</w:t>
            </w:r>
          </w:p>
        </w:tc>
        <w:tc>
          <w:tcPr>
            <w:tcW w:w="1417" w:type="dxa"/>
            <w:tcBorders>
              <w:top w:val="single" w:sz="2" w:space="0" w:color="808080" w:themeColor="background1" w:themeShade="80"/>
              <w:bottom w:val="single" w:sz="2" w:space="0" w:color="808080" w:themeColor="background1" w:themeShade="80"/>
            </w:tcBorders>
            <w:shd w:val="clear" w:color="auto" w:fill="auto"/>
            <w:hideMark/>
          </w:tcPr>
          <w:p w14:paraId="77E3D862" w14:textId="77777777" w:rsidR="00811C5A" w:rsidRPr="00E47983" w:rsidRDefault="00811C5A" w:rsidP="00035553">
            <w:pPr>
              <w:pStyle w:val="NormalWeb"/>
              <w:jc w:val="center"/>
              <w:rPr>
                <w:sz w:val="18"/>
                <w:szCs w:val="18"/>
              </w:rPr>
            </w:pPr>
            <w:r w:rsidRPr="00E47983">
              <w:rPr>
                <w:sz w:val="18"/>
                <w:szCs w:val="18"/>
              </w:rPr>
              <w:t>88</w:t>
            </w:r>
          </w:p>
        </w:tc>
        <w:tc>
          <w:tcPr>
            <w:tcW w:w="1134" w:type="dxa"/>
            <w:tcBorders>
              <w:top w:val="single" w:sz="2" w:space="0" w:color="808080" w:themeColor="background1" w:themeShade="80"/>
              <w:bottom w:val="single" w:sz="2" w:space="0" w:color="808080" w:themeColor="background1" w:themeShade="80"/>
            </w:tcBorders>
            <w:shd w:val="clear" w:color="auto" w:fill="auto"/>
            <w:hideMark/>
          </w:tcPr>
          <w:p w14:paraId="7AF12CBF" w14:textId="77777777" w:rsidR="00811C5A" w:rsidRPr="00E47983" w:rsidRDefault="00811C5A" w:rsidP="00035553">
            <w:pPr>
              <w:pStyle w:val="NormalWeb"/>
              <w:jc w:val="center"/>
              <w:rPr>
                <w:sz w:val="18"/>
                <w:szCs w:val="18"/>
              </w:rPr>
            </w:pPr>
            <w:r w:rsidRPr="00E47983">
              <w:rPr>
                <w:sz w:val="18"/>
                <w:szCs w:val="18"/>
              </w:rPr>
              <w:t>119</w:t>
            </w:r>
          </w:p>
        </w:tc>
        <w:tc>
          <w:tcPr>
            <w:tcW w:w="1935" w:type="dxa"/>
            <w:tcBorders>
              <w:top w:val="single" w:sz="2" w:space="0" w:color="808080" w:themeColor="background1" w:themeShade="80"/>
              <w:bottom w:val="single" w:sz="2" w:space="0" w:color="808080" w:themeColor="background1" w:themeShade="80"/>
            </w:tcBorders>
            <w:shd w:val="clear" w:color="auto" w:fill="auto"/>
            <w:hideMark/>
          </w:tcPr>
          <w:p w14:paraId="114E930D" w14:textId="77777777" w:rsidR="00811C5A" w:rsidRPr="00E47983" w:rsidRDefault="00811C5A" w:rsidP="00035553">
            <w:pPr>
              <w:pStyle w:val="NormalWeb"/>
              <w:jc w:val="center"/>
              <w:rPr>
                <w:sz w:val="18"/>
                <w:szCs w:val="18"/>
              </w:rPr>
            </w:pPr>
            <w:r w:rsidRPr="00E47983">
              <w:rPr>
                <w:sz w:val="18"/>
                <w:szCs w:val="18"/>
              </w:rPr>
              <w:t>73.9</w:t>
            </w:r>
          </w:p>
        </w:tc>
      </w:tr>
      <w:tr w:rsidR="00E47983" w:rsidRPr="00E47983" w14:paraId="75F25E5B" w14:textId="77777777" w:rsidTr="00D213AD">
        <w:tblPrEx>
          <w:tblCellMar>
            <w:top w:w="57" w:type="dxa"/>
            <w:left w:w="57" w:type="dxa"/>
            <w:bottom w:w="57" w:type="dxa"/>
            <w:right w:w="57" w:type="dxa"/>
          </w:tblCellMar>
        </w:tblPrEx>
        <w:tc>
          <w:tcPr>
            <w:tcW w:w="0" w:type="auto"/>
            <w:shd w:val="clear" w:color="auto" w:fill="auto"/>
            <w:hideMark/>
          </w:tcPr>
          <w:p w14:paraId="62BBE9C4" w14:textId="77777777" w:rsidR="00811C5A" w:rsidRPr="00E47983" w:rsidRDefault="00811C5A" w:rsidP="00035553">
            <w:pPr>
              <w:rPr>
                <w:sz w:val="18"/>
                <w:szCs w:val="18"/>
              </w:rPr>
            </w:pPr>
          </w:p>
        </w:tc>
        <w:tc>
          <w:tcPr>
            <w:tcW w:w="2909" w:type="dxa"/>
            <w:tcBorders>
              <w:top w:val="single" w:sz="2" w:space="0" w:color="808080" w:themeColor="background1" w:themeShade="80"/>
              <w:bottom w:val="single" w:sz="2" w:space="0" w:color="808080" w:themeColor="background1" w:themeShade="80"/>
            </w:tcBorders>
            <w:shd w:val="clear" w:color="auto" w:fill="886E49"/>
            <w:hideMark/>
          </w:tcPr>
          <w:p w14:paraId="5E03F053" w14:textId="77777777" w:rsidR="00811C5A" w:rsidRPr="00E47983" w:rsidRDefault="00811C5A" w:rsidP="00035553">
            <w:pPr>
              <w:pStyle w:val="NormalWeb"/>
              <w:rPr>
                <w:b/>
                <w:bCs/>
                <w:color w:val="FFFFFF" w:themeColor="background1"/>
                <w:sz w:val="18"/>
                <w:szCs w:val="18"/>
              </w:rPr>
            </w:pPr>
            <w:r w:rsidRPr="00E47983">
              <w:rPr>
                <w:b/>
                <w:bCs/>
                <w:color w:val="FFFFFF" w:themeColor="background1"/>
                <w:sz w:val="18"/>
                <w:szCs w:val="18"/>
              </w:rPr>
              <w:t>Total</w:t>
            </w:r>
          </w:p>
        </w:tc>
        <w:tc>
          <w:tcPr>
            <w:tcW w:w="1985" w:type="dxa"/>
            <w:tcBorders>
              <w:top w:val="single" w:sz="2" w:space="0" w:color="808080" w:themeColor="background1" w:themeShade="80"/>
              <w:bottom w:val="single" w:sz="2" w:space="0" w:color="808080" w:themeColor="background1" w:themeShade="80"/>
            </w:tcBorders>
            <w:shd w:val="clear" w:color="auto" w:fill="886E49"/>
            <w:hideMark/>
          </w:tcPr>
          <w:p w14:paraId="58277E1C" w14:textId="77777777" w:rsidR="00811C5A" w:rsidRPr="00E47983" w:rsidRDefault="00811C5A" w:rsidP="00035553">
            <w:pPr>
              <w:pStyle w:val="NormalWeb"/>
              <w:jc w:val="center"/>
              <w:rPr>
                <w:b/>
                <w:bCs/>
                <w:color w:val="FFFFFF" w:themeColor="background1"/>
                <w:sz w:val="18"/>
                <w:szCs w:val="18"/>
              </w:rPr>
            </w:pPr>
            <w:r w:rsidRPr="00E47983">
              <w:rPr>
                <w:b/>
                <w:bCs/>
                <w:color w:val="FFFFFF" w:themeColor="background1"/>
                <w:sz w:val="18"/>
                <w:szCs w:val="18"/>
              </w:rPr>
              <w:t>40</w:t>
            </w:r>
          </w:p>
        </w:tc>
        <w:tc>
          <w:tcPr>
            <w:tcW w:w="1417" w:type="dxa"/>
            <w:tcBorders>
              <w:top w:val="single" w:sz="2" w:space="0" w:color="808080" w:themeColor="background1" w:themeShade="80"/>
              <w:bottom w:val="single" w:sz="2" w:space="0" w:color="808080" w:themeColor="background1" w:themeShade="80"/>
            </w:tcBorders>
            <w:shd w:val="clear" w:color="auto" w:fill="886E49"/>
            <w:hideMark/>
          </w:tcPr>
          <w:p w14:paraId="7E1DEFD4" w14:textId="77777777" w:rsidR="00811C5A" w:rsidRPr="00E47983" w:rsidRDefault="00811C5A" w:rsidP="00035553">
            <w:pPr>
              <w:pStyle w:val="NormalWeb"/>
              <w:jc w:val="center"/>
              <w:rPr>
                <w:b/>
                <w:bCs/>
                <w:color w:val="FFFFFF" w:themeColor="background1"/>
                <w:sz w:val="18"/>
                <w:szCs w:val="18"/>
              </w:rPr>
            </w:pPr>
            <w:r w:rsidRPr="00E47983">
              <w:rPr>
                <w:b/>
                <w:bCs/>
                <w:color w:val="FFFFFF" w:themeColor="background1"/>
                <w:sz w:val="18"/>
                <w:szCs w:val="18"/>
              </w:rPr>
              <w:t>100</w:t>
            </w:r>
          </w:p>
        </w:tc>
        <w:tc>
          <w:tcPr>
            <w:tcW w:w="1134" w:type="dxa"/>
            <w:tcBorders>
              <w:top w:val="single" w:sz="2" w:space="0" w:color="808080" w:themeColor="background1" w:themeShade="80"/>
              <w:bottom w:val="single" w:sz="2" w:space="0" w:color="808080" w:themeColor="background1" w:themeShade="80"/>
            </w:tcBorders>
            <w:shd w:val="clear" w:color="auto" w:fill="886E49"/>
            <w:hideMark/>
          </w:tcPr>
          <w:p w14:paraId="5D869B4A" w14:textId="77777777" w:rsidR="00811C5A" w:rsidRPr="00E47983" w:rsidRDefault="00811C5A" w:rsidP="00035553">
            <w:pPr>
              <w:pStyle w:val="NormalWeb"/>
              <w:jc w:val="center"/>
              <w:rPr>
                <w:b/>
                <w:bCs/>
                <w:color w:val="FFFFFF" w:themeColor="background1"/>
                <w:sz w:val="18"/>
                <w:szCs w:val="18"/>
              </w:rPr>
            </w:pPr>
            <w:r w:rsidRPr="00E47983">
              <w:rPr>
                <w:b/>
                <w:bCs/>
                <w:color w:val="FFFFFF" w:themeColor="background1"/>
                <w:sz w:val="18"/>
                <w:szCs w:val="18"/>
              </w:rPr>
              <w:t>140</w:t>
            </w:r>
          </w:p>
        </w:tc>
        <w:tc>
          <w:tcPr>
            <w:tcW w:w="1935" w:type="dxa"/>
            <w:tcBorders>
              <w:top w:val="single" w:sz="2" w:space="0" w:color="808080" w:themeColor="background1" w:themeShade="80"/>
              <w:bottom w:val="single" w:sz="2" w:space="0" w:color="808080" w:themeColor="background1" w:themeShade="80"/>
            </w:tcBorders>
            <w:shd w:val="clear" w:color="auto" w:fill="886E49"/>
            <w:hideMark/>
          </w:tcPr>
          <w:p w14:paraId="100048B7" w14:textId="77777777" w:rsidR="00811C5A" w:rsidRPr="00E47983" w:rsidRDefault="00811C5A" w:rsidP="00035553">
            <w:pPr>
              <w:pStyle w:val="NormalWeb"/>
              <w:jc w:val="center"/>
              <w:rPr>
                <w:b/>
                <w:bCs/>
                <w:color w:val="FFFFFF" w:themeColor="background1"/>
                <w:sz w:val="18"/>
                <w:szCs w:val="18"/>
              </w:rPr>
            </w:pPr>
            <w:r w:rsidRPr="00E47983">
              <w:rPr>
                <w:b/>
                <w:bCs/>
                <w:color w:val="FFFFFF" w:themeColor="background1"/>
                <w:sz w:val="18"/>
                <w:szCs w:val="18"/>
              </w:rPr>
              <w:t>71.4</w:t>
            </w:r>
          </w:p>
        </w:tc>
      </w:tr>
      <w:tr w:rsidR="00811C5A" w:rsidRPr="00E47983" w14:paraId="7465B4EC" w14:textId="77777777" w:rsidTr="00E479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969" w:type="dxa"/>
            <w:gridSpan w:val="2"/>
            <w:tcBorders>
              <w:top w:val="single" w:sz="2" w:space="0" w:color="808080" w:themeColor="background1" w:themeShade="80"/>
              <w:bottom w:val="single" w:sz="2" w:space="0" w:color="808080" w:themeColor="background1" w:themeShade="80"/>
            </w:tcBorders>
            <w:shd w:val="clear" w:color="auto" w:fill="auto"/>
            <w:hideMark/>
          </w:tcPr>
          <w:p w14:paraId="6E1ACD01" w14:textId="77777777" w:rsidR="00811C5A" w:rsidRPr="00E47983" w:rsidRDefault="00811C5A" w:rsidP="00035553">
            <w:pPr>
              <w:pStyle w:val="NormalWeb"/>
              <w:rPr>
                <w:sz w:val="18"/>
                <w:szCs w:val="18"/>
              </w:rPr>
            </w:pPr>
            <w:r w:rsidRPr="00E47983">
              <w:rPr>
                <w:sz w:val="18"/>
                <w:szCs w:val="18"/>
              </w:rPr>
              <w:t>No comorbidities</w:t>
            </w:r>
          </w:p>
        </w:tc>
        <w:tc>
          <w:tcPr>
            <w:tcW w:w="1985" w:type="dxa"/>
            <w:tcBorders>
              <w:top w:val="single" w:sz="2" w:space="0" w:color="808080" w:themeColor="background1" w:themeShade="80"/>
              <w:bottom w:val="single" w:sz="2" w:space="0" w:color="808080" w:themeColor="background1" w:themeShade="80"/>
            </w:tcBorders>
            <w:shd w:val="clear" w:color="auto" w:fill="auto"/>
            <w:hideMark/>
          </w:tcPr>
          <w:p w14:paraId="15379AA0" w14:textId="77777777" w:rsidR="00811C5A" w:rsidRPr="00E47983" w:rsidRDefault="00811C5A" w:rsidP="00035553">
            <w:pPr>
              <w:pStyle w:val="NormalWeb"/>
              <w:jc w:val="center"/>
              <w:rPr>
                <w:sz w:val="18"/>
                <w:szCs w:val="18"/>
              </w:rPr>
            </w:pPr>
            <w:r w:rsidRPr="00E47983">
              <w:rPr>
                <w:sz w:val="18"/>
                <w:szCs w:val="18"/>
              </w:rPr>
              <w:t>95</w:t>
            </w:r>
          </w:p>
        </w:tc>
        <w:tc>
          <w:tcPr>
            <w:tcW w:w="1417" w:type="dxa"/>
            <w:tcBorders>
              <w:top w:val="single" w:sz="2" w:space="0" w:color="808080" w:themeColor="background1" w:themeShade="80"/>
              <w:bottom w:val="single" w:sz="2" w:space="0" w:color="808080" w:themeColor="background1" w:themeShade="80"/>
            </w:tcBorders>
            <w:shd w:val="clear" w:color="auto" w:fill="auto"/>
            <w:hideMark/>
          </w:tcPr>
          <w:p w14:paraId="113397F6" w14:textId="77777777" w:rsidR="00811C5A" w:rsidRPr="00E47983" w:rsidRDefault="00811C5A" w:rsidP="00035553">
            <w:pPr>
              <w:pStyle w:val="NormalWeb"/>
              <w:jc w:val="center"/>
              <w:rPr>
                <w:sz w:val="18"/>
                <w:szCs w:val="18"/>
              </w:rPr>
            </w:pPr>
            <w:r w:rsidRPr="00E47983">
              <w:rPr>
                <w:sz w:val="18"/>
                <w:szCs w:val="18"/>
              </w:rPr>
              <w:t>51</w:t>
            </w:r>
          </w:p>
        </w:tc>
        <w:tc>
          <w:tcPr>
            <w:tcW w:w="1134" w:type="dxa"/>
            <w:tcBorders>
              <w:top w:val="single" w:sz="2" w:space="0" w:color="808080" w:themeColor="background1" w:themeShade="80"/>
              <w:bottom w:val="single" w:sz="2" w:space="0" w:color="808080" w:themeColor="background1" w:themeShade="80"/>
            </w:tcBorders>
            <w:shd w:val="clear" w:color="auto" w:fill="auto"/>
            <w:hideMark/>
          </w:tcPr>
          <w:p w14:paraId="035975D0" w14:textId="77777777" w:rsidR="00811C5A" w:rsidRPr="00E47983" w:rsidRDefault="00811C5A" w:rsidP="00035553">
            <w:pPr>
              <w:pStyle w:val="NormalWeb"/>
              <w:jc w:val="center"/>
              <w:rPr>
                <w:sz w:val="18"/>
                <w:szCs w:val="18"/>
              </w:rPr>
            </w:pPr>
            <w:r w:rsidRPr="00E47983">
              <w:rPr>
                <w:sz w:val="18"/>
                <w:szCs w:val="18"/>
              </w:rPr>
              <w:t>146</w:t>
            </w:r>
          </w:p>
        </w:tc>
        <w:tc>
          <w:tcPr>
            <w:tcW w:w="1935" w:type="dxa"/>
            <w:tcBorders>
              <w:top w:val="single" w:sz="2" w:space="0" w:color="808080" w:themeColor="background1" w:themeShade="80"/>
              <w:bottom w:val="single" w:sz="2" w:space="0" w:color="808080" w:themeColor="background1" w:themeShade="80"/>
            </w:tcBorders>
            <w:shd w:val="clear" w:color="auto" w:fill="auto"/>
            <w:hideMark/>
          </w:tcPr>
          <w:p w14:paraId="1A095DF1" w14:textId="77777777" w:rsidR="00811C5A" w:rsidRPr="00E47983" w:rsidRDefault="00811C5A" w:rsidP="00035553">
            <w:pPr>
              <w:pStyle w:val="NormalWeb"/>
              <w:jc w:val="center"/>
              <w:rPr>
                <w:sz w:val="18"/>
                <w:szCs w:val="18"/>
              </w:rPr>
            </w:pPr>
            <w:r w:rsidRPr="00E47983">
              <w:rPr>
                <w:sz w:val="18"/>
                <w:szCs w:val="18"/>
              </w:rPr>
              <w:t>34.9</w:t>
            </w:r>
          </w:p>
        </w:tc>
      </w:tr>
      <w:tr w:rsidR="00811C5A" w:rsidRPr="00E47983" w14:paraId="42D4CBD8" w14:textId="77777777" w:rsidTr="00E47983">
        <w:tblPrEx>
          <w:tblCellMar>
            <w:top w:w="57" w:type="dxa"/>
            <w:left w:w="57" w:type="dxa"/>
            <w:bottom w:w="57" w:type="dxa"/>
            <w:right w:w="57" w:type="dxa"/>
          </w:tblCellMar>
        </w:tblPrEx>
        <w:tc>
          <w:tcPr>
            <w:tcW w:w="3969" w:type="dxa"/>
            <w:gridSpan w:val="2"/>
            <w:tcBorders>
              <w:top w:val="single" w:sz="2" w:space="0" w:color="808080" w:themeColor="background1" w:themeShade="80"/>
            </w:tcBorders>
            <w:shd w:val="clear" w:color="auto" w:fill="auto"/>
            <w:hideMark/>
          </w:tcPr>
          <w:p w14:paraId="7CDAC1C9" w14:textId="77777777" w:rsidR="00811C5A" w:rsidRPr="00E47983" w:rsidRDefault="00811C5A" w:rsidP="00035553">
            <w:pPr>
              <w:pStyle w:val="NormalWeb"/>
              <w:rPr>
                <w:sz w:val="18"/>
                <w:szCs w:val="18"/>
              </w:rPr>
            </w:pPr>
            <w:r w:rsidRPr="00E47983">
              <w:rPr>
                <w:sz w:val="18"/>
                <w:szCs w:val="18"/>
              </w:rPr>
              <w:t>Medical comorbidities</w:t>
            </w:r>
          </w:p>
        </w:tc>
        <w:tc>
          <w:tcPr>
            <w:tcW w:w="1985" w:type="dxa"/>
            <w:tcBorders>
              <w:top w:val="single" w:sz="2" w:space="0" w:color="808080" w:themeColor="background1" w:themeShade="80"/>
            </w:tcBorders>
            <w:shd w:val="clear" w:color="auto" w:fill="auto"/>
            <w:hideMark/>
          </w:tcPr>
          <w:p w14:paraId="6F492631" w14:textId="77777777" w:rsidR="00811C5A" w:rsidRPr="00E47983" w:rsidRDefault="00811C5A" w:rsidP="00035553">
            <w:pPr>
              <w:pStyle w:val="NormalWeb"/>
              <w:jc w:val="center"/>
              <w:rPr>
                <w:sz w:val="18"/>
                <w:szCs w:val="18"/>
              </w:rPr>
            </w:pPr>
            <w:r w:rsidRPr="00E47983">
              <w:rPr>
                <w:sz w:val="18"/>
                <w:szCs w:val="18"/>
              </w:rPr>
              <w:t>100</w:t>
            </w:r>
          </w:p>
        </w:tc>
        <w:tc>
          <w:tcPr>
            <w:tcW w:w="1417" w:type="dxa"/>
            <w:tcBorders>
              <w:top w:val="single" w:sz="2" w:space="0" w:color="808080" w:themeColor="background1" w:themeShade="80"/>
            </w:tcBorders>
            <w:shd w:val="clear" w:color="auto" w:fill="auto"/>
            <w:hideMark/>
          </w:tcPr>
          <w:p w14:paraId="644B0E79" w14:textId="77777777" w:rsidR="00811C5A" w:rsidRPr="00E47983" w:rsidRDefault="00811C5A" w:rsidP="00035553">
            <w:pPr>
              <w:pStyle w:val="NormalWeb"/>
              <w:jc w:val="center"/>
              <w:rPr>
                <w:sz w:val="18"/>
                <w:szCs w:val="18"/>
              </w:rPr>
            </w:pPr>
            <w:r w:rsidRPr="00E47983">
              <w:rPr>
                <w:sz w:val="18"/>
                <w:szCs w:val="18"/>
              </w:rPr>
              <w:t>145</w:t>
            </w:r>
          </w:p>
        </w:tc>
        <w:tc>
          <w:tcPr>
            <w:tcW w:w="1134" w:type="dxa"/>
            <w:tcBorders>
              <w:top w:val="single" w:sz="2" w:space="0" w:color="808080" w:themeColor="background1" w:themeShade="80"/>
            </w:tcBorders>
            <w:shd w:val="clear" w:color="auto" w:fill="auto"/>
            <w:hideMark/>
          </w:tcPr>
          <w:p w14:paraId="2E772EB8" w14:textId="77777777" w:rsidR="00811C5A" w:rsidRPr="00E47983" w:rsidRDefault="00811C5A" w:rsidP="00035553">
            <w:pPr>
              <w:pStyle w:val="NormalWeb"/>
              <w:jc w:val="center"/>
              <w:rPr>
                <w:sz w:val="18"/>
                <w:szCs w:val="18"/>
              </w:rPr>
            </w:pPr>
            <w:r w:rsidRPr="00E47983">
              <w:rPr>
                <w:sz w:val="18"/>
                <w:szCs w:val="18"/>
              </w:rPr>
              <w:t>245</w:t>
            </w:r>
          </w:p>
        </w:tc>
        <w:tc>
          <w:tcPr>
            <w:tcW w:w="1935" w:type="dxa"/>
            <w:tcBorders>
              <w:top w:val="single" w:sz="2" w:space="0" w:color="808080" w:themeColor="background1" w:themeShade="80"/>
            </w:tcBorders>
            <w:shd w:val="clear" w:color="auto" w:fill="auto"/>
            <w:hideMark/>
          </w:tcPr>
          <w:p w14:paraId="2D481EDD" w14:textId="77777777" w:rsidR="00811C5A" w:rsidRPr="00E47983" w:rsidRDefault="00811C5A" w:rsidP="00035553">
            <w:pPr>
              <w:pStyle w:val="NormalWeb"/>
              <w:jc w:val="center"/>
              <w:rPr>
                <w:sz w:val="18"/>
                <w:szCs w:val="18"/>
              </w:rPr>
            </w:pPr>
            <w:r w:rsidRPr="00E47983">
              <w:rPr>
                <w:sz w:val="18"/>
                <w:szCs w:val="18"/>
              </w:rPr>
              <w:t>59.1</w:t>
            </w:r>
          </w:p>
        </w:tc>
      </w:tr>
      <w:tr w:rsidR="00811C5A" w:rsidRPr="00E47983" w14:paraId="413BE3E3" w14:textId="77777777" w:rsidTr="00E479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969" w:type="dxa"/>
            <w:gridSpan w:val="2"/>
            <w:shd w:val="clear" w:color="auto" w:fill="E3B77B"/>
            <w:hideMark/>
          </w:tcPr>
          <w:p w14:paraId="789CE2D9" w14:textId="77777777" w:rsidR="00811C5A" w:rsidRPr="00E47983" w:rsidRDefault="00811C5A" w:rsidP="00035553">
            <w:pPr>
              <w:pStyle w:val="NormalWeb"/>
              <w:rPr>
                <w:b/>
                <w:bCs/>
                <w:sz w:val="18"/>
                <w:szCs w:val="18"/>
              </w:rPr>
            </w:pPr>
            <w:r w:rsidRPr="00E47983">
              <w:rPr>
                <w:b/>
                <w:bCs/>
                <w:sz w:val="18"/>
                <w:szCs w:val="18"/>
              </w:rPr>
              <w:t>Total</w:t>
            </w:r>
          </w:p>
        </w:tc>
        <w:tc>
          <w:tcPr>
            <w:tcW w:w="1985" w:type="dxa"/>
            <w:shd w:val="clear" w:color="auto" w:fill="E3B77B"/>
            <w:hideMark/>
          </w:tcPr>
          <w:p w14:paraId="35B7A6AE" w14:textId="77777777" w:rsidR="00811C5A" w:rsidRPr="00E47983" w:rsidRDefault="00811C5A" w:rsidP="00035553">
            <w:pPr>
              <w:pStyle w:val="NormalWeb"/>
              <w:jc w:val="center"/>
              <w:rPr>
                <w:b/>
                <w:bCs/>
                <w:sz w:val="18"/>
                <w:szCs w:val="18"/>
              </w:rPr>
            </w:pPr>
            <w:r w:rsidRPr="00E47983">
              <w:rPr>
                <w:b/>
                <w:bCs/>
                <w:sz w:val="18"/>
                <w:szCs w:val="18"/>
              </w:rPr>
              <w:t>195</w:t>
            </w:r>
          </w:p>
        </w:tc>
        <w:tc>
          <w:tcPr>
            <w:tcW w:w="1417" w:type="dxa"/>
            <w:shd w:val="clear" w:color="auto" w:fill="E3B77B"/>
            <w:hideMark/>
          </w:tcPr>
          <w:p w14:paraId="618220D3" w14:textId="77777777" w:rsidR="00811C5A" w:rsidRPr="00E47983" w:rsidRDefault="00811C5A" w:rsidP="00035553">
            <w:pPr>
              <w:pStyle w:val="NormalWeb"/>
              <w:jc w:val="center"/>
              <w:rPr>
                <w:b/>
                <w:bCs/>
                <w:sz w:val="18"/>
                <w:szCs w:val="18"/>
              </w:rPr>
            </w:pPr>
            <w:r w:rsidRPr="00E47983">
              <w:rPr>
                <w:b/>
                <w:bCs/>
                <w:sz w:val="18"/>
                <w:szCs w:val="18"/>
              </w:rPr>
              <w:t>196</w:t>
            </w:r>
          </w:p>
        </w:tc>
        <w:tc>
          <w:tcPr>
            <w:tcW w:w="1134" w:type="dxa"/>
            <w:shd w:val="clear" w:color="auto" w:fill="E3B77B"/>
            <w:hideMark/>
          </w:tcPr>
          <w:p w14:paraId="583220A8" w14:textId="77777777" w:rsidR="00811C5A" w:rsidRPr="00E47983" w:rsidRDefault="00811C5A" w:rsidP="00035553">
            <w:pPr>
              <w:pStyle w:val="NormalWeb"/>
              <w:jc w:val="center"/>
              <w:rPr>
                <w:b/>
                <w:bCs/>
                <w:sz w:val="18"/>
                <w:szCs w:val="18"/>
              </w:rPr>
            </w:pPr>
            <w:r w:rsidRPr="00E47983">
              <w:rPr>
                <w:b/>
                <w:bCs/>
                <w:sz w:val="18"/>
                <w:szCs w:val="18"/>
              </w:rPr>
              <w:t>391</w:t>
            </w:r>
          </w:p>
        </w:tc>
        <w:tc>
          <w:tcPr>
            <w:tcW w:w="1935" w:type="dxa"/>
            <w:shd w:val="clear" w:color="auto" w:fill="E3B77B"/>
            <w:hideMark/>
          </w:tcPr>
          <w:p w14:paraId="161BBD5A" w14:textId="77777777" w:rsidR="00811C5A" w:rsidRPr="00E47983" w:rsidRDefault="00811C5A" w:rsidP="00035553">
            <w:pPr>
              <w:pStyle w:val="NormalWeb"/>
              <w:jc w:val="center"/>
              <w:rPr>
                <w:b/>
                <w:bCs/>
                <w:sz w:val="18"/>
                <w:szCs w:val="18"/>
              </w:rPr>
            </w:pPr>
            <w:r w:rsidRPr="00E47983">
              <w:rPr>
                <w:b/>
                <w:bCs/>
                <w:sz w:val="18"/>
                <w:szCs w:val="18"/>
              </w:rPr>
              <w:t>50.1</w:t>
            </w:r>
          </w:p>
        </w:tc>
      </w:tr>
    </w:tbl>
    <w:p w14:paraId="24A9536E" w14:textId="77777777" w:rsidR="0081271B" w:rsidRDefault="0081271B">
      <w:pPr>
        <w:rPr>
          <w:rFonts w:asciiTheme="majorHAnsi" w:eastAsiaTheme="majorEastAsia" w:hAnsiTheme="majorHAnsi" w:cstheme="majorBidi"/>
          <w:b/>
          <w:bCs/>
          <w:sz w:val="26"/>
          <w:szCs w:val="26"/>
        </w:rPr>
      </w:pPr>
      <w:r>
        <w:br w:type="page"/>
      </w:r>
    </w:p>
    <w:p w14:paraId="1A21F5A4" w14:textId="7D3CE850" w:rsidR="0092082A" w:rsidRPr="0092082A" w:rsidRDefault="0092082A" w:rsidP="0092082A">
      <w:pPr>
        <w:pStyle w:val="Heading2"/>
      </w:pPr>
      <w:r w:rsidRPr="0092082A">
        <w:lastRenderedPageBreak/>
        <w:t xml:space="preserve">COVID-19 </w:t>
      </w:r>
    </w:p>
    <w:p w14:paraId="23D94908" w14:textId="77777777" w:rsidR="0092082A" w:rsidRDefault="0092082A" w:rsidP="0092082A">
      <w:r>
        <w:t>During the period 16 March – 31 December 2020, 448 patients were admitted with laboratory-confirmed COVID-19 at all participating hospitals, of which 400 patients were from 17 FluCAN sentinel hospitals and 48 patients at other paediatric hospitals. Data are presented for admissions at all participating hospitals (Table 4).</w:t>
      </w:r>
    </w:p>
    <w:p w14:paraId="61D37113" w14:textId="0297509B" w:rsidR="0092082A" w:rsidRDefault="0092082A" w:rsidP="0092082A">
      <w:r>
        <w:t>Of these 448 admitted with confirmed COVID-</w:t>
      </w:r>
      <w:r w:rsidR="00F04587">
        <w:t>19,</w:t>
      </w:r>
      <w:r>
        <w:t xml:space="preserve"> 173 (39%) were ≥ 65 years of age, 36 (8%) were children (&lt; 16 years), six (1%) were Aboriginal and Torres Strait Islander peoples, and 289 (65%) had chronic comorbidities</w:t>
      </w:r>
      <w:r w:rsidR="0081271B">
        <w:t> </w:t>
      </w:r>
      <w:r>
        <w:t>(Table</w:t>
      </w:r>
      <w:r w:rsidR="00916E80">
        <w:t> </w:t>
      </w:r>
      <w:r>
        <w:t>4).</w:t>
      </w:r>
    </w:p>
    <w:p w14:paraId="07A5D673" w14:textId="31FED53E" w:rsidR="0092082A" w:rsidRDefault="0092082A" w:rsidP="0092082A">
      <w:r>
        <w:t>There were four pregnant women (2%) hospitalised with COVID-19 during this timeframe. COVID-19 hospital admissions peaked between week 13 and 15 (first wave) nationally, and again between weeks 31 and 35 (second wave) predominantly in Victoria, with most admissions represented by those above 40 years of age (Figure 2).</w:t>
      </w:r>
      <w:r>
        <w:rPr>
          <w:vertAlign w:val="superscript"/>
        </w:rPr>
        <w:t>9</w:t>
      </w:r>
      <w:r>
        <w:t xml:space="preserve"> </w:t>
      </w:r>
    </w:p>
    <w:p w14:paraId="0020A684" w14:textId="77777777" w:rsidR="0092082A" w:rsidRPr="0092082A" w:rsidRDefault="0092082A" w:rsidP="0092082A">
      <w:pPr>
        <w:pStyle w:val="Heading2"/>
      </w:pPr>
      <w:r w:rsidRPr="0092082A">
        <w:t xml:space="preserve">Incidence of hospital admissions with COVID-19 </w:t>
      </w:r>
    </w:p>
    <w:p w14:paraId="7FA0B3EC" w14:textId="77777777" w:rsidR="0092082A" w:rsidRDefault="0092082A" w:rsidP="0092082A">
      <w:r>
        <w:t>In Victoria’s second COVID-19 wave, the peak incidence of admissions with confirmed COVID-19 was 5.4 per 100 hospital beds at the Royal Melbourne Hospital (Figure 3; in epidemiological week 28). During this time, peak bed occupancy at across six Victorian hospitals varied from 0.88 at the Royal Children’s Hospital to 5.39 at the Royal Melbourne Hospital.</w:t>
      </w:r>
    </w:p>
    <w:p w14:paraId="4DE4B582" w14:textId="77777777" w:rsidR="002F25F8" w:rsidRPr="00171F72" w:rsidRDefault="002F25F8" w:rsidP="002F25F8">
      <w:pPr>
        <w:pStyle w:val="CDIFigures"/>
        <w:rPr>
          <w:w w:val="90"/>
        </w:rPr>
      </w:pPr>
      <w:r w:rsidRPr="00171F72">
        <w:rPr>
          <w:rStyle w:val="Strong"/>
          <w:b/>
          <w:bCs w:val="0"/>
          <w:w w:val="90"/>
        </w:rPr>
        <w:t>Figure 2: Distribution of age group and week of admission across all patients hospitalised with confirmed COVID-19</w:t>
      </w:r>
    </w:p>
    <w:p w14:paraId="5A142C78" w14:textId="77777777" w:rsidR="002F25F8" w:rsidRDefault="002F25F8" w:rsidP="002F25F8">
      <w:pPr>
        <w:rPr>
          <w:rFonts w:eastAsia="Times New Roman"/>
          <w:lang w:val="en-GB"/>
        </w:rPr>
      </w:pPr>
      <w:r>
        <w:rPr>
          <w:rFonts w:eastAsia="Times New Roman"/>
          <w:noProof/>
          <w:lang w:val="en-GB"/>
        </w:rPr>
        <w:drawing>
          <wp:inline distT="0" distB="0" distL="0" distR="0" wp14:anchorId="52FAD52E" wp14:editId="7B9422CC">
            <wp:extent cx="6617647" cy="4649525"/>
            <wp:effectExtent l="0" t="0" r="0" b="0"/>
            <wp:docPr id="2" name="Picture 2" descr="This graph shows the number of COVID-19 cases at the sentinel hospitals by epidemiological week. It shows COVID-19 activity rose in week 13 to a peak of more than 40 cases, and again between weeks 31 to 35 (Victoria’s second COVID-19 wave of infections), before declining until the end of surveil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graph shows the number of COVID-19 cases at the sentinel hospitals by epidemiological week. It shows COVID-19 activity rose in week 13 to a peak of more than 40 cases, and again between weeks 31 to 35 (Victoria’s second COVID-19 wave of infections), before declining until the end of surveillanc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624768" cy="4654528"/>
                    </a:xfrm>
                    <a:prstGeom prst="rect">
                      <a:avLst/>
                    </a:prstGeom>
                  </pic:spPr>
                </pic:pic>
              </a:graphicData>
            </a:graphic>
          </wp:inline>
        </w:drawing>
      </w:r>
    </w:p>
    <w:p w14:paraId="262F3E41" w14:textId="77777777" w:rsidR="00FD1467" w:rsidRDefault="00FD1467">
      <w:pPr>
        <w:rPr>
          <w:rStyle w:val="Strong"/>
          <w:bCs w:val="0"/>
        </w:rPr>
      </w:pPr>
      <w:r>
        <w:rPr>
          <w:rStyle w:val="Strong"/>
          <w:b w:val="0"/>
          <w:bCs w:val="0"/>
        </w:rPr>
        <w:br w:type="page"/>
      </w:r>
    </w:p>
    <w:p w14:paraId="77F12BE6" w14:textId="77777777" w:rsidR="00217FC8" w:rsidRPr="00C65D27" w:rsidRDefault="00217FC8" w:rsidP="00217FC8">
      <w:pPr>
        <w:pStyle w:val="CDIFigures"/>
      </w:pPr>
      <w:r w:rsidRPr="00C65D27">
        <w:rPr>
          <w:rStyle w:val="Strong"/>
          <w:b/>
          <w:bCs w:val="0"/>
        </w:rPr>
        <w:lastRenderedPageBreak/>
        <w:t xml:space="preserve">Figure 3: Peak incidence of confirmed COVID-19 (per 100 hospital beds per week) by </w:t>
      </w:r>
      <w:proofErr w:type="spellStart"/>
      <w:r w:rsidRPr="00C65D27">
        <w:rPr>
          <w:rStyle w:val="Strong"/>
          <w:b/>
          <w:bCs w:val="0"/>
        </w:rPr>
        <w:t>hospital</w:t>
      </w:r>
      <w:r w:rsidRPr="00C65D27">
        <w:rPr>
          <w:rStyle w:val="Strong"/>
          <w:b/>
          <w:bCs w:val="0"/>
          <w:vertAlign w:val="superscript"/>
        </w:rPr>
        <w:t>a</w:t>
      </w:r>
      <w:proofErr w:type="spellEnd"/>
    </w:p>
    <w:p w14:paraId="7A2E0093" w14:textId="77777777" w:rsidR="00217FC8" w:rsidRDefault="00217FC8" w:rsidP="00217FC8">
      <w:pPr>
        <w:rPr>
          <w:rFonts w:eastAsia="Times New Roman"/>
          <w:lang w:val="en-GB"/>
        </w:rPr>
      </w:pPr>
      <w:r>
        <w:rPr>
          <w:rFonts w:eastAsia="Times New Roman"/>
          <w:noProof/>
          <w:lang w:val="en-GB"/>
        </w:rPr>
        <w:drawing>
          <wp:inline distT="0" distB="0" distL="0" distR="0" wp14:anchorId="0E281582" wp14:editId="7D07E018">
            <wp:extent cx="6117348" cy="4437897"/>
            <wp:effectExtent l="0" t="0" r="0" b="1270"/>
            <wp:docPr id="3" name="Picture 3" descr="Figure 3: This graph compares the peak number of COVID-19 cases per 100 hospital beds at each sentinel site. It shows that after adjusting for hospital size, the peak rate of admissions was highest at Royal Melbourne Hospital; with smaller incidence rates reported at the Royal Adelaide Hospital and Princess Alexandra Hospita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This graph compares the peak number of COVID-19 cases per 100 hospital beds at each sentinel site. It shows that after adjusting for hospital size, the peak rate of admissions was highest at Royal Melbourne Hospital; with smaller incidence rates reported at the Royal Adelaide Hospital and Princess Alexandra Hospital. &#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117348" cy="4437897"/>
                    </a:xfrm>
                    <a:prstGeom prst="rect">
                      <a:avLst/>
                    </a:prstGeom>
                  </pic:spPr>
                </pic:pic>
              </a:graphicData>
            </a:graphic>
          </wp:inline>
        </w:drawing>
      </w:r>
    </w:p>
    <w:p w14:paraId="51D90881" w14:textId="77777777" w:rsidR="00217FC8" w:rsidRPr="00F33C18" w:rsidRDefault="00217FC8" w:rsidP="00217FC8">
      <w:pPr>
        <w:pStyle w:val="CDIfootnotes"/>
      </w:pPr>
      <w:r w:rsidRPr="00F33C18">
        <w:t>a</w:t>
      </w:r>
      <w:r w:rsidRPr="00F33C18">
        <w:tab/>
        <w:t>CA: Canberra Hospital; CLV: Calvary Hospital; CHW: Children’s Hospital at Westmead; JHH: John Hunter Hospital; WE: Westmead Hospital; AS: Alice Springs Hospital; RDH: Royal Darwin Hospital; QCH: Queen’s Children Hospital; CB: Cairns Base Hospital; MA: Mater Hospital; PA: Princess Alexandra Hospital; RA: Royal Adelaide; WCH: Women’s and Children’s Hospital; RH: Royal Hobart Hospital; AL: The Alfred Hospital; GL: University Hospital Geelong; MCH: Monash Children’s Hospital; MM: Monash Medical Centre; RCH: Royal Children’s Hospital; RM: Royal Melbourne; PCH: Perth Children’s Hospital; RP: Royal Perth Hospital.</w:t>
      </w:r>
    </w:p>
    <w:p w14:paraId="7E9D69CF" w14:textId="77777777" w:rsidR="00217FC8" w:rsidRDefault="00217FC8">
      <w:pPr>
        <w:rPr>
          <w:rStyle w:val="Strong"/>
          <w:bCs w:val="0"/>
        </w:rPr>
      </w:pPr>
      <w:r>
        <w:rPr>
          <w:rStyle w:val="Strong"/>
          <w:b w:val="0"/>
          <w:bCs w:val="0"/>
        </w:rPr>
        <w:br w:type="page"/>
      </w:r>
    </w:p>
    <w:p w14:paraId="0BAAB134" w14:textId="6F7535CA" w:rsidR="00890FB2" w:rsidRPr="00E02994" w:rsidRDefault="00890FB2" w:rsidP="00890FB2">
      <w:pPr>
        <w:pStyle w:val="CDIFigures"/>
      </w:pPr>
      <w:r w:rsidRPr="00E02994">
        <w:rPr>
          <w:rStyle w:val="Strong"/>
          <w:b/>
          <w:bCs w:val="0"/>
        </w:rPr>
        <w:lastRenderedPageBreak/>
        <w:t xml:space="preserve">Table 4: Demographic characteristics of hospitalised patients with confirmed COVID-19 </w:t>
      </w:r>
    </w:p>
    <w:tbl>
      <w:tblPr>
        <w:tblStyle w:val="CDI-StandardTable"/>
        <w:tblW w:w="0" w:type="auto"/>
        <w:tblLook w:val="04A0" w:firstRow="1" w:lastRow="0" w:firstColumn="1" w:lastColumn="0" w:noHBand="0" w:noVBand="1"/>
        <w:tblDescription w:val="Table 4: This table presents the characteristics of COVID-19 patients admitted to the sentinel hospitals, including age, sex, pregnancy status, Indigenous status and jurisdiction, with confirmed COVID-19.&#10;"/>
      </w:tblPr>
      <w:tblGrid>
        <w:gridCol w:w="4820"/>
        <w:gridCol w:w="1134"/>
        <w:gridCol w:w="992"/>
        <w:gridCol w:w="851"/>
        <w:gridCol w:w="850"/>
        <w:gridCol w:w="848"/>
        <w:gridCol w:w="945"/>
      </w:tblGrid>
      <w:tr w:rsidR="00890FB2" w:rsidRPr="00890FB2" w14:paraId="77325190" w14:textId="77777777" w:rsidTr="00890FB2">
        <w:trPr>
          <w:cnfStyle w:val="100000000000" w:firstRow="1" w:lastRow="0" w:firstColumn="0" w:lastColumn="0" w:oddVBand="0" w:evenVBand="0" w:oddHBand="0" w:evenHBand="0" w:firstRowFirstColumn="0" w:firstRowLastColumn="0" w:lastRowFirstColumn="0" w:lastRowLastColumn="0"/>
          <w:tblHeader/>
        </w:trPr>
        <w:tc>
          <w:tcPr>
            <w:tcW w:w="4820" w:type="dxa"/>
            <w:vMerge w:val="restart"/>
            <w:tcBorders>
              <w:top w:val="single" w:sz="2" w:space="0" w:color="886E49"/>
              <w:left w:val="single" w:sz="2" w:space="0" w:color="886E49"/>
              <w:bottom w:val="single" w:sz="2" w:space="0" w:color="886E49"/>
              <w:right w:val="single" w:sz="2" w:space="0" w:color="886E49"/>
            </w:tcBorders>
            <w:hideMark/>
          </w:tcPr>
          <w:p w14:paraId="2E5CD4BC" w14:textId="77777777" w:rsidR="00890FB2" w:rsidRPr="00890FB2" w:rsidRDefault="00890FB2" w:rsidP="00035553">
            <w:pPr>
              <w:rPr>
                <w:color w:val="FFFFFF" w:themeColor="background1"/>
                <w:sz w:val="18"/>
                <w:szCs w:val="18"/>
                <w:lang w:val="en-GB"/>
              </w:rPr>
            </w:pPr>
          </w:p>
        </w:tc>
        <w:tc>
          <w:tcPr>
            <w:tcW w:w="2126" w:type="dxa"/>
            <w:gridSpan w:val="2"/>
            <w:tcBorders>
              <w:top w:val="single" w:sz="2" w:space="0" w:color="886E49"/>
              <w:left w:val="single" w:sz="2" w:space="0" w:color="886E49"/>
              <w:bottom w:val="single" w:sz="2" w:space="0" w:color="886E49"/>
              <w:right w:val="single" w:sz="2" w:space="0" w:color="886E49"/>
            </w:tcBorders>
            <w:hideMark/>
          </w:tcPr>
          <w:p w14:paraId="3A59F6A8" w14:textId="77777777" w:rsidR="00890FB2" w:rsidRPr="00890FB2" w:rsidRDefault="00890FB2" w:rsidP="00035553">
            <w:pPr>
              <w:pStyle w:val="NormalWeb"/>
              <w:jc w:val="center"/>
              <w:rPr>
                <w:color w:val="FFFFFF" w:themeColor="background1"/>
                <w:sz w:val="18"/>
                <w:szCs w:val="18"/>
              </w:rPr>
            </w:pPr>
            <w:r w:rsidRPr="00890FB2">
              <w:rPr>
                <w:color w:val="FFFFFF" w:themeColor="background1"/>
                <w:sz w:val="18"/>
                <w:szCs w:val="18"/>
              </w:rPr>
              <w:t>Not admitted to ICU</w:t>
            </w:r>
            <w:r w:rsidRPr="00890FB2">
              <w:rPr>
                <w:color w:val="FFFFFF" w:themeColor="background1"/>
                <w:sz w:val="18"/>
                <w:szCs w:val="18"/>
              </w:rPr>
              <w:br/>
              <w:t>(n = 378; 84.4%)</w:t>
            </w:r>
          </w:p>
        </w:tc>
        <w:tc>
          <w:tcPr>
            <w:tcW w:w="1701" w:type="dxa"/>
            <w:gridSpan w:val="2"/>
            <w:tcBorders>
              <w:top w:val="single" w:sz="2" w:space="0" w:color="886E49"/>
              <w:left w:val="single" w:sz="2" w:space="0" w:color="886E49"/>
              <w:bottom w:val="single" w:sz="2" w:space="0" w:color="886E49"/>
              <w:right w:val="single" w:sz="2" w:space="0" w:color="886E49"/>
            </w:tcBorders>
            <w:hideMark/>
          </w:tcPr>
          <w:p w14:paraId="28585403" w14:textId="77777777" w:rsidR="00890FB2" w:rsidRPr="00890FB2" w:rsidRDefault="00890FB2" w:rsidP="00035553">
            <w:pPr>
              <w:pStyle w:val="NormalWeb"/>
              <w:jc w:val="center"/>
              <w:rPr>
                <w:color w:val="FFFFFF" w:themeColor="background1"/>
                <w:sz w:val="18"/>
                <w:szCs w:val="18"/>
              </w:rPr>
            </w:pPr>
            <w:r w:rsidRPr="00890FB2">
              <w:rPr>
                <w:color w:val="FFFFFF" w:themeColor="background1"/>
                <w:sz w:val="18"/>
                <w:szCs w:val="18"/>
              </w:rPr>
              <w:t>Admitted to ICU</w:t>
            </w:r>
            <w:r w:rsidRPr="00890FB2">
              <w:rPr>
                <w:color w:val="FFFFFF" w:themeColor="background1"/>
                <w:sz w:val="18"/>
                <w:szCs w:val="18"/>
              </w:rPr>
              <w:br/>
              <w:t>(n = 70; 15.6%)</w:t>
            </w:r>
          </w:p>
        </w:tc>
        <w:tc>
          <w:tcPr>
            <w:tcW w:w="1793" w:type="dxa"/>
            <w:gridSpan w:val="2"/>
            <w:tcBorders>
              <w:top w:val="single" w:sz="2" w:space="0" w:color="886E49"/>
              <w:left w:val="single" w:sz="2" w:space="0" w:color="886E49"/>
              <w:bottom w:val="single" w:sz="2" w:space="0" w:color="886E49"/>
              <w:right w:val="single" w:sz="2" w:space="0" w:color="886E49"/>
            </w:tcBorders>
            <w:hideMark/>
          </w:tcPr>
          <w:p w14:paraId="5F9BCDC8" w14:textId="77777777" w:rsidR="00890FB2" w:rsidRPr="00890FB2" w:rsidRDefault="00890FB2" w:rsidP="00035553">
            <w:pPr>
              <w:pStyle w:val="NormalWeb"/>
              <w:jc w:val="center"/>
              <w:rPr>
                <w:color w:val="FFFFFF" w:themeColor="background1"/>
                <w:sz w:val="18"/>
                <w:szCs w:val="18"/>
              </w:rPr>
            </w:pPr>
            <w:r w:rsidRPr="00890FB2">
              <w:rPr>
                <w:color w:val="FFFFFF" w:themeColor="background1"/>
                <w:sz w:val="18"/>
                <w:szCs w:val="18"/>
              </w:rPr>
              <w:t>Total</w:t>
            </w:r>
            <w:r w:rsidRPr="00890FB2">
              <w:rPr>
                <w:color w:val="FFFFFF" w:themeColor="background1"/>
                <w:sz w:val="18"/>
                <w:szCs w:val="18"/>
              </w:rPr>
              <w:br/>
              <w:t>( n = 448)</w:t>
            </w:r>
          </w:p>
        </w:tc>
      </w:tr>
      <w:tr w:rsidR="00890FB2" w:rsidRPr="00890FB2" w14:paraId="24FFDD13" w14:textId="77777777" w:rsidTr="00F1005B">
        <w:trPr>
          <w:cnfStyle w:val="100000000000" w:firstRow="1" w:lastRow="0" w:firstColumn="0" w:lastColumn="0" w:oddVBand="0" w:evenVBand="0" w:oddHBand="0" w:evenHBand="0" w:firstRowFirstColumn="0" w:firstRowLastColumn="0" w:lastRowFirstColumn="0" w:lastRowLastColumn="0"/>
          <w:tblHeader/>
        </w:trPr>
        <w:tc>
          <w:tcPr>
            <w:tcW w:w="4820" w:type="dxa"/>
            <w:vMerge/>
            <w:tcBorders>
              <w:top w:val="single" w:sz="2" w:space="0" w:color="886E49"/>
              <w:left w:val="single" w:sz="2" w:space="0" w:color="886E49"/>
              <w:bottom w:val="single" w:sz="2" w:space="0" w:color="886E49"/>
              <w:right w:val="single" w:sz="2" w:space="0" w:color="886E49"/>
            </w:tcBorders>
            <w:hideMark/>
          </w:tcPr>
          <w:p w14:paraId="606FEE55" w14:textId="77777777" w:rsidR="00890FB2" w:rsidRPr="00890FB2" w:rsidRDefault="00890FB2" w:rsidP="00035553">
            <w:pPr>
              <w:rPr>
                <w:color w:val="FFFFFF" w:themeColor="background1"/>
                <w:sz w:val="18"/>
                <w:szCs w:val="18"/>
                <w:lang w:val="en-GB"/>
              </w:rPr>
            </w:pPr>
          </w:p>
        </w:tc>
        <w:tc>
          <w:tcPr>
            <w:tcW w:w="1134" w:type="dxa"/>
            <w:tcBorders>
              <w:top w:val="single" w:sz="2" w:space="0" w:color="886E49"/>
              <w:left w:val="single" w:sz="2" w:space="0" w:color="886E49"/>
              <w:bottom w:val="single" w:sz="2" w:space="0" w:color="886E49"/>
              <w:right w:val="single" w:sz="2" w:space="0" w:color="886E49"/>
            </w:tcBorders>
            <w:hideMark/>
          </w:tcPr>
          <w:p w14:paraId="411717CF" w14:textId="77777777" w:rsidR="00890FB2" w:rsidRPr="00890FB2" w:rsidRDefault="00890FB2" w:rsidP="00035553">
            <w:pPr>
              <w:pStyle w:val="NormalWeb"/>
              <w:jc w:val="center"/>
              <w:rPr>
                <w:color w:val="FFFFFF" w:themeColor="background1"/>
                <w:sz w:val="18"/>
                <w:szCs w:val="18"/>
              </w:rPr>
            </w:pPr>
            <w:r w:rsidRPr="00890FB2">
              <w:rPr>
                <w:color w:val="FFFFFF" w:themeColor="background1"/>
                <w:sz w:val="18"/>
                <w:szCs w:val="18"/>
              </w:rPr>
              <w:t>n</w:t>
            </w:r>
          </w:p>
        </w:tc>
        <w:tc>
          <w:tcPr>
            <w:tcW w:w="992" w:type="dxa"/>
            <w:tcBorders>
              <w:top w:val="single" w:sz="2" w:space="0" w:color="886E49"/>
              <w:left w:val="single" w:sz="2" w:space="0" w:color="886E49"/>
              <w:bottom w:val="single" w:sz="2" w:space="0" w:color="886E49"/>
              <w:right w:val="single" w:sz="2" w:space="0" w:color="886E49"/>
            </w:tcBorders>
            <w:hideMark/>
          </w:tcPr>
          <w:p w14:paraId="2DF92D60" w14:textId="77777777" w:rsidR="00890FB2" w:rsidRPr="00890FB2" w:rsidRDefault="00890FB2" w:rsidP="00035553">
            <w:pPr>
              <w:pStyle w:val="NormalWeb"/>
              <w:jc w:val="center"/>
              <w:rPr>
                <w:color w:val="FFFFFF" w:themeColor="background1"/>
                <w:sz w:val="18"/>
                <w:szCs w:val="18"/>
              </w:rPr>
            </w:pPr>
            <w:r w:rsidRPr="00890FB2">
              <w:rPr>
                <w:color w:val="FFFFFF" w:themeColor="background1"/>
                <w:sz w:val="18"/>
                <w:szCs w:val="18"/>
              </w:rPr>
              <w:t>%</w:t>
            </w:r>
            <w:r w:rsidRPr="00890FB2">
              <w:rPr>
                <w:color w:val="FFFFFF" w:themeColor="background1"/>
                <w:sz w:val="18"/>
                <w:szCs w:val="18"/>
                <w:vertAlign w:val="superscript"/>
              </w:rPr>
              <w:t>a</w:t>
            </w:r>
          </w:p>
        </w:tc>
        <w:tc>
          <w:tcPr>
            <w:tcW w:w="851" w:type="dxa"/>
            <w:tcBorders>
              <w:top w:val="single" w:sz="2" w:space="0" w:color="886E49"/>
              <w:left w:val="single" w:sz="2" w:space="0" w:color="886E49"/>
              <w:bottom w:val="single" w:sz="2" w:space="0" w:color="886E49"/>
              <w:right w:val="single" w:sz="2" w:space="0" w:color="886E49"/>
            </w:tcBorders>
            <w:hideMark/>
          </w:tcPr>
          <w:p w14:paraId="4B4E9929" w14:textId="77777777" w:rsidR="00890FB2" w:rsidRPr="00890FB2" w:rsidRDefault="00890FB2" w:rsidP="00035553">
            <w:pPr>
              <w:pStyle w:val="NormalWeb"/>
              <w:jc w:val="center"/>
              <w:rPr>
                <w:color w:val="FFFFFF" w:themeColor="background1"/>
                <w:sz w:val="18"/>
                <w:szCs w:val="18"/>
              </w:rPr>
            </w:pPr>
            <w:r w:rsidRPr="00890FB2">
              <w:rPr>
                <w:color w:val="FFFFFF" w:themeColor="background1"/>
                <w:sz w:val="18"/>
                <w:szCs w:val="18"/>
              </w:rPr>
              <w:t>n</w:t>
            </w:r>
          </w:p>
        </w:tc>
        <w:tc>
          <w:tcPr>
            <w:tcW w:w="850" w:type="dxa"/>
            <w:tcBorders>
              <w:top w:val="single" w:sz="2" w:space="0" w:color="886E49"/>
              <w:left w:val="single" w:sz="2" w:space="0" w:color="886E49"/>
              <w:bottom w:val="single" w:sz="2" w:space="0" w:color="886E49"/>
              <w:right w:val="single" w:sz="2" w:space="0" w:color="886E49"/>
            </w:tcBorders>
            <w:hideMark/>
          </w:tcPr>
          <w:p w14:paraId="21569935" w14:textId="77777777" w:rsidR="00890FB2" w:rsidRPr="00890FB2" w:rsidRDefault="00890FB2" w:rsidP="00035553">
            <w:pPr>
              <w:pStyle w:val="NormalWeb"/>
              <w:jc w:val="center"/>
              <w:rPr>
                <w:color w:val="FFFFFF" w:themeColor="background1"/>
                <w:sz w:val="18"/>
                <w:szCs w:val="18"/>
              </w:rPr>
            </w:pPr>
            <w:r w:rsidRPr="00890FB2">
              <w:rPr>
                <w:color w:val="FFFFFF" w:themeColor="background1"/>
                <w:sz w:val="18"/>
                <w:szCs w:val="18"/>
              </w:rPr>
              <w:t>%</w:t>
            </w:r>
            <w:r w:rsidRPr="00890FB2">
              <w:rPr>
                <w:color w:val="FFFFFF" w:themeColor="background1"/>
                <w:sz w:val="18"/>
                <w:szCs w:val="18"/>
                <w:vertAlign w:val="superscript"/>
              </w:rPr>
              <w:t>a</w:t>
            </w:r>
          </w:p>
        </w:tc>
        <w:tc>
          <w:tcPr>
            <w:tcW w:w="848" w:type="dxa"/>
            <w:tcBorders>
              <w:top w:val="single" w:sz="2" w:space="0" w:color="886E49"/>
              <w:left w:val="single" w:sz="2" w:space="0" w:color="886E49"/>
              <w:bottom w:val="single" w:sz="2" w:space="0" w:color="886E49"/>
              <w:right w:val="single" w:sz="2" w:space="0" w:color="886E49"/>
            </w:tcBorders>
            <w:hideMark/>
          </w:tcPr>
          <w:p w14:paraId="12403B88" w14:textId="77777777" w:rsidR="00890FB2" w:rsidRPr="00890FB2" w:rsidRDefault="00890FB2" w:rsidP="00035553">
            <w:pPr>
              <w:pStyle w:val="NormalWeb"/>
              <w:jc w:val="center"/>
              <w:rPr>
                <w:color w:val="FFFFFF" w:themeColor="background1"/>
                <w:sz w:val="18"/>
                <w:szCs w:val="18"/>
              </w:rPr>
            </w:pPr>
            <w:r w:rsidRPr="00890FB2">
              <w:rPr>
                <w:color w:val="FFFFFF" w:themeColor="background1"/>
                <w:sz w:val="18"/>
                <w:szCs w:val="18"/>
              </w:rPr>
              <w:t>n</w:t>
            </w:r>
          </w:p>
        </w:tc>
        <w:tc>
          <w:tcPr>
            <w:tcW w:w="945" w:type="dxa"/>
            <w:tcBorders>
              <w:top w:val="single" w:sz="2" w:space="0" w:color="886E49"/>
              <w:left w:val="single" w:sz="2" w:space="0" w:color="886E49"/>
              <w:bottom w:val="single" w:sz="2" w:space="0" w:color="886E49"/>
              <w:right w:val="single" w:sz="2" w:space="0" w:color="886E49"/>
            </w:tcBorders>
            <w:hideMark/>
          </w:tcPr>
          <w:p w14:paraId="45388980" w14:textId="77777777" w:rsidR="00890FB2" w:rsidRPr="00890FB2" w:rsidRDefault="00890FB2" w:rsidP="00035553">
            <w:pPr>
              <w:pStyle w:val="NormalWeb"/>
              <w:jc w:val="center"/>
              <w:rPr>
                <w:color w:val="FFFFFF" w:themeColor="background1"/>
                <w:sz w:val="18"/>
                <w:szCs w:val="18"/>
              </w:rPr>
            </w:pPr>
            <w:r w:rsidRPr="00890FB2">
              <w:rPr>
                <w:color w:val="FFFFFF" w:themeColor="background1"/>
                <w:sz w:val="18"/>
                <w:szCs w:val="18"/>
              </w:rPr>
              <w:t>%</w:t>
            </w:r>
            <w:r w:rsidRPr="00890FB2">
              <w:rPr>
                <w:color w:val="FFFFFF" w:themeColor="background1"/>
                <w:sz w:val="18"/>
                <w:szCs w:val="18"/>
                <w:vertAlign w:val="superscript"/>
              </w:rPr>
              <w:t>a</w:t>
            </w:r>
          </w:p>
        </w:tc>
      </w:tr>
      <w:tr w:rsidR="00890FB2" w:rsidRPr="00890FB2" w14:paraId="6EE700E1" w14:textId="77777777" w:rsidTr="00890FB2">
        <w:tblPrEx>
          <w:tblCellMar>
            <w:top w:w="57" w:type="dxa"/>
            <w:left w:w="57" w:type="dxa"/>
            <w:bottom w:w="57" w:type="dxa"/>
            <w:right w:w="57" w:type="dxa"/>
          </w:tblCellMar>
        </w:tblPrEx>
        <w:tc>
          <w:tcPr>
            <w:tcW w:w="4820" w:type="dxa"/>
            <w:tcBorders>
              <w:top w:val="single" w:sz="2" w:space="0" w:color="886E49"/>
            </w:tcBorders>
            <w:shd w:val="clear" w:color="auto" w:fill="886E49"/>
            <w:hideMark/>
          </w:tcPr>
          <w:p w14:paraId="06D0F91F" w14:textId="77777777" w:rsidR="00890FB2" w:rsidRPr="00890FB2" w:rsidRDefault="00890FB2" w:rsidP="00035553">
            <w:pPr>
              <w:pStyle w:val="NormalWeb"/>
              <w:rPr>
                <w:b/>
                <w:bCs/>
                <w:color w:val="FFFFFF" w:themeColor="background1"/>
                <w:sz w:val="18"/>
                <w:szCs w:val="18"/>
              </w:rPr>
            </w:pPr>
            <w:r w:rsidRPr="00890FB2">
              <w:rPr>
                <w:b/>
                <w:bCs/>
                <w:color w:val="FFFFFF" w:themeColor="background1"/>
                <w:sz w:val="18"/>
                <w:szCs w:val="18"/>
              </w:rPr>
              <w:t>Age group</w:t>
            </w:r>
          </w:p>
        </w:tc>
        <w:tc>
          <w:tcPr>
            <w:tcW w:w="5620" w:type="dxa"/>
            <w:gridSpan w:val="6"/>
            <w:tcBorders>
              <w:top w:val="single" w:sz="2" w:space="0" w:color="886E49"/>
            </w:tcBorders>
            <w:shd w:val="clear" w:color="auto" w:fill="886E49"/>
            <w:hideMark/>
          </w:tcPr>
          <w:p w14:paraId="19F1DE39" w14:textId="77777777" w:rsidR="00890FB2" w:rsidRPr="00890FB2" w:rsidRDefault="00890FB2" w:rsidP="00035553">
            <w:pPr>
              <w:jc w:val="center"/>
              <w:rPr>
                <w:b/>
                <w:bCs/>
                <w:color w:val="FFFFFF" w:themeColor="background1"/>
                <w:sz w:val="18"/>
                <w:szCs w:val="18"/>
              </w:rPr>
            </w:pPr>
          </w:p>
        </w:tc>
      </w:tr>
      <w:tr w:rsidR="00890FB2" w:rsidRPr="00890FB2" w14:paraId="4DBF2E5B" w14:textId="77777777" w:rsidTr="00F1005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20" w:type="dxa"/>
            <w:hideMark/>
          </w:tcPr>
          <w:p w14:paraId="2F199F37" w14:textId="77777777" w:rsidR="00890FB2" w:rsidRPr="00890FB2" w:rsidRDefault="00890FB2" w:rsidP="00035553">
            <w:pPr>
              <w:pStyle w:val="NormalWeb"/>
              <w:rPr>
                <w:sz w:val="18"/>
                <w:szCs w:val="18"/>
              </w:rPr>
            </w:pPr>
            <w:r w:rsidRPr="00890FB2">
              <w:rPr>
                <w:sz w:val="18"/>
                <w:szCs w:val="18"/>
              </w:rPr>
              <w:t>&lt; 16 years</w:t>
            </w:r>
          </w:p>
        </w:tc>
        <w:tc>
          <w:tcPr>
            <w:tcW w:w="1134" w:type="dxa"/>
            <w:hideMark/>
          </w:tcPr>
          <w:p w14:paraId="04FDD4FB" w14:textId="77777777" w:rsidR="00890FB2" w:rsidRPr="00890FB2" w:rsidRDefault="00890FB2" w:rsidP="00035553">
            <w:pPr>
              <w:pStyle w:val="NormalWeb"/>
              <w:jc w:val="center"/>
              <w:rPr>
                <w:sz w:val="18"/>
                <w:szCs w:val="18"/>
              </w:rPr>
            </w:pPr>
            <w:r w:rsidRPr="00890FB2">
              <w:rPr>
                <w:sz w:val="18"/>
                <w:szCs w:val="18"/>
              </w:rPr>
              <w:t>32</w:t>
            </w:r>
          </w:p>
        </w:tc>
        <w:tc>
          <w:tcPr>
            <w:tcW w:w="992" w:type="dxa"/>
            <w:hideMark/>
          </w:tcPr>
          <w:p w14:paraId="18E0460D" w14:textId="77777777" w:rsidR="00890FB2" w:rsidRPr="00890FB2" w:rsidRDefault="00890FB2" w:rsidP="00035553">
            <w:pPr>
              <w:pStyle w:val="NormalWeb"/>
              <w:jc w:val="center"/>
              <w:rPr>
                <w:sz w:val="18"/>
                <w:szCs w:val="18"/>
              </w:rPr>
            </w:pPr>
            <w:r w:rsidRPr="00890FB2">
              <w:rPr>
                <w:sz w:val="18"/>
                <w:szCs w:val="18"/>
              </w:rPr>
              <w:t>8</w:t>
            </w:r>
          </w:p>
        </w:tc>
        <w:tc>
          <w:tcPr>
            <w:tcW w:w="851" w:type="dxa"/>
            <w:hideMark/>
          </w:tcPr>
          <w:p w14:paraId="6EEC2248" w14:textId="77777777" w:rsidR="00890FB2" w:rsidRPr="00890FB2" w:rsidRDefault="00890FB2" w:rsidP="00035553">
            <w:pPr>
              <w:pStyle w:val="NormalWeb"/>
              <w:jc w:val="center"/>
              <w:rPr>
                <w:sz w:val="18"/>
                <w:szCs w:val="18"/>
              </w:rPr>
            </w:pPr>
            <w:r w:rsidRPr="00890FB2">
              <w:rPr>
                <w:sz w:val="18"/>
                <w:szCs w:val="18"/>
              </w:rPr>
              <w:t>4</w:t>
            </w:r>
          </w:p>
        </w:tc>
        <w:tc>
          <w:tcPr>
            <w:tcW w:w="850" w:type="dxa"/>
            <w:hideMark/>
          </w:tcPr>
          <w:p w14:paraId="73EC21E2" w14:textId="77777777" w:rsidR="00890FB2" w:rsidRPr="00890FB2" w:rsidRDefault="00890FB2" w:rsidP="00035553">
            <w:pPr>
              <w:pStyle w:val="NormalWeb"/>
              <w:jc w:val="center"/>
              <w:rPr>
                <w:sz w:val="18"/>
                <w:szCs w:val="18"/>
              </w:rPr>
            </w:pPr>
            <w:r w:rsidRPr="00890FB2">
              <w:rPr>
                <w:sz w:val="18"/>
                <w:szCs w:val="18"/>
              </w:rPr>
              <w:t>6</w:t>
            </w:r>
          </w:p>
        </w:tc>
        <w:tc>
          <w:tcPr>
            <w:tcW w:w="848" w:type="dxa"/>
            <w:hideMark/>
          </w:tcPr>
          <w:p w14:paraId="44DCD383" w14:textId="77777777" w:rsidR="00890FB2" w:rsidRPr="00890FB2" w:rsidRDefault="00890FB2" w:rsidP="00035553">
            <w:pPr>
              <w:pStyle w:val="NormalWeb"/>
              <w:jc w:val="center"/>
              <w:rPr>
                <w:sz w:val="18"/>
                <w:szCs w:val="18"/>
              </w:rPr>
            </w:pPr>
            <w:r w:rsidRPr="00890FB2">
              <w:rPr>
                <w:sz w:val="18"/>
                <w:szCs w:val="18"/>
              </w:rPr>
              <w:t>36</w:t>
            </w:r>
          </w:p>
        </w:tc>
        <w:tc>
          <w:tcPr>
            <w:tcW w:w="945" w:type="dxa"/>
            <w:hideMark/>
          </w:tcPr>
          <w:p w14:paraId="66AB1E88" w14:textId="77777777" w:rsidR="00890FB2" w:rsidRPr="00890FB2" w:rsidRDefault="00890FB2" w:rsidP="00035553">
            <w:pPr>
              <w:pStyle w:val="NormalWeb"/>
              <w:jc w:val="center"/>
              <w:rPr>
                <w:sz w:val="18"/>
                <w:szCs w:val="18"/>
              </w:rPr>
            </w:pPr>
            <w:r w:rsidRPr="00890FB2">
              <w:rPr>
                <w:sz w:val="18"/>
                <w:szCs w:val="18"/>
              </w:rPr>
              <w:t>8</w:t>
            </w:r>
          </w:p>
        </w:tc>
      </w:tr>
      <w:tr w:rsidR="00890FB2" w:rsidRPr="00890FB2" w14:paraId="6EB3EBAA" w14:textId="77777777" w:rsidTr="00F1005B">
        <w:tblPrEx>
          <w:tblCellMar>
            <w:top w:w="57" w:type="dxa"/>
            <w:left w:w="57" w:type="dxa"/>
            <w:bottom w:w="57" w:type="dxa"/>
            <w:right w:w="57" w:type="dxa"/>
          </w:tblCellMar>
        </w:tblPrEx>
        <w:tc>
          <w:tcPr>
            <w:tcW w:w="4820" w:type="dxa"/>
            <w:hideMark/>
          </w:tcPr>
          <w:p w14:paraId="3A6248ED" w14:textId="77777777" w:rsidR="00890FB2" w:rsidRPr="00890FB2" w:rsidRDefault="00890FB2" w:rsidP="00035553">
            <w:pPr>
              <w:pStyle w:val="NormalWeb"/>
              <w:rPr>
                <w:sz w:val="18"/>
                <w:szCs w:val="18"/>
              </w:rPr>
            </w:pPr>
            <w:r w:rsidRPr="00890FB2">
              <w:rPr>
                <w:sz w:val="18"/>
                <w:szCs w:val="18"/>
                <w:lang w:val="en-US"/>
              </w:rPr>
              <w:t>16–40 years</w:t>
            </w:r>
          </w:p>
        </w:tc>
        <w:tc>
          <w:tcPr>
            <w:tcW w:w="1134" w:type="dxa"/>
            <w:hideMark/>
          </w:tcPr>
          <w:p w14:paraId="67948D34" w14:textId="77777777" w:rsidR="00890FB2" w:rsidRPr="00890FB2" w:rsidRDefault="00890FB2" w:rsidP="00035553">
            <w:pPr>
              <w:pStyle w:val="NormalWeb"/>
              <w:jc w:val="center"/>
              <w:rPr>
                <w:sz w:val="18"/>
                <w:szCs w:val="18"/>
              </w:rPr>
            </w:pPr>
            <w:r w:rsidRPr="00890FB2">
              <w:rPr>
                <w:sz w:val="18"/>
                <w:szCs w:val="18"/>
              </w:rPr>
              <w:t>74</w:t>
            </w:r>
          </w:p>
        </w:tc>
        <w:tc>
          <w:tcPr>
            <w:tcW w:w="992" w:type="dxa"/>
            <w:hideMark/>
          </w:tcPr>
          <w:p w14:paraId="48F9ED51" w14:textId="77777777" w:rsidR="00890FB2" w:rsidRPr="00890FB2" w:rsidRDefault="00890FB2" w:rsidP="00035553">
            <w:pPr>
              <w:pStyle w:val="NormalWeb"/>
              <w:jc w:val="center"/>
              <w:rPr>
                <w:sz w:val="18"/>
                <w:szCs w:val="18"/>
              </w:rPr>
            </w:pPr>
            <w:r w:rsidRPr="00890FB2">
              <w:rPr>
                <w:sz w:val="18"/>
                <w:szCs w:val="18"/>
              </w:rPr>
              <w:t>20</w:t>
            </w:r>
          </w:p>
        </w:tc>
        <w:tc>
          <w:tcPr>
            <w:tcW w:w="851" w:type="dxa"/>
            <w:hideMark/>
          </w:tcPr>
          <w:p w14:paraId="371205B5" w14:textId="77777777" w:rsidR="00890FB2" w:rsidRPr="00890FB2" w:rsidRDefault="00890FB2" w:rsidP="00035553">
            <w:pPr>
              <w:pStyle w:val="NormalWeb"/>
              <w:jc w:val="center"/>
              <w:rPr>
                <w:sz w:val="18"/>
                <w:szCs w:val="18"/>
              </w:rPr>
            </w:pPr>
            <w:r w:rsidRPr="00890FB2">
              <w:rPr>
                <w:sz w:val="18"/>
                <w:szCs w:val="18"/>
              </w:rPr>
              <w:t>12</w:t>
            </w:r>
          </w:p>
        </w:tc>
        <w:tc>
          <w:tcPr>
            <w:tcW w:w="850" w:type="dxa"/>
            <w:hideMark/>
          </w:tcPr>
          <w:p w14:paraId="4971BCF5" w14:textId="77777777" w:rsidR="00890FB2" w:rsidRPr="00890FB2" w:rsidRDefault="00890FB2" w:rsidP="00035553">
            <w:pPr>
              <w:pStyle w:val="NormalWeb"/>
              <w:jc w:val="center"/>
              <w:rPr>
                <w:sz w:val="18"/>
                <w:szCs w:val="18"/>
              </w:rPr>
            </w:pPr>
            <w:r w:rsidRPr="00890FB2">
              <w:rPr>
                <w:sz w:val="18"/>
                <w:szCs w:val="18"/>
              </w:rPr>
              <w:t>17</w:t>
            </w:r>
          </w:p>
        </w:tc>
        <w:tc>
          <w:tcPr>
            <w:tcW w:w="848" w:type="dxa"/>
            <w:hideMark/>
          </w:tcPr>
          <w:p w14:paraId="2B6AD26E" w14:textId="77777777" w:rsidR="00890FB2" w:rsidRPr="00890FB2" w:rsidRDefault="00890FB2" w:rsidP="00035553">
            <w:pPr>
              <w:pStyle w:val="NormalWeb"/>
              <w:jc w:val="center"/>
              <w:rPr>
                <w:sz w:val="18"/>
                <w:szCs w:val="18"/>
              </w:rPr>
            </w:pPr>
            <w:r w:rsidRPr="00890FB2">
              <w:rPr>
                <w:sz w:val="18"/>
                <w:szCs w:val="18"/>
              </w:rPr>
              <w:t>86</w:t>
            </w:r>
          </w:p>
        </w:tc>
        <w:tc>
          <w:tcPr>
            <w:tcW w:w="945" w:type="dxa"/>
            <w:hideMark/>
          </w:tcPr>
          <w:p w14:paraId="3C178E1E" w14:textId="77777777" w:rsidR="00890FB2" w:rsidRPr="00890FB2" w:rsidRDefault="00890FB2" w:rsidP="00035553">
            <w:pPr>
              <w:pStyle w:val="NormalWeb"/>
              <w:jc w:val="center"/>
              <w:rPr>
                <w:sz w:val="18"/>
                <w:szCs w:val="18"/>
              </w:rPr>
            </w:pPr>
            <w:r w:rsidRPr="00890FB2">
              <w:rPr>
                <w:sz w:val="18"/>
                <w:szCs w:val="18"/>
              </w:rPr>
              <w:t>19</w:t>
            </w:r>
          </w:p>
        </w:tc>
      </w:tr>
      <w:tr w:rsidR="00890FB2" w:rsidRPr="00890FB2" w14:paraId="558C53BB" w14:textId="77777777" w:rsidTr="00F1005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20" w:type="dxa"/>
            <w:hideMark/>
          </w:tcPr>
          <w:p w14:paraId="0764BFA3" w14:textId="77777777" w:rsidR="00890FB2" w:rsidRPr="00890FB2" w:rsidRDefault="00890FB2" w:rsidP="00035553">
            <w:pPr>
              <w:pStyle w:val="NormalWeb"/>
              <w:rPr>
                <w:sz w:val="18"/>
                <w:szCs w:val="18"/>
              </w:rPr>
            </w:pPr>
            <w:r w:rsidRPr="00890FB2">
              <w:rPr>
                <w:sz w:val="18"/>
                <w:szCs w:val="18"/>
                <w:lang w:val="en-US"/>
              </w:rPr>
              <w:t>40–64 years</w:t>
            </w:r>
          </w:p>
        </w:tc>
        <w:tc>
          <w:tcPr>
            <w:tcW w:w="1134" w:type="dxa"/>
            <w:hideMark/>
          </w:tcPr>
          <w:p w14:paraId="3F1892D4" w14:textId="77777777" w:rsidR="00890FB2" w:rsidRPr="00890FB2" w:rsidRDefault="00890FB2" w:rsidP="00035553">
            <w:pPr>
              <w:pStyle w:val="NormalWeb"/>
              <w:jc w:val="center"/>
              <w:rPr>
                <w:sz w:val="18"/>
                <w:szCs w:val="18"/>
              </w:rPr>
            </w:pPr>
            <w:r w:rsidRPr="00890FB2">
              <w:rPr>
                <w:sz w:val="18"/>
                <w:szCs w:val="18"/>
              </w:rPr>
              <w:t>121</w:t>
            </w:r>
          </w:p>
        </w:tc>
        <w:tc>
          <w:tcPr>
            <w:tcW w:w="992" w:type="dxa"/>
            <w:hideMark/>
          </w:tcPr>
          <w:p w14:paraId="2CC594DA" w14:textId="77777777" w:rsidR="00890FB2" w:rsidRPr="00890FB2" w:rsidRDefault="00890FB2" w:rsidP="00035553">
            <w:pPr>
              <w:pStyle w:val="NormalWeb"/>
              <w:jc w:val="center"/>
              <w:rPr>
                <w:sz w:val="18"/>
                <w:szCs w:val="18"/>
              </w:rPr>
            </w:pPr>
            <w:r w:rsidRPr="00890FB2">
              <w:rPr>
                <w:sz w:val="18"/>
                <w:szCs w:val="18"/>
              </w:rPr>
              <w:t>32</w:t>
            </w:r>
          </w:p>
        </w:tc>
        <w:tc>
          <w:tcPr>
            <w:tcW w:w="851" w:type="dxa"/>
            <w:hideMark/>
          </w:tcPr>
          <w:p w14:paraId="32EC2DC3" w14:textId="77777777" w:rsidR="00890FB2" w:rsidRPr="00890FB2" w:rsidRDefault="00890FB2" w:rsidP="00035553">
            <w:pPr>
              <w:pStyle w:val="NormalWeb"/>
              <w:jc w:val="center"/>
              <w:rPr>
                <w:sz w:val="18"/>
                <w:szCs w:val="18"/>
              </w:rPr>
            </w:pPr>
            <w:r w:rsidRPr="00890FB2">
              <w:rPr>
                <w:sz w:val="18"/>
                <w:szCs w:val="18"/>
              </w:rPr>
              <w:t>32</w:t>
            </w:r>
          </w:p>
        </w:tc>
        <w:tc>
          <w:tcPr>
            <w:tcW w:w="850" w:type="dxa"/>
            <w:hideMark/>
          </w:tcPr>
          <w:p w14:paraId="29A45F05" w14:textId="77777777" w:rsidR="00890FB2" w:rsidRPr="00890FB2" w:rsidRDefault="00890FB2" w:rsidP="00035553">
            <w:pPr>
              <w:pStyle w:val="NormalWeb"/>
              <w:jc w:val="center"/>
              <w:rPr>
                <w:sz w:val="18"/>
                <w:szCs w:val="18"/>
              </w:rPr>
            </w:pPr>
            <w:r w:rsidRPr="00890FB2">
              <w:rPr>
                <w:sz w:val="18"/>
                <w:szCs w:val="18"/>
              </w:rPr>
              <w:t>46</w:t>
            </w:r>
          </w:p>
        </w:tc>
        <w:tc>
          <w:tcPr>
            <w:tcW w:w="848" w:type="dxa"/>
            <w:hideMark/>
          </w:tcPr>
          <w:p w14:paraId="21DDF9BE" w14:textId="77777777" w:rsidR="00890FB2" w:rsidRPr="00890FB2" w:rsidRDefault="00890FB2" w:rsidP="00035553">
            <w:pPr>
              <w:pStyle w:val="NormalWeb"/>
              <w:jc w:val="center"/>
              <w:rPr>
                <w:sz w:val="18"/>
                <w:szCs w:val="18"/>
              </w:rPr>
            </w:pPr>
            <w:r w:rsidRPr="00890FB2">
              <w:rPr>
                <w:sz w:val="18"/>
                <w:szCs w:val="18"/>
              </w:rPr>
              <w:t>153</w:t>
            </w:r>
          </w:p>
        </w:tc>
        <w:tc>
          <w:tcPr>
            <w:tcW w:w="945" w:type="dxa"/>
            <w:hideMark/>
          </w:tcPr>
          <w:p w14:paraId="5BC2A6F8" w14:textId="77777777" w:rsidR="00890FB2" w:rsidRPr="00890FB2" w:rsidRDefault="00890FB2" w:rsidP="00035553">
            <w:pPr>
              <w:pStyle w:val="NormalWeb"/>
              <w:jc w:val="center"/>
              <w:rPr>
                <w:sz w:val="18"/>
                <w:szCs w:val="18"/>
              </w:rPr>
            </w:pPr>
            <w:r w:rsidRPr="00890FB2">
              <w:rPr>
                <w:sz w:val="18"/>
                <w:szCs w:val="18"/>
              </w:rPr>
              <w:t>34</w:t>
            </w:r>
          </w:p>
        </w:tc>
      </w:tr>
      <w:tr w:rsidR="00890FB2" w:rsidRPr="00890FB2" w14:paraId="56387EE1" w14:textId="77777777" w:rsidTr="00F1005B">
        <w:tblPrEx>
          <w:tblCellMar>
            <w:top w:w="57" w:type="dxa"/>
            <w:left w:w="57" w:type="dxa"/>
            <w:bottom w:w="57" w:type="dxa"/>
            <w:right w:w="57" w:type="dxa"/>
          </w:tblCellMar>
        </w:tblPrEx>
        <w:tc>
          <w:tcPr>
            <w:tcW w:w="4820" w:type="dxa"/>
            <w:hideMark/>
          </w:tcPr>
          <w:p w14:paraId="03750C65" w14:textId="77777777" w:rsidR="00890FB2" w:rsidRPr="00890FB2" w:rsidRDefault="00890FB2" w:rsidP="00035553">
            <w:pPr>
              <w:pStyle w:val="NormalWeb"/>
              <w:rPr>
                <w:sz w:val="18"/>
                <w:szCs w:val="18"/>
              </w:rPr>
            </w:pPr>
            <w:r w:rsidRPr="00890FB2">
              <w:rPr>
                <w:sz w:val="18"/>
                <w:szCs w:val="18"/>
                <w:lang w:val="en-US"/>
              </w:rPr>
              <w:t>65–79 years</w:t>
            </w:r>
          </w:p>
        </w:tc>
        <w:tc>
          <w:tcPr>
            <w:tcW w:w="1134" w:type="dxa"/>
            <w:hideMark/>
          </w:tcPr>
          <w:p w14:paraId="3C6941E7" w14:textId="77777777" w:rsidR="00890FB2" w:rsidRPr="00890FB2" w:rsidRDefault="00890FB2" w:rsidP="00035553">
            <w:pPr>
              <w:pStyle w:val="NormalWeb"/>
              <w:jc w:val="center"/>
              <w:rPr>
                <w:sz w:val="18"/>
                <w:szCs w:val="18"/>
              </w:rPr>
            </w:pPr>
            <w:r w:rsidRPr="00890FB2">
              <w:rPr>
                <w:sz w:val="18"/>
                <w:szCs w:val="18"/>
              </w:rPr>
              <w:t>72</w:t>
            </w:r>
          </w:p>
        </w:tc>
        <w:tc>
          <w:tcPr>
            <w:tcW w:w="992" w:type="dxa"/>
            <w:hideMark/>
          </w:tcPr>
          <w:p w14:paraId="2D121223" w14:textId="77777777" w:rsidR="00890FB2" w:rsidRPr="00890FB2" w:rsidRDefault="00890FB2" w:rsidP="00035553">
            <w:pPr>
              <w:pStyle w:val="NormalWeb"/>
              <w:jc w:val="center"/>
              <w:rPr>
                <w:sz w:val="18"/>
                <w:szCs w:val="18"/>
              </w:rPr>
            </w:pPr>
            <w:r w:rsidRPr="00890FB2">
              <w:rPr>
                <w:sz w:val="18"/>
                <w:szCs w:val="18"/>
              </w:rPr>
              <w:t>19</w:t>
            </w:r>
          </w:p>
        </w:tc>
        <w:tc>
          <w:tcPr>
            <w:tcW w:w="851" w:type="dxa"/>
            <w:hideMark/>
          </w:tcPr>
          <w:p w14:paraId="294E8CAD" w14:textId="77777777" w:rsidR="00890FB2" w:rsidRPr="00890FB2" w:rsidRDefault="00890FB2" w:rsidP="00035553">
            <w:pPr>
              <w:pStyle w:val="NormalWeb"/>
              <w:jc w:val="center"/>
              <w:rPr>
                <w:sz w:val="18"/>
                <w:szCs w:val="18"/>
              </w:rPr>
            </w:pPr>
            <w:r w:rsidRPr="00890FB2">
              <w:rPr>
                <w:sz w:val="18"/>
                <w:szCs w:val="18"/>
              </w:rPr>
              <w:t>20</w:t>
            </w:r>
          </w:p>
        </w:tc>
        <w:tc>
          <w:tcPr>
            <w:tcW w:w="850" w:type="dxa"/>
            <w:hideMark/>
          </w:tcPr>
          <w:p w14:paraId="45779905" w14:textId="77777777" w:rsidR="00890FB2" w:rsidRPr="00890FB2" w:rsidRDefault="00890FB2" w:rsidP="00035553">
            <w:pPr>
              <w:pStyle w:val="NormalWeb"/>
              <w:jc w:val="center"/>
              <w:rPr>
                <w:sz w:val="18"/>
                <w:szCs w:val="18"/>
              </w:rPr>
            </w:pPr>
            <w:r w:rsidRPr="00890FB2">
              <w:rPr>
                <w:sz w:val="18"/>
                <w:szCs w:val="18"/>
              </w:rPr>
              <w:t>29</w:t>
            </w:r>
          </w:p>
        </w:tc>
        <w:tc>
          <w:tcPr>
            <w:tcW w:w="848" w:type="dxa"/>
            <w:hideMark/>
          </w:tcPr>
          <w:p w14:paraId="18363C4C" w14:textId="77777777" w:rsidR="00890FB2" w:rsidRPr="00890FB2" w:rsidRDefault="00890FB2" w:rsidP="00035553">
            <w:pPr>
              <w:pStyle w:val="NormalWeb"/>
              <w:jc w:val="center"/>
              <w:rPr>
                <w:sz w:val="18"/>
                <w:szCs w:val="18"/>
              </w:rPr>
            </w:pPr>
            <w:r w:rsidRPr="00890FB2">
              <w:rPr>
                <w:sz w:val="18"/>
                <w:szCs w:val="18"/>
              </w:rPr>
              <w:t>92</w:t>
            </w:r>
          </w:p>
        </w:tc>
        <w:tc>
          <w:tcPr>
            <w:tcW w:w="945" w:type="dxa"/>
            <w:hideMark/>
          </w:tcPr>
          <w:p w14:paraId="73B3DD2A" w14:textId="77777777" w:rsidR="00890FB2" w:rsidRPr="00890FB2" w:rsidRDefault="00890FB2" w:rsidP="00035553">
            <w:pPr>
              <w:pStyle w:val="NormalWeb"/>
              <w:jc w:val="center"/>
              <w:rPr>
                <w:sz w:val="18"/>
                <w:szCs w:val="18"/>
              </w:rPr>
            </w:pPr>
            <w:r w:rsidRPr="00890FB2">
              <w:rPr>
                <w:sz w:val="18"/>
                <w:szCs w:val="18"/>
              </w:rPr>
              <w:t>21</w:t>
            </w:r>
          </w:p>
        </w:tc>
      </w:tr>
      <w:tr w:rsidR="00890FB2" w:rsidRPr="00890FB2" w14:paraId="2E76D9C9" w14:textId="77777777" w:rsidTr="00F1005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20" w:type="dxa"/>
            <w:tcBorders>
              <w:bottom w:val="single" w:sz="2" w:space="0" w:color="808080" w:themeColor="background1" w:themeShade="80"/>
            </w:tcBorders>
            <w:hideMark/>
          </w:tcPr>
          <w:p w14:paraId="506869DC" w14:textId="77777777" w:rsidR="00890FB2" w:rsidRPr="00890FB2" w:rsidRDefault="00890FB2" w:rsidP="00035553">
            <w:pPr>
              <w:pStyle w:val="NormalWeb"/>
              <w:rPr>
                <w:sz w:val="18"/>
                <w:szCs w:val="18"/>
              </w:rPr>
            </w:pPr>
            <w:r w:rsidRPr="00890FB2">
              <w:rPr>
                <w:sz w:val="18"/>
                <w:szCs w:val="18"/>
                <w:lang w:val="en-US"/>
              </w:rPr>
              <w:t>80+ years</w:t>
            </w:r>
          </w:p>
        </w:tc>
        <w:tc>
          <w:tcPr>
            <w:tcW w:w="1134" w:type="dxa"/>
            <w:tcBorders>
              <w:bottom w:val="single" w:sz="2" w:space="0" w:color="808080" w:themeColor="background1" w:themeShade="80"/>
            </w:tcBorders>
            <w:hideMark/>
          </w:tcPr>
          <w:p w14:paraId="50B1FAE2" w14:textId="77777777" w:rsidR="00890FB2" w:rsidRPr="00890FB2" w:rsidRDefault="00890FB2" w:rsidP="00035553">
            <w:pPr>
              <w:pStyle w:val="NormalWeb"/>
              <w:jc w:val="center"/>
              <w:rPr>
                <w:sz w:val="18"/>
                <w:szCs w:val="18"/>
              </w:rPr>
            </w:pPr>
            <w:r w:rsidRPr="00890FB2">
              <w:rPr>
                <w:sz w:val="18"/>
                <w:szCs w:val="18"/>
              </w:rPr>
              <w:t>79</w:t>
            </w:r>
          </w:p>
        </w:tc>
        <w:tc>
          <w:tcPr>
            <w:tcW w:w="992" w:type="dxa"/>
            <w:tcBorders>
              <w:bottom w:val="single" w:sz="2" w:space="0" w:color="808080" w:themeColor="background1" w:themeShade="80"/>
            </w:tcBorders>
            <w:hideMark/>
          </w:tcPr>
          <w:p w14:paraId="56F28166" w14:textId="77777777" w:rsidR="00890FB2" w:rsidRPr="00890FB2" w:rsidRDefault="00890FB2" w:rsidP="00035553">
            <w:pPr>
              <w:pStyle w:val="NormalWeb"/>
              <w:jc w:val="center"/>
              <w:rPr>
                <w:sz w:val="18"/>
                <w:szCs w:val="18"/>
              </w:rPr>
            </w:pPr>
            <w:r w:rsidRPr="00890FB2">
              <w:rPr>
                <w:sz w:val="18"/>
                <w:szCs w:val="18"/>
              </w:rPr>
              <w:t>21</w:t>
            </w:r>
          </w:p>
        </w:tc>
        <w:tc>
          <w:tcPr>
            <w:tcW w:w="851" w:type="dxa"/>
            <w:tcBorders>
              <w:bottom w:val="single" w:sz="2" w:space="0" w:color="808080" w:themeColor="background1" w:themeShade="80"/>
            </w:tcBorders>
            <w:hideMark/>
          </w:tcPr>
          <w:p w14:paraId="305B02F8" w14:textId="77777777" w:rsidR="00890FB2" w:rsidRPr="00890FB2" w:rsidRDefault="00890FB2" w:rsidP="00035553">
            <w:pPr>
              <w:pStyle w:val="NormalWeb"/>
              <w:jc w:val="center"/>
              <w:rPr>
                <w:sz w:val="18"/>
                <w:szCs w:val="18"/>
              </w:rPr>
            </w:pPr>
            <w:r w:rsidRPr="00890FB2">
              <w:rPr>
                <w:sz w:val="18"/>
                <w:szCs w:val="18"/>
              </w:rPr>
              <w:t>2</w:t>
            </w:r>
          </w:p>
        </w:tc>
        <w:tc>
          <w:tcPr>
            <w:tcW w:w="850" w:type="dxa"/>
            <w:tcBorders>
              <w:bottom w:val="single" w:sz="2" w:space="0" w:color="808080" w:themeColor="background1" w:themeShade="80"/>
            </w:tcBorders>
            <w:hideMark/>
          </w:tcPr>
          <w:p w14:paraId="2E8DA090" w14:textId="77777777" w:rsidR="00890FB2" w:rsidRPr="00890FB2" w:rsidRDefault="00890FB2" w:rsidP="00035553">
            <w:pPr>
              <w:pStyle w:val="NormalWeb"/>
              <w:jc w:val="center"/>
              <w:rPr>
                <w:sz w:val="18"/>
                <w:szCs w:val="18"/>
              </w:rPr>
            </w:pPr>
            <w:r w:rsidRPr="00890FB2">
              <w:rPr>
                <w:sz w:val="18"/>
                <w:szCs w:val="18"/>
              </w:rPr>
              <w:t>3</w:t>
            </w:r>
          </w:p>
        </w:tc>
        <w:tc>
          <w:tcPr>
            <w:tcW w:w="848" w:type="dxa"/>
            <w:tcBorders>
              <w:bottom w:val="single" w:sz="2" w:space="0" w:color="808080" w:themeColor="background1" w:themeShade="80"/>
            </w:tcBorders>
            <w:hideMark/>
          </w:tcPr>
          <w:p w14:paraId="0A557E32" w14:textId="77777777" w:rsidR="00890FB2" w:rsidRPr="00890FB2" w:rsidRDefault="00890FB2" w:rsidP="00035553">
            <w:pPr>
              <w:pStyle w:val="NormalWeb"/>
              <w:jc w:val="center"/>
              <w:rPr>
                <w:sz w:val="18"/>
                <w:szCs w:val="18"/>
              </w:rPr>
            </w:pPr>
            <w:r w:rsidRPr="00890FB2">
              <w:rPr>
                <w:sz w:val="18"/>
                <w:szCs w:val="18"/>
              </w:rPr>
              <w:t>81</w:t>
            </w:r>
          </w:p>
        </w:tc>
        <w:tc>
          <w:tcPr>
            <w:tcW w:w="945" w:type="dxa"/>
            <w:tcBorders>
              <w:bottom w:val="single" w:sz="2" w:space="0" w:color="808080" w:themeColor="background1" w:themeShade="80"/>
            </w:tcBorders>
            <w:hideMark/>
          </w:tcPr>
          <w:p w14:paraId="0CD6FB64" w14:textId="77777777" w:rsidR="00890FB2" w:rsidRPr="00890FB2" w:rsidRDefault="00890FB2" w:rsidP="00035553">
            <w:pPr>
              <w:pStyle w:val="NormalWeb"/>
              <w:jc w:val="center"/>
              <w:rPr>
                <w:sz w:val="18"/>
                <w:szCs w:val="18"/>
              </w:rPr>
            </w:pPr>
            <w:r w:rsidRPr="00890FB2">
              <w:rPr>
                <w:sz w:val="18"/>
                <w:szCs w:val="18"/>
              </w:rPr>
              <w:t>18</w:t>
            </w:r>
          </w:p>
        </w:tc>
      </w:tr>
      <w:tr w:rsidR="00890FB2" w:rsidRPr="00890FB2" w14:paraId="00BC46D8" w14:textId="77777777" w:rsidTr="00F1005B">
        <w:tblPrEx>
          <w:tblCellMar>
            <w:top w:w="57" w:type="dxa"/>
            <w:left w:w="57" w:type="dxa"/>
            <w:bottom w:w="57" w:type="dxa"/>
            <w:right w:w="57" w:type="dxa"/>
          </w:tblCellMar>
        </w:tblPrEx>
        <w:tc>
          <w:tcPr>
            <w:tcW w:w="4820" w:type="dxa"/>
            <w:tcBorders>
              <w:top w:val="single" w:sz="2" w:space="0" w:color="808080" w:themeColor="background1" w:themeShade="80"/>
            </w:tcBorders>
            <w:hideMark/>
          </w:tcPr>
          <w:p w14:paraId="208DBF2D" w14:textId="77777777" w:rsidR="00890FB2" w:rsidRPr="00890FB2" w:rsidRDefault="00890FB2" w:rsidP="00035553">
            <w:pPr>
              <w:pStyle w:val="NormalWeb"/>
              <w:rPr>
                <w:sz w:val="18"/>
                <w:szCs w:val="18"/>
              </w:rPr>
            </w:pPr>
            <w:r w:rsidRPr="00890FB2">
              <w:rPr>
                <w:sz w:val="18"/>
                <w:szCs w:val="18"/>
                <w:lang w:val="en-US"/>
              </w:rPr>
              <w:t>Male</w:t>
            </w:r>
          </w:p>
        </w:tc>
        <w:tc>
          <w:tcPr>
            <w:tcW w:w="1134" w:type="dxa"/>
            <w:tcBorders>
              <w:top w:val="single" w:sz="2" w:space="0" w:color="808080" w:themeColor="background1" w:themeShade="80"/>
            </w:tcBorders>
            <w:hideMark/>
          </w:tcPr>
          <w:p w14:paraId="78EBDBF0" w14:textId="77777777" w:rsidR="00890FB2" w:rsidRPr="00890FB2" w:rsidRDefault="00890FB2" w:rsidP="00035553">
            <w:pPr>
              <w:pStyle w:val="NormalWeb"/>
              <w:jc w:val="center"/>
              <w:rPr>
                <w:sz w:val="18"/>
                <w:szCs w:val="18"/>
              </w:rPr>
            </w:pPr>
            <w:r w:rsidRPr="00890FB2">
              <w:rPr>
                <w:sz w:val="18"/>
                <w:szCs w:val="18"/>
              </w:rPr>
              <w:t>197</w:t>
            </w:r>
          </w:p>
        </w:tc>
        <w:tc>
          <w:tcPr>
            <w:tcW w:w="992" w:type="dxa"/>
            <w:tcBorders>
              <w:top w:val="single" w:sz="2" w:space="0" w:color="808080" w:themeColor="background1" w:themeShade="80"/>
            </w:tcBorders>
            <w:hideMark/>
          </w:tcPr>
          <w:p w14:paraId="0B61880B" w14:textId="77777777" w:rsidR="00890FB2" w:rsidRPr="00890FB2" w:rsidRDefault="00890FB2" w:rsidP="00035553">
            <w:pPr>
              <w:pStyle w:val="NormalWeb"/>
              <w:jc w:val="center"/>
              <w:rPr>
                <w:sz w:val="18"/>
                <w:szCs w:val="18"/>
              </w:rPr>
            </w:pPr>
            <w:r w:rsidRPr="00890FB2">
              <w:rPr>
                <w:sz w:val="18"/>
                <w:szCs w:val="18"/>
              </w:rPr>
              <w:t>52</w:t>
            </w:r>
          </w:p>
        </w:tc>
        <w:tc>
          <w:tcPr>
            <w:tcW w:w="851" w:type="dxa"/>
            <w:tcBorders>
              <w:top w:val="single" w:sz="2" w:space="0" w:color="808080" w:themeColor="background1" w:themeShade="80"/>
            </w:tcBorders>
            <w:hideMark/>
          </w:tcPr>
          <w:p w14:paraId="37ACB93B" w14:textId="77777777" w:rsidR="00890FB2" w:rsidRPr="00890FB2" w:rsidRDefault="00890FB2" w:rsidP="00035553">
            <w:pPr>
              <w:pStyle w:val="NormalWeb"/>
              <w:jc w:val="center"/>
              <w:rPr>
                <w:sz w:val="18"/>
                <w:szCs w:val="18"/>
              </w:rPr>
            </w:pPr>
            <w:r w:rsidRPr="00890FB2">
              <w:rPr>
                <w:sz w:val="18"/>
                <w:szCs w:val="18"/>
              </w:rPr>
              <w:t>45</w:t>
            </w:r>
          </w:p>
        </w:tc>
        <w:tc>
          <w:tcPr>
            <w:tcW w:w="850" w:type="dxa"/>
            <w:tcBorders>
              <w:top w:val="single" w:sz="2" w:space="0" w:color="808080" w:themeColor="background1" w:themeShade="80"/>
            </w:tcBorders>
            <w:hideMark/>
          </w:tcPr>
          <w:p w14:paraId="784ADEDA" w14:textId="77777777" w:rsidR="00890FB2" w:rsidRPr="00890FB2" w:rsidRDefault="00890FB2" w:rsidP="00035553">
            <w:pPr>
              <w:pStyle w:val="NormalWeb"/>
              <w:jc w:val="center"/>
              <w:rPr>
                <w:sz w:val="18"/>
                <w:szCs w:val="18"/>
              </w:rPr>
            </w:pPr>
            <w:r w:rsidRPr="00890FB2">
              <w:rPr>
                <w:sz w:val="18"/>
                <w:szCs w:val="18"/>
              </w:rPr>
              <w:t>64</w:t>
            </w:r>
          </w:p>
        </w:tc>
        <w:tc>
          <w:tcPr>
            <w:tcW w:w="848" w:type="dxa"/>
            <w:tcBorders>
              <w:top w:val="single" w:sz="2" w:space="0" w:color="808080" w:themeColor="background1" w:themeShade="80"/>
            </w:tcBorders>
            <w:hideMark/>
          </w:tcPr>
          <w:p w14:paraId="6B5449E7" w14:textId="77777777" w:rsidR="00890FB2" w:rsidRPr="00890FB2" w:rsidRDefault="00890FB2" w:rsidP="00035553">
            <w:pPr>
              <w:pStyle w:val="NormalWeb"/>
              <w:jc w:val="center"/>
              <w:rPr>
                <w:sz w:val="18"/>
                <w:szCs w:val="18"/>
              </w:rPr>
            </w:pPr>
            <w:r w:rsidRPr="00890FB2">
              <w:rPr>
                <w:sz w:val="18"/>
                <w:szCs w:val="18"/>
              </w:rPr>
              <w:t>242</w:t>
            </w:r>
          </w:p>
        </w:tc>
        <w:tc>
          <w:tcPr>
            <w:tcW w:w="945" w:type="dxa"/>
            <w:tcBorders>
              <w:top w:val="single" w:sz="2" w:space="0" w:color="808080" w:themeColor="background1" w:themeShade="80"/>
            </w:tcBorders>
            <w:hideMark/>
          </w:tcPr>
          <w:p w14:paraId="1BA414BD" w14:textId="77777777" w:rsidR="00890FB2" w:rsidRPr="00890FB2" w:rsidRDefault="00890FB2" w:rsidP="00035553">
            <w:pPr>
              <w:pStyle w:val="NormalWeb"/>
              <w:jc w:val="center"/>
              <w:rPr>
                <w:sz w:val="18"/>
                <w:szCs w:val="18"/>
              </w:rPr>
            </w:pPr>
            <w:r w:rsidRPr="00890FB2">
              <w:rPr>
                <w:sz w:val="18"/>
                <w:szCs w:val="18"/>
              </w:rPr>
              <w:t>54</w:t>
            </w:r>
          </w:p>
        </w:tc>
      </w:tr>
      <w:tr w:rsidR="00890FB2" w:rsidRPr="00890FB2" w14:paraId="61F54162" w14:textId="77777777" w:rsidTr="00F1005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20" w:type="dxa"/>
            <w:hideMark/>
          </w:tcPr>
          <w:p w14:paraId="51F67814" w14:textId="77777777" w:rsidR="00890FB2" w:rsidRPr="00890FB2" w:rsidRDefault="00890FB2" w:rsidP="00035553">
            <w:pPr>
              <w:pStyle w:val="NormalWeb"/>
              <w:rPr>
                <w:sz w:val="18"/>
                <w:szCs w:val="18"/>
              </w:rPr>
            </w:pPr>
            <w:r w:rsidRPr="00890FB2">
              <w:rPr>
                <w:sz w:val="18"/>
                <w:szCs w:val="18"/>
                <w:lang w:val="en-US"/>
              </w:rPr>
              <w:t>Pregnant</w:t>
            </w:r>
          </w:p>
        </w:tc>
        <w:tc>
          <w:tcPr>
            <w:tcW w:w="1134" w:type="dxa"/>
            <w:hideMark/>
          </w:tcPr>
          <w:p w14:paraId="7769662A" w14:textId="77777777" w:rsidR="00890FB2" w:rsidRPr="00890FB2" w:rsidRDefault="00890FB2" w:rsidP="00035553">
            <w:pPr>
              <w:pStyle w:val="NormalWeb"/>
              <w:jc w:val="center"/>
              <w:rPr>
                <w:sz w:val="18"/>
                <w:szCs w:val="18"/>
              </w:rPr>
            </w:pPr>
            <w:r w:rsidRPr="00890FB2">
              <w:rPr>
                <w:sz w:val="18"/>
                <w:szCs w:val="18"/>
              </w:rPr>
              <w:t>3</w:t>
            </w:r>
          </w:p>
        </w:tc>
        <w:tc>
          <w:tcPr>
            <w:tcW w:w="992" w:type="dxa"/>
            <w:hideMark/>
          </w:tcPr>
          <w:p w14:paraId="218148D4" w14:textId="77777777" w:rsidR="00890FB2" w:rsidRPr="00890FB2" w:rsidRDefault="00890FB2" w:rsidP="00035553">
            <w:pPr>
              <w:pStyle w:val="NormalWeb"/>
              <w:jc w:val="center"/>
              <w:rPr>
                <w:sz w:val="18"/>
                <w:szCs w:val="18"/>
              </w:rPr>
            </w:pPr>
            <w:r w:rsidRPr="00890FB2">
              <w:rPr>
                <w:sz w:val="18"/>
                <w:szCs w:val="18"/>
              </w:rPr>
              <w:t>1</w:t>
            </w:r>
          </w:p>
        </w:tc>
        <w:tc>
          <w:tcPr>
            <w:tcW w:w="851" w:type="dxa"/>
            <w:hideMark/>
          </w:tcPr>
          <w:p w14:paraId="77D3B252" w14:textId="77777777" w:rsidR="00890FB2" w:rsidRPr="00890FB2" w:rsidRDefault="00890FB2" w:rsidP="00035553">
            <w:pPr>
              <w:pStyle w:val="NormalWeb"/>
              <w:jc w:val="center"/>
              <w:rPr>
                <w:sz w:val="18"/>
                <w:szCs w:val="18"/>
              </w:rPr>
            </w:pPr>
            <w:r w:rsidRPr="00890FB2">
              <w:rPr>
                <w:sz w:val="18"/>
                <w:szCs w:val="18"/>
              </w:rPr>
              <w:t>1</w:t>
            </w:r>
          </w:p>
        </w:tc>
        <w:tc>
          <w:tcPr>
            <w:tcW w:w="850" w:type="dxa"/>
            <w:hideMark/>
          </w:tcPr>
          <w:p w14:paraId="0F6CF4AB" w14:textId="77777777" w:rsidR="00890FB2" w:rsidRPr="00890FB2" w:rsidRDefault="00890FB2" w:rsidP="00035553">
            <w:pPr>
              <w:pStyle w:val="NormalWeb"/>
              <w:jc w:val="center"/>
              <w:rPr>
                <w:sz w:val="18"/>
                <w:szCs w:val="18"/>
              </w:rPr>
            </w:pPr>
            <w:r w:rsidRPr="00890FB2">
              <w:rPr>
                <w:sz w:val="18"/>
                <w:szCs w:val="18"/>
              </w:rPr>
              <w:t>1</w:t>
            </w:r>
          </w:p>
        </w:tc>
        <w:tc>
          <w:tcPr>
            <w:tcW w:w="848" w:type="dxa"/>
            <w:hideMark/>
          </w:tcPr>
          <w:p w14:paraId="61F307C8" w14:textId="77777777" w:rsidR="00890FB2" w:rsidRPr="00890FB2" w:rsidRDefault="00890FB2" w:rsidP="00035553">
            <w:pPr>
              <w:pStyle w:val="NormalWeb"/>
              <w:jc w:val="center"/>
              <w:rPr>
                <w:sz w:val="18"/>
                <w:szCs w:val="18"/>
              </w:rPr>
            </w:pPr>
            <w:r w:rsidRPr="00890FB2">
              <w:rPr>
                <w:sz w:val="18"/>
                <w:szCs w:val="18"/>
              </w:rPr>
              <w:t>4</w:t>
            </w:r>
          </w:p>
        </w:tc>
        <w:tc>
          <w:tcPr>
            <w:tcW w:w="945" w:type="dxa"/>
            <w:hideMark/>
          </w:tcPr>
          <w:p w14:paraId="437E5E52" w14:textId="77777777" w:rsidR="00890FB2" w:rsidRPr="00890FB2" w:rsidRDefault="00890FB2" w:rsidP="00035553">
            <w:pPr>
              <w:pStyle w:val="NormalWeb"/>
              <w:jc w:val="center"/>
              <w:rPr>
                <w:sz w:val="18"/>
                <w:szCs w:val="18"/>
              </w:rPr>
            </w:pPr>
            <w:r w:rsidRPr="00890FB2">
              <w:rPr>
                <w:sz w:val="18"/>
                <w:szCs w:val="18"/>
              </w:rPr>
              <w:t>1</w:t>
            </w:r>
          </w:p>
        </w:tc>
      </w:tr>
      <w:tr w:rsidR="00890FB2" w:rsidRPr="00890FB2" w14:paraId="1F7C3AB5" w14:textId="77777777" w:rsidTr="00F1005B">
        <w:tblPrEx>
          <w:tblCellMar>
            <w:top w:w="57" w:type="dxa"/>
            <w:left w:w="57" w:type="dxa"/>
            <w:bottom w:w="57" w:type="dxa"/>
            <w:right w:w="57" w:type="dxa"/>
          </w:tblCellMar>
        </w:tblPrEx>
        <w:tc>
          <w:tcPr>
            <w:tcW w:w="4820" w:type="dxa"/>
            <w:hideMark/>
          </w:tcPr>
          <w:p w14:paraId="18DA4564" w14:textId="77777777" w:rsidR="00890FB2" w:rsidRPr="00890FB2" w:rsidRDefault="00890FB2" w:rsidP="00035553">
            <w:pPr>
              <w:pStyle w:val="NormalWeb"/>
              <w:rPr>
                <w:sz w:val="18"/>
                <w:szCs w:val="18"/>
              </w:rPr>
            </w:pPr>
            <w:r w:rsidRPr="00890FB2">
              <w:rPr>
                <w:sz w:val="18"/>
                <w:szCs w:val="18"/>
                <w:lang w:val="en-US"/>
              </w:rPr>
              <w:t>Aboriginal and Torres Strait Islander peoples</w:t>
            </w:r>
          </w:p>
        </w:tc>
        <w:tc>
          <w:tcPr>
            <w:tcW w:w="1134" w:type="dxa"/>
            <w:hideMark/>
          </w:tcPr>
          <w:p w14:paraId="08A4B951" w14:textId="77777777" w:rsidR="00890FB2" w:rsidRPr="00890FB2" w:rsidRDefault="00890FB2" w:rsidP="00035553">
            <w:pPr>
              <w:pStyle w:val="NormalWeb"/>
              <w:jc w:val="center"/>
              <w:rPr>
                <w:sz w:val="18"/>
                <w:szCs w:val="18"/>
              </w:rPr>
            </w:pPr>
            <w:r w:rsidRPr="00890FB2">
              <w:rPr>
                <w:sz w:val="18"/>
                <w:szCs w:val="18"/>
              </w:rPr>
              <w:t>6</w:t>
            </w:r>
          </w:p>
        </w:tc>
        <w:tc>
          <w:tcPr>
            <w:tcW w:w="992" w:type="dxa"/>
            <w:hideMark/>
          </w:tcPr>
          <w:p w14:paraId="3265FD71" w14:textId="77777777" w:rsidR="00890FB2" w:rsidRPr="00890FB2" w:rsidRDefault="00890FB2" w:rsidP="00035553">
            <w:pPr>
              <w:pStyle w:val="NormalWeb"/>
              <w:jc w:val="center"/>
              <w:rPr>
                <w:sz w:val="18"/>
                <w:szCs w:val="18"/>
              </w:rPr>
            </w:pPr>
            <w:r w:rsidRPr="00890FB2">
              <w:rPr>
                <w:sz w:val="18"/>
                <w:szCs w:val="18"/>
              </w:rPr>
              <w:t>2</w:t>
            </w:r>
          </w:p>
        </w:tc>
        <w:tc>
          <w:tcPr>
            <w:tcW w:w="851" w:type="dxa"/>
            <w:hideMark/>
          </w:tcPr>
          <w:p w14:paraId="0DB8A78E" w14:textId="77777777" w:rsidR="00890FB2" w:rsidRPr="00890FB2" w:rsidRDefault="00890FB2" w:rsidP="00035553">
            <w:pPr>
              <w:pStyle w:val="NormalWeb"/>
              <w:jc w:val="center"/>
              <w:rPr>
                <w:sz w:val="18"/>
                <w:szCs w:val="18"/>
              </w:rPr>
            </w:pPr>
            <w:r w:rsidRPr="00890FB2">
              <w:rPr>
                <w:sz w:val="18"/>
                <w:szCs w:val="18"/>
              </w:rPr>
              <w:t>0</w:t>
            </w:r>
          </w:p>
        </w:tc>
        <w:tc>
          <w:tcPr>
            <w:tcW w:w="850" w:type="dxa"/>
            <w:hideMark/>
          </w:tcPr>
          <w:p w14:paraId="00009B5A" w14:textId="77777777" w:rsidR="00890FB2" w:rsidRPr="00890FB2" w:rsidRDefault="00890FB2" w:rsidP="00035553">
            <w:pPr>
              <w:pStyle w:val="NormalWeb"/>
              <w:jc w:val="center"/>
              <w:rPr>
                <w:sz w:val="18"/>
                <w:szCs w:val="18"/>
              </w:rPr>
            </w:pPr>
            <w:r w:rsidRPr="00890FB2">
              <w:rPr>
                <w:sz w:val="18"/>
                <w:szCs w:val="18"/>
              </w:rPr>
              <w:t>0</w:t>
            </w:r>
          </w:p>
        </w:tc>
        <w:tc>
          <w:tcPr>
            <w:tcW w:w="848" w:type="dxa"/>
            <w:hideMark/>
          </w:tcPr>
          <w:p w14:paraId="325477FB" w14:textId="77777777" w:rsidR="00890FB2" w:rsidRPr="00890FB2" w:rsidRDefault="00890FB2" w:rsidP="00035553">
            <w:pPr>
              <w:pStyle w:val="NormalWeb"/>
              <w:jc w:val="center"/>
              <w:rPr>
                <w:sz w:val="18"/>
                <w:szCs w:val="18"/>
              </w:rPr>
            </w:pPr>
            <w:r w:rsidRPr="00890FB2">
              <w:rPr>
                <w:sz w:val="18"/>
                <w:szCs w:val="18"/>
              </w:rPr>
              <w:t>6</w:t>
            </w:r>
          </w:p>
        </w:tc>
        <w:tc>
          <w:tcPr>
            <w:tcW w:w="945" w:type="dxa"/>
            <w:hideMark/>
          </w:tcPr>
          <w:p w14:paraId="6D8B9912" w14:textId="77777777" w:rsidR="00890FB2" w:rsidRPr="00890FB2" w:rsidRDefault="00890FB2" w:rsidP="00035553">
            <w:pPr>
              <w:pStyle w:val="NormalWeb"/>
              <w:jc w:val="center"/>
              <w:rPr>
                <w:sz w:val="18"/>
                <w:szCs w:val="18"/>
              </w:rPr>
            </w:pPr>
            <w:r w:rsidRPr="00890FB2">
              <w:rPr>
                <w:sz w:val="18"/>
                <w:szCs w:val="18"/>
              </w:rPr>
              <w:t>1</w:t>
            </w:r>
          </w:p>
        </w:tc>
      </w:tr>
      <w:tr w:rsidR="00890FB2" w:rsidRPr="00890FB2" w14:paraId="34FC18E9" w14:textId="77777777" w:rsidTr="00F1005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20" w:type="dxa"/>
            <w:hideMark/>
          </w:tcPr>
          <w:p w14:paraId="7BE4EC45" w14:textId="77777777" w:rsidR="00890FB2" w:rsidRPr="00890FB2" w:rsidRDefault="00890FB2" w:rsidP="00035553">
            <w:pPr>
              <w:pStyle w:val="NormalWeb"/>
              <w:rPr>
                <w:sz w:val="18"/>
                <w:szCs w:val="18"/>
              </w:rPr>
            </w:pPr>
            <w:r w:rsidRPr="00890FB2">
              <w:rPr>
                <w:sz w:val="18"/>
                <w:szCs w:val="18"/>
                <w:lang w:val="en-US"/>
              </w:rPr>
              <w:t>Chronic comorbidities</w:t>
            </w:r>
          </w:p>
        </w:tc>
        <w:tc>
          <w:tcPr>
            <w:tcW w:w="1134" w:type="dxa"/>
            <w:hideMark/>
          </w:tcPr>
          <w:p w14:paraId="18490DF4" w14:textId="77777777" w:rsidR="00890FB2" w:rsidRPr="00890FB2" w:rsidRDefault="00890FB2" w:rsidP="00035553">
            <w:pPr>
              <w:pStyle w:val="NormalWeb"/>
              <w:jc w:val="center"/>
              <w:rPr>
                <w:sz w:val="18"/>
                <w:szCs w:val="18"/>
              </w:rPr>
            </w:pPr>
            <w:r w:rsidRPr="00890FB2">
              <w:rPr>
                <w:sz w:val="18"/>
                <w:szCs w:val="18"/>
              </w:rPr>
              <w:t>236</w:t>
            </w:r>
          </w:p>
        </w:tc>
        <w:tc>
          <w:tcPr>
            <w:tcW w:w="992" w:type="dxa"/>
            <w:hideMark/>
          </w:tcPr>
          <w:p w14:paraId="45A8F8EC" w14:textId="77777777" w:rsidR="00890FB2" w:rsidRPr="00890FB2" w:rsidRDefault="00890FB2" w:rsidP="00035553">
            <w:pPr>
              <w:pStyle w:val="NormalWeb"/>
              <w:jc w:val="center"/>
              <w:rPr>
                <w:sz w:val="18"/>
                <w:szCs w:val="18"/>
              </w:rPr>
            </w:pPr>
            <w:r w:rsidRPr="00890FB2">
              <w:rPr>
                <w:sz w:val="18"/>
                <w:szCs w:val="18"/>
              </w:rPr>
              <w:t>62</w:t>
            </w:r>
          </w:p>
        </w:tc>
        <w:tc>
          <w:tcPr>
            <w:tcW w:w="851" w:type="dxa"/>
            <w:hideMark/>
          </w:tcPr>
          <w:p w14:paraId="7E6240CF" w14:textId="77777777" w:rsidR="00890FB2" w:rsidRPr="00890FB2" w:rsidRDefault="00890FB2" w:rsidP="00035553">
            <w:pPr>
              <w:pStyle w:val="NormalWeb"/>
              <w:jc w:val="center"/>
              <w:rPr>
                <w:sz w:val="18"/>
                <w:szCs w:val="18"/>
              </w:rPr>
            </w:pPr>
            <w:r w:rsidRPr="00890FB2">
              <w:rPr>
                <w:sz w:val="18"/>
                <w:szCs w:val="18"/>
              </w:rPr>
              <w:t>53</w:t>
            </w:r>
          </w:p>
        </w:tc>
        <w:tc>
          <w:tcPr>
            <w:tcW w:w="850" w:type="dxa"/>
            <w:hideMark/>
          </w:tcPr>
          <w:p w14:paraId="1A5D458E" w14:textId="77777777" w:rsidR="00890FB2" w:rsidRPr="00890FB2" w:rsidRDefault="00890FB2" w:rsidP="00035553">
            <w:pPr>
              <w:pStyle w:val="NormalWeb"/>
              <w:jc w:val="center"/>
              <w:rPr>
                <w:sz w:val="18"/>
                <w:szCs w:val="18"/>
              </w:rPr>
            </w:pPr>
            <w:r w:rsidRPr="00890FB2">
              <w:rPr>
                <w:sz w:val="18"/>
                <w:szCs w:val="18"/>
              </w:rPr>
              <w:t>76</w:t>
            </w:r>
          </w:p>
        </w:tc>
        <w:tc>
          <w:tcPr>
            <w:tcW w:w="848" w:type="dxa"/>
            <w:hideMark/>
          </w:tcPr>
          <w:p w14:paraId="074211E9" w14:textId="77777777" w:rsidR="00890FB2" w:rsidRPr="00890FB2" w:rsidRDefault="00890FB2" w:rsidP="00035553">
            <w:pPr>
              <w:pStyle w:val="NormalWeb"/>
              <w:jc w:val="center"/>
              <w:rPr>
                <w:sz w:val="18"/>
                <w:szCs w:val="18"/>
              </w:rPr>
            </w:pPr>
            <w:r w:rsidRPr="00890FB2">
              <w:rPr>
                <w:sz w:val="18"/>
                <w:szCs w:val="18"/>
              </w:rPr>
              <w:t>289</w:t>
            </w:r>
          </w:p>
        </w:tc>
        <w:tc>
          <w:tcPr>
            <w:tcW w:w="945" w:type="dxa"/>
            <w:hideMark/>
          </w:tcPr>
          <w:p w14:paraId="0CB5C966" w14:textId="77777777" w:rsidR="00890FB2" w:rsidRPr="00890FB2" w:rsidRDefault="00890FB2" w:rsidP="00035553">
            <w:pPr>
              <w:pStyle w:val="NormalWeb"/>
              <w:jc w:val="center"/>
              <w:rPr>
                <w:sz w:val="18"/>
                <w:szCs w:val="18"/>
              </w:rPr>
            </w:pPr>
            <w:r w:rsidRPr="00890FB2">
              <w:rPr>
                <w:sz w:val="18"/>
                <w:szCs w:val="18"/>
                <w:lang w:val="en-US"/>
              </w:rPr>
              <w:t>65</w:t>
            </w:r>
          </w:p>
        </w:tc>
      </w:tr>
      <w:tr w:rsidR="00890FB2" w:rsidRPr="00890FB2" w14:paraId="68654284" w14:textId="77777777" w:rsidTr="00890FB2">
        <w:tblPrEx>
          <w:tblCellMar>
            <w:top w:w="57" w:type="dxa"/>
            <w:left w:w="57" w:type="dxa"/>
            <w:bottom w:w="57" w:type="dxa"/>
            <w:right w:w="57" w:type="dxa"/>
          </w:tblCellMar>
        </w:tblPrEx>
        <w:tc>
          <w:tcPr>
            <w:tcW w:w="4820" w:type="dxa"/>
            <w:shd w:val="clear" w:color="auto" w:fill="886E49"/>
            <w:hideMark/>
          </w:tcPr>
          <w:p w14:paraId="465467BA" w14:textId="77777777" w:rsidR="00890FB2" w:rsidRPr="00890FB2" w:rsidRDefault="00890FB2" w:rsidP="00035553">
            <w:pPr>
              <w:pStyle w:val="NormalWeb"/>
              <w:rPr>
                <w:b/>
                <w:bCs/>
                <w:color w:val="FFFFFF" w:themeColor="background1"/>
                <w:sz w:val="18"/>
                <w:szCs w:val="18"/>
              </w:rPr>
            </w:pPr>
            <w:r w:rsidRPr="00890FB2">
              <w:rPr>
                <w:b/>
                <w:bCs/>
                <w:color w:val="FFFFFF" w:themeColor="background1"/>
                <w:sz w:val="18"/>
                <w:szCs w:val="18"/>
              </w:rPr>
              <w:t>Jurisdiction</w:t>
            </w:r>
          </w:p>
        </w:tc>
        <w:tc>
          <w:tcPr>
            <w:tcW w:w="5620" w:type="dxa"/>
            <w:gridSpan w:val="6"/>
            <w:shd w:val="clear" w:color="auto" w:fill="886E49"/>
            <w:hideMark/>
          </w:tcPr>
          <w:p w14:paraId="2F1C368B" w14:textId="77777777" w:rsidR="00890FB2" w:rsidRPr="00890FB2" w:rsidRDefault="00890FB2" w:rsidP="00035553">
            <w:pPr>
              <w:jc w:val="center"/>
              <w:rPr>
                <w:b/>
                <w:bCs/>
                <w:color w:val="FFFFFF" w:themeColor="background1"/>
                <w:sz w:val="18"/>
                <w:szCs w:val="18"/>
              </w:rPr>
            </w:pPr>
          </w:p>
        </w:tc>
      </w:tr>
      <w:tr w:rsidR="00890FB2" w:rsidRPr="00890FB2" w14:paraId="78CB28E2" w14:textId="77777777" w:rsidTr="00F1005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20" w:type="dxa"/>
            <w:hideMark/>
          </w:tcPr>
          <w:p w14:paraId="0FB5C1DC" w14:textId="77777777" w:rsidR="00890FB2" w:rsidRPr="00890FB2" w:rsidRDefault="00890FB2" w:rsidP="00035553">
            <w:pPr>
              <w:pStyle w:val="NormalWeb"/>
              <w:rPr>
                <w:sz w:val="18"/>
                <w:szCs w:val="18"/>
              </w:rPr>
            </w:pPr>
            <w:r w:rsidRPr="00890FB2">
              <w:rPr>
                <w:sz w:val="18"/>
                <w:szCs w:val="18"/>
              </w:rPr>
              <w:t>ACT</w:t>
            </w:r>
          </w:p>
        </w:tc>
        <w:tc>
          <w:tcPr>
            <w:tcW w:w="1134" w:type="dxa"/>
            <w:hideMark/>
          </w:tcPr>
          <w:p w14:paraId="4ADACAB8" w14:textId="77777777" w:rsidR="00890FB2" w:rsidRPr="00890FB2" w:rsidRDefault="00890FB2" w:rsidP="00035553">
            <w:pPr>
              <w:pStyle w:val="NormalWeb"/>
              <w:jc w:val="center"/>
              <w:rPr>
                <w:sz w:val="18"/>
                <w:szCs w:val="18"/>
              </w:rPr>
            </w:pPr>
            <w:r w:rsidRPr="00890FB2">
              <w:rPr>
                <w:sz w:val="18"/>
                <w:szCs w:val="18"/>
              </w:rPr>
              <w:t>5</w:t>
            </w:r>
          </w:p>
        </w:tc>
        <w:tc>
          <w:tcPr>
            <w:tcW w:w="992" w:type="dxa"/>
            <w:hideMark/>
          </w:tcPr>
          <w:p w14:paraId="469FDEB8" w14:textId="77777777" w:rsidR="00890FB2" w:rsidRPr="00890FB2" w:rsidRDefault="00890FB2" w:rsidP="00035553">
            <w:pPr>
              <w:pStyle w:val="NormalWeb"/>
              <w:jc w:val="center"/>
              <w:rPr>
                <w:sz w:val="18"/>
                <w:szCs w:val="18"/>
              </w:rPr>
            </w:pPr>
            <w:r w:rsidRPr="00890FB2">
              <w:rPr>
                <w:sz w:val="18"/>
                <w:szCs w:val="18"/>
              </w:rPr>
              <w:t>1</w:t>
            </w:r>
          </w:p>
        </w:tc>
        <w:tc>
          <w:tcPr>
            <w:tcW w:w="851" w:type="dxa"/>
            <w:hideMark/>
          </w:tcPr>
          <w:p w14:paraId="7E300591" w14:textId="77777777" w:rsidR="00890FB2" w:rsidRPr="00890FB2" w:rsidRDefault="00890FB2" w:rsidP="00035553">
            <w:pPr>
              <w:pStyle w:val="NormalWeb"/>
              <w:jc w:val="center"/>
              <w:rPr>
                <w:sz w:val="18"/>
                <w:szCs w:val="18"/>
              </w:rPr>
            </w:pPr>
            <w:r w:rsidRPr="00890FB2">
              <w:rPr>
                <w:sz w:val="18"/>
                <w:szCs w:val="18"/>
              </w:rPr>
              <w:t>4</w:t>
            </w:r>
          </w:p>
        </w:tc>
        <w:tc>
          <w:tcPr>
            <w:tcW w:w="850" w:type="dxa"/>
            <w:hideMark/>
          </w:tcPr>
          <w:p w14:paraId="13528BE2" w14:textId="77777777" w:rsidR="00890FB2" w:rsidRPr="00890FB2" w:rsidRDefault="00890FB2" w:rsidP="00035553">
            <w:pPr>
              <w:pStyle w:val="NormalWeb"/>
              <w:jc w:val="center"/>
              <w:rPr>
                <w:sz w:val="18"/>
                <w:szCs w:val="18"/>
              </w:rPr>
            </w:pPr>
            <w:r w:rsidRPr="00890FB2">
              <w:rPr>
                <w:sz w:val="18"/>
                <w:szCs w:val="18"/>
              </w:rPr>
              <w:t>6</w:t>
            </w:r>
          </w:p>
        </w:tc>
        <w:tc>
          <w:tcPr>
            <w:tcW w:w="848" w:type="dxa"/>
            <w:hideMark/>
          </w:tcPr>
          <w:p w14:paraId="60CD087C" w14:textId="77777777" w:rsidR="00890FB2" w:rsidRPr="00890FB2" w:rsidRDefault="00890FB2" w:rsidP="00035553">
            <w:pPr>
              <w:pStyle w:val="NormalWeb"/>
              <w:jc w:val="center"/>
              <w:rPr>
                <w:sz w:val="18"/>
                <w:szCs w:val="18"/>
              </w:rPr>
            </w:pPr>
            <w:r w:rsidRPr="00890FB2">
              <w:rPr>
                <w:sz w:val="18"/>
                <w:szCs w:val="18"/>
              </w:rPr>
              <w:t>9</w:t>
            </w:r>
          </w:p>
        </w:tc>
        <w:tc>
          <w:tcPr>
            <w:tcW w:w="945" w:type="dxa"/>
            <w:hideMark/>
          </w:tcPr>
          <w:p w14:paraId="34CB5D68" w14:textId="77777777" w:rsidR="00890FB2" w:rsidRPr="00890FB2" w:rsidRDefault="00890FB2" w:rsidP="00035553">
            <w:pPr>
              <w:pStyle w:val="NormalWeb"/>
              <w:jc w:val="center"/>
              <w:rPr>
                <w:sz w:val="18"/>
                <w:szCs w:val="18"/>
              </w:rPr>
            </w:pPr>
            <w:r w:rsidRPr="00890FB2">
              <w:rPr>
                <w:sz w:val="18"/>
                <w:szCs w:val="18"/>
              </w:rPr>
              <w:t>2</w:t>
            </w:r>
          </w:p>
        </w:tc>
      </w:tr>
      <w:tr w:rsidR="00890FB2" w:rsidRPr="00890FB2" w14:paraId="51B206E0" w14:textId="77777777" w:rsidTr="00F1005B">
        <w:tblPrEx>
          <w:tblCellMar>
            <w:top w:w="57" w:type="dxa"/>
            <w:left w:w="57" w:type="dxa"/>
            <w:bottom w:w="57" w:type="dxa"/>
            <w:right w:w="57" w:type="dxa"/>
          </w:tblCellMar>
        </w:tblPrEx>
        <w:tc>
          <w:tcPr>
            <w:tcW w:w="4820" w:type="dxa"/>
            <w:hideMark/>
          </w:tcPr>
          <w:p w14:paraId="24EC5898" w14:textId="77777777" w:rsidR="00890FB2" w:rsidRPr="00890FB2" w:rsidRDefault="00890FB2" w:rsidP="00035553">
            <w:pPr>
              <w:pStyle w:val="NormalWeb"/>
              <w:rPr>
                <w:sz w:val="18"/>
                <w:szCs w:val="18"/>
              </w:rPr>
            </w:pPr>
            <w:r w:rsidRPr="00890FB2">
              <w:rPr>
                <w:sz w:val="18"/>
                <w:szCs w:val="18"/>
                <w:lang w:val="en-US"/>
              </w:rPr>
              <w:t>NSW</w:t>
            </w:r>
          </w:p>
        </w:tc>
        <w:tc>
          <w:tcPr>
            <w:tcW w:w="1134" w:type="dxa"/>
            <w:hideMark/>
          </w:tcPr>
          <w:p w14:paraId="1A0F87AD" w14:textId="77777777" w:rsidR="00890FB2" w:rsidRPr="00890FB2" w:rsidRDefault="00890FB2" w:rsidP="00035553">
            <w:pPr>
              <w:pStyle w:val="NormalWeb"/>
              <w:jc w:val="center"/>
              <w:rPr>
                <w:sz w:val="18"/>
                <w:szCs w:val="18"/>
              </w:rPr>
            </w:pPr>
            <w:r w:rsidRPr="00890FB2">
              <w:rPr>
                <w:sz w:val="18"/>
                <w:szCs w:val="18"/>
              </w:rPr>
              <w:t>48</w:t>
            </w:r>
          </w:p>
        </w:tc>
        <w:tc>
          <w:tcPr>
            <w:tcW w:w="992" w:type="dxa"/>
            <w:hideMark/>
          </w:tcPr>
          <w:p w14:paraId="60D4C41F" w14:textId="77777777" w:rsidR="00890FB2" w:rsidRPr="00890FB2" w:rsidRDefault="00890FB2" w:rsidP="00035553">
            <w:pPr>
              <w:pStyle w:val="NormalWeb"/>
              <w:jc w:val="center"/>
              <w:rPr>
                <w:sz w:val="18"/>
                <w:szCs w:val="18"/>
              </w:rPr>
            </w:pPr>
            <w:r w:rsidRPr="00890FB2">
              <w:rPr>
                <w:sz w:val="18"/>
                <w:szCs w:val="18"/>
              </w:rPr>
              <w:t>13</w:t>
            </w:r>
          </w:p>
        </w:tc>
        <w:tc>
          <w:tcPr>
            <w:tcW w:w="851" w:type="dxa"/>
            <w:hideMark/>
          </w:tcPr>
          <w:p w14:paraId="5D74D604" w14:textId="77777777" w:rsidR="00890FB2" w:rsidRPr="00890FB2" w:rsidRDefault="00890FB2" w:rsidP="00035553">
            <w:pPr>
              <w:pStyle w:val="NormalWeb"/>
              <w:jc w:val="center"/>
              <w:rPr>
                <w:sz w:val="18"/>
                <w:szCs w:val="18"/>
              </w:rPr>
            </w:pPr>
            <w:r w:rsidRPr="00890FB2">
              <w:rPr>
                <w:sz w:val="18"/>
                <w:szCs w:val="18"/>
              </w:rPr>
              <w:t>21</w:t>
            </w:r>
          </w:p>
        </w:tc>
        <w:tc>
          <w:tcPr>
            <w:tcW w:w="850" w:type="dxa"/>
            <w:hideMark/>
          </w:tcPr>
          <w:p w14:paraId="664341D9" w14:textId="77777777" w:rsidR="00890FB2" w:rsidRPr="00890FB2" w:rsidRDefault="00890FB2" w:rsidP="00035553">
            <w:pPr>
              <w:pStyle w:val="NormalWeb"/>
              <w:jc w:val="center"/>
              <w:rPr>
                <w:sz w:val="18"/>
                <w:szCs w:val="18"/>
              </w:rPr>
            </w:pPr>
            <w:r w:rsidRPr="00890FB2">
              <w:rPr>
                <w:sz w:val="18"/>
                <w:szCs w:val="18"/>
              </w:rPr>
              <w:t>30</w:t>
            </w:r>
          </w:p>
        </w:tc>
        <w:tc>
          <w:tcPr>
            <w:tcW w:w="848" w:type="dxa"/>
            <w:hideMark/>
          </w:tcPr>
          <w:p w14:paraId="3D421F56" w14:textId="77777777" w:rsidR="00890FB2" w:rsidRPr="00890FB2" w:rsidRDefault="00890FB2" w:rsidP="00035553">
            <w:pPr>
              <w:pStyle w:val="NormalWeb"/>
              <w:jc w:val="center"/>
              <w:rPr>
                <w:sz w:val="18"/>
                <w:szCs w:val="18"/>
              </w:rPr>
            </w:pPr>
            <w:r w:rsidRPr="00890FB2">
              <w:rPr>
                <w:sz w:val="18"/>
                <w:szCs w:val="18"/>
              </w:rPr>
              <w:t>69</w:t>
            </w:r>
          </w:p>
        </w:tc>
        <w:tc>
          <w:tcPr>
            <w:tcW w:w="945" w:type="dxa"/>
            <w:hideMark/>
          </w:tcPr>
          <w:p w14:paraId="2CB90999" w14:textId="77777777" w:rsidR="00890FB2" w:rsidRPr="00890FB2" w:rsidRDefault="00890FB2" w:rsidP="00035553">
            <w:pPr>
              <w:pStyle w:val="NormalWeb"/>
              <w:jc w:val="center"/>
              <w:rPr>
                <w:sz w:val="18"/>
                <w:szCs w:val="18"/>
              </w:rPr>
            </w:pPr>
            <w:r w:rsidRPr="00890FB2">
              <w:rPr>
                <w:sz w:val="18"/>
                <w:szCs w:val="18"/>
              </w:rPr>
              <w:t>15</w:t>
            </w:r>
          </w:p>
        </w:tc>
      </w:tr>
      <w:tr w:rsidR="00890FB2" w:rsidRPr="00890FB2" w14:paraId="4DFFC9D3" w14:textId="77777777" w:rsidTr="00F1005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20" w:type="dxa"/>
            <w:hideMark/>
          </w:tcPr>
          <w:p w14:paraId="35BEA67A" w14:textId="77777777" w:rsidR="00890FB2" w:rsidRPr="00890FB2" w:rsidRDefault="00890FB2" w:rsidP="00035553">
            <w:pPr>
              <w:pStyle w:val="NormalWeb"/>
              <w:rPr>
                <w:sz w:val="18"/>
                <w:szCs w:val="18"/>
              </w:rPr>
            </w:pPr>
            <w:r w:rsidRPr="00890FB2">
              <w:rPr>
                <w:sz w:val="18"/>
                <w:szCs w:val="18"/>
                <w:lang w:val="en-US"/>
              </w:rPr>
              <w:t>NT</w:t>
            </w:r>
          </w:p>
        </w:tc>
        <w:tc>
          <w:tcPr>
            <w:tcW w:w="1134" w:type="dxa"/>
            <w:hideMark/>
          </w:tcPr>
          <w:p w14:paraId="6E056DC2" w14:textId="77777777" w:rsidR="00890FB2" w:rsidRPr="00890FB2" w:rsidRDefault="00890FB2" w:rsidP="00035553">
            <w:pPr>
              <w:pStyle w:val="NormalWeb"/>
              <w:jc w:val="center"/>
              <w:rPr>
                <w:sz w:val="18"/>
                <w:szCs w:val="18"/>
              </w:rPr>
            </w:pPr>
            <w:r w:rsidRPr="00890FB2">
              <w:rPr>
                <w:sz w:val="18"/>
                <w:szCs w:val="18"/>
              </w:rPr>
              <w:t>1</w:t>
            </w:r>
          </w:p>
        </w:tc>
        <w:tc>
          <w:tcPr>
            <w:tcW w:w="992" w:type="dxa"/>
            <w:hideMark/>
          </w:tcPr>
          <w:p w14:paraId="6150AAB4" w14:textId="77777777" w:rsidR="00890FB2" w:rsidRPr="00890FB2" w:rsidRDefault="00890FB2" w:rsidP="00035553">
            <w:pPr>
              <w:pStyle w:val="NormalWeb"/>
              <w:jc w:val="center"/>
              <w:rPr>
                <w:sz w:val="18"/>
                <w:szCs w:val="18"/>
              </w:rPr>
            </w:pPr>
            <w:r w:rsidRPr="00890FB2">
              <w:rPr>
                <w:sz w:val="18"/>
                <w:szCs w:val="18"/>
              </w:rPr>
              <w:t>&lt; 1</w:t>
            </w:r>
          </w:p>
        </w:tc>
        <w:tc>
          <w:tcPr>
            <w:tcW w:w="851" w:type="dxa"/>
            <w:hideMark/>
          </w:tcPr>
          <w:p w14:paraId="6EB1A5B6" w14:textId="77777777" w:rsidR="00890FB2" w:rsidRPr="00890FB2" w:rsidRDefault="00890FB2" w:rsidP="00035553">
            <w:pPr>
              <w:pStyle w:val="NormalWeb"/>
              <w:jc w:val="center"/>
              <w:rPr>
                <w:sz w:val="18"/>
                <w:szCs w:val="18"/>
              </w:rPr>
            </w:pPr>
            <w:r w:rsidRPr="00890FB2">
              <w:rPr>
                <w:sz w:val="18"/>
                <w:szCs w:val="18"/>
              </w:rPr>
              <w:t>0</w:t>
            </w:r>
          </w:p>
        </w:tc>
        <w:tc>
          <w:tcPr>
            <w:tcW w:w="850" w:type="dxa"/>
            <w:hideMark/>
          </w:tcPr>
          <w:p w14:paraId="302F2DA8" w14:textId="77777777" w:rsidR="00890FB2" w:rsidRPr="00890FB2" w:rsidRDefault="00890FB2" w:rsidP="00035553">
            <w:pPr>
              <w:pStyle w:val="NormalWeb"/>
              <w:jc w:val="center"/>
              <w:rPr>
                <w:sz w:val="18"/>
                <w:szCs w:val="18"/>
              </w:rPr>
            </w:pPr>
            <w:r w:rsidRPr="00890FB2">
              <w:rPr>
                <w:sz w:val="18"/>
                <w:szCs w:val="18"/>
              </w:rPr>
              <w:t>0</w:t>
            </w:r>
          </w:p>
        </w:tc>
        <w:tc>
          <w:tcPr>
            <w:tcW w:w="848" w:type="dxa"/>
            <w:hideMark/>
          </w:tcPr>
          <w:p w14:paraId="1CF7474C" w14:textId="77777777" w:rsidR="00890FB2" w:rsidRPr="00890FB2" w:rsidRDefault="00890FB2" w:rsidP="00035553">
            <w:pPr>
              <w:pStyle w:val="NormalWeb"/>
              <w:jc w:val="center"/>
              <w:rPr>
                <w:sz w:val="18"/>
                <w:szCs w:val="18"/>
              </w:rPr>
            </w:pPr>
            <w:r w:rsidRPr="00890FB2">
              <w:rPr>
                <w:sz w:val="18"/>
                <w:szCs w:val="18"/>
              </w:rPr>
              <w:t>1</w:t>
            </w:r>
          </w:p>
        </w:tc>
        <w:tc>
          <w:tcPr>
            <w:tcW w:w="945" w:type="dxa"/>
            <w:hideMark/>
          </w:tcPr>
          <w:p w14:paraId="5576EA1A" w14:textId="77777777" w:rsidR="00890FB2" w:rsidRPr="00890FB2" w:rsidRDefault="00890FB2" w:rsidP="00035553">
            <w:pPr>
              <w:pStyle w:val="NormalWeb"/>
              <w:jc w:val="center"/>
              <w:rPr>
                <w:sz w:val="18"/>
                <w:szCs w:val="18"/>
              </w:rPr>
            </w:pPr>
            <w:r w:rsidRPr="00890FB2">
              <w:rPr>
                <w:sz w:val="18"/>
                <w:szCs w:val="18"/>
              </w:rPr>
              <w:t>&lt; 1</w:t>
            </w:r>
          </w:p>
        </w:tc>
      </w:tr>
      <w:tr w:rsidR="00890FB2" w:rsidRPr="00890FB2" w14:paraId="29B84070" w14:textId="77777777" w:rsidTr="00F1005B">
        <w:tblPrEx>
          <w:tblCellMar>
            <w:top w:w="57" w:type="dxa"/>
            <w:left w:w="57" w:type="dxa"/>
            <w:bottom w:w="57" w:type="dxa"/>
            <w:right w:w="57" w:type="dxa"/>
          </w:tblCellMar>
        </w:tblPrEx>
        <w:tc>
          <w:tcPr>
            <w:tcW w:w="4820" w:type="dxa"/>
            <w:hideMark/>
          </w:tcPr>
          <w:p w14:paraId="68EE9072" w14:textId="77777777" w:rsidR="00890FB2" w:rsidRPr="00890FB2" w:rsidRDefault="00890FB2" w:rsidP="00035553">
            <w:pPr>
              <w:pStyle w:val="NormalWeb"/>
              <w:rPr>
                <w:sz w:val="18"/>
                <w:szCs w:val="18"/>
              </w:rPr>
            </w:pPr>
            <w:r w:rsidRPr="00890FB2">
              <w:rPr>
                <w:sz w:val="18"/>
                <w:szCs w:val="18"/>
                <w:lang w:val="en-US"/>
              </w:rPr>
              <w:t>Qld</w:t>
            </w:r>
          </w:p>
        </w:tc>
        <w:tc>
          <w:tcPr>
            <w:tcW w:w="1134" w:type="dxa"/>
            <w:hideMark/>
          </w:tcPr>
          <w:p w14:paraId="23285BBA" w14:textId="77777777" w:rsidR="00890FB2" w:rsidRPr="00890FB2" w:rsidRDefault="00890FB2" w:rsidP="00035553">
            <w:pPr>
              <w:pStyle w:val="NormalWeb"/>
              <w:jc w:val="center"/>
              <w:rPr>
                <w:sz w:val="18"/>
                <w:szCs w:val="18"/>
              </w:rPr>
            </w:pPr>
            <w:r w:rsidRPr="00890FB2">
              <w:rPr>
                <w:sz w:val="18"/>
                <w:szCs w:val="18"/>
              </w:rPr>
              <w:t>33</w:t>
            </w:r>
          </w:p>
        </w:tc>
        <w:tc>
          <w:tcPr>
            <w:tcW w:w="992" w:type="dxa"/>
            <w:hideMark/>
          </w:tcPr>
          <w:p w14:paraId="5E53C124" w14:textId="77777777" w:rsidR="00890FB2" w:rsidRPr="00890FB2" w:rsidRDefault="00890FB2" w:rsidP="00035553">
            <w:pPr>
              <w:pStyle w:val="NormalWeb"/>
              <w:jc w:val="center"/>
              <w:rPr>
                <w:sz w:val="18"/>
                <w:szCs w:val="18"/>
              </w:rPr>
            </w:pPr>
            <w:r w:rsidRPr="00890FB2">
              <w:rPr>
                <w:sz w:val="18"/>
                <w:szCs w:val="18"/>
              </w:rPr>
              <w:t>9</w:t>
            </w:r>
          </w:p>
        </w:tc>
        <w:tc>
          <w:tcPr>
            <w:tcW w:w="851" w:type="dxa"/>
            <w:hideMark/>
          </w:tcPr>
          <w:p w14:paraId="4E25625C" w14:textId="77777777" w:rsidR="00890FB2" w:rsidRPr="00890FB2" w:rsidRDefault="00890FB2" w:rsidP="00035553">
            <w:pPr>
              <w:pStyle w:val="NormalWeb"/>
              <w:jc w:val="center"/>
              <w:rPr>
                <w:sz w:val="18"/>
                <w:szCs w:val="18"/>
              </w:rPr>
            </w:pPr>
            <w:r w:rsidRPr="00890FB2">
              <w:rPr>
                <w:sz w:val="18"/>
                <w:szCs w:val="18"/>
              </w:rPr>
              <w:t>0</w:t>
            </w:r>
          </w:p>
        </w:tc>
        <w:tc>
          <w:tcPr>
            <w:tcW w:w="850" w:type="dxa"/>
            <w:hideMark/>
          </w:tcPr>
          <w:p w14:paraId="0B3B4CED" w14:textId="77777777" w:rsidR="00890FB2" w:rsidRPr="00890FB2" w:rsidRDefault="00890FB2" w:rsidP="00035553">
            <w:pPr>
              <w:pStyle w:val="NormalWeb"/>
              <w:jc w:val="center"/>
              <w:rPr>
                <w:sz w:val="18"/>
                <w:szCs w:val="18"/>
              </w:rPr>
            </w:pPr>
            <w:r w:rsidRPr="00890FB2">
              <w:rPr>
                <w:sz w:val="18"/>
                <w:szCs w:val="18"/>
              </w:rPr>
              <w:t>0</w:t>
            </w:r>
          </w:p>
        </w:tc>
        <w:tc>
          <w:tcPr>
            <w:tcW w:w="848" w:type="dxa"/>
            <w:hideMark/>
          </w:tcPr>
          <w:p w14:paraId="7D02C9FB" w14:textId="77777777" w:rsidR="00890FB2" w:rsidRPr="00890FB2" w:rsidRDefault="00890FB2" w:rsidP="00035553">
            <w:pPr>
              <w:pStyle w:val="NormalWeb"/>
              <w:jc w:val="center"/>
              <w:rPr>
                <w:sz w:val="18"/>
                <w:szCs w:val="18"/>
              </w:rPr>
            </w:pPr>
            <w:r w:rsidRPr="00890FB2">
              <w:rPr>
                <w:sz w:val="18"/>
                <w:szCs w:val="18"/>
              </w:rPr>
              <w:t>33</w:t>
            </w:r>
          </w:p>
        </w:tc>
        <w:tc>
          <w:tcPr>
            <w:tcW w:w="945" w:type="dxa"/>
            <w:hideMark/>
          </w:tcPr>
          <w:p w14:paraId="6F0B90A0" w14:textId="77777777" w:rsidR="00890FB2" w:rsidRPr="00890FB2" w:rsidRDefault="00890FB2" w:rsidP="00035553">
            <w:pPr>
              <w:pStyle w:val="NormalWeb"/>
              <w:jc w:val="center"/>
              <w:rPr>
                <w:sz w:val="18"/>
                <w:szCs w:val="18"/>
              </w:rPr>
            </w:pPr>
            <w:r w:rsidRPr="00890FB2">
              <w:rPr>
                <w:sz w:val="18"/>
                <w:szCs w:val="18"/>
              </w:rPr>
              <w:t>7</w:t>
            </w:r>
          </w:p>
        </w:tc>
      </w:tr>
      <w:tr w:rsidR="00890FB2" w:rsidRPr="00890FB2" w14:paraId="680592DC" w14:textId="77777777" w:rsidTr="00F1005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20" w:type="dxa"/>
            <w:hideMark/>
          </w:tcPr>
          <w:p w14:paraId="1C8CDB56" w14:textId="77777777" w:rsidR="00890FB2" w:rsidRPr="00890FB2" w:rsidRDefault="00890FB2" w:rsidP="00035553">
            <w:pPr>
              <w:pStyle w:val="NormalWeb"/>
              <w:rPr>
                <w:sz w:val="18"/>
                <w:szCs w:val="18"/>
              </w:rPr>
            </w:pPr>
            <w:r w:rsidRPr="00890FB2">
              <w:rPr>
                <w:sz w:val="18"/>
                <w:szCs w:val="18"/>
                <w:lang w:val="en-US"/>
              </w:rPr>
              <w:t>SA</w:t>
            </w:r>
          </w:p>
        </w:tc>
        <w:tc>
          <w:tcPr>
            <w:tcW w:w="1134" w:type="dxa"/>
            <w:hideMark/>
          </w:tcPr>
          <w:p w14:paraId="62C73321" w14:textId="77777777" w:rsidR="00890FB2" w:rsidRPr="00890FB2" w:rsidRDefault="00890FB2" w:rsidP="00035553">
            <w:pPr>
              <w:pStyle w:val="NormalWeb"/>
              <w:jc w:val="center"/>
              <w:rPr>
                <w:sz w:val="18"/>
                <w:szCs w:val="18"/>
              </w:rPr>
            </w:pPr>
            <w:r w:rsidRPr="00890FB2">
              <w:rPr>
                <w:sz w:val="18"/>
                <w:szCs w:val="18"/>
              </w:rPr>
              <w:t>6</w:t>
            </w:r>
          </w:p>
        </w:tc>
        <w:tc>
          <w:tcPr>
            <w:tcW w:w="992" w:type="dxa"/>
            <w:hideMark/>
          </w:tcPr>
          <w:p w14:paraId="0F015E5F" w14:textId="77777777" w:rsidR="00890FB2" w:rsidRPr="00890FB2" w:rsidRDefault="00890FB2" w:rsidP="00035553">
            <w:pPr>
              <w:pStyle w:val="NormalWeb"/>
              <w:jc w:val="center"/>
              <w:rPr>
                <w:sz w:val="18"/>
                <w:szCs w:val="18"/>
              </w:rPr>
            </w:pPr>
            <w:r w:rsidRPr="00890FB2">
              <w:rPr>
                <w:sz w:val="18"/>
                <w:szCs w:val="18"/>
              </w:rPr>
              <w:t>2</w:t>
            </w:r>
          </w:p>
        </w:tc>
        <w:tc>
          <w:tcPr>
            <w:tcW w:w="851" w:type="dxa"/>
            <w:hideMark/>
          </w:tcPr>
          <w:p w14:paraId="428E0CC5" w14:textId="77777777" w:rsidR="00890FB2" w:rsidRPr="00890FB2" w:rsidRDefault="00890FB2" w:rsidP="00035553">
            <w:pPr>
              <w:pStyle w:val="NormalWeb"/>
              <w:jc w:val="center"/>
              <w:rPr>
                <w:sz w:val="18"/>
                <w:szCs w:val="18"/>
              </w:rPr>
            </w:pPr>
            <w:r w:rsidRPr="00890FB2">
              <w:rPr>
                <w:sz w:val="18"/>
                <w:szCs w:val="18"/>
              </w:rPr>
              <w:t>1</w:t>
            </w:r>
          </w:p>
        </w:tc>
        <w:tc>
          <w:tcPr>
            <w:tcW w:w="850" w:type="dxa"/>
            <w:hideMark/>
          </w:tcPr>
          <w:p w14:paraId="5E8CCC7D" w14:textId="77777777" w:rsidR="00890FB2" w:rsidRPr="00890FB2" w:rsidRDefault="00890FB2" w:rsidP="00035553">
            <w:pPr>
              <w:pStyle w:val="NormalWeb"/>
              <w:jc w:val="center"/>
              <w:rPr>
                <w:sz w:val="18"/>
                <w:szCs w:val="18"/>
              </w:rPr>
            </w:pPr>
            <w:r w:rsidRPr="00890FB2">
              <w:rPr>
                <w:sz w:val="18"/>
                <w:szCs w:val="18"/>
              </w:rPr>
              <w:t>1</w:t>
            </w:r>
          </w:p>
        </w:tc>
        <w:tc>
          <w:tcPr>
            <w:tcW w:w="848" w:type="dxa"/>
            <w:hideMark/>
          </w:tcPr>
          <w:p w14:paraId="5A8DB8F7" w14:textId="77777777" w:rsidR="00890FB2" w:rsidRPr="00890FB2" w:rsidRDefault="00890FB2" w:rsidP="00035553">
            <w:pPr>
              <w:pStyle w:val="NormalWeb"/>
              <w:jc w:val="center"/>
              <w:rPr>
                <w:sz w:val="18"/>
                <w:szCs w:val="18"/>
              </w:rPr>
            </w:pPr>
            <w:r w:rsidRPr="00890FB2">
              <w:rPr>
                <w:sz w:val="18"/>
                <w:szCs w:val="18"/>
              </w:rPr>
              <w:t>7</w:t>
            </w:r>
          </w:p>
        </w:tc>
        <w:tc>
          <w:tcPr>
            <w:tcW w:w="945" w:type="dxa"/>
            <w:hideMark/>
          </w:tcPr>
          <w:p w14:paraId="09FDC89B" w14:textId="77777777" w:rsidR="00890FB2" w:rsidRPr="00890FB2" w:rsidRDefault="00890FB2" w:rsidP="00035553">
            <w:pPr>
              <w:pStyle w:val="NormalWeb"/>
              <w:jc w:val="center"/>
              <w:rPr>
                <w:sz w:val="18"/>
                <w:szCs w:val="18"/>
              </w:rPr>
            </w:pPr>
            <w:r w:rsidRPr="00890FB2">
              <w:rPr>
                <w:sz w:val="18"/>
                <w:szCs w:val="18"/>
              </w:rPr>
              <w:t>2</w:t>
            </w:r>
          </w:p>
        </w:tc>
      </w:tr>
      <w:tr w:rsidR="00890FB2" w:rsidRPr="00890FB2" w14:paraId="382DBBF8" w14:textId="77777777" w:rsidTr="00F1005B">
        <w:tblPrEx>
          <w:tblCellMar>
            <w:top w:w="57" w:type="dxa"/>
            <w:left w:w="57" w:type="dxa"/>
            <w:bottom w:w="57" w:type="dxa"/>
            <w:right w:w="57" w:type="dxa"/>
          </w:tblCellMar>
        </w:tblPrEx>
        <w:tc>
          <w:tcPr>
            <w:tcW w:w="4820" w:type="dxa"/>
            <w:hideMark/>
          </w:tcPr>
          <w:p w14:paraId="38DFF6BC" w14:textId="77777777" w:rsidR="00890FB2" w:rsidRPr="00890FB2" w:rsidRDefault="00890FB2" w:rsidP="00035553">
            <w:pPr>
              <w:pStyle w:val="NormalWeb"/>
              <w:rPr>
                <w:sz w:val="18"/>
                <w:szCs w:val="18"/>
              </w:rPr>
            </w:pPr>
            <w:r w:rsidRPr="00890FB2">
              <w:rPr>
                <w:sz w:val="18"/>
                <w:szCs w:val="18"/>
                <w:lang w:val="en-US"/>
              </w:rPr>
              <w:t>Tas.</w:t>
            </w:r>
          </w:p>
        </w:tc>
        <w:tc>
          <w:tcPr>
            <w:tcW w:w="1134" w:type="dxa"/>
            <w:hideMark/>
          </w:tcPr>
          <w:p w14:paraId="03096AF5" w14:textId="77777777" w:rsidR="00890FB2" w:rsidRPr="00890FB2" w:rsidRDefault="00890FB2" w:rsidP="00035553">
            <w:pPr>
              <w:pStyle w:val="NormalWeb"/>
              <w:jc w:val="center"/>
              <w:rPr>
                <w:sz w:val="18"/>
                <w:szCs w:val="18"/>
              </w:rPr>
            </w:pPr>
            <w:r w:rsidRPr="00890FB2">
              <w:rPr>
                <w:sz w:val="18"/>
                <w:szCs w:val="18"/>
              </w:rPr>
              <w:t>10</w:t>
            </w:r>
          </w:p>
        </w:tc>
        <w:tc>
          <w:tcPr>
            <w:tcW w:w="992" w:type="dxa"/>
            <w:hideMark/>
          </w:tcPr>
          <w:p w14:paraId="1B58F89F" w14:textId="77777777" w:rsidR="00890FB2" w:rsidRPr="00890FB2" w:rsidRDefault="00890FB2" w:rsidP="00035553">
            <w:pPr>
              <w:pStyle w:val="NormalWeb"/>
              <w:jc w:val="center"/>
              <w:rPr>
                <w:sz w:val="18"/>
                <w:szCs w:val="18"/>
              </w:rPr>
            </w:pPr>
            <w:r w:rsidRPr="00890FB2">
              <w:rPr>
                <w:sz w:val="18"/>
                <w:szCs w:val="18"/>
              </w:rPr>
              <w:t>3</w:t>
            </w:r>
          </w:p>
        </w:tc>
        <w:tc>
          <w:tcPr>
            <w:tcW w:w="851" w:type="dxa"/>
            <w:hideMark/>
          </w:tcPr>
          <w:p w14:paraId="3F46A768" w14:textId="77777777" w:rsidR="00890FB2" w:rsidRPr="00890FB2" w:rsidRDefault="00890FB2" w:rsidP="00035553">
            <w:pPr>
              <w:pStyle w:val="NormalWeb"/>
              <w:jc w:val="center"/>
              <w:rPr>
                <w:sz w:val="18"/>
                <w:szCs w:val="18"/>
              </w:rPr>
            </w:pPr>
            <w:r w:rsidRPr="00890FB2">
              <w:rPr>
                <w:sz w:val="18"/>
                <w:szCs w:val="18"/>
              </w:rPr>
              <w:t>0</w:t>
            </w:r>
          </w:p>
        </w:tc>
        <w:tc>
          <w:tcPr>
            <w:tcW w:w="850" w:type="dxa"/>
            <w:hideMark/>
          </w:tcPr>
          <w:p w14:paraId="149121BE" w14:textId="77777777" w:rsidR="00890FB2" w:rsidRPr="00890FB2" w:rsidRDefault="00890FB2" w:rsidP="00035553">
            <w:pPr>
              <w:pStyle w:val="NormalWeb"/>
              <w:jc w:val="center"/>
              <w:rPr>
                <w:sz w:val="18"/>
                <w:szCs w:val="18"/>
              </w:rPr>
            </w:pPr>
            <w:r w:rsidRPr="00890FB2">
              <w:rPr>
                <w:sz w:val="18"/>
                <w:szCs w:val="18"/>
              </w:rPr>
              <w:t>0</w:t>
            </w:r>
          </w:p>
        </w:tc>
        <w:tc>
          <w:tcPr>
            <w:tcW w:w="848" w:type="dxa"/>
            <w:hideMark/>
          </w:tcPr>
          <w:p w14:paraId="1EC82B26" w14:textId="77777777" w:rsidR="00890FB2" w:rsidRPr="00890FB2" w:rsidRDefault="00890FB2" w:rsidP="00035553">
            <w:pPr>
              <w:pStyle w:val="NormalWeb"/>
              <w:jc w:val="center"/>
              <w:rPr>
                <w:sz w:val="18"/>
                <w:szCs w:val="18"/>
              </w:rPr>
            </w:pPr>
            <w:r w:rsidRPr="00890FB2">
              <w:rPr>
                <w:sz w:val="18"/>
                <w:szCs w:val="18"/>
              </w:rPr>
              <w:t>10</w:t>
            </w:r>
          </w:p>
        </w:tc>
        <w:tc>
          <w:tcPr>
            <w:tcW w:w="945" w:type="dxa"/>
            <w:hideMark/>
          </w:tcPr>
          <w:p w14:paraId="002C2255" w14:textId="77777777" w:rsidR="00890FB2" w:rsidRPr="00890FB2" w:rsidRDefault="00890FB2" w:rsidP="00035553">
            <w:pPr>
              <w:pStyle w:val="NormalWeb"/>
              <w:jc w:val="center"/>
              <w:rPr>
                <w:sz w:val="18"/>
                <w:szCs w:val="18"/>
              </w:rPr>
            </w:pPr>
            <w:r w:rsidRPr="00890FB2">
              <w:rPr>
                <w:sz w:val="18"/>
                <w:szCs w:val="18"/>
              </w:rPr>
              <w:t>2</w:t>
            </w:r>
          </w:p>
        </w:tc>
      </w:tr>
      <w:tr w:rsidR="00890FB2" w:rsidRPr="00890FB2" w14:paraId="4E1A9420" w14:textId="77777777" w:rsidTr="00F1005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20" w:type="dxa"/>
            <w:hideMark/>
          </w:tcPr>
          <w:p w14:paraId="4D90EF90" w14:textId="77777777" w:rsidR="00890FB2" w:rsidRPr="00890FB2" w:rsidRDefault="00890FB2" w:rsidP="00035553">
            <w:pPr>
              <w:pStyle w:val="NormalWeb"/>
              <w:rPr>
                <w:sz w:val="18"/>
                <w:szCs w:val="18"/>
              </w:rPr>
            </w:pPr>
            <w:r w:rsidRPr="00890FB2">
              <w:rPr>
                <w:sz w:val="18"/>
                <w:szCs w:val="18"/>
                <w:lang w:val="en-US"/>
              </w:rPr>
              <w:t>Vic.</w:t>
            </w:r>
          </w:p>
        </w:tc>
        <w:tc>
          <w:tcPr>
            <w:tcW w:w="1134" w:type="dxa"/>
            <w:hideMark/>
          </w:tcPr>
          <w:p w14:paraId="4C4340B4" w14:textId="77777777" w:rsidR="00890FB2" w:rsidRPr="00890FB2" w:rsidRDefault="00890FB2" w:rsidP="00035553">
            <w:pPr>
              <w:pStyle w:val="NormalWeb"/>
              <w:jc w:val="center"/>
              <w:rPr>
                <w:sz w:val="18"/>
                <w:szCs w:val="18"/>
              </w:rPr>
            </w:pPr>
            <w:r w:rsidRPr="00890FB2">
              <w:rPr>
                <w:sz w:val="18"/>
                <w:szCs w:val="18"/>
              </w:rPr>
              <w:t>270</w:t>
            </w:r>
          </w:p>
        </w:tc>
        <w:tc>
          <w:tcPr>
            <w:tcW w:w="992" w:type="dxa"/>
            <w:hideMark/>
          </w:tcPr>
          <w:p w14:paraId="4B16079E" w14:textId="77777777" w:rsidR="00890FB2" w:rsidRPr="00890FB2" w:rsidRDefault="00890FB2" w:rsidP="00035553">
            <w:pPr>
              <w:pStyle w:val="NormalWeb"/>
              <w:jc w:val="center"/>
              <w:rPr>
                <w:sz w:val="18"/>
                <w:szCs w:val="18"/>
              </w:rPr>
            </w:pPr>
            <w:r w:rsidRPr="00890FB2">
              <w:rPr>
                <w:sz w:val="18"/>
                <w:szCs w:val="18"/>
              </w:rPr>
              <w:t>72</w:t>
            </w:r>
          </w:p>
        </w:tc>
        <w:tc>
          <w:tcPr>
            <w:tcW w:w="851" w:type="dxa"/>
            <w:hideMark/>
          </w:tcPr>
          <w:p w14:paraId="272F0427" w14:textId="77777777" w:rsidR="00890FB2" w:rsidRPr="00890FB2" w:rsidRDefault="00890FB2" w:rsidP="00035553">
            <w:pPr>
              <w:pStyle w:val="NormalWeb"/>
              <w:jc w:val="center"/>
              <w:rPr>
                <w:sz w:val="18"/>
                <w:szCs w:val="18"/>
              </w:rPr>
            </w:pPr>
            <w:r w:rsidRPr="00890FB2">
              <w:rPr>
                <w:sz w:val="18"/>
                <w:szCs w:val="18"/>
              </w:rPr>
              <w:t>44</w:t>
            </w:r>
          </w:p>
        </w:tc>
        <w:tc>
          <w:tcPr>
            <w:tcW w:w="850" w:type="dxa"/>
            <w:hideMark/>
          </w:tcPr>
          <w:p w14:paraId="51BF1825" w14:textId="77777777" w:rsidR="00890FB2" w:rsidRPr="00890FB2" w:rsidRDefault="00890FB2" w:rsidP="00035553">
            <w:pPr>
              <w:pStyle w:val="NormalWeb"/>
              <w:jc w:val="center"/>
              <w:rPr>
                <w:sz w:val="18"/>
                <w:szCs w:val="18"/>
              </w:rPr>
            </w:pPr>
            <w:r w:rsidRPr="00890FB2">
              <w:rPr>
                <w:sz w:val="18"/>
                <w:szCs w:val="18"/>
              </w:rPr>
              <w:t>63</w:t>
            </w:r>
          </w:p>
        </w:tc>
        <w:tc>
          <w:tcPr>
            <w:tcW w:w="848" w:type="dxa"/>
            <w:hideMark/>
          </w:tcPr>
          <w:p w14:paraId="2B0E2453" w14:textId="77777777" w:rsidR="00890FB2" w:rsidRPr="00890FB2" w:rsidRDefault="00890FB2" w:rsidP="00035553">
            <w:pPr>
              <w:pStyle w:val="NormalWeb"/>
              <w:jc w:val="center"/>
              <w:rPr>
                <w:sz w:val="18"/>
                <w:szCs w:val="18"/>
              </w:rPr>
            </w:pPr>
            <w:r w:rsidRPr="00890FB2">
              <w:rPr>
                <w:sz w:val="18"/>
                <w:szCs w:val="18"/>
              </w:rPr>
              <w:t>314</w:t>
            </w:r>
          </w:p>
        </w:tc>
        <w:tc>
          <w:tcPr>
            <w:tcW w:w="945" w:type="dxa"/>
            <w:hideMark/>
          </w:tcPr>
          <w:p w14:paraId="589458AC" w14:textId="77777777" w:rsidR="00890FB2" w:rsidRPr="00890FB2" w:rsidRDefault="00890FB2" w:rsidP="00035553">
            <w:pPr>
              <w:pStyle w:val="NormalWeb"/>
              <w:jc w:val="center"/>
              <w:rPr>
                <w:sz w:val="18"/>
                <w:szCs w:val="18"/>
              </w:rPr>
            </w:pPr>
            <w:r w:rsidRPr="00890FB2">
              <w:rPr>
                <w:sz w:val="18"/>
                <w:szCs w:val="18"/>
              </w:rPr>
              <w:t>70</w:t>
            </w:r>
          </w:p>
        </w:tc>
      </w:tr>
      <w:tr w:rsidR="00890FB2" w:rsidRPr="00890FB2" w14:paraId="79DA6E38" w14:textId="77777777" w:rsidTr="00F1005B">
        <w:tblPrEx>
          <w:tblCellMar>
            <w:top w:w="57" w:type="dxa"/>
            <w:left w:w="57" w:type="dxa"/>
            <w:bottom w:w="57" w:type="dxa"/>
            <w:right w:w="57" w:type="dxa"/>
          </w:tblCellMar>
        </w:tblPrEx>
        <w:tc>
          <w:tcPr>
            <w:tcW w:w="4820" w:type="dxa"/>
            <w:hideMark/>
          </w:tcPr>
          <w:p w14:paraId="6CB18110" w14:textId="77777777" w:rsidR="00890FB2" w:rsidRPr="00890FB2" w:rsidRDefault="00890FB2" w:rsidP="00035553">
            <w:pPr>
              <w:pStyle w:val="NormalWeb"/>
              <w:rPr>
                <w:sz w:val="18"/>
                <w:szCs w:val="18"/>
              </w:rPr>
            </w:pPr>
            <w:r w:rsidRPr="00890FB2">
              <w:rPr>
                <w:sz w:val="18"/>
                <w:szCs w:val="18"/>
                <w:lang w:val="en-US"/>
              </w:rPr>
              <w:t>WA</w:t>
            </w:r>
          </w:p>
        </w:tc>
        <w:tc>
          <w:tcPr>
            <w:tcW w:w="1134" w:type="dxa"/>
            <w:hideMark/>
          </w:tcPr>
          <w:p w14:paraId="70B14329" w14:textId="77777777" w:rsidR="00890FB2" w:rsidRPr="00890FB2" w:rsidRDefault="00890FB2" w:rsidP="00035553">
            <w:pPr>
              <w:pStyle w:val="NormalWeb"/>
              <w:jc w:val="center"/>
              <w:rPr>
                <w:sz w:val="18"/>
                <w:szCs w:val="18"/>
              </w:rPr>
            </w:pPr>
            <w:r w:rsidRPr="00890FB2">
              <w:rPr>
                <w:sz w:val="18"/>
                <w:szCs w:val="18"/>
              </w:rPr>
              <w:t>5</w:t>
            </w:r>
          </w:p>
        </w:tc>
        <w:tc>
          <w:tcPr>
            <w:tcW w:w="992" w:type="dxa"/>
            <w:hideMark/>
          </w:tcPr>
          <w:p w14:paraId="5B6A81F1" w14:textId="77777777" w:rsidR="00890FB2" w:rsidRPr="00890FB2" w:rsidRDefault="00890FB2" w:rsidP="00035553">
            <w:pPr>
              <w:pStyle w:val="NormalWeb"/>
              <w:jc w:val="center"/>
              <w:rPr>
                <w:sz w:val="18"/>
                <w:szCs w:val="18"/>
              </w:rPr>
            </w:pPr>
            <w:r w:rsidRPr="00890FB2">
              <w:rPr>
                <w:sz w:val="18"/>
                <w:szCs w:val="18"/>
              </w:rPr>
              <w:t>1</w:t>
            </w:r>
          </w:p>
        </w:tc>
        <w:tc>
          <w:tcPr>
            <w:tcW w:w="851" w:type="dxa"/>
            <w:hideMark/>
          </w:tcPr>
          <w:p w14:paraId="2007D2BE" w14:textId="77777777" w:rsidR="00890FB2" w:rsidRPr="00890FB2" w:rsidRDefault="00890FB2" w:rsidP="00035553">
            <w:pPr>
              <w:pStyle w:val="NormalWeb"/>
              <w:jc w:val="center"/>
              <w:rPr>
                <w:sz w:val="18"/>
                <w:szCs w:val="18"/>
              </w:rPr>
            </w:pPr>
            <w:r w:rsidRPr="00890FB2">
              <w:rPr>
                <w:sz w:val="18"/>
                <w:szCs w:val="18"/>
              </w:rPr>
              <w:t>0</w:t>
            </w:r>
          </w:p>
        </w:tc>
        <w:tc>
          <w:tcPr>
            <w:tcW w:w="850" w:type="dxa"/>
            <w:hideMark/>
          </w:tcPr>
          <w:p w14:paraId="672C94D8" w14:textId="77777777" w:rsidR="00890FB2" w:rsidRPr="00890FB2" w:rsidRDefault="00890FB2" w:rsidP="00035553">
            <w:pPr>
              <w:pStyle w:val="NormalWeb"/>
              <w:jc w:val="center"/>
              <w:rPr>
                <w:sz w:val="18"/>
                <w:szCs w:val="18"/>
              </w:rPr>
            </w:pPr>
            <w:r w:rsidRPr="00890FB2">
              <w:rPr>
                <w:sz w:val="18"/>
                <w:szCs w:val="18"/>
              </w:rPr>
              <w:t>0</w:t>
            </w:r>
          </w:p>
        </w:tc>
        <w:tc>
          <w:tcPr>
            <w:tcW w:w="848" w:type="dxa"/>
            <w:hideMark/>
          </w:tcPr>
          <w:p w14:paraId="345709CC" w14:textId="77777777" w:rsidR="00890FB2" w:rsidRPr="00890FB2" w:rsidRDefault="00890FB2" w:rsidP="00035553">
            <w:pPr>
              <w:pStyle w:val="NormalWeb"/>
              <w:jc w:val="center"/>
              <w:rPr>
                <w:sz w:val="18"/>
                <w:szCs w:val="18"/>
              </w:rPr>
            </w:pPr>
            <w:r w:rsidRPr="00890FB2">
              <w:rPr>
                <w:sz w:val="18"/>
                <w:szCs w:val="18"/>
              </w:rPr>
              <w:t>5</w:t>
            </w:r>
          </w:p>
        </w:tc>
        <w:tc>
          <w:tcPr>
            <w:tcW w:w="945" w:type="dxa"/>
            <w:hideMark/>
          </w:tcPr>
          <w:p w14:paraId="0A1F9D19" w14:textId="77777777" w:rsidR="00890FB2" w:rsidRPr="00890FB2" w:rsidRDefault="00890FB2" w:rsidP="00035553">
            <w:pPr>
              <w:pStyle w:val="NormalWeb"/>
              <w:jc w:val="center"/>
              <w:rPr>
                <w:sz w:val="18"/>
                <w:szCs w:val="18"/>
              </w:rPr>
            </w:pPr>
            <w:r w:rsidRPr="00890FB2">
              <w:rPr>
                <w:sz w:val="18"/>
                <w:szCs w:val="18"/>
                <w:lang w:val="en-US"/>
              </w:rPr>
              <w:t>1</w:t>
            </w:r>
          </w:p>
        </w:tc>
      </w:tr>
      <w:tr w:rsidR="00890FB2" w:rsidRPr="00890FB2" w14:paraId="27C6994D" w14:textId="77777777" w:rsidTr="00890FB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20" w:type="dxa"/>
            <w:shd w:val="clear" w:color="auto" w:fill="886E49"/>
            <w:hideMark/>
          </w:tcPr>
          <w:p w14:paraId="4BC345A4" w14:textId="77777777" w:rsidR="00890FB2" w:rsidRPr="00890FB2" w:rsidRDefault="00890FB2" w:rsidP="00035553">
            <w:pPr>
              <w:pStyle w:val="NormalWeb"/>
              <w:rPr>
                <w:b/>
                <w:bCs/>
                <w:color w:val="FFFFFF" w:themeColor="background1"/>
                <w:sz w:val="18"/>
                <w:szCs w:val="18"/>
              </w:rPr>
            </w:pPr>
            <w:r w:rsidRPr="00890FB2">
              <w:rPr>
                <w:b/>
                <w:bCs/>
                <w:color w:val="FFFFFF" w:themeColor="background1"/>
                <w:sz w:val="18"/>
                <w:szCs w:val="18"/>
              </w:rPr>
              <w:t>In-hospital mortality</w:t>
            </w:r>
          </w:p>
        </w:tc>
        <w:tc>
          <w:tcPr>
            <w:tcW w:w="5620" w:type="dxa"/>
            <w:gridSpan w:val="6"/>
            <w:shd w:val="clear" w:color="auto" w:fill="886E49"/>
            <w:hideMark/>
          </w:tcPr>
          <w:p w14:paraId="1D53829E" w14:textId="77777777" w:rsidR="00890FB2" w:rsidRPr="00890FB2" w:rsidRDefault="00890FB2" w:rsidP="00035553">
            <w:pPr>
              <w:jc w:val="center"/>
              <w:rPr>
                <w:b/>
                <w:bCs/>
                <w:color w:val="FFFFFF" w:themeColor="background1"/>
                <w:sz w:val="18"/>
                <w:szCs w:val="18"/>
              </w:rPr>
            </w:pPr>
          </w:p>
        </w:tc>
      </w:tr>
      <w:tr w:rsidR="00890FB2" w:rsidRPr="00890FB2" w14:paraId="7CE0518B" w14:textId="77777777" w:rsidTr="00F1005B">
        <w:tblPrEx>
          <w:tblCellMar>
            <w:top w:w="57" w:type="dxa"/>
            <w:left w:w="57" w:type="dxa"/>
            <w:bottom w:w="57" w:type="dxa"/>
            <w:right w:w="57" w:type="dxa"/>
          </w:tblCellMar>
        </w:tblPrEx>
        <w:tc>
          <w:tcPr>
            <w:tcW w:w="4820" w:type="dxa"/>
            <w:tcBorders>
              <w:bottom w:val="single" w:sz="2" w:space="0" w:color="808080" w:themeColor="background1" w:themeShade="80"/>
            </w:tcBorders>
            <w:hideMark/>
          </w:tcPr>
          <w:p w14:paraId="08F3F7C4" w14:textId="77777777" w:rsidR="00890FB2" w:rsidRPr="00890FB2" w:rsidRDefault="00890FB2" w:rsidP="00035553">
            <w:pPr>
              <w:pStyle w:val="NormalWeb"/>
              <w:rPr>
                <w:sz w:val="18"/>
                <w:szCs w:val="18"/>
              </w:rPr>
            </w:pPr>
            <w:proofErr w:type="spellStart"/>
            <w:r w:rsidRPr="00890FB2">
              <w:rPr>
                <w:sz w:val="18"/>
                <w:szCs w:val="18"/>
              </w:rPr>
              <w:t>Died</w:t>
            </w:r>
            <w:r w:rsidRPr="00890FB2">
              <w:rPr>
                <w:sz w:val="18"/>
                <w:szCs w:val="18"/>
                <w:vertAlign w:val="superscript"/>
              </w:rPr>
              <w:t>a</w:t>
            </w:r>
            <w:proofErr w:type="spellEnd"/>
          </w:p>
        </w:tc>
        <w:tc>
          <w:tcPr>
            <w:tcW w:w="1134" w:type="dxa"/>
            <w:tcBorders>
              <w:bottom w:val="single" w:sz="2" w:space="0" w:color="808080" w:themeColor="background1" w:themeShade="80"/>
            </w:tcBorders>
            <w:hideMark/>
          </w:tcPr>
          <w:p w14:paraId="1274D70C" w14:textId="77777777" w:rsidR="00890FB2" w:rsidRPr="00890FB2" w:rsidRDefault="00890FB2" w:rsidP="00035553">
            <w:pPr>
              <w:pStyle w:val="NormalWeb"/>
              <w:jc w:val="center"/>
              <w:rPr>
                <w:sz w:val="18"/>
                <w:szCs w:val="18"/>
              </w:rPr>
            </w:pPr>
            <w:r w:rsidRPr="00890FB2">
              <w:rPr>
                <w:sz w:val="18"/>
                <w:szCs w:val="18"/>
              </w:rPr>
              <w:t>37</w:t>
            </w:r>
          </w:p>
        </w:tc>
        <w:tc>
          <w:tcPr>
            <w:tcW w:w="992" w:type="dxa"/>
            <w:tcBorders>
              <w:bottom w:val="single" w:sz="2" w:space="0" w:color="808080" w:themeColor="background1" w:themeShade="80"/>
            </w:tcBorders>
            <w:hideMark/>
          </w:tcPr>
          <w:p w14:paraId="276AADB8" w14:textId="77777777" w:rsidR="00890FB2" w:rsidRPr="00890FB2" w:rsidRDefault="00890FB2" w:rsidP="00035553">
            <w:pPr>
              <w:pStyle w:val="NormalWeb"/>
              <w:jc w:val="center"/>
              <w:rPr>
                <w:sz w:val="18"/>
                <w:szCs w:val="18"/>
              </w:rPr>
            </w:pPr>
            <w:r w:rsidRPr="00890FB2">
              <w:rPr>
                <w:sz w:val="18"/>
                <w:szCs w:val="18"/>
              </w:rPr>
              <w:t>11c</w:t>
            </w:r>
          </w:p>
        </w:tc>
        <w:tc>
          <w:tcPr>
            <w:tcW w:w="851" w:type="dxa"/>
            <w:tcBorders>
              <w:bottom w:val="single" w:sz="2" w:space="0" w:color="808080" w:themeColor="background1" w:themeShade="80"/>
            </w:tcBorders>
            <w:hideMark/>
          </w:tcPr>
          <w:p w14:paraId="429734D3" w14:textId="77777777" w:rsidR="00890FB2" w:rsidRPr="00890FB2" w:rsidRDefault="00890FB2" w:rsidP="00035553">
            <w:pPr>
              <w:pStyle w:val="NormalWeb"/>
              <w:jc w:val="center"/>
              <w:rPr>
                <w:sz w:val="18"/>
                <w:szCs w:val="18"/>
              </w:rPr>
            </w:pPr>
            <w:r w:rsidRPr="00890FB2">
              <w:rPr>
                <w:sz w:val="18"/>
                <w:szCs w:val="18"/>
              </w:rPr>
              <w:t>6</w:t>
            </w:r>
          </w:p>
        </w:tc>
        <w:tc>
          <w:tcPr>
            <w:tcW w:w="850" w:type="dxa"/>
            <w:tcBorders>
              <w:bottom w:val="single" w:sz="2" w:space="0" w:color="808080" w:themeColor="background1" w:themeShade="80"/>
            </w:tcBorders>
            <w:hideMark/>
          </w:tcPr>
          <w:p w14:paraId="3DD25958" w14:textId="77777777" w:rsidR="00890FB2" w:rsidRPr="00890FB2" w:rsidRDefault="00890FB2" w:rsidP="00035553">
            <w:pPr>
              <w:pStyle w:val="NormalWeb"/>
              <w:jc w:val="center"/>
              <w:rPr>
                <w:sz w:val="18"/>
                <w:szCs w:val="18"/>
              </w:rPr>
            </w:pPr>
            <w:r w:rsidRPr="00890FB2">
              <w:rPr>
                <w:sz w:val="18"/>
                <w:szCs w:val="18"/>
              </w:rPr>
              <w:t>12d</w:t>
            </w:r>
          </w:p>
        </w:tc>
        <w:tc>
          <w:tcPr>
            <w:tcW w:w="848" w:type="dxa"/>
            <w:tcBorders>
              <w:bottom w:val="single" w:sz="2" w:space="0" w:color="808080" w:themeColor="background1" w:themeShade="80"/>
            </w:tcBorders>
            <w:hideMark/>
          </w:tcPr>
          <w:p w14:paraId="49BA64E0" w14:textId="77777777" w:rsidR="00890FB2" w:rsidRPr="00890FB2" w:rsidRDefault="00890FB2" w:rsidP="00035553">
            <w:pPr>
              <w:pStyle w:val="NormalWeb"/>
              <w:jc w:val="center"/>
              <w:rPr>
                <w:sz w:val="18"/>
                <w:szCs w:val="18"/>
              </w:rPr>
            </w:pPr>
            <w:r w:rsidRPr="00890FB2">
              <w:rPr>
                <w:sz w:val="18"/>
                <w:szCs w:val="18"/>
              </w:rPr>
              <w:t>43</w:t>
            </w:r>
          </w:p>
        </w:tc>
        <w:tc>
          <w:tcPr>
            <w:tcW w:w="945" w:type="dxa"/>
            <w:tcBorders>
              <w:bottom w:val="single" w:sz="2" w:space="0" w:color="808080" w:themeColor="background1" w:themeShade="80"/>
            </w:tcBorders>
            <w:hideMark/>
          </w:tcPr>
          <w:p w14:paraId="0EBCD266" w14:textId="77777777" w:rsidR="00890FB2" w:rsidRPr="00890FB2" w:rsidRDefault="00890FB2" w:rsidP="00035553">
            <w:pPr>
              <w:pStyle w:val="NormalWeb"/>
              <w:jc w:val="center"/>
              <w:rPr>
                <w:sz w:val="18"/>
                <w:szCs w:val="18"/>
              </w:rPr>
            </w:pPr>
            <w:r w:rsidRPr="00890FB2">
              <w:rPr>
                <w:sz w:val="18"/>
                <w:szCs w:val="18"/>
                <w:lang w:val="en-US"/>
              </w:rPr>
              <w:t>11</w:t>
            </w:r>
          </w:p>
        </w:tc>
      </w:tr>
    </w:tbl>
    <w:p w14:paraId="44A52E11" w14:textId="77777777" w:rsidR="00890FB2" w:rsidRDefault="00890FB2" w:rsidP="00890FB2">
      <w:pPr>
        <w:pStyle w:val="CDIfootnotes"/>
        <w:rPr>
          <w:lang w:val="en-GB"/>
        </w:rPr>
      </w:pPr>
      <w:r>
        <w:rPr>
          <w:lang w:val="en-GB"/>
        </w:rPr>
        <w:t>a</w:t>
      </w:r>
      <w:r>
        <w:rPr>
          <w:lang w:val="en-GB"/>
        </w:rPr>
        <w:tab/>
        <w:t>Percentage within the indicated category or jurisdiction among all cases having this ICU status (i.e., denominator = n).</w:t>
      </w:r>
    </w:p>
    <w:p w14:paraId="0FE523A9" w14:textId="77777777" w:rsidR="00890FB2" w:rsidRDefault="00890FB2" w:rsidP="00890FB2">
      <w:pPr>
        <w:pStyle w:val="CDIfootnotes"/>
        <w:rPr>
          <w:lang w:val="en-GB"/>
        </w:rPr>
      </w:pPr>
      <w:r>
        <w:rPr>
          <w:lang w:val="en-GB"/>
        </w:rPr>
        <w:t>b</w:t>
      </w:r>
      <w:r>
        <w:rPr>
          <w:lang w:val="en-GB"/>
        </w:rPr>
        <w:tab/>
        <w:t>Mortality status reported based on 400 patients with known mortality outcome.</w:t>
      </w:r>
    </w:p>
    <w:p w14:paraId="6495C9EF" w14:textId="77777777" w:rsidR="00890FB2" w:rsidRDefault="00890FB2" w:rsidP="00890FB2">
      <w:pPr>
        <w:pStyle w:val="CDIfootnotes"/>
        <w:rPr>
          <w:lang w:val="en-GB"/>
        </w:rPr>
      </w:pPr>
      <w:r>
        <w:rPr>
          <w:lang w:val="en-GB"/>
        </w:rPr>
        <w:t>c</w:t>
      </w:r>
      <w:r>
        <w:rPr>
          <w:lang w:val="en-GB"/>
        </w:rPr>
        <w:tab/>
        <w:t>Denominator = 351.</w:t>
      </w:r>
    </w:p>
    <w:p w14:paraId="6170B0DC" w14:textId="77777777" w:rsidR="00890FB2" w:rsidRDefault="00890FB2" w:rsidP="00890FB2">
      <w:pPr>
        <w:pStyle w:val="CDIfootnotes"/>
        <w:rPr>
          <w:lang w:val="en-GB"/>
        </w:rPr>
      </w:pPr>
      <w:r>
        <w:rPr>
          <w:lang w:val="en-GB"/>
        </w:rPr>
        <w:t>d</w:t>
      </w:r>
      <w:r>
        <w:rPr>
          <w:lang w:val="en-GB"/>
        </w:rPr>
        <w:tab/>
        <w:t>Denominator = 49.</w:t>
      </w:r>
    </w:p>
    <w:p w14:paraId="4A2BC17D" w14:textId="77777777" w:rsidR="00890FB2" w:rsidRDefault="00890FB2">
      <w:pPr>
        <w:rPr>
          <w:rStyle w:val="Strong"/>
          <w:lang w:val="en-GB"/>
        </w:rPr>
      </w:pPr>
      <w:r>
        <w:rPr>
          <w:rStyle w:val="Strong"/>
          <w:lang w:val="en-GB"/>
        </w:rPr>
        <w:br w:type="page"/>
      </w:r>
    </w:p>
    <w:p w14:paraId="532357C0" w14:textId="26F6CFA8" w:rsidR="0092082A" w:rsidRPr="0092082A" w:rsidRDefault="0092082A" w:rsidP="0092082A">
      <w:pPr>
        <w:pStyle w:val="Heading2"/>
      </w:pPr>
      <w:r w:rsidRPr="0092082A">
        <w:lastRenderedPageBreak/>
        <w:t>Presentation and management</w:t>
      </w:r>
    </w:p>
    <w:p w14:paraId="0DEA4216" w14:textId="77777777" w:rsidR="0092082A" w:rsidRDefault="0092082A" w:rsidP="0092082A">
      <w:r>
        <w:t>Of all COVID-19 cases, 25 patients (6%) did not have a date of symptom onset documented. Where the duration of symptoms was known, the median duration of symptoms prior to admission was six days (interquartile range (IQR): 3, 9 days).</w:t>
      </w:r>
    </w:p>
    <w:p w14:paraId="6EF5F798" w14:textId="77777777" w:rsidR="0092082A" w:rsidRDefault="0092082A" w:rsidP="0092082A">
      <w:r>
        <w:t>Radiological evidence of pneumonia was present in 158 patients (35%). There were no children (&lt; 16 years) with pneumonia detected. The proportion of patients with pneumonia was slightly higher in non-elderly adults (21%) than in elderly adults (15%). A higher proportion of patients with pneumonia were admitted to ICU (29%) than those without pneumonia (8%).</w:t>
      </w:r>
    </w:p>
    <w:p w14:paraId="6D28657F" w14:textId="417D8BB3" w:rsidR="0092082A" w:rsidRDefault="0092082A" w:rsidP="0092082A">
      <w:r>
        <w:t>Of all cases, 70 COVID-19 patients (16%) were admitted into ICU (Table 4). Among COVID-19 patients, those who were male; those 40–64 years of age; or those who possessed chronic comorbidities were more likely to be admitted to ICU (Table 5). Hospital length of stay was correlated with older age and longer in those with medical comorbidities and those who were admitted into intensive care (Table 6).</w:t>
      </w:r>
    </w:p>
    <w:p w14:paraId="296B16B0" w14:textId="77777777" w:rsidR="00BB42C3" w:rsidRDefault="00BB42C3" w:rsidP="00203BBC">
      <w:pPr>
        <w:pStyle w:val="CDIFigures"/>
        <w:spacing w:after="0" w:afterAutospacing="0" w:line="240" w:lineRule="auto"/>
        <w:rPr>
          <w:lang w:val="en-GB"/>
        </w:rPr>
      </w:pPr>
      <w:r>
        <w:rPr>
          <w:lang w:val="en-GB"/>
        </w:rPr>
        <w:t>Table 5: Factors associated with admission to intensive care in patients hospitalised with confirmed COVID-19</w:t>
      </w:r>
    </w:p>
    <w:tbl>
      <w:tblPr>
        <w:tblStyle w:val="CDI-StandardTable"/>
        <w:tblW w:w="0" w:type="auto"/>
        <w:tblLook w:val="04A0" w:firstRow="1" w:lastRow="0" w:firstColumn="1" w:lastColumn="0" w:noHBand="0" w:noVBand="1"/>
        <w:tblDescription w:val="Table 5: This table presents the results of a logistic regression looking at factors independently associated with admission of COVID-19 patients to intensive care, including age, medical co-morbidities, sex and pregnancy.&#10;"/>
      </w:tblPr>
      <w:tblGrid>
        <w:gridCol w:w="3119"/>
        <w:gridCol w:w="2268"/>
        <w:gridCol w:w="1417"/>
        <w:gridCol w:w="2127"/>
        <w:gridCol w:w="1509"/>
      </w:tblGrid>
      <w:tr w:rsidR="00BB42C3" w:rsidRPr="00DA74C2" w14:paraId="19FA0275" w14:textId="77777777" w:rsidTr="00DA74C2">
        <w:trPr>
          <w:cnfStyle w:val="100000000000" w:firstRow="1" w:lastRow="0" w:firstColumn="0" w:lastColumn="0" w:oddVBand="0" w:evenVBand="0" w:oddHBand="0" w:evenHBand="0" w:firstRowFirstColumn="0" w:firstRowLastColumn="0" w:lastRowFirstColumn="0" w:lastRowLastColumn="0"/>
        </w:trPr>
        <w:tc>
          <w:tcPr>
            <w:tcW w:w="3119" w:type="dxa"/>
            <w:tcBorders>
              <w:top w:val="single" w:sz="2" w:space="0" w:color="886E49"/>
              <w:left w:val="single" w:sz="2" w:space="0" w:color="886E49"/>
              <w:bottom w:val="single" w:sz="2" w:space="0" w:color="886E49"/>
              <w:right w:val="single" w:sz="2" w:space="0" w:color="886E49"/>
            </w:tcBorders>
            <w:hideMark/>
          </w:tcPr>
          <w:p w14:paraId="0C522C64" w14:textId="77777777" w:rsidR="00BB42C3" w:rsidRPr="00DA74C2" w:rsidRDefault="00BB42C3" w:rsidP="00035553">
            <w:pPr>
              <w:pStyle w:val="NormalWeb"/>
              <w:rPr>
                <w:color w:val="FFFFFF" w:themeColor="background1"/>
                <w:sz w:val="18"/>
                <w:szCs w:val="18"/>
              </w:rPr>
            </w:pPr>
            <w:proofErr w:type="spellStart"/>
            <w:r w:rsidRPr="00DA74C2">
              <w:rPr>
                <w:color w:val="FFFFFF" w:themeColor="background1"/>
                <w:sz w:val="18"/>
                <w:szCs w:val="18"/>
              </w:rPr>
              <w:t>Variable</w:t>
            </w:r>
            <w:r w:rsidRPr="00DA74C2">
              <w:rPr>
                <w:color w:val="FFFFFF" w:themeColor="background1"/>
                <w:sz w:val="18"/>
                <w:szCs w:val="18"/>
                <w:vertAlign w:val="superscript"/>
              </w:rPr>
              <w:t>a</w:t>
            </w:r>
            <w:proofErr w:type="spellEnd"/>
          </w:p>
        </w:tc>
        <w:tc>
          <w:tcPr>
            <w:tcW w:w="2268" w:type="dxa"/>
            <w:tcBorders>
              <w:top w:val="single" w:sz="2" w:space="0" w:color="886E49"/>
              <w:left w:val="single" w:sz="2" w:space="0" w:color="886E49"/>
              <w:bottom w:val="single" w:sz="2" w:space="0" w:color="886E49"/>
              <w:right w:val="single" w:sz="2" w:space="0" w:color="886E49"/>
            </w:tcBorders>
            <w:hideMark/>
          </w:tcPr>
          <w:p w14:paraId="477DB29F" w14:textId="77777777" w:rsidR="00BB42C3" w:rsidRPr="00DA74C2" w:rsidRDefault="00BB42C3" w:rsidP="00035553">
            <w:pPr>
              <w:pStyle w:val="NormalWeb"/>
              <w:jc w:val="center"/>
              <w:rPr>
                <w:color w:val="FFFFFF" w:themeColor="background1"/>
                <w:sz w:val="18"/>
                <w:szCs w:val="18"/>
              </w:rPr>
            </w:pPr>
            <w:r w:rsidRPr="00DA74C2">
              <w:rPr>
                <w:color w:val="FFFFFF" w:themeColor="background1"/>
                <w:sz w:val="18"/>
                <w:szCs w:val="18"/>
              </w:rPr>
              <w:t xml:space="preserve">Crude </w:t>
            </w:r>
            <w:proofErr w:type="spellStart"/>
            <w:r w:rsidRPr="00DA74C2">
              <w:rPr>
                <w:color w:val="FFFFFF" w:themeColor="background1"/>
                <w:sz w:val="18"/>
                <w:szCs w:val="18"/>
              </w:rPr>
              <w:t>OR</w:t>
            </w:r>
            <w:r w:rsidRPr="00DA74C2">
              <w:rPr>
                <w:color w:val="FFFFFF" w:themeColor="background1"/>
                <w:sz w:val="18"/>
                <w:szCs w:val="18"/>
                <w:vertAlign w:val="superscript"/>
              </w:rPr>
              <w:t>b</w:t>
            </w:r>
            <w:proofErr w:type="spellEnd"/>
            <w:r w:rsidRPr="00DA74C2">
              <w:rPr>
                <w:color w:val="FFFFFF" w:themeColor="background1"/>
                <w:sz w:val="18"/>
                <w:szCs w:val="18"/>
              </w:rPr>
              <w:t xml:space="preserve"> (IQR)</w:t>
            </w:r>
          </w:p>
        </w:tc>
        <w:tc>
          <w:tcPr>
            <w:tcW w:w="1417" w:type="dxa"/>
            <w:tcBorders>
              <w:top w:val="single" w:sz="2" w:space="0" w:color="886E49"/>
              <w:left w:val="single" w:sz="2" w:space="0" w:color="886E49"/>
              <w:bottom w:val="single" w:sz="2" w:space="0" w:color="886E49"/>
              <w:right w:val="single" w:sz="2" w:space="0" w:color="886E49"/>
            </w:tcBorders>
            <w:hideMark/>
          </w:tcPr>
          <w:p w14:paraId="3C3A63BD" w14:textId="77777777" w:rsidR="00BB42C3" w:rsidRPr="00DA74C2" w:rsidRDefault="00BB42C3" w:rsidP="00035553">
            <w:pPr>
              <w:pStyle w:val="NormalWeb"/>
              <w:jc w:val="center"/>
              <w:rPr>
                <w:color w:val="FFFFFF" w:themeColor="background1"/>
                <w:sz w:val="18"/>
                <w:szCs w:val="18"/>
              </w:rPr>
            </w:pPr>
            <w:r w:rsidRPr="00DA74C2">
              <w:rPr>
                <w:i/>
                <w:iCs/>
                <w:color w:val="FFFFFF" w:themeColor="background1"/>
                <w:sz w:val="18"/>
                <w:szCs w:val="18"/>
              </w:rPr>
              <w:t>p</w:t>
            </w:r>
            <w:r w:rsidRPr="00DA74C2">
              <w:rPr>
                <w:color w:val="FFFFFF" w:themeColor="background1"/>
                <w:sz w:val="18"/>
                <w:szCs w:val="18"/>
              </w:rPr>
              <w:t xml:space="preserve"> value</w:t>
            </w:r>
          </w:p>
        </w:tc>
        <w:tc>
          <w:tcPr>
            <w:tcW w:w="2127" w:type="dxa"/>
            <w:tcBorders>
              <w:top w:val="single" w:sz="2" w:space="0" w:color="886E49"/>
              <w:left w:val="single" w:sz="2" w:space="0" w:color="886E49"/>
              <w:bottom w:val="single" w:sz="2" w:space="0" w:color="886E49"/>
              <w:right w:val="single" w:sz="2" w:space="0" w:color="886E49"/>
            </w:tcBorders>
            <w:hideMark/>
          </w:tcPr>
          <w:p w14:paraId="27112BAB" w14:textId="77777777" w:rsidR="00BB42C3" w:rsidRPr="00DA74C2" w:rsidRDefault="00BB42C3" w:rsidP="00035553">
            <w:pPr>
              <w:pStyle w:val="NormalWeb"/>
              <w:jc w:val="center"/>
              <w:rPr>
                <w:color w:val="FFFFFF" w:themeColor="background1"/>
                <w:sz w:val="18"/>
                <w:szCs w:val="18"/>
              </w:rPr>
            </w:pPr>
            <w:r w:rsidRPr="00DA74C2">
              <w:rPr>
                <w:color w:val="FFFFFF" w:themeColor="background1"/>
                <w:sz w:val="18"/>
                <w:szCs w:val="18"/>
              </w:rPr>
              <w:t xml:space="preserve">Adjusted </w:t>
            </w:r>
            <w:proofErr w:type="spellStart"/>
            <w:proofErr w:type="gramStart"/>
            <w:r w:rsidRPr="00DA74C2">
              <w:rPr>
                <w:color w:val="FFFFFF" w:themeColor="background1"/>
                <w:sz w:val="18"/>
                <w:szCs w:val="18"/>
              </w:rPr>
              <w:t>OR</w:t>
            </w:r>
            <w:r w:rsidRPr="00DA74C2">
              <w:rPr>
                <w:color w:val="FFFFFF" w:themeColor="background1"/>
                <w:sz w:val="18"/>
                <w:szCs w:val="18"/>
                <w:vertAlign w:val="superscript"/>
              </w:rPr>
              <w:t>b,c</w:t>
            </w:r>
            <w:proofErr w:type="spellEnd"/>
            <w:proofErr w:type="gramEnd"/>
            <w:r w:rsidRPr="00DA74C2">
              <w:rPr>
                <w:color w:val="FFFFFF" w:themeColor="background1"/>
                <w:sz w:val="18"/>
                <w:szCs w:val="18"/>
                <w:vertAlign w:val="superscript"/>
              </w:rPr>
              <w:t xml:space="preserve"> </w:t>
            </w:r>
            <w:r w:rsidRPr="00DA74C2">
              <w:rPr>
                <w:color w:val="FFFFFF" w:themeColor="background1"/>
                <w:sz w:val="18"/>
                <w:szCs w:val="18"/>
              </w:rPr>
              <w:t>(IQR)</w:t>
            </w:r>
          </w:p>
        </w:tc>
        <w:tc>
          <w:tcPr>
            <w:tcW w:w="1509" w:type="dxa"/>
            <w:tcBorders>
              <w:top w:val="single" w:sz="2" w:space="0" w:color="886E49"/>
              <w:left w:val="single" w:sz="2" w:space="0" w:color="886E49"/>
              <w:bottom w:val="single" w:sz="2" w:space="0" w:color="886E49"/>
              <w:right w:val="single" w:sz="2" w:space="0" w:color="886E49"/>
            </w:tcBorders>
            <w:hideMark/>
          </w:tcPr>
          <w:p w14:paraId="58C50913" w14:textId="77777777" w:rsidR="00BB42C3" w:rsidRPr="00DA74C2" w:rsidRDefault="00BB42C3" w:rsidP="00035553">
            <w:pPr>
              <w:pStyle w:val="NormalWeb"/>
              <w:jc w:val="center"/>
              <w:rPr>
                <w:color w:val="FFFFFF" w:themeColor="background1"/>
                <w:sz w:val="18"/>
                <w:szCs w:val="18"/>
              </w:rPr>
            </w:pPr>
            <w:r w:rsidRPr="00DA74C2">
              <w:rPr>
                <w:i/>
                <w:color w:val="FFFFFF" w:themeColor="background1"/>
                <w:sz w:val="18"/>
                <w:szCs w:val="18"/>
              </w:rPr>
              <w:t>p</w:t>
            </w:r>
            <w:r w:rsidRPr="00DA74C2">
              <w:rPr>
                <w:color w:val="FFFFFF" w:themeColor="background1"/>
                <w:sz w:val="18"/>
                <w:szCs w:val="18"/>
              </w:rPr>
              <w:t xml:space="preserve"> value</w:t>
            </w:r>
          </w:p>
        </w:tc>
      </w:tr>
      <w:tr w:rsidR="00BB42C3" w:rsidRPr="00DA74C2" w14:paraId="1B1A59C8" w14:textId="77777777" w:rsidTr="00DA74C2">
        <w:tblPrEx>
          <w:tblCellMar>
            <w:top w:w="57" w:type="dxa"/>
            <w:left w:w="57" w:type="dxa"/>
            <w:bottom w:w="57" w:type="dxa"/>
            <w:right w:w="57" w:type="dxa"/>
          </w:tblCellMar>
        </w:tblPrEx>
        <w:tc>
          <w:tcPr>
            <w:tcW w:w="3119" w:type="dxa"/>
            <w:tcBorders>
              <w:top w:val="single" w:sz="2" w:space="0" w:color="886E49"/>
            </w:tcBorders>
            <w:shd w:val="clear" w:color="auto" w:fill="886E49"/>
            <w:hideMark/>
          </w:tcPr>
          <w:p w14:paraId="273D1334" w14:textId="77777777" w:rsidR="00BB42C3" w:rsidRPr="00DA74C2" w:rsidRDefault="00BB42C3" w:rsidP="00035553">
            <w:pPr>
              <w:pStyle w:val="NormalWeb"/>
              <w:rPr>
                <w:b/>
                <w:bCs/>
                <w:color w:val="FFFFFF" w:themeColor="background1"/>
                <w:sz w:val="18"/>
                <w:szCs w:val="18"/>
              </w:rPr>
            </w:pPr>
            <w:r w:rsidRPr="00DA74C2">
              <w:rPr>
                <w:b/>
                <w:bCs/>
                <w:color w:val="FFFFFF" w:themeColor="background1"/>
                <w:sz w:val="18"/>
                <w:szCs w:val="18"/>
              </w:rPr>
              <w:t>Age</w:t>
            </w:r>
          </w:p>
        </w:tc>
        <w:tc>
          <w:tcPr>
            <w:tcW w:w="2268" w:type="dxa"/>
            <w:tcBorders>
              <w:top w:val="single" w:sz="2" w:space="0" w:color="886E49"/>
            </w:tcBorders>
            <w:shd w:val="clear" w:color="auto" w:fill="886E49"/>
            <w:hideMark/>
          </w:tcPr>
          <w:p w14:paraId="6D167D6A" w14:textId="77777777" w:rsidR="00BB42C3" w:rsidRPr="00DA74C2" w:rsidRDefault="00BB42C3" w:rsidP="00035553">
            <w:pPr>
              <w:jc w:val="center"/>
              <w:rPr>
                <w:b/>
                <w:bCs/>
                <w:color w:val="FFFFFF" w:themeColor="background1"/>
                <w:sz w:val="18"/>
                <w:szCs w:val="18"/>
              </w:rPr>
            </w:pPr>
          </w:p>
        </w:tc>
        <w:tc>
          <w:tcPr>
            <w:tcW w:w="1417" w:type="dxa"/>
            <w:tcBorders>
              <w:top w:val="single" w:sz="2" w:space="0" w:color="886E49"/>
            </w:tcBorders>
            <w:shd w:val="clear" w:color="auto" w:fill="886E49"/>
            <w:hideMark/>
          </w:tcPr>
          <w:p w14:paraId="12D64F4F" w14:textId="77777777" w:rsidR="00BB42C3" w:rsidRPr="00DA74C2" w:rsidRDefault="00BB42C3" w:rsidP="00035553">
            <w:pPr>
              <w:jc w:val="center"/>
              <w:rPr>
                <w:rFonts w:eastAsia="Times New Roman"/>
                <w:b/>
                <w:bCs/>
                <w:color w:val="FFFFFF" w:themeColor="background1"/>
                <w:sz w:val="18"/>
                <w:szCs w:val="18"/>
              </w:rPr>
            </w:pPr>
          </w:p>
        </w:tc>
        <w:tc>
          <w:tcPr>
            <w:tcW w:w="2127" w:type="dxa"/>
            <w:tcBorders>
              <w:top w:val="single" w:sz="2" w:space="0" w:color="886E49"/>
            </w:tcBorders>
            <w:shd w:val="clear" w:color="auto" w:fill="886E49"/>
            <w:hideMark/>
          </w:tcPr>
          <w:p w14:paraId="42AD50A8" w14:textId="77777777" w:rsidR="00BB42C3" w:rsidRPr="00DA74C2" w:rsidRDefault="00BB42C3" w:rsidP="00035553">
            <w:pPr>
              <w:jc w:val="center"/>
              <w:rPr>
                <w:rFonts w:eastAsia="Times New Roman"/>
                <w:b/>
                <w:bCs/>
                <w:color w:val="FFFFFF" w:themeColor="background1"/>
                <w:sz w:val="18"/>
                <w:szCs w:val="18"/>
              </w:rPr>
            </w:pPr>
          </w:p>
        </w:tc>
        <w:tc>
          <w:tcPr>
            <w:tcW w:w="1509" w:type="dxa"/>
            <w:tcBorders>
              <w:top w:val="single" w:sz="2" w:space="0" w:color="886E49"/>
            </w:tcBorders>
            <w:shd w:val="clear" w:color="auto" w:fill="886E49"/>
            <w:hideMark/>
          </w:tcPr>
          <w:p w14:paraId="0DFC1766" w14:textId="77777777" w:rsidR="00BB42C3" w:rsidRPr="00DA74C2" w:rsidRDefault="00BB42C3" w:rsidP="00035553">
            <w:pPr>
              <w:jc w:val="center"/>
              <w:rPr>
                <w:rFonts w:eastAsia="Times New Roman"/>
                <w:b/>
                <w:bCs/>
                <w:color w:val="FFFFFF" w:themeColor="background1"/>
                <w:sz w:val="18"/>
                <w:szCs w:val="18"/>
              </w:rPr>
            </w:pPr>
          </w:p>
        </w:tc>
      </w:tr>
      <w:tr w:rsidR="00BB42C3" w:rsidRPr="00DA74C2" w14:paraId="5B276CF1" w14:textId="77777777" w:rsidTr="00DA74C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hideMark/>
          </w:tcPr>
          <w:p w14:paraId="5CF30A32" w14:textId="77777777" w:rsidR="00BB42C3" w:rsidRPr="00DA74C2" w:rsidRDefault="00BB42C3" w:rsidP="00035553">
            <w:pPr>
              <w:pStyle w:val="NormalWeb"/>
              <w:rPr>
                <w:sz w:val="18"/>
                <w:szCs w:val="18"/>
              </w:rPr>
            </w:pPr>
            <w:r w:rsidRPr="00DA74C2">
              <w:rPr>
                <w:sz w:val="18"/>
                <w:szCs w:val="18"/>
              </w:rPr>
              <w:t>16–39 years</w:t>
            </w:r>
          </w:p>
        </w:tc>
        <w:tc>
          <w:tcPr>
            <w:tcW w:w="2268" w:type="dxa"/>
            <w:hideMark/>
          </w:tcPr>
          <w:p w14:paraId="72DB175F" w14:textId="77777777" w:rsidR="00BB42C3" w:rsidRPr="00DA74C2" w:rsidRDefault="00BB42C3" w:rsidP="00035553">
            <w:pPr>
              <w:pStyle w:val="NormalWeb"/>
              <w:jc w:val="center"/>
              <w:rPr>
                <w:sz w:val="18"/>
                <w:szCs w:val="18"/>
              </w:rPr>
            </w:pPr>
            <w:r w:rsidRPr="00DA74C2">
              <w:rPr>
                <w:sz w:val="18"/>
                <w:szCs w:val="18"/>
              </w:rPr>
              <w:t>0.46 (0.22, 0.98)</w:t>
            </w:r>
          </w:p>
        </w:tc>
        <w:tc>
          <w:tcPr>
            <w:tcW w:w="1417" w:type="dxa"/>
            <w:hideMark/>
          </w:tcPr>
          <w:p w14:paraId="5A1C9757" w14:textId="77777777" w:rsidR="00BB42C3" w:rsidRPr="00DA74C2" w:rsidRDefault="00BB42C3" w:rsidP="00035553">
            <w:pPr>
              <w:pStyle w:val="NormalWeb"/>
              <w:jc w:val="center"/>
              <w:rPr>
                <w:sz w:val="18"/>
                <w:szCs w:val="18"/>
              </w:rPr>
            </w:pPr>
            <w:r w:rsidRPr="00DA74C2">
              <w:rPr>
                <w:sz w:val="18"/>
                <w:szCs w:val="18"/>
              </w:rPr>
              <w:t>0.04</w:t>
            </w:r>
          </w:p>
        </w:tc>
        <w:tc>
          <w:tcPr>
            <w:tcW w:w="2127" w:type="dxa"/>
            <w:hideMark/>
          </w:tcPr>
          <w:p w14:paraId="15E6B9F4" w14:textId="77777777" w:rsidR="00BB42C3" w:rsidRPr="00DA74C2" w:rsidRDefault="00BB42C3" w:rsidP="00035553">
            <w:pPr>
              <w:pStyle w:val="NormalWeb"/>
              <w:jc w:val="center"/>
              <w:rPr>
                <w:sz w:val="18"/>
                <w:szCs w:val="18"/>
              </w:rPr>
            </w:pPr>
            <w:r w:rsidRPr="00DA74C2">
              <w:rPr>
                <w:sz w:val="18"/>
                <w:szCs w:val="18"/>
              </w:rPr>
              <w:t>0.63 (0.29, 1.39)</w:t>
            </w:r>
          </w:p>
        </w:tc>
        <w:tc>
          <w:tcPr>
            <w:tcW w:w="1509" w:type="dxa"/>
            <w:hideMark/>
          </w:tcPr>
          <w:p w14:paraId="4F7874D8" w14:textId="77777777" w:rsidR="00BB42C3" w:rsidRPr="00DA74C2" w:rsidRDefault="00BB42C3" w:rsidP="00035553">
            <w:pPr>
              <w:pStyle w:val="NormalWeb"/>
              <w:jc w:val="center"/>
              <w:rPr>
                <w:sz w:val="18"/>
                <w:szCs w:val="18"/>
              </w:rPr>
            </w:pPr>
            <w:r w:rsidRPr="00DA74C2">
              <w:rPr>
                <w:sz w:val="18"/>
                <w:szCs w:val="18"/>
              </w:rPr>
              <w:t>0.26</w:t>
            </w:r>
          </w:p>
        </w:tc>
      </w:tr>
      <w:tr w:rsidR="00BB42C3" w:rsidRPr="00DA74C2" w14:paraId="3626FA89" w14:textId="77777777" w:rsidTr="00DA74C2">
        <w:tblPrEx>
          <w:tblCellMar>
            <w:top w:w="57" w:type="dxa"/>
            <w:left w:w="57" w:type="dxa"/>
            <w:bottom w:w="57" w:type="dxa"/>
            <w:right w:w="57" w:type="dxa"/>
          </w:tblCellMar>
        </w:tblPrEx>
        <w:tc>
          <w:tcPr>
            <w:tcW w:w="3119" w:type="dxa"/>
            <w:hideMark/>
          </w:tcPr>
          <w:p w14:paraId="128B37AA" w14:textId="77777777" w:rsidR="00BB42C3" w:rsidRPr="00DA74C2" w:rsidRDefault="00BB42C3" w:rsidP="00035553">
            <w:pPr>
              <w:pStyle w:val="NormalWeb"/>
              <w:rPr>
                <w:sz w:val="18"/>
                <w:szCs w:val="18"/>
              </w:rPr>
            </w:pPr>
            <w:r w:rsidRPr="00DA74C2">
              <w:rPr>
                <w:sz w:val="18"/>
                <w:szCs w:val="18"/>
              </w:rPr>
              <w:t>40–64 years</w:t>
            </w:r>
          </w:p>
        </w:tc>
        <w:tc>
          <w:tcPr>
            <w:tcW w:w="2268" w:type="dxa"/>
            <w:hideMark/>
          </w:tcPr>
          <w:p w14:paraId="01E32DA2" w14:textId="77777777" w:rsidR="00BB42C3" w:rsidRPr="00DA74C2" w:rsidRDefault="00BB42C3" w:rsidP="00035553">
            <w:pPr>
              <w:pStyle w:val="NormalWeb"/>
              <w:jc w:val="center"/>
              <w:rPr>
                <w:sz w:val="18"/>
                <w:szCs w:val="18"/>
              </w:rPr>
            </w:pPr>
            <w:r w:rsidRPr="00DA74C2">
              <w:rPr>
                <w:sz w:val="18"/>
                <w:szCs w:val="18"/>
              </w:rPr>
              <w:t>1.03 (0.58, 1.82)</w:t>
            </w:r>
          </w:p>
        </w:tc>
        <w:tc>
          <w:tcPr>
            <w:tcW w:w="1417" w:type="dxa"/>
            <w:hideMark/>
          </w:tcPr>
          <w:p w14:paraId="035A4E29" w14:textId="77777777" w:rsidR="00BB42C3" w:rsidRPr="00DA74C2" w:rsidRDefault="00BB42C3" w:rsidP="00035553">
            <w:pPr>
              <w:pStyle w:val="NormalWeb"/>
              <w:jc w:val="center"/>
              <w:rPr>
                <w:sz w:val="18"/>
                <w:szCs w:val="18"/>
              </w:rPr>
            </w:pPr>
            <w:r w:rsidRPr="00DA74C2">
              <w:rPr>
                <w:sz w:val="18"/>
                <w:szCs w:val="18"/>
              </w:rPr>
              <w:t>0.93</w:t>
            </w:r>
          </w:p>
        </w:tc>
        <w:tc>
          <w:tcPr>
            <w:tcW w:w="2127" w:type="dxa"/>
            <w:hideMark/>
          </w:tcPr>
          <w:p w14:paraId="3A75381D" w14:textId="77777777" w:rsidR="00BB42C3" w:rsidRPr="00DA74C2" w:rsidRDefault="00BB42C3" w:rsidP="00035553">
            <w:pPr>
              <w:pStyle w:val="NormalWeb"/>
              <w:jc w:val="center"/>
              <w:rPr>
                <w:sz w:val="18"/>
                <w:szCs w:val="18"/>
              </w:rPr>
            </w:pPr>
            <w:r w:rsidRPr="00DA74C2">
              <w:rPr>
                <w:sz w:val="18"/>
                <w:szCs w:val="18"/>
              </w:rPr>
              <w:t>1.19 (0.66, 2.15)</w:t>
            </w:r>
          </w:p>
        </w:tc>
        <w:tc>
          <w:tcPr>
            <w:tcW w:w="1509" w:type="dxa"/>
            <w:hideMark/>
          </w:tcPr>
          <w:p w14:paraId="3DF68A5E" w14:textId="77777777" w:rsidR="00BB42C3" w:rsidRPr="00DA74C2" w:rsidRDefault="00BB42C3" w:rsidP="00035553">
            <w:pPr>
              <w:pStyle w:val="NormalWeb"/>
              <w:jc w:val="center"/>
              <w:rPr>
                <w:sz w:val="18"/>
                <w:szCs w:val="18"/>
              </w:rPr>
            </w:pPr>
            <w:r w:rsidRPr="00DA74C2">
              <w:rPr>
                <w:sz w:val="18"/>
                <w:szCs w:val="18"/>
              </w:rPr>
              <w:t>0.56</w:t>
            </w:r>
          </w:p>
        </w:tc>
      </w:tr>
      <w:tr w:rsidR="00BB42C3" w:rsidRPr="00DA74C2" w14:paraId="2C53699C" w14:textId="77777777" w:rsidTr="0014582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hideMark/>
          </w:tcPr>
          <w:p w14:paraId="10663110" w14:textId="77777777" w:rsidR="00BB42C3" w:rsidRPr="00DA74C2" w:rsidRDefault="00BB42C3" w:rsidP="00035553">
            <w:pPr>
              <w:pStyle w:val="NormalWeb"/>
              <w:rPr>
                <w:sz w:val="18"/>
                <w:szCs w:val="18"/>
              </w:rPr>
            </w:pPr>
            <w:r w:rsidRPr="00DA74C2">
              <w:rPr>
                <w:sz w:val="18"/>
                <w:szCs w:val="18"/>
              </w:rPr>
              <w:t>65–79 years</w:t>
            </w:r>
          </w:p>
        </w:tc>
        <w:tc>
          <w:tcPr>
            <w:tcW w:w="2268" w:type="dxa"/>
            <w:hideMark/>
          </w:tcPr>
          <w:p w14:paraId="3B74FDBE" w14:textId="77777777" w:rsidR="00BB42C3" w:rsidRPr="00DA74C2" w:rsidRDefault="00BB42C3" w:rsidP="00035553">
            <w:pPr>
              <w:pStyle w:val="NormalWeb"/>
              <w:jc w:val="center"/>
              <w:rPr>
                <w:sz w:val="18"/>
                <w:szCs w:val="18"/>
              </w:rPr>
            </w:pPr>
            <w:r w:rsidRPr="00DA74C2">
              <w:rPr>
                <w:sz w:val="18"/>
                <w:szCs w:val="18"/>
              </w:rPr>
              <w:t>1 (referent)</w:t>
            </w:r>
          </w:p>
        </w:tc>
        <w:tc>
          <w:tcPr>
            <w:tcW w:w="1417" w:type="dxa"/>
            <w:hideMark/>
          </w:tcPr>
          <w:p w14:paraId="12372E14" w14:textId="77777777" w:rsidR="00BB42C3" w:rsidRPr="00DA74C2" w:rsidRDefault="00BB42C3" w:rsidP="00035553">
            <w:pPr>
              <w:jc w:val="center"/>
              <w:rPr>
                <w:sz w:val="18"/>
                <w:szCs w:val="18"/>
              </w:rPr>
            </w:pPr>
          </w:p>
        </w:tc>
        <w:tc>
          <w:tcPr>
            <w:tcW w:w="2127" w:type="dxa"/>
            <w:hideMark/>
          </w:tcPr>
          <w:p w14:paraId="69EF76C0" w14:textId="77777777" w:rsidR="00BB42C3" w:rsidRPr="00DA74C2" w:rsidRDefault="00BB42C3" w:rsidP="00035553">
            <w:pPr>
              <w:pStyle w:val="NormalWeb"/>
              <w:jc w:val="center"/>
              <w:rPr>
                <w:sz w:val="18"/>
                <w:szCs w:val="18"/>
              </w:rPr>
            </w:pPr>
            <w:r w:rsidRPr="00DA74C2">
              <w:rPr>
                <w:sz w:val="18"/>
                <w:szCs w:val="18"/>
              </w:rPr>
              <w:t>1 (referent)</w:t>
            </w:r>
          </w:p>
        </w:tc>
        <w:tc>
          <w:tcPr>
            <w:tcW w:w="1509" w:type="dxa"/>
            <w:hideMark/>
          </w:tcPr>
          <w:p w14:paraId="22AB9A83" w14:textId="77777777" w:rsidR="00BB42C3" w:rsidRPr="00DA74C2" w:rsidRDefault="00BB42C3" w:rsidP="00035553">
            <w:pPr>
              <w:jc w:val="center"/>
              <w:rPr>
                <w:sz w:val="18"/>
                <w:szCs w:val="18"/>
              </w:rPr>
            </w:pPr>
          </w:p>
        </w:tc>
      </w:tr>
      <w:tr w:rsidR="00BB42C3" w:rsidRPr="00DA74C2" w14:paraId="45E5D01C" w14:textId="77777777" w:rsidTr="0014582A">
        <w:tblPrEx>
          <w:tblCellMar>
            <w:top w:w="57" w:type="dxa"/>
            <w:left w:w="57" w:type="dxa"/>
            <w:bottom w:w="57" w:type="dxa"/>
            <w:right w:w="57" w:type="dxa"/>
          </w:tblCellMar>
        </w:tblPrEx>
        <w:tc>
          <w:tcPr>
            <w:tcW w:w="3119" w:type="dxa"/>
            <w:tcBorders>
              <w:bottom w:val="single" w:sz="4" w:space="0" w:color="auto"/>
            </w:tcBorders>
            <w:hideMark/>
          </w:tcPr>
          <w:p w14:paraId="17074D3B" w14:textId="77777777" w:rsidR="00BB42C3" w:rsidRPr="00DA74C2" w:rsidRDefault="00BB42C3" w:rsidP="00035553">
            <w:pPr>
              <w:pStyle w:val="NormalWeb"/>
              <w:rPr>
                <w:sz w:val="18"/>
                <w:szCs w:val="18"/>
              </w:rPr>
            </w:pPr>
            <w:r w:rsidRPr="00DA74C2">
              <w:rPr>
                <w:sz w:val="18"/>
                <w:szCs w:val="18"/>
              </w:rPr>
              <w:t>&gt; 80 years</w:t>
            </w:r>
          </w:p>
        </w:tc>
        <w:tc>
          <w:tcPr>
            <w:tcW w:w="2268" w:type="dxa"/>
            <w:tcBorders>
              <w:bottom w:val="single" w:sz="4" w:space="0" w:color="auto"/>
            </w:tcBorders>
            <w:hideMark/>
          </w:tcPr>
          <w:p w14:paraId="0E2A95D2" w14:textId="77777777" w:rsidR="00BB42C3" w:rsidRPr="00DA74C2" w:rsidRDefault="00BB42C3" w:rsidP="00035553">
            <w:pPr>
              <w:pStyle w:val="NormalWeb"/>
              <w:jc w:val="center"/>
              <w:rPr>
                <w:sz w:val="18"/>
                <w:szCs w:val="18"/>
              </w:rPr>
            </w:pPr>
            <w:r w:rsidRPr="00DA74C2">
              <w:rPr>
                <w:sz w:val="18"/>
                <w:szCs w:val="18"/>
              </w:rPr>
              <w:t>0.17 (0.06, 0.47)</w:t>
            </w:r>
          </w:p>
        </w:tc>
        <w:tc>
          <w:tcPr>
            <w:tcW w:w="1417" w:type="dxa"/>
            <w:tcBorders>
              <w:bottom w:val="single" w:sz="4" w:space="0" w:color="auto"/>
            </w:tcBorders>
            <w:hideMark/>
          </w:tcPr>
          <w:p w14:paraId="12C25469" w14:textId="77777777" w:rsidR="00BB42C3" w:rsidRPr="00DA74C2" w:rsidRDefault="00BB42C3" w:rsidP="00035553">
            <w:pPr>
              <w:pStyle w:val="NormalWeb"/>
              <w:jc w:val="center"/>
              <w:rPr>
                <w:sz w:val="18"/>
                <w:szCs w:val="18"/>
              </w:rPr>
            </w:pPr>
            <w:r w:rsidRPr="00DA74C2">
              <w:rPr>
                <w:sz w:val="18"/>
                <w:szCs w:val="18"/>
              </w:rPr>
              <w:t>&lt; 0.01</w:t>
            </w:r>
          </w:p>
        </w:tc>
        <w:tc>
          <w:tcPr>
            <w:tcW w:w="2127" w:type="dxa"/>
            <w:tcBorders>
              <w:bottom w:val="single" w:sz="4" w:space="0" w:color="auto"/>
            </w:tcBorders>
            <w:hideMark/>
          </w:tcPr>
          <w:p w14:paraId="442CFFAF" w14:textId="77777777" w:rsidR="00BB42C3" w:rsidRPr="00DA74C2" w:rsidRDefault="00BB42C3" w:rsidP="00035553">
            <w:pPr>
              <w:pStyle w:val="NormalWeb"/>
              <w:jc w:val="center"/>
              <w:rPr>
                <w:sz w:val="18"/>
                <w:szCs w:val="18"/>
              </w:rPr>
            </w:pPr>
            <w:r w:rsidRPr="00DA74C2">
              <w:rPr>
                <w:sz w:val="18"/>
                <w:szCs w:val="18"/>
              </w:rPr>
              <w:t>0.18 (0.07, 0.51)</w:t>
            </w:r>
          </w:p>
        </w:tc>
        <w:tc>
          <w:tcPr>
            <w:tcW w:w="1509" w:type="dxa"/>
            <w:tcBorders>
              <w:bottom w:val="single" w:sz="4" w:space="0" w:color="auto"/>
            </w:tcBorders>
            <w:hideMark/>
          </w:tcPr>
          <w:p w14:paraId="0D59B79E" w14:textId="77777777" w:rsidR="00BB42C3" w:rsidRPr="00DA74C2" w:rsidRDefault="00BB42C3" w:rsidP="00035553">
            <w:pPr>
              <w:pStyle w:val="NormalWeb"/>
              <w:jc w:val="center"/>
              <w:rPr>
                <w:sz w:val="18"/>
                <w:szCs w:val="18"/>
              </w:rPr>
            </w:pPr>
            <w:r w:rsidRPr="00DA74C2">
              <w:rPr>
                <w:sz w:val="18"/>
                <w:szCs w:val="18"/>
              </w:rPr>
              <w:t>&lt; 0.01</w:t>
            </w:r>
          </w:p>
        </w:tc>
      </w:tr>
      <w:tr w:rsidR="00BB42C3" w:rsidRPr="00DA74C2" w14:paraId="0197689E" w14:textId="77777777" w:rsidTr="0014582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tcBorders>
              <w:top w:val="single" w:sz="4" w:space="0" w:color="auto"/>
            </w:tcBorders>
            <w:hideMark/>
          </w:tcPr>
          <w:p w14:paraId="1C6DA65A" w14:textId="77777777" w:rsidR="00BB42C3" w:rsidRPr="00DA74C2" w:rsidRDefault="00BB42C3" w:rsidP="00035553">
            <w:pPr>
              <w:pStyle w:val="NormalWeb"/>
              <w:rPr>
                <w:sz w:val="18"/>
                <w:szCs w:val="18"/>
              </w:rPr>
            </w:pPr>
            <w:r w:rsidRPr="00DA74C2">
              <w:rPr>
                <w:sz w:val="18"/>
                <w:szCs w:val="18"/>
              </w:rPr>
              <w:t>Medical comorbidities</w:t>
            </w:r>
          </w:p>
        </w:tc>
        <w:tc>
          <w:tcPr>
            <w:tcW w:w="2268" w:type="dxa"/>
            <w:tcBorders>
              <w:top w:val="single" w:sz="4" w:space="0" w:color="auto"/>
            </w:tcBorders>
            <w:hideMark/>
          </w:tcPr>
          <w:p w14:paraId="35939EEA" w14:textId="77777777" w:rsidR="00BB42C3" w:rsidRPr="00DA74C2" w:rsidRDefault="00BB42C3" w:rsidP="00035553">
            <w:pPr>
              <w:pStyle w:val="NormalWeb"/>
              <w:jc w:val="center"/>
              <w:rPr>
                <w:sz w:val="18"/>
                <w:szCs w:val="18"/>
              </w:rPr>
            </w:pPr>
            <w:r w:rsidRPr="00DA74C2">
              <w:rPr>
                <w:sz w:val="18"/>
                <w:szCs w:val="18"/>
              </w:rPr>
              <w:t>1.64 (0.99, 2.71)</w:t>
            </w:r>
          </w:p>
        </w:tc>
        <w:tc>
          <w:tcPr>
            <w:tcW w:w="1417" w:type="dxa"/>
            <w:tcBorders>
              <w:top w:val="single" w:sz="4" w:space="0" w:color="auto"/>
            </w:tcBorders>
            <w:hideMark/>
          </w:tcPr>
          <w:p w14:paraId="7B445723" w14:textId="77777777" w:rsidR="00BB42C3" w:rsidRPr="00DA74C2" w:rsidRDefault="00BB42C3" w:rsidP="00035553">
            <w:pPr>
              <w:pStyle w:val="NormalWeb"/>
              <w:jc w:val="center"/>
              <w:rPr>
                <w:sz w:val="18"/>
                <w:szCs w:val="18"/>
              </w:rPr>
            </w:pPr>
            <w:r w:rsidRPr="00DA74C2">
              <w:rPr>
                <w:sz w:val="18"/>
                <w:szCs w:val="18"/>
              </w:rPr>
              <w:t>0.06</w:t>
            </w:r>
          </w:p>
        </w:tc>
        <w:tc>
          <w:tcPr>
            <w:tcW w:w="2127" w:type="dxa"/>
            <w:tcBorders>
              <w:top w:val="single" w:sz="4" w:space="0" w:color="auto"/>
            </w:tcBorders>
            <w:hideMark/>
          </w:tcPr>
          <w:p w14:paraId="07CFDBA5" w14:textId="77777777" w:rsidR="00BB42C3" w:rsidRPr="00DA74C2" w:rsidRDefault="00BB42C3" w:rsidP="00035553">
            <w:pPr>
              <w:pStyle w:val="NormalWeb"/>
              <w:jc w:val="center"/>
              <w:rPr>
                <w:sz w:val="18"/>
                <w:szCs w:val="18"/>
              </w:rPr>
            </w:pPr>
            <w:r w:rsidRPr="00DA74C2">
              <w:rPr>
                <w:sz w:val="18"/>
                <w:szCs w:val="18"/>
              </w:rPr>
              <w:t>1.82 (1.02, 3.09)</w:t>
            </w:r>
          </w:p>
        </w:tc>
        <w:tc>
          <w:tcPr>
            <w:tcW w:w="1509" w:type="dxa"/>
            <w:tcBorders>
              <w:top w:val="single" w:sz="4" w:space="0" w:color="auto"/>
            </w:tcBorders>
            <w:hideMark/>
          </w:tcPr>
          <w:p w14:paraId="4C29FB38" w14:textId="77777777" w:rsidR="00BB42C3" w:rsidRPr="00DA74C2" w:rsidRDefault="00BB42C3" w:rsidP="00035553">
            <w:pPr>
              <w:pStyle w:val="NormalWeb"/>
              <w:jc w:val="center"/>
              <w:rPr>
                <w:sz w:val="18"/>
                <w:szCs w:val="18"/>
              </w:rPr>
            </w:pPr>
            <w:r w:rsidRPr="00DA74C2">
              <w:rPr>
                <w:sz w:val="18"/>
                <w:szCs w:val="18"/>
              </w:rPr>
              <w:t>0.03</w:t>
            </w:r>
          </w:p>
        </w:tc>
      </w:tr>
      <w:tr w:rsidR="00BB42C3" w:rsidRPr="00DA74C2" w14:paraId="1577CE87" w14:textId="77777777" w:rsidTr="00DA74C2">
        <w:tblPrEx>
          <w:tblCellMar>
            <w:top w:w="57" w:type="dxa"/>
            <w:left w:w="57" w:type="dxa"/>
            <w:bottom w:w="57" w:type="dxa"/>
            <w:right w:w="57" w:type="dxa"/>
          </w:tblCellMar>
        </w:tblPrEx>
        <w:tc>
          <w:tcPr>
            <w:tcW w:w="3119" w:type="dxa"/>
            <w:hideMark/>
          </w:tcPr>
          <w:p w14:paraId="28951DA3" w14:textId="77777777" w:rsidR="00BB42C3" w:rsidRPr="00DA74C2" w:rsidRDefault="00BB42C3" w:rsidP="00035553">
            <w:pPr>
              <w:pStyle w:val="NormalWeb"/>
              <w:rPr>
                <w:sz w:val="18"/>
                <w:szCs w:val="18"/>
              </w:rPr>
            </w:pPr>
            <w:r w:rsidRPr="00DA74C2">
              <w:rPr>
                <w:sz w:val="18"/>
                <w:szCs w:val="18"/>
              </w:rPr>
              <w:t>Pregnancy</w:t>
            </w:r>
          </w:p>
        </w:tc>
        <w:tc>
          <w:tcPr>
            <w:tcW w:w="2268" w:type="dxa"/>
            <w:hideMark/>
          </w:tcPr>
          <w:p w14:paraId="7B9EBE72" w14:textId="77777777" w:rsidR="00BB42C3" w:rsidRPr="00DA74C2" w:rsidRDefault="00BB42C3" w:rsidP="00035553">
            <w:pPr>
              <w:pStyle w:val="NormalWeb"/>
              <w:jc w:val="center"/>
              <w:rPr>
                <w:sz w:val="18"/>
                <w:szCs w:val="18"/>
              </w:rPr>
            </w:pPr>
            <w:r w:rsidRPr="00DA74C2">
              <w:rPr>
                <w:sz w:val="18"/>
                <w:szCs w:val="18"/>
              </w:rPr>
              <w:t>1.20 (0.12, 11.63)</w:t>
            </w:r>
          </w:p>
        </w:tc>
        <w:tc>
          <w:tcPr>
            <w:tcW w:w="1417" w:type="dxa"/>
            <w:hideMark/>
          </w:tcPr>
          <w:p w14:paraId="13FD04A7" w14:textId="77777777" w:rsidR="00BB42C3" w:rsidRPr="00DA74C2" w:rsidRDefault="00BB42C3" w:rsidP="00035553">
            <w:pPr>
              <w:pStyle w:val="NormalWeb"/>
              <w:jc w:val="center"/>
              <w:rPr>
                <w:sz w:val="18"/>
                <w:szCs w:val="18"/>
              </w:rPr>
            </w:pPr>
            <w:r w:rsidRPr="00DA74C2">
              <w:rPr>
                <w:sz w:val="18"/>
                <w:szCs w:val="18"/>
              </w:rPr>
              <w:t>0.88</w:t>
            </w:r>
          </w:p>
        </w:tc>
        <w:tc>
          <w:tcPr>
            <w:tcW w:w="2127" w:type="dxa"/>
            <w:hideMark/>
          </w:tcPr>
          <w:p w14:paraId="6CA845D2" w14:textId="77777777" w:rsidR="00BB42C3" w:rsidRPr="00DA74C2" w:rsidRDefault="00BB42C3" w:rsidP="00035553">
            <w:pPr>
              <w:pStyle w:val="NormalWeb"/>
              <w:jc w:val="center"/>
              <w:rPr>
                <w:sz w:val="18"/>
                <w:szCs w:val="18"/>
              </w:rPr>
            </w:pPr>
            <w:r w:rsidRPr="00DA74C2">
              <w:rPr>
                <w:sz w:val="18"/>
                <w:szCs w:val="18"/>
              </w:rPr>
              <w:t>1.48 (0.14, 15.58)</w:t>
            </w:r>
          </w:p>
        </w:tc>
        <w:tc>
          <w:tcPr>
            <w:tcW w:w="1509" w:type="dxa"/>
            <w:hideMark/>
          </w:tcPr>
          <w:p w14:paraId="0E8B6A40" w14:textId="77777777" w:rsidR="00BB42C3" w:rsidRPr="00DA74C2" w:rsidRDefault="00BB42C3" w:rsidP="00035553">
            <w:pPr>
              <w:pStyle w:val="NormalWeb"/>
              <w:jc w:val="center"/>
              <w:rPr>
                <w:sz w:val="18"/>
                <w:szCs w:val="18"/>
              </w:rPr>
            </w:pPr>
            <w:r w:rsidRPr="00DA74C2">
              <w:rPr>
                <w:sz w:val="18"/>
                <w:szCs w:val="18"/>
              </w:rPr>
              <w:t>0.74</w:t>
            </w:r>
          </w:p>
        </w:tc>
      </w:tr>
      <w:tr w:rsidR="00BB42C3" w:rsidRPr="00DA74C2" w14:paraId="39712A1E" w14:textId="77777777" w:rsidTr="00DA74C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hideMark/>
          </w:tcPr>
          <w:p w14:paraId="303ACA24" w14:textId="77777777" w:rsidR="00BB42C3" w:rsidRPr="00DA74C2" w:rsidRDefault="00BB42C3" w:rsidP="00035553">
            <w:pPr>
              <w:pStyle w:val="NormalWeb"/>
              <w:rPr>
                <w:sz w:val="18"/>
                <w:szCs w:val="18"/>
              </w:rPr>
            </w:pPr>
            <w:r w:rsidRPr="00DA74C2">
              <w:rPr>
                <w:sz w:val="18"/>
                <w:szCs w:val="18"/>
              </w:rPr>
              <w:t>Male</w:t>
            </w:r>
          </w:p>
        </w:tc>
        <w:tc>
          <w:tcPr>
            <w:tcW w:w="2268" w:type="dxa"/>
            <w:hideMark/>
          </w:tcPr>
          <w:p w14:paraId="5A698A4A" w14:textId="77777777" w:rsidR="00BB42C3" w:rsidRPr="00DA74C2" w:rsidRDefault="00BB42C3" w:rsidP="00035553">
            <w:pPr>
              <w:pStyle w:val="NormalWeb"/>
              <w:jc w:val="center"/>
              <w:rPr>
                <w:sz w:val="18"/>
                <w:szCs w:val="18"/>
              </w:rPr>
            </w:pPr>
            <w:r w:rsidRPr="00DA74C2">
              <w:rPr>
                <w:sz w:val="18"/>
                <w:szCs w:val="18"/>
              </w:rPr>
              <w:t>2.02 (1.23, 3.32)</w:t>
            </w:r>
          </w:p>
        </w:tc>
        <w:tc>
          <w:tcPr>
            <w:tcW w:w="1417" w:type="dxa"/>
            <w:hideMark/>
          </w:tcPr>
          <w:p w14:paraId="1DEB101A" w14:textId="77777777" w:rsidR="00BB42C3" w:rsidRPr="00DA74C2" w:rsidRDefault="00BB42C3" w:rsidP="00035553">
            <w:pPr>
              <w:pStyle w:val="NormalWeb"/>
              <w:jc w:val="center"/>
              <w:rPr>
                <w:sz w:val="18"/>
                <w:szCs w:val="18"/>
              </w:rPr>
            </w:pPr>
            <w:r w:rsidRPr="00DA74C2">
              <w:rPr>
                <w:sz w:val="18"/>
                <w:szCs w:val="18"/>
              </w:rPr>
              <w:t>&lt; 0.01</w:t>
            </w:r>
          </w:p>
        </w:tc>
        <w:tc>
          <w:tcPr>
            <w:tcW w:w="2127" w:type="dxa"/>
            <w:hideMark/>
          </w:tcPr>
          <w:p w14:paraId="5DD57967" w14:textId="77777777" w:rsidR="00BB42C3" w:rsidRPr="00DA74C2" w:rsidRDefault="00BB42C3" w:rsidP="00035553">
            <w:pPr>
              <w:pStyle w:val="NormalWeb"/>
              <w:jc w:val="center"/>
              <w:rPr>
                <w:sz w:val="18"/>
                <w:szCs w:val="18"/>
              </w:rPr>
            </w:pPr>
            <w:r w:rsidRPr="00DA74C2">
              <w:rPr>
                <w:sz w:val="18"/>
                <w:szCs w:val="18"/>
              </w:rPr>
              <w:t>1.72 (1.02, 2.89)</w:t>
            </w:r>
          </w:p>
        </w:tc>
        <w:tc>
          <w:tcPr>
            <w:tcW w:w="1509" w:type="dxa"/>
            <w:hideMark/>
          </w:tcPr>
          <w:p w14:paraId="619F5AF4" w14:textId="77777777" w:rsidR="00BB42C3" w:rsidRPr="00DA74C2" w:rsidRDefault="00BB42C3" w:rsidP="00035553">
            <w:pPr>
              <w:pStyle w:val="NormalWeb"/>
              <w:jc w:val="center"/>
              <w:rPr>
                <w:sz w:val="18"/>
                <w:szCs w:val="18"/>
              </w:rPr>
            </w:pPr>
            <w:r w:rsidRPr="00DA74C2">
              <w:rPr>
                <w:sz w:val="18"/>
                <w:szCs w:val="18"/>
              </w:rPr>
              <w:t>0.04</w:t>
            </w:r>
          </w:p>
        </w:tc>
      </w:tr>
    </w:tbl>
    <w:p w14:paraId="456994D1" w14:textId="77777777" w:rsidR="00BB42C3" w:rsidRPr="00D06A79" w:rsidRDefault="00BB42C3" w:rsidP="00BB42C3">
      <w:pPr>
        <w:pStyle w:val="CDIfootnotes"/>
      </w:pPr>
      <w:proofErr w:type="spellStart"/>
      <w:proofErr w:type="gramStart"/>
      <w:r w:rsidRPr="00D06A79">
        <w:t>a</w:t>
      </w:r>
      <w:proofErr w:type="spellEnd"/>
      <w:proofErr w:type="gramEnd"/>
      <w:r w:rsidRPr="00D06A79">
        <w:tab/>
        <w:t>Observations for those &lt; 16 years age or Aboriginal and Torres Strait Islander patients in ICU were omitted from the analysis.</w:t>
      </w:r>
    </w:p>
    <w:p w14:paraId="7E7F008C" w14:textId="77777777" w:rsidR="00BB42C3" w:rsidRPr="00D06A79" w:rsidRDefault="00BB42C3" w:rsidP="00BB42C3">
      <w:pPr>
        <w:pStyle w:val="CDIfootnotes"/>
      </w:pPr>
      <w:r w:rsidRPr="00D06A79">
        <w:t>b</w:t>
      </w:r>
      <w:r w:rsidRPr="00D06A79">
        <w:tab/>
        <w:t>OR: odds ratio.</w:t>
      </w:r>
    </w:p>
    <w:p w14:paraId="0865188A" w14:textId="5C373026" w:rsidR="00BB42C3" w:rsidRDefault="00BB42C3" w:rsidP="00BB42C3">
      <w:pPr>
        <w:pStyle w:val="CDIfootnotes"/>
      </w:pPr>
      <w:r w:rsidRPr="00D06A79">
        <w:t>c</w:t>
      </w:r>
      <w:r w:rsidRPr="00D06A79">
        <w:tab/>
        <w:t>All variables included in multivariate model.</w:t>
      </w:r>
    </w:p>
    <w:p w14:paraId="3896EC41" w14:textId="77777777" w:rsidR="00DA74C2" w:rsidRPr="00524E9A" w:rsidRDefault="00DA74C2" w:rsidP="00203BBC">
      <w:pPr>
        <w:pStyle w:val="CDIFigures"/>
        <w:spacing w:after="0" w:afterAutospacing="0" w:line="240" w:lineRule="auto"/>
      </w:pPr>
      <w:r w:rsidRPr="00524E9A">
        <w:rPr>
          <w:rStyle w:val="Strong"/>
          <w:b/>
          <w:bCs w:val="0"/>
        </w:rPr>
        <w:t>Table 6: Factors associated with length of stay in patients with confirmed COVID-19</w:t>
      </w:r>
      <w:r w:rsidRPr="00524E9A">
        <w:t xml:space="preserve"> </w:t>
      </w:r>
    </w:p>
    <w:tbl>
      <w:tblPr>
        <w:tblStyle w:val="CDI-StandardTable"/>
        <w:tblW w:w="0" w:type="auto"/>
        <w:tblLook w:val="04A0" w:firstRow="1" w:lastRow="0" w:firstColumn="1" w:lastColumn="0" w:noHBand="0" w:noVBand="1"/>
        <w:tblDescription w:val="Table 6: This table shows the results of a regression analysis for factors associated with hospital length of stay in COVID-19 patients, including age group, comorbidities and ICU admission.&#10;"/>
      </w:tblPr>
      <w:tblGrid>
        <w:gridCol w:w="3243"/>
        <w:gridCol w:w="1921"/>
        <w:gridCol w:w="785"/>
        <w:gridCol w:w="2088"/>
        <w:gridCol w:w="2223"/>
      </w:tblGrid>
      <w:tr w:rsidR="00DA74C2" w:rsidRPr="00DA74C2" w14:paraId="3534F0FD" w14:textId="77777777" w:rsidTr="00DA74C2">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886E49"/>
              <w:left w:val="single" w:sz="2" w:space="0" w:color="886E49"/>
              <w:bottom w:val="single" w:sz="2" w:space="0" w:color="886E49"/>
              <w:right w:val="single" w:sz="2" w:space="0" w:color="886E49"/>
            </w:tcBorders>
            <w:hideMark/>
          </w:tcPr>
          <w:p w14:paraId="10F23AF4" w14:textId="77777777" w:rsidR="00DA74C2" w:rsidRPr="00DA74C2" w:rsidRDefault="00DA74C2" w:rsidP="00035553">
            <w:pPr>
              <w:pStyle w:val="NormalWeb"/>
              <w:rPr>
                <w:color w:val="FFFFFF" w:themeColor="background1"/>
                <w:sz w:val="18"/>
                <w:szCs w:val="18"/>
              </w:rPr>
            </w:pPr>
            <w:r w:rsidRPr="00DA74C2">
              <w:rPr>
                <w:color w:val="FFFFFF" w:themeColor="background1"/>
                <w:sz w:val="18"/>
                <w:szCs w:val="18"/>
              </w:rPr>
              <w:t>Variable</w:t>
            </w:r>
          </w:p>
        </w:tc>
        <w:tc>
          <w:tcPr>
            <w:tcW w:w="0" w:type="auto"/>
            <w:tcBorders>
              <w:top w:val="single" w:sz="2" w:space="0" w:color="886E49"/>
              <w:left w:val="single" w:sz="2" w:space="0" w:color="886E49"/>
              <w:bottom w:val="single" w:sz="2" w:space="0" w:color="886E49"/>
              <w:right w:val="single" w:sz="2" w:space="0" w:color="886E49"/>
            </w:tcBorders>
            <w:hideMark/>
          </w:tcPr>
          <w:p w14:paraId="37CC651A" w14:textId="77777777" w:rsidR="00DA74C2" w:rsidRPr="00DA74C2" w:rsidRDefault="00DA74C2" w:rsidP="00035553">
            <w:pPr>
              <w:pStyle w:val="NormalWeb"/>
              <w:jc w:val="center"/>
              <w:rPr>
                <w:color w:val="FFFFFF" w:themeColor="background1"/>
                <w:sz w:val="18"/>
                <w:szCs w:val="18"/>
              </w:rPr>
            </w:pPr>
            <w:r w:rsidRPr="00DA74C2">
              <w:rPr>
                <w:color w:val="FFFFFF" w:themeColor="background1"/>
                <w:sz w:val="18"/>
                <w:szCs w:val="18"/>
              </w:rPr>
              <w:t xml:space="preserve">Crude rate </w:t>
            </w:r>
            <w:proofErr w:type="spellStart"/>
            <w:r w:rsidRPr="00DA74C2">
              <w:rPr>
                <w:color w:val="FFFFFF" w:themeColor="background1"/>
                <w:sz w:val="18"/>
                <w:szCs w:val="18"/>
              </w:rPr>
              <w:t>ratio</w:t>
            </w:r>
            <w:r w:rsidRPr="00DA74C2">
              <w:rPr>
                <w:color w:val="FFFFFF" w:themeColor="background1"/>
                <w:sz w:val="18"/>
                <w:szCs w:val="18"/>
                <w:vertAlign w:val="superscript"/>
              </w:rPr>
              <w:t>a</w:t>
            </w:r>
            <w:proofErr w:type="spellEnd"/>
            <w:r w:rsidRPr="00DA74C2">
              <w:rPr>
                <w:color w:val="FFFFFF" w:themeColor="background1"/>
                <w:sz w:val="18"/>
                <w:szCs w:val="18"/>
              </w:rPr>
              <w:t xml:space="preserve"> (IQR)</w:t>
            </w:r>
          </w:p>
        </w:tc>
        <w:tc>
          <w:tcPr>
            <w:tcW w:w="0" w:type="auto"/>
            <w:tcBorders>
              <w:top w:val="single" w:sz="2" w:space="0" w:color="886E49"/>
              <w:left w:val="single" w:sz="2" w:space="0" w:color="886E49"/>
              <w:bottom w:val="single" w:sz="2" w:space="0" w:color="886E49"/>
              <w:right w:val="single" w:sz="2" w:space="0" w:color="886E49"/>
            </w:tcBorders>
            <w:hideMark/>
          </w:tcPr>
          <w:p w14:paraId="374F74B5" w14:textId="77777777" w:rsidR="00DA74C2" w:rsidRPr="00DA74C2" w:rsidRDefault="00DA74C2" w:rsidP="00035553">
            <w:pPr>
              <w:pStyle w:val="NormalWeb"/>
              <w:jc w:val="center"/>
              <w:rPr>
                <w:color w:val="FFFFFF" w:themeColor="background1"/>
                <w:sz w:val="18"/>
                <w:szCs w:val="18"/>
              </w:rPr>
            </w:pPr>
            <w:r w:rsidRPr="00DA74C2">
              <w:rPr>
                <w:i/>
                <w:iCs/>
                <w:color w:val="FFFFFF" w:themeColor="background1"/>
                <w:sz w:val="18"/>
                <w:szCs w:val="18"/>
              </w:rPr>
              <w:t>p</w:t>
            </w:r>
            <w:r w:rsidRPr="00DA74C2">
              <w:rPr>
                <w:color w:val="FFFFFF" w:themeColor="background1"/>
                <w:sz w:val="18"/>
                <w:szCs w:val="18"/>
              </w:rPr>
              <w:t xml:space="preserve"> value</w:t>
            </w:r>
          </w:p>
        </w:tc>
        <w:tc>
          <w:tcPr>
            <w:tcW w:w="0" w:type="auto"/>
            <w:tcBorders>
              <w:top w:val="single" w:sz="2" w:space="0" w:color="886E49"/>
              <w:left w:val="single" w:sz="2" w:space="0" w:color="886E49"/>
              <w:bottom w:val="single" w:sz="2" w:space="0" w:color="886E49"/>
              <w:right w:val="single" w:sz="2" w:space="0" w:color="886E49"/>
            </w:tcBorders>
            <w:hideMark/>
          </w:tcPr>
          <w:p w14:paraId="7E3D0A8F" w14:textId="77777777" w:rsidR="00DA74C2" w:rsidRPr="00DA74C2" w:rsidRDefault="00DA74C2" w:rsidP="00035553">
            <w:pPr>
              <w:pStyle w:val="NormalWeb"/>
              <w:jc w:val="center"/>
              <w:rPr>
                <w:color w:val="FFFFFF" w:themeColor="background1"/>
                <w:sz w:val="18"/>
                <w:szCs w:val="18"/>
              </w:rPr>
            </w:pPr>
            <w:r w:rsidRPr="00DA74C2">
              <w:rPr>
                <w:color w:val="FFFFFF" w:themeColor="background1"/>
                <w:sz w:val="18"/>
                <w:szCs w:val="18"/>
              </w:rPr>
              <w:t>Adjusted rate ratio (IQR)</w:t>
            </w:r>
          </w:p>
        </w:tc>
        <w:tc>
          <w:tcPr>
            <w:tcW w:w="2213" w:type="dxa"/>
            <w:tcBorders>
              <w:top w:val="single" w:sz="2" w:space="0" w:color="886E49"/>
              <w:left w:val="single" w:sz="2" w:space="0" w:color="886E49"/>
              <w:bottom w:val="single" w:sz="2" w:space="0" w:color="886E49"/>
              <w:right w:val="single" w:sz="2" w:space="0" w:color="886E49"/>
            </w:tcBorders>
            <w:hideMark/>
          </w:tcPr>
          <w:p w14:paraId="06CB02BE" w14:textId="77777777" w:rsidR="00DA74C2" w:rsidRPr="00DA74C2" w:rsidRDefault="00DA74C2" w:rsidP="00035553">
            <w:pPr>
              <w:pStyle w:val="NormalWeb"/>
              <w:jc w:val="center"/>
              <w:rPr>
                <w:color w:val="FFFFFF" w:themeColor="background1"/>
                <w:sz w:val="18"/>
                <w:szCs w:val="18"/>
              </w:rPr>
            </w:pPr>
            <w:r w:rsidRPr="00DA74C2">
              <w:rPr>
                <w:i/>
                <w:iCs/>
                <w:color w:val="FFFFFF" w:themeColor="background1"/>
                <w:sz w:val="18"/>
                <w:szCs w:val="18"/>
              </w:rPr>
              <w:t>p</w:t>
            </w:r>
            <w:r w:rsidRPr="00DA74C2">
              <w:rPr>
                <w:color w:val="FFFFFF" w:themeColor="background1"/>
                <w:sz w:val="18"/>
                <w:szCs w:val="18"/>
              </w:rPr>
              <w:t xml:space="preserve"> value</w:t>
            </w:r>
          </w:p>
        </w:tc>
      </w:tr>
      <w:tr w:rsidR="00DA74C2" w:rsidRPr="00DA74C2" w14:paraId="7D85987C" w14:textId="77777777" w:rsidTr="00DA74C2">
        <w:tblPrEx>
          <w:tblCellMar>
            <w:top w:w="57" w:type="dxa"/>
            <w:left w:w="57" w:type="dxa"/>
            <w:bottom w:w="57" w:type="dxa"/>
            <w:right w:w="57" w:type="dxa"/>
          </w:tblCellMar>
        </w:tblPrEx>
        <w:tc>
          <w:tcPr>
            <w:tcW w:w="0" w:type="auto"/>
            <w:tcBorders>
              <w:top w:val="single" w:sz="2" w:space="0" w:color="886E49"/>
            </w:tcBorders>
            <w:shd w:val="clear" w:color="auto" w:fill="886E49"/>
            <w:hideMark/>
          </w:tcPr>
          <w:p w14:paraId="4B0DFC11" w14:textId="77777777" w:rsidR="00DA74C2" w:rsidRPr="00DA74C2" w:rsidRDefault="00DA74C2" w:rsidP="00035553">
            <w:pPr>
              <w:pStyle w:val="NormalWeb"/>
              <w:rPr>
                <w:b/>
                <w:bCs/>
                <w:color w:val="FFFFFF" w:themeColor="background1"/>
                <w:sz w:val="18"/>
                <w:szCs w:val="18"/>
              </w:rPr>
            </w:pPr>
            <w:r w:rsidRPr="00DA74C2">
              <w:rPr>
                <w:b/>
                <w:bCs/>
                <w:color w:val="FFFFFF" w:themeColor="background1"/>
                <w:sz w:val="18"/>
                <w:szCs w:val="18"/>
              </w:rPr>
              <w:t>Age group</w:t>
            </w:r>
          </w:p>
        </w:tc>
        <w:tc>
          <w:tcPr>
            <w:tcW w:w="7017" w:type="dxa"/>
            <w:gridSpan w:val="4"/>
            <w:tcBorders>
              <w:top w:val="single" w:sz="2" w:space="0" w:color="886E49"/>
            </w:tcBorders>
            <w:shd w:val="clear" w:color="auto" w:fill="886E49"/>
            <w:hideMark/>
          </w:tcPr>
          <w:p w14:paraId="728BF010" w14:textId="77777777" w:rsidR="00DA74C2" w:rsidRPr="00DA74C2" w:rsidRDefault="00DA74C2" w:rsidP="00035553">
            <w:pPr>
              <w:jc w:val="center"/>
              <w:rPr>
                <w:b/>
                <w:bCs/>
                <w:color w:val="FFFFFF" w:themeColor="background1"/>
                <w:sz w:val="18"/>
                <w:szCs w:val="18"/>
              </w:rPr>
            </w:pPr>
          </w:p>
        </w:tc>
      </w:tr>
      <w:tr w:rsidR="00DA74C2" w:rsidRPr="00DA74C2" w14:paraId="7C238B19" w14:textId="77777777" w:rsidTr="00DA74C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937C4DC" w14:textId="77777777" w:rsidR="00DA74C2" w:rsidRPr="00DA74C2" w:rsidRDefault="00DA74C2" w:rsidP="00035553">
            <w:pPr>
              <w:pStyle w:val="NormalWeb"/>
              <w:rPr>
                <w:sz w:val="18"/>
                <w:szCs w:val="18"/>
              </w:rPr>
            </w:pPr>
            <w:r w:rsidRPr="00DA74C2">
              <w:rPr>
                <w:sz w:val="18"/>
                <w:szCs w:val="18"/>
              </w:rPr>
              <w:t>&lt; 16 years</w:t>
            </w:r>
          </w:p>
        </w:tc>
        <w:tc>
          <w:tcPr>
            <w:tcW w:w="0" w:type="auto"/>
            <w:hideMark/>
          </w:tcPr>
          <w:p w14:paraId="3B87F07B" w14:textId="77777777" w:rsidR="00DA74C2" w:rsidRPr="00DA74C2" w:rsidRDefault="00DA74C2" w:rsidP="00035553">
            <w:pPr>
              <w:pStyle w:val="NormalWeb"/>
              <w:jc w:val="center"/>
              <w:rPr>
                <w:sz w:val="18"/>
                <w:szCs w:val="18"/>
              </w:rPr>
            </w:pPr>
            <w:r w:rsidRPr="00DA74C2">
              <w:rPr>
                <w:sz w:val="18"/>
                <w:szCs w:val="18"/>
              </w:rPr>
              <w:t>0.55 (0.33, 0.91)</w:t>
            </w:r>
          </w:p>
        </w:tc>
        <w:tc>
          <w:tcPr>
            <w:tcW w:w="0" w:type="auto"/>
            <w:hideMark/>
          </w:tcPr>
          <w:p w14:paraId="6921803D" w14:textId="77777777" w:rsidR="00DA74C2" w:rsidRPr="00DA74C2" w:rsidRDefault="00DA74C2" w:rsidP="00035553">
            <w:pPr>
              <w:pStyle w:val="NormalWeb"/>
              <w:jc w:val="center"/>
              <w:rPr>
                <w:sz w:val="18"/>
                <w:szCs w:val="18"/>
              </w:rPr>
            </w:pPr>
            <w:r w:rsidRPr="00DA74C2">
              <w:rPr>
                <w:sz w:val="18"/>
                <w:szCs w:val="18"/>
              </w:rPr>
              <w:t>0.02</w:t>
            </w:r>
          </w:p>
        </w:tc>
        <w:tc>
          <w:tcPr>
            <w:tcW w:w="0" w:type="auto"/>
            <w:hideMark/>
          </w:tcPr>
          <w:p w14:paraId="45419108" w14:textId="77777777" w:rsidR="00DA74C2" w:rsidRPr="00DA74C2" w:rsidRDefault="00DA74C2" w:rsidP="00035553">
            <w:pPr>
              <w:pStyle w:val="NormalWeb"/>
              <w:jc w:val="center"/>
              <w:rPr>
                <w:sz w:val="18"/>
                <w:szCs w:val="18"/>
              </w:rPr>
            </w:pPr>
            <w:r w:rsidRPr="00DA74C2">
              <w:rPr>
                <w:sz w:val="18"/>
                <w:szCs w:val="18"/>
              </w:rPr>
              <w:t xml:space="preserve">0.65 (0.41, </w:t>
            </w:r>
            <w:proofErr w:type="gramStart"/>
            <w:r w:rsidRPr="00DA74C2">
              <w:rPr>
                <w:sz w:val="18"/>
                <w:szCs w:val="18"/>
              </w:rPr>
              <w:t>1.04)</w:t>
            </w:r>
            <w:r w:rsidRPr="00DA74C2">
              <w:rPr>
                <w:sz w:val="18"/>
                <w:szCs w:val="18"/>
                <w:vertAlign w:val="superscript"/>
              </w:rPr>
              <w:t>b</w:t>
            </w:r>
            <w:proofErr w:type="gramEnd"/>
          </w:p>
        </w:tc>
        <w:tc>
          <w:tcPr>
            <w:tcW w:w="2213" w:type="dxa"/>
            <w:hideMark/>
          </w:tcPr>
          <w:p w14:paraId="7F65B6D2" w14:textId="77777777" w:rsidR="00DA74C2" w:rsidRPr="00DA74C2" w:rsidRDefault="00DA74C2" w:rsidP="00035553">
            <w:pPr>
              <w:pStyle w:val="NormalWeb"/>
              <w:jc w:val="center"/>
              <w:rPr>
                <w:sz w:val="18"/>
                <w:szCs w:val="18"/>
              </w:rPr>
            </w:pPr>
            <w:r w:rsidRPr="00DA74C2">
              <w:rPr>
                <w:sz w:val="18"/>
                <w:szCs w:val="18"/>
              </w:rPr>
              <w:t>0.07</w:t>
            </w:r>
          </w:p>
        </w:tc>
      </w:tr>
      <w:tr w:rsidR="00DA74C2" w:rsidRPr="00DA74C2" w14:paraId="0B102D4C" w14:textId="77777777" w:rsidTr="00DA74C2">
        <w:tblPrEx>
          <w:tblCellMar>
            <w:top w:w="57" w:type="dxa"/>
            <w:left w:w="57" w:type="dxa"/>
            <w:bottom w:w="57" w:type="dxa"/>
            <w:right w:w="57" w:type="dxa"/>
          </w:tblCellMar>
        </w:tblPrEx>
        <w:tc>
          <w:tcPr>
            <w:tcW w:w="0" w:type="auto"/>
            <w:hideMark/>
          </w:tcPr>
          <w:p w14:paraId="7A9C452D" w14:textId="77777777" w:rsidR="00DA74C2" w:rsidRPr="00DA74C2" w:rsidRDefault="00DA74C2" w:rsidP="00035553">
            <w:pPr>
              <w:pStyle w:val="NormalWeb"/>
              <w:rPr>
                <w:sz w:val="18"/>
                <w:szCs w:val="18"/>
              </w:rPr>
            </w:pPr>
            <w:r w:rsidRPr="00DA74C2">
              <w:rPr>
                <w:sz w:val="18"/>
                <w:szCs w:val="18"/>
              </w:rPr>
              <w:t>16–39 years</w:t>
            </w:r>
          </w:p>
        </w:tc>
        <w:tc>
          <w:tcPr>
            <w:tcW w:w="0" w:type="auto"/>
            <w:hideMark/>
          </w:tcPr>
          <w:p w14:paraId="5816BC5E" w14:textId="77777777" w:rsidR="00DA74C2" w:rsidRPr="00DA74C2" w:rsidRDefault="00DA74C2" w:rsidP="00035553">
            <w:pPr>
              <w:pStyle w:val="NormalWeb"/>
              <w:jc w:val="center"/>
              <w:rPr>
                <w:sz w:val="18"/>
                <w:szCs w:val="18"/>
              </w:rPr>
            </w:pPr>
            <w:r w:rsidRPr="00DA74C2">
              <w:rPr>
                <w:sz w:val="18"/>
                <w:szCs w:val="18"/>
              </w:rPr>
              <w:t>0.56 (0.48, 0.64)</w:t>
            </w:r>
          </w:p>
        </w:tc>
        <w:tc>
          <w:tcPr>
            <w:tcW w:w="0" w:type="auto"/>
            <w:hideMark/>
          </w:tcPr>
          <w:p w14:paraId="7B454713" w14:textId="77777777" w:rsidR="00DA74C2" w:rsidRPr="00DA74C2" w:rsidRDefault="00DA74C2" w:rsidP="00035553">
            <w:pPr>
              <w:pStyle w:val="NormalWeb"/>
              <w:jc w:val="center"/>
              <w:rPr>
                <w:sz w:val="18"/>
                <w:szCs w:val="18"/>
              </w:rPr>
            </w:pPr>
            <w:r w:rsidRPr="00DA74C2">
              <w:rPr>
                <w:sz w:val="18"/>
                <w:szCs w:val="18"/>
              </w:rPr>
              <w:t>&lt; 0.01</w:t>
            </w:r>
          </w:p>
        </w:tc>
        <w:tc>
          <w:tcPr>
            <w:tcW w:w="0" w:type="auto"/>
            <w:hideMark/>
          </w:tcPr>
          <w:p w14:paraId="2BC49771" w14:textId="77777777" w:rsidR="00DA74C2" w:rsidRPr="00DA74C2" w:rsidRDefault="00DA74C2" w:rsidP="00035553">
            <w:pPr>
              <w:pStyle w:val="NormalWeb"/>
              <w:jc w:val="center"/>
              <w:rPr>
                <w:sz w:val="18"/>
                <w:szCs w:val="18"/>
              </w:rPr>
            </w:pPr>
            <w:r w:rsidRPr="00DA74C2">
              <w:rPr>
                <w:sz w:val="18"/>
                <w:szCs w:val="18"/>
              </w:rPr>
              <w:t>0.65 (0.56, 0.77)</w:t>
            </w:r>
          </w:p>
        </w:tc>
        <w:tc>
          <w:tcPr>
            <w:tcW w:w="2213" w:type="dxa"/>
            <w:hideMark/>
          </w:tcPr>
          <w:p w14:paraId="2FF2A77D" w14:textId="77777777" w:rsidR="00DA74C2" w:rsidRPr="00DA74C2" w:rsidRDefault="00DA74C2" w:rsidP="00035553">
            <w:pPr>
              <w:pStyle w:val="NormalWeb"/>
              <w:jc w:val="center"/>
              <w:rPr>
                <w:sz w:val="18"/>
                <w:szCs w:val="18"/>
              </w:rPr>
            </w:pPr>
            <w:r w:rsidRPr="00DA74C2">
              <w:rPr>
                <w:sz w:val="18"/>
                <w:szCs w:val="18"/>
              </w:rPr>
              <w:t>&lt; 0.01</w:t>
            </w:r>
          </w:p>
        </w:tc>
      </w:tr>
      <w:tr w:rsidR="00DA74C2" w:rsidRPr="00DA74C2" w14:paraId="32612729" w14:textId="77777777" w:rsidTr="00DA74C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6A669A5" w14:textId="77777777" w:rsidR="00DA74C2" w:rsidRPr="00DA74C2" w:rsidRDefault="00DA74C2" w:rsidP="00035553">
            <w:pPr>
              <w:pStyle w:val="NormalWeb"/>
              <w:rPr>
                <w:sz w:val="18"/>
                <w:szCs w:val="18"/>
              </w:rPr>
            </w:pPr>
            <w:r w:rsidRPr="00DA74C2">
              <w:rPr>
                <w:sz w:val="18"/>
                <w:szCs w:val="18"/>
              </w:rPr>
              <w:t>40–64 years</w:t>
            </w:r>
          </w:p>
        </w:tc>
        <w:tc>
          <w:tcPr>
            <w:tcW w:w="0" w:type="auto"/>
            <w:hideMark/>
          </w:tcPr>
          <w:p w14:paraId="392F98C9" w14:textId="77777777" w:rsidR="00DA74C2" w:rsidRPr="00DA74C2" w:rsidRDefault="00DA74C2" w:rsidP="00035553">
            <w:pPr>
              <w:pStyle w:val="NormalWeb"/>
              <w:jc w:val="center"/>
              <w:rPr>
                <w:sz w:val="18"/>
                <w:szCs w:val="18"/>
              </w:rPr>
            </w:pPr>
            <w:r w:rsidRPr="00DA74C2">
              <w:rPr>
                <w:sz w:val="18"/>
                <w:szCs w:val="18"/>
              </w:rPr>
              <w:t>0.75 (0.59, 0.94)</w:t>
            </w:r>
          </w:p>
        </w:tc>
        <w:tc>
          <w:tcPr>
            <w:tcW w:w="0" w:type="auto"/>
            <w:hideMark/>
          </w:tcPr>
          <w:p w14:paraId="7205398C" w14:textId="77777777" w:rsidR="00DA74C2" w:rsidRPr="00DA74C2" w:rsidRDefault="00DA74C2" w:rsidP="00035553">
            <w:pPr>
              <w:pStyle w:val="NormalWeb"/>
              <w:jc w:val="center"/>
              <w:rPr>
                <w:sz w:val="18"/>
                <w:szCs w:val="18"/>
              </w:rPr>
            </w:pPr>
            <w:r w:rsidRPr="00DA74C2">
              <w:rPr>
                <w:sz w:val="18"/>
                <w:szCs w:val="18"/>
              </w:rPr>
              <w:t>0.01</w:t>
            </w:r>
          </w:p>
        </w:tc>
        <w:tc>
          <w:tcPr>
            <w:tcW w:w="0" w:type="auto"/>
            <w:hideMark/>
          </w:tcPr>
          <w:p w14:paraId="4D7DAA97" w14:textId="77777777" w:rsidR="00DA74C2" w:rsidRPr="00DA74C2" w:rsidRDefault="00DA74C2" w:rsidP="00035553">
            <w:pPr>
              <w:pStyle w:val="NormalWeb"/>
              <w:jc w:val="center"/>
              <w:rPr>
                <w:sz w:val="18"/>
                <w:szCs w:val="18"/>
              </w:rPr>
            </w:pPr>
            <w:r w:rsidRPr="00DA74C2">
              <w:rPr>
                <w:sz w:val="18"/>
                <w:szCs w:val="18"/>
              </w:rPr>
              <w:t>0.78 (0.63, 0.97)</w:t>
            </w:r>
          </w:p>
        </w:tc>
        <w:tc>
          <w:tcPr>
            <w:tcW w:w="2213" w:type="dxa"/>
            <w:hideMark/>
          </w:tcPr>
          <w:p w14:paraId="69065113" w14:textId="77777777" w:rsidR="00DA74C2" w:rsidRPr="00DA74C2" w:rsidRDefault="00DA74C2" w:rsidP="00035553">
            <w:pPr>
              <w:pStyle w:val="NormalWeb"/>
              <w:jc w:val="center"/>
              <w:rPr>
                <w:sz w:val="18"/>
                <w:szCs w:val="18"/>
              </w:rPr>
            </w:pPr>
            <w:r w:rsidRPr="00DA74C2">
              <w:rPr>
                <w:sz w:val="18"/>
                <w:szCs w:val="18"/>
              </w:rPr>
              <w:t>0.03</w:t>
            </w:r>
          </w:p>
        </w:tc>
      </w:tr>
      <w:tr w:rsidR="00DA74C2" w:rsidRPr="00DA74C2" w14:paraId="7FD5D117" w14:textId="77777777" w:rsidTr="0014582A">
        <w:tblPrEx>
          <w:tblCellMar>
            <w:top w:w="57" w:type="dxa"/>
            <w:left w:w="57" w:type="dxa"/>
            <w:bottom w:w="57" w:type="dxa"/>
            <w:right w:w="57" w:type="dxa"/>
          </w:tblCellMar>
        </w:tblPrEx>
        <w:tc>
          <w:tcPr>
            <w:tcW w:w="0" w:type="auto"/>
            <w:hideMark/>
          </w:tcPr>
          <w:p w14:paraId="542820E4" w14:textId="77777777" w:rsidR="00DA74C2" w:rsidRPr="00DA74C2" w:rsidRDefault="00DA74C2" w:rsidP="00035553">
            <w:pPr>
              <w:pStyle w:val="NormalWeb"/>
              <w:rPr>
                <w:sz w:val="18"/>
                <w:szCs w:val="18"/>
              </w:rPr>
            </w:pPr>
            <w:r w:rsidRPr="00DA74C2">
              <w:rPr>
                <w:sz w:val="18"/>
                <w:szCs w:val="18"/>
              </w:rPr>
              <w:t>65–79 years</w:t>
            </w:r>
          </w:p>
        </w:tc>
        <w:tc>
          <w:tcPr>
            <w:tcW w:w="0" w:type="auto"/>
            <w:hideMark/>
          </w:tcPr>
          <w:p w14:paraId="2282B23B" w14:textId="77777777" w:rsidR="00DA74C2" w:rsidRPr="00DA74C2" w:rsidRDefault="00DA74C2" w:rsidP="00035553">
            <w:pPr>
              <w:pStyle w:val="NormalWeb"/>
              <w:jc w:val="center"/>
              <w:rPr>
                <w:sz w:val="18"/>
                <w:szCs w:val="18"/>
              </w:rPr>
            </w:pPr>
            <w:r w:rsidRPr="00DA74C2">
              <w:rPr>
                <w:sz w:val="18"/>
                <w:szCs w:val="18"/>
              </w:rPr>
              <w:t>1 (referent)</w:t>
            </w:r>
          </w:p>
        </w:tc>
        <w:tc>
          <w:tcPr>
            <w:tcW w:w="0" w:type="auto"/>
            <w:hideMark/>
          </w:tcPr>
          <w:p w14:paraId="0AFC4E63" w14:textId="77777777" w:rsidR="00DA74C2" w:rsidRPr="00DA74C2" w:rsidRDefault="00DA74C2" w:rsidP="00035553">
            <w:pPr>
              <w:jc w:val="center"/>
              <w:rPr>
                <w:sz w:val="18"/>
                <w:szCs w:val="18"/>
              </w:rPr>
            </w:pPr>
          </w:p>
        </w:tc>
        <w:tc>
          <w:tcPr>
            <w:tcW w:w="0" w:type="auto"/>
            <w:hideMark/>
          </w:tcPr>
          <w:p w14:paraId="0C57F459" w14:textId="77777777" w:rsidR="00DA74C2" w:rsidRPr="00DA74C2" w:rsidRDefault="00DA74C2" w:rsidP="00035553">
            <w:pPr>
              <w:pStyle w:val="NormalWeb"/>
              <w:jc w:val="center"/>
              <w:rPr>
                <w:sz w:val="18"/>
                <w:szCs w:val="18"/>
              </w:rPr>
            </w:pPr>
            <w:r w:rsidRPr="00DA74C2">
              <w:rPr>
                <w:sz w:val="18"/>
                <w:szCs w:val="18"/>
              </w:rPr>
              <w:t>1 (referent)</w:t>
            </w:r>
          </w:p>
        </w:tc>
        <w:tc>
          <w:tcPr>
            <w:tcW w:w="2213" w:type="dxa"/>
            <w:hideMark/>
          </w:tcPr>
          <w:p w14:paraId="2545BFA5" w14:textId="77777777" w:rsidR="00DA74C2" w:rsidRPr="00DA74C2" w:rsidRDefault="00DA74C2" w:rsidP="00035553">
            <w:pPr>
              <w:jc w:val="center"/>
              <w:rPr>
                <w:sz w:val="18"/>
                <w:szCs w:val="18"/>
              </w:rPr>
            </w:pPr>
          </w:p>
        </w:tc>
      </w:tr>
      <w:tr w:rsidR="00DA74C2" w:rsidRPr="00DA74C2" w14:paraId="46FDEB74" w14:textId="77777777" w:rsidTr="0014582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4" w:space="0" w:color="auto"/>
            </w:tcBorders>
            <w:hideMark/>
          </w:tcPr>
          <w:p w14:paraId="48C34961" w14:textId="77777777" w:rsidR="00DA74C2" w:rsidRPr="00DA74C2" w:rsidRDefault="00DA74C2" w:rsidP="00035553">
            <w:pPr>
              <w:pStyle w:val="NormalWeb"/>
              <w:rPr>
                <w:sz w:val="18"/>
                <w:szCs w:val="18"/>
              </w:rPr>
            </w:pPr>
            <w:r w:rsidRPr="00DA74C2">
              <w:rPr>
                <w:sz w:val="18"/>
                <w:szCs w:val="18"/>
              </w:rPr>
              <w:t>&gt; 80 years</w:t>
            </w:r>
          </w:p>
        </w:tc>
        <w:tc>
          <w:tcPr>
            <w:tcW w:w="0" w:type="auto"/>
            <w:tcBorders>
              <w:bottom w:val="single" w:sz="4" w:space="0" w:color="auto"/>
            </w:tcBorders>
            <w:hideMark/>
          </w:tcPr>
          <w:p w14:paraId="06E2E8FB" w14:textId="77777777" w:rsidR="00DA74C2" w:rsidRPr="00DA74C2" w:rsidRDefault="00DA74C2" w:rsidP="00035553">
            <w:pPr>
              <w:pStyle w:val="NormalWeb"/>
              <w:jc w:val="center"/>
              <w:rPr>
                <w:sz w:val="18"/>
                <w:szCs w:val="18"/>
              </w:rPr>
            </w:pPr>
            <w:r w:rsidRPr="00DA74C2">
              <w:rPr>
                <w:sz w:val="18"/>
                <w:szCs w:val="18"/>
              </w:rPr>
              <w:t>0.97 (0.83, 1.13)</w:t>
            </w:r>
          </w:p>
        </w:tc>
        <w:tc>
          <w:tcPr>
            <w:tcW w:w="0" w:type="auto"/>
            <w:tcBorders>
              <w:bottom w:val="single" w:sz="4" w:space="0" w:color="auto"/>
            </w:tcBorders>
            <w:hideMark/>
          </w:tcPr>
          <w:p w14:paraId="4A109763" w14:textId="77777777" w:rsidR="00DA74C2" w:rsidRPr="00DA74C2" w:rsidRDefault="00DA74C2" w:rsidP="00035553">
            <w:pPr>
              <w:pStyle w:val="NormalWeb"/>
              <w:jc w:val="center"/>
              <w:rPr>
                <w:sz w:val="18"/>
                <w:szCs w:val="18"/>
              </w:rPr>
            </w:pPr>
            <w:r w:rsidRPr="00DA74C2">
              <w:rPr>
                <w:sz w:val="18"/>
                <w:szCs w:val="18"/>
              </w:rPr>
              <w:t>0.69</w:t>
            </w:r>
          </w:p>
        </w:tc>
        <w:tc>
          <w:tcPr>
            <w:tcW w:w="0" w:type="auto"/>
            <w:tcBorders>
              <w:bottom w:val="single" w:sz="4" w:space="0" w:color="auto"/>
            </w:tcBorders>
            <w:hideMark/>
          </w:tcPr>
          <w:p w14:paraId="798C7F43" w14:textId="77777777" w:rsidR="00DA74C2" w:rsidRPr="00DA74C2" w:rsidRDefault="00DA74C2" w:rsidP="00035553">
            <w:pPr>
              <w:pStyle w:val="NormalWeb"/>
              <w:jc w:val="center"/>
              <w:rPr>
                <w:sz w:val="18"/>
                <w:szCs w:val="18"/>
              </w:rPr>
            </w:pPr>
            <w:r w:rsidRPr="00DA74C2">
              <w:rPr>
                <w:sz w:val="18"/>
                <w:szCs w:val="18"/>
              </w:rPr>
              <w:t>1.06 (0.95, 1.18)</w:t>
            </w:r>
          </w:p>
        </w:tc>
        <w:tc>
          <w:tcPr>
            <w:tcW w:w="2213" w:type="dxa"/>
            <w:tcBorders>
              <w:bottom w:val="single" w:sz="4" w:space="0" w:color="auto"/>
            </w:tcBorders>
            <w:hideMark/>
          </w:tcPr>
          <w:p w14:paraId="1DFB266D" w14:textId="77777777" w:rsidR="00DA74C2" w:rsidRPr="00DA74C2" w:rsidRDefault="00DA74C2" w:rsidP="00035553">
            <w:pPr>
              <w:pStyle w:val="NormalWeb"/>
              <w:jc w:val="center"/>
              <w:rPr>
                <w:sz w:val="18"/>
                <w:szCs w:val="18"/>
              </w:rPr>
            </w:pPr>
            <w:r w:rsidRPr="00DA74C2">
              <w:rPr>
                <w:sz w:val="18"/>
                <w:szCs w:val="18"/>
              </w:rPr>
              <w:t>0.30</w:t>
            </w:r>
          </w:p>
        </w:tc>
      </w:tr>
      <w:tr w:rsidR="00DA74C2" w:rsidRPr="00DA74C2" w14:paraId="0047A344" w14:textId="77777777" w:rsidTr="0014582A">
        <w:tblPrEx>
          <w:tblCellMar>
            <w:top w:w="57" w:type="dxa"/>
            <w:left w:w="57" w:type="dxa"/>
            <w:bottom w:w="57" w:type="dxa"/>
            <w:right w:w="57" w:type="dxa"/>
          </w:tblCellMar>
        </w:tblPrEx>
        <w:tc>
          <w:tcPr>
            <w:tcW w:w="0" w:type="auto"/>
            <w:tcBorders>
              <w:top w:val="single" w:sz="4" w:space="0" w:color="auto"/>
            </w:tcBorders>
            <w:hideMark/>
          </w:tcPr>
          <w:p w14:paraId="163EA267" w14:textId="77777777" w:rsidR="00DA74C2" w:rsidRPr="00DA74C2" w:rsidRDefault="00DA74C2" w:rsidP="00035553">
            <w:pPr>
              <w:pStyle w:val="NormalWeb"/>
              <w:rPr>
                <w:sz w:val="18"/>
                <w:szCs w:val="18"/>
              </w:rPr>
            </w:pPr>
            <w:r w:rsidRPr="00DA74C2">
              <w:rPr>
                <w:sz w:val="18"/>
                <w:szCs w:val="18"/>
              </w:rPr>
              <w:t>Comorbidities</w:t>
            </w:r>
          </w:p>
        </w:tc>
        <w:tc>
          <w:tcPr>
            <w:tcW w:w="0" w:type="auto"/>
            <w:tcBorders>
              <w:top w:val="single" w:sz="4" w:space="0" w:color="auto"/>
            </w:tcBorders>
            <w:hideMark/>
          </w:tcPr>
          <w:p w14:paraId="7BE8F40D" w14:textId="77777777" w:rsidR="00DA74C2" w:rsidRPr="00DA74C2" w:rsidRDefault="00DA74C2" w:rsidP="00035553">
            <w:pPr>
              <w:pStyle w:val="NormalWeb"/>
              <w:jc w:val="center"/>
              <w:rPr>
                <w:sz w:val="18"/>
                <w:szCs w:val="18"/>
              </w:rPr>
            </w:pPr>
            <w:r w:rsidRPr="00DA74C2">
              <w:rPr>
                <w:sz w:val="18"/>
                <w:szCs w:val="18"/>
              </w:rPr>
              <w:t>1.74 (1.38, 2.21)</w:t>
            </w:r>
          </w:p>
        </w:tc>
        <w:tc>
          <w:tcPr>
            <w:tcW w:w="0" w:type="auto"/>
            <w:tcBorders>
              <w:top w:val="single" w:sz="4" w:space="0" w:color="auto"/>
            </w:tcBorders>
            <w:hideMark/>
          </w:tcPr>
          <w:p w14:paraId="32E77E20" w14:textId="77777777" w:rsidR="00DA74C2" w:rsidRPr="00DA74C2" w:rsidRDefault="00DA74C2" w:rsidP="00035553">
            <w:pPr>
              <w:pStyle w:val="NormalWeb"/>
              <w:jc w:val="center"/>
              <w:rPr>
                <w:sz w:val="18"/>
                <w:szCs w:val="18"/>
              </w:rPr>
            </w:pPr>
            <w:r w:rsidRPr="00DA74C2">
              <w:rPr>
                <w:sz w:val="18"/>
                <w:szCs w:val="18"/>
              </w:rPr>
              <w:t>&lt; 0.01</w:t>
            </w:r>
          </w:p>
        </w:tc>
        <w:tc>
          <w:tcPr>
            <w:tcW w:w="0" w:type="auto"/>
            <w:tcBorders>
              <w:top w:val="single" w:sz="4" w:space="0" w:color="auto"/>
            </w:tcBorders>
            <w:hideMark/>
          </w:tcPr>
          <w:p w14:paraId="75DE5E93" w14:textId="77777777" w:rsidR="00DA74C2" w:rsidRPr="00DA74C2" w:rsidRDefault="00DA74C2" w:rsidP="00035553">
            <w:pPr>
              <w:pStyle w:val="NormalWeb"/>
              <w:jc w:val="center"/>
              <w:rPr>
                <w:sz w:val="18"/>
                <w:szCs w:val="18"/>
              </w:rPr>
            </w:pPr>
            <w:r w:rsidRPr="00DA74C2">
              <w:rPr>
                <w:sz w:val="18"/>
                <w:szCs w:val="18"/>
              </w:rPr>
              <w:t>1.37 (1.14, 1.65)</w:t>
            </w:r>
          </w:p>
        </w:tc>
        <w:tc>
          <w:tcPr>
            <w:tcW w:w="2213" w:type="dxa"/>
            <w:tcBorders>
              <w:top w:val="single" w:sz="4" w:space="0" w:color="auto"/>
            </w:tcBorders>
            <w:hideMark/>
          </w:tcPr>
          <w:p w14:paraId="6EDF1C25" w14:textId="77777777" w:rsidR="00DA74C2" w:rsidRPr="00DA74C2" w:rsidRDefault="00DA74C2" w:rsidP="00035553">
            <w:pPr>
              <w:pStyle w:val="NormalWeb"/>
              <w:jc w:val="center"/>
              <w:rPr>
                <w:sz w:val="18"/>
                <w:szCs w:val="18"/>
              </w:rPr>
            </w:pPr>
            <w:r w:rsidRPr="00DA74C2">
              <w:rPr>
                <w:sz w:val="18"/>
                <w:szCs w:val="18"/>
              </w:rPr>
              <w:t>&lt; 0.01</w:t>
            </w:r>
          </w:p>
        </w:tc>
      </w:tr>
      <w:tr w:rsidR="00DA74C2" w:rsidRPr="00DA74C2" w14:paraId="58594742" w14:textId="77777777" w:rsidTr="00DA74C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74F29DD" w14:textId="77777777" w:rsidR="00DA74C2" w:rsidRPr="00DA74C2" w:rsidRDefault="00DA74C2" w:rsidP="00035553">
            <w:pPr>
              <w:pStyle w:val="NormalWeb"/>
              <w:rPr>
                <w:sz w:val="18"/>
                <w:szCs w:val="18"/>
              </w:rPr>
            </w:pPr>
            <w:r w:rsidRPr="00DA74C2">
              <w:rPr>
                <w:sz w:val="18"/>
                <w:szCs w:val="18"/>
              </w:rPr>
              <w:t>Male</w:t>
            </w:r>
          </w:p>
        </w:tc>
        <w:tc>
          <w:tcPr>
            <w:tcW w:w="0" w:type="auto"/>
            <w:hideMark/>
          </w:tcPr>
          <w:p w14:paraId="1305EC0A" w14:textId="77777777" w:rsidR="00DA74C2" w:rsidRPr="00DA74C2" w:rsidRDefault="00DA74C2" w:rsidP="00035553">
            <w:pPr>
              <w:pStyle w:val="NormalWeb"/>
              <w:jc w:val="center"/>
              <w:rPr>
                <w:sz w:val="18"/>
                <w:szCs w:val="18"/>
              </w:rPr>
            </w:pPr>
            <w:r w:rsidRPr="00DA74C2">
              <w:rPr>
                <w:sz w:val="18"/>
                <w:szCs w:val="18"/>
              </w:rPr>
              <w:t>1.16 (1.04, 1.30)</w:t>
            </w:r>
          </w:p>
        </w:tc>
        <w:tc>
          <w:tcPr>
            <w:tcW w:w="0" w:type="auto"/>
            <w:hideMark/>
          </w:tcPr>
          <w:p w14:paraId="653CFAF2" w14:textId="77777777" w:rsidR="00DA74C2" w:rsidRPr="00DA74C2" w:rsidRDefault="00DA74C2" w:rsidP="00035553">
            <w:pPr>
              <w:pStyle w:val="NormalWeb"/>
              <w:jc w:val="center"/>
              <w:rPr>
                <w:sz w:val="18"/>
                <w:szCs w:val="18"/>
              </w:rPr>
            </w:pPr>
            <w:r w:rsidRPr="00DA74C2">
              <w:rPr>
                <w:sz w:val="18"/>
                <w:szCs w:val="18"/>
              </w:rPr>
              <w:t>&lt; 0.01</w:t>
            </w:r>
          </w:p>
        </w:tc>
        <w:tc>
          <w:tcPr>
            <w:tcW w:w="0" w:type="auto"/>
            <w:hideMark/>
          </w:tcPr>
          <w:p w14:paraId="6F740268" w14:textId="77777777" w:rsidR="00DA74C2" w:rsidRPr="00DA74C2" w:rsidRDefault="00DA74C2" w:rsidP="00035553">
            <w:pPr>
              <w:pStyle w:val="NormalWeb"/>
              <w:jc w:val="center"/>
              <w:rPr>
                <w:sz w:val="18"/>
                <w:szCs w:val="18"/>
              </w:rPr>
            </w:pPr>
            <w:r w:rsidRPr="00DA74C2">
              <w:rPr>
                <w:sz w:val="18"/>
                <w:szCs w:val="18"/>
              </w:rPr>
              <w:t>1.05 (0.89, 1.23)</w:t>
            </w:r>
          </w:p>
        </w:tc>
        <w:tc>
          <w:tcPr>
            <w:tcW w:w="2213" w:type="dxa"/>
            <w:hideMark/>
          </w:tcPr>
          <w:p w14:paraId="508D5095" w14:textId="77777777" w:rsidR="00DA74C2" w:rsidRPr="00DA74C2" w:rsidRDefault="00DA74C2" w:rsidP="00035553">
            <w:pPr>
              <w:pStyle w:val="NormalWeb"/>
              <w:jc w:val="center"/>
              <w:rPr>
                <w:sz w:val="18"/>
                <w:szCs w:val="18"/>
              </w:rPr>
            </w:pPr>
            <w:r w:rsidRPr="00DA74C2">
              <w:rPr>
                <w:sz w:val="18"/>
                <w:szCs w:val="18"/>
              </w:rPr>
              <w:t>0.59</w:t>
            </w:r>
          </w:p>
        </w:tc>
      </w:tr>
      <w:tr w:rsidR="00DA74C2" w:rsidRPr="00DA74C2" w14:paraId="4214F8D2" w14:textId="77777777" w:rsidTr="00DA74C2">
        <w:tblPrEx>
          <w:tblCellMar>
            <w:top w:w="57" w:type="dxa"/>
            <w:left w:w="57" w:type="dxa"/>
            <w:bottom w:w="57" w:type="dxa"/>
            <w:right w:w="57" w:type="dxa"/>
          </w:tblCellMar>
        </w:tblPrEx>
        <w:tc>
          <w:tcPr>
            <w:tcW w:w="0" w:type="auto"/>
            <w:hideMark/>
          </w:tcPr>
          <w:p w14:paraId="740F94BA" w14:textId="77777777" w:rsidR="00DA74C2" w:rsidRPr="00DA74C2" w:rsidRDefault="00DA74C2" w:rsidP="00035553">
            <w:pPr>
              <w:pStyle w:val="NormalWeb"/>
              <w:rPr>
                <w:sz w:val="18"/>
                <w:szCs w:val="18"/>
              </w:rPr>
            </w:pPr>
            <w:r w:rsidRPr="00DA74C2">
              <w:rPr>
                <w:sz w:val="18"/>
                <w:szCs w:val="18"/>
              </w:rPr>
              <w:t>Aboriginal or Torres Strait Islander peoples</w:t>
            </w:r>
          </w:p>
        </w:tc>
        <w:tc>
          <w:tcPr>
            <w:tcW w:w="0" w:type="auto"/>
            <w:hideMark/>
          </w:tcPr>
          <w:p w14:paraId="14C9970A" w14:textId="77777777" w:rsidR="00DA74C2" w:rsidRPr="00DA74C2" w:rsidRDefault="00DA74C2" w:rsidP="00035553">
            <w:pPr>
              <w:pStyle w:val="NormalWeb"/>
              <w:jc w:val="center"/>
              <w:rPr>
                <w:sz w:val="18"/>
                <w:szCs w:val="18"/>
              </w:rPr>
            </w:pPr>
            <w:r w:rsidRPr="00DA74C2">
              <w:rPr>
                <w:sz w:val="18"/>
                <w:szCs w:val="18"/>
              </w:rPr>
              <w:t>0.71 (0.31, 1.62)</w:t>
            </w:r>
          </w:p>
        </w:tc>
        <w:tc>
          <w:tcPr>
            <w:tcW w:w="0" w:type="auto"/>
            <w:hideMark/>
          </w:tcPr>
          <w:p w14:paraId="14B40AAA" w14:textId="77777777" w:rsidR="00DA74C2" w:rsidRPr="00DA74C2" w:rsidRDefault="00DA74C2" w:rsidP="00035553">
            <w:pPr>
              <w:pStyle w:val="NormalWeb"/>
              <w:jc w:val="center"/>
              <w:rPr>
                <w:sz w:val="18"/>
                <w:szCs w:val="18"/>
              </w:rPr>
            </w:pPr>
            <w:r w:rsidRPr="00DA74C2">
              <w:rPr>
                <w:sz w:val="18"/>
                <w:szCs w:val="18"/>
              </w:rPr>
              <w:t>0.41</w:t>
            </w:r>
          </w:p>
        </w:tc>
        <w:tc>
          <w:tcPr>
            <w:tcW w:w="0" w:type="auto"/>
            <w:hideMark/>
          </w:tcPr>
          <w:p w14:paraId="5A09DFCB" w14:textId="77777777" w:rsidR="00DA74C2" w:rsidRPr="00DA74C2" w:rsidRDefault="00DA74C2" w:rsidP="00035553">
            <w:pPr>
              <w:pStyle w:val="NormalWeb"/>
              <w:jc w:val="center"/>
              <w:rPr>
                <w:sz w:val="18"/>
                <w:szCs w:val="18"/>
              </w:rPr>
            </w:pPr>
            <w:r w:rsidRPr="00DA74C2">
              <w:rPr>
                <w:sz w:val="18"/>
                <w:szCs w:val="18"/>
              </w:rPr>
              <w:t>0.93 (0.50, 1.72)</w:t>
            </w:r>
          </w:p>
        </w:tc>
        <w:tc>
          <w:tcPr>
            <w:tcW w:w="2213" w:type="dxa"/>
            <w:hideMark/>
          </w:tcPr>
          <w:p w14:paraId="47DB45E3" w14:textId="77777777" w:rsidR="00DA74C2" w:rsidRPr="00DA74C2" w:rsidRDefault="00DA74C2" w:rsidP="00035553">
            <w:pPr>
              <w:pStyle w:val="NormalWeb"/>
              <w:jc w:val="center"/>
              <w:rPr>
                <w:sz w:val="18"/>
                <w:szCs w:val="18"/>
              </w:rPr>
            </w:pPr>
            <w:r w:rsidRPr="00DA74C2">
              <w:rPr>
                <w:sz w:val="18"/>
                <w:szCs w:val="18"/>
              </w:rPr>
              <w:t>0.82</w:t>
            </w:r>
          </w:p>
        </w:tc>
      </w:tr>
      <w:tr w:rsidR="00DA74C2" w:rsidRPr="00DA74C2" w14:paraId="1B65845F" w14:textId="77777777" w:rsidTr="00A556B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99A6496" w14:textId="77777777" w:rsidR="00DA74C2" w:rsidRPr="00DA74C2" w:rsidRDefault="00DA74C2" w:rsidP="00035553">
            <w:pPr>
              <w:pStyle w:val="NormalWeb"/>
              <w:rPr>
                <w:sz w:val="18"/>
                <w:szCs w:val="18"/>
              </w:rPr>
            </w:pPr>
            <w:r w:rsidRPr="00DA74C2">
              <w:rPr>
                <w:sz w:val="18"/>
                <w:szCs w:val="18"/>
              </w:rPr>
              <w:t>Pregnancy</w:t>
            </w:r>
          </w:p>
        </w:tc>
        <w:tc>
          <w:tcPr>
            <w:tcW w:w="0" w:type="auto"/>
            <w:hideMark/>
          </w:tcPr>
          <w:p w14:paraId="73118F3A" w14:textId="77777777" w:rsidR="00DA74C2" w:rsidRPr="00DA74C2" w:rsidRDefault="00DA74C2" w:rsidP="00035553">
            <w:pPr>
              <w:pStyle w:val="NormalWeb"/>
              <w:jc w:val="center"/>
              <w:rPr>
                <w:sz w:val="18"/>
                <w:szCs w:val="18"/>
              </w:rPr>
            </w:pPr>
            <w:r w:rsidRPr="00DA74C2">
              <w:rPr>
                <w:sz w:val="18"/>
                <w:szCs w:val="18"/>
              </w:rPr>
              <w:t>0.68 (0.61, 0.76)</w:t>
            </w:r>
          </w:p>
        </w:tc>
        <w:tc>
          <w:tcPr>
            <w:tcW w:w="0" w:type="auto"/>
            <w:hideMark/>
          </w:tcPr>
          <w:p w14:paraId="03B0A1E1" w14:textId="77777777" w:rsidR="00DA74C2" w:rsidRPr="00DA74C2" w:rsidRDefault="00DA74C2" w:rsidP="00035553">
            <w:pPr>
              <w:pStyle w:val="NormalWeb"/>
              <w:jc w:val="center"/>
              <w:rPr>
                <w:sz w:val="18"/>
                <w:szCs w:val="18"/>
              </w:rPr>
            </w:pPr>
            <w:r w:rsidRPr="00DA74C2">
              <w:rPr>
                <w:sz w:val="18"/>
                <w:szCs w:val="18"/>
              </w:rPr>
              <w:t>&lt; 0.01</w:t>
            </w:r>
          </w:p>
        </w:tc>
        <w:tc>
          <w:tcPr>
            <w:tcW w:w="0" w:type="auto"/>
            <w:hideMark/>
          </w:tcPr>
          <w:p w14:paraId="2A3EE751" w14:textId="77777777" w:rsidR="00DA74C2" w:rsidRPr="00DA74C2" w:rsidRDefault="00DA74C2" w:rsidP="00035553">
            <w:pPr>
              <w:pStyle w:val="NormalWeb"/>
              <w:jc w:val="center"/>
              <w:rPr>
                <w:sz w:val="18"/>
                <w:szCs w:val="18"/>
              </w:rPr>
            </w:pPr>
            <w:r w:rsidRPr="00DA74C2">
              <w:rPr>
                <w:sz w:val="18"/>
                <w:szCs w:val="18"/>
              </w:rPr>
              <w:t>0.62 (0.53, 0.72)</w:t>
            </w:r>
          </w:p>
        </w:tc>
        <w:tc>
          <w:tcPr>
            <w:tcW w:w="2213" w:type="dxa"/>
            <w:hideMark/>
          </w:tcPr>
          <w:p w14:paraId="4A3CD934" w14:textId="77777777" w:rsidR="00DA74C2" w:rsidRPr="00DA74C2" w:rsidRDefault="00DA74C2" w:rsidP="00035553">
            <w:pPr>
              <w:pStyle w:val="NormalWeb"/>
              <w:jc w:val="center"/>
              <w:rPr>
                <w:sz w:val="18"/>
                <w:szCs w:val="18"/>
              </w:rPr>
            </w:pPr>
            <w:r w:rsidRPr="00DA74C2">
              <w:rPr>
                <w:sz w:val="18"/>
                <w:szCs w:val="18"/>
              </w:rPr>
              <w:t>&lt; 0.01</w:t>
            </w:r>
          </w:p>
        </w:tc>
      </w:tr>
      <w:tr w:rsidR="00DA74C2" w:rsidRPr="00DA74C2" w14:paraId="534D7170" w14:textId="77777777" w:rsidTr="00A556B9">
        <w:tblPrEx>
          <w:tblCellMar>
            <w:top w:w="57" w:type="dxa"/>
            <w:left w:w="57" w:type="dxa"/>
            <w:bottom w:w="57" w:type="dxa"/>
            <w:right w:w="57" w:type="dxa"/>
          </w:tblCellMar>
        </w:tblPrEx>
        <w:tc>
          <w:tcPr>
            <w:tcW w:w="0" w:type="auto"/>
            <w:tcBorders>
              <w:bottom w:val="single" w:sz="2" w:space="0" w:color="808080" w:themeColor="background1" w:themeShade="80"/>
            </w:tcBorders>
            <w:hideMark/>
          </w:tcPr>
          <w:p w14:paraId="2093FA3E" w14:textId="77777777" w:rsidR="00DA74C2" w:rsidRPr="00DA74C2" w:rsidRDefault="00DA74C2" w:rsidP="00035553">
            <w:pPr>
              <w:pStyle w:val="NormalWeb"/>
              <w:rPr>
                <w:sz w:val="18"/>
                <w:szCs w:val="18"/>
              </w:rPr>
            </w:pPr>
            <w:r w:rsidRPr="00DA74C2">
              <w:rPr>
                <w:sz w:val="18"/>
                <w:szCs w:val="18"/>
              </w:rPr>
              <w:t>ICU admission</w:t>
            </w:r>
          </w:p>
        </w:tc>
        <w:tc>
          <w:tcPr>
            <w:tcW w:w="0" w:type="auto"/>
            <w:tcBorders>
              <w:bottom w:val="single" w:sz="2" w:space="0" w:color="808080" w:themeColor="background1" w:themeShade="80"/>
            </w:tcBorders>
            <w:hideMark/>
          </w:tcPr>
          <w:p w14:paraId="67F3EC2C" w14:textId="77777777" w:rsidR="00DA74C2" w:rsidRPr="00DA74C2" w:rsidRDefault="00DA74C2" w:rsidP="00035553">
            <w:pPr>
              <w:pStyle w:val="NormalWeb"/>
              <w:jc w:val="center"/>
              <w:rPr>
                <w:sz w:val="18"/>
                <w:szCs w:val="18"/>
              </w:rPr>
            </w:pPr>
            <w:r w:rsidRPr="00DA74C2">
              <w:rPr>
                <w:sz w:val="18"/>
                <w:szCs w:val="18"/>
              </w:rPr>
              <w:t>1.59 (1.24, 2.04)</w:t>
            </w:r>
          </w:p>
        </w:tc>
        <w:tc>
          <w:tcPr>
            <w:tcW w:w="0" w:type="auto"/>
            <w:tcBorders>
              <w:bottom w:val="single" w:sz="2" w:space="0" w:color="808080" w:themeColor="background1" w:themeShade="80"/>
            </w:tcBorders>
            <w:hideMark/>
          </w:tcPr>
          <w:p w14:paraId="13B8310C" w14:textId="77777777" w:rsidR="00DA74C2" w:rsidRPr="00DA74C2" w:rsidRDefault="00DA74C2" w:rsidP="00035553">
            <w:pPr>
              <w:pStyle w:val="NormalWeb"/>
              <w:jc w:val="center"/>
              <w:rPr>
                <w:sz w:val="18"/>
                <w:szCs w:val="18"/>
              </w:rPr>
            </w:pPr>
            <w:r w:rsidRPr="00DA74C2">
              <w:rPr>
                <w:sz w:val="18"/>
                <w:szCs w:val="18"/>
              </w:rPr>
              <w:t>&lt; 0.01</w:t>
            </w:r>
          </w:p>
        </w:tc>
        <w:tc>
          <w:tcPr>
            <w:tcW w:w="0" w:type="auto"/>
            <w:tcBorders>
              <w:bottom w:val="single" w:sz="2" w:space="0" w:color="808080" w:themeColor="background1" w:themeShade="80"/>
            </w:tcBorders>
            <w:hideMark/>
          </w:tcPr>
          <w:p w14:paraId="1C3E63C4" w14:textId="77777777" w:rsidR="00DA74C2" w:rsidRPr="00DA74C2" w:rsidRDefault="00DA74C2" w:rsidP="00035553">
            <w:pPr>
              <w:pStyle w:val="NormalWeb"/>
              <w:jc w:val="center"/>
              <w:rPr>
                <w:sz w:val="18"/>
                <w:szCs w:val="18"/>
              </w:rPr>
            </w:pPr>
            <w:r w:rsidRPr="00DA74C2">
              <w:rPr>
                <w:sz w:val="18"/>
                <w:szCs w:val="18"/>
              </w:rPr>
              <w:t>1.66 (1.30, 2.11)</w:t>
            </w:r>
          </w:p>
        </w:tc>
        <w:tc>
          <w:tcPr>
            <w:tcW w:w="2213" w:type="dxa"/>
            <w:tcBorders>
              <w:bottom w:val="single" w:sz="2" w:space="0" w:color="808080" w:themeColor="background1" w:themeShade="80"/>
            </w:tcBorders>
            <w:hideMark/>
          </w:tcPr>
          <w:p w14:paraId="208617D8" w14:textId="77777777" w:rsidR="00DA74C2" w:rsidRPr="00DA74C2" w:rsidRDefault="00DA74C2" w:rsidP="00035553">
            <w:pPr>
              <w:pStyle w:val="NormalWeb"/>
              <w:jc w:val="center"/>
              <w:rPr>
                <w:sz w:val="18"/>
                <w:szCs w:val="18"/>
              </w:rPr>
            </w:pPr>
            <w:r w:rsidRPr="00DA74C2">
              <w:rPr>
                <w:sz w:val="18"/>
                <w:szCs w:val="18"/>
              </w:rPr>
              <w:t>&lt; 0.01</w:t>
            </w:r>
          </w:p>
        </w:tc>
      </w:tr>
    </w:tbl>
    <w:p w14:paraId="5D05C9D3" w14:textId="77777777" w:rsidR="00DA74C2" w:rsidRPr="009A679B" w:rsidRDefault="00DA74C2" w:rsidP="00DA74C2">
      <w:pPr>
        <w:pStyle w:val="CDIfootnotes"/>
      </w:pPr>
      <w:r w:rsidRPr="009A679B">
        <w:t>a</w:t>
      </w:r>
      <w:r w:rsidRPr="009A679B">
        <w:tab/>
        <w:t>Represents relative difference in length of stay; rate ratio &gt; 1 indicates longer stay associated with factor.</w:t>
      </w:r>
    </w:p>
    <w:p w14:paraId="127BF5F1" w14:textId="2B4A6D10" w:rsidR="00DA74C2" w:rsidRDefault="00DA74C2" w:rsidP="006D637B">
      <w:pPr>
        <w:pStyle w:val="CDIfootnotes"/>
      </w:pPr>
      <w:r w:rsidRPr="009A679B">
        <w:t>b</w:t>
      </w:r>
      <w:r w:rsidRPr="009A679B">
        <w:tab/>
        <w:t>Omitted ICU status but includes age.</w:t>
      </w:r>
    </w:p>
    <w:p w14:paraId="41CAACE7" w14:textId="11C37569" w:rsidR="0092082A" w:rsidRPr="0092082A" w:rsidRDefault="0092082A" w:rsidP="0092082A">
      <w:pPr>
        <w:pStyle w:val="Heading1"/>
      </w:pPr>
      <w:r w:rsidRPr="0092082A">
        <w:lastRenderedPageBreak/>
        <w:t>Outcome</w:t>
      </w:r>
    </w:p>
    <w:p w14:paraId="1757E5D3" w14:textId="77777777" w:rsidR="0092082A" w:rsidRDefault="0092082A" w:rsidP="0092082A">
      <w:r>
        <w:t>Of the 356 patients with known length of stay, the mean length of hospital stay was 9.8 days. Admission to ICU was associated with a mean hospital length of stay of 10.8 days compared to those not admitted to ICU (9.1 days). Of the 400 patients where hospital mortality status was documented, 43 patients died (11%); of these, 6 deaths (14%) occurred in patients admitted to ICU, and 37 deaths (86%) in those not admitted to ICU.</w:t>
      </w:r>
    </w:p>
    <w:p w14:paraId="22188335" w14:textId="77777777" w:rsidR="0092082A" w:rsidRPr="0092082A" w:rsidRDefault="0092082A" w:rsidP="0092082A">
      <w:pPr>
        <w:pStyle w:val="Heading1"/>
      </w:pPr>
      <w:r w:rsidRPr="0092082A">
        <w:t>Discussion</w:t>
      </w:r>
    </w:p>
    <w:p w14:paraId="216E3A88" w14:textId="06B2420E" w:rsidR="0092082A" w:rsidRDefault="0092082A" w:rsidP="0092082A">
      <w:r>
        <w:t>The 2020 pandemic year was characterised by an unusually low number of influenza cases in contrast to the several thousand influenza admissions in 2018 and 2019.</w:t>
      </w:r>
      <w:r>
        <w:rPr>
          <w:vertAlign w:val="superscript"/>
        </w:rPr>
        <w:t>4</w:t>
      </w:r>
      <w:r>
        <w:t xml:space="preserve"> The near-absent influenza season is likely to reflect closed international borders (with strict quarantine for arrivals) as well as public health interventions that were put in place for COVID-19, such as mandatory mask wearing in some states, staged lockdowns with restricted movement of the public, and maintenance of physical distancing both indoors and outdoors. Although school-aged children are thought to be a driver for influenza transmission (in contrast to COVID-19), influenza activity remained low despite schools being open in most states.</w:t>
      </w:r>
    </w:p>
    <w:p w14:paraId="1CC848AD" w14:textId="184769CB" w:rsidR="0092082A" w:rsidRDefault="0092082A" w:rsidP="0092082A">
      <w:r>
        <w:t>Surveillance for COVID-19 was able to be established quickly using the pre-existing influenza surveillance system; however, this was limited only to surveillance at sentinel sites. In our study, the COVID-19 surveillance provided additional detail on comorbidities and on length of stay, especially in patients not admitted to ICU, to complement data collected by other surveillance systems.</w:t>
      </w:r>
      <w:r>
        <w:rPr>
          <w:vertAlign w:val="superscript"/>
        </w:rPr>
        <w:t>9,10</w:t>
      </w:r>
      <w:r>
        <w:t xml:space="preserve"> </w:t>
      </w:r>
    </w:p>
    <w:p w14:paraId="4A98E372" w14:textId="77777777" w:rsidR="0092082A" w:rsidRDefault="0092082A" w:rsidP="0092082A">
      <w:r>
        <w:t>While meaningful comparisons cannot be made with the limited number of influenza admissions in 2020, it is of interest to compare the clinical profile of patients hospitalised with COVID-19 with those hospitalised with influenza in 2019. Several indicators reflect the more severe disease course of COVID-19 compared to influenza. The proportion of patients admitted to ICU was 15.6% for COVID-19 patients in 2020 compared to 7.8% for influenza patients in 2019. Notably, 14% of younger adults (16–40 years) and 21% of adults 40–64 years hospitalised with COVID-19 were admitted to ICU, compared to 7.4% and 12.8% in patients in the same age groups with influenza in 2019. Mortality in hospitalised patients was 11% for COVID-19 compared to 2.8% for influenza. The mean length of hospital stay was 9.8 days for patients with COVID-19 compared to 4.9 days for influenza. Factors associated with a longer stay in hospital included increased age and the presence of comorbidities.</w:t>
      </w:r>
    </w:p>
    <w:p w14:paraId="665A7B02" w14:textId="0CB88A89" w:rsidR="0092082A" w:rsidRDefault="0092082A" w:rsidP="0092082A">
      <w:r>
        <w:t>When compared to international studies, the proportion of patients hospitalised with COVID-19 who were admitted to ICU is similar to that reported overseas.</w:t>
      </w:r>
      <w:r>
        <w:rPr>
          <w:vertAlign w:val="superscript"/>
        </w:rPr>
        <w:t>11,12</w:t>
      </w:r>
      <w:r>
        <w:t xml:space="preserve"> The FluCAN data show a lower hospitalisation-fatality ratio both within and outside ICU than obtained from international reports,</w:t>
      </w:r>
      <w:r>
        <w:rPr>
          <w:vertAlign w:val="superscript"/>
        </w:rPr>
        <w:t>11–14</w:t>
      </w:r>
      <w:r>
        <w:t xml:space="preserve"> and this could be attributed to a well-equipped and better resourced healthcare system that was not heavily overburdened, similar to what was reported in Singapore.</w:t>
      </w:r>
      <w:r>
        <w:rPr>
          <w:vertAlign w:val="superscript"/>
        </w:rPr>
        <w:t>15</w:t>
      </w:r>
      <w:r>
        <w:t xml:space="preserve"> Similarly, the lower proportion admitted to ICU compared to other studies may reflect the lower ICU burden, different admission policies, hospitalisation for non-medical reasons (e.g. infection control) and the older age profile with advanced care directives particularly in the Victorian second wave.</w:t>
      </w:r>
      <w:r>
        <w:rPr>
          <w:vertAlign w:val="superscript"/>
        </w:rPr>
        <w:t>16,17</w:t>
      </w:r>
      <w:r>
        <w:t xml:space="preserve"> </w:t>
      </w:r>
    </w:p>
    <w:p w14:paraId="382DD976" w14:textId="2E93E464" w:rsidR="0092082A" w:rsidRDefault="0092082A" w:rsidP="0092082A">
      <w:r>
        <w:t>Male gender and medical comorbidities were associated with an increased severity of COVID-19 (as assessed by ICU admission), in line with other international reports.</w:t>
      </w:r>
      <w:r>
        <w:rPr>
          <w:vertAlign w:val="superscript"/>
        </w:rPr>
        <w:t>11,12,14,16,18,19</w:t>
      </w:r>
      <w:r>
        <w:t xml:space="preserve"> While non-elderly adults in the present study were observed to be very susceptible to hospitalisation,</w:t>
      </w:r>
      <w:r>
        <w:rPr>
          <w:vertAlign w:val="superscript"/>
        </w:rPr>
        <w:t>14,16,17</w:t>
      </w:r>
      <w:r>
        <w:t xml:space="preserve"> the British and Spanish COVID-19 patient cohorts who were hospitalised were significantly older.</w:t>
      </w:r>
      <w:r>
        <w:rPr>
          <w:vertAlign w:val="superscript"/>
        </w:rPr>
        <w:t>12,19</w:t>
      </w:r>
      <w:r>
        <w:t xml:space="preserve"> The present study also observed a high prevalence of chronic comorbidities</w:t>
      </w:r>
      <w:r w:rsidR="001F0097">
        <w:t xml:space="preserve"> </w:t>
      </w:r>
      <w:r>
        <w:rPr>
          <w:vertAlign w:val="superscript"/>
        </w:rPr>
        <w:t>14,19</w:t>
      </w:r>
      <w:r>
        <w:t xml:space="preserve"> in hospitalised COVID-19 patients when compared to other studies,</w:t>
      </w:r>
      <w:r>
        <w:rPr>
          <w:vertAlign w:val="superscript"/>
        </w:rPr>
        <w:t>12,15,16,18,20</w:t>
      </w:r>
      <w:r>
        <w:t xml:space="preserve"> indicating the susceptibility of this cohort with underlying conditions to being admitted to hospital. These risk factors reported in the FluCAN cohort are </w:t>
      </w:r>
      <w:proofErr w:type="gramStart"/>
      <w:r>
        <w:t>similar to</w:t>
      </w:r>
      <w:proofErr w:type="gramEnd"/>
      <w:r>
        <w:t xml:space="preserve"> other studies, as reported by a recent systematic review on hospitalised COVID-19 patients.</w:t>
      </w:r>
      <w:r>
        <w:rPr>
          <w:vertAlign w:val="superscript"/>
        </w:rPr>
        <w:t>21</w:t>
      </w:r>
      <w:r>
        <w:t xml:space="preserve"> </w:t>
      </w:r>
    </w:p>
    <w:p w14:paraId="51FC669F" w14:textId="290EC51E" w:rsidR="0092082A" w:rsidRDefault="0092082A" w:rsidP="0092082A">
      <w:r>
        <w:lastRenderedPageBreak/>
        <w:t>The duration of symptoms prior to hospital admission reported in the present study was shorter than patients reported in Singapore,</w:t>
      </w:r>
      <w:r>
        <w:rPr>
          <w:vertAlign w:val="superscript"/>
        </w:rPr>
        <w:t>15</w:t>
      </w:r>
      <w:r>
        <w:t xml:space="preserve"> but </w:t>
      </w:r>
      <w:proofErr w:type="gramStart"/>
      <w:r>
        <w:t>similar to</w:t>
      </w:r>
      <w:proofErr w:type="gramEnd"/>
      <w:r>
        <w:t xml:space="preserve"> the British cohort, Italian cohort,</w:t>
      </w:r>
      <w:r>
        <w:rPr>
          <w:vertAlign w:val="superscript"/>
        </w:rPr>
        <w:t>14</w:t>
      </w:r>
      <w:r>
        <w:t xml:space="preserve"> Wuhan cohorts,</w:t>
      </w:r>
      <w:r>
        <w:rPr>
          <w:vertAlign w:val="superscript"/>
        </w:rPr>
        <w:t>12,16</w:t>
      </w:r>
      <w:r>
        <w:t xml:space="preserve"> and Zhejiang cohort in China.</w:t>
      </w:r>
      <w:r>
        <w:rPr>
          <w:vertAlign w:val="superscript"/>
        </w:rPr>
        <w:t>20</w:t>
      </w:r>
      <w:r>
        <w:t xml:space="preserve"> The length of hospital stay was identical between the FluCAN cohort and the Spanish cohort.</w:t>
      </w:r>
      <w:r>
        <w:rPr>
          <w:vertAlign w:val="superscript"/>
        </w:rPr>
        <w:t>19</w:t>
      </w:r>
      <w:r>
        <w:t xml:space="preserve"> This could be attributed to the differences in national guidelines in clinical management of COVID-19 cases across different countries.</w:t>
      </w:r>
    </w:p>
    <w:p w14:paraId="5AF9CB09" w14:textId="57687FE9" w:rsidR="0092082A" w:rsidRDefault="0092082A" w:rsidP="0092082A">
      <w:r>
        <w:t>Some strengths of FluCAN surveillance include potential for further analysis, including the ability to estimate influenza vaccine coverage from COVID-19 patients. The FluCAN COVID-19 cohort showed similar influenza vaccination rates as the Spanish cohort for those above 65 years of age,</w:t>
      </w:r>
      <w:r>
        <w:rPr>
          <w:vertAlign w:val="superscript"/>
        </w:rPr>
        <w:t>19</w:t>
      </w:r>
      <w:r>
        <w:t xml:space="preserve"> and this could be due to the higher prevalence of COVID-19 cases in the elderly patients across both these countries. Further comparisons could also be made between the two cohorts when compared to previous influenza seasons. This season saw a higher hospitalisation fatality ratio and an under-representation of pregnant women and Aboriginal and Torres Strait Islander people for both influenza and COVID-19 compared to the 2019 influenza season. More non-elderly adults were infected with COVID-19 compared to previous influenza seasons, while children were under-represented in both cohorts. This suggests that the older population were more susceptible to SARS-CoV-2 infection with higher mortality rates when compared to influenza infection. </w:t>
      </w:r>
    </w:p>
    <w:p w14:paraId="3BEEF9FA" w14:textId="5EFFF053" w:rsidR="0092082A" w:rsidRDefault="0092082A" w:rsidP="0092082A">
      <w:r>
        <w:t>The peak COVID-19 hospitalisation rate relative to hospital bed capacity provides a measure of impact. The peak rate of admissions overall was 5.4 per 100 beds per week in week 28. During the Victorian second wave, the peak range of admissions across six Victorian hospitals varied from 0.88 per 100 beds at the Royal Children’s Hospital to 5.39 per 100 beds at the Royal Melbourne Hospital, indicating a substantial burden across the Victorian healthcare system due to COVID-19 .</w:t>
      </w:r>
      <w:r>
        <w:rPr>
          <w:vertAlign w:val="superscript"/>
        </w:rPr>
        <w:t>9</w:t>
      </w:r>
      <w:r>
        <w:t xml:space="preserve"> Based on a mean length of hospital stay of 9.8 days, this suggests that 7.7% of hospital beds were occupied with patients with confirmed COVID-19 during this week 28.</w:t>
      </w:r>
    </w:p>
    <w:p w14:paraId="59F8C043" w14:textId="50A0A855" w:rsidR="0092082A" w:rsidRDefault="0092082A" w:rsidP="0092082A">
      <w:r>
        <w:t xml:space="preserve">There are several limitations to the FluCAN surveillance system. While ascertainment of COVID-19 cases is likely to be complete due to high clinical awareness, the impact of the pandemic on the rates of influenza diagnostic tests is uncertain. However, the </w:t>
      </w:r>
      <w:proofErr w:type="gramStart"/>
      <w:r>
        <w:t>near-absence</w:t>
      </w:r>
      <w:proofErr w:type="gramEnd"/>
      <w:r>
        <w:t xml:space="preserve"> of the influenza season was seen in other surveillance systems.</w:t>
      </w:r>
      <w:r>
        <w:rPr>
          <w:vertAlign w:val="superscript"/>
        </w:rPr>
        <w:t>4</w:t>
      </w:r>
      <w:r>
        <w:t xml:space="preserve"> Influenza cases may also be missed due to the lack of testing, poor quality sample collection or delayed presentations. Influenza activity in other surveillance systems showed a significant increase in </w:t>
      </w:r>
      <w:proofErr w:type="spellStart"/>
      <w:r>
        <w:t>interseasonal</w:t>
      </w:r>
      <w:proofErr w:type="spellEnd"/>
      <w:r>
        <w:t xml:space="preserve"> activity until February–March 2020,</w:t>
      </w:r>
      <w:r>
        <w:rPr>
          <w:vertAlign w:val="superscript"/>
        </w:rPr>
        <w:t>4</w:t>
      </w:r>
      <w:r>
        <w:t xml:space="preserve"> prior to FluCAN surveillance commencing in mid-March and the rise of COVID-19 infections.</w:t>
      </w:r>
    </w:p>
    <w:p w14:paraId="36F4BF61" w14:textId="77777777" w:rsidR="0092082A" w:rsidRDefault="0092082A" w:rsidP="0092082A">
      <w:r>
        <w:t>Vaccine effectiveness was not analysed due to low influenza case numbers this season but based on crude analyses appeared to be high. We have traditionally used influenza test-negative patients as controls and to estimate vaccine coverage in key groups. In the 2020 cohort, estimated vaccine coverage was not that different to previous years, indicating a similar rate of vaccination across all age groups. However, where controls may be dominated by patients with COVID-</w:t>
      </w:r>
      <w:proofErr w:type="gramStart"/>
      <w:r>
        <w:t>19 ,</w:t>
      </w:r>
      <w:proofErr w:type="gramEnd"/>
      <w:r>
        <w:t xml:space="preserve"> there is a potential for selection biases or confounders. For example, a type of healthy user bias may occur if influenza vaccination is linked to other behaviours that reduce the risk of COVID, such as mask wearing or compliance with physical distancing. This may also have implications for vaccine effectiveness studies of COVID-19 vaccines.</w:t>
      </w:r>
    </w:p>
    <w:p w14:paraId="665EBB6F" w14:textId="77777777" w:rsidR="0092082A" w:rsidRDefault="0092082A" w:rsidP="0092082A">
      <w:r>
        <w:t xml:space="preserve">In summary, we were able to rapidly establish hospital-based COVID-19 surveillance in an influenza surveillance system. FluCAN surveillance detected an unusually low number of hospital admissions with laboratory-confirmed influenza in this national observational study in 2020, compared to previous seasons. This could be due to effective public health interventions </w:t>
      </w:r>
      <w:proofErr w:type="gramStart"/>
      <w:r>
        <w:t>as a result of</w:t>
      </w:r>
      <w:proofErr w:type="gramEnd"/>
      <w:r>
        <w:t xml:space="preserve"> a rise in COVID-19 respiratory infections and associated hospitalisations. Several indicators reflect the more severe clinical course of COVID-19 compared to influenza. </w:t>
      </w:r>
    </w:p>
    <w:p w14:paraId="70CAB2F6" w14:textId="77777777" w:rsidR="009D5B35" w:rsidRDefault="009D5B35">
      <w:pPr>
        <w:rPr>
          <w:rFonts w:asciiTheme="majorHAnsi" w:eastAsiaTheme="majorEastAsia" w:hAnsiTheme="majorHAnsi" w:cstheme="majorBidi"/>
          <w:b/>
          <w:bCs/>
          <w:sz w:val="32"/>
          <w:szCs w:val="28"/>
        </w:rPr>
      </w:pPr>
      <w:r>
        <w:br w:type="page"/>
      </w:r>
    </w:p>
    <w:p w14:paraId="5B49914D" w14:textId="25A2C776" w:rsidR="0092082A" w:rsidRPr="0092082A" w:rsidRDefault="0092082A" w:rsidP="0092082A">
      <w:pPr>
        <w:pStyle w:val="Heading1"/>
      </w:pPr>
      <w:r w:rsidRPr="0092082A">
        <w:lastRenderedPageBreak/>
        <w:t>Acknowledgements</w:t>
      </w:r>
    </w:p>
    <w:p w14:paraId="30581A1B" w14:textId="5CB80FEB" w:rsidR="0092082A" w:rsidRDefault="0092082A" w:rsidP="0092082A">
      <w:r>
        <w:t xml:space="preserve">We thank Janette Taylor, Li (Lucy) Ying, Renuka Liyanage (Westmead Hospital); </w:t>
      </w:r>
      <w:proofErr w:type="spellStart"/>
      <w:r>
        <w:t>Cazz</w:t>
      </w:r>
      <w:proofErr w:type="spellEnd"/>
      <w:r>
        <w:t xml:space="preserve"> Finucane, Camille Gibson (Perth Children’s Hospital; Telethon Institute); Janine Roney, Jill Garlick, Virginia Cable, (The Alfred Hospital); Stevie </w:t>
      </w:r>
      <w:proofErr w:type="spellStart"/>
      <w:r>
        <w:t>Lingman</w:t>
      </w:r>
      <w:proofErr w:type="spellEnd"/>
      <w:r>
        <w:t xml:space="preserve">, Melissa Finney, Megan Martin (Mater Hospital); Michelle Thompson, Fiona Sultana, Casey McLeod, Adam </w:t>
      </w:r>
      <w:proofErr w:type="spellStart"/>
      <w:r>
        <w:t>Kadmon</w:t>
      </w:r>
      <w:proofErr w:type="spellEnd"/>
      <w:r>
        <w:t xml:space="preserve">, Stewart </w:t>
      </w:r>
      <w:proofErr w:type="spellStart"/>
      <w:r>
        <w:t>Duncum</w:t>
      </w:r>
      <w:proofErr w:type="spellEnd"/>
      <w:r>
        <w:t xml:space="preserve">, Gerri </w:t>
      </w:r>
      <w:proofErr w:type="spellStart"/>
      <w:r>
        <w:t>Shandler</w:t>
      </w:r>
      <w:proofErr w:type="spellEnd"/>
      <w:r>
        <w:t xml:space="preserve">, Sarah Mclean (Royal Melbourne Hospital); </w:t>
      </w:r>
      <w:proofErr w:type="spellStart"/>
      <w:r>
        <w:t>Jocelynne</w:t>
      </w:r>
      <w:proofErr w:type="spellEnd"/>
      <w:r>
        <w:t xml:space="preserve"> McRae, Laura </w:t>
      </w:r>
      <w:proofErr w:type="spellStart"/>
      <w:r>
        <w:t>Rost</w:t>
      </w:r>
      <w:proofErr w:type="spellEnd"/>
      <w:r>
        <w:t xml:space="preserve">, Nicole Dinsmore, Gemma </w:t>
      </w:r>
      <w:proofErr w:type="spellStart"/>
      <w:r>
        <w:t>Saravanos</w:t>
      </w:r>
      <w:proofErr w:type="spellEnd"/>
      <w:r>
        <w:t xml:space="preserve">, Kathy Meredith, Emma Carey (Children’s Hospital at Westmead); Wendy </w:t>
      </w:r>
      <w:proofErr w:type="spellStart"/>
      <w:r>
        <w:t>Beckingham</w:t>
      </w:r>
      <w:proofErr w:type="spellEnd"/>
      <w:r>
        <w:t xml:space="preserve">, Sandra Root, Michelle Gordon, Teena Russell, Kris </w:t>
      </w:r>
      <w:proofErr w:type="spellStart"/>
      <w:r>
        <w:t>Farrelly</w:t>
      </w:r>
      <w:proofErr w:type="spellEnd"/>
      <w:r>
        <w:t xml:space="preserve">, Stephanie </w:t>
      </w:r>
      <w:proofErr w:type="spellStart"/>
      <w:r>
        <w:t>Hatte</w:t>
      </w:r>
      <w:proofErr w:type="spellEnd"/>
      <w:r>
        <w:t xml:space="preserve"> (Canberra and Calvary Hospitals); Stella Green, Sue Richmond, Michelle </w:t>
      </w:r>
      <w:proofErr w:type="spellStart"/>
      <w:r>
        <w:t>Gosley</w:t>
      </w:r>
      <w:proofErr w:type="spellEnd"/>
      <w:r>
        <w:t xml:space="preserve"> (Cairns Base Hospital); Jane Nelson, </w:t>
      </w:r>
      <w:proofErr w:type="spellStart"/>
      <w:r>
        <w:t>Anngie</w:t>
      </w:r>
      <w:proofErr w:type="spellEnd"/>
      <w:r>
        <w:t xml:space="preserve"> Everitt, </w:t>
      </w:r>
      <w:proofErr w:type="spellStart"/>
      <w:r>
        <w:t>Kealie</w:t>
      </w:r>
      <w:proofErr w:type="spellEnd"/>
      <w:r>
        <w:t xml:space="preserve"> Kennedy (Alice Springs Hospital; Menzies School of Health Research); Tina Collins, Dieu Le, Krystal </w:t>
      </w:r>
      <w:proofErr w:type="spellStart"/>
      <w:r>
        <w:t>Rudland</w:t>
      </w:r>
      <w:proofErr w:type="spellEnd"/>
      <w:r>
        <w:t xml:space="preserve"> (Princess Alexandra Hospital); Susan Wagg (Royal Hobart Hospital); Tiffany Perkins, Anne Welsh, Krystle Wilson (University Hospital Geelong, Barwon Health); Doug </w:t>
      </w:r>
      <w:proofErr w:type="spellStart"/>
      <w:r>
        <w:t>Dorahy</w:t>
      </w:r>
      <w:proofErr w:type="spellEnd"/>
      <w:r>
        <w:t>, Isabella Mackay, </w:t>
      </w:r>
      <w:proofErr w:type="spellStart"/>
      <w:r>
        <w:t>Lorissa</w:t>
      </w:r>
      <w:proofErr w:type="spellEnd"/>
      <w:r>
        <w:t xml:space="preserve"> </w:t>
      </w:r>
      <w:proofErr w:type="spellStart"/>
      <w:r>
        <w:t>McGufficke</w:t>
      </w:r>
      <w:proofErr w:type="spellEnd"/>
      <w:r>
        <w:t xml:space="preserve"> (John Hunter Hospital); Jenny McGrath, Louise Milazzo, Sarah Richards, Cathy Short, Cate Green, Mary McAlister, Eve </w:t>
      </w:r>
      <w:proofErr w:type="spellStart"/>
      <w:r>
        <w:t>Boxhall</w:t>
      </w:r>
      <w:proofErr w:type="spellEnd"/>
      <w:r>
        <w:t xml:space="preserve">, Ashleigh Richardson, Catriona Doran, Nicole </w:t>
      </w:r>
      <w:proofErr w:type="spellStart"/>
      <w:r>
        <w:t>Gurrey</w:t>
      </w:r>
      <w:proofErr w:type="spellEnd"/>
      <w:r>
        <w:t xml:space="preserve">, Sophie Whitehead, </w:t>
      </w:r>
      <w:proofErr w:type="spellStart"/>
      <w:r>
        <w:t>Jiayas</w:t>
      </w:r>
      <w:proofErr w:type="spellEnd"/>
      <w:r>
        <w:t xml:space="preserve"> Lin, Rebecca Glover, Segun Kandel, </w:t>
      </w:r>
      <w:proofErr w:type="spellStart"/>
      <w:r>
        <w:t>Monima</w:t>
      </w:r>
      <w:proofErr w:type="spellEnd"/>
      <w:r>
        <w:t xml:space="preserve"> </w:t>
      </w:r>
      <w:proofErr w:type="spellStart"/>
      <w:r>
        <w:t>Pamang</w:t>
      </w:r>
      <w:proofErr w:type="spellEnd"/>
      <w:r>
        <w:t xml:space="preserve">, Kate Shelton (Royal Adelaide Hospital); Jonathon Burcham, Sophie </w:t>
      </w:r>
      <w:proofErr w:type="spellStart"/>
      <w:r>
        <w:t>Damianopoulos</w:t>
      </w:r>
      <w:proofErr w:type="spellEnd"/>
      <w:r>
        <w:t xml:space="preserve">, Helen Hammersley, Fiona </w:t>
      </w:r>
      <w:proofErr w:type="spellStart"/>
      <w:r>
        <w:t>Seroney</w:t>
      </w:r>
      <w:proofErr w:type="spellEnd"/>
      <w:r>
        <w:t xml:space="preserve"> (Royal Perth Hospital); and Jess O’Bryan (Monash Medical Centre). We also thank Rebecca Doyle, Sara Cook, Sonia Dougherty, Natasha Doran (Queensland Children’s Hospital); Chris Heath, Mary Walker (Women &amp; </w:t>
      </w:r>
      <w:proofErr w:type="spellStart"/>
      <w:r>
        <w:t>Childrens</w:t>
      </w:r>
      <w:proofErr w:type="spellEnd"/>
      <w:r>
        <w:t xml:space="preserve"> Hospital Adelaide); Laura Francis (Royal Darwin Hospital); Gowri Selvaraj, Karen Bellamy (Monash Children’s Hospital); and Alissa McMinn, Donna Lee, Isabella Overmars, Lois </w:t>
      </w:r>
      <w:proofErr w:type="spellStart"/>
      <w:r>
        <w:t>Tham</w:t>
      </w:r>
      <w:proofErr w:type="spellEnd"/>
      <w:r>
        <w:t xml:space="preserve"> (Royal Children’s Hospital). We acknowledge the support of the Australian Government Department of Health (the Department) for funding this system. The opinions expressed in this paper are those of the authors, and do not necessarily represent the views of the</w:t>
      </w:r>
      <w:r w:rsidR="00D0173F">
        <w:t> </w:t>
      </w:r>
      <w:r>
        <w:t>Department.</w:t>
      </w:r>
    </w:p>
    <w:p w14:paraId="28F7BEF2" w14:textId="77777777" w:rsidR="000D5C15" w:rsidRDefault="000D5C15">
      <w:pPr>
        <w:rPr>
          <w:rFonts w:asciiTheme="majorHAnsi" w:eastAsiaTheme="majorEastAsia" w:hAnsiTheme="majorHAnsi" w:cstheme="majorBidi"/>
          <w:b/>
          <w:bCs/>
          <w:sz w:val="32"/>
          <w:szCs w:val="28"/>
        </w:rPr>
      </w:pPr>
      <w:r>
        <w:br w:type="page"/>
      </w:r>
    </w:p>
    <w:p w14:paraId="3EEE3D33" w14:textId="3A63FD43" w:rsidR="0092082A" w:rsidRPr="0092082A" w:rsidRDefault="0092082A" w:rsidP="0092082A">
      <w:pPr>
        <w:pStyle w:val="Heading1"/>
      </w:pPr>
      <w:r w:rsidRPr="0092082A">
        <w:lastRenderedPageBreak/>
        <w:t>Author details</w:t>
      </w:r>
    </w:p>
    <w:p w14:paraId="54AE9AA1" w14:textId="1C0A11BB" w:rsidR="0092082A" w:rsidRDefault="0092082A" w:rsidP="0092082A">
      <w:r>
        <w:t xml:space="preserve">Dr Husna Begum </w:t>
      </w:r>
      <w:r>
        <w:rPr>
          <w:vertAlign w:val="superscript"/>
        </w:rPr>
        <w:t>1</w:t>
      </w:r>
      <w:r>
        <w:t xml:space="preserve"> </w:t>
      </w:r>
      <w:r w:rsidR="000D5C15">
        <w:br/>
      </w:r>
      <w:r>
        <w:t xml:space="preserve">Professor Dominic E Dwyer </w:t>
      </w:r>
      <w:r>
        <w:rPr>
          <w:vertAlign w:val="superscript"/>
        </w:rPr>
        <w:t>2</w:t>
      </w:r>
      <w:r>
        <w:t xml:space="preserve"> </w:t>
      </w:r>
      <w:r w:rsidR="000D5C15">
        <w:br/>
      </w:r>
      <w:r>
        <w:t xml:space="preserve">Professor Mark Holmes </w:t>
      </w:r>
      <w:r>
        <w:rPr>
          <w:vertAlign w:val="superscript"/>
        </w:rPr>
        <w:t>3</w:t>
      </w:r>
      <w:r>
        <w:t xml:space="preserve"> </w:t>
      </w:r>
      <w:r w:rsidR="000D5C15">
        <w:br/>
      </w:r>
      <w:r>
        <w:t xml:space="preserve">A/Professor Louis Irving </w:t>
      </w:r>
      <w:r>
        <w:rPr>
          <w:vertAlign w:val="superscript"/>
        </w:rPr>
        <w:t>4</w:t>
      </w:r>
      <w:r>
        <w:t xml:space="preserve"> </w:t>
      </w:r>
      <w:r w:rsidR="000D5C15">
        <w:br/>
      </w:r>
      <w:r>
        <w:t xml:space="preserve">Dr Graham Simpson </w:t>
      </w:r>
      <w:r>
        <w:rPr>
          <w:vertAlign w:val="superscript"/>
        </w:rPr>
        <w:t>5</w:t>
      </w:r>
      <w:r>
        <w:t xml:space="preserve"> </w:t>
      </w:r>
      <w:r w:rsidR="000D5C15">
        <w:br/>
      </w:r>
      <w:r>
        <w:t xml:space="preserve">A/Professor Sanjaya </w:t>
      </w:r>
      <w:proofErr w:type="spellStart"/>
      <w:r>
        <w:t>Senenayake</w:t>
      </w:r>
      <w:proofErr w:type="spellEnd"/>
      <w:r>
        <w:t xml:space="preserve"> </w:t>
      </w:r>
      <w:r>
        <w:rPr>
          <w:vertAlign w:val="superscript"/>
        </w:rPr>
        <w:t>6</w:t>
      </w:r>
      <w:r>
        <w:t xml:space="preserve"> </w:t>
      </w:r>
      <w:r w:rsidR="000D5C15">
        <w:br/>
      </w:r>
      <w:r>
        <w:t xml:space="preserve">A/Professor Tony </w:t>
      </w:r>
      <w:proofErr w:type="spellStart"/>
      <w:r>
        <w:t>Korman</w:t>
      </w:r>
      <w:proofErr w:type="spellEnd"/>
      <w:r>
        <w:t xml:space="preserve"> </w:t>
      </w:r>
      <w:r>
        <w:rPr>
          <w:vertAlign w:val="superscript"/>
        </w:rPr>
        <w:t>7</w:t>
      </w:r>
      <w:r>
        <w:t xml:space="preserve"> </w:t>
      </w:r>
      <w:r w:rsidR="000D5C15">
        <w:br/>
      </w:r>
      <w:r>
        <w:t xml:space="preserve">A/Professor N Deborah Friedman </w:t>
      </w:r>
      <w:r>
        <w:rPr>
          <w:vertAlign w:val="superscript"/>
        </w:rPr>
        <w:t>8</w:t>
      </w:r>
      <w:r>
        <w:t xml:space="preserve"> </w:t>
      </w:r>
      <w:r w:rsidR="000D5C15">
        <w:br/>
      </w:r>
      <w:r>
        <w:t xml:space="preserve">Dr Louise Cooley </w:t>
      </w:r>
      <w:r>
        <w:rPr>
          <w:vertAlign w:val="superscript"/>
        </w:rPr>
        <w:t>9</w:t>
      </w:r>
      <w:r>
        <w:t xml:space="preserve"> </w:t>
      </w:r>
      <w:r w:rsidR="000D5C15">
        <w:br/>
      </w:r>
      <w:r>
        <w:t xml:space="preserve">Professor Peter </w:t>
      </w:r>
      <w:proofErr w:type="spellStart"/>
      <w:r>
        <w:t>Wark</w:t>
      </w:r>
      <w:proofErr w:type="spellEnd"/>
      <w:r>
        <w:t xml:space="preserve"> </w:t>
      </w:r>
      <w:r>
        <w:rPr>
          <w:vertAlign w:val="superscript"/>
        </w:rPr>
        <w:t>10</w:t>
      </w:r>
      <w:r>
        <w:t xml:space="preserve"> </w:t>
      </w:r>
      <w:r w:rsidR="000D5C15">
        <w:br/>
      </w:r>
      <w:r>
        <w:t xml:space="preserve">A/Professor Simon Bowler </w:t>
      </w:r>
      <w:r>
        <w:rPr>
          <w:vertAlign w:val="superscript"/>
        </w:rPr>
        <w:t>11</w:t>
      </w:r>
      <w:r>
        <w:t xml:space="preserve"> </w:t>
      </w:r>
      <w:r w:rsidR="000D5C15">
        <w:br/>
      </w:r>
      <w:r>
        <w:t xml:space="preserve">Dr Jen </w:t>
      </w:r>
      <w:proofErr w:type="spellStart"/>
      <w:r>
        <w:t>Kok</w:t>
      </w:r>
      <w:proofErr w:type="spellEnd"/>
      <w:r>
        <w:t xml:space="preserve"> </w:t>
      </w:r>
      <w:r>
        <w:rPr>
          <w:vertAlign w:val="superscript"/>
        </w:rPr>
        <w:t>12</w:t>
      </w:r>
      <w:r>
        <w:t xml:space="preserve"> </w:t>
      </w:r>
      <w:r w:rsidR="000D5C15">
        <w:br/>
      </w:r>
      <w:r>
        <w:t xml:space="preserve">Professor John Upham </w:t>
      </w:r>
      <w:r>
        <w:rPr>
          <w:vertAlign w:val="superscript"/>
        </w:rPr>
        <w:t>13</w:t>
      </w:r>
      <w:r>
        <w:t xml:space="preserve"> </w:t>
      </w:r>
      <w:r w:rsidR="000D5C15">
        <w:br/>
      </w:r>
      <w:r>
        <w:t xml:space="preserve">Professor Daniel M. </w:t>
      </w:r>
      <w:proofErr w:type="spellStart"/>
      <w:r>
        <w:t>Fatovich</w:t>
      </w:r>
      <w:proofErr w:type="spellEnd"/>
      <w:r>
        <w:t xml:space="preserve"> </w:t>
      </w:r>
      <w:r>
        <w:rPr>
          <w:vertAlign w:val="superscript"/>
        </w:rPr>
        <w:t>14</w:t>
      </w:r>
      <w:r>
        <w:t xml:space="preserve"> </w:t>
      </w:r>
      <w:r w:rsidR="000D5C15">
        <w:br/>
      </w:r>
      <w:r>
        <w:t xml:space="preserve">Professor Grant Waterer </w:t>
      </w:r>
      <w:r>
        <w:rPr>
          <w:vertAlign w:val="superscript"/>
        </w:rPr>
        <w:t>15</w:t>
      </w:r>
      <w:r>
        <w:t xml:space="preserve"> </w:t>
      </w:r>
      <w:r w:rsidR="000D5C15">
        <w:br/>
      </w:r>
      <w:r>
        <w:t xml:space="preserve">Professor Kristine Macartney </w:t>
      </w:r>
      <w:r>
        <w:rPr>
          <w:vertAlign w:val="superscript"/>
        </w:rPr>
        <w:t>16</w:t>
      </w:r>
      <w:r>
        <w:t xml:space="preserve"> </w:t>
      </w:r>
      <w:r w:rsidR="000D5C15">
        <w:br/>
      </w:r>
      <w:r>
        <w:t xml:space="preserve">A/Professor Christopher C Blyth </w:t>
      </w:r>
      <w:r>
        <w:rPr>
          <w:vertAlign w:val="superscript"/>
        </w:rPr>
        <w:t>17</w:t>
      </w:r>
      <w:r>
        <w:t xml:space="preserve"> </w:t>
      </w:r>
      <w:r w:rsidR="000D5C15">
        <w:br/>
      </w:r>
      <w:r>
        <w:t xml:space="preserve">Dr Nigel Crawford </w:t>
      </w:r>
      <w:r>
        <w:rPr>
          <w:vertAlign w:val="superscript"/>
        </w:rPr>
        <w:t>18</w:t>
      </w:r>
      <w:r>
        <w:t xml:space="preserve"> </w:t>
      </w:r>
      <w:r w:rsidR="000D5C15">
        <w:br/>
      </w:r>
      <w:r>
        <w:t xml:space="preserve">Professor Jim Buttery </w:t>
      </w:r>
      <w:r>
        <w:rPr>
          <w:vertAlign w:val="superscript"/>
        </w:rPr>
        <w:t>19</w:t>
      </w:r>
      <w:r>
        <w:t xml:space="preserve"> </w:t>
      </w:r>
      <w:r w:rsidR="000D5C15">
        <w:br/>
      </w:r>
      <w:r>
        <w:t xml:space="preserve">Professor Helen S. Marshall </w:t>
      </w:r>
      <w:r>
        <w:rPr>
          <w:vertAlign w:val="superscript"/>
        </w:rPr>
        <w:t>20</w:t>
      </w:r>
      <w:r>
        <w:t xml:space="preserve"> </w:t>
      </w:r>
      <w:r w:rsidR="000D5C15">
        <w:br/>
      </w:r>
      <w:r>
        <w:t xml:space="preserve">A/Professor Julia E Clark </w:t>
      </w:r>
      <w:r>
        <w:rPr>
          <w:vertAlign w:val="superscript"/>
        </w:rPr>
        <w:t>21</w:t>
      </w:r>
      <w:r>
        <w:t xml:space="preserve"> </w:t>
      </w:r>
      <w:r w:rsidR="000D5C15">
        <w:br/>
      </w:r>
      <w:r>
        <w:t xml:space="preserve">Dr Joshua R Francis </w:t>
      </w:r>
      <w:r>
        <w:rPr>
          <w:vertAlign w:val="superscript"/>
        </w:rPr>
        <w:t>22</w:t>
      </w:r>
      <w:r>
        <w:t xml:space="preserve"> </w:t>
      </w:r>
      <w:r w:rsidR="000D5C15">
        <w:br/>
      </w:r>
      <w:r>
        <w:t xml:space="preserve">A/Professor Tom </w:t>
      </w:r>
      <w:proofErr w:type="spellStart"/>
      <w:r>
        <w:t>Kotsimbos</w:t>
      </w:r>
      <w:proofErr w:type="spellEnd"/>
      <w:r>
        <w:t xml:space="preserve"> </w:t>
      </w:r>
      <w:r>
        <w:rPr>
          <w:vertAlign w:val="superscript"/>
        </w:rPr>
        <w:t>23</w:t>
      </w:r>
      <w:r>
        <w:t xml:space="preserve"> </w:t>
      </w:r>
      <w:r w:rsidR="000D5C15">
        <w:br/>
      </w:r>
      <w:r>
        <w:t xml:space="preserve">Adjunct Professor Paul Kelly </w:t>
      </w:r>
      <w:r>
        <w:rPr>
          <w:vertAlign w:val="superscript"/>
        </w:rPr>
        <w:t>24</w:t>
      </w:r>
      <w:r>
        <w:t xml:space="preserve"> </w:t>
      </w:r>
      <w:r w:rsidR="000D5C15">
        <w:br/>
      </w:r>
      <w:r>
        <w:t xml:space="preserve">Professor Allen Cheng </w:t>
      </w:r>
      <w:r>
        <w:rPr>
          <w:vertAlign w:val="superscript"/>
        </w:rPr>
        <w:t>25</w:t>
      </w:r>
      <w:r>
        <w:t xml:space="preserve"> </w:t>
      </w:r>
    </w:p>
    <w:p w14:paraId="496EE8CE" w14:textId="77777777" w:rsidR="0092082A" w:rsidRPr="0092082A" w:rsidRDefault="0092082A" w:rsidP="0092082A">
      <w:pPr>
        <w:pStyle w:val="ListParagraph"/>
        <w:numPr>
          <w:ilvl w:val="0"/>
          <w:numId w:val="11"/>
        </w:numPr>
        <w:rPr>
          <w:rFonts w:eastAsia="Times New Roman"/>
        </w:rPr>
      </w:pPr>
      <w:r w:rsidRPr="0092082A">
        <w:rPr>
          <w:rFonts w:eastAsia="Times New Roman"/>
        </w:rPr>
        <w:t>Project Manager, Alfred Health and Monash University</w:t>
      </w:r>
    </w:p>
    <w:p w14:paraId="3EE60A44" w14:textId="77777777" w:rsidR="0092082A" w:rsidRPr="0092082A" w:rsidRDefault="0092082A" w:rsidP="0092082A">
      <w:pPr>
        <w:pStyle w:val="ListParagraph"/>
        <w:numPr>
          <w:ilvl w:val="0"/>
          <w:numId w:val="11"/>
        </w:numPr>
        <w:rPr>
          <w:rFonts w:eastAsia="Times New Roman"/>
        </w:rPr>
      </w:pPr>
      <w:r w:rsidRPr="0092082A">
        <w:rPr>
          <w:rFonts w:eastAsia="Times New Roman"/>
        </w:rPr>
        <w:t xml:space="preserve">Clinical Professor, University of </w:t>
      </w:r>
      <w:proofErr w:type="gramStart"/>
      <w:r w:rsidRPr="0092082A">
        <w:rPr>
          <w:rFonts w:eastAsia="Times New Roman"/>
        </w:rPr>
        <w:t>Sydney</w:t>
      </w:r>
      <w:proofErr w:type="gramEnd"/>
      <w:r w:rsidRPr="0092082A">
        <w:rPr>
          <w:rFonts w:eastAsia="Times New Roman"/>
        </w:rPr>
        <w:t xml:space="preserve"> and Westmead Hospital</w:t>
      </w:r>
    </w:p>
    <w:p w14:paraId="1A24ADF8" w14:textId="77777777" w:rsidR="0092082A" w:rsidRPr="0092082A" w:rsidRDefault="0092082A" w:rsidP="0092082A">
      <w:pPr>
        <w:pStyle w:val="ListParagraph"/>
        <w:numPr>
          <w:ilvl w:val="0"/>
          <w:numId w:val="11"/>
        </w:numPr>
        <w:rPr>
          <w:rFonts w:eastAsia="Times New Roman"/>
        </w:rPr>
      </w:pPr>
      <w:r w:rsidRPr="0092082A">
        <w:rPr>
          <w:rFonts w:eastAsia="Times New Roman"/>
        </w:rPr>
        <w:t>Professor, University of Adelaide; Respiratory and Sleep Medicine Specialist, Royal Adelaide Hospital</w:t>
      </w:r>
    </w:p>
    <w:p w14:paraId="0C32BFB7" w14:textId="77777777" w:rsidR="0092082A" w:rsidRPr="0092082A" w:rsidRDefault="0092082A" w:rsidP="0092082A">
      <w:pPr>
        <w:pStyle w:val="ListParagraph"/>
        <w:numPr>
          <w:ilvl w:val="0"/>
          <w:numId w:val="11"/>
        </w:numPr>
        <w:rPr>
          <w:rFonts w:eastAsia="Times New Roman"/>
        </w:rPr>
      </w:pPr>
      <w:r w:rsidRPr="0092082A">
        <w:rPr>
          <w:rFonts w:eastAsia="Times New Roman"/>
        </w:rPr>
        <w:t>Associate Professor and Respiratory Physician, Royal Melbourne Hospital and University of Melbourne</w:t>
      </w:r>
    </w:p>
    <w:p w14:paraId="11F180F0" w14:textId="77777777" w:rsidR="0092082A" w:rsidRPr="0092082A" w:rsidRDefault="0092082A" w:rsidP="0092082A">
      <w:pPr>
        <w:pStyle w:val="ListParagraph"/>
        <w:numPr>
          <w:ilvl w:val="0"/>
          <w:numId w:val="11"/>
        </w:numPr>
        <w:rPr>
          <w:rFonts w:eastAsia="Times New Roman"/>
        </w:rPr>
      </w:pPr>
      <w:r w:rsidRPr="0092082A">
        <w:rPr>
          <w:rFonts w:eastAsia="Times New Roman"/>
        </w:rPr>
        <w:t>Respiratory Physician, Cairns Base Hospital</w:t>
      </w:r>
    </w:p>
    <w:p w14:paraId="78EC262A" w14:textId="77777777" w:rsidR="0092082A" w:rsidRPr="0092082A" w:rsidRDefault="0092082A" w:rsidP="0092082A">
      <w:pPr>
        <w:pStyle w:val="ListParagraph"/>
        <w:numPr>
          <w:ilvl w:val="0"/>
          <w:numId w:val="11"/>
        </w:numPr>
        <w:rPr>
          <w:rFonts w:eastAsia="Times New Roman"/>
        </w:rPr>
      </w:pPr>
      <w:r w:rsidRPr="0092082A">
        <w:rPr>
          <w:rFonts w:eastAsia="Times New Roman"/>
        </w:rPr>
        <w:t>Associate Professor, Australian National University; Infectious Disease Physician, The Canberra Hospital</w:t>
      </w:r>
    </w:p>
    <w:p w14:paraId="16811531" w14:textId="77777777" w:rsidR="0092082A" w:rsidRPr="0092082A" w:rsidRDefault="0092082A" w:rsidP="0092082A">
      <w:pPr>
        <w:pStyle w:val="ListParagraph"/>
        <w:numPr>
          <w:ilvl w:val="0"/>
          <w:numId w:val="11"/>
        </w:numPr>
        <w:rPr>
          <w:rFonts w:eastAsia="Times New Roman"/>
        </w:rPr>
      </w:pPr>
      <w:r w:rsidRPr="0092082A">
        <w:rPr>
          <w:rFonts w:eastAsia="Times New Roman"/>
        </w:rPr>
        <w:t xml:space="preserve">Clinical Professor, Monash Medical </w:t>
      </w:r>
      <w:proofErr w:type="gramStart"/>
      <w:r w:rsidRPr="0092082A">
        <w:rPr>
          <w:rFonts w:eastAsia="Times New Roman"/>
        </w:rPr>
        <w:t>Centre</w:t>
      </w:r>
      <w:proofErr w:type="gramEnd"/>
      <w:r w:rsidRPr="0092082A">
        <w:rPr>
          <w:rFonts w:eastAsia="Times New Roman"/>
        </w:rPr>
        <w:t xml:space="preserve"> and Monash University</w:t>
      </w:r>
    </w:p>
    <w:p w14:paraId="7116BD0F" w14:textId="77777777" w:rsidR="0092082A" w:rsidRPr="0092082A" w:rsidRDefault="0092082A" w:rsidP="0092082A">
      <w:pPr>
        <w:pStyle w:val="ListParagraph"/>
        <w:numPr>
          <w:ilvl w:val="0"/>
          <w:numId w:val="11"/>
        </w:numPr>
        <w:rPr>
          <w:rFonts w:eastAsia="Times New Roman"/>
        </w:rPr>
      </w:pPr>
      <w:r w:rsidRPr="0092082A">
        <w:rPr>
          <w:rFonts w:eastAsia="Times New Roman"/>
        </w:rPr>
        <w:t>Associate Professor and Infectious Disease Physician, University Hospital Geelong</w:t>
      </w:r>
    </w:p>
    <w:p w14:paraId="105FD480" w14:textId="77777777" w:rsidR="0092082A" w:rsidRPr="0092082A" w:rsidRDefault="0092082A" w:rsidP="0092082A">
      <w:pPr>
        <w:pStyle w:val="ListParagraph"/>
        <w:numPr>
          <w:ilvl w:val="0"/>
          <w:numId w:val="11"/>
        </w:numPr>
        <w:rPr>
          <w:rFonts w:eastAsia="Times New Roman"/>
        </w:rPr>
      </w:pPr>
      <w:r w:rsidRPr="0092082A">
        <w:rPr>
          <w:rFonts w:eastAsia="Times New Roman"/>
        </w:rPr>
        <w:t>Director of Microbiology, Royal Hobart Hospital</w:t>
      </w:r>
    </w:p>
    <w:p w14:paraId="4767E347" w14:textId="77777777" w:rsidR="0092082A" w:rsidRPr="0092082A" w:rsidRDefault="0092082A" w:rsidP="0092082A">
      <w:pPr>
        <w:pStyle w:val="ListParagraph"/>
        <w:numPr>
          <w:ilvl w:val="0"/>
          <w:numId w:val="11"/>
        </w:numPr>
        <w:rPr>
          <w:rFonts w:eastAsia="Times New Roman"/>
        </w:rPr>
      </w:pPr>
      <w:r w:rsidRPr="0092082A">
        <w:rPr>
          <w:rFonts w:eastAsia="Times New Roman"/>
        </w:rPr>
        <w:t>Professor, University of Newcastle; Respiratory; Sleep Medicine Specialist, John Hunter Hospital</w:t>
      </w:r>
    </w:p>
    <w:p w14:paraId="7786FE25" w14:textId="77777777" w:rsidR="0092082A" w:rsidRPr="0092082A" w:rsidRDefault="0092082A" w:rsidP="0092082A">
      <w:pPr>
        <w:pStyle w:val="ListParagraph"/>
        <w:numPr>
          <w:ilvl w:val="0"/>
          <w:numId w:val="11"/>
        </w:numPr>
        <w:rPr>
          <w:rFonts w:eastAsia="Times New Roman"/>
        </w:rPr>
      </w:pPr>
      <w:r w:rsidRPr="0092082A">
        <w:rPr>
          <w:rFonts w:eastAsia="Times New Roman"/>
        </w:rPr>
        <w:t>Respiratory and Sleep Physician, Mater Health</w:t>
      </w:r>
    </w:p>
    <w:p w14:paraId="10D0CC1A" w14:textId="77777777" w:rsidR="0092082A" w:rsidRPr="0092082A" w:rsidRDefault="0092082A" w:rsidP="0092082A">
      <w:pPr>
        <w:pStyle w:val="ListParagraph"/>
        <w:numPr>
          <w:ilvl w:val="0"/>
          <w:numId w:val="11"/>
        </w:numPr>
        <w:rPr>
          <w:rFonts w:eastAsia="Times New Roman"/>
        </w:rPr>
      </w:pPr>
      <w:r w:rsidRPr="0092082A">
        <w:rPr>
          <w:rFonts w:eastAsia="Times New Roman"/>
        </w:rPr>
        <w:t>Infectious Disease Physician, NSW Health Pathology-Institute of Clinical Pathology and Medical Research, Westmead Hospital</w:t>
      </w:r>
    </w:p>
    <w:p w14:paraId="3532C242" w14:textId="77777777" w:rsidR="0092082A" w:rsidRPr="0092082A" w:rsidRDefault="0092082A" w:rsidP="0092082A">
      <w:pPr>
        <w:pStyle w:val="ListParagraph"/>
        <w:numPr>
          <w:ilvl w:val="0"/>
          <w:numId w:val="11"/>
        </w:numPr>
        <w:rPr>
          <w:rFonts w:eastAsia="Times New Roman"/>
        </w:rPr>
      </w:pPr>
      <w:r w:rsidRPr="0092082A">
        <w:rPr>
          <w:rFonts w:eastAsia="Times New Roman"/>
        </w:rPr>
        <w:t>Professor of Respiratory Medicine, University of Queensland; Respiratory Physician, Princess Alexandra Hospital</w:t>
      </w:r>
    </w:p>
    <w:p w14:paraId="77533C62" w14:textId="77777777" w:rsidR="0092082A" w:rsidRPr="0092082A" w:rsidRDefault="0092082A" w:rsidP="0092082A">
      <w:pPr>
        <w:pStyle w:val="ListParagraph"/>
        <w:numPr>
          <w:ilvl w:val="0"/>
          <w:numId w:val="11"/>
        </w:numPr>
        <w:rPr>
          <w:rFonts w:eastAsia="Times New Roman"/>
        </w:rPr>
      </w:pPr>
      <w:r w:rsidRPr="0092082A">
        <w:rPr>
          <w:rFonts w:eastAsia="Times New Roman"/>
        </w:rPr>
        <w:t>Professor of Emergency Medicine, University of Western Australia; Director of Research, Royal Perth Hospital</w:t>
      </w:r>
    </w:p>
    <w:p w14:paraId="4F4076B5" w14:textId="77777777" w:rsidR="0092082A" w:rsidRPr="0092082A" w:rsidRDefault="0092082A" w:rsidP="0092082A">
      <w:pPr>
        <w:pStyle w:val="ListParagraph"/>
        <w:numPr>
          <w:ilvl w:val="0"/>
          <w:numId w:val="11"/>
        </w:numPr>
        <w:rPr>
          <w:rFonts w:eastAsia="Times New Roman"/>
        </w:rPr>
      </w:pPr>
      <w:r w:rsidRPr="0092082A">
        <w:rPr>
          <w:rFonts w:eastAsia="Times New Roman"/>
        </w:rPr>
        <w:t>Professor of Medicine, University of Western Australia; Director of Clinical Services, Royal Perth Hospital</w:t>
      </w:r>
    </w:p>
    <w:p w14:paraId="7716E860" w14:textId="77777777" w:rsidR="0092082A" w:rsidRPr="0092082A" w:rsidRDefault="0092082A" w:rsidP="0092082A">
      <w:pPr>
        <w:pStyle w:val="ListParagraph"/>
        <w:numPr>
          <w:ilvl w:val="0"/>
          <w:numId w:val="11"/>
        </w:numPr>
        <w:rPr>
          <w:rFonts w:eastAsia="Times New Roman"/>
        </w:rPr>
      </w:pPr>
      <w:r w:rsidRPr="003B0593">
        <w:rPr>
          <w:rStyle w:val="Emphasis"/>
          <w:rFonts w:eastAsia="Times New Roman"/>
          <w:b w:val="0"/>
          <w:bCs w:val="0"/>
        </w:rPr>
        <w:lastRenderedPageBreak/>
        <w:t>Director of the National Centre for Immunisation Research and Surveillance (NCIRS) within Kids Research,</w:t>
      </w:r>
      <w:r w:rsidRPr="0092082A">
        <w:rPr>
          <w:rFonts w:eastAsia="Times New Roman"/>
        </w:rPr>
        <w:t xml:space="preserve"> Children’s Hospital at Westmead</w:t>
      </w:r>
    </w:p>
    <w:p w14:paraId="44DD96EC" w14:textId="77777777" w:rsidR="0092082A" w:rsidRPr="0092082A" w:rsidRDefault="0092082A" w:rsidP="0092082A">
      <w:pPr>
        <w:pStyle w:val="ListParagraph"/>
        <w:numPr>
          <w:ilvl w:val="0"/>
          <w:numId w:val="11"/>
        </w:numPr>
        <w:rPr>
          <w:rFonts w:eastAsia="Times New Roman"/>
        </w:rPr>
      </w:pPr>
      <w:r w:rsidRPr="0092082A">
        <w:rPr>
          <w:rFonts w:eastAsia="Times New Roman"/>
        </w:rPr>
        <w:t>Associate Professor of Paediatrics, University of Western Australia, Perth Children’s Hospital and Telethon Kids Institute</w:t>
      </w:r>
    </w:p>
    <w:p w14:paraId="03F3B2E1" w14:textId="77777777" w:rsidR="0092082A" w:rsidRPr="0092082A" w:rsidRDefault="0092082A" w:rsidP="0092082A">
      <w:pPr>
        <w:pStyle w:val="ListParagraph"/>
        <w:numPr>
          <w:ilvl w:val="0"/>
          <w:numId w:val="11"/>
        </w:numPr>
        <w:rPr>
          <w:rFonts w:eastAsia="Times New Roman"/>
        </w:rPr>
      </w:pPr>
      <w:r w:rsidRPr="0092082A">
        <w:rPr>
          <w:rFonts w:eastAsia="Times New Roman"/>
        </w:rPr>
        <w:t>Director of SAEFVIC, Murdoch Children’s Research Institute; Head of Immunisation Service, Royal Children’s Hospital, Melbourne</w:t>
      </w:r>
    </w:p>
    <w:p w14:paraId="37221EBB" w14:textId="77777777" w:rsidR="0092082A" w:rsidRPr="0092082A" w:rsidRDefault="0092082A" w:rsidP="0092082A">
      <w:pPr>
        <w:pStyle w:val="ListParagraph"/>
        <w:numPr>
          <w:ilvl w:val="0"/>
          <w:numId w:val="11"/>
        </w:numPr>
        <w:rPr>
          <w:rFonts w:eastAsia="Times New Roman"/>
        </w:rPr>
      </w:pPr>
      <w:r w:rsidRPr="0092082A">
        <w:rPr>
          <w:rFonts w:eastAsia="Times New Roman"/>
        </w:rPr>
        <w:t>Professor and Infectious Disease Physician, Monash University and Monash Children’s Hospital</w:t>
      </w:r>
    </w:p>
    <w:p w14:paraId="3301C03B" w14:textId="77777777" w:rsidR="0092082A" w:rsidRPr="0092082A" w:rsidRDefault="0092082A" w:rsidP="0092082A">
      <w:pPr>
        <w:pStyle w:val="ListParagraph"/>
        <w:numPr>
          <w:ilvl w:val="0"/>
          <w:numId w:val="11"/>
        </w:numPr>
        <w:rPr>
          <w:rFonts w:eastAsia="Times New Roman"/>
        </w:rPr>
      </w:pPr>
      <w:r w:rsidRPr="0092082A">
        <w:rPr>
          <w:rFonts w:eastAsia="Times New Roman"/>
        </w:rPr>
        <w:t xml:space="preserve">Professor in Vaccinology, University of Adelaide; Medical Director of VIRTU, </w:t>
      </w:r>
      <w:proofErr w:type="gramStart"/>
      <w:r w:rsidRPr="0092082A">
        <w:rPr>
          <w:rFonts w:eastAsia="Times New Roman"/>
        </w:rPr>
        <w:t>Women’s</w:t>
      </w:r>
      <w:proofErr w:type="gramEnd"/>
      <w:r w:rsidRPr="0092082A">
        <w:rPr>
          <w:rFonts w:eastAsia="Times New Roman"/>
        </w:rPr>
        <w:t xml:space="preserve"> and Children’s Hospital</w:t>
      </w:r>
    </w:p>
    <w:p w14:paraId="6538582B" w14:textId="77777777" w:rsidR="0092082A" w:rsidRPr="0092082A" w:rsidRDefault="0092082A" w:rsidP="0092082A">
      <w:pPr>
        <w:pStyle w:val="ListParagraph"/>
        <w:numPr>
          <w:ilvl w:val="0"/>
          <w:numId w:val="11"/>
        </w:numPr>
        <w:rPr>
          <w:rFonts w:eastAsia="Times New Roman"/>
        </w:rPr>
      </w:pPr>
      <w:r w:rsidRPr="0092082A">
        <w:rPr>
          <w:rFonts w:eastAsia="Times New Roman"/>
        </w:rPr>
        <w:t>Director of Infection Management and Prevention, Queensland Children’s Hospital</w:t>
      </w:r>
    </w:p>
    <w:p w14:paraId="3D9B676D" w14:textId="77777777" w:rsidR="0092082A" w:rsidRPr="0092082A" w:rsidRDefault="0092082A" w:rsidP="0092082A">
      <w:pPr>
        <w:pStyle w:val="ListParagraph"/>
        <w:numPr>
          <w:ilvl w:val="0"/>
          <w:numId w:val="11"/>
        </w:numPr>
        <w:rPr>
          <w:rFonts w:eastAsia="Times New Roman"/>
        </w:rPr>
      </w:pPr>
      <w:r w:rsidRPr="0092082A">
        <w:rPr>
          <w:rFonts w:eastAsia="Times New Roman"/>
        </w:rPr>
        <w:t>Paediatric Infectious Disease Physician, Royal Darwin Hospital, Menzies School of Health Research, Charles Darwin University</w:t>
      </w:r>
    </w:p>
    <w:p w14:paraId="0DDB9977" w14:textId="77777777" w:rsidR="0092082A" w:rsidRPr="0092082A" w:rsidRDefault="0092082A" w:rsidP="0092082A">
      <w:pPr>
        <w:pStyle w:val="ListParagraph"/>
        <w:numPr>
          <w:ilvl w:val="0"/>
          <w:numId w:val="11"/>
        </w:numPr>
        <w:rPr>
          <w:rFonts w:eastAsia="Times New Roman"/>
        </w:rPr>
      </w:pPr>
      <w:r w:rsidRPr="0092082A">
        <w:rPr>
          <w:rFonts w:eastAsia="Times New Roman"/>
        </w:rPr>
        <w:t>Head of Respiratory Medicine Laboratory, Monash University; Specialist Respiratory and Transplant Physician, Alfred Hospital</w:t>
      </w:r>
    </w:p>
    <w:p w14:paraId="3C9B2E0B" w14:textId="77777777" w:rsidR="0092082A" w:rsidRPr="0092082A" w:rsidRDefault="0092082A" w:rsidP="0092082A">
      <w:pPr>
        <w:pStyle w:val="ListParagraph"/>
        <w:numPr>
          <w:ilvl w:val="0"/>
          <w:numId w:val="11"/>
        </w:numPr>
        <w:rPr>
          <w:rFonts w:eastAsia="Times New Roman"/>
        </w:rPr>
      </w:pPr>
      <w:r w:rsidRPr="0092082A">
        <w:rPr>
          <w:rFonts w:eastAsia="Times New Roman"/>
        </w:rPr>
        <w:t>Deputy Chief Medical Officer, Australian Department of Health; Professor, Australian National University Medical School</w:t>
      </w:r>
    </w:p>
    <w:p w14:paraId="28421E3C" w14:textId="77777777" w:rsidR="0092082A" w:rsidRPr="0092082A" w:rsidRDefault="0092082A" w:rsidP="0092082A">
      <w:pPr>
        <w:pStyle w:val="ListParagraph"/>
        <w:numPr>
          <w:ilvl w:val="0"/>
          <w:numId w:val="11"/>
        </w:numPr>
        <w:rPr>
          <w:rFonts w:eastAsia="Times New Roman"/>
        </w:rPr>
      </w:pPr>
      <w:r w:rsidRPr="0092082A">
        <w:rPr>
          <w:rFonts w:eastAsia="Times New Roman"/>
        </w:rPr>
        <w:t xml:space="preserve">Director, Infection Prevention and Healthcare Epidemiology Unit, Alfred Health; Professor of Infectious Diseases Epidemiology, School of Public Health and Preventive Medicine, Monash University; Infectious Diseases Physician, Department of Infectious Diseases, The Alfred and Central Clinical School, Monash University </w:t>
      </w:r>
    </w:p>
    <w:p w14:paraId="0B8EAD28" w14:textId="77777777" w:rsidR="0092082A" w:rsidRPr="0092082A" w:rsidRDefault="0092082A" w:rsidP="0092082A">
      <w:pPr>
        <w:pStyle w:val="Heading2"/>
      </w:pPr>
      <w:r w:rsidRPr="0092082A">
        <w:t>Corresponding author</w:t>
      </w:r>
    </w:p>
    <w:p w14:paraId="5875BD65" w14:textId="77777777" w:rsidR="009D5B35" w:rsidRDefault="0092082A" w:rsidP="009D5B35">
      <w:pPr>
        <w:pStyle w:val="NoSpacing"/>
      </w:pPr>
      <w:r>
        <w:t>Professor Allen Cheng</w:t>
      </w:r>
    </w:p>
    <w:p w14:paraId="332A2DC7" w14:textId="77777777" w:rsidR="009D5B35" w:rsidRDefault="0092082A" w:rsidP="009D5B35">
      <w:pPr>
        <w:pStyle w:val="NoSpacing"/>
      </w:pPr>
      <w:r>
        <w:t>Address: Department of Epidemiology and Preventive Medicine, Monash University, Commercial Road, Melbourne VIC3004</w:t>
      </w:r>
    </w:p>
    <w:p w14:paraId="34F81519" w14:textId="77777777" w:rsidR="009D5B35" w:rsidRDefault="0092082A" w:rsidP="009D5B35">
      <w:pPr>
        <w:pStyle w:val="NoSpacing"/>
      </w:pPr>
      <w:r>
        <w:t>Phone: +61 3 9903 0555</w:t>
      </w:r>
    </w:p>
    <w:p w14:paraId="7B958456" w14:textId="326DAFA5" w:rsidR="0092082A" w:rsidRDefault="0092082A" w:rsidP="009D5B35">
      <w:pPr>
        <w:pStyle w:val="NoSpacing"/>
      </w:pPr>
      <w:r>
        <w:t>Email: allen.cheng@monash.edu</w:t>
      </w:r>
    </w:p>
    <w:p w14:paraId="06582D54" w14:textId="77777777" w:rsidR="00D0173F" w:rsidRDefault="00D0173F">
      <w:pPr>
        <w:rPr>
          <w:rFonts w:asciiTheme="majorHAnsi" w:eastAsiaTheme="majorEastAsia" w:hAnsiTheme="majorHAnsi" w:cstheme="majorBidi"/>
          <w:b/>
          <w:bCs/>
          <w:sz w:val="32"/>
          <w:szCs w:val="28"/>
        </w:rPr>
      </w:pPr>
      <w:r>
        <w:br w:type="page"/>
      </w:r>
    </w:p>
    <w:p w14:paraId="3202C8E9" w14:textId="093D0E3F" w:rsidR="0092082A" w:rsidRPr="0092082A" w:rsidRDefault="0092082A" w:rsidP="0092082A">
      <w:pPr>
        <w:pStyle w:val="Heading1"/>
      </w:pPr>
      <w:r w:rsidRPr="0092082A">
        <w:lastRenderedPageBreak/>
        <w:t>References</w:t>
      </w:r>
    </w:p>
    <w:p w14:paraId="2FE25B40" w14:textId="16DA42C0" w:rsidR="0092082A" w:rsidRPr="0092082A" w:rsidRDefault="0092082A" w:rsidP="0092082A">
      <w:pPr>
        <w:pStyle w:val="ListParagraph"/>
        <w:numPr>
          <w:ilvl w:val="0"/>
          <w:numId w:val="12"/>
        </w:numPr>
        <w:rPr>
          <w:rFonts w:eastAsia="Times New Roman"/>
        </w:rPr>
      </w:pPr>
      <w:r w:rsidRPr="0092082A">
        <w:rPr>
          <w:rFonts w:eastAsia="Times New Roman"/>
        </w:rPr>
        <w:t xml:space="preserve">Lam TT, Tang JW, Lai FY, </w:t>
      </w:r>
      <w:proofErr w:type="spellStart"/>
      <w:r w:rsidRPr="0092082A">
        <w:rPr>
          <w:rFonts w:eastAsia="Times New Roman"/>
        </w:rPr>
        <w:t>Zaraket</w:t>
      </w:r>
      <w:proofErr w:type="spellEnd"/>
      <w:r w:rsidRPr="0092082A">
        <w:rPr>
          <w:rFonts w:eastAsia="Times New Roman"/>
        </w:rPr>
        <w:t xml:space="preserve"> H, </w:t>
      </w:r>
      <w:proofErr w:type="spellStart"/>
      <w:r w:rsidRPr="0092082A">
        <w:rPr>
          <w:rFonts w:eastAsia="Times New Roman"/>
        </w:rPr>
        <w:t>Dbaibo</w:t>
      </w:r>
      <w:proofErr w:type="spellEnd"/>
      <w:r w:rsidRPr="0092082A">
        <w:rPr>
          <w:rFonts w:eastAsia="Times New Roman"/>
        </w:rPr>
        <w:t xml:space="preserve"> G, </w:t>
      </w:r>
      <w:proofErr w:type="spellStart"/>
      <w:r w:rsidRPr="0092082A">
        <w:rPr>
          <w:rFonts w:eastAsia="Times New Roman"/>
        </w:rPr>
        <w:t>Bialasiewicz</w:t>
      </w:r>
      <w:proofErr w:type="spellEnd"/>
      <w:r w:rsidRPr="0092082A">
        <w:rPr>
          <w:rFonts w:eastAsia="Times New Roman"/>
        </w:rPr>
        <w:t xml:space="preserve"> S et al. Comparative global epidemiology of influenza, respiratory syncytial and parainfluenza viruses, 2010-2015. </w:t>
      </w:r>
      <w:r w:rsidRPr="003B0593">
        <w:rPr>
          <w:rStyle w:val="Emphasis"/>
          <w:rFonts w:eastAsia="Times New Roman"/>
          <w:b w:val="0"/>
          <w:bCs w:val="0"/>
        </w:rPr>
        <w:t>J Infect</w:t>
      </w:r>
      <w:r w:rsidRPr="0092082A">
        <w:rPr>
          <w:rFonts w:eastAsia="Times New Roman"/>
        </w:rPr>
        <w:t>. 2019;79(4):373–82.</w:t>
      </w:r>
    </w:p>
    <w:p w14:paraId="19D38077" w14:textId="52BC24BD" w:rsidR="0092082A" w:rsidRPr="0092082A" w:rsidRDefault="0092082A" w:rsidP="0092082A">
      <w:pPr>
        <w:pStyle w:val="ListParagraph"/>
        <w:numPr>
          <w:ilvl w:val="0"/>
          <w:numId w:val="12"/>
        </w:numPr>
        <w:rPr>
          <w:rFonts w:eastAsia="Times New Roman"/>
        </w:rPr>
      </w:pPr>
      <w:r w:rsidRPr="0092082A">
        <w:rPr>
          <w:rFonts w:eastAsia="Times New Roman"/>
        </w:rPr>
        <w:t xml:space="preserve">GBD 2017 Influenza Collaborators. Mortality, morbidity, and hospitalisations due to influenza lower respiratory tract infections, 2017: an analysis for the Global Burden of Disease Study 2017. </w:t>
      </w:r>
      <w:r w:rsidRPr="003B0593">
        <w:rPr>
          <w:rStyle w:val="Emphasis"/>
          <w:rFonts w:eastAsia="Times New Roman"/>
          <w:b w:val="0"/>
          <w:bCs w:val="0"/>
        </w:rPr>
        <w:t>Lancet Respir Med</w:t>
      </w:r>
      <w:r w:rsidRPr="0092082A">
        <w:rPr>
          <w:rFonts w:eastAsia="Times New Roman"/>
        </w:rPr>
        <w:t>. 2019;7(1):69–89.</w:t>
      </w:r>
    </w:p>
    <w:p w14:paraId="61F42361" w14:textId="792D1CF0" w:rsidR="0092082A" w:rsidRPr="0092082A" w:rsidRDefault="0092082A" w:rsidP="0092082A">
      <w:pPr>
        <w:pStyle w:val="ListParagraph"/>
        <w:numPr>
          <w:ilvl w:val="0"/>
          <w:numId w:val="12"/>
        </w:numPr>
        <w:rPr>
          <w:rFonts w:eastAsia="Times New Roman"/>
        </w:rPr>
      </w:pPr>
      <w:r w:rsidRPr="0092082A">
        <w:rPr>
          <w:rFonts w:eastAsia="Times New Roman"/>
        </w:rPr>
        <w:t xml:space="preserve">Li-Kim-Moy J, Yin JK, Patel C, Beard FH, Chiu C, Macartney KK et al. Australian vaccine preventable disease epidemiological review series: influenza 2006 to 2015. </w:t>
      </w:r>
      <w:proofErr w:type="spellStart"/>
      <w:r w:rsidRPr="003B0593">
        <w:rPr>
          <w:rStyle w:val="Emphasis"/>
          <w:rFonts w:eastAsia="Times New Roman"/>
          <w:b w:val="0"/>
          <w:bCs w:val="0"/>
        </w:rPr>
        <w:t>Commun</w:t>
      </w:r>
      <w:proofErr w:type="spellEnd"/>
      <w:r w:rsidRPr="003B0593">
        <w:rPr>
          <w:rStyle w:val="Emphasis"/>
          <w:rFonts w:eastAsia="Times New Roman"/>
          <w:b w:val="0"/>
          <w:bCs w:val="0"/>
        </w:rPr>
        <w:t xml:space="preserve"> Dis </w:t>
      </w:r>
      <w:proofErr w:type="spellStart"/>
      <w:r w:rsidRPr="003B0593">
        <w:rPr>
          <w:rStyle w:val="Emphasis"/>
          <w:rFonts w:eastAsia="Times New Roman"/>
          <w:b w:val="0"/>
          <w:bCs w:val="0"/>
        </w:rPr>
        <w:t>Intell</w:t>
      </w:r>
      <w:proofErr w:type="spellEnd"/>
      <w:r w:rsidRPr="003B0593">
        <w:rPr>
          <w:rStyle w:val="Emphasis"/>
          <w:rFonts w:eastAsia="Times New Roman"/>
          <w:b w:val="0"/>
          <w:bCs w:val="0"/>
        </w:rPr>
        <w:t xml:space="preserve"> Q Rep</w:t>
      </w:r>
      <w:r w:rsidRPr="0092082A">
        <w:rPr>
          <w:rFonts w:eastAsia="Times New Roman"/>
        </w:rPr>
        <w:t>. 2016;40(4</w:t>
      </w:r>
      <w:proofErr w:type="gramStart"/>
      <w:r w:rsidRPr="0092082A">
        <w:rPr>
          <w:rFonts w:eastAsia="Times New Roman"/>
        </w:rPr>
        <w:t>):E</w:t>
      </w:r>
      <w:proofErr w:type="gramEnd"/>
      <w:r w:rsidRPr="0092082A">
        <w:rPr>
          <w:rFonts w:eastAsia="Times New Roman"/>
        </w:rPr>
        <w:t>482–95.</w:t>
      </w:r>
    </w:p>
    <w:p w14:paraId="6DFE2B62" w14:textId="48763070" w:rsidR="0092082A" w:rsidRPr="0092082A" w:rsidRDefault="0092082A" w:rsidP="0092082A">
      <w:pPr>
        <w:pStyle w:val="ListParagraph"/>
        <w:numPr>
          <w:ilvl w:val="0"/>
          <w:numId w:val="12"/>
        </w:numPr>
        <w:rPr>
          <w:rFonts w:eastAsia="Times New Roman"/>
        </w:rPr>
      </w:pPr>
      <w:r w:rsidRPr="0092082A">
        <w:rPr>
          <w:rFonts w:eastAsia="Times New Roman"/>
        </w:rPr>
        <w:t xml:space="preserve">Sullivan SG, Carlson S, Cheng AC, </w:t>
      </w:r>
      <w:proofErr w:type="spellStart"/>
      <w:r w:rsidRPr="0092082A">
        <w:rPr>
          <w:rFonts w:eastAsia="Times New Roman"/>
        </w:rPr>
        <w:t>Chilver</w:t>
      </w:r>
      <w:proofErr w:type="spellEnd"/>
      <w:r w:rsidRPr="0092082A">
        <w:rPr>
          <w:rFonts w:eastAsia="Times New Roman"/>
        </w:rPr>
        <w:t xml:space="preserve"> MB, Dwyer DE, Irwin M et al. Where has all the influenza gone? The impact of COVID-19 on the circulation of influenza and other respiratory viruses, Australia, March to September 2020. </w:t>
      </w:r>
      <w:r w:rsidRPr="003B0593">
        <w:rPr>
          <w:rStyle w:val="Emphasis"/>
          <w:rFonts w:eastAsia="Times New Roman"/>
          <w:b w:val="0"/>
          <w:bCs w:val="0"/>
        </w:rPr>
        <w:t xml:space="preserve">Euro </w:t>
      </w:r>
      <w:proofErr w:type="spellStart"/>
      <w:r w:rsidRPr="003B0593">
        <w:rPr>
          <w:rStyle w:val="Emphasis"/>
          <w:rFonts w:eastAsia="Times New Roman"/>
          <w:b w:val="0"/>
          <w:bCs w:val="0"/>
        </w:rPr>
        <w:t>Surveill</w:t>
      </w:r>
      <w:proofErr w:type="spellEnd"/>
      <w:r w:rsidRPr="0092082A">
        <w:rPr>
          <w:rFonts w:eastAsia="Times New Roman"/>
        </w:rPr>
        <w:t xml:space="preserve">. 2020;25(47). </w:t>
      </w:r>
      <w:proofErr w:type="spellStart"/>
      <w:r w:rsidRPr="0092082A">
        <w:rPr>
          <w:rFonts w:eastAsia="Times New Roman"/>
        </w:rPr>
        <w:t>doi</w:t>
      </w:r>
      <w:proofErr w:type="spellEnd"/>
      <w:r w:rsidRPr="0092082A">
        <w:rPr>
          <w:rFonts w:eastAsia="Times New Roman"/>
        </w:rPr>
        <w:t>: https://doi.org/10.2807/1560-7917.ES.2020.25.47.2001847.</w:t>
      </w:r>
    </w:p>
    <w:p w14:paraId="4AD34510" w14:textId="2DAC5CF0" w:rsidR="0092082A" w:rsidRPr="0092082A" w:rsidRDefault="0092082A" w:rsidP="0092082A">
      <w:pPr>
        <w:pStyle w:val="ListParagraph"/>
        <w:numPr>
          <w:ilvl w:val="0"/>
          <w:numId w:val="12"/>
        </w:numPr>
        <w:rPr>
          <w:rFonts w:eastAsia="Times New Roman"/>
        </w:rPr>
      </w:pPr>
      <w:r w:rsidRPr="0092082A">
        <w:rPr>
          <w:rFonts w:eastAsia="Times New Roman"/>
        </w:rPr>
        <w:t xml:space="preserve">Kelly PM, </w:t>
      </w:r>
      <w:proofErr w:type="spellStart"/>
      <w:r w:rsidRPr="0092082A">
        <w:rPr>
          <w:rFonts w:eastAsia="Times New Roman"/>
        </w:rPr>
        <w:t>Kotsimbos</w:t>
      </w:r>
      <w:proofErr w:type="spellEnd"/>
      <w:r w:rsidRPr="0092082A">
        <w:rPr>
          <w:rFonts w:eastAsia="Times New Roman"/>
        </w:rPr>
        <w:t xml:space="preserve"> T, Reynolds A, Wood-Baker R, </w:t>
      </w:r>
      <w:proofErr w:type="spellStart"/>
      <w:r w:rsidRPr="0092082A">
        <w:rPr>
          <w:rFonts w:eastAsia="Times New Roman"/>
        </w:rPr>
        <w:t>Hancox</w:t>
      </w:r>
      <w:proofErr w:type="spellEnd"/>
      <w:r w:rsidRPr="0092082A">
        <w:rPr>
          <w:rFonts w:eastAsia="Times New Roman"/>
        </w:rPr>
        <w:t xml:space="preserve"> B, Brown SGA et al. FluCAN 2009: initial results from sentinel surveillance for adult influenza and pneumonia in eight Australian hospitals. </w:t>
      </w:r>
      <w:r w:rsidRPr="003B0593">
        <w:rPr>
          <w:rStyle w:val="Emphasis"/>
          <w:rFonts w:eastAsia="Times New Roman"/>
          <w:b w:val="0"/>
          <w:bCs w:val="0"/>
        </w:rPr>
        <w:t>Med J Aust</w:t>
      </w:r>
      <w:r w:rsidRPr="0092082A">
        <w:rPr>
          <w:rFonts w:eastAsia="Times New Roman"/>
        </w:rPr>
        <w:t>. 2011;194(4):169–74.</w:t>
      </w:r>
    </w:p>
    <w:p w14:paraId="260D5766" w14:textId="402384D9" w:rsidR="0092082A" w:rsidRPr="0092082A" w:rsidRDefault="0092082A" w:rsidP="0092082A">
      <w:pPr>
        <w:pStyle w:val="ListParagraph"/>
        <w:numPr>
          <w:ilvl w:val="0"/>
          <w:numId w:val="12"/>
        </w:numPr>
        <w:rPr>
          <w:rFonts w:eastAsia="Times New Roman"/>
        </w:rPr>
      </w:pPr>
      <w:r w:rsidRPr="0092082A">
        <w:rPr>
          <w:rFonts w:eastAsia="Times New Roman"/>
        </w:rPr>
        <w:t xml:space="preserve">Cheng AC, Holmes M, Dwyer DE, Senanayake S, Cooley L, Irving LB et al. Influenza epidemiology in patients admitted to sentinel Australian hospitals in 2018: </w:t>
      </w:r>
      <w:proofErr w:type="gramStart"/>
      <w:r w:rsidRPr="0092082A">
        <w:rPr>
          <w:rFonts w:eastAsia="Times New Roman"/>
        </w:rPr>
        <w:t>the</w:t>
      </w:r>
      <w:proofErr w:type="gramEnd"/>
      <w:r w:rsidRPr="0092082A">
        <w:rPr>
          <w:rFonts w:eastAsia="Times New Roman"/>
        </w:rPr>
        <w:t xml:space="preserve"> Influenza Complications Alert Network (FluCAN). </w:t>
      </w:r>
      <w:proofErr w:type="spellStart"/>
      <w:r w:rsidRPr="003B0593">
        <w:rPr>
          <w:rStyle w:val="Emphasis"/>
          <w:rFonts w:eastAsia="Times New Roman"/>
          <w:b w:val="0"/>
          <w:bCs w:val="0"/>
        </w:rPr>
        <w:t>Commun</w:t>
      </w:r>
      <w:proofErr w:type="spellEnd"/>
      <w:r w:rsidRPr="003B0593">
        <w:rPr>
          <w:rStyle w:val="Emphasis"/>
          <w:rFonts w:eastAsia="Times New Roman"/>
          <w:b w:val="0"/>
          <w:bCs w:val="0"/>
        </w:rPr>
        <w:t xml:space="preserve"> Dis </w:t>
      </w:r>
      <w:proofErr w:type="spellStart"/>
      <w:r w:rsidRPr="003B0593">
        <w:rPr>
          <w:rStyle w:val="Emphasis"/>
          <w:rFonts w:eastAsia="Times New Roman"/>
          <w:b w:val="0"/>
          <w:bCs w:val="0"/>
        </w:rPr>
        <w:t>Intell</w:t>
      </w:r>
      <w:proofErr w:type="spellEnd"/>
      <w:r w:rsidRPr="003B0593">
        <w:rPr>
          <w:rStyle w:val="Emphasis"/>
          <w:rFonts w:eastAsia="Times New Roman"/>
          <w:b w:val="0"/>
          <w:bCs w:val="0"/>
        </w:rPr>
        <w:t xml:space="preserve"> (2018)</w:t>
      </w:r>
      <w:r w:rsidRPr="0092082A">
        <w:rPr>
          <w:rFonts w:eastAsia="Times New Roman"/>
        </w:rPr>
        <w:t xml:space="preserve">. 2019;43. </w:t>
      </w:r>
      <w:proofErr w:type="spellStart"/>
      <w:r w:rsidRPr="0092082A">
        <w:rPr>
          <w:rFonts w:eastAsia="Times New Roman"/>
        </w:rPr>
        <w:t>doi</w:t>
      </w:r>
      <w:proofErr w:type="spellEnd"/>
      <w:r w:rsidRPr="0092082A">
        <w:rPr>
          <w:rFonts w:eastAsia="Times New Roman"/>
        </w:rPr>
        <w:t>: https://doi.org/10.33321/cdi.2019.43.48.</w:t>
      </w:r>
    </w:p>
    <w:p w14:paraId="68DE9CB3" w14:textId="4D61E88F" w:rsidR="0092082A" w:rsidRPr="0092082A" w:rsidRDefault="0092082A" w:rsidP="0092082A">
      <w:pPr>
        <w:pStyle w:val="ListParagraph"/>
        <w:numPr>
          <w:ilvl w:val="0"/>
          <w:numId w:val="12"/>
        </w:numPr>
        <w:rPr>
          <w:rFonts w:eastAsia="Times New Roman"/>
        </w:rPr>
      </w:pPr>
      <w:r w:rsidRPr="0092082A">
        <w:rPr>
          <w:rFonts w:eastAsia="Times New Roman"/>
        </w:rPr>
        <w:t xml:space="preserve">Cheng AC, Holmes M, Dwyer DE, Senanayake S, Cooley L, Irving LB et al. Influenza epidemiology in patients admitted to sentinel Australian hospitals in 2017: </w:t>
      </w:r>
      <w:proofErr w:type="gramStart"/>
      <w:r w:rsidRPr="0092082A">
        <w:rPr>
          <w:rFonts w:eastAsia="Times New Roman"/>
        </w:rPr>
        <w:t>the</w:t>
      </w:r>
      <w:proofErr w:type="gramEnd"/>
      <w:r w:rsidRPr="0092082A">
        <w:rPr>
          <w:rFonts w:eastAsia="Times New Roman"/>
        </w:rPr>
        <w:t xml:space="preserve"> Influenza Complications Alert Network (FluCAN). </w:t>
      </w:r>
      <w:proofErr w:type="spellStart"/>
      <w:r w:rsidRPr="003B0593">
        <w:rPr>
          <w:rStyle w:val="Emphasis"/>
          <w:rFonts w:eastAsia="Times New Roman"/>
          <w:b w:val="0"/>
          <w:bCs w:val="0"/>
        </w:rPr>
        <w:t>Commun</w:t>
      </w:r>
      <w:proofErr w:type="spellEnd"/>
      <w:r w:rsidRPr="003B0593">
        <w:rPr>
          <w:rStyle w:val="Emphasis"/>
          <w:rFonts w:eastAsia="Times New Roman"/>
          <w:b w:val="0"/>
          <w:bCs w:val="0"/>
        </w:rPr>
        <w:t xml:space="preserve"> Dis </w:t>
      </w:r>
      <w:proofErr w:type="spellStart"/>
      <w:r w:rsidRPr="003B0593">
        <w:rPr>
          <w:rStyle w:val="Emphasis"/>
          <w:rFonts w:eastAsia="Times New Roman"/>
          <w:b w:val="0"/>
          <w:bCs w:val="0"/>
        </w:rPr>
        <w:t>Intell</w:t>
      </w:r>
      <w:proofErr w:type="spellEnd"/>
      <w:r w:rsidRPr="003B0593">
        <w:rPr>
          <w:rStyle w:val="Emphasis"/>
          <w:rFonts w:eastAsia="Times New Roman"/>
          <w:b w:val="0"/>
          <w:bCs w:val="0"/>
        </w:rPr>
        <w:t xml:space="preserve"> (2018)</w:t>
      </w:r>
      <w:r w:rsidRPr="0092082A">
        <w:rPr>
          <w:rFonts w:eastAsia="Times New Roman"/>
        </w:rPr>
        <w:t xml:space="preserve">. 2019;43. </w:t>
      </w:r>
      <w:proofErr w:type="spellStart"/>
      <w:r w:rsidRPr="0092082A">
        <w:rPr>
          <w:rFonts w:eastAsia="Times New Roman"/>
        </w:rPr>
        <w:t>doi</w:t>
      </w:r>
      <w:proofErr w:type="spellEnd"/>
      <w:r w:rsidRPr="0092082A">
        <w:rPr>
          <w:rFonts w:eastAsia="Times New Roman"/>
        </w:rPr>
        <w:t>: https://doi.org/10.33321/cdi.2019.43.39.</w:t>
      </w:r>
    </w:p>
    <w:p w14:paraId="3F2E6528" w14:textId="77777777" w:rsidR="0092082A" w:rsidRPr="0092082A" w:rsidRDefault="0092082A" w:rsidP="0092082A">
      <w:pPr>
        <w:pStyle w:val="ListParagraph"/>
        <w:numPr>
          <w:ilvl w:val="0"/>
          <w:numId w:val="12"/>
        </w:numPr>
        <w:rPr>
          <w:rFonts w:eastAsia="Times New Roman"/>
        </w:rPr>
      </w:pPr>
      <w:r w:rsidRPr="0092082A">
        <w:rPr>
          <w:rFonts w:eastAsia="Times New Roman"/>
        </w:rPr>
        <w:t>Australian Institute of Health and Welfare (AIHW). Hospital resources 2017–18: Australian hospital statistics. [Webpage.] Canberra: Australian Government, AIHW; 26 June 2019. Available from: https://www.aihw.gov.au/reports/hospitals/hospital-resources-2017-18-ahs/contents/at-a-glance.</w:t>
      </w:r>
    </w:p>
    <w:p w14:paraId="71EB791C" w14:textId="1BC41B8E" w:rsidR="0092082A" w:rsidRPr="0092082A" w:rsidRDefault="0092082A" w:rsidP="0092082A">
      <w:pPr>
        <w:pStyle w:val="ListParagraph"/>
        <w:numPr>
          <w:ilvl w:val="0"/>
          <w:numId w:val="12"/>
        </w:numPr>
        <w:rPr>
          <w:rFonts w:eastAsia="Times New Roman"/>
        </w:rPr>
      </w:pPr>
      <w:r w:rsidRPr="0092082A">
        <w:rPr>
          <w:rFonts w:eastAsia="Times New Roman"/>
        </w:rPr>
        <w:t xml:space="preserve">Burrell AJ, Neto AS, </w:t>
      </w:r>
      <w:proofErr w:type="spellStart"/>
      <w:r w:rsidRPr="0092082A">
        <w:rPr>
          <w:rFonts w:eastAsia="Times New Roman"/>
        </w:rPr>
        <w:t>Broadley</w:t>
      </w:r>
      <w:proofErr w:type="spellEnd"/>
      <w:r w:rsidRPr="0092082A">
        <w:rPr>
          <w:rFonts w:eastAsia="Times New Roman"/>
        </w:rPr>
        <w:t xml:space="preserve"> T, Trapani T, Begum H, Campbell LT et al. Comparison of baseline characteristics, treatment and clinical outcomes of critically Ill COVID-19 patients admitted in the first and second wave in Australia. </w:t>
      </w:r>
      <w:r w:rsidRPr="003B0593">
        <w:rPr>
          <w:rStyle w:val="Emphasis"/>
          <w:rFonts w:eastAsia="Times New Roman"/>
          <w:b w:val="0"/>
          <w:bCs w:val="0"/>
        </w:rPr>
        <w:t xml:space="preserve">Crit Care </w:t>
      </w:r>
      <w:proofErr w:type="spellStart"/>
      <w:r w:rsidRPr="003B0593">
        <w:rPr>
          <w:rStyle w:val="Emphasis"/>
          <w:rFonts w:eastAsia="Times New Roman"/>
          <w:b w:val="0"/>
          <w:bCs w:val="0"/>
        </w:rPr>
        <w:t>Resusc</w:t>
      </w:r>
      <w:proofErr w:type="spellEnd"/>
      <w:r w:rsidRPr="0092082A">
        <w:rPr>
          <w:rFonts w:eastAsia="Times New Roman"/>
        </w:rPr>
        <w:t xml:space="preserve">. </w:t>
      </w:r>
      <w:proofErr w:type="gramStart"/>
      <w:r w:rsidRPr="0092082A">
        <w:rPr>
          <w:rFonts w:eastAsia="Times New Roman"/>
        </w:rPr>
        <w:t>2021;in</w:t>
      </w:r>
      <w:proofErr w:type="gramEnd"/>
      <w:r w:rsidRPr="0092082A">
        <w:rPr>
          <w:rFonts w:eastAsia="Times New Roman"/>
        </w:rPr>
        <w:t xml:space="preserve"> press.</w:t>
      </w:r>
    </w:p>
    <w:p w14:paraId="71920F3F" w14:textId="069BA2E0" w:rsidR="0092082A" w:rsidRPr="0092082A" w:rsidRDefault="0092082A" w:rsidP="0092082A">
      <w:pPr>
        <w:pStyle w:val="ListParagraph"/>
        <w:numPr>
          <w:ilvl w:val="0"/>
          <w:numId w:val="12"/>
        </w:numPr>
        <w:rPr>
          <w:rFonts w:eastAsia="Times New Roman"/>
        </w:rPr>
      </w:pPr>
      <w:r w:rsidRPr="0092082A">
        <w:rPr>
          <w:rFonts w:eastAsia="Times New Roman"/>
        </w:rPr>
        <w:t xml:space="preserve">Burrell AJ, Pellegrini B, </w:t>
      </w:r>
      <w:proofErr w:type="spellStart"/>
      <w:r w:rsidRPr="0092082A">
        <w:rPr>
          <w:rFonts w:eastAsia="Times New Roman"/>
        </w:rPr>
        <w:t>Salimi</w:t>
      </w:r>
      <w:proofErr w:type="spellEnd"/>
      <w:r w:rsidRPr="0092082A">
        <w:rPr>
          <w:rFonts w:eastAsia="Times New Roman"/>
        </w:rPr>
        <w:t xml:space="preserve"> F, Begum H, </w:t>
      </w:r>
      <w:proofErr w:type="spellStart"/>
      <w:r w:rsidRPr="0092082A">
        <w:rPr>
          <w:rFonts w:eastAsia="Times New Roman"/>
        </w:rPr>
        <w:t>Broadley</w:t>
      </w:r>
      <w:proofErr w:type="spellEnd"/>
      <w:r w:rsidRPr="0092082A">
        <w:rPr>
          <w:rFonts w:eastAsia="Times New Roman"/>
        </w:rPr>
        <w:t xml:space="preserve"> T, Campbell LT et al. Outcomes for patients with COVID-19 admitted to Australian intensive care units during the first four months of the pandemic. </w:t>
      </w:r>
      <w:r w:rsidRPr="003B0593">
        <w:rPr>
          <w:rStyle w:val="Emphasis"/>
          <w:rFonts w:eastAsia="Times New Roman"/>
          <w:b w:val="0"/>
          <w:bCs w:val="0"/>
        </w:rPr>
        <w:t>Med J Aust</w:t>
      </w:r>
      <w:r w:rsidRPr="0092082A">
        <w:rPr>
          <w:rFonts w:eastAsia="Times New Roman"/>
        </w:rPr>
        <w:t>. 2021;214(1):23–30.</w:t>
      </w:r>
    </w:p>
    <w:p w14:paraId="0B5FC945" w14:textId="68E07955" w:rsidR="0092082A" w:rsidRPr="0092082A" w:rsidRDefault="0092082A" w:rsidP="0092082A">
      <w:pPr>
        <w:pStyle w:val="ListParagraph"/>
        <w:numPr>
          <w:ilvl w:val="0"/>
          <w:numId w:val="12"/>
        </w:numPr>
        <w:rPr>
          <w:rFonts w:eastAsia="Times New Roman"/>
        </w:rPr>
      </w:pPr>
      <w:proofErr w:type="spellStart"/>
      <w:r w:rsidRPr="0092082A">
        <w:rPr>
          <w:rFonts w:eastAsia="Times New Roman"/>
        </w:rPr>
        <w:t>Serafim</w:t>
      </w:r>
      <w:proofErr w:type="spellEnd"/>
      <w:r w:rsidRPr="0092082A">
        <w:rPr>
          <w:rFonts w:eastAsia="Times New Roman"/>
        </w:rPr>
        <w:t xml:space="preserve"> RB, </w:t>
      </w:r>
      <w:proofErr w:type="spellStart"/>
      <w:r w:rsidRPr="0092082A">
        <w:rPr>
          <w:rFonts w:eastAsia="Times New Roman"/>
        </w:rPr>
        <w:t>Póvoa</w:t>
      </w:r>
      <w:proofErr w:type="spellEnd"/>
      <w:r w:rsidRPr="0092082A">
        <w:rPr>
          <w:rFonts w:eastAsia="Times New Roman"/>
        </w:rPr>
        <w:t xml:space="preserve"> P, Souza-</w:t>
      </w:r>
      <w:proofErr w:type="spellStart"/>
      <w:r w:rsidRPr="0092082A">
        <w:rPr>
          <w:rFonts w:eastAsia="Times New Roman"/>
        </w:rPr>
        <w:t>Dantas</w:t>
      </w:r>
      <w:proofErr w:type="spellEnd"/>
      <w:r w:rsidRPr="0092082A">
        <w:rPr>
          <w:rFonts w:eastAsia="Times New Roman"/>
        </w:rPr>
        <w:t xml:space="preserve"> V, </w:t>
      </w:r>
      <w:proofErr w:type="spellStart"/>
      <w:r w:rsidRPr="0092082A">
        <w:rPr>
          <w:rFonts w:eastAsia="Times New Roman"/>
        </w:rPr>
        <w:t>Kalil</w:t>
      </w:r>
      <w:proofErr w:type="spellEnd"/>
      <w:r w:rsidRPr="0092082A">
        <w:rPr>
          <w:rFonts w:eastAsia="Times New Roman"/>
        </w:rPr>
        <w:t xml:space="preserve"> AC, </w:t>
      </w:r>
      <w:proofErr w:type="spellStart"/>
      <w:r w:rsidRPr="0092082A">
        <w:rPr>
          <w:rFonts w:eastAsia="Times New Roman"/>
        </w:rPr>
        <w:t>Salluh</w:t>
      </w:r>
      <w:proofErr w:type="spellEnd"/>
      <w:r w:rsidRPr="0092082A">
        <w:rPr>
          <w:rFonts w:eastAsia="Times New Roman"/>
        </w:rPr>
        <w:t xml:space="preserve"> JIF. Clinical course and outcomes of critically ill patients with COVID-19 infection: a systematic review. </w:t>
      </w:r>
      <w:r w:rsidRPr="003B0593">
        <w:rPr>
          <w:rStyle w:val="Emphasis"/>
          <w:rFonts w:eastAsia="Times New Roman"/>
          <w:b w:val="0"/>
          <w:bCs w:val="0"/>
        </w:rPr>
        <w:t>Clin Microbiol Infect</w:t>
      </w:r>
      <w:r w:rsidRPr="0092082A">
        <w:rPr>
          <w:rFonts w:eastAsia="Times New Roman"/>
        </w:rPr>
        <w:t>. 2021;27(1):47–54.</w:t>
      </w:r>
    </w:p>
    <w:p w14:paraId="74B90666" w14:textId="1E70CFCC" w:rsidR="0092082A" w:rsidRPr="0092082A" w:rsidRDefault="0092082A" w:rsidP="0092082A">
      <w:pPr>
        <w:pStyle w:val="ListParagraph"/>
        <w:numPr>
          <w:ilvl w:val="0"/>
          <w:numId w:val="12"/>
        </w:numPr>
        <w:rPr>
          <w:rFonts w:eastAsia="Times New Roman"/>
        </w:rPr>
      </w:pPr>
      <w:r w:rsidRPr="0092082A">
        <w:rPr>
          <w:rFonts w:eastAsia="Times New Roman"/>
        </w:rPr>
        <w:t xml:space="preserve">Docherty AB, Harrison EM, Green CA, Hardwick HE, Pius R, Norman L et al. Features of 20 133 UK patients in hospital with covid-19 using the ISARIC WHO Clinical Characterisation Protocol: prospective observational cohort study. </w:t>
      </w:r>
      <w:r w:rsidRPr="003B0593">
        <w:rPr>
          <w:rStyle w:val="Emphasis"/>
          <w:rFonts w:eastAsia="Times New Roman"/>
          <w:b w:val="0"/>
          <w:bCs w:val="0"/>
        </w:rPr>
        <w:t>BMJ</w:t>
      </w:r>
      <w:r w:rsidRPr="0092082A">
        <w:rPr>
          <w:rFonts w:eastAsia="Times New Roman"/>
        </w:rPr>
        <w:t xml:space="preserve">. 2020;369. </w:t>
      </w:r>
      <w:proofErr w:type="spellStart"/>
      <w:r w:rsidRPr="0092082A">
        <w:rPr>
          <w:rFonts w:eastAsia="Times New Roman"/>
        </w:rPr>
        <w:t>doi</w:t>
      </w:r>
      <w:proofErr w:type="spellEnd"/>
      <w:r w:rsidRPr="0092082A">
        <w:rPr>
          <w:rFonts w:eastAsia="Times New Roman"/>
        </w:rPr>
        <w:t>: https://doi.org/10.1136/bmj.m1985.</w:t>
      </w:r>
    </w:p>
    <w:p w14:paraId="793768F1" w14:textId="29F1059B" w:rsidR="0092082A" w:rsidRPr="0092082A" w:rsidRDefault="0092082A" w:rsidP="0092082A">
      <w:pPr>
        <w:pStyle w:val="ListParagraph"/>
        <w:numPr>
          <w:ilvl w:val="0"/>
          <w:numId w:val="12"/>
        </w:numPr>
        <w:rPr>
          <w:rFonts w:eastAsia="Times New Roman"/>
        </w:rPr>
      </w:pPr>
      <w:r w:rsidRPr="0092082A">
        <w:rPr>
          <w:rFonts w:eastAsia="Times New Roman"/>
        </w:rPr>
        <w:t xml:space="preserve">Abate SM, Ahmed Ali S, </w:t>
      </w:r>
      <w:proofErr w:type="spellStart"/>
      <w:r w:rsidRPr="0092082A">
        <w:rPr>
          <w:rFonts w:eastAsia="Times New Roman"/>
        </w:rPr>
        <w:t>Mantfardo</w:t>
      </w:r>
      <w:proofErr w:type="spellEnd"/>
      <w:r w:rsidRPr="0092082A">
        <w:rPr>
          <w:rFonts w:eastAsia="Times New Roman"/>
        </w:rPr>
        <w:t xml:space="preserve"> B, </w:t>
      </w:r>
      <w:proofErr w:type="spellStart"/>
      <w:r w:rsidRPr="0092082A">
        <w:rPr>
          <w:rFonts w:eastAsia="Times New Roman"/>
        </w:rPr>
        <w:t>Basu</w:t>
      </w:r>
      <w:proofErr w:type="spellEnd"/>
      <w:r w:rsidRPr="0092082A">
        <w:rPr>
          <w:rFonts w:eastAsia="Times New Roman"/>
        </w:rPr>
        <w:t xml:space="preserve"> B. Rate of intensive care unit admission and outcomes among patients with coronavirus: a systematic review and meta-analysis. </w:t>
      </w:r>
      <w:proofErr w:type="spellStart"/>
      <w:r w:rsidRPr="003B0593">
        <w:rPr>
          <w:rStyle w:val="Emphasis"/>
          <w:rFonts w:eastAsia="Times New Roman"/>
          <w:b w:val="0"/>
          <w:bCs w:val="0"/>
        </w:rPr>
        <w:t>PLoS</w:t>
      </w:r>
      <w:proofErr w:type="spellEnd"/>
      <w:r w:rsidRPr="003B0593">
        <w:rPr>
          <w:rStyle w:val="Emphasis"/>
          <w:rFonts w:eastAsia="Times New Roman"/>
          <w:b w:val="0"/>
          <w:bCs w:val="0"/>
        </w:rPr>
        <w:t xml:space="preserve"> One</w:t>
      </w:r>
      <w:r w:rsidRPr="0092082A">
        <w:rPr>
          <w:rFonts w:eastAsia="Times New Roman"/>
        </w:rPr>
        <w:t xml:space="preserve">. 2020;15(7). </w:t>
      </w:r>
      <w:proofErr w:type="spellStart"/>
      <w:r w:rsidRPr="0092082A">
        <w:rPr>
          <w:rFonts w:eastAsia="Times New Roman"/>
        </w:rPr>
        <w:t>doi</w:t>
      </w:r>
      <w:proofErr w:type="spellEnd"/>
      <w:r w:rsidRPr="0092082A">
        <w:rPr>
          <w:rFonts w:eastAsia="Times New Roman"/>
        </w:rPr>
        <w:t>: https://doi.org/10.1371/journal.pone.0235653.</w:t>
      </w:r>
    </w:p>
    <w:p w14:paraId="5DC1E959" w14:textId="10947249" w:rsidR="0092082A" w:rsidRPr="0092082A" w:rsidRDefault="0092082A" w:rsidP="0092082A">
      <w:pPr>
        <w:pStyle w:val="ListParagraph"/>
        <w:numPr>
          <w:ilvl w:val="0"/>
          <w:numId w:val="12"/>
        </w:numPr>
        <w:rPr>
          <w:rFonts w:eastAsia="Times New Roman"/>
        </w:rPr>
      </w:pPr>
      <w:proofErr w:type="spellStart"/>
      <w:r w:rsidRPr="0092082A">
        <w:rPr>
          <w:rFonts w:eastAsia="Times New Roman"/>
        </w:rPr>
        <w:t>Grasselli</w:t>
      </w:r>
      <w:proofErr w:type="spellEnd"/>
      <w:r w:rsidRPr="0092082A">
        <w:rPr>
          <w:rFonts w:eastAsia="Times New Roman"/>
        </w:rPr>
        <w:t xml:space="preserve"> G, Greco M, </w:t>
      </w:r>
      <w:proofErr w:type="spellStart"/>
      <w:r w:rsidRPr="0092082A">
        <w:rPr>
          <w:rFonts w:eastAsia="Times New Roman"/>
        </w:rPr>
        <w:t>Zanella</w:t>
      </w:r>
      <w:proofErr w:type="spellEnd"/>
      <w:r w:rsidRPr="0092082A">
        <w:rPr>
          <w:rFonts w:eastAsia="Times New Roman"/>
        </w:rPr>
        <w:t xml:space="preserve"> A, Albano G, Antonelli M, </w:t>
      </w:r>
      <w:proofErr w:type="spellStart"/>
      <w:r w:rsidRPr="0092082A">
        <w:rPr>
          <w:rFonts w:eastAsia="Times New Roman"/>
        </w:rPr>
        <w:t>Bellani</w:t>
      </w:r>
      <w:proofErr w:type="spellEnd"/>
      <w:r w:rsidRPr="0092082A">
        <w:rPr>
          <w:rFonts w:eastAsia="Times New Roman"/>
        </w:rPr>
        <w:t xml:space="preserve"> G et al. Risk factors associated with mortality among patients with COVID-19 in intensive care units in Lombardy, Italy. </w:t>
      </w:r>
      <w:r w:rsidRPr="003B0593">
        <w:rPr>
          <w:rStyle w:val="Emphasis"/>
          <w:rFonts w:eastAsia="Times New Roman"/>
          <w:b w:val="0"/>
          <w:bCs w:val="0"/>
        </w:rPr>
        <w:t>JAMA Intern Med</w:t>
      </w:r>
      <w:r w:rsidRPr="0092082A">
        <w:rPr>
          <w:rFonts w:eastAsia="Times New Roman"/>
        </w:rPr>
        <w:t>. 2020;180(10):1345–55.</w:t>
      </w:r>
    </w:p>
    <w:p w14:paraId="7321E8A6" w14:textId="3E319E58" w:rsidR="0092082A" w:rsidRPr="0092082A" w:rsidRDefault="0092082A" w:rsidP="0092082A">
      <w:pPr>
        <w:pStyle w:val="ListParagraph"/>
        <w:numPr>
          <w:ilvl w:val="0"/>
          <w:numId w:val="12"/>
        </w:numPr>
        <w:rPr>
          <w:rFonts w:eastAsia="Times New Roman"/>
        </w:rPr>
      </w:pPr>
      <w:r w:rsidRPr="0092082A">
        <w:rPr>
          <w:rFonts w:eastAsia="Times New Roman"/>
        </w:rPr>
        <w:t xml:space="preserve">Young BE, Ong SWX, </w:t>
      </w:r>
      <w:proofErr w:type="spellStart"/>
      <w:r w:rsidRPr="0092082A">
        <w:rPr>
          <w:rFonts w:eastAsia="Times New Roman"/>
        </w:rPr>
        <w:t>Kalimuddin</w:t>
      </w:r>
      <w:proofErr w:type="spellEnd"/>
      <w:r w:rsidRPr="0092082A">
        <w:rPr>
          <w:rFonts w:eastAsia="Times New Roman"/>
        </w:rPr>
        <w:t xml:space="preserve"> S, Low JG, Tan SY, </w:t>
      </w:r>
      <w:proofErr w:type="spellStart"/>
      <w:r w:rsidRPr="0092082A">
        <w:rPr>
          <w:rFonts w:eastAsia="Times New Roman"/>
        </w:rPr>
        <w:t>Loh</w:t>
      </w:r>
      <w:proofErr w:type="spellEnd"/>
      <w:r w:rsidRPr="0092082A">
        <w:rPr>
          <w:rFonts w:eastAsia="Times New Roman"/>
        </w:rPr>
        <w:t xml:space="preserve"> J et al. Epidemiologic features and clinical course of patients infected with SARS-CoV-2 in Singapore. </w:t>
      </w:r>
      <w:r w:rsidRPr="003B0593">
        <w:rPr>
          <w:rStyle w:val="Emphasis"/>
          <w:rFonts w:eastAsia="Times New Roman"/>
          <w:b w:val="0"/>
          <w:bCs w:val="0"/>
        </w:rPr>
        <w:t>JAMA</w:t>
      </w:r>
      <w:r w:rsidRPr="0092082A">
        <w:rPr>
          <w:rFonts w:eastAsia="Times New Roman"/>
        </w:rPr>
        <w:t>. 2020;323(15):1488–94.</w:t>
      </w:r>
    </w:p>
    <w:p w14:paraId="76E72907" w14:textId="4957067A" w:rsidR="0092082A" w:rsidRPr="0092082A" w:rsidRDefault="0092082A" w:rsidP="0092082A">
      <w:pPr>
        <w:pStyle w:val="ListParagraph"/>
        <w:numPr>
          <w:ilvl w:val="0"/>
          <w:numId w:val="12"/>
        </w:numPr>
        <w:rPr>
          <w:rFonts w:eastAsia="Times New Roman"/>
        </w:rPr>
      </w:pPr>
      <w:r w:rsidRPr="0092082A">
        <w:rPr>
          <w:rFonts w:eastAsia="Times New Roman"/>
        </w:rPr>
        <w:t xml:space="preserve">Huang C, Wang Y, Li X, Ren L, Zhao J, Hu Y et al. Clinical features of patients infected with 2019 novel coronavirus in Wuhan, China. </w:t>
      </w:r>
      <w:r w:rsidRPr="003B0593">
        <w:rPr>
          <w:rStyle w:val="Emphasis"/>
          <w:rFonts w:eastAsia="Times New Roman"/>
          <w:b w:val="0"/>
          <w:bCs w:val="0"/>
        </w:rPr>
        <w:t>Lancet</w:t>
      </w:r>
      <w:r w:rsidRPr="0092082A">
        <w:rPr>
          <w:rFonts w:eastAsia="Times New Roman"/>
        </w:rPr>
        <w:t>. 2020;395(10223):497–506.</w:t>
      </w:r>
    </w:p>
    <w:p w14:paraId="1D1DF425" w14:textId="77777777" w:rsidR="0092082A" w:rsidRPr="0092082A" w:rsidRDefault="0092082A" w:rsidP="0092082A">
      <w:pPr>
        <w:pStyle w:val="ListParagraph"/>
        <w:numPr>
          <w:ilvl w:val="0"/>
          <w:numId w:val="12"/>
        </w:numPr>
        <w:rPr>
          <w:rFonts w:eastAsia="Times New Roman"/>
        </w:rPr>
      </w:pPr>
      <w:r w:rsidRPr="0092082A">
        <w:rPr>
          <w:rFonts w:eastAsia="Times New Roman"/>
        </w:rPr>
        <w:lastRenderedPageBreak/>
        <w:t xml:space="preserve">Wang D, Hu B, Hu C, Zhu F, Liu X, Zhang J et al. Clinical characteristics of 138 hospitalized patients with 2019 novel coronavirus–infected pneumonia in Wuhan, China. </w:t>
      </w:r>
      <w:proofErr w:type="gramStart"/>
      <w:r w:rsidRPr="003B0593">
        <w:rPr>
          <w:rStyle w:val="Emphasis"/>
          <w:rFonts w:eastAsia="Times New Roman"/>
          <w:b w:val="0"/>
          <w:bCs w:val="0"/>
        </w:rPr>
        <w:t>JAMA</w:t>
      </w:r>
      <w:r w:rsidRPr="0092082A">
        <w:rPr>
          <w:rFonts w:eastAsia="Times New Roman"/>
        </w:rPr>
        <w:t xml:space="preserve"> .</w:t>
      </w:r>
      <w:proofErr w:type="gramEnd"/>
      <w:r w:rsidRPr="0092082A">
        <w:rPr>
          <w:rFonts w:eastAsia="Times New Roman"/>
        </w:rPr>
        <w:t xml:space="preserve"> 2020;323(11):1061–9.</w:t>
      </w:r>
    </w:p>
    <w:p w14:paraId="212BF9FF" w14:textId="77777777" w:rsidR="0092082A" w:rsidRPr="0092082A" w:rsidRDefault="0092082A" w:rsidP="0092082A">
      <w:pPr>
        <w:pStyle w:val="ListParagraph"/>
        <w:numPr>
          <w:ilvl w:val="0"/>
          <w:numId w:val="12"/>
        </w:numPr>
        <w:rPr>
          <w:rFonts w:eastAsia="Times New Roman"/>
        </w:rPr>
      </w:pPr>
      <w:r w:rsidRPr="0092082A">
        <w:rPr>
          <w:rFonts w:eastAsia="Times New Roman"/>
        </w:rPr>
        <w:t xml:space="preserve">Puah SH, Young BE, Chia PY, Ho VK, </w:t>
      </w:r>
      <w:proofErr w:type="spellStart"/>
      <w:r w:rsidRPr="0092082A">
        <w:rPr>
          <w:rFonts w:eastAsia="Times New Roman"/>
        </w:rPr>
        <w:t>Loh</w:t>
      </w:r>
      <w:proofErr w:type="spellEnd"/>
      <w:r w:rsidRPr="0092082A">
        <w:rPr>
          <w:rFonts w:eastAsia="Times New Roman"/>
        </w:rPr>
        <w:t xml:space="preserve"> J, Gokhale RS et al. Clinical features and predictors of severity in COVID-19 patients with critical illness in Singapore. </w:t>
      </w:r>
      <w:r w:rsidRPr="003B0593">
        <w:rPr>
          <w:rStyle w:val="Emphasis"/>
          <w:rFonts w:eastAsia="Times New Roman"/>
          <w:b w:val="0"/>
          <w:bCs w:val="0"/>
        </w:rPr>
        <w:t xml:space="preserve">Sci </w:t>
      </w:r>
      <w:proofErr w:type="gramStart"/>
      <w:r w:rsidRPr="003B0593">
        <w:rPr>
          <w:rStyle w:val="Emphasis"/>
          <w:rFonts w:eastAsia="Times New Roman"/>
          <w:b w:val="0"/>
          <w:bCs w:val="0"/>
        </w:rPr>
        <w:t>Rep</w:t>
      </w:r>
      <w:r w:rsidRPr="0092082A">
        <w:rPr>
          <w:rFonts w:eastAsia="Times New Roman"/>
        </w:rPr>
        <w:t xml:space="preserve"> .</w:t>
      </w:r>
      <w:proofErr w:type="gramEnd"/>
      <w:r w:rsidRPr="0092082A">
        <w:rPr>
          <w:rFonts w:eastAsia="Times New Roman"/>
        </w:rPr>
        <w:t xml:space="preserve"> 2021;11(1). </w:t>
      </w:r>
      <w:proofErr w:type="spellStart"/>
      <w:r w:rsidRPr="0092082A">
        <w:rPr>
          <w:rFonts w:eastAsia="Times New Roman"/>
        </w:rPr>
        <w:t>doi</w:t>
      </w:r>
      <w:proofErr w:type="spellEnd"/>
      <w:r w:rsidRPr="0092082A">
        <w:rPr>
          <w:rFonts w:eastAsia="Times New Roman"/>
        </w:rPr>
        <w:t>: https://doi.org/10.1038/s41598-021-81377-3.</w:t>
      </w:r>
    </w:p>
    <w:p w14:paraId="2F227B36" w14:textId="77777777" w:rsidR="0092082A" w:rsidRPr="0092082A" w:rsidRDefault="0092082A" w:rsidP="0092082A">
      <w:pPr>
        <w:pStyle w:val="ListParagraph"/>
        <w:numPr>
          <w:ilvl w:val="0"/>
          <w:numId w:val="12"/>
        </w:numPr>
        <w:rPr>
          <w:rFonts w:eastAsia="Times New Roman"/>
        </w:rPr>
      </w:pPr>
      <w:r w:rsidRPr="0092082A">
        <w:rPr>
          <w:rFonts w:eastAsia="Times New Roman"/>
        </w:rPr>
        <w:t xml:space="preserve">Jiménez E, </w:t>
      </w:r>
      <w:proofErr w:type="spellStart"/>
      <w:r w:rsidRPr="0092082A">
        <w:rPr>
          <w:rFonts w:eastAsia="Times New Roman"/>
        </w:rPr>
        <w:t>Fontán</w:t>
      </w:r>
      <w:proofErr w:type="spellEnd"/>
      <w:r w:rsidRPr="0092082A">
        <w:rPr>
          <w:rFonts w:eastAsia="Times New Roman"/>
        </w:rPr>
        <w:t xml:space="preserve">-Vela M, Valencia J, Fernandez-Jimenez I, Álvaro-Alonso EA, </w:t>
      </w:r>
      <w:proofErr w:type="spellStart"/>
      <w:r w:rsidRPr="0092082A">
        <w:rPr>
          <w:rFonts w:eastAsia="Times New Roman"/>
        </w:rPr>
        <w:t>Izquierdo</w:t>
      </w:r>
      <w:proofErr w:type="spellEnd"/>
      <w:r w:rsidRPr="0092082A">
        <w:rPr>
          <w:rFonts w:eastAsia="Times New Roman"/>
        </w:rPr>
        <w:t xml:space="preserve">-García E et al. Characteristics, </w:t>
      </w:r>
      <w:proofErr w:type="gramStart"/>
      <w:r w:rsidRPr="0092082A">
        <w:rPr>
          <w:rFonts w:eastAsia="Times New Roman"/>
        </w:rPr>
        <w:t>complications</w:t>
      </w:r>
      <w:proofErr w:type="gramEnd"/>
      <w:r w:rsidRPr="0092082A">
        <w:rPr>
          <w:rFonts w:eastAsia="Times New Roman"/>
        </w:rPr>
        <w:t xml:space="preserve"> and outcomes among 1549 patients hospitalised with COVID-19 in a secondary hospital in Madrid, Spain: a retrospective case series study. </w:t>
      </w:r>
      <w:r w:rsidRPr="003B0593">
        <w:rPr>
          <w:rStyle w:val="Emphasis"/>
          <w:rFonts w:eastAsia="Times New Roman"/>
          <w:b w:val="0"/>
          <w:bCs w:val="0"/>
        </w:rPr>
        <w:t xml:space="preserve">BMJ </w:t>
      </w:r>
      <w:proofErr w:type="gramStart"/>
      <w:r w:rsidRPr="003B0593">
        <w:rPr>
          <w:rStyle w:val="Emphasis"/>
          <w:rFonts w:eastAsia="Times New Roman"/>
          <w:b w:val="0"/>
          <w:bCs w:val="0"/>
        </w:rPr>
        <w:t>Open</w:t>
      </w:r>
      <w:r w:rsidRPr="0092082A">
        <w:rPr>
          <w:rFonts w:eastAsia="Times New Roman"/>
        </w:rPr>
        <w:t xml:space="preserve"> .</w:t>
      </w:r>
      <w:proofErr w:type="gramEnd"/>
      <w:r w:rsidRPr="0092082A">
        <w:rPr>
          <w:rFonts w:eastAsia="Times New Roman"/>
        </w:rPr>
        <w:t xml:space="preserve"> 2020;10(11). </w:t>
      </w:r>
      <w:proofErr w:type="spellStart"/>
      <w:r w:rsidRPr="0092082A">
        <w:rPr>
          <w:rFonts w:eastAsia="Times New Roman"/>
        </w:rPr>
        <w:t>doi</w:t>
      </w:r>
      <w:proofErr w:type="spellEnd"/>
      <w:r w:rsidRPr="0092082A">
        <w:rPr>
          <w:rFonts w:eastAsia="Times New Roman"/>
        </w:rPr>
        <w:t>: https://doi.org/10.1136/bmjopen-2020-042398.</w:t>
      </w:r>
    </w:p>
    <w:p w14:paraId="58DD9CB5" w14:textId="77777777" w:rsidR="0092082A" w:rsidRPr="0092082A" w:rsidRDefault="0092082A" w:rsidP="0092082A">
      <w:pPr>
        <w:pStyle w:val="ListParagraph"/>
        <w:numPr>
          <w:ilvl w:val="0"/>
          <w:numId w:val="12"/>
        </w:numPr>
        <w:rPr>
          <w:rFonts w:eastAsia="Times New Roman"/>
        </w:rPr>
      </w:pPr>
      <w:r w:rsidRPr="0092082A">
        <w:rPr>
          <w:rFonts w:eastAsia="Times New Roman"/>
        </w:rPr>
        <w:t xml:space="preserve">Xu XW, Wu XX, Jiang XG, Xu KJ, Ying LJ, Ma CL et al. Clinical findings in a group of patients infected with the 2019 novel coronavirus (SARS-Cov-2) outside of Wuhan, China: retrospective case series. </w:t>
      </w:r>
      <w:proofErr w:type="gramStart"/>
      <w:r w:rsidRPr="003B0593">
        <w:rPr>
          <w:rStyle w:val="Emphasis"/>
          <w:rFonts w:eastAsia="Times New Roman"/>
          <w:b w:val="0"/>
          <w:bCs w:val="0"/>
        </w:rPr>
        <w:t>BMJ</w:t>
      </w:r>
      <w:r w:rsidRPr="0092082A">
        <w:rPr>
          <w:rFonts w:eastAsia="Times New Roman"/>
        </w:rPr>
        <w:t xml:space="preserve"> .</w:t>
      </w:r>
      <w:proofErr w:type="gramEnd"/>
      <w:r w:rsidRPr="0092082A">
        <w:rPr>
          <w:rFonts w:eastAsia="Times New Roman"/>
        </w:rPr>
        <w:t xml:space="preserve"> 2020;368. </w:t>
      </w:r>
      <w:proofErr w:type="spellStart"/>
      <w:r w:rsidRPr="0092082A">
        <w:rPr>
          <w:rFonts w:eastAsia="Times New Roman"/>
        </w:rPr>
        <w:t>doi</w:t>
      </w:r>
      <w:proofErr w:type="spellEnd"/>
      <w:r w:rsidRPr="0092082A">
        <w:rPr>
          <w:rFonts w:eastAsia="Times New Roman"/>
        </w:rPr>
        <w:t>: https://doi.org/10.1136/bmj.m606.</w:t>
      </w:r>
    </w:p>
    <w:p w14:paraId="48D1C0A4" w14:textId="77777777" w:rsidR="0092082A" w:rsidRPr="0092082A" w:rsidRDefault="0092082A" w:rsidP="0092082A">
      <w:pPr>
        <w:pStyle w:val="ListParagraph"/>
        <w:numPr>
          <w:ilvl w:val="0"/>
          <w:numId w:val="12"/>
        </w:numPr>
        <w:rPr>
          <w:rFonts w:eastAsia="Times New Roman"/>
        </w:rPr>
      </w:pPr>
      <w:r w:rsidRPr="0092082A">
        <w:rPr>
          <w:rFonts w:eastAsia="Times New Roman"/>
        </w:rPr>
        <w:t xml:space="preserve">Li Y, Ashcroft T, Chung A, </w:t>
      </w:r>
      <w:proofErr w:type="spellStart"/>
      <w:r w:rsidRPr="0092082A">
        <w:rPr>
          <w:rFonts w:eastAsia="Times New Roman"/>
        </w:rPr>
        <w:t>Dighero</w:t>
      </w:r>
      <w:proofErr w:type="spellEnd"/>
      <w:r w:rsidRPr="0092082A">
        <w:rPr>
          <w:rFonts w:eastAsia="Times New Roman"/>
        </w:rPr>
        <w:t xml:space="preserve"> I, Dozier M, Horne M et al. Risk factors for poor outcomes in hospitalised COVID-19 patients: a systematic review and meta-analysis. </w:t>
      </w:r>
      <w:r w:rsidRPr="003B0593">
        <w:rPr>
          <w:rStyle w:val="Emphasis"/>
          <w:rFonts w:eastAsia="Times New Roman"/>
          <w:b w:val="0"/>
          <w:bCs w:val="0"/>
        </w:rPr>
        <w:t xml:space="preserve">J Glob </w:t>
      </w:r>
      <w:proofErr w:type="gramStart"/>
      <w:r w:rsidRPr="003B0593">
        <w:rPr>
          <w:rStyle w:val="Emphasis"/>
          <w:rFonts w:eastAsia="Times New Roman"/>
          <w:b w:val="0"/>
          <w:bCs w:val="0"/>
        </w:rPr>
        <w:t>Health</w:t>
      </w:r>
      <w:r w:rsidRPr="0092082A">
        <w:rPr>
          <w:rFonts w:eastAsia="Times New Roman"/>
        </w:rPr>
        <w:t xml:space="preserve"> .</w:t>
      </w:r>
      <w:proofErr w:type="gramEnd"/>
      <w:r w:rsidRPr="0092082A">
        <w:rPr>
          <w:rFonts w:eastAsia="Times New Roman"/>
        </w:rPr>
        <w:t xml:space="preserve"> 2021;11. </w:t>
      </w:r>
      <w:proofErr w:type="spellStart"/>
      <w:r w:rsidRPr="0092082A">
        <w:rPr>
          <w:rFonts w:eastAsia="Times New Roman"/>
        </w:rPr>
        <w:t>doi</w:t>
      </w:r>
      <w:proofErr w:type="spellEnd"/>
      <w:r w:rsidRPr="0092082A">
        <w:rPr>
          <w:rFonts w:eastAsia="Times New Roman"/>
        </w:rPr>
        <w:t>: https://doi.org/10.7189/jogh.11.10001.</w:t>
      </w:r>
    </w:p>
    <w:p w14:paraId="1C6BCCCD" w14:textId="77777777" w:rsidR="00630A3D" w:rsidRDefault="00630A3D">
      <w:pPr>
        <w:rPr>
          <w:rFonts w:asciiTheme="majorHAnsi" w:eastAsiaTheme="majorEastAsia" w:hAnsiTheme="majorHAnsi" w:cstheme="majorBidi"/>
          <w:b/>
          <w:bCs/>
          <w:sz w:val="32"/>
          <w:szCs w:val="28"/>
        </w:rPr>
      </w:pPr>
      <w:r>
        <w:br w:type="page"/>
      </w:r>
    </w:p>
    <w:p w14:paraId="31D83B35" w14:textId="7643A708" w:rsidR="0092082A" w:rsidRPr="0092082A" w:rsidRDefault="0092082A" w:rsidP="0092082A">
      <w:pPr>
        <w:pStyle w:val="Heading1"/>
      </w:pPr>
      <w:r w:rsidRPr="0092082A">
        <w:lastRenderedPageBreak/>
        <w:t>Appendix A</w:t>
      </w:r>
    </w:p>
    <w:p w14:paraId="695EFD9F" w14:textId="77777777" w:rsidR="00E1435E" w:rsidRPr="00630A3D" w:rsidRDefault="00E1435E" w:rsidP="00630A3D">
      <w:pPr>
        <w:pStyle w:val="CDIFigures"/>
      </w:pPr>
      <w:r w:rsidRPr="00630A3D">
        <w:rPr>
          <w:rStyle w:val="Strong"/>
          <w:b/>
          <w:bCs w:val="0"/>
        </w:rPr>
        <w:t>Table A.1: Oseltamivir treatment, by age group in patients with confirmed influenza</w:t>
      </w:r>
      <w:r w:rsidRPr="00630A3D">
        <w:t xml:space="preserve"> </w:t>
      </w:r>
    </w:p>
    <w:tbl>
      <w:tblPr>
        <w:tblStyle w:val="CDI-StandardTable"/>
        <w:tblW w:w="0" w:type="auto"/>
        <w:tblLook w:val="04A0" w:firstRow="1" w:lastRow="0" w:firstColumn="1" w:lastColumn="0" w:noHBand="0" w:noVBand="1"/>
        <w:tblDescription w:val="Appendix Table 1: This table presents the proportion and timing of oseltamivir treatment, by age group in patients with confirmed influenza.&#10;"/>
      </w:tblPr>
      <w:tblGrid>
        <w:gridCol w:w="4268"/>
        <w:gridCol w:w="1320"/>
        <w:gridCol w:w="1704"/>
        <w:gridCol w:w="1418"/>
        <w:gridCol w:w="1291"/>
      </w:tblGrid>
      <w:tr w:rsidR="00E1435E" w:rsidRPr="00727629" w14:paraId="47CB69B1" w14:textId="77777777" w:rsidTr="003B568E">
        <w:trPr>
          <w:cnfStyle w:val="100000000000" w:firstRow="1" w:lastRow="0" w:firstColumn="0" w:lastColumn="0" w:oddVBand="0" w:evenVBand="0" w:oddHBand="0" w:evenHBand="0" w:firstRowFirstColumn="0" w:firstRowLastColumn="0" w:lastRowFirstColumn="0" w:lastRowLastColumn="0"/>
        </w:trPr>
        <w:tc>
          <w:tcPr>
            <w:tcW w:w="0" w:type="auto"/>
            <w:tcBorders>
              <w:top w:val="single" w:sz="2" w:space="0" w:color="886E49"/>
              <w:left w:val="single" w:sz="2" w:space="0" w:color="886E49"/>
              <w:bottom w:val="single" w:sz="2" w:space="0" w:color="886E49"/>
              <w:right w:val="single" w:sz="2" w:space="0" w:color="886E49"/>
            </w:tcBorders>
            <w:hideMark/>
          </w:tcPr>
          <w:p w14:paraId="7C349912" w14:textId="77777777" w:rsidR="00E1435E" w:rsidRPr="00727629" w:rsidRDefault="00E1435E" w:rsidP="00035553">
            <w:pPr>
              <w:pStyle w:val="NormalWeb"/>
              <w:rPr>
                <w:color w:val="FFFFFF" w:themeColor="background1"/>
                <w:sz w:val="18"/>
                <w:szCs w:val="18"/>
              </w:rPr>
            </w:pPr>
            <w:r w:rsidRPr="00727629">
              <w:rPr>
                <w:color w:val="FFFFFF" w:themeColor="background1"/>
                <w:sz w:val="18"/>
                <w:szCs w:val="18"/>
              </w:rPr>
              <w:t>Factor</w:t>
            </w:r>
          </w:p>
        </w:tc>
        <w:tc>
          <w:tcPr>
            <w:tcW w:w="0" w:type="auto"/>
            <w:tcBorders>
              <w:top w:val="single" w:sz="2" w:space="0" w:color="886E49"/>
              <w:left w:val="single" w:sz="2" w:space="0" w:color="886E49"/>
              <w:bottom w:val="single" w:sz="2" w:space="0" w:color="886E49"/>
              <w:right w:val="single" w:sz="2" w:space="0" w:color="886E49"/>
            </w:tcBorders>
            <w:hideMark/>
          </w:tcPr>
          <w:p w14:paraId="08E13F5A" w14:textId="77777777" w:rsidR="00E1435E" w:rsidRPr="00727629" w:rsidRDefault="00E1435E" w:rsidP="00035553">
            <w:pPr>
              <w:pStyle w:val="NormalWeb"/>
              <w:jc w:val="center"/>
              <w:rPr>
                <w:color w:val="FFFFFF" w:themeColor="background1"/>
                <w:sz w:val="18"/>
                <w:szCs w:val="18"/>
              </w:rPr>
            </w:pPr>
            <w:r w:rsidRPr="00727629">
              <w:rPr>
                <w:color w:val="FFFFFF" w:themeColor="background1"/>
                <w:sz w:val="18"/>
                <w:szCs w:val="18"/>
              </w:rPr>
              <w:t>Age &lt; 16 years</w:t>
            </w:r>
          </w:p>
        </w:tc>
        <w:tc>
          <w:tcPr>
            <w:tcW w:w="1704" w:type="dxa"/>
            <w:tcBorders>
              <w:top w:val="single" w:sz="2" w:space="0" w:color="886E49"/>
              <w:left w:val="single" w:sz="2" w:space="0" w:color="886E49"/>
              <w:bottom w:val="single" w:sz="2" w:space="0" w:color="886E49"/>
              <w:right w:val="single" w:sz="2" w:space="0" w:color="886E49"/>
            </w:tcBorders>
            <w:hideMark/>
          </w:tcPr>
          <w:p w14:paraId="44482441" w14:textId="77777777" w:rsidR="00E1435E" w:rsidRPr="00727629" w:rsidRDefault="00E1435E" w:rsidP="00035553">
            <w:pPr>
              <w:pStyle w:val="NormalWeb"/>
              <w:jc w:val="center"/>
              <w:rPr>
                <w:color w:val="FFFFFF" w:themeColor="background1"/>
                <w:sz w:val="18"/>
                <w:szCs w:val="18"/>
              </w:rPr>
            </w:pPr>
            <w:r w:rsidRPr="00727629">
              <w:rPr>
                <w:color w:val="FFFFFF" w:themeColor="background1"/>
                <w:sz w:val="18"/>
                <w:szCs w:val="18"/>
              </w:rPr>
              <w:t>Age 16–64 years</w:t>
            </w:r>
          </w:p>
        </w:tc>
        <w:tc>
          <w:tcPr>
            <w:tcW w:w="1418" w:type="dxa"/>
            <w:tcBorders>
              <w:top w:val="single" w:sz="2" w:space="0" w:color="886E49"/>
              <w:left w:val="single" w:sz="2" w:space="0" w:color="886E49"/>
              <w:bottom w:val="single" w:sz="2" w:space="0" w:color="886E49"/>
              <w:right w:val="single" w:sz="2" w:space="0" w:color="886E49"/>
            </w:tcBorders>
            <w:hideMark/>
          </w:tcPr>
          <w:p w14:paraId="1EA3B32C" w14:textId="77777777" w:rsidR="00E1435E" w:rsidRPr="00727629" w:rsidRDefault="00E1435E" w:rsidP="00035553">
            <w:pPr>
              <w:pStyle w:val="NormalWeb"/>
              <w:jc w:val="center"/>
              <w:rPr>
                <w:color w:val="FFFFFF" w:themeColor="background1"/>
                <w:sz w:val="18"/>
                <w:szCs w:val="18"/>
              </w:rPr>
            </w:pPr>
            <w:r w:rsidRPr="00727629">
              <w:rPr>
                <w:color w:val="FFFFFF" w:themeColor="background1"/>
                <w:sz w:val="18"/>
                <w:szCs w:val="18"/>
              </w:rPr>
              <w:t>Age 65+ years</w:t>
            </w:r>
          </w:p>
        </w:tc>
        <w:tc>
          <w:tcPr>
            <w:tcW w:w="1291" w:type="dxa"/>
            <w:tcBorders>
              <w:top w:val="single" w:sz="2" w:space="0" w:color="886E49"/>
              <w:left w:val="single" w:sz="2" w:space="0" w:color="886E49"/>
              <w:bottom w:val="single" w:sz="2" w:space="0" w:color="886E49"/>
              <w:right w:val="single" w:sz="2" w:space="0" w:color="886E49"/>
            </w:tcBorders>
            <w:hideMark/>
          </w:tcPr>
          <w:p w14:paraId="091D657F" w14:textId="77777777" w:rsidR="00E1435E" w:rsidRPr="00727629" w:rsidRDefault="00E1435E" w:rsidP="00035553">
            <w:pPr>
              <w:pStyle w:val="NormalWeb"/>
              <w:jc w:val="center"/>
              <w:rPr>
                <w:color w:val="FFFFFF" w:themeColor="background1"/>
                <w:sz w:val="18"/>
                <w:szCs w:val="18"/>
              </w:rPr>
            </w:pPr>
            <w:r w:rsidRPr="00727629">
              <w:rPr>
                <w:color w:val="FFFFFF" w:themeColor="background1"/>
                <w:sz w:val="18"/>
                <w:szCs w:val="18"/>
              </w:rPr>
              <w:t>p value</w:t>
            </w:r>
          </w:p>
        </w:tc>
      </w:tr>
      <w:tr w:rsidR="00E1435E" w:rsidRPr="00727629" w14:paraId="4057ED8E" w14:textId="77777777" w:rsidTr="003B568E">
        <w:tblPrEx>
          <w:tblCellMar>
            <w:top w:w="57" w:type="dxa"/>
            <w:left w:w="57" w:type="dxa"/>
            <w:bottom w:w="57" w:type="dxa"/>
            <w:right w:w="57" w:type="dxa"/>
          </w:tblCellMar>
        </w:tblPrEx>
        <w:tc>
          <w:tcPr>
            <w:tcW w:w="0" w:type="auto"/>
            <w:tcBorders>
              <w:top w:val="single" w:sz="2" w:space="0" w:color="886E49"/>
            </w:tcBorders>
            <w:hideMark/>
          </w:tcPr>
          <w:p w14:paraId="61A279C0" w14:textId="77777777" w:rsidR="00E1435E" w:rsidRPr="00727629" w:rsidRDefault="00E1435E" w:rsidP="00035553">
            <w:pPr>
              <w:pStyle w:val="NormalWeb"/>
              <w:rPr>
                <w:sz w:val="18"/>
                <w:szCs w:val="18"/>
              </w:rPr>
            </w:pPr>
            <w:r w:rsidRPr="00727629">
              <w:rPr>
                <w:sz w:val="18"/>
                <w:szCs w:val="18"/>
              </w:rPr>
              <w:t>Number of patients</w:t>
            </w:r>
          </w:p>
        </w:tc>
        <w:tc>
          <w:tcPr>
            <w:tcW w:w="0" w:type="auto"/>
            <w:tcBorders>
              <w:top w:val="single" w:sz="2" w:space="0" w:color="886E49"/>
            </w:tcBorders>
            <w:hideMark/>
          </w:tcPr>
          <w:p w14:paraId="31259B69" w14:textId="77777777" w:rsidR="00E1435E" w:rsidRPr="00727629" w:rsidRDefault="00E1435E" w:rsidP="00035553">
            <w:pPr>
              <w:pStyle w:val="NormalWeb"/>
              <w:jc w:val="center"/>
              <w:rPr>
                <w:sz w:val="18"/>
                <w:szCs w:val="18"/>
              </w:rPr>
            </w:pPr>
            <w:r w:rsidRPr="00727629">
              <w:rPr>
                <w:sz w:val="18"/>
                <w:szCs w:val="18"/>
              </w:rPr>
              <w:t>8</w:t>
            </w:r>
          </w:p>
        </w:tc>
        <w:tc>
          <w:tcPr>
            <w:tcW w:w="1704" w:type="dxa"/>
            <w:tcBorders>
              <w:top w:val="single" w:sz="2" w:space="0" w:color="886E49"/>
            </w:tcBorders>
            <w:hideMark/>
          </w:tcPr>
          <w:p w14:paraId="0AC7CAC3" w14:textId="77777777" w:rsidR="00E1435E" w:rsidRPr="00727629" w:rsidRDefault="00E1435E" w:rsidP="00035553">
            <w:pPr>
              <w:pStyle w:val="NormalWeb"/>
              <w:jc w:val="center"/>
              <w:rPr>
                <w:sz w:val="18"/>
                <w:szCs w:val="18"/>
              </w:rPr>
            </w:pPr>
            <w:r w:rsidRPr="00727629">
              <w:rPr>
                <w:sz w:val="18"/>
                <w:szCs w:val="18"/>
              </w:rPr>
              <w:t>5</w:t>
            </w:r>
          </w:p>
        </w:tc>
        <w:tc>
          <w:tcPr>
            <w:tcW w:w="1418" w:type="dxa"/>
            <w:tcBorders>
              <w:top w:val="single" w:sz="2" w:space="0" w:color="886E49"/>
            </w:tcBorders>
            <w:hideMark/>
          </w:tcPr>
          <w:p w14:paraId="2DBA567C" w14:textId="77777777" w:rsidR="00E1435E" w:rsidRPr="00727629" w:rsidRDefault="00E1435E" w:rsidP="00035553">
            <w:pPr>
              <w:pStyle w:val="NormalWeb"/>
              <w:jc w:val="center"/>
              <w:rPr>
                <w:sz w:val="18"/>
                <w:szCs w:val="18"/>
              </w:rPr>
            </w:pPr>
            <w:r w:rsidRPr="00727629">
              <w:rPr>
                <w:sz w:val="18"/>
                <w:szCs w:val="18"/>
              </w:rPr>
              <w:t>4</w:t>
            </w:r>
          </w:p>
        </w:tc>
        <w:tc>
          <w:tcPr>
            <w:tcW w:w="1291" w:type="dxa"/>
            <w:tcBorders>
              <w:top w:val="single" w:sz="2" w:space="0" w:color="886E49"/>
            </w:tcBorders>
            <w:hideMark/>
          </w:tcPr>
          <w:p w14:paraId="60949D00" w14:textId="77777777" w:rsidR="00E1435E" w:rsidRPr="00727629" w:rsidRDefault="00E1435E" w:rsidP="00035553">
            <w:pPr>
              <w:jc w:val="center"/>
              <w:rPr>
                <w:sz w:val="18"/>
                <w:szCs w:val="18"/>
              </w:rPr>
            </w:pPr>
          </w:p>
        </w:tc>
      </w:tr>
      <w:tr w:rsidR="00E1435E" w:rsidRPr="00727629" w14:paraId="4B013554" w14:textId="77777777" w:rsidTr="006953A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841314A" w14:textId="77777777" w:rsidR="00E1435E" w:rsidRPr="00727629" w:rsidRDefault="00E1435E" w:rsidP="00035553">
            <w:pPr>
              <w:pStyle w:val="NormalWeb"/>
              <w:rPr>
                <w:sz w:val="18"/>
                <w:szCs w:val="18"/>
              </w:rPr>
            </w:pPr>
            <w:r w:rsidRPr="00727629">
              <w:rPr>
                <w:sz w:val="18"/>
                <w:szCs w:val="18"/>
              </w:rPr>
              <w:t>Oseltamivir not received</w:t>
            </w:r>
          </w:p>
        </w:tc>
        <w:tc>
          <w:tcPr>
            <w:tcW w:w="0" w:type="auto"/>
            <w:hideMark/>
          </w:tcPr>
          <w:p w14:paraId="480C890C" w14:textId="77777777" w:rsidR="00E1435E" w:rsidRPr="00727629" w:rsidRDefault="00E1435E" w:rsidP="00035553">
            <w:pPr>
              <w:pStyle w:val="NormalWeb"/>
              <w:jc w:val="center"/>
              <w:rPr>
                <w:sz w:val="18"/>
                <w:szCs w:val="18"/>
              </w:rPr>
            </w:pPr>
            <w:r w:rsidRPr="00727629">
              <w:rPr>
                <w:sz w:val="18"/>
                <w:szCs w:val="18"/>
              </w:rPr>
              <w:t>6 (75%)</w:t>
            </w:r>
          </w:p>
        </w:tc>
        <w:tc>
          <w:tcPr>
            <w:tcW w:w="1704" w:type="dxa"/>
            <w:hideMark/>
          </w:tcPr>
          <w:p w14:paraId="23F26ECC" w14:textId="77777777" w:rsidR="00E1435E" w:rsidRPr="00727629" w:rsidRDefault="00E1435E" w:rsidP="00035553">
            <w:pPr>
              <w:pStyle w:val="NormalWeb"/>
              <w:jc w:val="center"/>
              <w:rPr>
                <w:sz w:val="18"/>
                <w:szCs w:val="18"/>
              </w:rPr>
            </w:pPr>
            <w:r w:rsidRPr="00727629">
              <w:rPr>
                <w:sz w:val="18"/>
                <w:szCs w:val="18"/>
              </w:rPr>
              <w:t>1 (20%)</w:t>
            </w:r>
          </w:p>
        </w:tc>
        <w:tc>
          <w:tcPr>
            <w:tcW w:w="1418" w:type="dxa"/>
            <w:hideMark/>
          </w:tcPr>
          <w:p w14:paraId="26914EFE" w14:textId="77777777" w:rsidR="00E1435E" w:rsidRPr="00727629" w:rsidRDefault="00E1435E" w:rsidP="00035553">
            <w:pPr>
              <w:pStyle w:val="NormalWeb"/>
              <w:jc w:val="center"/>
              <w:rPr>
                <w:sz w:val="18"/>
                <w:szCs w:val="18"/>
              </w:rPr>
            </w:pPr>
            <w:r w:rsidRPr="00727629">
              <w:rPr>
                <w:sz w:val="18"/>
                <w:szCs w:val="18"/>
              </w:rPr>
              <w:t>1 (25%)</w:t>
            </w:r>
          </w:p>
        </w:tc>
        <w:tc>
          <w:tcPr>
            <w:tcW w:w="1291" w:type="dxa"/>
            <w:hideMark/>
          </w:tcPr>
          <w:p w14:paraId="2F9039AC" w14:textId="77777777" w:rsidR="00E1435E" w:rsidRPr="00727629" w:rsidRDefault="00E1435E" w:rsidP="00035553">
            <w:pPr>
              <w:pStyle w:val="NormalWeb"/>
              <w:jc w:val="center"/>
              <w:rPr>
                <w:sz w:val="18"/>
                <w:szCs w:val="18"/>
              </w:rPr>
            </w:pPr>
            <w:r w:rsidRPr="00727629">
              <w:rPr>
                <w:sz w:val="18"/>
                <w:szCs w:val="18"/>
              </w:rPr>
              <w:t>0.11</w:t>
            </w:r>
          </w:p>
        </w:tc>
      </w:tr>
      <w:tr w:rsidR="00E1435E" w:rsidRPr="00727629" w14:paraId="40CA4B79" w14:textId="77777777" w:rsidTr="006953AF">
        <w:tblPrEx>
          <w:tblCellMar>
            <w:top w:w="57" w:type="dxa"/>
            <w:left w:w="57" w:type="dxa"/>
            <w:bottom w:w="57" w:type="dxa"/>
            <w:right w:w="57" w:type="dxa"/>
          </w:tblCellMar>
        </w:tblPrEx>
        <w:tc>
          <w:tcPr>
            <w:tcW w:w="0" w:type="auto"/>
            <w:hideMark/>
          </w:tcPr>
          <w:p w14:paraId="0867BA0D" w14:textId="77777777" w:rsidR="00E1435E" w:rsidRPr="00727629" w:rsidRDefault="00E1435E" w:rsidP="00035553">
            <w:pPr>
              <w:pStyle w:val="NormalWeb"/>
              <w:rPr>
                <w:sz w:val="18"/>
                <w:szCs w:val="18"/>
              </w:rPr>
            </w:pPr>
            <w:r w:rsidRPr="00727629">
              <w:rPr>
                <w:sz w:val="18"/>
                <w:szCs w:val="18"/>
              </w:rPr>
              <w:t>Oseltamivir received</w:t>
            </w:r>
          </w:p>
        </w:tc>
        <w:tc>
          <w:tcPr>
            <w:tcW w:w="0" w:type="auto"/>
            <w:hideMark/>
          </w:tcPr>
          <w:p w14:paraId="0E5932BB" w14:textId="77777777" w:rsidR="00E1435E" w:rsidRPr="00727629" w:rsidRDefault="00E1435E" w:rsidP="00035553">
            <w:pPr>
              <w:pStyle w:val="NormalWeb"/>
              <w:jc w:val="center"/>
              <w:rPr>
                <w:sz w:val="18"/>
                <w:szCs w:val="18"/>
              </w:rPr>
            </w:pPr>
            <w:r w:rsidRPr="00727629">
              <w:rPr>
                <w:sz w:val="18"/>
                <w:szCs w:val="18"/>
              </w:rPr>
              <w:t>2 (25%)</w:t>
            </w:r>
          </w:p>
        </w:tc>
        <w:tc>
          <w:tcPr>
            <w:tcW w:w="1704" w:type="dxa"/>
            <w:hideMark/>
          </w:tcPr>
          <w:p w14:paraId="0EFBF7A5" w14:textId="77777777" w:rsidR="00E1435E" w:rsidRPr="00727629" w:rsidRDefault="00E1435E" w:rsidP="00035553">
            <w:pPr>
              <w:pStyle w:val="NormalWeb"/>
              <w:jc w:val="center"/>
              <w:rPr>
                <w:sz w:val="18"/>
                <w:szCs w:val="18"/>
              </w:rPr>
            </w:pPr>
            <w:r w:rsidRPr="00727629">
              <w:rPr>
                <w:sz w:val="18"/>
                <w:szCs w:val="18"/>
              </w:rPr>
              <w:t>4 (80%)</w:t>
            </w:r>
          </w:p>
        </w:tc>
        <w:tc>
          <w:tcPr>
            <w:tcW w:w="1418" w:type="dxa"/>
            <w:hideMark/>
          </w:tcPr>
          <w:p w14:paraId="735821E5" w14:textId="77777777" w:rsidR="00E1435E" w:rsidRPr="00727629" w:rsidRDefault="00E1435E" w:rsidP="00035553">
            <w:pPr>
              <w:pStyle w:val="NormalWeb"/>
              <w:jc w:val="center"/>
              <w:rPr>
                <w:sz w:val="18"/>
                <w:szCs w:val="18"/>
              </w:rPr>
            </w:pPr>
            <w:r w:rsidRPr="00727629">
              <w:rPr>
                <w:sz w:val="18"/>
                <w:szCs w:val="18"/>
              </w:rPr>
              <w:t>3 (75%)</w:t>
            </w:r>
          </w:p>
        </w:tc>
        <w:tc>
          <w:tcPr>
            <w:tcW w:w="1291" w:type="dxa"/>
            <w:hideMark/>
          </w:tcPr>
          <w:p w14:paraId="17194DCC" w14:textId="77777777" w:rsidR="00E1435E" w:rsidRPr="00727629" w:rsidRDefault="00E1435E" w:rsidP="00035553">
            <w:pPr>
              <w:pStyle w:val="NormalWeb"/>
              <w:jc w:val="center"/>
              <w:rPr>
                <w:sz w:val="18"/>
                <w:szCs w:val="18"/>
              </w:rPr>
            </w:pPr>
            <w:r w:rsidRPr="00727629">
              <w:rPr>
                <w:sz w:val="18"/>
                <w:szCs w:val="18"/>
              </w:rPr>
              <w:t>0.09</w:t>
            </w:r>
          </w:p>
        </w:tc>
      </w:tr>
      <w:tr w:rsidR="00E1435E" w:rsidRPr="00727629" w14:paraId="104EFF56" w14:textId="77777777" w:rsidTr="006953A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BBE3BEC" w14:textId="77777777" w:rsidR="00E1435E" w:rsidRPr="00727629" w:rsidRDefault="00E1435E" w:rsidP="00E1435E">
            <w:pPr>
              <w:numPr>
                <w:ilvl w:val="0"/>
                <w:numId w:val="13"/>
              </w:numPr>
              <w:spacing w:before="100" w:beforeAutospacing="1"/>
              <w:ind w:left="641" w:hanging="357"/>
              <w:rPr>
                <w:rFonts w:eastAsia="Times New Roman"/>
                <w:sz w:val="18"/>
                <w:szCs w:val="18"/>
              </w:rPr>
            </w:pPr>
            <w:r w:rsidRPr="00727629">
              <w:rPr>
                <w:rFonts w:eastAsia="Times New Roman"/>
                <w:sz w:val="18"/>
                <w:szCs w:val="18"/>
              </w:rPr>
              <w:t>received within 2 days of symptom onset</w:t>
            </w:r>
          </w:p>
        </w:tc>
        <w:tc>
          <w:tcPr>
            <w:tcW w:w="0" w:type="auto"/>
            <w:hideMark/>
          </w:tcPr>
          <w:p w14:paraId="3C0D93D8" w14:textId="77777777" w:rsidR="00E1435E" w:rsidRPr="00727629" w:rsidRDefault="00E1435E" w:rsidP="00035553">
            <w:pPr>
              <w:pStyle w:val="NormalWeb"/>
              <w:jc w:val="center"/>
              <w:rPr>
                <w:sz w:val="18"/>
                <w:szCs w:val="18"/>
              </w:rPr>
            </w:pPr>
            <w:r w:rsidRPr="00727629">
              <w:rPr>
                <w:sz w:val="18"/>
                <w:szCs w:val="18"/>
              </w:rPr>
              <w:t>1 (13%)</w:t>
            </w:r>
          </w:p>
        </w:tc>
        <w:tc>
          <w:tcPr>
            <w:tcW w:w="1704" w:type="dxa"/>
            <w:hideMark/>
          </w:tcPr>
          <w:p w14:paraId="6FED8767" w14:textId="77777777" w:rsidR="00E1435E" w:rsidRPr="00727629" w:rsidRDefault="00E1435E" w:rsidP="00035553">
            <w:pPr>
              <w:pStyle w:val="NormalWeb"/>
              <w:jc w:val="center"/>
              <w:rPr>
                <w:sz w:val="18"/>
                <w:szCs w:val="18"/>
              </w:rPr>
            </w:pPr>
            <w:r w:rsidRPr="00727629">
              <w:rPr>
                <w:sz w:val="18"/>
                <w:szCs w:val="18"/>
              </w:rPr>
              <w:t>0 (0%)</w:t>
            </w:r>
          </w:p>
        </w:tc>
        <w:tc>
          <w:tcPr>
            <w:tcW w:w="1418" w:type="dxa"/>
            <w:hideMark/>
          </w:tcPr>
          <w:p w14:paraId="067074A1" w14:textId="77777777" w:rsidR="00E1435E" w:rsidRPr="00727629" w:rsidRDefault="00E1435E" w:rsidP="00035553">
            <w:pPr>
              <w:pStyle w:val="NormalWeb"/>
              <w:jc w:val="center"/>
              <w:rPr>
                <w:sz w:val="18"/>
                <w:szCs w:val="18"/>
              </w:rPr>
            </w:pPr>
            <w:r w:rsidRPr="00727629">
              <w:rPr>
                <w:sz w:val="18"/>
                <w:szCs w:val="18"/>
              </w:rPr>
              <w:t>0 (0%)</w:t>
            </w:r>
          </w:p>
        </w:tc>
        <w:tc>
          <w:tcPr>
            <w:tcW w:w="1291" w:type="dxa"/>
            <w:hideMark/>
          </w:tcPr>
          <w:p w14:paraId="233701DB" w14:textId="77777777" w:rsidR="00E1435E" w:rsidRPr="00727629" w:rsidRDefault="00E1435E" w:rsidP="00035553">
            <w:pPr>
              <w:jc w:val="center"/>
              <w:rPr>
                <w:sz w:val="18"/>
                <w:szCs w:val="18"/>
              </w:rPr>
            </w:pPr>
          </w:p>
        </w:tc>
      </w:tr>
      <w:tr w:rsidR="00E1435E" w:rsidRPr="00727629" w14:paraId="728CE797" w14:textId="77777777" w:rsidTr="006953AF">
        <w:tblPrEx>
          <w:tblCellMar>
            <w:top w:w="57" w:type="dxa"/>
            <w:left w:w="57" w:type="dxa"/>
            <w:bottom w:w="57" w:type="dxa"/>
            <w:right w:w="57" w:type="dxa"/>
          </w:tblCellMar>
        </w:tblPrEx>
        <w:tc>
          <w:tcPr>
            <w:tcW w:w="0" w:type="auto"/>
            <w:hideMark/>
          </w:tcPr>
          <w:p w14:paraId="41A63260" w14:textId="77777777" w:rsidR="00E1435E" w:rsidRPr="00727629" w:rsidRDefault="00E1435E" w:rsidP="00E1435E">
            <w:pPr>
              <w:numPr>
                <w:ilvl w:val="0"/>
                <w:numId w:val="14"/>
              </w:numPr>
              <w:spacing w:before="100" w:beforeAutospacing="1"/>
              <w:ind w:left="641" w:hanging="357"/>
              <w:rPr>
                <w:rFonts w:eastAsia="Times New Roman"/>
                <w:sz w:val="18"/>
                <w:szCs w:val="18"/>
              </w:rPr>
            </w:pPr>
            <w:r w:rsidRPr="00727629">
              <w:rPr>
                <w:rFonts w:eastAsia="Times New Roman"/>
                <w:sz w:val="18"/>
                <w:szCs w:val="18"/>
              </w:rPr>
              <w:t>received more than 2 days after symptom onset</w:t>
            </w:r>
          </w:p>
        </w:tc>
        <w:tc>
          <w:tcPr>
            <w:tcW w:w="0" w:type="auto"/>
            <w:hideMark/>
          </w:tcPr>
          <w:p w14:paraId="1FE76631" w14:textId="77777777" w:rsidR="00E1435E" w:rsidRPr="00727629" w:rsidRDefault="00E1435E" w:rsidP="00035553">
            <w:pPr>
              <w:pStyle w:val="NormalWeb"/>
              <w:jc w:val="center"/>
              <w:rPr>
                <w:sz w:val="18"/>
                <w:szCs w:val="18"/>
              </w:rPr>
            </w:pPr>
            <w:r w:rsidRPr="00727629">
              <w:rPr>
                <w:sz w:val="18"/>
                <w:szCs w:val="18"/>
              </w:rPr>
              <w:t>1 (13%)</w:t>
            </w:r>
          </w:p>
        </w:tc>
        <w:tc>
          <w:tcPr>
            <w:tcW w:w="1704" w:type="dxa"/>
            <w:hideMark/>
          </w:tcPr>
          <w:p w14:paraId="0B482D10" w14:textId="77777777" w:rsidR="00E1435E" w:rsidRPr="00727629" w:rsidRDefault="00E1435E" w:rsidP="00035553">
            <w:pPr>
              <w:pStyle w:val="NormalWeb"/>
              <w:jc w:val="center"/>
              <w:rPr>
                <w:sz w:val="18"/>
                <w:szCs w:val="18"/>
              </w:rPr>
            </w:pPr>
            <w:r w:rsidRPr="00727629">
              <w:rPr>
                <w:sz w:val="18"/>
                <w:szCs w:val="18"/>
              </w:rPr>
              <w:t>4 (80%)</w:t>
            </w:r>
          </w:p>
        </w:tc>
        <w:tc>
          <w:tcPr>
            <w:tcW w:w="1418" w:type="dxa"/>
            <w:hideMark/>
          </w:tcPr>
          <w:p w14:paraId="6AF56852" w14:textId="77777777" w:rsidR="00E1435E" w:rsidRPr="00727629" w:rsidRDefault="00E1435E" w:rsidP="00035553">
            <w:pPr>
              <w:pStyle w:val="NormalWeb"/>
              <w:jc w:val="center"/>
              <w:rPr>
                <w:sz w:val="18"/>
                <w:szCs w:val="18"/>
              </w:rPr>
            </w:pPr>
            <w:r w:rsidRPr="00727629">
              <w:rPr>
                <w:sz w:val="18"/>
                <w:szCs w:val="18"/>
              </w:rPr>
              <w:t>3 (75%)</w:t>
            </w:r>
          </w:p>
        </w:tc>
        <w:tc>
          <w:tcPr>
            <w:tcW w:w="1291" w:type="dxa"/>
            <w:hideMark/>
          </w:tcPr>
          <w:p w14:paraId="63B003C1" w14:textId="77777777" w:rsidR="00E1435E" w:rsidRPr="00727629" w:rsidRDefault="00E1435E" w:rsidP="00035553">
            <w:pPr>
              <w:jc w:val="center"/>
              <w:rPr>
                <w:sz w:val="18"/>
                <w:szCs w:val="18"/>
              </w:rPr>
            </w:pPr>
          </w:p>
        </w:tc>
      </w:tr>
      <w:tr w:rsidR="00E1435E" w:rsidRPr="00727629" w14:paraId="4F617D8C" w14:textId="77777777" w:rsidTr="006953A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29D7BF3" w14:textId="77777777" w:rsidR="00E1435E" w:rsidRPr="00727629" w:rsidRDefault="00E1435E" w:rsidP="00035553">
            <w:pPr>
              <w:pStyle w:val="NormalWeb"/>
              <w:rPr>
                <w:sz w:val="18"/>
                <w:szCs w:val="18"/>
              </w:rPr>
            </w:pPr>
            <w:r w:rsidRPr="00727629">
              <w:rPr>
                <w:sz w:val="18"/>
                <w:szCs w:val="18"/>
              </w:rPr>
              <w:t>Delay between onset and admission, median (IQR)</w:t>
            </w:r>
          </w:p>
        </w:tc>
        <w:tc>
          <w:tcPr>
            <w:tcW w:w="0" w:type="auto"/>
            <w:hideMark/>
          </w:tcPr>
          <w:p w14:paraId="0EA8E8EE" w14:textId="77777777" w:rsidR="00E1435E" w:rsidRPr="00727629" w:rsidRDefault="00E1435E" w:rsidP="00035553">
            <w:pPr>
              <w:pStyle w:val="NormalWeb"/>
              <w:jc w:val="center"/>
              <w:rPr>
                <w:sz w:val="18"/>
                <w:szCs w:val="18"/>
              </w:rPr>
            </w:pPr>
            <w:r w:rsidRPr="00727629">
              <w:rPr>
                <w:sz w:val="18"/>
                <w:szCs w:val="18"/>
              </w:rPr>
              <w:t>1.5 (0.5, 4.5)</w:t>
            </w:r>
          </w:p>
        </w:tc>
        <w:tc>
          <w:tcPr>
            <w:tcW w:w="1704" w:type="dxa"/>
            <w:hideMark/>
          </w:tcPr>
          <w:p w14:paraId="00FCA92A" w14:textId="77777777" w:rsidR="00E1435E" w:rsidRPr="00727629" w:rsidRDefault="00E1435E" w:rsidP="00035553">
            <w:pPr>
              <w:pStyle w:val="NormalWeb"/>
              <w:jc w:val="center"/>
              <w:rPr>
                <w:sz w:val="18"/>
                <w:szCs w:val="18"/>
              </w:rPr>
            </w:pPr>
            <w:r w:rsidRPr="00727629">
              <w:rPr>
                <w:sz w:val="18"/>
                <w:szCs w:val="18"/>
              </w:rPr>
              <w:t>6 (5, 7)</w:t>
            </w:r>
          </w:p>
        </w:tc>
        <w:tc>
          <w:tcPr>
            <w:tcW w:w="1418" w:type="dxa"/>
            <w:hideMark/>
          </w:tcPr>
          <w:p w14:paraId="77F2544C" w14:textId="77777777" w:rsidR="00E1435E" w:rsidRPr="00727629" w:rsidRDefault="00E1435E" w:rsidP="00035553">
            <w:pPr>
              <w:pStyle w:val="NormalWeb"/>
              <w:jc w:val="center"/>
              <w:rPr>
                <w:sz w:val="18"/>
                <w:szCs w:val="18"/>
              </w:rPr>
            </w:pPr>
            <w:r w:rsidRPr="00727629">
              <w:rPr>
                <w:sz w:val="18"/>
                <w:szCs w:val="18"/>
              </w:rPr>
              <w:t>3.5 (3, 5.5)</w:t>
            </w:r>
          </w:p>
        </w:tc>
        <w:tc>
          <w:tcPr>
            <w:tcW w:w="1291" w:type="dxa"/>
            <w:hideMark/>
          </w:tcPr>
          <w:p w14:paraId="2698CF9D" w14:textId="77777777" w:rsidR="00E1435E" w:rsidRPr="00727629" w:rsidRDefault="00E1435E" w:rsidP="00035553">
            <w:pPr>
              <w:pStyle w:val="NormalWeb"/>
              <w:jc w:val="center"/>
              <w:rPr>
                <w:sz w:val="18"/>
                <w:szCs w:val="18"/>
              </w:rPr>
            </w:pPr>
            <w:r w:rsidRPr="00727629">
              <w:rPr>
                <w:sz w:val="18"/>
                <w:szCs w:val="18"/>
              </w:rPr>
              <w:t>0.08</w:t>
            </w:r>
          </w:p>
        </w:tc>
      </w:tr>
      <w:tr w:rsidR="00E1435E" w:rsidRPr="00727629" w14:paraId="41B8CB18" w14:textId="77777777" w:rsidTr="006953AF">
        <w:tblPrEx>
          <w:tblCellMar>
            <w:top w:w="57" w:type="dxa"/>
            <w:left w:w="57" w:type="dxa"/>
            <w:bottom w:w="57" w:type="dxa"/>
            <w:right w:w="57" w:type="dxa"/>
          </w:tblCellMar>
        </w:tblPrEx>
        <w:tc>
          <w:tcPr>
            <w:tcW w:w="0" w:type="auto"/>
            <w:hideMark/>
          </w:tcPr>
          <w:p w14:paraId="6A1A3095" w14:textId="77777777" w:rsidR="00E1435E" w:rsidRPr="00727629" w:rsidRDefault="00E1435E" w:rsidP="00035553">
            <w:pPr>
              <w:pStyle w:val="NormalWeb"/>
              <w:rPr>
                <w:sz w:val="18"/>
                <w:szCs w:val="18"/>
              </w:rPr>
            </w:pPr>
            <w:r w:rsidRPr="00727629">
              <w:rPr>
                <w:sz w:val="18"/>
                <w:szCs w:val="18"/>
              </w:rPr>
              <w:t xml:space="preserve">Delay between onset and </w:t>
            </w:r>
            <w:proofErr w:type="spellStart"/>
            <w:proofErr w:type="gramStart"/>
            <w:r w:rsidRPr="00727629">
              <w:rPr>
                <w:sz w:val="18"/>
                <w:szCs w:val="18"/>
              </w:rPr>
              <w:t>treatment,</w:t>
            </w:r>
            <w:r w:rsidRPr="00A0103A">
              <w:rPr>
                <w:sz w:val="18"/>
                <w:szCs w:val="18"/>
                <w:vertAlign w:val="superscript"/>
              </w:rPr>
              <w:t>a</w:t>
            </w:r>
            <w:proofErr w:type="spellEnd"/>
            <w:proofErr w:type="gramEnd"/>
            <w:r w:rsidRPr="00727629">
              <w:rPr>
                <w:sz w:val="18"/>
                <w:szCs w:val="18"/>
              </w:rPr>
              <w:t xml:space="preserve"> median (IQR)</w:t>
            </w:r>
          </w:p>
        </w:tc>
        <w:tc>
          <w:tcPr>
            <w:tcW w:w="0" w:type="auto"/>
            <w:hideMark/>
          </w:tcPr>
          <w:p w14:paraId="09C6C456" w14:textId="77777777" w:rsidR="00E1435E" w:rsidRPr="00727629" w:rsidRDefault="00E1435E" w:rsidP="00035553">
            <w:pPr>
              <w:pStyle w:val="NormalWeb"/>
              <w:jc w:val="center"/>
              <w:rPr>
                <w:sz w:val="18"/>
                <w:szCs w:val="18"/>
              </w:rPr>
            </w:pPr>
            <w:r w:rsidRPr="00727629">
              <w:rPr>
                <w:sz w:val="18"/>
                <w:szCs w:val="18"/>
              </w:rPr>
              <w:t>4 (1, 7)</w:t>
            </w:r>
          </w:p>
        </w:tc>
        <w:tc>
          <w:tcPr>
            <w:tcW w:w="1704" w:type="dxa"/>
            <w:hideMark/>
          </w:tcPr>
          <w:p w14:paraId="2966C28D" w14:textId="77777777" w:rsidR="00E1435E" w:rsidRPr="00727629" w:rsidRDefault="00E1435E" w:rsidP="00035553">
            <w:pPr>
              <w:pStyle w:val="NormalWeb"/>
              <w:jc w:val="center"/>
              <w:rPr>
                <w:sz w:val="18"/>
                <w:szCs w:val="18"/>
              </w:rPr>
            </w:pPr>
            <w:r w:rsidRPr="00727629">
              <w:rPr>
                <w:sz w:val="18"/>
                <w:szCs w:val="18"/>
              </w:rPr>
              <w:t>5 (4.5, 7)</w:t>
            </w:r>
          </w:p>
        </w:tc>
        <w:tc>
          <w:tcPr>
            <w:tcW w:w="1418" w:type="dxa"/>
            <w:hideMark/>
          </w:tcPr>
          <w:p w14:paraId="6642749C" w14:textId="77777777" w:rsidR="00E1435E" w:rsidRPr="00727629" w:rsidRDefault="00E1435E" w:rsidP="00035553">
            <w:pPr>
              <w:pStyle w:val="NormalWeb"/>
              <w:jc w:val="center"/>
              <w:rPr>
                <w:sz w:val="18"/>
                <w:szCs w:val="18"/>
              </w:rPr>
            </w:pPr>
            <w:r w:rsidRPr="00727629">
              <w:rPr>
                <w:sz w:val="18"/>
                <w:szCs w:val="18"/>
              </w:rPr>
              <w:t>5 (4, 5)</w:t>
            </w:r>
          </w:p>
        </w:tc>
        <w:tc>
          <w:tcPr>
            <w:tcW w:w="1291" w:type="dxa"/>
            <w:hideMark/>
          </w:tcPr>
          <w:p w14:paraId="1E807943" w14:textId="77777777" w:rsidR="00E1435E" w:rsidRPr="00727629" w:rsidRDefault="00E1435E" w:rsidP="00035553">
            <w:pPr>
              <w:pStyle w:val="NormalWeb"/>
              <w:jc w:val="center"/>
              <w:rPr>
                <w:sz w:val="18"/>
                <w:szCs w:val="18"/>
              </w:rPr>
            </w:pPr>
            <w:r w:rsidRPr="00727629">
              <w:rPr>
                <w:sz w:val="18"/>
                <w:szCs w:val="18"/>
              </w:rPr>
              <w:t>0.81</w:t>
            </w:r>
          </w:p>
        </w:tc>
      </w:tr>
      <w:tr w:rsidR="00E1435E" w:rsidRPr="00727629" w14:paraId="60FE80B3" w14:textId="77777777" w:rsidTr="006953A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95423B2" w14:textId="77777777" w:rsidR="00E1435E" w:rsidRPr="00727629" w:rsidRDefault="00E1435E" w:rsidP="00035553">
            <w:pPr>
              <w:pStyle w:val="NormalWeb"/>
              <w:rPr>
                <w:sz w:val="18"/>
                <w:szCs w:val="18"/>
              </w:rPr>
            </w:pPr>
            <w:r w:rsidRPr="00727629">
              <w:rPr>
                <w:sz w:val="18"/>
                <w:szCs w:val="18"/>
              </w:rPr>
              <w:t>Length of stay, median (IQR)</w:t>
            </w:r>
          </w:p>
        </w:tc>
        <w:tc>
          <w:tcPr>
            <w:tcW w:w="0" w:type="auto"/>
            <w:hideMark/>
          </w:tcPr>
          <w:p w14:paraId="5BEA448C" w14:textId="77777777" w:rsidR="00E1435E" w:rsidRPr="00727629" w:rsidRDefault="00E1435E" w:rsidP="00035553">
            <w:pPr>
              <w:pStyle w:val="NormalWeb"/>
              <w:jc w:val="center"/>
              <w:rPr>
                <w:sz w:val="18"/>
                <w:szCs w:val="18"/>
              </w:rPr>
            </w:pPr>
            <w:r w:rsidRPr="00727629">
              <w:rPr>
                <w:sz w:val="18"/>
                <w:szCs w:val="18"/>
              </w:rPr>
              <w:t>2.5 (1, 3)</w:t>
            </w:r>
          </w:p>
        </w:tc>
        <w:tc>
          <w:tcPr>
            <w:tcW w:w="1704" w:type="dxa"/>
            <w:hideMark/>
          </w:tcPr>
          <w:p w14:paraId="45548361" w14:textId="77777777" w:rsidR="00E1435E" w:rsidRPr="00727629" w:rsidRDefault="00E1435E" w:rsidP="00035553">
            <w:pPr>
              <w:pStyle w:val="NormalWeb"/>
              <w:jc w:val="center"/>
              <w:rPr>
                <w:sz w:val="18"/>
                <w:szCs w:val="18"/>
              </w:rPr>
            </w:pPr>
            <w:r w:rsidRPr="00727629">
              <w:rPr>
                <w:sz w:val="18"/>
                <w:szCs w:val="18"/>
              </w:rPr>
              <w:t>3 (2, 3)</w:t>
            </w:r>
          </w:p>
        </w:tc>
        <w:tc>
          <w:tcPr>
            <w:tcW w:w="1418" w:type="dxa"/>
            <w:hideMark/>
          </w:tcPr>
          <w:p w14:paraId="5640F5E1" w14:textId="77777777" w:rsidR="00E1435E" w:rsidRPr="00727629" w:rsidRDefault="00E1435E" w:rsidP="00035553">
            <w:pPr>
              <w:pStyle w:val="NormalWeb"/>
              <w:jc w:val="center"/>
              <w:rPr>
                <w:sz w:val="18"/>
                <w:szCs w:val="18"/>
              </w:rPr>
            </w:pPr>
            <w:r w:rsidRPr="00727629">
              <w:rPr>
                <w:sz w:val="18"/>
                <w:szCs w:val="18"/>
              </w:rPr>
              <w:t>4.5 (1.5, 8.5)</w:t>
            </w:r>
          </w:p>
        </w:tc>
        <w:tc>
          <w:tcPr>
            <w:tcW w:w="1291" w:type="dxa"/>
            <w:hideMark/>
          </w:tcPr>
          <w:p w14:paraId="1525AA2F" w14:textId="77777777" w:rsidR="00E1435E" w:rsidRPr="00727629" w:rsidRDefault="00E1435E" w:rsidP="00035553">
            <w:pPr>
              <w:pStyle w:val="NormalWeb"/>
              <w:jc w:val="center"/>
              <w:rPr>
                <w:sz w:val="18"/>
                <w:szCs w:val="18"/>
              </w:rPr>
            </w:pPr>
            <w:r w:rsidRPr="00727629">
              <w:rPr>
                <w:sz w:val="18"/>
                <w:szCs w:val="18"/>
              </w:rPr>
              <w:t>0.66</w:t>
            </w:r>
          </w:p>
        </w:tc>
      </w:tr>
    </w:tbl>
    <w:p w14:paraId="1E9C32A3" w14:textId="77777777" w:rsidR="00E1435E" w:rsidRPr="00E1435E" w:rsidRDefault="00E1435E" w:rsidP="00E1435E">
      <w:pPr>
        <w:pStyle w:val="CDIfootnotes"/>
      </w:pPr>
      <w:proofErr w:type="spellStart"/>
      <w:r w:rsidRPr="00E1435E">
        <w:t>a</w:t>
      </w:r>
      <w:proofErr w:type="spellEnd"/>
      <w:r w:rsidRPr="00E1435E">
        <w:tab/>
      </w:r>
      <w:proofErr w:type="gramStart"/>
      <w:r w:rsidRPr="00E1435E">
        <w:t>Of</w:t>
      </w:r>
      <w:proofErr w:type="gramEnd"/>
      <w:r w:rsidRPr="00E1435E">
        <w:t xml:space="preserve"> patients who received oseltamivir.</w:t>
      </w:r>
    </w:p>
    <w:p w14:paraId="23E8F8D9" w14:textId="6E9CA7B7" w:rsidR="00AA2B29" w:rsidRPr="003B1893" w:rsidRDefault="00AA2B29" w:rsidP="00AA2B29">
      <w:pPr>
        <w:pStyle w:val="CDIFigures"/>
        <w:rPr>
          <w:w w:val="90"/>
        </w:rPr>
      </w:pPr>
      <w:r w:rsidRPr="003B1893">
        <w:rPr>
          <w:rStyle w:val="Strong"/>
          <w:b/>
          <w:bCs w:val="0"/>
          <w:w w:val="90"/>
        </w:rPr>
        <w:t>Figure A.1: Incidence of confirmed influenza (per 100 influenza tests and per 1000 admissions) by epidemiological week</w:t>
      </w:r>
    </w:p>
    <w:p w14:paraId="6CAD17C7" w14:textId="77777777" w:rsidR="00AA2B29" w:rsidRDefault="00AA2B29" w:rsidP="00AA2B29">
      <w:pPr>
        <w:rPr>
          <w:rFonts w:eastAsia="Times New Roman"/>
          <w:lang w:val="en-GB"/>
        </w:rPr>
      </w:pPr>
      <w:r>
        <w:rPr>
          <w:rFonts w:eastAsia="Times New Roman"/>
          <w:noProof/>
          <w:lang w:val="en-GB"/>
        </w:rPr>
        <w:drawing>
          <wp:inline distT="0" distB="0" distL="0" distR="0" wp14:anchorId="1B437851" wp14:editId="322CFFD1">
            <wp:extent cx="6300229" cy="4105664"/>
            <wp:effectExtent l="0" t="0" r="5715" b="9525"/>
            <wp:docPr id="4" name="Picture 4" descr="This graph shows the rate of influenza cases at the sentinel hospitals, expressed per 1000 admissions and per 100 influenza tests, by week. It shows the timing and peak of the influenza season (week 15) which highlights a very low number of cases when expressed per 1000 admissions and per 100 influenza t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graph shows the rate of influenza cases at the sentinel hospitals, expressed per 1000 admissions and per 100 influenza tests, by week. It shows the timing and peak of the influenza season (week 15) which highlights a very low number of cases when expressed per 1000 admissions and per 100 influenza tests."/>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300229" cy="4105664"/>
                    </a:xfrm>
                    <a:prstGeom prst="rect">
                      <a:avLst/>
                    </a:prstGeom>
                  </pic:spPr>
                </pic:pic>
              </a:graphicData>
            </a:graphic>
          </wp:inline>
        </w:drawing>
      </w:r>
    </w:p>
    <w:p w14:paraId="6048A6E2" w14:textId="77777777" w:rsidR="00AA2B29" w:rsidRDefault="00AA2B29">
      <w:pPr>
        <w:rPr>
          <w:rStyle w:val="Strong"/>
          <w:bCs w:val="0"/>
        </w:rPr>
      </w:pPr>
      <w:r>
        <w:rPr>
          <w:rStyle w:val="Strong"/>
          <w:b w:val="0"/>
          <w:bCs w:val="0"/>
        </w:rPr>
        <w:br w:type="page"/>
      </w:r>
    </w:p>
    <w:p w14:paraId="186AC161" w14:textId="3D577C4F" w:rsidR="00AA2B29" w:rsidRPr="003B1893" w:rsidRDefault="00AA2B29" w:rsidP="00AA2B29">
      <w:pPr>
        <w:pStyle w:val="CDIFigures"/>
      </w:pPr>
      <w:r w:rsidRPr="003B1893">
        <w:rPr>
          <w:rStyle w:val="Strong"/>
          <w:b/>
          <w:bCs w:val="0"/>
        </w:rPr>
        <w:lastRenderedPageBreak/>
        <w:t xml:space="preserve">Figure A.2: Peak incidence of confirmed influenza (per 100 hospital beds per week) by </w:t>
      </w:r>
      <w:proofErr w:type="spellStart"/>
      <w:r w:rsidRPr="003B1893">
        <w:rPr>
          <w:rStyle w:val="Strong"/>
          <w:b/>
          <w:bCs w:val="0"/>
        </w:rPr>
        <w:t>hospital</w:t>
      </w:r>
      <w:r w:rsidRPr="003B1893">
        <w:rPr>
          <w:rStyle w:val="Strong"/>
          <w:b/>
          <w:bCs w:val="0"/>
          <w:vertAlign w:val="superscript"/>
        </w:rPr>
        <w:t>a</w:t>
      </w:r>
      <w:proofErr w:type="spellEnd"/>
    </w:p>
    <w:p w14:paraId="52896ACC" w14:textId="77777777" w:rsidR="00AA2B29" w:rsidRDefault="00AA2B29" w:rsidP="00AA2B29">
      <w:pPr>
        <w:rPr>
          <w:rFonts w:eastAsia="Times New Roman"/>
          <w:lang w:val="en-GB"/>
        </w:rPr>
      </w:pPr>
      <w:r>
        <w:rPr>
          <w:rFonts w:eastAsia="Times New Roman"/>
          <w:noProof/>
          <w:lang w:val="en-GB"/>
        </w:rPr>
        <w:drawing>
          <wp:inline distT="0" distB="0" distL="0" distR="0" wp14:anchorId="36BF627B" wp14:editId="035EBB96">
            <wp:extent cx="6120396" cy="5532131"/>
            <wp:effectExtent l="0" t="0" r="0" b="0"/>
            <wp:docPr id="5" name="Picture 5" descr="Appendix Figure 2: This graph compares the peak number of influenza cases per 100 hospital beds at each sentinel site. It shows that after adjusting for hospital size, the peak rate of admissions was highest at 1.2 per 100 hospital beds in Children’s Hospital at Westmead; with smaller incidence rates reported at majority of the sentinel hospita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ppendix Figure 2: This graph compares the peak number of influenza cases per 100 hospital beds at each sentinel site. It shows that after adjusting for hospital size, the peak rate of admissions was highest at 1.2 per 100 hospital beds in Children’s Hospital at Westmead; with smaller incidence rates reported at majority of the sentinel hospitals. &#10;"/>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120396" cy="5532131"/>
                    </a:xfrm>
                    <a:prstGeom prst="rect">
                      <a:avLst/>
                    </a:prstGeom>
                  </pic:spPr>
                </pic:pic>
              </a:graphicData>
            </a:graphic>
          </wp:inline>
        </w:drawing>
      </w:r>
    </w:p>
    <w:p w14:paraId="7CD2F5AA" w14:textId="77777777" w:rsidR="00AA2B29" w:rsidRPr="00010D28" w:rsidRDefault="00AA2B29" w:rsidP="00AA2B29">
      <w:pPr>
        <w:pStyle w:val="CDIfootnotes"/>
      </w:pPr>
      <w:r w:rsidRPr="00010D28">
        <w:t>CA: Canberra Hospital; CLV: Calvary Hospital; CHW: Children’s Hospital at Westmead; JHH: John Hunter Hospital; WE: Westmead Hospital; AS: Alice Springs Hospital; RDH: Royal Darwin Hospital; QCH: Queen’s Children Hospital; CB: Cairns Base Hospital; MA: Mater Hospital; PA: Princess Alexandra Hospital; RA: Royal Adelaide; WCH: Women’s and Children’s Hospital; RH: Royal Hobart Hospital; AL: The Alfred Hospital; GL: University Hospital Geelong; MCH: Monash Children’s Hospital; MM: Monash Medical Centre; RCH: Royal Children’s Hospital; RM: Royal Melbourne; PCH: Perth Children’s Hospital; RP: Royal Perth Hospital.</w:t>
      </w:r>
    </w:p>
    <w:p w14:paraId="150572B4"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0D0E1778"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0A7134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49BB64E" w14:textId="77777777" w:rsidR="000A5F42" w:rsidRPr="000606CC" w:rsidRDefault="000A5F42" w:rsidP="000A5F42">
      <w:pPr>
        <w:pStyle w:val="NoSpacing"/>
        <w:rPr>
          <w:rStyle w:val="URI"/>
          <w:rFonts w:cstheme="minorHAnsi"/>
          <w:sz w:val="20"/>
          <w:szCs w:val="18"/>
        </w:rPr>
      </w:pPr>
    </w:p>
    <w:p w14:paraId="74AD9FA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43D1E6C3" w14:textId="77777777" w:rsidR="000A5F42" w:rsidRPr="000606CC" w:rsidRDefault="000A5F42" w:rsidP="000A5F42">
      <w:pPr>
        <w:pStyle w:val="NoSpacing"/>
        <w:rPr>
          <w:rStyle w:val="Strong"/>
          <w:rFonts w:cstheme="minorHAnsi"/>
          <w:sz w:val="20"/>
          <w:szCs w:val="18"/>
        </w:rPr>
      </w:pPr>
    </w:p>
    <w:p w14:paraId="668EA9A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0A0FF55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144CE5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7ADE75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15907309" w14:textId="77777777" w:rsidR="000A5F42" w:rsidRPr="000606CC" w:rsidRDefault="000A5F42" w:rsidP="000A5F42">
      <w:pPr>
        <w:pStyle w:val="NoSpacing"/>
        <w:rPr>
          <w:rStyle w:val="Strong"/>
          <w:rFonts w:cstheme="minorHAnsi"/>
          <w:sz w:val="20"/>
          <w:szCs w:val="18"/>
        </w:rPr>
      </w:pPr>
    </w:p>
    <w:p w14:paraId="6199DADD" w14:textId="3CFF9CB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7"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66E2BC5" w14:textId="77777777" w:rsidR="000A5F42" w:rsidRPr="000606CC" w:rsidRDefault="000A5F42" w:rsidP="000A5F42">
      <w:pPr>
        <w:pStyle w:val="NoSpacing"/>
        <w:rPr>
          <w:rStyle w:val="Strong"/>
          <w:rFonts w:cstheme="minorHAnsi"/>
          <w:sz w:val="20"/>
          <w:szCs w:val="18"/>
        </w:rPr>
      </w:pPr>
    </w:p>
    <w:p w14:paraId="2B921C74"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1F5A5999" w14:textId="77777777" w:rsidR="000A5F42" w:rsidRPr="000606CC" w:rsidRDefault="000A5F42" w:rsidP="000A5F42">
      <w:pPr>
        <w:pStyle w:val="NoSpacing"/>
        <w:rPr>
          <w:rStyle w:val="Strong"/>
          <w:rFonts w:cstheme="minorHAnsi"/>
          <w:sz w:val="20"/>
          <w:szCs w:val="18"/>
        </w:rPr>
      </w:pPr>
    </w:p>
    <w:p w14:paraId="682BF2AF" w14:textId="0B28495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8"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90A14F0" w14:textId="77777777" w:rsidR="000A5F42" w:rsidRPr="000606CC" w:rsidRDefault="000A5F42" w:rsidP="000A5F42">
      <w:pPr>
        <w:pStyle w:val="NoSpacing"/>
        <w:rPr>
          <w:rStyle w:val="Strong"/>
          <w:rFonts w:cstheme="minorHAnsi"/>
          <w:sz w:val="20"/>
          <w:szCs w:val="18"/>
        </w:rPr>
      </w:pPr>
    </w:p>
    <w:p w14:paraId="12D23493" w14:textId="195657E3"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9"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537A8C5" w14:textId="3967DA2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0" w:history="1">
        <w:r w:rsidRPr="000606CC">
          <w:rPr>
            <w:rStyle w:val="Hyperlink"/>
            <w:rFonts w:cstheme="minorHAnsi"/>
            <w:sz w:val="20"/>
            <w:szCs w:val="18"/>
          </w:rPr>
          <w:t>cdi.editor@health.gov.au</w:t>
        </w:r>
      </w:hyperlink>
      <w:r w:rsidRPr="000606CC">
        <w:rPr>
          <w:rFonts w:cstheme="minorHAnsi"/>
          <w:sz w:val="20"/>
          <w:szCs w:val="18"/>
        </w:rPr>
        <w:t>.</w:t>
      </w:r>
    </w:p>
    <w:p w14:paraId="63525E56" w14:textId="77777777" w:rsidR="000A5F42" w:rsidRPr="000606CC" w:rsidRDefault="000A5F42" w:rsidP="000A5F42">
      <w:pPr>
        <w:pStyle w:val="NoSpacing"/>
        <w:pBdr>
          <w:bottom w:val="single" w:sz="6" w:space="1" w:color="auto"/>
        </w:pBdr>
        <w:rPr>
          <w:rStyle w:val="Strong"/>
          <w:rFonts w:cstheme="minorHAnsi"/>
          <w:sz w:val="12"/>
          <w:szCs w:val="18"/>
        </w:rPr>
      </w:pPr>
    </w:p>
    <w:p w14:paraId="69FA0219" w14:textId="77777777" w:rsidR="000A5F42" w:rsidRPr="000606CC" w:rsidRDefault="000A5F42" w:rsidP="000A5F42">
      <w:pPr>
        <w:pStyle w:val="NoSpacing"/>
        <w:rPr>
          <w:rFonts w:cstheme="minorHAnsi"/>
          <w:sz w:val="20"/>
          <w:szCs w:val="18"/>
        </w:rPr>
      </w:pPr>
    </w:p>
    <w:p w14:paraId="372F78C3"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33389819" w14:textId="77777777" w:rsidR="000A5F42" w:rsidRPr="000606CC" w:rsidRDefault="000A5F42" w:rsidP="000A5F42">
      <w:pPr>
        <w:pStyle w:val="NoSpacing"/>
        <w:rPr>
          <w:rFonts w:cstheme="minorHAnsi"/>
          <w:sz w:val="20"/>
          <w:szCs w:val="18"/>
        </w:rPr>
      </w:pPr>
    </w:p>
    <w:p w14:paraId="1D2FC6F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CF0709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0C358C">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3F1CCEB6" w14:textId="5FF604A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1"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F33053E" w14:textId="77777777" w:rsidR="000A5F42" w:rsidRPr="000606CC" w:rsidRDefault="000A5F42" w:rsidP="000A5F42">
      <w:pPr>
        <w:pStyle w:val="NoSpacing"/>
        <w:rPr>
          <w:rFonts w:cstheme="minorHAnsi"/>
          <w:sz w:val="20"/>
          <w:szCs w:val="18"/>
        </w:rPr>
      </w:pPr>
    </w:p>
    <w:p w14:paraId="735CEF4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F54ECEF" w14:textId="7A87901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2"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08125AD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3332DD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D734FA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BC28CE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1A39930" w14:textId="77777777" w:rsidR="000A5F42" w:rsidRPr="000606CC" w:rsidRDefault="000A5F42" w:rsidP="000A5F42">
      <w:pPr>
        <w:pStyle w:val="NoSpacing"/>
        <w:rPr>
          <w:rStyle w:val="Strong"/>
          <w:rFonts w:cstheme="minorHAnsi"/>
          <w:sz w:val="20"/>
          <w:szCs w:val="18"/>
        </w:rPr>
      </w:pPr>
    </w:p>
    <w:p w14:paraId="1C388D3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08F7650" w14:textId="77777777" w:rsidR="000A5F42" w:rsidRPr="000606CC" w:rsidRDefault="000A5F42" w:rsidP="000A5F42">
      <w:pPr>
        <w:pStyle w:val="NoSpacing"/>
        <w:rPr>
          <w:rStyle w:val="Strong"/>
          <w:rFonts w:cstheme="minorHAnsi"/>
          <w:sz w:val="20"/>
          <w:szCs w:val="18"/>
        </w:rPr>
      </w:pPr>
    </w:p>
    <w:p w14:paraId="5ABABF64" w14:textId="57C9BF6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3"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94D417C" w14:textId="77777777" w:rsidR="000A5F42" w:rsidRPr="000606CC" w:rsidRDefault="000A5F42" w:rsidP="000A5F42">
      <w:pPr>
        <w:pStyle w:val="NoSpacing"/>
        <w:rPr>
          <w:rStyle w:val="URI"/>
          <w:rFonts w:cstheme="minorHAnsi"/>
          <w:sz w:val="20"/>
          <w:szCs w:val="18"/>
        </w:rPr>
      </w:pPr>
    </w:p>
    <w:p w14:paraId="33D609F0" w14:textId="2E0600F3"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4" w:tooltip="Communicable Diseases Network Australia website" w:history="1">
        <w:r w:rsidRPr="000606CC">
          <w:rPr>
            <w:rStyle w:val="Hyperlink"/>
            <w:rFonts w:cstheme="minorHAnsi"/>
            <w:sz w:val="20"/>
            <w:szCs w:val="18"/>
          </w:rPr>
          <w:t>http://www.health.gov.au/cdna</w:t>
        </w:r>
      </w:hyperlink>
    </w:p>
    <w:p w14:paraId="35481880" w14:textId="77777777" w:rsidR="001B37B8" w:rsidRPr="00E92237" w:rsidRDefault="001B37B8" w:rsidP="001B37B8">
      <w:pPr>
        <w:rPr>
          <w:rFonts w:cs="Myriad Pro"/>
          <w:color w:val="211D1E"/>
          <w:sz w:val="20"/>
          <w:szCs w:val="20"/>
        </w:rPr>
      </w:pPr>
    </w:p>
    <w:sectPr w:rsidR="001B37B8" w:rsidRPr="00E92237" w:rsidSect="002B75A9">
      <w:headerReference w:type="default" r:id="rId25"/>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F2627" w14:textId="77777777" w:rsidR="00035553" w:rsidRDefault="00035553" w:rsidP="00E54DBA">
      <w:r>
        <w:separator/>
      </w:r>
    </w:p>
    <w:p w14:paraId="254799C9" w14:textId="77777777" w:rsidR="00035553" w:rsidRDefault="00035553"/>
    <w:p w14:paraId="46E371E9" w14:textId="77777777" w:rsidR="00035553" w:rsidRDefault="00035553" w:rsidP="008714B0"/>
  </w:endnote>
  <w:endnote w:type="continuationSeparator" w:id="0">
    <w:p w14:paraId="74C61163" w14:textId="77777777" w:rsidR="00035553" w:rsidRDefault="00035553" w:rsidP="00E54DBA">
      <w:r>
        <w:continuationSeparator/>
      </w:r>
    </w:p>
    <w:p w14:paraId="6D960543" w14:textId="77777777" w:rsidR="00035553" w:rsidRDefault="00035553"/>
    <w:p w14:paraId="2F54D6C0" w14:textId="77777777" w:rsidR="00035553" w:rsidRDefault="0003555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6F0C5" w14:textId="5C1A33B2" w:rsidR="00035553" w:rsidRPr="0042435E" w:rsidRDefault="00035553"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3B0593">
      <w:rPr>
        <w:i/>
        <w:sz w:val="18"/>
      </w:rPr>
      <w:t>Commun</w:t>
    </w:r>
    <w:proofErr w:type="spellEnd"/>
    <w:r w:rsidRPr="003B0593">
      <w:rPr>
        <w:i/>
        <w:sz w:val="18"/>
      </w:rPr>
      <w:t xml:space="preserve"> Dis </w:t>
    </w:r>
    <w:proofErr w:type="spellStart"/>
    <w:r w:rsidRPr="003B0593">
      <w:rPr>
        <w:i/>
        <w:sz w:val="18"/>
      </w:rPr>
      <w:t>Intell</w:t>
    </w:r>
    <w:proofErr w:type="spellEnd"/>
    <w:r w:rsidRPr="003B0593">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F21EB3">
      <w:rPr>
        <w:sz w:val="18"/>
      </w:rPr>
      <w:t>https://doi.org/10.33321/cdi.2022.46.13</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EA0777">
      <w:rPr>
        <w:sz w:val="18"/>
      </w:rPr>
      <w:t>28/03/2022</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AA1D9" w14:textId="4C774D88" w:rsidR="00035553" w:rsidRPr="00BB5378" w:rsidRDefault="00035553"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3B0593">
      <w:rPr>
        <w:i/>
        <w:sz w:val="18"/>
      </w:rPr>
      <w:t>Commun</w:t>
    </w:r>
    <w:proofErr w:type="spellEnd"/>
    <w:r w:rsidRPr="003B0593">
      <w:rPr>
        <w:i/>
        <w:sz w:val="18"/>
      </w:rPr>
      <w:t xml:space="preserve"> Dis </w:t>
    </w:r>
    <w:proofErr w:type="spellStart"/>
    <w:r w:rsidRPr="003B0593">
      <w:rPr>
        <w:i/>
        <w:sz w:val="18"/>
      </w:rPr>
      <w:t>Intell</w:t>
    </w:r>
    <w:proofErr w:type="spellEnd"/>
    <w:r w:rsidRPr="003B0593">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F21EB3">
      <w:rPr>
        <w:sz w:val="18"/>
      </w:rPr>
      <w:t>https://doi.org/10.33321/cdi.2022.46.13</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EA0777">
      <w:rPr>
        <w:sz w:val="18"/>
      </w:rPr>
      <w:t>28/03/2022</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DA9C3" w14:textId="77777777" w:rsidR="00035553" w:rsidRPr="00B91FB5" w:rsidRDefault="00035553" w:rsidP="00B91FB5">
      <w:pPr>
        <w:spacing w:after="0" w:line="240" w:lineRule="auto"/>
        <w:rPr>
          <w:sz w:val="18"/>
          <w:szCs w:val="18"/>
        </w:rPr>
      </w:pPr>
      <w:r w:rsidRPr="00B91FB5">
        <w:rPr>
          <w:sz w:val="18"/>
          <w:szCs w:val="18"/>
        </w:rPr>
        <w:separator/>
      </w:r>
    </w:p>
  </w:footnote>
  <w:footnote w:type="continuationSeparator" w:id="0">
    <w:p w14:paraId="6826DE96" w14:textId="77777777" w:rsidR="00035553" w:rsidRDefault="00035553" w:rsidP="00E54DBA">
      <w:r>
        <w:continuationSeparator/>
      </w:r>
    </w:p>
  </w:footnote>
  <w:footnote w:type="continuationNotice" w:id="1">
    <w:p w14:paraId="5512A406" w14:textId="77777777" w:rsidR="00035553" w:rsidRPr="00224EFF" w:rsidRDefault="00035553"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7F2E2" w14:textId="4C615964" w:rsidR="00035553" w:rsidRPr="00A153B6" w:rsidRDefault="00E71EA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035553">
          <w:t>Annual report</w:t>
        </w:r>
      </w:sdtContent>
    </w:sdt>
    <w:r w:rsidR="00035553">
      <w:ptab w:relativeTo="margin" w:alignment="right" w:leader="none"/>
    </w:r>
    <w:r w:rsidR="00035553"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4B0E0" w14:textId="77777777" w:rsidR="00035553" w:rsidRPr="000A5F42" w:rsidRDefault="00035553" w:rsidP="000A5F42">
    <w:pPr>
      <w:pStyle w:val="Header"/>
      <w:jc w:val="center"/>
      <w:rPr>
        <w:b/>
      </w:rPr>
    </w:pPr>
    <w:r w:rsidRPr="00E810C5">
      <w:rPr>
        <w:rFonts w:cs="Myriad Pro"/>
        <w:noProof/>
        <w:color w:val="211D1E"/>
        <w:sz w:val="16"/>
      </w:rPr>
      <w:drawing>
        <wp:inline distT="0" distB="0" distL="0" distR="0" wp14:anchorId="474951CB" wp14:editId="62D3AA91">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5449"/>
    <w:multiLevelType w:val="multilevel"/>
    <w:tmpl w:val="77546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365DA"/>
    <w:multiLevelType w:val="multilevel"/>
    <w:tmpl w:val="2D90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B2C9A"/>
    <w:multiLevelType w:val="multilevel"/>
    <w:tmpl w:val="B542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AA40BD"/>
    <w:multiLevelType w:val="multilevel"/>
    <w:tmpl w:val="BC9E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46C2F"/>
    <w:multiLevelType w:val="hybridMultilevel"/>
    <w:tmpl w:val="24E484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A43F55"/>
    <w:multiLevelType w:val="hybridMultilevel"/>
    <w:tmpl w:val="BF547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B63C97"/>
    <w:multiLevelType w:val="multilevel"/>
    <w:tmpl w:val="4372F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946816"/>
    <w:multiLevelType w:val="hybridMultilevel"/>
    <w:tmpl w:val="C57CBD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3"/>
  </w:num>
  <w:num w:numId="5">
    <w:abstractNumId w:val="11"/>
  </w:num>
  <w:num w:numId="6">
    <w:abstractNumId w:val="12"/>
  </w:num>
  <w:num w:numId="7">
    <w:abstractNumId w:val="1"/>
  </w:num>
  <w:num w:numId="8">
    <w:abstractNumId w:val="10"/>
  </w:num>
  <w:num w:numId="9">
    <w:abstractNumId w:val="0"/>
  </w:num>
  <w:num w:numId="10">
    <w:abstractNumId w:val="7"/>
  </w:num>
  <w:num w:numId="11">
    <w:abstractNumId w:val="6"/>
  </w:num>
  <w:num w:numId="12">
    <w:abstractNumId w:val="1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843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8C"/>
    <w:rsid w:val="00000B5B"/>
    <w:rsid w:val="00001611"/>
    <w:rsid w:val="000104A8"/>
    <w:rsid w:val="0001246E"/>
    <w:rsid w:val="000124B1"/>
    <w:rsid w:val="00016FE6"/>
    <w:rsid w:val="00031064"/>
    <w:rsid w:val="00031692"/>
    <w:rsid w:val="00032531"/>
    <w:rsid w:val="000325A0"/>
    <w:rsid w:val="00035553"/>
    <w:rsid w:val="000471BF"/>
    <w:rsid w:val="00047B68"/>
    <w:rsid w:val="00052600"/>
    <w:rsid w:val="0005643C"/>
    <w:rsid w:val="0006264A"/>
    <w:rsid w:val="00073D77"/>
    <w:rsid w:val="00081655"/>
    <w:rsid w:val="000864E0"/>
    <w:rsid w:val="000969B3"/>
    <w:rsid w:val="000A5F42"/>
    <w:rsid w:val="000B392A"/>
    <w:rsid w:val="000C358C"/>
    <w:rsid w:val="000D4B4D"/>
    <w:rsid w:val="000D5C15"/>
    <w:rsid w:val="00113D58"/>
    <w:rsid w:val="001200CB"/>
    <w:rsid w:val="001378A3"/>
    <w:rsid w:val="0014582A"/>
    <w:rsid w:val="00155582"/>
    <w:rsid w:val="00161590"/>
    <w:rsid w:val="00171CC0"/>
    <w:rsid w:val="00175494"/>
    <w:rsid w:val="00175629"/>
    <w:rsid w:val="001830EC"/>
    <w:rsid w:val="00183534"/>
    <w:rsid w:val="001A4A96"/>
    <w:rsid w:val="001A5D05"/>
    <w:rsid w:val="001A796C"/>
    <w:rsid w:val="001B2614"/>
    <w:rsid w:val="001B37B8"/>
    <w:rsid w:val="001B552F"/>
    <w:rsid w:val="001B77E1"/>
    <w:rsid w:val="001C0893"/>
    <w:rsid w:val="001C1303"/>
    <w:rsid w:val="001C70B2"/>
    <w:rsid w:val="001D37C7"/>
    <w:rsid w:val="001D6888"/>
    <w:rsid w:val="001F0097"/>
    <w:rsid w:val="00203BBC"/>
    <w:rsid w:val="00217FC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E3B69"/>
    <w:rsid w:val="002F25F8"/>
    <w:rsid w:val="002F327B"/>
    <w:rsid w:val="00301626"/>
    <w:rsid w:val="003059EC"/>
    <w:rsid w:val="00316CCD"/>
    <w:rsid w:val="00324F7E"/>
    <w:rsid w:val="003323BC"/>
    <w:rsid w:val="00345559"/>
    <w:rsid w:val="00346D42"/>
    <w:rsid w:val="00346E11"/>
    <w:rsid w:val="003601C0"/>
    <w:rsid w:val="00362F9E"/>
    <w:rsid w:val="003635F5"/>
    <w:rsid w:val="00372A88"/>
    <w:rsid w:val="00381A0F"/>
    <w:rsid w:val="00393192"/>
    <w:rsid w:val="003A1B3A"/>
    <w:rsid w:val="003A40F5"/>
    <w:rsid w:val="003B0593"/>
    <w:rsid w:val="003B568E"/>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13FD"/>
    <w:rsid w:val="004D29DE"/>
    <w:rsid w:val="004F606A"/>
    <w:rsid w:val="00510EAC"/>
    <w:rsid w:val="00542A57"/>
    <w:rsid w:val="0055522E"/>
    <w:rsid w:val="00565974"/>
    <w:rsid w:val="005732C0"/>
    <w:rsid w:val="0057336D"/>
    <w:rsid w:val="0057489A"/>
    <w:rsid w:val="00574ACF"/>
    <w:rsid w:val="00577B59"/>
    <w:rsid w:val="00581588"/>
    <w:rsid w:val="0058540B"/>
    <w:rsid w:val="00587C87"/>
    <w:rsid w:val="00590B80"/>
    <w:rsid w:val="005A0E2F"/>
    <w:rsid w:val="005B3134"/>
    <w:rsid w:val="005B4E61"/>
    <w:rsid w:val="005B595A"/>
    <w:rsid w:val="005B66C2"/>
    <w:rsid w:val="005C66A6"/>
    <w:rsid w:val="005D2465"/>
    <w:rsid w:val="005E33DD"/>
    <w:rsid w:val="005E4229"/>
    <w:rsid w:val="005E540E"/>
    <w:rsid w:val="005E55FB"/>
    <w:rsid w:val="005F16BB"/>
    <w:rsid w:val="0060166A"/>
    <w:rsid w:val="00607115"/>
    <w:rsid w:val="00613393"/>
    <w:rsid w:val="00620768"/>
    <w:rsid w:val="0062594B"/>
    <w:rsid w:val="00630A3D"/>
    <w:rsid w:val="00631406"/>
    <w:rsid w:val="006324FF"/>
    <w:rsid w:val="006351D6"/>
    <w:rsid w:val="00636977"/>
    <w:rsid w:val="00636E0D"/>
    <w:rsid w:val="0064142F"/>
    <w:rsid w:val="00643CB4"/>
    <w:rsid w:val="00656427"/>
    <w:rsid w:val="00660255"/>
    <w:rsid w:val="00663EA5"/>
    <w:rsid w:val="00675F45"/>
    <w:rsid w:val="0068296D"/>
    <w:rsid w:val="006953AF"/>
    <w:rsid w:val="006971F3"/>
    <w:rsid w:val="006B3111"/>
    <w:rsid w:val="006C74A3"/>
    <w:rsid w:val="006D1381"/>
    <w:rsid w:val="006D31BC"/>
    <w:rsid w:val="006D637B"/>
    <w:rsid w:val="006E7943"/>
    <w:rsid w:val="006F24EA"/>
    <w:rsid w:val="00704CA9"/>
    <w:rsid w:val="0071048D"/>
    <w:rsid w:val="00710F86"/>
    <w:rsid w:val="007111A8"/>
    <w:rsid w:val="00731BC3"/>
    <w:rsid w:val="00741192"/>
    <w:rsid w:val="00743A33"/>
    <w:rsid w:val="00746080"/>
    <w:rsid w:val="0075144A"/>
    <w:rsid w:val="00766CBC"/>
    <w:rsid w:val="00786329"/>
    <w:rsid w:val="00792C7D"/>
    <w:rsid w:val="00794A4D"/>
    <w:rsid w:val="007A5234"/>
    <w:rsid w:val="007B4A3E"/>
    <w:rsid w:val="007B7854"/>
    <w:rsid w:val="007C56A1"/>
    <w:rsid w:val="007C6454"/>
    <w:rsid w:val="007E01E0"/>
    <w:rsid w:val="007F0B93"/>
    <w:rsid w:val="007F2ECA"/>
    <w:rsid w:val="00806770"/>
    <w:rsid w:val="00811708"/>
    <w:rsid w:val="00811C5A"/>
    <w:rsid w:val="0081271B"/>
    <w:rsid w:val="00816B90"/>
    <w:rsid w:val="00817799"/>
    <w:rsid w:val="00822F5F"/>
    <w:rsid w:val="00824FD3"/>
    <w:rsid w:val="00826589"/>
    <w:rsid w:val="00834BCC"/>
    <w:rsid w:val="00843232"/>
    <w:rsid w:val="00850D54"/>
    <w:rsid w:val="00852E2B"/>
    <w:rsid w:val="008714B0"/>
    <w:rsid w:val="00876331"/>
    <w:rsid w:val="00880726"/>
    <w:rsid w:val="00890FB2"/>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6E80"/>
    <w:rsid w:val="0092082A"/>
    <w:rsid w:val="0092746F"/>
    <w:rsid w:val="00935DC9"/>
    <w:rsid w:val="009446C0"/>
    <w:rsid w:val="00952B39"/>
    <w:rsid w:val="0096082E"/>
    <w:rsid w:val="00961347"/>
    <w:rsid w:val="00967410"/>
    <w:rsid w:val="00967D73"/>
    <w:rsid w:val="0098119A"/>
    <w:rsid w:val="00984AAF"/>
    <w:rsid w:val="00991B09"/>
    <w:rsid w:val="00993CB2"/>
    <w:rsid w:val="009A5166"/>
    <w:rsid w:val="009A76F8"/>
    <w:rsid w:val="009B2B83"/>
    <w:rsid w:val="009C49F8"/>
    <w:rsid w:val="009D5B35"/>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556B9"/>
    <w:rsid w:val="00A6708F"/>
    <w:rsid w:val="00A71BF6"/>
    <w:rsid w:val="00A72AF9"/>
    <w:rsid w:val="00A86F9A"/>
    <w:rsid w:val="00AA2B29"/>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48E"/>
    <w:rsid w:val="00B82C2C"/>
    <w:rsid w:val="00B8720B"/>
    <w:rsid w:val="00B876EF"/>
    <w:rsid w:val="00B91FB5"/>
    <w:rsid w:val="00BA4697"/>
    <w:rsid w:val="00BA51B6"/>
    <w:rsid w:val="00BB42C3"/>
    <w:rsid w:val="00BB5378"/>
    <w:rsid w:val="00BC0BD3"/>
    <w:rsid w:val="00BD0107"/>
    <w:rsid w:val="00BE0C33"/>
    <w:rsid w:val="00BE262C"/>
    <w:rsid w:val="00BE4C25"/>
    <w:rsid w:val="00BE6C3D"/>
    <w:rsid w:val="00C07606"/>
    <w:rsid w:val="00C12542"/>
    <w:rsid w:val="00C24725"/>
    <w:rsid w:val="00C30BA9"/>
    <w:rsid w:val="00C3541E"/>
    <w:rsid w:val="00C36A8F"/>
    <w:rsid w:val="00C42834"/>
    <w:rsid w:val="00C42FFA"/>
    <w:rsid w:val="00C45B34"/>
    <w:rsid w:val="00C507D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173F"/>
    <w:rsid w:val="00D05837"/>
    <w:rsid w:val="00D12D8A"/>
    <w:rsid w:val="00D13E0C"/>
    <w:rsid w:val="00D213AD"/>
    <w:rsid w:val="00D25896"/>
    <w:rsid w:val="00D373A1"/>
    <w:rsid w:val="00D37C0F"/>
    <w:rsid w:val="00D45661"/>
    <w:rsid w:val="00D45943"/>
    <w:rsid w:val="00D47D22"/>
    <w:rsid w:val="00D51865"/>
    <w:rsid w:val="00D51D0C"/>
    <w:rsid w:val="00D74140"/>
    <w:rsid w:val="00DA6E56"/>
    <w:rsid w:val="00DA74C2"/>
    <w:rsid w:val="00DB0E4F"/>
    <w:rsid w:val="00DC24E5"/>
    <w:rsid w:val="00DC6705"/>
    <w:rsid w:val="00DD2DE8"/>
    <w:rsid w:val="00DE38B4"/>
    <w:rsid w:val="00DE5D02"/>
    <w:rsid w:val="00E005A9"/>
    <w:rsid w:val="00E1166E"/>
    <w:rsid w:val="00E1435E"/>
    <w:rsid w:val="00E24DC0"/>
    <w:rsid w:val="00E2519C"/>
    <w:rsid w:val="00E25F2A"/>
    <w:rsid w:val="00E41455"/>
    <w:rsid w:val="00E42AD2"/>
    <w:rsid w:val="00E47983"/>
    <w:rsid w:val="00E50856"/>
    <w:rsid w:val="00E538CC"/>
    <w:rsid w:val="00E54BBD"/>
    <w:rsid w:val="00E54DBA"/>
    <w:rsid w:val="00E63D7C"/>
    <w:rsid w:val="00E640D5"/>
    <w:rsid w:val="00E66E2E"/>
    <w:rsid w:val="00E67691"/>
    <w:rsid w:val="00E71EAE"/>
    <w:rsid w:val="00E92237"/>
    <w:rsid w:val="00E951EF"/>
    <w:rsid w:val="00EA0777"/>
    <w:rsid w:val="00EA3D54"/>
    <w:rsid w:val="00EA56D9"/>
    <w:rsid w:val="00EA5CE3"/>
    <w:rsid w:val="00EB51C1"/>
    <w:rsid w:val="00EB5AE1"/>
    <w:rsid w:val="00EB5E0B"/>
    <w:rsid w:val="00EC2171"/>
    <w:rsid w:val="00ED442D"/>
    <w:rsid w:val="00ED49F7"/>
    <w:rsid w:val="00ED70C2"/>
    <w:rsid w:val="00EE18FF"/>
    <w:rsid w:val="00EE489F"/>
    <w:rsid w:val="00F04587"/>
    <w:rsid w:val="00F0647F"/>
    <w:rsid w:val="00F1005B"/>
    <w:rsid w:val="00F10CE3"/>
    <w:rsid w:val="00F12006"/>
    <w:rsid w:val="00F13443"/>
    <w:rsid w:val="00F14F3B"/>
    <w:rsid w:val="00F16362"/>
    <w:rsid w:val="00F207C7"/>
    <w:rsid w:val="00F21EB3"/>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D1467"/>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D604059"/>
  <w15:docId w15:val="{0FD12ACF-2063-441E-9CC0-869E1AF8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14582A"/>
    <w:rPr>
      <w:sz w:val="16"/>
      <w:szCs w:val="16"/>
    </w:rPr>
  </w:style>
  <w:style w:type="paragraph" w:styleId="CommentText">
    <w:name w:val="annotation text"/>
    <w:basedOn w:val="Normal"/>
    <w:link w:val="CommentTextChar"/>
    <w:uiPriority w:val="99"/>
    <w:semiHidden/>
    <w:unhideWhenUsed/>
    <w:rsid w:val="0014582A"/>
    <w:pPr>
      <w:spacing w:line="240" w:lineRule="auto"/>
    </w:pPr>
    <w:rPr>
      <w:sz w:val="20"/>
      <w:szCs w:val="20"/>
    </w:rPr>
  </w:style>
  <w:style w:type="character" w:customStyle="1" w:styleId="CommentTextChar">
    <w:name w:val="Comment Text Char"/>
    <w:basedOn w:val="DefaultParagraphFont"/>
    <w:link w:val="CommentText"/>
    <w:uiPriority w:val="99"/>
    <w:semiHidden/>
    <w:rsid w:val="0014582A"/>
    <w:rPr>
      <w:sz w:val="20"/>
      <w:szCs w:val="20"/>
    </w:rPr>
  </w:style>
  <w:style w:type="paragraph" w:styleId="CommentSubject">
    <w:name w:val="annotation subject"/>
    <w:basedOn w:val="CommentText"/>
    <w:next w:val="CommentText"/>
    <w:link w:val="CommentSubjectChar"/>
    <w:uiPriority w:val="99"/>
    <w:semiHidden/>
    <w:unhideWhenUsed/>
    <w:rsid w:val="0014582A"/>
    <w:rPr>
      <w:b/>
      <w:bCs/>
    </w:rPr>
  </w:style>
  <w:style w:type="character" w:customStyle="1" w:styleId="CommentSubjectChar">
    <w:name w:val="Comment Subject Char"/>
    <w:basedOn w:val="CommentTextChar"/>
    <w:link w:val="CommentSubject"/>
    <w:uiPriority w:val="99"/>
    <w:semiHidden/>
    <w:rsid w:val="001458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cdi.editor@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creativecommons.org/licenses/by-nc-nd/4.0/legalcode"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www.health.gov.au/cd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health.gov.au/cdna"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copyright@health.gov.au" TargetMode="External"/><Relationship Id="rId10" Type="http://schemas.openxmlformats.org/officeDocument/2006/relationships/footer" Target="footer1.xml"/><Relationship Id="rId19" Type="http://schemas.openxmlformats.org/officeDocument/2006/relationships/hyperlink" Target="http://health.gov.au/cd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www.itsanhonour.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22</TotalTime>
  <Pages>21</Pages>
  <Words>6347</Words>
  <Characters>35449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Communicable Diseases Intelligence 2021 - Surveillance for severe influenza and COVID-19 in patients admitted to sentinel Australian hospitals in 2020: the Influenza Complications Alert Network (FluCAN)</vt:lpstr>
    </vt:vector>
  </TitlesOfParts>
  <Company>Australian Government, Department of Health</Company>
  <LinksUpToDate>false</LinksUpToDate>
  <CharactersWithSpaces>41713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Surveillance for severe influenza and COVID-19 in patients admitted to sentinel Australian hospitals in 2020: the Influenza Complications Alert Network (FluCAN)</dc:title>
  <dc:subject>During the period of 16th March to 31 December 2020, 448 patients were admitted with confirmed COVID-19 while 20 patients were admitted with confirmed influenza between 1 April to 30 November to one of 17 FluCAN sentinel hospitals. Of the cases with COVID-19, 173 (39%) were &gt;65 years of age, 36 (8%) were children (&lt;16 years), 6 (1%) were Aboriginal and Torres Strait Islander peoples, 4 (2%) were pregnant and 289 (65%) had chronic co-morbidities. COVID-19 hospital admissions peaked between week 13 to 15 (first wave), and again between weeks 31 to 35 (second wave) nationally, with most admissions represented by those above 40 years of age.</dc:subject>
  <dc:creator>Husna Begum; Dominic E Dwyer; Mark Holmes; Louis B Irving; Graham Simpson; Sanjaya Senanayake; Tony Korman; N Deborah Friedman; Louise Cooley; Peter Wark; Paul Griffin; Jen Kok; John W Upham; Daniel M Fatovich; Grant W Waterer; Kristine Macartney; Christopher C Blyth; Nigel Crawford; Jim Buttery; Helen S Marshall; Julia E Clark; Joshua R Francis; Tom Kotsimbos; Paul M Kelly; Allen C Cheng</dc:creator>
  <cp:keywords>Influenza; public health surveillance; influenza vaccines; vaccination coverage; coronavirus</cp:keywords>
  <dc:description>© Commonwealth of Australia CC BY-NC-ND ISSN: 2209-6051 (Online)</dc:description>
  <cp:lastModifiedBy>YOUSEFI, Kasra</cp:lastModifiedBy>
  <cp:revision>11</cp:revision>
  <cp:lastPrinted>2018-05-10T02:19:00Z</cp:lastPrinted>
  <dcterms:created xsi:type="dcterms:W3CDTF">2022-02-25T00:43:00Z</dcterms:created>
  <dcterms:modified xsi:type="dcterms:W3CDTF">2022-03-25T03:57:00Z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28/03/2022</vt:lpwstr>
  </property>
  <property fmtid="{D5CDD505-2E9C-101B-9397-08002B2CF9AE}" pid="5" name="DOI">
    <vt:lpwstr>https://doi.org/10.33321/cdi.2022.46.13</vt:lpwstr>
  </property>
</Properties>
</file>