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4872"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1F51A7">
          <w:t>2023</w:t>
        </w:r>
      </w:fldSimple>
      <w:r w:rsidRPr="00B50D8D">
        <w:t xml:space="preserve">, Volume </w:t>
      </w:r>
      <w:fldSimple w:instr=" DOCPROPERTY  Vol  \* MERGEFORMAT ">
        <w:r w:rsidR="001F51A7">
          <w:t>47</w:t>
        </w:r>
      </w:fldSimple>
    </w:p>
    <w:p w14:paraId="7993F3BC" w14:textId="7783A56A" w:rsidR="00B50D8D" w:rsidRPr="00B50D8D" w:rsidRDefault="00000000" w:rsidP="00B50D8D">
      <w:pPr>
        <w:pStyle w:val="CDIfootnotes"/>
      </w:pPr>
      <w:fldSimple w:instr=" DOCPROPERTY  DOI  \* MERGEFORMAT ">
        <w:r w:rsidR="00E7129C">
          <w:t>https://doi.org/10.33321/cdi.2023.47.54</w:t>
        </w:r>
      </w:fldSimple>
    </w:p>
    <w:p w14:paraId="3BFA6796" w14:textId="71DF99E1" w:rsidR="00B50D8D" w:rsidRPr="00B50D8D" w:rsidRDefault="00B50D8D" w:rsidP="00B50D8D">
      <w:pPr>
        <w:pStyle w:val="CDIfootnotes"/>
      </w:pPr>
      <w:r w:rsidRPr="00B50D8D">
        <w:t xml:space="preserve">Publication date: </w:t>
      </w:r>
      <w:fldSimple w:instr=" DOCPROPERTY  ePubDate  \* MERGEFORMAT ">
        <w:r w:rsidR="009F0EA3">
          <w:t>21/09/2023</w:t>
        </w:r>
      </w:fldSimple>
    </w:p>
    <w:p w14:paraId="1064BBBD" w14:textId="03CCA09D" w:rsidR="00B50D8D" w:rsidRPr="00B50D8D" w:rsidRDefault="00000000" w:rsidP="00B50D8D">
      <w:pPr>
        <w:pStyle w:val="CDIfootnotes"/>
      </w:pPr>
      <w:hyperlink r:id="rId9" w:history="1">
        <w:r w:rsidR="00B50D8D" w:rsidRPr="00B50D8D">
          <w:rPr>
            <w:rStyle w:val="Hyperlink"/>
          </w:rPr>
          <w:t>http://health.gov.au/cdi</w:t>
        </w:r>
      </w:hyperlink>
      <w:r w:rsidR="00B50D8D" w:rsidRPr="00B50D8D">
        <w:t xml:space="preserve"> </w:t>
      </w:r>
    </w:p>
    <w:p w14:paraId="10DB8D90" w14:textId="77777777" w:rsidR="00A70EED" w:rsidRDefault="00A70EED" w:rsidP="00A70EED">
      <w:pPr>
        <w:pStyle w:val="Title"/>
        <w:divId w:val="1112554373"/>
        <w:rPr>
          <w:rFonts w:eastAsia="Times New Roman"/>
          <w:sz w:val="48"/>
          <w:szCs w:val="48"/>
        </w:rPr>
      </w:pPr>
      <w:r>
        <w:rPr>
          <w:rFonts w:eastAsia="Times New Roman"/>
        </w:rPr>
        <w:t>Lessons from the re-emergence of imported measles cases following the COVID-19 pandemic in Victoria, Australia</w:t>
      </w:r>
    </w:p>
    <w:p w14:paraId="51D29219" w14:textId="77777777" w:rsidR="00A70EED" w:rsidRDefault="00A70EED">
      <w:pPr>
        <w:pStyle w:val="NormalWeb"/>
        <w:divId w:val="1112554373"/>
      </w:pPr>
      <w:bookmarkStart w:id="0" w:name="_Hlk145418532"/>
      <w:r>
        <w:t xml:space="preserve">Madeleine J </w:t>
      </w:r>
      <w:proofErr w:type="spellStart"/>
      <w:r>
        <w:t>Marsland</w:t>
      </w:r>
      <w:proofErr w:type="spellEnd"/>
      <w:r>
        <w:t xml:space="preserve">, Janet Strachan, Rebecca F Gang, Miriam O’Hara, Nicole M Hughes, Anna </w:t>
      </w:r>
      <w:proofErr w:type="spellStart"/>
      <w:r>
        <w:t>Glynn-Robinson</w:t>
      </w:r>
      <w:proofErr w:type="spellEnd"/>
    </w:p>
    <w:bookmarkEnd w:id="0"/>
    <w:p w14:paraId="163BA78D" w14:textId="77777777" w:rsidR="00A70EED" w:rsidRPr="00E901CB" w:rsidRDefault="00A70EED" w:rsidP="00E901CB">
      <w:pPr>
        <w:pStyle w:val="Heading1"/>
        <w:divId w:val="1112554373"/>
      </w:pPr>
      <w:r w:rsidRPr="00E901CB">
        <w:t>Abstract</w:t>
      </w:r>
    </w:p>
    <w:p w14:paraId="09978971" w14:textId="77777777" w:rsidR="00A70EED" w:rsidRPr="00E901CB" w:rsidRDefault="00A70EED" w:rsidP="00E901CB">
      <w:pPr>
        <w:pStyle w:val="Heading2"/>
        <w:divId w:val="1112554373"/>
      </w:pPr>
      <w:r w:rsidRPr="00E901CB">
        <w:t>Introduction</w:t>
      </w:r>
    </w:p>
    <w:p w14:paraId="158076E4" w14:textId="77777777" w:rsidR="00A70EED" w:rsidRDefault="00A70EED" w:rsidP="00E901CB">
      <w:pPr>
        <w:divId w:val="1112554373"/>
      </w:pPr>
      <w:r>
        <w:t xml:space="preserve">Australia was declared to have </w:t>
      </w:r>
      <w:proofErr w:type="gramStart"/>
      <w:r>
        <w:t>eliminated</w:t>
      </w:r>
      <w:proofErr w:type="gramEnd"/>
      <w:r>
        <w:t xml:space="preserve"> endemic measles in 2014; however, imported cases continue to pose a threat of outbreaks. International travel restrictions during the coronavirus disease 2019 (COVID-19) pandemic led to a rapid decline in measles cases. The re-opening of the Australian international border to measles endemic regions returns the threat of outbreaks, which may </w:t>
      </w:r>
      <w:proofErr w:type="gramStart"/>
      <w:r>
        <w:t>be further compounded</w:t>
      </w:r>
      <w:proofErr w:type="gramEnd"/>
      <w:r>
        <w:t xml:space="preserve"> by disruptions in routine vaccinations during the COVID-19 pandemic. We consider lessons learned from the public health response to recent measles cases.</w:t>
      </w:r>
    </w:p>
    <w:p w14:paraId="7C5DBD33" w14:textId="77777777" w:rsidR="00A70EED" w:rsidRPr="00E901CB" w:rsidRDefault="00A70EED" w:rsidP="00E901CB">
      <w:pPr>
        <w:pStyle w:val="Heading2"/>
        <w:divId w:val="1112554373"/>
      </w:pPr>
      <w:r w:rsidRPr="00E901CB">
        <w:t>Methods</w:t>
      </w:r>
    </w:p>
    <w:p w14:paraId="33304C75" w14:textId="77777777" w:rsidR="00A70EED" w:rsidRDefault="00A70EED" w:rsidP="00E901CB">
      <w:pPr>
        <w:divId w:val="1112554373"/>
      </w:pPr>
      <w:r>
        <w:t xml:space="preserve">This case series includes all confirmed measles cases meeting the national case definition reported to the Victorian Government Department of Health (the Department) between 1 January and 31 December 2022. The Department conducted active case finding and contact tracing of all cases in line with national guidelines. Cases </w:t>
      </w:r>
      <w:proofErr w:type="gramStart"/>
      <w:r>
        <w:t>were descriptively analysed</w:t>
      </w:r>
      <w:proofErr w:type="gramEnd"/>
      <w:r>
        <w:t>.</w:t>
      </w:r>
    </w:p>
    <w:p w14:paraId="5EF1F2F4" w14:textId="77777777" w:rsidR="00A70EED" w:rsidRPr="00E901CB" w:rsidRDefault="00A70EED" w:rsidP="00E901CB">
      <w:pPr>
        <w:pStyle w:val="Heading2"/>
        <w:divId w:val="1112554373"/>
      </w:pPr>
      <w:r w:rsidRPr="00E901CB">
        <w:t>Results</w:t>
      </w:r>
    </w:p>
    <w:p w14:paraId="03025B4D" w14:textId="77777777" w:rsidR="00A70EED" w:rsidRDefault="00A70EED" w:rsidP="00E901CB">
      <w:pPr>
        <w:divId w:val="1112554373"/>
      </w:pPr>
      <w:r>
        <w:t xml:space="preserve">In 2022, six of the seven measles cases reported in Australia occurred in Victoria, all of whom </w:t>
      </w:r>
      <w:proofErr w:type="gramStart"/>
      <w:r>
        <w:t>resided</w:t>
      </w:r>
      <w:proofErr w:type="gramEnd"/>
      <w:r>
        <w:t xml:space="preserve"> in Australia and acquired their infection overseas. Three cases were unlinked, and three formed an </w:t>
      </w:r>
      <w:proofErr w:type="gramStart"/>
      <w:r>
        <w:t>epidemiologically-linked</w:t>
      </w:r>
      <w:proofErr w:type="gramEnd"/>
      <w:r>
        <w:t xml:space="preserve"> household cluster. One case </w:t>
      </w:r>
      <w:proofErr w:type="gramStart"/>
      <w:r>
        <w:t>was partially vaccinated</w:t>
      </w:r>
      <w:proofErr w:type="gramEnd"/>
      <w:r>
        <w:t>, one was not eligible for vaccination, one had unknown vaccination status, and three were unvaccinated, one of whom was under 12 months old but would have been eligible for vaccination prior to travel to endemic regions. None of the cases led to secondary transmission within Australia.</w:t>
      </w:r>
    </w:p>
    <w:p w14:paraId="0C755897" w14:textId="77777777" w:rsidR="00A70EED" w:rsidRDefault="00A70EED">
      <w:pPr>
        <w:pStyle w:val="Heading2"/>
        <w:divId w:val="1112554373"/>
        <w:rPr>
          <w:rFonts w:eastAsia="Times New Roman"/>
        </w:rPr>
      </w:pPr>
      <w:r>
        <w:rPr>
          <w:rFonts w:eastAsia="Times New Roman"/>
        </w:rPr>
        <w:t>Discussion</w:t>
      </w:r>
    </w:p>
    <w:p w14:paraId="0CD45481" w14:textId="77777777" w:rsidR="00A70EED" w:rsidRDefault="00A70EED" w:rsidP="00E901CB">
      <w:pPr>
        <w:divId w:val="1112554373"/>
      </w:pPr>
      <w:r>
        <w:t xml:space="preserve">Following the COVID-19 pandemic, measles importations have re-commenced in Victoria. Although few measles cases occurred in 2022 and none resulted in onwards transmission, imported measles cases </w:t>
      </w:r>
      <w:proofErr w:type="gramStart"/>
      <w:r>
        <w:t>remain</w:t>
      </w:r>
      <w:proofErr w:type="gramEnd"/>
      <w:r>
        <w:t xml:space="preserve"> complex and require substantial public health follow-up. Delays in case diagnosis and flight contact tracing pose a significant risk for outbreaks of measles. Public health interventions are needed to </w:t>
      </w:r>
      <w:proofErr w:type="gramStart"/>
      <w:r>
        <w:t>maintain</w:t>
      </w:r>
      <w:proofErr w:type="gramEnd"/>
      <w:r>
        <w:t xml:space="preserve"> high vaccination rates, improve contact tracing, and ensure public health authorities and healthcare providers can rapidly identify and respond to imported measles cases.</w:t>
      </w:r>
    </w:p>
    <w:p w14:paraId="48BA9373" w14:textId="77777777" w:rsidR="00A70EED" w:rsidRDefault="00A70EED" w:rsidP="00E901CB">
      <w:pPr>
        <w:divId w:val="1112554373"/>
      </w:pPr>
      <w:r>
        <w:t>Keywords: measles; communicable diseases, imported; communicable disease control; epidemiology</w:t>
      </w:r>
    </w:p>
    <w:p w14:paraId="3EA97BA1" w14:textId="77777777" w:rsidR="00C46F67" w:rsidRDefault="00C46F67">
      <w:pPr>
        <w:rPr>
          <w:rFonts w:asciiTheme="majorHAnsi" w:eastAsiaTheme="majorEastAsia" w:hAnsiTheme="majorHAnsi" w:cstheme="majorBidi"/>
          <w:b/>
          <w:bCs/>
          <w:sz w:val="32"/>
          <w:szCs w:val="28"/>
        </w:rPr>
      </w:pPr>
      <w:r>
        <w:br w:type="page"/>
      </w:r>
    </w:p>
    <w:p w14:paraId="38B76F02" w14:textId="0173484E" w:rsidR="00A70EED" w:rsidRPr="00E901CB" w:rsidRDefault="00A70EED" w:rsidP="00E901CB">
      <w:pPr>
        <w:pStyle w:val="Heading1"/>
        <w:divId w:val="1112554373"/>
      </w:pPr>
      <w:r w:rsidRPr="00E901CB">
        <w:lastRenderedPageBreak/>
        <w:t>Introduction</w:t>
      </w:r>
    </w:p>
    <w:p w14:paraId="702A7691" w14:textId="77777777" w:rsidR="00A70EED" w:rsidRDefault="00A70EED" w:rsidP="001C0BCF">
      <w:pPr>
        <w:divId w:val="1112554373"/>
      </w:pPr>
      <w:r>
        <w:t xml:space="preserve">Measles is a highly contagious viral infection with the potential to cause severe complications including death, though this is uncommon in Australia. </w:t>
      </w:r>
      <w:r>
        <w:rPr>
          <w:vertAlign w:val="superscript"/>
        </w:rPr>
        <w:t>1,2</w:t>
      </w:r>
      <w:r>
        <w:t xml:space="preserve"> The incubation period for measles is 10 days (ranging from 7 to 18 days), </w:t>
      </w:r>
      <w:proofErr w:type="gramStart"/>
      <w:r>
        <w:rPr>
          <w:vertAlign w:val="superscript"/>
        </w:rPr>
        <w:t>3</w:t>
      </w:r>
      <w:proofErr w:type="gramEnd"/>
      <w:r>
        <w:t xml:space="preserve"> and has rarely been reported up to 23 days. </w:t>
      </w:r>
      <w:r>
        <w:rPr>
          <w:vertAlign w:val="superscript"/>
        </w:rPr>
        <w:t>1,4</w:t>
      </w:r>
      <w:r>
        <w:t xml:space="preserve"> Measles has one of the highest reproductive numbers for a directly transmitted pathogen, ranging from 12 to 18 in susceptible populations. </w:t>
      </w:r>
      <w:r>
        <w:rPr>
          <w:vertAlign w:val="superscript"/>
        </w:rPr>
        <w:t>1,2</w:t>
      </w:r>
      <w:r>
        <w:t xml:space="preserve"> Humans are the only known reservoir. </w:t>
      </w:r>
      <w:r>
        <w:rPr>
          <w:vertAlign w:val="superscript"/>
        </w:rPr>
        <w:t>2</w:t>
      </w:r>
      <w:r>
        <w:t xml:space="preserve"> </w:t>
      </w:r>
    </w:p>
    <w:p w14:paraId="28138686" w14:textId="77777777" w:rsidR="00A70EED" w:rsidRDefault="00A70EED" w:rsidP="001C0BCF">
      <w:pPr>
        <w:divId w:val="1112554373"/>
      </w:pPr>
      <w:r>
        <w:t xml:space="preserve">In Australia, two doses of measles-containing vaccine </w:t>
      </w:r>
      <w:proofErr w:type="gramStart"/>
      <w:r>
        <w:t>are recommended</w:t>
      </w:r>
      <w:proofErr w:type="gramEnd"/>
      <w:r>
        <w:t xml:space="preserve"> for all children aged ≥ 12 months, with children aged ≥ 6 months able to receive one dose when travelling to regions with high endemic transmission or outbreaks. </w:t>
      </w:r>
      <w:r>
        <w:rPr>
          <w:vertAlign w:val="superscript"/>
        </w:rPr>
        <w:t>5</w:t>
      </w:r>
      <w:r>
        <w:t xml:space="preserve"> Vaccination against measles is freely available under the National Immunisation Program (NIP), with the two-dose schedule conferring 99% protection. </w:t>
      </w:r>
      <w:r>
        <w:rPr>
          <w:vertAlign w:val="superscript"/>
        </w:rPr>
        <w:t>5</w:t>
      </w:r>
      <w:r>
        <w:t xml:space="preserve"> </w:t>
      </w:r>
    </w:p>
    <w:p w14:paraId="101C8140" w14:textId="77777777" w:rsidR="00A70EED" w:rsidRDefault="00A70EED" w:rsidP="001C0BCF">
      <w:pPr>
        <w:divId w:val="1112554373"/>
      </w:pPr>
      <w:r>
        <w:t xml:space="preserve">People can be vulnerable to infection if unvaccinated or partially vaccinated according to Australian standards, or due to inadequate immune response or waning immunity. </w:t>
      </w:r>
      <w:r>
        <w:rPr>
          <w:vertAlign w:val="superscript"/>
        </w:rPr>
        <w:t>6–8</w:t>
      </w:r>
      <w:r>
        <w:t xml:space="preserve"> Individuals born pre-1966 are considered to have natural immunity due to </w:t>
      </w:r>
      <w:proofErr w:type="gramStart"/>
      <w:r>
        <w:t>likely infection</w:t>
      </w:r>
      <w:proofErr w:type="gramEnd"/>
      <w:r>
        <w:t xml:space="preserve"> in childhood, and are not eligible for free vaccination within Victoria, though some may not be immune. </w:t>
      </w:r>
      <w:r>
        <w:rPr>
          <w:vertAlign w:val="superscript"/>
        </w:rPr>
        <w:t>6–8</w:t>
      </w:r>
      <w:r>
        <w:t xml:space="preserve"> Individuals born in the 1970s may also not have natural immunity as a result of reduced measles </w:t>
      </w:r>
      <w:proofErr w:type="gramStart"/>
      <w:r>
        <w:t>exposure, and</w:t>
      </w:r>
      <w:proofErr w:type="gramEnd"/>
      <w:r>
        <w:t xml:space="preserve"> may be susceptible due to single-dose schedules during this period. </w:t>
      </w:r>
      <w:r>
        <w:rPr>
          <w:vertAlign w:val="superscript"/>
        </w:rPr>
        <w:t>9</w:t>
      </w:r>
      <w:r>
        <w:t xml:space="preserve"> </w:t>
      </w:r>
    </w:p>
    <w:p w14:paraId="30971B10" w14:textId="77777777" w:rsidR="00A70EED" w:rsidRDefault="00A70EED" w:rsidP="001C0BCF">
      <w:pPr>
        <w:divId w:val="1112554373"/>
      </w:pPr>
      <w:r>
        <w:t xml:space="preserve">The World Health Organization (WHO) declared Australia to have </w:t>
      </w:r>
      <w:proofErr w:type="gramStart"/>
      <w:r>
        <w:t>eliminated</w:t>
      </w:r>
      <w:proofErr w:type="gramEnd"/>
      <w:r>
        <w:t xml:space="preserve"> endemic measles transmission in 2014. </w:t>
      </w:r>
      <w:r>
        <w:rPr>
          <w:vertAlign w:val="superscript"/>
        </w:rPr>
        <w:t>10</w:t>
      </w:r>
      <w:r>
        <w:t xml:space="preserve"> </w:t>
      </w:r>
      <w:proofErr w:type="gramStart"/>
      <w:r>
        <w:t>Almost all</w:t>
      </w:r>
      <w:proofErr w:type="gramEnd"/>
      <w:r>
        <w:t xml:space="preserve"> cases now reported in Australia are either imported or related to an imported case. </w:t>
      </w:r>
      <w:r>
        <w:rPr>
          <w:vertAlign w:val="superscript"/>
        </w:rPr>
        <w:t>7,8</w:t>
      </w:r>
      <w:r>
        <w:t xml:space="preserve"> Imported measles has occasionally resulted in tertiary spread of the disease, most recently in 2019, </w:t>
      </w:r>
      <w:r>
        <w:rPr>
          <w:vertAlign w:val="superscript"/>
        </w:rPr>
        <w:t>11</w:t>
      </w:r>
      <w:r>
        <w:t xml:space="preserve"> </w:t>
      </w:r>
      <w:proofErr w:type="gramStart"/>
      <w:r>
        <w:t>demonstrating</w:t>
      </w:r>
      <w:proofErr w:type="gramEnd"/>
      <w:r>
        <w:t xml:space="preserve"> a continued threat of the re-introduction of measles into Australia if high vaccination coverage levels are not maintained. Globally, measles eradication efforts are ongoing, with cases declining between 2000 and 2016. </w:t>
      </w:r>
      <w:r>
        <w:rPr>
          <w:vertAlign w:val="superscript"/>
        </w:rPr>
        <w:t>1,12</w:t>
      </w:r>
      <w:r>
        <w:t xml:space="preserve"> However, between 2017 and 2019 a worldwide resurgence of measles occurred, with outbreaks in regions where measles had previously </w:t>
      </w:r>
      <w:proofErr w:type="gramStart"/>
      <w:r>
        <w:t>been declared</w:t>
      </w:r>
      <w:proofErr w:type="gramEnd"/>
      <w:r>
        <w:t xml:space="preserve"> eliminated. </w:t>
      </w:r>
      <w:r>
        <w:rPr>
          <w:vertAlign w:val="superscript"/>
        </w:rPr>
        <w:t>1,12–14</w:t>
      </w:r>
      <w:r>
        <w:t xml:space="preserve"> </w:t>
      </w:r>
    </w:p>
    <w:p w14:paraId="2FF61219" w14:textId="77777777" w:rsidR="00A70EED" w:rsidRDefault="00A70EED" w:rsidP="001C0BCF">
      <w:pPr>
        <w:divId w:val="1112554373"/>
      </w:pPr>
      <w:r>
        <w:t xml:space="preserve">The coronavirus disease 2019 (COVID-19) pandemic resulted in Australia closing its international borders in 2020, </w:t>
      </w:r>
      <w:r>
        <w:rPr>
          <w:vertAlign w:val="superscript"/>
        </w:rPr>
        <w:t>15</w:t>
      </w:r>
      <w:r>
        <w:t xml:space="preserve"> leading to measles cases rapidly declining. In Victoria, </w:t>
      </w:r>
      <w:proofErr w:type="gramStart"/>
      <w:r>
        <w:t>57</w:t>
      </w:r>
      <w:proofErr w:type="gramEnd"/>
      <w:r>
        <w:t xml:space="preserve"> measles cases were reported in 2019, compared to only five in 2020 prior to travel restrictions, and there were no measles cases in Australia in 2021. </w:t>
      </w:r>
      <w:r>
        <w:rPr>
          <w:vertAlign w:val="superscript"/>
        </w:rPr>
        <w:t>16</w:t>
      </w:r>
      <w:r>
        <w:t xml:space="preserve"> With the reopening of international borders in February 2022, </w:t>
      </w:r>
      <w:r>
        <w:rPr>
          <w:vertAlign w:val="superscript"/>
        </w:rPr>
        <w:t>15</w:t>
      </w:r>
      <w:r>
        <w:t xml:space="preserve"> measles importations have recommenced, with seven measles cases reported nationally in 2022, six of which occurred in Victoria. </w:t>
      </w:r>
      <w:r>
        <w:rPr>
          <w:vertAlign w:val="superscript"/>
        </w:rPr>
        <w:t>17</w:t>
      </w:r>
      <w:r>
        <w:t xml:space="preserve"> The risk of outbreaks may be increased due to </w:t>
      </w:r>
      <w:proofErr w:type="gramStart"/>
      <w:r>
        <w:t>globally-disrupted</w:t>
      </w:r>
      <w:proofErr w:type="gramEnd"/>
      <w:r>
        <w:t xml:space="preserve"> vaccinations during the pandemic, </w:t>
      </w:r>
      <w:r>
        <w:rPr>
          <w:vertAlign w:val="superscript"/>
        </w:rPr>
        <w:t>1,18</w:t>
      </w:r>
      <w:r>
        <w:t xml:space="preserve"> although childhood vaccination rates have remained high among most population groups in Victoria. </w:t>
      </w:r>
      <w:r>
        <w:rPr>
          <w:vertAlign w:val="superscript"/>
        </w:rPr>
        <w:t>1,19</w:t>
      </w:r>
      <w:r>
        <w:t xml:space="preserve"> </w:t>
      </w:r>
    </w:p>
    <w:p w14:paraId="0E212865" w14:textId="77777777" w:rsidR="00A70EED" w:rsidRDefault="00A70EED" w:rsidP="001C0BCF">
      <w:pPr>
        <w:divId w:val="1112554373"/>
      </w:pPr>
      <w:r>
        <w:t xml:space="preserve">Imported measles cases can lead to localised outbreaks and ongoing transmission, which may </w:t>
      </w:r>
      <w:proofErr w:type="gramStart"/>
      <w:r>
        <w:t>ultimately result</w:t>
      </w:r>
      <w:proofErr w:type="gramEnd"/>
      <w:r>
        <w:t xml:space="preserve"> in re-establishment of endemic transmission if there are immunity gaps. </w:t>
      </w:r>
      <w:r>
        <w:rPr>
          <w:vertAlign w:val="superscript"/>
        </w:rPr>
        <w:t>6,8,11,12</w:t>
      </w:r>
      <w:r>
        <w:t xml:space="preserve"> We consider lessons learned from the re-emergence of imported measles in Victoria following the COVID-19 pandemic.</w:t>
      </w:r>
    </w:p>
    <w:p w14:paraId="29175FF8" w14:textId="77777777" w:rsidR="00A70EED" w:rsidRPr="001C0BCF" w:rsidRDefault="00A70EED" w:rsidP="001C0BCF">
      <w:pPr>
        <w:pStyle w:val="Heading1"/>
        <w:divId w:val="1112554373"/>
      </w:pPr>
      <w:r w:rsidRPr="001C0BCF">
        <w:t>Methods</w:t>
      </w:r>
    </w:p>
    <w:p w14:paraId="00C96631" w14:textId="77777777" w:rsidR="00A70EED" w:rsidRPr="001C0BCF" w:rsidRDefault="00A70EED" w:rsidP="001C0BCF">
      <w:pPr>
        <w:pStyle w:val="Heading2"/>
        <w:divId w:val="1112554373"/>
      </w:pPr>
      <w:r w:rsidRPr="001C0BCF">
        <w:t>Case series analysis</w:t>
      </w:r>
    </w:p>
    <w:p w14:paraId="49622903" w14:textId="77777777" w:rsidR="00A70EED" w:rsidRDefault="00A70EED" w:rsidP="001C0BCF">
      <w:pPr>
        <w:divId w:val="1112554373"/>
      </w:pPr>
      <w:r>
        <w:t xml:space="preserve">This case series included all confirmed measles cases reported to the Victorian Government Department of Health (the Department), from 1 January 2022 to 31 December 2022, which met the Australian national notifiable diseases case definition. </w:t>
      </w:r>
      <w:r>
        <w:rPr>
          <w:vertAlign w:val="superscript"/>
        </w:rPr>
        <w:t>21</w:t>
      </w:r>
      <w:r>
        <w:t xml:space="preserve"> Cases </w:t>
      </w:r>
      <w:proofErr w:type="gramStart"/>
      <w:r>
        <w:t>were descriptively analysed</w:t>
      </w:r>
      <w:proofErr w:type="gramEnd"/>
      <w:r>
        <w:t>.</w:t>
      </w:r>
    </w:p>
    <w:p w14:paraId="09F29645" w14:textId="77777777" w:rsidR="00C46F67" w:rsidRDefault="00C46F67">
      <w:pPr>
        <w:rPr>
          <w:rFonts w:asciiTheme="majorHAnsi" w:eastAsiaTheme="majorEastAsia" w:hAnsiTheme="majorHAnsi" w:cstheme="majorBidi"/>
          <w:b/>
          <w:bCs/>
          <w:sz w:val="26"/>
          <w:szCs w:val="26"/>
        </w:rPr>
      </w:pPr>
      <w:r>
        <w:br w:type="page"/>
      </w:r>
    </w:p>
    <w:p w14:paraId="55CC2F4E" w14:textId="06F8982C" w:rsidR="00A70EED" w:rsidRPr="001C0BCF" w:rsidRDefault="00A70EED" w:rsidP="001C0BCF">
      <w:pPr>
        <w:pStyle w:val="Heading2"/>
        <w:divId w:val="1112554373"/>
      </w:pPr>
      <w:r w:rsidRPr="001C0BCF">
        <w:t>Epidemiological investigation</w:t>
      </w:r>
    </w:p>
    <w:p w14:paraId="153FB920" w14:textId="77777777" w:rsidR="00A70EED" w:rsidRDefault="00A70EED" w:rsidP="001C0BCF">
      <w:pPr>
        <w:divId w:val="1112554373"/>
      </w:pPr>
      <w:r>
        <w:t xml:space="preserve">Measles is an urgent notifiable condition in Victoria, with a statutory requirement that all suspected, </w:t>
      </w:r>
      <w:proofErr w:type="gramStart"/>
      <w:r>
        <w:t>probable</w:t>
      </w:r>
      <w:proofErr w:type="gramEnd"/>
      <w:r>
        <w:t xml:space="preserve"> and confirmed cases are notified to the Department. </w:t>
      </w:r>
      <w:r>
        <w:rPr>
          <w:vertAlign w:val="superscript"/>
        </w:rPr>
        <w:t>22</w:t>
      </w:r>
      <w:r>
        <w:t xml:space="preserve"> </w:t>
      </w:r>
    </w:p>
    <w:p w14:paraId="48ADC8C8" w14:textId="77777777" w:rsidR="00A70EED" w:rsidRDefault="00A70EED" w:rsidP="001C0BCF">
      <w:pPr>
        <w:divId w:val="1112554373"/>
      </w:pPr>
      <w:r>
        <w:t xml:space="preserve">The Department conducted enhanced surveillance, active case-finding and contact tracing for all confirmed cases in line with the Communicable Diseases Network Australia (CDNA) Measles National Guidelines for Public Health Units (CDNA guideline). </w:t>
      </w:r>
      <w:r>
        <w:rPr>
          <w:vertAlign w:val="superscript"/>
        </w:rPr>
        <w:t>3</w:t>
      </w:r>
      <w:r>
        <w:t xml:space="preserve"> For each case, interviews were conducted with the case, healthcare provider, and/or next-of-kin as </w:t>
      </w:r>
      <w:proofErr w:type="gramStart"/>
      <w:r>
        <w:t>appropriate</w:t>
      </w:r>
      <w:proofErr w:type="gramEnd"/>
      <w:r>
        <w:t xml:space="preserve">, to identify all potential contacts and exposure sites. All associated case and contact data </w:t>
      </w:r>
      <w:proofErr w:type="gramStart"/>
      <w:r>
        <w:t>were stored</w:t>
      </w:r>
      <w:proofErr w:type="gramEnd"/>
      <w:r>
        <w:t xml:space="preserve"> in Victoria’s Public Health Event Surveillance System (PHESS).</w:t>
      </w:r>
    </w:p>
    <w:p w14:paraId="4DFC776C" w14:textId="77777777" w:rsidR="00A70EED" w:rsidRDefault="00A70EED" w:rsidP="001C0BCF">
      <w:pPr>
        <w:divId w:val="1112554373"/>
      </w:pPr>
      <w:r>
        <w:t xml:space="preserve">The likely source of acquisition for each case was </w:t>
      </w:r>
      <w:proofErr w:type="gramStart"/>
      <w:r>
        <w:t>identified</w:t>
      </w:r>
      <w:proofErr w:type="gramEnd"/>
      <w:r>
        <w:t xml:space="preserve"> based on the case’s risk history including any overseas travel, with the support of genomic testing as appropriate. Cases were considered epidemiologically linked if there was evidence of contact involving plausible transmission, </w:t>
      </w:r>
      <w:proofErr w:type="gramStart"/>
      <w:r>
        <w:rPr>
          <w:vertAlign w:val="superscript"/>
        </w:rPr>
        <w:t>3</w:t>
      </w:r>
      <w:proofErr w:type="gramEnd"/>
      <w:r>
        <w:t xml:space="preserve"> and were classified as clustered if there was more than one case within a household group. Cases were considered infectious from one day prior to prodromal onset, until four days after onset of their rash, and were isolated in their home or a healthcare setting from </w:t>
      </w:r>
      <w:proofErr w:type="gramStart"/>
      <w:r>
        <w:t>initial</w:t>
      </w:r>
      <w:proofErr w:type="gramEnd"/>
      <w:r>
        <w:t xml:space="preserve"> suspicion of measles diagnosis until the infectious period was complete. Monitoring of the event concluded two incubation periods (upper limit: 36 days) after the case (or last case in a cluster) </w:t>
      </w:r>
      <w:proofErr w:type="gramStart"/>
      <w:r>
        <w:t>was released</w:t>
      </w:r>
      <w:proofErr w:type="gramEnd"/>
      <w:r>
        <w:t xml:space="preserve"> from isolation.</w:t>
      </w:r>
    </w:p>
    <w:p w14:paraId="697E511C" w14:textId="77777777" w:rsidR="00A70EED" w:rsidRDefault="00A70EED" w:rsidP="001C0BCF">
      <w:pPr>
        <w:divId w:val="1112554373"/>
      </w:pPr>
      <w:r>
        <w:t xml:space="preserve">Vaccination status of cases and of </w:t>
      </w:r>
      <w:proofErr w:type="gramStart"/>
      <w:r>
        <w:t>identified</w:t>
      </w:r>
      <w:proofErr w:type="gramEnd"/>
      <w:r>
        <w:t xml:space="preserve"> contacts was confirmed via the Australian Immunisation Register (AIR), or via records provided by cases and contacts or their next-of-kin. The vaccination status of cases was classified as ‘unknown’ if the case was unable to </w:t>
      </w:r>
      <w:proofErr w:type="gramStart"/>
      <w:r>
        <w:t>provide</w:t>
      </w:r>
      <w:proofErr w:type="gramEnd"/>
      <w:r>
        <w:t xml:space="preserve"> evidence of prior vaccination, and ‘not eligible’ if the case was born prior to 1966.</w:t>
      </w:r>
    </w:p>
    <w:p w14:paraId="2DFA8813" w14:textId="77777777" w:rsidR="00A70EED" w:rsidRDefault="00A70EED" w:rsidP="001C0BCF">
      <w:pPr>
        <w:divId w:val="1112554373"/>
      </w:pPr>
      <w:r>
        <w:t xml:space="preserve">The Department notified all face-to-face contacts (those </w:t>
      </w:r>
      <w:proofErr w:type="gramStart"/>
      <w:r>
        <w:t>identified</w:t>
      </w:r>
      <w:proofErr w:type="gramEnd"/>
      <w:r>
        <w:t xml:space="preserve"> by the case or next-of-kin) of their potential exposure via telephone. Where evidence of measles vaccination was not available, contacts were encouraged to undergo serological testing to confirm their immune status (i.e., immunoglobulin G [IgG] antibodies for measles), and, if applicable, were offered appropriate post-exposure prophylaxis (PEP) (i.e. measles-containing vaccination within three days, or normal human immunoglobulin within six days of first exposure). </w:t>
      </w:r>
      <w:r>
        <w:rPr>
          <w:vertAlign w:val="superscript"/>
        </w:rPr>
        <w:t>3,5</w:t>
      </w:r>
      <w:r>
        <w:t xml:space="preserve"> Contacts were regularly </w:t>
      </w:r>
      <w:proofErr w:type="gramStart"/>
      <w:r>
        <w:t>monitored</w:t>
      </w:r>
      <w:proofErr w:type="gramEnd"/>
      <w:r>
        <w:t xml:space="preserve"> via text message or telephone call (usually every 2–4 days) until 18 days after last contact with the case. Healthcare facilities conducted contact tracing and coordinated PEP for exposures that occurred on healthcare grounds (</w:t>
      </w:r>
      <w:proofErr w:type="gramStart"/>
      <w:r>
        <w:t>e.g.</w:t>
      </w:r>
      <w:proofErr w:type="gramEnd"/>
      <w:r>
        <w:t xml:space="preserve"> emergency departments or primary healthcare facilities). Chief Health Officer (CHO) alerts were issued where public exposure sites were </w:t>
      </w:r>
      <w:proofErr w:type="gramStart"/>
      <w:r>
        <w:t>identified</w:t>
      </w:r>
      <w:proofErr w:type="gramEnd"/>
      <w:r>
        <w:t xml:space="preserve"> and premises were provided with advice; however, contacts at these sites were not individually followed up.</w:t>
      </w:r>
    </w:p>
    <w:p w14:paraId="7F42FFC3" w14:textId="77777777" w:rsidR="00A70EED" w:rsidRDefault="00A70EED" w:rsidP="001C0BCF">
      <w:pPr>
        <w:divId w:val="1112554373"/>
      </w:pPr>
      <w:r>
        <w:t xml:space="preserve">Where a case travelled on an international flight during the infectious period, </w:t>
      </w:r>
      <w:proofErr w:type="gramStart"/>
      <w:r>
        <w:rPr>
          <w:vertAlign w:val="superscript"/>
        </w:rPr>
        <w:t>3</w:t>
      </w:r>
      <w:proofErr w:type="gramEnd"/>
      <w:r>
        <w:t xml:space="preserve"> details of flight contacts were sourced via the National Incident Centre (NIC), based at the Australian Government Department of Health and Aged Care. The NIC provided incoming passenger cards (IPCs) for passengers with a Victorian address, with interstate flight contacts followed up by their respective residential states and territories. The IPCs of Victorian residents </w:t>
      </w:r>
      <w:proofErr w:type="gramStart"/>
      <w:r>
        <w:t>were manually transcribed</w:t>
      </w:r>
      <w:proofErr w:type="gramEnd"/>
      <w:r>
        <w:t xml:space="preserve">, and all passengers were sent information on their exposure and available PEP via email and/or text message. Exposure sites and international contacts </w:t>
      </w:r>
      <w:proofErr w:type="gramStart"/>
      <w:r>
        <w:t>were notified</w:t>
      </w:r>
      <w:proofErr w:type="gramEnd"/>
      <w:r>
        <w:t xml:space="preserve"> to relevant country National Focal Points by the NIC.</w:t>
      </w:r>
    </w:p>
    <w:p w14:paraId="485AEB41" w14:textId="77777777" w:rsidR="00A70EED" w:rsidRPr="001C0BCF" w:rsidRDefault="00A70EED" w:rsidP="001C0BCF">
      <w:pPr>
        <w:pStyle w:val="Heading2"/>
        <w:divId w:val="1112554373"/>
      </w:pPr>
      <w:r w:rsidRPr="001C0BCF">
        <w:t>Laboratory investigation</w:t>
      </w:r>
    </w:p>
    <w:p w14:paraId="62FFE990" w14:textId="77777777" w:rsidR="00A70EED" w:rsidRDefault="00A70EED" w:rsidP="001C0BCF">
      <w:pPr>
        <w:divId w:val="1112554373"/>
      </w:pPr>
      <w:r>
        <w:t xml:space="preserve">Laboratory testing </w:t>
      </w:r>
      <w:proofErr w:type="gramStart"/>
      <w:r>
        <w:t>was conducted</w:t>
      </w:r>
      <w:proofErr w:type="gramEnd"/>
      <w:r>
        <w:t xml:space="preserve"> at the Victorian Infectious Diseases Reference Laboratory (VIDRL), the national measles reference laboratory for Australia and a WHO measles regional reference laboratory. </w:t>
      </w:r>
      <w:r>
        <w:rPr>
          <w:vertAlign w:val="superscript"/>
        </w:rPr>
        <w:t>23,24</w:t>
      </w:r>
      <w:r>
        <w:t xml:space="preserve"> All cases </w:t>
      </w:r>
      <w:proofErr w:type="gramStart"/>
      <w:r>
        <w:t>were confirmed</w:t>
      </w:r>
      <w:proofErr w:type="gramEnd"/>
      <w:r>
        <w:t xml:space="preserve"> to have measles via polymerase chain reaction (PCR) testing. Genotyping </w:t>
      </w:r>
      <w:proofErr w:type="gramStart"/>
      <w:r>
        <w:t>was performed</w:t>
      </w:r>
      <w:proofErr w:type="gramEnd"/>
      <w:r>
        <w:t xml:space="preserve"> by nucleic acid sequencing with phylogenetic analysis conducted after PCR testing, </w:t>
      </w:r>
      <w:r>
        <w:rPr>
          <w:vertAlign w:val="superscript"/>
        </w:rPr>
        <w:t>23,24</w:t>
      </w:r>
      <w:r>
        <w:t xml:space="preserve"> to support epidemiological investigation.</w:t>
      </w:r>
    </w:p>
    <w:p w14:paraId="325FB514" w14:textId="77777777" w:rsidR="00C46F67" w:rsidRDefault="00C46F67">
      <w:pPr>
        <w:rPr>
          <w:rFonts w:asciiTheme="majorHAnsi" w:eastAsiaTheme="majorEastAsia" w:hAnsiTheme="majorHAnsi" w:cstheme="majorBidi"/>
          <w:b/>
          <w:bCs/>
          <w:sz w:val="26"/>
          <w:szCs w:val="26"/>
        </w:rPr>
      </w:pPr>
      <w:r>
        <w:br w:type="page"/>
      </w:r>
    </w:p>
    <w:p w14:paraId="0EB0280F" w14:textId="3A7B9714" w:rsidR="00A70EED" w:rsidRPr="001C0BCF" w:rsidRDefault="00A70EED" w:rsidP="001C0BCF">
      <w:pPr>
        <w:pStyle w:val="Heading2"/>
        <w:divId w:val="1112554373"/>
      </w:pPr>
      <w:r w:rsidRPr="001C0BCF">
        <w:t>Ethics</w:t>
      </w:r>
    </w:p>
    <w:p w14:paraId="16FD8CC3" w14:textId="77777777" w:rsidR="00A70EED" w:rsidRDefault="00A70EED" w:rsidP="001C0BCF">
      <w:pPr>
        <w:divId w:val="1112554373"/>
      </w:pPr>
      <w:r>
        <w:t xml:space="preserve">Case investigations </w:t>
      </w:r>
      <w:proofErr w:type="gramStart"/>
      <w:r>
        <w:t>were conducted</w:t>
      </w:r>
      <w:proofErr w:type="gramEnd"/>
      <w:r>
        <w:t xml:space="preserve"> under the </w:t>
      </w:r>
      <w:r w:rsidRPr="00D63274">
        <w:rPr>
          <w:rStyle w:val="Emphasis"/>
          <w:b w:val="0"/>
          <w:bCs w:val="0"/>
        </w:rPr>
        <w:t>Victorian Public Health and Wellbeing Act 2008</w:t>
      </w:r>
      <w:r>
        <w:t xml:space="preserve"> with an ethics waiver from the Australian National University Human Research Ethics Committee (2017/909).</w:t>
      </w:r>
    </w:p>
    <w:p w14:paraId="180DC8FE" w14:textId="77777777" w:rsidR="00A70EED" w:rsidRPr="001C0BCF" w:rsidRDefault="00A70EED" w:rsidP="001C0BCF">
      <w:pPr>
        <w:pStyle w:val="Heading1"/>
        <w:divId w:val="1112554373"/>
      </w:pPr>
      <w:r w:rsidRPr="001C0BCF">
        <w:t>Results</w:t>
      </w:r>
    </w:p>
    <w:p w14:paraId="63E47BEF" w14:textId="77777777" w:rsidR="00A70EED" w:rsidRDefault="00A70EED" w:rsidP="001C0BCF">
      <w:pPr>
        <w:divId w:val="1112554373"/>
      </w:pPr>
      <w:r>
        <w:t xml:space="preserve">Six confirmed measles cases </w:t>
      </w:r>
      <w:proofErr w:type="gramStart"/>
      <w:r>
        <w:t>were reported</w:t>
      </w:r>
      <w:proofErr w:type="gramEnd"/>
      <w:r>
        <w:t xml:space="preserve"> in Victoria in 2022, all occurring between June and December (Table 1). Three cases were single imported cases, and three cases formed part of an </w:t>
      </w:r>
      <w:proofErr w:type="gramStart"/>
      <w:r>
        <w:t>epidemiologically-linked</w:t>
      </w:r>
      <w:proofErr w:type="gramEnd"/>
      <w:r>
        <w:t xml:space="preserve"> household cluster. All cases </w:t>
      </w:r>
      <w:proofErr w:type="gramStart"/>
      <w:r>
        <w:t>acquired</w:t>
      </w:r>
      <w:proofErr w:type="gramEnd"/>
      <w:r>
        <w:t xml:space="preserve"> their infection overseas. Key findings of the outbreak investigation </w:t>
      </w:r>
      <w:proofErr w:type="gramStart"/>
      <w:r>
        <w:t>are reported</w:t>
      </w:r>
      <w:proofErr w:type="gramEnd"/>
      <w:r>
        <w:t xml:space="preserve"> below.</w:t>
      </w:r>
    </w:p>
    <w:p w14:paraId="1B5C4A59" w14:textId="77777777" w:rsidR="00B473C6" w:rsidRPr="00F7266F" w:rsidRDefault="00B473C6" w:rsidP="00B473C6">
      <w:pPr>
        <w:pStyle w:val="CDIFigures"/>
        <w:divId w:val="1112554373"/>
      </w:pPr>
      <w:r w:rsidRPr="00F7266F">
        <w:rPr>
          <w:rStyle w:val="Strong"/>
          <w:b/>
          <w:bCs w:val="0"/>
        </w:rPr>
        <w:t>Table 1: Summary of demographics and epidemiological data for confirmed measles cases in Victoria, 2022</w:t>
      </w:r>
      <w:r w:rsidRPr="00F7266F">
        <w:t xml:space="preserve"> </w:t>
      </w:r>
    </w:p>
    <w:tbl>
      <w:tblPr>
        <w:tblStyle w:val="CDI-StandardTable"/>
        <w:tblW w:w="0" w:type="auto"/>
        <w:tblLook w:val="04A0" w:firstRow="1" w:lastRow="0" w:firstColumn="1" w:lastColumn="0" w:noHBand="0" w:noVBand="1"/>
        <w:tblDescription w:val="Table 1 summarises demographic and epidemiological data for the six confirmed measles cases reported in Victoria in 2022. This includes whether cases were epidemiologically linked, sex, age, whether born in Australia, measles genotype, the likely source of infection, and measles vaccination status."/>
      </w:tblPr>
      <w:tblGrid>
        <w:gridCol w:w="1114"/>
        <w:gridCol w:w="1074"/>
        <w:gridCol w:w="648"/>
        <w:gridCol w:w="887"/>
        <w:gridCol w:w="972"/>
        <w:gridCol w:w="1039"/>
        <w:gridCol w:w="848"/>
        <w:gridCol w:w="1350"/>
        <w:gridCol w:w="1166"/>
        <w:gridCol w:w="1368"/>
      </w:tblGrid>
      <w:tr w:rsidR="00B473C6" w:rsidRPr="007B16B1" w14:paraId="55323969" w14:textId="77777777" w:rsidTr="00B473C6">
        <w:trPr>
          <w:cnfStyle w:val="100000000000" w:firstRow="1" w:lastRow="0" w:firstColumn="0" w:lastColumn="0" w:oddVBand="0" w:evenVBand="0" w:oddHBand="0" w:evenHBand="0" w:firstRowFirstColumn="0" w:firstRowLastColumn="0" w:lastRowFirstColumn="0" w:lastRowLastColumn="0"/>
          <w:divId w:val="1112554373"/>
        </w:trPr>
        <w:tc>
          <w:tcPr>
            <w:tcW w:w="0" w:type="auto"/>
            <w:tcBorders>
              <w:bottom w:val="single" w:sz="4" w:space="0" w:color="7F7F7F" w:themeColor="text1" w:themeTint="80"/>
            </w:tcBorders>
            <w:hideMark/>
          </w:tcPr>
          <w:p w14:paraId="3E9CF314" w14:textId="77777777" w:rsidR="00B473C6" w:rsidRPr="007B16B1" w:rsidRDefault="00B473C6" w:rsidP="00BD4CDB">
            <w:pPr>
              <w:pStyle w:val="NormalWeb"/>
              <w:rPr>
                <w:sz w:val="18"/>
                <w:szCs w:val="18"/>
              </w:rPr>
            </w:pPr>
            <w:r w:rsidRPr="007B16B1">
              <w:rPr>
                <w:sz w:val="18"/>
                <w:szCs w:val="18"/>
              </w:rPr>
              <w:t>Case designation</w:t>
            </w:r>
          </w:p>
        </w:tc>
        <w:tc>
          <w:tcPr>
            <w:tcW w:w="0" w:type="auto"/>
            <w:tcBorders>
              <w:bottom w:val="single" w:sz="4" w:space="0" w:color="7F7F7F" w:themeColor="text1" w:themeTint="80"/>
            </w:tcBorders>
            <w:hideMark/>
          </w:tcPr>
          <w:p w14:paraId="26260954" w14:textId="77777777" w:rsidR="00B473C6" w:rsidRPr="007B16B1" w:rsidRDefault="00B473C6" w:rsidP="00BD4CDB">
            <w:pPr>
              <w:pStyle w:val="NormalWeb"/>
              <w:rPr>
                <w:sz w:val="18"/>
                <w:szCs w:val="18"/>
              </w:rPr>
            </w:pPr>
            <w:r w:rsidRPr="007B16B1">
              <w:rPr>
                <w:sz w:val="18"/>
                <w:szCs w:val="18"/>
              </w:rPr>
              <w:t>Linked</w:t>
            </w:r>
          </w:p>
        </w:tc>
        <w:tc>
          <w:tcPr>
            <w:tcW w:w="0" w:type="auto"/>
            <w:tcBorders>
              <w:bottom w:val="single" w:sz="4" w:space="0" w:color="7F7F7F" w:themeColor="text1" w:themeTint="80"/>
            </w:tcBorders>
            <w:hideMark/>
          </w:tcPr>
          <w:p w14:paraId="1C40A4CC" w14:textId="77777777" w:rsidR="00B473C6" w:rsidRPr="007B16B1" w:rsidRDefault="00B473C6" w:rsidP="00BD4CDB">
            <w:pPr>
              <w:pStyle w:val="NormalWeb"/>
              <w:rPr>
                <w:sz w:val="18"/>
                <w:szCs w:val="18"/>
              </w:rPr>
            </w:pPr>
            <w:r w:rsidRPr="007B16B1">
              <w:rPr>
                <w:sz w:val="18"/>
                <w:szCs w:val="18"/>
              </w:rPr>
              <w:t>Sex</w:t>
            </w:r>
          </w:p>
        </w:tc>
        <w:tc>
          <w:tcPr>
            <w:tcW w:w="0" w:type="auto"/>
            <w:tcBorders>
              <w:bottom w:val="single" w:sz="4" w:space="0" w:color="7F7F7F" w:themeColor="text1" w:themeTint="80"/>
            </w:tcBorders>
            <w:hideMark/>
          </w:tcPr>
          <w:p w14:paraId="76FEF24F" w14:textId="77777777" w:rsidR="00B473C6" w:rsidRPr="007B16B1" w:rsidRDefault="00B473C6" w:rsidP="00BD4CDB">
            <w:pPr>
              <w:pStyle w:val="NormalWeb"/>
              <w:rPr>
                <w:sz w:val="18"/>
                <w:szCs w:val="18"/>
              </w:rPr>
            </w:pPr>
            <w:r w:rsidRPr="007B16B1">
              <w:rPr>
                <w:sz w:val="18"/>
                <w:szCs w:val="18"/>
              </w:rPr>
              <w:t>Age group (years)</w:t>
            </w:r>
          </w:p>
        </w:tc>
        <w:tc>
          <w:tcPr>
            <w:tcW w:w="0" w:type="auto"/>
            <w:tcBorders>
              <w:bottom w:val="single" w:sz="4" w:space="0" w:color="7F7F7F" w:themeColor="text1" w:themeTint="80"/>
            </w:tcBorders>
            <w:hideMark/>
          </w:tcPr>
          <w:p w14:paraId="2DA2B67D" w14:textId="77777777" w:rsidR="00B473C6" w:rsidRPr="007B16B1" w:rsidRDefault="00B473C6" w:rsidP="00BD4CDB">
            <w:pPr>
              <w:pStyle w:val="NormalWeb"/>
              <w:rPr>
                <w:sz w:val="18"/>
                <w:szCs w:val="18"/>
              </w:rPr>
            </w:pPr>
            <w:r w:rsidRPr="007B16B1">
              <w:rPr>
                <w:sz w:val="18"/>
                <w:szCs w:val="18"/>
              </w:rPr>
              <w:t>Born in Australia</w:t>
            </w:r>
          </w:p>
        </w:tc>
        <w:tc>
          <w:tcPr>
            <w:tcW w:w="0" w:type="auto"/>
            <w:tcBorders>
              <w:bottom w:val="single" w:sz="4" w:space="0" w:color="7F7F7F" w:themeColor="text1" w:themeTint="80"/>
            </w:tcBorders>
            <w:hideMark/>
          </w:tcPr>
          <w:p w14:paraId="563FA191" w14:textId="77777777" w:rsidR="00B473C6" w:rsidRPr="007B16B1" w:rsidRDefault="00B473C6" w:rsidP="00BD4CDB">
            <w:pPr>
              <w:pStyle w:val="NormalWeb"/>
              <w:rPr>
                <w:sz w:val="18"/>
                <w:szCs w:val="18"/>
              </w:rPr>
            </w:pPr>
            <w:r w:rsidRPr="007B16B1">
              <w:rPr>
                <w:sz w:val="18"/>
                <w:szCs w:val="18"/>
              </w:rPr>
              <w:t>Resides in Australia</w:t>
            </w:r>
          </w:p>
        </w:tc>
        <w:tc>
          <w:tcPr>
            <w:tcW w:w="0" w:type="auto"/>
            <w:tcBorders>
              <w:bottom w:val="single" w:sz="4" w:space="0" w:color="7F7F7F" w:themeColor="text1" w:themeTint="80"/>
            </w:tcBorders>
            <w:hideMark/>
          </w:tcPr>
          <w:p w14:paraId="62260E71" w14:textId="77777777" w:rsidR="00B473C6" w:rsidRPr="007B16B1" w:rsidRDefault="00B473C6" w:rsidP="00BD4CDB">
            <w:pPr>
              <w:pStyle w:val="NormalWeb"/>
              <w:rPr>
                <w:sz w:val="18"/>
                <w:szCs w:val="18"/>
              </w:rPr>
            </w:pPr>
            <w:r w:rsidRPr="007B16B1">
              <w:rPr>
                <w:sz w:val="18"/>
                <w:szCs w:val="18"/>
              </w:rPr>
              <w:t>Genotype</w:t>
            </w:r>
          </w:p>
        </w:tc>
        <w:tc>
          <w:tcPr>
            <w:tcW w:w="0" w:type="auto"/>
            <w:tcBorders>
              <w:bottom w:val="single" w:sz="4" w:space="0" w:color="7F7F7F" w:themeColor="text1" w:themeTint="80"/>
            </w:tcBorders>
            <w:hideMark/>
          </w:tcPr>
          <w:p w14:paraId="6904EBED" w14:textId="77777777" w:rsidR="00B473C6" w:rsidRPr="007B16B1" w:rsidRDefault="00B473C6" w:rsidP="00BD4CDB">
            <w:pPr>
              <w:pStyle w:val="NormalWeb"/>
              <w:rPr>
                <w:sz w:val="18"/>
                <w:szCs w:val="18"/>
              </w:rPr>
            </w:pPr>
            <w:r w:rsidRPr="007B16B1">
              <w:rPr>
                <w:sz w:val="18"/>
                <w:szCs w:val="18"/>
              </w:rPr>
              <w:t>Source</w:t>
            </w:r>
            <w:r w:rsidRPr="007B16B1">
              <w:rPr>
                <w:sz w:val="18"/>
                <w:szCs w:val="18"/>
              </w:rPr>
              <w:br/>
              <w:t>(</w:t>
            </w:r>
            <w:proofErr w:type="gramStart"/>
            <w:r w:rsidRPr="007B16B1">
              <w:rPr>
                <w:sz w:val="18"/>
                <w:szCs w:val="18"/>
              </w:rPr>
              <w:t>likely place</w:t>
            </w:r>
            <w:proofErr w:type="gramEnd"/>
            <w:r w:rsidRPr="007B16B1">
              <w:rPr>
                <w:sz w:val="18"/>
                <w:szCs w:val="18"/>
              </w:rPr>
              <w:t xml:space="preserve"> of acquisition)</w:t>
            </w:r>
          </w:p>
        </w:tc>
        <w:tc>
          <w:tcPr>
            <w:tcW w:w="0" w:type="auto"/>
            <w:tcBorders>
              <w:bottom w:val="single" w:sz="4" w:space="0" w:color="7F7F7F" w:themeColor="text1" w:themeTint="80"/>
            </w:tcBorders>
            <w:hideMark/>
          </w:tcPr>
          <w:p w14:paraId="7CDBCBFE" w14:textId="77777777" w:rsidR="00B473C6" w:rsidRPr="007B16B1" w:rsidRDefault="00B473C6" w:rsidP="00BD4CDB">
            <w:pPr>
              <w:pStyle w:val="NormalWeb"/>
              <w:rPr>
                <w:sz w:val="18"/>
                <w:szCs w:val="18"/>
              </w:rPr>
            </w:pPr>
            <w:r w:rsidRPr="007B16B1">
              <w:rPr>
                <w:sz w:val="18"/>
                <w:szCs w:val="18"/>
              </w:rPr>
              <w:t>Vaccination status</w:t>
            </w:r>
          </w:p>
        </w:tc>
        <w:tc>
          <w:tcPr>
            <w:tcW w:w="0" w:type="auto"/>
            <w:tcBorders>
              <w:bottom w:val="single" w:sz="4" w:space="0" w:color="7F7F7F" w:themeColor="text1" w:themeTint="80"/>
            </w:tcBorders>
            <w:hideMark/>
          </w:tcPr>
          <w:p w14:paraId="172DDADE" w14:textId="77777777" w:rsidR="00B473C6" w:rsidRPr="007B16B1" w:rsidRDefault="00B473C6" w:rsidP="00BD4CDB">
            <w:pPr>
              <w:pStyle w:val="NormalWeb"/>
              <w:rPr>
                <w:sz w:val="18"/>
                <w:szCs w:val="18"/>
              </w:rPr>
            </w:pPr>
            <w:r w:rsidRPr="007B16B1">
              <w:rPr>
                <w:sz w:val="18"/>
                <w:szCs w:val="18"/>
              </w:rPr>
              <w:t xml:space="preserve">Estimated number of </w:t>
            </w:r>
            <w:proofErr w:type="spellStart"/>
            <w:r w:rsidRPr="007B16B1">
              <w:rPr>
                <w:sz w:val="18"/>
                <w:szCs w:val="18"/>
              </w:rPr>
              <w:t>contacts</w:t>
            </w:r>
            <w:r w:rsidRPr="007B16B1">
              <w:rPr>
                <w:sz w:val="18"/>
                <w:szCs w:val="18"/>
                <w:vertAlign w:val="superscript"/>
              </w:rPr>
              <w:t>a</w:t>
            </w:r>
            <w:proofErr w:type="spellEnd"/>
          </w:p>
        </w:tc>
      </w:tr>
      <w:tr w:rsidR="00B473C6" w:rsidRPr="007B16B1" w14:paraId="3D3BB900" w14:textId="77777777" w:rsidTr="00B473C6">
        <w:trPr>
          <w:divId w:val="1112554373"/>
        </w:trPr>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2D144EB" w14:textId="77777777" w:rsidR="00B473C6" w:rsidRPr="007B16B1" w:rsidRDefault="00B473C6" w:rsidP="00BD4CDB">
            <w:pPr>
              <w:pStyle w:val="NormalWeb"/>
              <w:rPr>
                <w:sz w:val="18"/>
                <w:szCs w:val="18"/>
              </w:rPr>
            </w:pPr>
            <w:r w:rsidRPr="007B16B1">
              <w:rPr>
                <w:sz w:val="18"/>
                <w:szCs w:val="18"/>
              </w:rPr>
              <w:t>One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14DA1B2" w14:textId="77777777" w:rsidR="00B473C6" w:rsidRPr="007B16B1" w:rsidRDefault="00B473C6" w:rsidP="00BD4CDB">
            <w:pPr>
              <w:pStyle w:val="NormalWeb"/>
              <w:rPr>
                <w:sz w:val="18"/>
                <w:szCs w:val="18"/>
              </w:rPr>
            </w:pPr>
            <w:r w:rsidRPr="007B16B1">
              <w:rPr>
                <w:sz w:val="18"/>
                <w:szCs w:val="18"/>
              </w:rPr>
              <w:t>No</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A40F798" w14:textId="77777777" w:rsidR="00B473C6" w:rsidRPr="007B16B1" w:rsidRDefault="00B473C6" w:rsidP="00BD4CDB">
            <w:pPr>
              <w:pStyle w:val="NormalWeb"/>
              <w:rPr>
                <w:sz w:val="18"/>
                <w:szCs w:val="18"/>
              </w:rPr>
            </w:pPr>
            <w:r w:rsidRPr="007B16B1">
              <w:rPr>
                <w:sz w:val="18"/>
                <w:szCs w:val="18"/>
              </w:rPr>
              <w:t>Female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79674919" w14:textId="77777777" w:rsidR="00B473C6" w:rsidRPr="007B16B1" w:rsidRDefault="00B473C6" w:rsidP="00BD4CDB">
            <w:pPr>
              <w:pStyle w:val="NormalWeb"/>
              <w:rPr>
                <w:sz w:val="18"/>
                <w:szCs w:val="18"/>
              </w:rPr>
            </w:pPr>
            <w:r w:rsidRPr="007B16B1">
              <w:rPr>
                <w:sz w:val="18"/>
                <w:szCs w:val="18"/>
              </w:rPr>
              <w:t>30–34</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A6C3DD8" w14:textId="77777777" w:rsidR="00B473C6" w:rsidRPr="007B16B1" w:rsidRDefault="00B473C6" w:rsidP="00BD4CDB">
            <w:pPr>
              <w:pStyle w:val="NormalWeb"/>
              <w:rPr>
                <w:sz w:val="18"/>
                <w:szCs w:val="18"/>
              </w:rPr>
            </w:pPr>
            <w:r w:rsidRPr="007B16B1">
              <w:rPr>
                <w:sz w:val="18"/>
                <w:szCs w:val="18"/>
              </w:rPr>
              <w:t>No</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758D4163"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7125C77" w14:textId="77777777" w:rsidR="00B473C6" w:rsidRPr="007B16B1" w:rsidRDefault="00B473C6" w:rsidP="00BD4CDB">
            <w:pPr>
              <w:pStyle w:val="NormalWeb"/>
              <w:rPr>
                <w:sz w:val="18"/>
                <w:szCs w:val="18"/>
              </w:rPr>
            </w:pPr>
            <w:r w:rsidRPr="007B16B1">
              <w:rPr>
                <w:sz w:val="18"/>
                <w:szCs w:val="18"/>
              </w:rPr>
              <w:t>B3</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672117B" w14:textId="77777777" w:rsidR="00B473C6" w:rsidRPr="007B16B1" w:rsidRDefault="00B473C6" w:rsidP="00BD4CDB">
            <w:pPr>
              <w:pStyle w:val="NormalWeb"/>
              <w:rPr>
                <w:sz w:val="18"/>
                <w:szCs w:val="18"/>
              </w:rPr>
            </w:pPr>
            <w:r w:rsidRPr="007B16B1">
              <w:rPr>
                <w:sz w:val="18"/>
                <w:szCs w:val="18"/>
              </w:rPr>
              <w:t>Imported</w:t>
            </w:r>
            <w:r w:rsidRPr="007B16B1">
              <w:rPr>
                <w:sz w:val="18"/>
                <w:szCs w:val="18"/>
              </w:rPr>
              <w:br/>
              <w:t>(Europe)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11563C5" w14:textId="77777777" w:rsidR="00B473C6" w:rsidRPr="007B16B1" w:rsidRDefault="00B473C6" w:rsidP="00BD4CDB">
            <w:pPr>
              <w:pStyle w:val="NormalWeb"/>
              <w:rPr>
                <w:sz w:val="18"/>
                <w:szCs w:val="18"/>
              </w:rPr>
            </w:pPr>
            <w:r w:rsidRPr="007B16B1">
              <w:rPr>
                <w:sz w:val="18"/>
                <w:szCs w:val="18"/>
              </w:rPr>
              <w:t>Partially vaccinated</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CA12601" w14:textId="77777777" w:rsidR="00B473C6" w:rsidRPr="007B16B1" w:rsidRDefault="00B473C6" w:rsidP="00BD4CDB">
            <w:pPr>
              <w:pStyle w:val="NormalWeb"/>
              <w:rPr>
                <w:sz w:val="18"/>
                <w:szCs w:val="18"/>
              </w:rPr>
            </w:pPr>
            <w:r w:rsidRPr="007B16B1">
              <w:rPr>
                <w:sz w:val="18"/>
                <w:szCs w:val="18"/>
              </w:rPr>
              <w:t>157</w:t>
            </w:r>
          </w:p>
        </w:tc>
      </w:tr>
      <w:tr w:rsidR="00B473C6" w:rsidRPr="007B16B1" w14:paraId="4EFD3CA1" w14:textId="77777777" w:rsidTr="00B473C6">
        <w:trPr>
          <w:cnfStyle w:val="000000010000" w:firstRow="0" w:lastRow="0" w:firstColumn="0" w:lastColumn="0" w:oddVBand="0" w:evenVBand="0" w:oddHBand="0" w:evenHBand="1" w:firstRowFirstColumn="0" w:firstRowLastColumn="0" w:lastRowFirstColumn="0" w:lastRowLastColumn="0"/>
          <w:divId w:val="1112554373"/>
        </w:trPr>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73502AA" w14:textId="77777777" w:rsidR="00B473C6" w:rsidRPr="007B16B1" w:rsidRDefault="00B473C6" w:rsidP="00BD4CDB">
            <w:pPr>
              <w:pStyle w:val="NormalWeb"/>
              <w:rPr>
                <w:sz w:val="18"/>
                <w:szCs w:val="18"/>
              </w:rPr>
            </w:pPr>
            <w:r w:rsidRPr="007B16B1">
              <w:rPr>
                <w:sz w:val="18"/>
                <w:szCs w:val="18"/>
              </w:rPr>
              <w:t>Two</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7B404D6" w14:textId="77777777" w:rsidR="00B473C6" w:rsidRPr="007B16B1" w:rsidRDefault="00B473C6" w:rsidP="00BD4CDB">
            <w:pPr>
              <w:pStyle w:val="NormalWeb"/>
              <w:rPr>
                <w:sz w:val="18"/>
                <w:szCs w:val="18"/>
              </w:rPr>
            </w:pPr>
            <w:r w:rsidRPr="007B16B1">
              <w:rPr>
                <w:sz w:val="18"/>
                <w:szCs w:val="18"/>
              </w:rPr>
              <w:t>No</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02A2763" w14:textId="77777777" w:rsidR="00B473C6" w:rsidRPr="007B16B1" w:rsidRDefault="00B473C6" w:rsidP="00BD4CDB">
            <w:pPr>
              <w:pStyle w:val="NormalWeb"/>
              <w:rPr>
                <w:sz w:val="18"/>
                <w:szCs w:val="18"/>
              </w:rPr>
            </w:pPr>
            <w:r w:rsidRPr="007B16B1">
              <w:rPr>
                <w:sz w:val="18"/>
                <w:szCs w:val="18"/>
              </w:rPr>
              <w:t>Female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C35C9CC" w14:textId="77777777" w:rsidR="00B473C6" w:rsidRPr="007B16B1" w:rsidRDefault="00B473C6" w:rsidP="00BD4CDB">
            <w:pPr>
              <w:pStyle w:val="NormalWeb"/>
              <w:rPr>
                <w:sz w:val="18"/>
                <w:szCs w:val="18"/>
              </w:rPr>
            </w:pPr>
            <w:r w:rsidRPr="007B16B1">
              <w:rPr>
                <w:sz w:val="18"/>
                <w:szCs w:val="18"/>
              </w:rPr>
              <w:t>40–44</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68B5FDE" w14:textId="77777777" w:rsidR="00B473C6" w:rsidRPr="007B16B1" w:rsidRDefault="00B473C6" w:rsidP="00BD4CDB">
            <w:pPr>
              <w:pStyle w:val="NormalWeb"/>
              <w:rPr>
                <w:sz w:val="18"/>
                <w:szCs w:val="18"/>
              </w:rPr>
            </w:pPr>
            <w:r w:rsidRPr="007B16B1">
              <w:rPr>
                <w:sz w:val="18"/>
                <w:szCs w:val="18"/>
              </w:rPr>
              <w:t>No</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BE98970"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94A5399" w14:textId="77777777" w:rsidR="00B473C6" w:rsidRPr="007B16B1" w:rsidRDefault="00B473C6" w:rsidP="00BD4CDB">
            <w:pPr>
              <w:pStyle w:val="NormalWeb"/>
              <w:rPr>
                <w:sz w:val="18"/>
                <w:szCs w:val="18"/>
              </w:rPr>
            </w:pPr>
            <w:r w:rsidRPr="007B16B1">
              <w:rPr>
                <w:sz w:val="18"/>
                <w:szCs w:val="18"/>
              </w:rPr>
              <w:t>D8</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7375DA1D" w14:textId="77777777" w:rsidR="00B473C6" w:rsidRPr="007B16B1" w:rsidRDefault="00B473C6" w:rsidP="00BD4CDB">
            <w:pPr>
              <w:pStyle w:val="NormalWeb"/>
              <w:rPr>
                <w:sz w:val="18"/>
                <w:szCs w:val="18"/>
              </w:rPr>
            </w:pPr>
            <w:r w:rsidRPr="007B16B1">
              <w:rPr>
                <w:sz w:val="18"/>
                <w:szCs w:val="18"/>
              </w:rPr>
              <w:t>Imported</w:t>
            </w:r>
            <w:r w:rsidRPr="007B16B1">
              <w:rPr>
                <w:sz w:val="18"/>
                <w:szCs w:val="18"/>
              </w:rPr>
              <w:br/>
              <w:t>(South Asia)</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B3D79F5" w14:textId="77777777" w:rsidR="00B473C6" w:rsidRPr="007B16B1" w:rsidRDefault="00B473C6" w:rsidP="00BD4CDB">
            <w:pPr>
              <w:pStyle w:val="NormalWeb"/>
              <w:rPr>
                <w:sz w:val="18"/>
                <w:szCs w:val="18"/>
              </w:rPr>
            </w:pPr>
            <w:proofErr w:type="spellStart"/>
            <w:r w:rsidRPr="007B16B1">
              <w:rPr>
                <w:sz w:val="18"/>
                <w:szCs w:val="18"/>
              </w:rPr>
              <w:t>Unknown</w:t>
            </w:r>
            <w:r w:rsidRPr="007B16B1">
              <w:rPr>
                <w:sz w:val="18"/>
                <w:szCs w:val="18"/>
                <w:vertAlign w:val="superscript"/>
              </w:rPr>
              <w:t>b</w:t>
            </w:r>
            <w:proofErr w:type="spellEnd"/>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07C6360" w14:textId="77777777" w:rsidR="00B473C6" w:rsidRPr="007B16B1" w:rsidRDefault="00B473C6" w:rsidP="00BD4CDB">
            <w:pPr>
              <w:pStyle w:val="NormalWeb"/>
              <w:rPr>
                <w:sz w:val="18"/>
                <w:szCs w:val="18"/>
              </w:rPr>
            </w:pPr>
            <w:r w:rsidRPr="007B16B1">
              <w:rPr>
                <w:sz w:val="18"/>
                <w:szCs w:val="18"/>
              </w:rPr>
              <w:t>54</w:t>
            </w:r>
          </w:p>
        </w:tc>
      </w:tr>
      <w:tr w:rsidR="00B473C6" w:rsidRPr="007B16B1" w14:paraId="62147EDD" w14:textId="77777777" w:rsidTr="00B473C6">
        <w:trPr>
          <w:divId w:val="1112554373"/>
        </w:trPr>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40BD5C3" w14:textId="77777777" w:rsidR="00B473C6" w:rsidRPr="007B16B1" w:rsidRDefault="00B473C6" w:rsidP="00BD4CDB">
            <w:pPr>
              <w:pStyle w:val="NormalWeb"/>
              <w:rPr>
                <w:sz w:val="18"/>
                <w:szCs w:val="18"/>
              </w:rPr>
            </w:pPr>
            <w:r w:rsidRPr="007B16B1">
              <w:rPr>
                <w:sz w:val="18"/>
                <w:szCs w:val="18"/>
              </w:rPr>
              <w:t>Three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5147B8C" w14:textId="77777777" w:rsidR="00B473C6" w:rsidRPr="007B16B1" w:rsidRDefault="00B473C6" w:rsidP="00BD4CDB">
            <w:pPr>
              <w:pStyle w:val="NormalWeb"/>
              <w:rPr>
                <w:sz w:val="18"/>
                <w:szCs w:val="18"/>
              </w:rPr>
            </w:pPr>
            <w:r w:rsidRPr="007B16B1">
              <w:rPr>
                <w:sz w:val="18"/>
                <w:szCs w:val="18"/>
              </w:rPr>
              <w:t>No</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DD47E4D" w14:textId="77777777" w:rsidR="00B473C6" w:rsidRPr="007B16B1" w:rsidRDefault="00B473C6" w:rsidP="00BD4CDB">
            <w:pPr>
              <w:pStyle w:val="NormalWeb"/>
              <w:rPr>
                <w:sz w:val="18"/>
                <w:szCs w:val="18"/>
              </w:rPr>
            </w:pPr>
            <w:r w:rsidRPr="007B16B1">
              <w:rPr>
                <w:sz w:val="18"/>
                <w:szCs w:val="18"/>
              </w:rPr>
              <w:t>Male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BFE4504" w14:textId="77777777" w:rsidR="00B473C6" w:rsidRPr="007B16B1" w:rsidRDefault="00B473C6" w:rsidP="00BD4CDB">
            <w:pPr>
              <w:pStyle w:val="NormalWeb"/>
              <w:rPr>
                <w:sz w:val="18"/>
                <w:szCs w:val="18"/>
              </w:rPr>
            </w:pPr>
            <w:r w:rsidRPr="007B16B1">
              <w:rPr>
                <w:sz w:val="18"/>
                <w:szCs w:val="18"/>
              </w:rPr>
              <w:t>55–59</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4AA5371"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54FD73E"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3011A0C" w14:textId="77777777" w:rsidR="00B473C6" w:rsidRPr="007B16B1" w:rsidRDefault="00B473C6" w:rsidP="00BD4CDB">
            <w:pPr>
              <w:pStyle w:val="NormalWeb"/>
              <w:rPr>
                <w:sz w:val="18"/>
                <w:szCs w:val="18"/>
              </w:rPr>
            </w:pPr>
            <w:r w:rsidRPr="007B16B1">
              <w:rPr>
                <w:sz w:val="18"/>
                <w:szCs w:val="18"/>
              </w:rPr>
              <w:t>D8</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C5124DD" w14:textId="77777777" w:rsidR="00B473C6" w:rsidRPr="007B16B1" w:rsidRDefault="00B473C6" w:rsidP="00BD4CDB">
            <w:pPr>
              <w:pStyle w:val="NormalWeb"/>
              <w:rPr>
                <w:sz w:val="18"/>
                <w:szCs w:val="18"/>
              </w:rPr>
            </w:pPr>
            <w:r w:rsidRPr="007B16B1">
              <w:rPr>
                <w:sz w:val="18"/>
                <w:szCs w:val="18"/>
              </w:rPr>
              <w:t>Imported</w:t>
            </w:r>
            <w:r w:rsidRPr="007B16B1">
              <w:rPr>
                <w:sz w:val="18"/>
                <w:szCs w:val="18"/>
              </w:rPr>
              <w:br/>
              <w:t>(Southeast Asia)</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FFFF859" w14:textId="77777777" w:rsidR="00B473C6" w:rsidRPr="007B16B1" w:rsidRDefault="00B473C6" w:rsidP="00BD4CDB">
            <w:pPr>
              <w:pStyle w:val="NormalWeb"/>
              <w:rPr>
                <w:sz w:val="18"/>
                <w:szCs w:val="18"/>
              </w:rPr>
            </w:pPr>
            <w:r w:rsidRPr="007B16B1">
              <w:rPr>
                <w:sz w:val="18"/>
                <w:szCs w:val="18"/>
              </w:rPr>
              <w:t xml:space="preserve">Not </w:t>
            </w:r>
            <w:proofErr w:type="spellStart"/>
            <w:r w:rsidRPr="007B16B1">
              <w:rPr>
                <w:sz w:val="18"/>
                <w:szCs w:val="18"/>
              </w:rPr>
              <w:t>eligible</w:t>
            </w:r>
            <w:r w:rsidRPr="007B16B1">
              <w:rPr>
                <w:sz w:val="18"/>
                <w:szCs w:val="18"/>
                <w:vertAlign w:val="superscript"/>
              </w:rPr>
              <w:t>c</w:t>
            </w:r>
            <w:proofErr w:type="spellEnd"/>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9E71B70" w14:textId="77777777" w:rsidR="00B473C6" w:rsidRPr="007B16B1" w:rsidRDefault="00B473C6" w:rsidP="00BD4CDB">
            <w:pPr>
              <w:pStyle w:val="NormalWeb"/>
              <w:rPr>
                <w:sz w:val="18"/>
                <w:szCs w:val="18"/>
              </w:rPr>
            </w:pPr>
            <w:r w:rsidRPr="007B16B1">
              <w:rPr>
                <w:sz w:val="18"/>
                <w:szCs w:val="18"/>
              </w:rPr>
              <w:t>14</w:t>
            </w:r>
          </w:p>
        </w:tc>
      </w:tr>
      <w:tr w:rsidR="00B473C6" w:rsidRPr="007B16B1" w14:paraId="52710C8D" w14:textId="77777777" w:rsidTr="00B473C6">
        <w:trPr>
          <w:cnfStyle w:val="000000010000" w:firstRow="0" w:lastRow="0" w:firstColumn="0" w:lastColumn="0" w:oddVBand="0" w:evenVBand="0" w:oddHBand="0" w:evenHBand="1" w:firstRowFirstColumn="0" w:firstRowLastColumn="0" w:lastRowFirstColumn="0" w:lastRowLastColumn="0"/>
          <w:divId w:val="1112554373"/>
        </w:trPr>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753C2B2" w14:textId="77777777" w:rsidR="00B473C6" w:rsidRPr="007B16B1" w:rsidRDefault="00B473C6" w:rsidP="00BD4CDB">
            <w:pPr>
              <w:pStyle w:val="NormalWeb"/>
              <w:rPr>
                <w:sz w:val="18"/>
                <w:szCs w:val="18"/>
              </w:rPr>
            </w:pPr>
            <w:r w:rsidRPr="007B16B1">
              <w:rPr>
                <w:sz w:val="18"/>
                <w:szCs w:val="18"/>
              </w:rPr>
              <w:t>Four</w:t>
            </w:r>
          </w:p>
        </w:tc>
        <w:tc>
          <w:tcPr>
            <w:tcW w:w="0" w:type="auto"/>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7360FB68" w14:textId="77777777" w:rsidR="00B473C6" w:rsidRPr="007B16B1" w:rsidRDefault="00B473C6" w:rsidP="00BD4CDB">
            <w:pPr>
              <w:pStyle w:val="NormalWeb"/>
              <w:rPr>
                <w:sz w:val="18"/>
                <w:szCs w:val="18"/>
              </w:rPr>
            </w:pPr>
            <w:r w:rsidRPr="007B16B1">
              <w:rPr>
                <w:sz w:val="18"/>
                <w:szCs w:val="18"/>
              </w:rPr>
              <w:t>Household cluster</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A99AF54" w14:textId="77777777" w:rsidR="00B473C6" w:rsidRPr="007B16B1" w:rsidRDefault="00B473C6" w:rsidP="00BD4CDB">
            <w:pPr>
              <w:pStyle w:val="NormalWeb"/>
              <w:rPr>
                <w:sz w:val="18"/>
                <w:szCs w:val="18"/>
              </w:rPr>
            </w:pPr>
            <w:r w:rsidRPr="007B16B1">
              <w:rPr>
                <w:sz w:val="18"/>
                <w:szCs w:val="18"/>
              </w:rPr>
              <w:t>Male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4E80EBF" w14:textId="77777777" w:rsidR="00B473C6" w:rsidRPr="007B16B1" w:rsidRDefault="00B473C6" w:rsidP="00BD4CDB">
            <w:pPr>
              <w:pStyle w:val="NormalWeb"/>
              <w:rPr>
                <w:sz w:val="18"/>
                <w:szCs w:val="18"/>
              </w:rPr>
            </w:pPr>
            <w:r w:rsidRPr="007B16B1">
              <w:rPr>
                <w:sz w:val="18"/>
                <w:szCs w:val="18"/>
              </w:rPr>
              <w:t>1–4</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758A7812"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C2D3DB4"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EA50346" w14:textId="77777777" w:rsidR="00B473C6" w:rsidRPr="007B16B1" w:rsidRDefault="00B473C6" w:rsidP="00BD4CDB">
            <w:pPr>
              <w:pStyle w:val="NormalWeb"/>
              <w:rPr>
                <w:sz w:val="18"/>
                <w:szCs w:val="18"/>
              </w:rPr>
            </w:pPr>
            <w:r w:rsidRPr="007B16B1">
              <w:rPr>
                <w:sz w:val="18"/>
                <w:szCs w:val="18"/>
              </w:rPr>
              <w:t>D8</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B7B68F3" w14:textId="77777777" w:rsidR="00B473C6" w:rsidRPr="007B16B1" w:rsidRDefault="00B473C6" w:rsidP="00BD4CDB">
            <w:pPr>
              <w:pStyle w:val="NormalWeb"/>
              <w:rPr>
                <w:sz w:val="18"/>
                <w:szCs w:val="18"/>
              </w:rPr>
            </w:pPr>
            <w:r w:rsidRPr="007B16B1">
              <w:rPr>
                <w:sz w:val="18"/>
                <w:szCs w:val="18"/>
              </w:rPr>
              <w:t>Imported</w:t>
            </w:r>
            <w:r w:rsidRPr="007B16B1">
              <w:rPr>
                <w:sz w:val="18"/>
                <w:szCs w:val="18"/>
              </w:rPr>
              <w:br/>
              <w:t>(Middle East)</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87607EC" w14:textId="77777777" w:rsidR="00B473C6" w:rsidRPr="007B16B1" w:rsidRDefault="00B473C6" w:rsidP="00BD4CDB">
            <w:pPr>
              <w:pStyle w:val="NormalWeb"/>
              <w:rPr>
                <w:sz w:val="18"/>
                <w:szCs w:val="18"/>
              </w:rPr>
            </w:pPr>
            <w:r w:rsidRPr="007B16B1">
              <w:rPr>
                <w:sz w:val="18"/>
                <w:szCs w:val="18"/>
              </w:rPr>
              <w:t>Not vaccinated</w:t>
            </w:r>
          </w:p>
        </w:tc>
        <w:tc>
          <w:tcPr>
            <w:tcW w:w="0" w:type="auto"/>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31AB3D1" w14:textId="77777777" w:rsidR="00B473C6" w:rsidRPr="007B16B1" w:rsidRDefault="00B473C6" w:rsidP="00BD4CDB">
            <w:pPr>
              <w:pStyle w:val="NormalWeb"/>
              <w:rPr>
                <w:sz w:val="18"/>
                <w:szCs w:val="18"/>
              </w:rPr>
            </w:pPr>
            <w:r w:rsidRPr="007B16B1">
              <w:rPr>
                <w:sz w:val="18"/>
                <w:szCs w:val="18"/>
              </w:rPr>
              <w:t>6</w:t>
            </w:r>
          </w:p>
        </w:tc>
      </w:tr>
      <w:tr w:rsidR="00B473C6" w:rsidRPr="007B16B1" w14:paraId="204FF5E0" w14:textId="77777777" w:rsidTr="00B473C6">
        <w:trPr>
          <w:divId w:val="1112554373"/>
        </w:trPr>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5FB5CD5" w14:textId="77777777" w:rsidR="00B473C6" w:rsidRPr="007B16B1" w:rsidRDefault="00B473C6" w:rsidP="00BD4CDB">
            <w:pPr>
              <w:pStyle w:val="NormalWeb"/>
              <w:rPr>
                <w:sz w:val="18"/>
                <w:szCs w:val="18"/>
              </w:rPr>
            </w:pPr>
            <w:r w:rsidRPr="007B16B1">
              <w:rPr>
                <w:sz w:val="18"/>
                <w:szCs w:val="18"/>
              </w:rPr>
              <w:t>Five</w:t>
            </w:r>
          </w:p>
        </w:tc>
        <w:tc>
          <w:tcPr>
            <w:tcW w:w="0" w:type="auto"/>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7252887" w14:textId="77777777" w:rsidR="00B473C6" w:rsidRPr="007B16B1" w:rsidRDefault="00B473C6" w:rsidP="00BD4CDB">
            <w:pPr>
              <w:rPr>
                <w:sz w:val="18"/>
                <w:szCs w:val="18"/>
              </w:rPr>
            </w:pP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7909204" w14:textId="77777777" w:rsidR="00B473C6" w:rsidRPr="007B16B1" w:rsidRDefault="00B473C6" w:rsidP="00BD4CDB">
            <w:pPr>
              <w:pStyle w:val="NormalWeb"/>
              <w:rPr>
                <w:sz w:val="18"/>
                <w:szCs w:val="18"/>
              </w:rPr>
            </w:pPr>
            <w:r w:rsidRPr="007B16B1">
              <w:rPr>
                <w:sz w:val="18"/>
                <w:szCs w:val="18"/>
              </w:rPr>
              <w:t>Female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03E8E86" w14:textId="77777777" w:rsidR="00B473C6" w:rsidRPr="007B16B1" w:rsidRDefault="00B473C6" w:rsidP="00BD4CDB">
            <w:pPr>
              <w:pStyle w:val="NormalWeb"/>
              <w:rPr>
                <w:sz w:val="18"/>
                <w:szCs w:val="18"/>
              </w:rPr>
            </w:pPr>
            <w:r w:rsidRPr="007B16B1">
              <w:rPr>
                <w:sz w:val="18"/>
                <w:szCs w:val="18"/>
              </w:rPr>
              <w:t>5–9</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AEE9A2C"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E9D6E9E"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8A954B3" w14:textId="77777777" w:rsidR="00B473C6" w:rsidRPr="007B16B1" w:rsidRDefault="00B473C6" w:rsidP="00BD4CDB">
            <w:pPr>
              <w:pStyle w:val="NormalWeb"/>
              <w:rPr>
                <w:sz w:val="18"/>
                <w:szCs w:val="18"/>
              </w:rPr>
            </w:pPr>
            <w:r w:rsidRPr="007B16B1">
              <w:rPr>
                <w:sz w:val="18"/>
                <w:szCs w:val="18"/>
              </w:rPr>
              <w:t>D8</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32344CD" w14:textId="77777777" w:rsidR="00B473C6" w:rsidRPr="007B16B1" w:rsidRDefault="00B473C6" w:rsidP="00BD4CDB">
            <w:pPr>
              <w:pStyle w:val="NormalWeb"/>
              <w:rPr>
                <w:sz w:val="18"/>
                <w:szCs w:val="18"/>
              </w:rPr>
            </w:pPr>
            <w:r w:rsidRPr="007B16B1">
              <w:rPr>
                <w:sz w:val="18"/>
                <w:szCs w:val="18"/>
              </w:rPr>
              <w:t>Imported</w:t>
            </w:r>
            <w:r w:rsidRPr="007B16B1">
              <w:rPr>
                <w:sz w:val="18"/>
                <w:szCs w:val="18"/>
              </w:rPr>
              <w:br/>
              <w:t>(Southeast Asia)</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B1323EC" w14:textId="77777777" w:rsidR="00B473C6" w:rsidRPr="007B16B1" w:rsidRDefault="00B473C6" w:rsidP="00BD4CDB">
            <w:pPr>
              <w:pStyle w:val="NormalWeb"/>
              <w:rPr>
                <w:sz w:val="18"/>
                <w:szCs w:val="18"/>
              </w:rPr>
            </w:pPr>
            <w:r w:rsidRPr="007B16B1">
              <w:rPr>
                <w:sz w:val="18"/>
                <w:szCs w:val="18"/>
              </w:rPr>
              <w:t>Not vaccinated</w:t>
            </w:r>
          </w:p>
        </w:tc>
        <w:tc>
          <w:tcPr>
            <w:tcW w:w="0" w:type="auto"/>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855D818" w14:textId="77777777" w:rsidR="00B473C6" w:rsidRPr="007B16B1" w:rsidRDefault="00B473C6" w:rsidP="00BD4CDB">
            <w:pPr>
              <w:rPr>
                <w:sz w:val="18"/>
                <w:szCs w:val="18"/>
              </w:rPr>
            </w:pPr>
          </w:p>
        </w:tc>
      </w:tr>
      <w:tr w:rsidR="00B473C6" w:rsidRPr="007B16B1" w14:paraId="72E61DEC" w14:textId="77777777" w:rsidTr="00B473C6">
        <w:trPr>
          <w:cnfStyle w:val="000000010000" w:firstRow="0" w:lastRow="0" w:firstColumn="0" w:lastColumn="0" w:oddVBand="0" w:evenVBand="0" w:oddHBand="0" w:evenHBand="1" w:firstRowFirstColumn="0" w:firstRowLastColumn="0" w:lastRowFirstColumn="0" w:lastRowLastColumn="0"/>
          <w:divId w:val="1112554373"/>
        </w:trPr>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6984E18" w14:textId="77777777" w:rsidR="00B473C6" w:rsidRPr="007B16B1" w:rsidRDefault="00B473C6" w:rsidP="00BD4CDB">
            <w:pPr>
              <w:pStyle w:val="NormalWeb"/>
              <w:rPr>
                <w:sz w:val="18"/>
                <w:szCs w:val="18"/>
              </w:rPr>
            </w:pPr>
            <w:r w:rsidRPr="007B16B1">
              <w:rPr>
                <w:sz w:val="18"/>
                <w:szCs w:val="18"/>
              </w:rPr>
              <w:t>Six</w:t>
            </w:r>
          </w:p>
        </w:tc>
        <w:tc>
          <w:tcPr>
            <w:tcW w:w="0" w:type="auto"/>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BF8BFA5" w14:textId="77777777" w:rsidR="00B473C6" w:rsidRPr="007B16B1" w:rsidRDefault="00B473C6" w:rsidP="00BD4CDB">
            <w:pPr>
              <w:rPr>
                <w:sz w:val="18"/>
                <w:szCs w:val="18"/>
              </w:rPr>
            </w:pP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0DCD702" w14:textId="77777777" w:rsidR="00B473C6" w:rsidRPr="007B16B1" w:rsidRDefault="00B473C6" w:rsidP="00BD4CDB">
            <w:pPr>
              <w:pStyle w:val="NormalWeb"/>
              <w:rPr>
                <w:sz w:val="18"/>
                <w:szCs w:val="18"/>
              </w:rPr>
            </w:pPr>
            <w:r w:rsidRPr="007B16B1">
              <w:rPr>
                <w:sz w:val="18"/>
                <w:szCs w:val="18"/>
              </w:rPr>
              <w:t>Female</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3315F2A" w14:textId="77777777" w:rsidR="00B473C6" w:rsidRPr="007B16B1" w:rsidRDefault="00B473C6" w:rsidP="00BD4CDB">
            <w:pPr>
              <w:pStyle w:val="NormalWeb"/>
              <w:rPr>
                <w:sz w:val="18"/>
                <w:szCs w:val="18"/>
              </w:rPr>
            </w:pPr>
            <w:r w:rsidRPr="007B16B1">
              <w:rPr>
                <w:sz w:val="18"/>
                <w:szCs w:val="18"/>
              </w:rPr>
              <w:t>&lt; 1</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81C9643"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BBD7789" w14:textId="77777777" w:rsidR="00B473C6" w:rsidRPr="007B16B1" w:rsidRDefault="00B473C6" w:rsidP="00BD4CDB">
            <w:pPr>
              <w:pStyle w:val="NormalWeb"/>
              <w:rPr>
                <w:sz w:val="18"/>
                <w:szCs w:val="18"/>
              </w:rPr>
            </w:pPr>
            <w:r w:rsidRPr="007B16B1">
              <w:rPr>
                <w:sz w:val="18"/>
                <w:szCs w:val="18"/>
              </w:rPr>
              <w:t>Yes</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E9F8B87" w14:textId="77777777" w:rsidR="00B473C6" w:rsidRPr="007B16B1" w:rsidRDefault="00B473C6" w:rsidP="00BD4CDB">
            <w:pPr>
              <w:pStyle w:val="NormalWeb"/>
              <w:rPr>
                <w:sz w:val="18"/>
                <w:szCs w:val="18"/>
              </w:rPr>
            </w:pPr>
            <w:r w:rsidRPr="007B16B1">
              <w:rPr>
                <w:sz w:val="18"/>
                <w:szCs w:val="18"/>
              </w:rPr>
              <w:t>D8</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9B87BD4" w14:textId="77777777" w:rsidR="00B473C6" w:rsidRPr="007B16B1" w:rsidRDefault="00B473C6" w:rsidP="00BD4CDB">
            <w:pPr>
              <w:pStyle w:val="NormalWeb"/>
              <w:rPr>
                <w:sz w:val="18"/>
                <w:szCs w:val="18"/>
              </w:rPr>
            </w:pPr>
            <w:r w:rsidRPr="007B16B1">
              <w:rPr>
                <w:sz w:val="18"/>
                <w:szCs w:val="18"/>
              </w:rPr>
              <w:t>Imported</w:t>
            </w:r>
            <w:r w:rsidRPr="007B16B1">
              <w:rPr>
                <w:sz w:val="18"/>
                <w:szCs w:val="18"/>
              </w:rPr>
              <w:br/>
              <w:t>(Southeast Asia)</w:t>
            </w:r>
          </w:p>
        </w:tc>
        <w:tc>
          <w:tcPr>
            <w:tcW w:w="0" w:type="auto"/>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5736049" w14:textId="77777777" w:rsidR="00B473C6" w:rsidRPr="007B16B1" w:rsidRDefault="00B473C6" w:rsidP="00BD4CDB">
            <w:pPr>
              <w:pStyle w:val="NormalWeb"/>
              <w:rPr>
                <w:sz w:val="18"/>
                <w:szCs w:val="18"/>
              </w:rPr>
            </w:pPr>
            <w:r w:rsidRPr="007B16B1">
              <w:rPr>
                <w:sz w:val="18"/>
                <w:szCs w:val="18"/>
              </w:rPr>
              <w:t xml:space="preserve">Not </w:t>
            </w:r>
            <w:proofErr w:type="spellStart"/>
            <w:r w:rsidRPr="007B16B1">
              <w:rPr>
                <w:sz w:val="18"/>
                <w:szCs w:val="18"/>
              </w:rPr>
              <w:t>vaccinated</w:t>
            </w:r>
            <w:r w:rsidRPr="007B16B1">
              <w:rPr>
                <w:sz w:val="18"/>
                <w:szCs w:val="18"/>
                <w:vertAlign w:val="superscript"/>
              </w:rPr>
              <w:t>d</w:t>
            </w:r>
            <w:proofErr w:type="spellEnd"/>
          </w:p>
        </w:tc>
        <w:tc>
          <w:tcPr>
            <w:tcW w:w="0" w:type="auto"/>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641BC6B" w14:textId="77777777" w:rsidR="00B473C6" w:rsidRPr="007B16B1" w:rsidRDefault="00B473C6" w:rsidP="00BD4CDB">
            <w:pPr>
              <w:rPr>
                <w:sz w:val="18"/>
                <w:szCs w:val="18"/>
              </w:rPr>
            </w:pPr>
          </w:p>
        </w:tc>
      </w:tr>
    </w:tbl>
    <w:p w14:paraId="0116EAC3" w14:textId="77777777" w:rsidR="00B473C6" w:rsidRPr="00814686" w:rsidRDefault="00B473C6" w:rsidP="00814686">
      <w:pPr>
        <w:pStyle w:val="CDIfootnotes"/>
        <w:divId w:val="1112554373"/>
      </w:pPr>
      <w:r w:rsidRPr="00814686">
        <w:t>a</w:t>
      </w:r>
      <w:r w:rsidRPr="00814686">
        <w:tab/>
        <w:t xml:space="preserve">Includes close contacts, contacts </w:t>
      </w:r>
      <w:proofErr w:type="gramStart"/>
      <w:r w:rsidRPr="00814686">
        <w:t>identified</w:t>
      </w:r>
      <w:proofErr w:type="gramEnd"/>
      <w:r w:rsidRPr="00814686">
        <w:t xml:space="preserve"> by healthcare facilities, and contacts from public exposure sites where this was estimated. Excludes flight contacts and contacts from public exposure sites where it was not possible to estimate these numbers.</w:t>
      </w:r>
    </w:p>
    <w:p w14:paraId="6738F069" w14:textId="77777777" w:rsidR="00B473C6" w:rsidRPr="00814686" w:rsidRDefault="00B473C6" w:rsidP="00814686">
      <w:pPr>
        <w:pStyle w:val="CDIfootnotes"/>
        <w:divId w:val="1112554373"/>
      </w:pPr>
      <w:r w:rsidRPr="00814686">
        <w:t>b</w:t>
      </w:r>
      <w:r w:rsidRPr="00814686">
        <w:tab/>
        <w:t xml:space="preserve">Vaccination status was classified as unknown when the case reported having a measles vaccination but was not able to </w:t>
      </w:r>
      <w:proofErr w:type="gramStart"/>
      <w:r w:rsidRPr="00814686">
        <w:t>provide</w:t>
      </w:r>
      <w:proofErr w:type="gramEnd"/>
    </w:p>
    <w:p w14:paraId="0E6BE77B" w14:textId="77777777" w:rsidR="00B473C6" w:rsidRPr="00814686" w:rsidRDefault="00B473C6" w:rsidP="00814686">
      <w:pPr>
        <w:pStyle w:val="CDIfootnotes"/>
        <w:divId w:val="1112554373"/>
      </w:pPr>
      <w:r w:rsidRPr="00814686">
        <w:t>evidence.</w:t>
      </w:r>
    </w:p>
    <w:p w14:paraId="5C9C17DF" w14:textId="77777777" w:rsidR="00B473C6" w:rsidRPr="00814686" w:rsidRDefault="00B473C6" w:rsidP="00814686">
      <w:pPr>
        <w:pStyle w:val="CDIfootnotes"/>
        <w:divId w:val="1112554373"/>
      </w:pPr>
      <w:r w:rsidRPr="00814686">
        <w:t>c</w:t>
      </w:r>
      <w:r w:rsidRPr="00814686">
        <w:tab/>
        <w:t xml:space="preserve">Vaccination status </w:t>
      </w:r>
      <w:proofErr w:type="gramStart"/>
      <w:r w:rsidRPr="00814686">
        <w:t>was classed</w:t>
      </w:r>
      <w:proofErr w:type="gramEnd"/>
      <w:r w:rsidRPr="00814686">
        <w:t xml:space="preserve"> as not eligible when the case was born prior to 1966.</w:t>
      </w:r>
    </w:p>
    <w:p w14:paraId="6046E8C2" w14:textId="6E320745" w:rsidR="00B473C6" w:rsidRPr="00814686" w:rsidRDefault="00B473C6" w:rsidP="00814686">
      <w:pPr>
        <w:pStyle w:val="CDIfootnotes"/>
        <w:divId w:val="1112554373"/>
      </w:pPr>
      <w:r w:rsidRPr="00814686">
        <w:t>d</w:t>
      </w:r>
      <w:r w:rsidRPr="00814686">
        <w:tab/>
      </w:r>
      <w:proofErr w:type="gramStart"/>
      <w:r w:rsidRPr="00814686">
        <w:t>The</w:t>
      </w:r>
      <w:proofErr w:type="gramEnd"/>
      <w:r w:rsidRPr="00814686">
        <w:t xml:space="preserve"> case was considered not vaccinated as they were ≥ 6 months of age when they travelled to a measles endemic region, and therefore was eligible to receive a recommended measles-containing vaccine.</w:t>
      </w:r>
    </w:p>
    <w:p w14:paraId="4F735A7D" w14:textId="08026E1C" w:rsidR="00A70EED" w:rsidRPr="001C0BCF" w:rsidRDefault="00A70EED" w:rsidP="001C0BCF">
      <w:pPr>
        <w:pStyle w:val="Heading2"/>
        <w:divId w:val="1112554373"/>
      </w:pPr>
      <w:r w:rsidRPr="001C0BCF">
        <w:t>Case one</w:t>
      </w:r>
    </w:p>
    <w:p w14:paraId="17633F03" w14:textId="77777777" w:rsidR="00A70EED" w:rsidRDefault="00A70EED" w:rsidP="001C0BCF">
      <w:pPr>
        <w:divId w:val="1112554373"/>
      </w:pPr>
      <w:r>
        <w:t xml:space="preserve">Case one presented to a health clinic five days after entering Australia from Europe after receiving notification from a European Health Department of exposure to a confirmed measles case on a flight entering Europe. She reported a four-day history of headache, dry cough, sore neck, and sore eyes and a one-day history of maculopapular rash </w:t>
      </w:r>
      <w:proofErr w:type="gramStart"/>
      <w:r>
        <w:t>commencing</w:t>
      </w:r>
      <w:proofErr w:type="gramEnd"/>
      <w:r>
        <w:t xml:space="preserve"> on her face and progressing to her torso. PCR testing confirmed a measles diagnosis.</w:t>
      </w:r>
    </w:p>
    <w:p w14:paraId="55750226" w14:textId="77777777" w:rsidR="00A70EED" w:rsidRDefault="00A70EED" w:rsidP="001C0BCF">
      <w:pPr>
        <w:divId w:val="1112554373"/>
      </w:pPr>
      <w:r>
        <w:t xml:space="preserve">Genomic sequencing confirmed the case’s strain (genotype B3) was identical to the European case, and matched strains </w:t>
      </w:r>
      <w:proofErr w:type="gramStart"/>
      <w:r>
        <w:t>identified</w:t>
      </w:r>
      <w:proofErr w:type="gramEnd"/>
      <w:r>
        <w:t xml:space="preserve"> in Europe in January and May of 2022. She had a prolonged incubation period of 20 days between contact with the known measles case and onset of the rash. The case had evidence of prior measles-containing vaccination in her country of birth, receiving one dose at six months of age, and a second dose at 15 months of age. However, as she had received her first dose under the recommended age of 12 months, to </w:t>
      </w:r>
      <w:proofErr w:type="gramStart"/>
      <w:r>
        <w:t>be considered</w:t>
      </w:r>
      <w:proofErr w:type="gramEnd"/>
      <w:r>
        <w:t xml:space="preserve"> fully vaccinated under current Australian guidelines, the case should have received a third dose of measles-containing vaccine. </w:t>
      </w:r>
      <w:r>
        <w:rPr>
          <w:vertAlign w:val="superscript"/>
        </w:rPr>
        <w:t>5</w:t>
      </w:r>
      <w:r>
        <w:t xml:space="preserve"> This case </w:t>
      </w:r>
      <w:proofErr w:type="gramStart"/>
      <w:r>
        <w:t>was therefore considered</w:t>
      </w:r>
      <w:proofErr w:type="gramEnd"/>
      <w:r>
        <w:t xml:space="preserve"> to be partially vaccinated.</w:t>
      </w:r>
    </w:p>
    <w:p w14:paraId="04E03E28" w14:textId="69869D6A" w:rsidR="00A70EED" w:rsidRDefault="00A70EED" w:rsidP="001C0BCF">
      <w:pPr>
        <w:divId w:val="1112554373"/>
      </w:pPr>
      <w:r>
        <w:t xml:space="preserve">The Department </w:t>
      </w:r>
      <w:proofErr w:type="gramStart"/>
      <w:r>
        <w:t>identified</w:t>
      </w:r>
      <w:proofErr w:type="gramEnd"/>
      <w:r>
        <w:t xml:space="preserve"> 38 close contacts, and the health clinic she attended identified seven contacts who were offered PEP. A CHO alert was issued </w:t>
      </w:r>
      <w:proofErr w:type="gramStart"/>
      <w:r>
        <w:t>identifying</w:t>
      </w:r>
      <w:proofErr w:type="gramEnd"/>
      <w:r>
        <w:t xml:space="preserve"> public exposure sites. The case had travelled extensively across Victoria, as well as into New South Wales, requiring collaboration with interstate counterparts. Approximately 112 individuals </w:t>
      </w:r>
      <w:proofErr w:type="gramStart"/>
      <w:r>
        <w:t>were estimated</w:t>
      </w:r>
      <w:proofErr w:type="gramEnd"/>
      <w:r>
        <w:t xml:space="preserve"> to have had contact with the case at public exposure sites. The Department notified people who were on the flight with the case entering Australia. No further cases were </w:t>
      </w:r>
      <w:proofErr w:type="gramStart"/>
      <w:r w:rsidR="001C0BCF">
        <w:t>identified</w:t>
      </w:r>
      <w:proofErr w:type="gramEnd"/>
      <w:r w:rsidR="001C0BCF">
        <w:t>.</w:t>
      </w:r>
    </w:p>
    <w:p w14:paraId="29BD298C" w14:textId="77777777" w:rsidR="00A70EED" w:rsidRPr="001C0BCF" w:rsidRDefault="00A70EED" w:rsidP="001C0BCF">
      <w:pPr>
        <w:pStyle w:val="Heading2"/>
        <w:divId w:val="1112554373"/>
      </w:pPr>
      <w:r w:rsidRPr="001C0BCF">
        <w:t>Case two</w:t>
      </w:r>
    </w:p>
    <w:p w14:paraId="58EFAF5B" w14:textId="77777777" w:rsidR="00A70EED" w:rsidRDefault="00A70EED" w:rsidP="001C0BCF">
      <w:pPr>
        <w:divId w:val="1112554373"/>
      </w:pPr>
      <w:r>
        <w:t xml:space="preserve">Case two presented to a healthcare facility four days after entering Australia from South Asia with a five-day history of cough, coryza and conjunctivitis, and a two-day history of a maculopapular blanching painful rash. She </w:t>
      </w:r>
      <w:proofErr w:type="gramStart"/>
      <w:r>
        <w:t>was not assessed</w:t>
      </w:r>
      <w:proofErr w:type="gramEnd"/>
      <w:r>
        <w:t xml:space="preserve"> for measles at the time and re-presented to the hospital two days later due to worsening symptoms. Measles diagnosis </w:t>
      </w:r>
      <w:proofErr w:type="gramStart"/>
      <w:r>
        <w:t>was confirmed</w:t>
      </w:r>
      <w:proofErr w:type="gramEnd"/>
      <w:r>
        <w:t xml:space="preserve"> via PCR.</w:t>
      </w:r>
    </w:p>
    <w:p w14:paraId="7E272B8B" w14:textId="77777777" w:rsidR="00A70EED" w:rsidRDefault="00A70EED" w:rsidP="001C0BCF">
      <w:pPr>
        <w:divId w:val="1112554373"/>
      </w:pPr>
      <w:r>
        <w:t xml:space="preserve">The case spent her entire incubation period in South Asia, and whilst a particular source could not be </w:t>
      </w:r>
      <w:proofErr w:type="gramStart"/>
      <w:r>
        <w:t>identified</w:t>
      </w:r>
      <w:proofErr w:type="gramEnd"/>
      <w:r>
        <w:t xml:space="preserve">, genotyping confirmed the likely origin of the strain (genotype D8) was exposure in South Asia, with the last detection of this strain occurring in 2018. The Department </w:t>
      </w:r>
      <w:proofErr w:type="gramStart"/>
      <w:r>
        <w:t>identified</w:t>
      </w:r>
      <w:proofErr w:type="gramEnd"/>
      <w:r>
        <w:t xml:space="preserve"> ten close contacts and notified flight contacts; however, PEP was not offered due to the delayed diagnosis of this case beyond six days from the time of the flight. Healthcare clinics </w:t>
      </w:r>
      <w:proofErr w:type="gramStart"/>
      <w:r>
        <w:t>identified</w:t>
      </w:r>
      <w:proofErr w:type="gramEnd"/>
      <w:r>
        <w:t xml:space="preserve"> and provided advice to a further 44 contacts. Several public exposure sites were </w:t>
      </w:r>
      <w:proofErr w:type="gramStart"/>
      <w:r>
        <w:t>identified</w:t>
      </w:r>
      <w:proofErr w:type="gramEnd"/>
      <w:r>
        <w:t xml:space="preserve">, including large shopping centres, and a CHO alert was issued. The number of contacts at these locations was unable to </w:t>
      </w:r>
      <w:proofErr w:type="gramStart"/>
      <w:r>
        <w:t>be estimated</w:t>
      </w:r>
      <w:proofErr w:type="gramEnd"/>
      <w:r>
        <w:t xml:space="preserve">. No further cases were </w:t>
      </w:r>
      <w:proofErr w:type="gramStart"/>
      <w:r>
        <w:t>identified</w:t>
      </w:r>
      <w:proofErr w:type="gramEnd"/>
      <w:r>
        <w:t>.</w:t>
      </w:r>
    </w:p>
    <w:p w14:paraId="3FBE6C81" w14:textId="77777777" w:rsidR="00A70EED" w:rsidRPr="001C0BCF" w:rsidRDefault="00A70EED" w:rsidP="001C0BCF">
      <w:pPr>
        <w:pStyle w:val="Heading2"/>
        <w:divId w:val="1112554373"/>
      </w:pPr>
      <w:r w:rsidRPr="001C0BCF">
        <w:t>Case three</w:t>
      </w:r>
    </w:p>
    <w:p w14:paraId="07557831" w14:textId="77777777" w:rsidR="00A70EED" w:rsidRDefault="00A70EED" w:rsidP="001C0BCF">
      <w:pPr>
        <w:divId w:val="1112554373"/>
      </w:pPr>
      <w:r>
        <w:t xml:space="preserve">Case three </w:t>
      </w:r>
      <w:proofErr w:type="gramStart"/>
      <w:r>
        <w:t>was admitted</w:t>
      </w:r>
      <w:proofErr w:type="gramEnd"/>
      <w:r>
        <w:t xml:space="preserve"> to a hospital ten days after entering Australia from Southeast Asia. He had an eight-day history of cough, coryza and ongoing fever, and had </w:t>
      </w:r>
      <w:proofErr w:type="gramStart"/>
      <w:r>
        <w:t>been diagnosed</w:t>
      </w:r>
      <w:proofErr w:type="gramEnd"/>
      <w:r>
        <w:t xml:space="preserve"> with COVID-19 from a Rapid Antigen Test (RAT) on the first day of his illness. He also had a two-day history of cranio-caudal exanthem rash. PCR testing confirmed a measles diagnosis. The case </w:t>
      </w:r>
      <w:proofErr w:type="gramStart"/>
      <w:r>
        <w:t>was considered</w:t>
      </w:r>
      <w:proofErr w:type="gramEnd"/>
      <w:r>
        <w:t xml:space="preserve"> not eligible for vaccination as he was born prior to 1966.</w:t>
      </w:r>
    </w:p>
    <w:p w14:paraId="74F0B5C8" w14:textId="77777777" w:rsidR="00A70EED" w:rsidRDefault="00A70EED" w:rsidP="001C0BCF">
      <w:pPr>
        <w:divId w:val="1112554373"/>
      </w:pPr>
      <w:r>
        <w:t xml:space="preserve">This is the first known case of measles and COVID-19 co-infection in Australia. Given the overlap of symptoms, the infectious period for measles was based on the emergence of the rash, </w:t>
      </w:r>
      <w:proofErr w:type="gramStart"/>
      <w:r>
        <w:rPr>
          <w:vertAlign w:val="superscript"/>
        </w:rPr>
        <w:t>3</w:t>
      </w:r>
      <w:proofErr w:type="gramEnd"/>
      <w:r>
        <w:t xml:space="preserve"> and flight contact tracing was subsequently not required. The Department </w:t>
      </w:r>
      <w:proofErr w:type="gramStart"/>
      <w:r>
        <w:t>identified</w:t>
      </w:r>
      <w:proofErr w:type="gramEnd"/>
      <w:r>
        <w:t xml:space="preserve"> 14 close contacts; however, PEP was not offered due to delayed diagnosis beyond six days from time of exposure. There were no public exposure sites associated with this case as he had been isolating due to COVID-19. No further cases were </w:t>
      </w:r>
      <w:proofErr w:type="gramStart"/>
      <w:r>
        <w:t>identified</w:t>
      </w:r>
      <w:proofErr w:type="gramEnd"/>
      <w:r>
        <w:t>.</w:t>
      </w:r>
    </w:p>
    <w:p w14:paraId="517AAC85" w14:textId="77777777" w:rsidR="00A70EED" w:rsidRPr="001C0BCF" w:rsidRDefault="00A70EED" w:rsidP="001C0BCF">
      <w:pPr>
        <w:pStyle w:val="Heading2"/>
        <w:divId w:val="1112554373"/>
      </w:pPr>
      <w:r w:rsidRPr="001C0BCF">
        <w:t>Household cluster: cases four, five and six</w:t>
      </w:r>
    </w:p>
    <w:p w14:paraId="6A3955B0" w14:textId="77777777" w:rsidR="00A70EED" w:rsidRDefault="00A70EED" w:rsidP="001C0BCF">
      <w:pPr>
        <w:divId w:val="1112554373"/>
      </w:pPr>
      <w:r>
        <w:t>Three young siblings presented to a health clinic one day after returning to Australia from Southeast Asia. All the children were unvaccinated. The youngest child was aged &lt; 12 months but had been ≥ 6 months old at the time of travelling to a measles endemic region.</w:t>
      </w:r>
    </w:p>
    <w:p w14:paraId="349925F1" w14:textId="77777777" w:rsidR="00A70EED" w:rsidRDefault="00A70EED" w:rsidP="001C0BCF">
      <w:pPr>
        <w:divId w:val="1112554373"/>
      </w:pPr>
      <w:r>
        <w:t xml:space="preserve">Case four had experienced a measles-like illness in Southeast Asia after travelling from the Middle East, with a five-day history of runny nose and sore throat followed by the development of a rash. The family had sought care in Southeast Asia and been advised the child </w:t>
      </w:r>
      <w:proofErr w:type="gramStart"/>
      <w:r>
        <w:t>probably had</w:t>
      </w:r>
      <w:proofErr w:type="gramEnd"/>
      <w:r>
        <w:t xml:space="preserve"> measles, although laboratory testing was inconclusive. The family remained in isolation until four days after symptom resolution before returning to Australia.</w:t>
      </w:r>
    </w:p>
    <w:p w14:paraId="725162B1" w14:textId="77777777" w:rsidR="00A70EED" w:rsidRDefault="00A70EED" w:rsidP="001C0BCF">
      <w:pPr>
        <w:divId w:val="1112554373"/>
      </w:pPr>
      <w:r>
        <w:t xml:space="preserve">The family presented in Australia after case five and six experienced subjective fevers. All three cases </w:t>
      </w:r>
      <w:proofErr w:type="gramStart"/>
      <w:r>
        <w:t>tested</w:t>
      </w:r>
      <w:proofErr w:type="gramEnd"/>
      <w:r>
        <w:t xml:space="preserve"> PCR-positive for measles. Case four was considered the </w:t>
      </w:r>
      <w:proofErr w:type="gramStart"/>
      <w:r>
        <w:t>likely index</w:t>
      </w:r>
      <w:proofErr w:type="gramEnd"/>
      <w:r>
        <w:t xml:space="preserve"> case for cases five and six. Based on the incubation period, the index case </w:t>
      </w:r>
      <w:proofErr w:type="gramStart"/>
      <w:r>
        <w:t>likely acquired</w:t>
      </w:r>
      <w:proofErr w:type="gramEnd"/>
      <w:r>
        <w:t xml:space="preserve"> measles in the Middle East, with onwards transmission to their siblings within Southeast Asia. All cases </w:t>
      </w:r>
      <w:proofErr w:type="gramStart"/>
      <w:r>
        <w:t>were classified</w:t>
      </w:r>
      <w:proofErr w:type="gramEnd"/>
      <w:r>
        <w:t xml:space="preserve"> as imported.</w:t>
      </w:r>
    </w:p>
    <w:p w14:paraId="37441FD4" w14:textId="77777777" w:rsidR="00A70EED" w:rsidRDefault="00A70EED" w:rsidP="001C0BCF">
      <w:pPr>
        <w:divId w:val="1112554373"/>
      </w:pPr>
      <w:r>
        <w:t xml:space="preserve">The Department </w:t>
      </w:r>
      <w:proofErr w:type="gramStart"/>
      <w:r>
        <w:t>identified</w:t>
      </w:r>
      <w:proofErr w:type="gramEnd"/>
      <w:r>
        <w:t xml:space="preserve"> six close contacts, and eligible contacts were offered PEP. There were no healthcare contacts associated with these cases. Flight contacts </w:t>
      </w:r>
      <w:proofErr w:type="gramStart"/>
      <w:r>
        <w:t>were notified</w:t>
      </w:r>
      <w:proofErr w:type="gramEnd"/>
      <w:r>
        <w:t xml:space="preserve"> of exposure and a CHO alert was issued, given the airport was a public exposure site. No further cases were </w:t>
      </w:r>
      <w:proofErr w:type="gramStart"/>
      <w:r>
        <w:t>identified</w:t>
      </w:r>
      <w:proofErr w:type="gramEnd"/>
      <w:r>
        <w:t>.</w:t>
      </w:r>
    </w:p>
    <w:p w14:paraId="4B85E7D9" w14:textId="77777777" w:rsidR="00A70EED" w:rsidRPr="001C0BCF" w:rsidRDefault="00A70EED" w:rsidP="001C0BCF">
      <w:pPr>
        <w:pStyle w:val="Heading1"/>
        <w:divId w:val="1112554373"/>
      </w:pPr>
      <w:r w:rsidRPr="001C0BCF">
        <w:t>Discussion</w:t>
      </w:r>
    </w:p>
    <w:p w14:paraId="6B1C55E2" w14:textId="77777777" w:rsidR="00A70EED" w:rsidRDefault="00A70EED" w:rsidP="001C0BCF">
      <w:pPr>
        <w:divId w:val="1112554373"/>
      </w:pPr>
      <w:r>
        <w:t xml:space="preserve">There </w:t>
      </w:r>
      <w:proofErr w:type="gramStart"/>
      <w:r>
        <w:t>remains</w:t>
      </w:r>
      <w:proofErr w:type="gramEnd"/>
      <w:r>
        <w:t xml:space="preserve"> significant complexity in rapidly identifying and responding to measles cases, even in a low-incidence environment. Australia experienced a reprieve from measles incursions during the COVID-19 pandemic. However, there may now be an increased risk of resurgence. </w:t>
      </w:r>
      <w:r>
        <w:rPr>
          <w:vertAlign w:val="superscript"/>
        </w:rPr>
        <w:t>1</w:t>
      </w:r>
      <w:r>
        <w:t xml:space="preserve"> Within this context ongoing prevention strategies, high immunisation coverage and strong surveillance systems are </w:t>
      </w:r>
      <w:proofErr w:type="gramStart"/>
      <w:r>
        <w:t>required</w:t>
      </w:r>
      <w:proofErr w:type="gramEnd"/>
      <w:r>
        <w:t xml:space="preserve"> to prevent outbreaks of measles within Australia. </w:t>
      </w:r>
      <w:r>
        <w:rPr>
          <w:vertAlign w:val="superscript"/>
        </w:rPr>
        <w:t>6,8,11,12</w:t>
      </w:r>
      <w:r>
        <w:t xml:space="preserve"> </w:t>
      </w:r>
    </w:p>
    <w:p w14:paraId="3917A814" w14:textId="77777777" w:rsidR="00A70EED" w:rsidRDefault="00A70EED" w:rsidP="001C0BCF">
      <w:pPr>
        <w:divId w:val="1112554373"/>
      </w:pPr>
      <w:r>
        <w:t xml:space="preserve">There were fewer measles cases reported in Victoria in 2022 compared with the years before the pandemic, </w:t>
      </w:r>
      <w:r>
        <w:rPr>
          <w:vertAlign w:val="superscript"/>
        </w:rPr>
        <w:t>16</w:t>
      </w:r>
      <w:r>
        <w:t xml:space="preserve"> and </w:t>
      </w:r>
      <w:proofErr w:type="gramStart"/>
      <w:r>
        <w:t>no</w:t>
      </w:r>
      <w:proofErr w:type="gramEnd"/>
      <w:r>
        <w:t xml:space="preserve"> onwards transmission was identified within Australia. This may be associated with </w:t>
      </w:r>
      <w:proofErr w:type="gramStart"/>
      <w:r>
        <w:t>high levels</w:t>
      </w:r>
      <w:proofErr w:type="gramEnd"/>
      <w:r>
        <w:t xml:space="preserve"> of immunity due to ongoing high vaccination coverage in the community. </w:t>
      </w:r>
      <w:r>
        <w:rPr>
          <w:vertAlign w:val="superscript"/>
        </w:rPr>
        <w:t>5,25</w:t>
      </w:r>
      <w:r>
        <w:t xml:space="preserve"> Four cases (cases three to six) also isolated themselves during their infectious period due to COVID-19 illness or prior awareness of </w:t>
      </w:r>
      <w:proofErr w:type="gramStart"/>
      <w:r>
        <w:t>likely measles</w:t>
      </w:r>
      <w:proofErr w:type="gramEnd"/>
      <w:r>
        <w:t xml:space="preserve"> infection and possible spread. Community health behaviours, such as mask wearing within healthcare clinics, may have also reduced the risk of transmission. There </w:t>
      </w:r>
      <w:proofErr w:type="gramStart"/>
      <w:r>
        <w:t>is</w:t>
      </w:r>
      <w:proofErr w:type="gramEnd"/>
      <w:r>
        <w:t xml:space="preserve"> no guarantee future cases will comply with public health measures, noting people are infectious before the onset of rash, and health literacy is generally an underestimated global health problem. </w:t>
      </w:r>
      <w:r>
        <w:rPr>
          <w:vertAlign w:val="superscript"/>
        </w:rPr>
        <w:t>26–28</w:t>
      </w:r>
      <w:r>
        <w:t xml:space="preserve"> In early 2023, measles cases have been detected in other Australian states and territories, </w:t>
      </w:r>
      <w:proofErr w:type="gramStart"/>
      <w:r>
        <w:rPr>
          <w:vertAlign w:val="superscript"/>
        </w:rPr>
        <w:t>29</w:t>
      </w:r>
      <w:proofErr w:type="gramEnd"/>
      <w:r>
        <w:t xml:space="preserve"> so it is timely for public health agencies to be aware of the ongoing risk of outbreaks.</w:t>
      </w:r>
    </w:p>
    <w:p w14:paraId="5B97CD2C" w14:textId="77777777" w:rsidR="00A70EED" w:rsidRDefault="00A70EED" w:rsidP="001C0BCF">
      <w:pPr>
        <w:divId w:val="1112554373"/>
      </w:pPr>
      <w:proofErr w:type="gramStart"/>
      <w:r>
        <w:t>Several</w:t>
      </w:r>
      <w:proofErr w:type="gramEnd"/>
      <w:r>
        <w:t xml:space="preserve"> cases experienced delays in diagnosis. This can occur due to delays in people presenting with illness, or due to delays in testing, with samples from primary laboratories requiring transport to and confirmation by reference laboratories. Notably, case two attended a hospital twice before </w:t>
      </w:r>
      <w:proofErr w:type="gramStart"/>
      <w:r>
        <w:t>being diagnosed</w:t>
      </w:r>
      <w:proofErr w:type="gramEnd"/>
      <w:r>
        <w:t xml:space="preserve">. Measles </w:t>
      </w:r>
      <w:proofErr w:type="gramStart"/>
      <w:r>
        <w:t>is often missed</w:t>
      </w:r>
      <w:proofErr w:type="gramEnd"/>
      <w:r>
        <w:t xml:space="preserve"> in clinical settings as many Victorian medical practitioners have little first-hand experience of measles. </w:t>
      </w:r>
      <w:r>
        <w:rPr>
          <w:vertAlign w:val="superscript"/>
        </w:rPr>
        <w:t>30</w:t>
      </w:r>
      <w:r>
        <w:t xml:space="preserve"> Delayed </w:t>
      </w:r>
      <w:proofErr w:type="gramStart"/>
      <w:r>
        <w:t>diagnosis</w:t>
      </w:r>
      <w:proofErr w:type="gramEnd"/>
      <w:r>
        <w:t xml:space="preserve"> can hinder contact tracing efforts, leading to contacts missing out on PEP. </w:t>
      </w:r>
      <w:r>
        <w:rPr>
          <w:vertAlign w:val="superscript"/>
        </w:rPr>
        <w:t>30</w:t>
      </w:r>
      <w:r>
        <w:t xml:space="preserve"> Furthermore, transmission can occur within healthcare settings, particularly if cases are not rapidly </w:t>
      </w:r>
      <w:proofErr w:type="gramStart"/>
      <w:r>
        <w:t>identified</w:t>
      </w:r>
      <w:proofErr w:type="gramEnd"/>
      <w:r>
        <w:t xml:space="preserve"> and isolated. </w:t>
      </w:r>
      <w:r>
        <w:rPr>
          <w:vertAlign w:val="superscript"/>
        </w:rPr>
        <w:t>31</w:t>
      </w:r>
      <w:r>
        <w:t xml:space="preserve"> Healthcare workers must be constantly vigilant for potential measles cases, with CHO advisories for doctors warning of travel-related infectious diseases and alerts associated with imported cases </w:t>
      </w:r>
      <w:proofErr w:type="gramStart"/>
      <w:r>
        <w:t>providing</w:t>
      </w:r>
      <w:proofErr w:type="gramEnd"/>
      <w:r>
        <w:t xml:space="preserve"> opportunities for regular reminders. </w:t>
      </w:r>
      <w:r>
        <w:rPr>
          <w:vertAlign w:val="superscript"/>
        </w:rPr>
        <w:t>30,31</w:t>
      </w:r>
      <w:r>
        <w:t xml:space="preserve"> The way people access and consume news is changing, shifting from traditional media (</w:t>
      </w:r>
      <w:proofErr w:type="gramStart"/>
      <w:r>
        <w:t>e.g.</w:t>
      </w:r>
      <w:proofErr w:type="gramEnd"/>
      <w:r>
        <w:t xml:space="preserve"> newspapers) to social media, so CHO alerts which typically use traditional media may no longer be the best way of reaching all populations and social media should be used to disseminate alerts.</w:t>
      </w:r>
    </w:p>
    <w:p w14:paraId="69A6FCE1" w14:textId="77777777" w:rsidR="00A70EED" w:rsidRDefault="00A70EED" w:rsidP="001C0BCF">
      <w:pPr>
        <w:divId w:val="1112554373"/>
      </w:pPr>
      <w:r>
        <w:t xml:space="preserve">Most measles cases that occur within Australia are unvaccinated, </w:t>
      </w:r>
      <w:proofErr w:type="gramStart"/>
      <w:r>
        <w:rPr>
          <w:vertAlign w:val="superscript"/>
        </w:rPr>
        <w:t>7</w:t>
      </w:r>
      <w:proofErr w:type="gramEnd"/>
      <w:r>
        <w:t xml:space="preserve"> with only one case in this series having evidence of immunisation. The partially vaccinated case had a prolonged incubation period, suggesting a modified measles infection. </w:t>
      </w:r>
      <w:r>
        <w:rPr>
          <w:vertAlign w:val="superscript"/>
        </w:rPr>
        <w:t>32,33</w:t>
      </w:r>
      <w:r>
        <w:t xml:space="preserve"> Attenuated measles presentations are increasing in Victoria, and can be challenging to diagnose, </w:t>
      </w:r>
      <w:proofErr w:type="gramStart"/>
      <w:r>
        <w:t>demonstrating</w:t>
      </w:r>
      <w:proofErr w:type="gramEnd"/>
      <w:r>
        <w:t xml:space="preserve"> further the benefit of having two valid measles-containing vaccinations administered, and the need for clinicians to be alert for modified measles infections. </w:t>
      </w:r>
      <w:r>
        <w:rPr>
          <w:vertAlign w:val="superscript"/>
        </w:rPr>
        <w:t>32,33</w:t>
      </w:r>
      <w:r>
        <w:t xml:space="preserve"> Several factors are thought to increase the risk of individuals being unvaccinated or having incomplete vaccinations; these include being from a larger family not using formal childcare services, being from a single parent household, poor social supports, being </w:t>
      </w:r>
      <w:proofErr w:type="gramStart"/>
      <w:r>
        <w:t>overseas-born</w:t>
      </w:r>
      <w:proofErr w:type="gramEnd"/>
      <w:r>
        <w:t xml:space="preserve">, receiving immunisations from general practitioners, and being a late starter to immunisation. </w:t>
      </w:r>
      <w:r>
        <w:rPr>
          <w:vertAlign w:val="superscript"/>
        </w:rPr>
        <w:t>25,34</w:t>
      </w:r>
      <w:r>
        <w:t xml:space="preserve"> Two adult cases (one and two) and the parents of the three children (cases four to six) were </w:t>
      </w:r>
      <w:proofErr w:type="gramStart"/>
      <w:r>
        <w:t>overseas-born</w:t>
      </w:r>
      <w:proofErr w:type="gramEnd"/>
      <w:r>
        <w:t xml:space="preserve">. Within the household cluster, all children were unvaccinated despite recommendations and readily available measles vaccination in Australia. Preventing measles transmission should focus on </w:t>
      </w:r>
      <w:proofErr w:type="gramStart"/>
      <w:r>
        <w:t>maintaining</w:t>
      </w:r>
      <w:proofErr w:type="gramEnd"/>
      <w:r>
        <w:t xml:space="preserve"> high vaccination rates across Australia, including in populations who may have missed routine childhood vaccinations, such as migrant populations, and who may require additional education and support to be aware of available immunisation services. </w:t>
      </w:r>
      <w:r>
        <w:rPr>
          <w:vertAlign w:val="superscript"/>
        </w:rPr>
        <w:t>7</w:t>
      </w:r>
      <w:r>
        <w:t xml:space="preserve"> </w:t>
      </w:r>
    </w:p>
    <w:p w14:paraId="46403328" w14:textId="77777777" w:rsidR="00A70EED" w:rsidRDefault="00A70EED" w:rsidP="001C0BCF">
      <w:pPr>
        <w:divId w:val="1112554373"/>
      </w:pPr>
      <w:r>
        <w:t xml:space="preserve">Flight contact tracing was </w:t>
      </w:r>
      <w:proofErr w:type="gramStart"/>
      <w:r>
        <w:t>required</w:t>
      </w:r>
      <w:proofErr w:type="gramEnd"/>
      <w:r>
        <w:t xml:space="preserve"> for five of six cases in this series. Measles cases on flights pose a heightened risk of transmission, with cases potentially able to widely </w:t>
      </w:r>
      <w:proofErr w:type="gramStart"/>
      <w:r>
        <w:t>transmit</w:t>
      </w:r>
      <w:proofErr w:type="gramEnd"/>
      <w:r>
        <w:t xml:space="preserve"> within a confined space, and contact tracing often ineffective, incomplete and delayed, as passenger lists and IPCs can be difficult to access. </w:t>
      </w:r>
      <w:r>
        <w:rPr>
          <w:vertAlign w:val="superscript"/>
        </w:rPr>
        <w:t>35–37</w:t>
      </w:r>
      <w:r>
        <w:t xml:space="preserve"> Transmission can also occur within airport settings during the pre-flight or post-flight period. </w:t>
      </w:r>
      <w:r>
        <w:rPr>
          <w:vertAlign w:val="superscript"/>
        </w:rPr>
        <w:t>37,38</w:t>
      </w:r>
      <w:r>
        <w:t xml:space="preserve"> Flight contact tracing was a critical control measure during the early months of the COVID-19 pandemic, </w:t>
      </w:r>
      <w:proofErr w:type="gramStart"/>
      <w:r>
        <w:rPr>
          <w:vertAlign w:val="superscript"/>
        </w:rPr>
        <w:t>39</w:t>
      </w:r>
      <w:proofErr w:type="gramEnd"/>
      <w:r>
        <w:t xml:space="preserve"> leading to the introduction of digital passenger declarations to support large-scale contact tracing. </w:t>
      </w:r>
      <w:r>
        <w:rPr>
          <w:vertAlign w:val="superscript"/>
        </w:rPr>
        <w:t>40</w:t>
      </w:r>
      <w:r>
        <w:t xml:space="preserve"> However, this pathway in Australia is no longer available. Among the six cases in this series, there were often delays in </w:t>
      </w:r>
      <w:proofErr w:type="gramStart"/>
      <w:r>
        <w:t>acquiring</w:t>
      </w:r>
      <w:proofErr w:type="gramEnd"/>
      <w:r>
        <w:t xml:space="preserve"> and manually transcribing IPCs, as they came in batches over days and weeks. Timeliness is critical for measles public health actions, and for </w:t>
      </w:r>
      <w:proofErr w:type="gramStart"/>
      <w:r>
        <w:t>some</w:t>
      </w:r>
      <w:proofErr w:type="gramEnd"/>
      <w:r>
        <w:t xml:space="preserve"> cases the window to offer PEP for flight contacts expired. </w:t>
      </w:r>
      <w:r>
        <w:rPr>
          <w:vertAlign w:val="superscript"/>
        </w:rPr>
        <w:t>38</w:t>
      </w:r>
      <w:r>
        <w:t xml:space="preserve"> Delays in contact tracing can also lead to contacts </w:t>
      </w:r>
      <w:proofErr w:type="gramStart"/>
      <w:r>
        <w:t>being missed</w:t>
      </w:r>
      <w:proofErr w:type="gramEnd"/>
      <w:r>
        <w:t xml:space="preserve"> and delayed diagnosis of secondary cases, potentially contributing to onwards transmission. Further work is needed to improve processes to support flight contact tracing, including digitisation of passenger cards, and working with airlines and airports to </w:t>
      </w:r>
      <w:proofErr w:type="gramStart"/>
      <w:r>
        <w:t>facilitate</w:t>
      </w:r>
      <w:proofErr w:type="gramEnd"/>
      <w:r>
        <w:t xml:space="preserve"> more timely access to flight manifests.</w:t>
      </w:r>
    </w:p>
    <w:p w14:paraId="27F76332" w14:textId="77777777" w:rsidR="00A70EED" w:rsidRDefault="00A70EED" w:rsidP="001C0BCF">
      <w:pPr>
        <w:divId w:val="1112554373"/>
      </w:pPr>
      <w:r>
        <w:t xml:space="preserve">This case series was limited by the small number of cases that occurred in </w:t>
      </w:r>
      <w:proofErr w:type="gramStart"/>
      <w:r>
        <w:t>2022, and</w:t>
      </w:r>
      <w:proofErr w:type="gramEnd"/>
      <w:r>
        <w:t xml:space="preserve"> may not be representative of cases that occur in the future. The findings and lessons may also not </w:t>
      </w:r>
      <w:proofErr w:type="gramStart"/>
      <w:r>
        <w:t>be applicable</w:t>
      </w:r>
      <w:proofErr w:type="gramEnd"/>
      <w:r>
        <w:t xml:space="preserve"> to all Australian states and territories, as the public health systems, infrastructure and resources vary, affecting jurisdictions’ ability to implement public health actions. None of the cases led to transmission within Australia, so it was not possible to </w:t>
      </w:r>
      <w:proofErr w:type="gramStart"/>
      <w:r>
        <w:t>test</w:t>
      </w:r>
      <w:proofErr w:type="gramEnd"/>
      <w:r>
        <w:t xml:space="preserve"> the public health response to secondary cases or to consider the impact of the COVID-19 pandemic on local transmission of measles.</w:t>
      </w:r>
    </w:p>
    <w:p w14:paraId="58A52A96" w14:textId="77777777" w:rsidR="00A70EED" w:rsidRDefault="00A70EED" w:rsidP="001C0BCF">
      <w:pPr>
        <w:divId w:val="1112554373"/>
      </w:pPr>
      <w:r>
        <w:t xml:space="preserve">Despite these limitations, this case series </w:t>
      </w:r>
      <w:proofErr w:type="gramStart"/>
      <w:r>
        <w:t>provides</w:t>
      </w:r>
      <w:proofErr w:type="gramEnd"/>
      <w:r>
        <w:t xml:space="preserve"> a useful overview of lessons learned from responding to the first measles cases to occur in Victoria following a pause in cases during the COVID-19 pandemic. Measles contact tracing is resource-intensive, with one international study noting that the response cost for even </w:t>
      </w:r>
      <w:proofErr w:type="gramStart"/>
      <w:r>
        <w:t>a single case</w:t>
      </w:r>
      <w:proofErr w:type="gramEnd"/>
      <w:r>
        <w:t xml:space="preserve"> that does not result in transmission can be as high as $142,000 USD. </w:t>
      </w:r>
      <w:r>
        <w:rPr>
          <w:vertAlign w:val="superscript"/>
        </w:rPr>
        <w:t>41</w:t>
      </w:r>
      <w:r>
        <w:t xml:space="preserve"> Public health follow up requires considerable time and effort, </w:t>
      </w:r>
      <w:proofErr w:type="gramStart"/>
      <w:r>
        <w:rPr>
          <w:vertAlign w:val="superscript"/>
        </w:rPr>
        <w:t>38</w:t>
      </w:r>
      <w:proofErr w:type="gramEnd"/>
      <w:r>
        <w:t xml:space="preserve"> highly skilled and trained personnel, and close collaboration with local, interstate, national and international health agencies. It is </w:t>
      </w:r>
      <w:proofErr w:type="gramStart"/>
      <w:r>
        <w:t>timely</w:t>
      </w:r>
      <w:proofErr w:type="gramEnd"/>
      <w:r>
        <w:t xml:space="preserve"> to consider the lessons from the re-emergence of imported measles and opportunities to improve Victoria’s response to prevent potential outbreaks in the future. This case series is also of use to other Australian states and territories where measles is also re-emerging after the COVID-19 pandemic.</w:t>
      </w:r>
    </w:p>
    <w:p w14:paraId="535FA9E3" w14:textId="77777777" w:rsidR="00A70EED" w:rsidRPr="001C0BCF" w:rsidRDefault="00A70EED" w:rsidP="001C0BCF">
      <w:pPr>
        <w:pStyle w:val="Heading1"/>
        <w:divId w:val="1112554373"/>
      </w:pPr>
      <w:r w:rsidRPr="001C0BCF">
        <w:t>Acknowledgements</w:t>
      </w:r>
    </w:p>
    <w:p w14:paraId="18054ACD" w14:textId="77777777" w:rsidR="00A70EED" w:rsidRDefault="00A70EED" w:rsidP="001C0BCF">
      <w:pPr>
        <w:divId w:val="1112554373"/>
      </w:pPr>
      <w:r>
        <w:t xml:space="preserve">We thank all individuals who </w:t>
      </w:r>
      <w:proofErr w:type="gramStart"/>
      <w:r>
        <w:t>were involved in</w:t>
      </w:r>
      <w:proofErr w:type="gramEnd"/>
      <w:r>
        <w:t xml:space="preserve"> the public health response to these measles cases. </w:t>
      </w:r>
      <w:proofErr w:type="gramStart"/>
      <w:r>
        <w:t>In particular, from</w:t>
      </w:r>
      <w:proofErr w:type="gramEnd"/>
      <w:r>
        <w:t xml:space="preserve"> the Victorian Department of Health, we thank Liv Lowe, Natalie Shepherd, Sarah Lewis, </w:t>
      </w:r>
      <w:proofErr w:type="spellStart"/>
      <w:r>
        <w:t>Aicha</w:t>
      </w:r>
      <w:proofErr w:type="spellEnd"/>
      <w:r>
        <w:t xml:space="preserve"> Brahmi, Grace King, </w:t>
      </w:r>
      <w:proofErr w:type="spellStart"/>
      <w:r>
        <w:t>Rebekkah</w:t>
      </w:r>
      <w:proofErr w:type="spellEnd"/>
      <w:r>
        <w:t xml:space="preserve"> White and Samara Griffin who were involved in the investigation and follow up of these cases.</w:t>
      </w:r>
    </w:p>
    <w:p w14:paraId="1E134C14" w14:textId="77777777" w:rsidR="00A70EED" w:rsidRDefault="00A70EED" w:rsidP="001C0BCF">
      <w:pPr>
        <w:divId w:val="1112554373"/>
      </w:pPr>
      <w:r>
        <w:t xml:space="preserve">Madeleine </w:t>
      </w:r>
      <w:proofErr w:type="spellStart"/>
      <w:r>
        <w:t>Marsland</w:t>
      </w:r>
      <w:proofErr w:type="spellEnd"/>
      <w:r>
        <w:t xml:space="preserve"> is a Master of Philosophy in Applied Epidemiology (MAE) Scholar with the Australian National University and </w:t>
      </w:r>
      <w:proofErr w:type="gramStart"/>
      <w:r>
        <w:t>is supported</w:t>
      </w:r>
      <w:proofErr w:type="gramEnd"/>
      <w:r>
        <w:t xml:space="preserve"> by a MAE scholarship funded by the Department of Health, Victoria.</w:t>
      </w:r>
    </w:p>
    <w:p w14:paraId="3255E766" w14:textId="77777777" w:rsidR="00A6435C" w:rsidRDefault="00A6435C">
      <w:pPr>
        <w:rPr>
          <w:rFonts w:asciiTheme="majorHAnsi" w:eastAsiaTheme="majorEastAsia" w:hAnsiTheme="majorHAnsi" w:cstheme="majorBidi"/>
          <w:b/>
          <w:bCs/>
          <w:sz w:val="32"/>
          <w:szCs w:val="28"/>
        </w:rPr>
      </w:pPr>
      <w:r>
        <w:br w:type="page"/>
      </w:r>
    </w:p>
    <w:p w14:paraId="655A582E" w14:textId="72BF5CBE" w:rsidR="00A70EED" w:rsidRPr="001C0BCF" w:rsidRDefault="00A70EED" w:rsidP="001C0BCF">
      <w:pPr>
        <w:pStyle w:val="Heading1"/>
        <w:divId w:val="1112554373"/>
      </w:pPr>
      <w:r w:rsidRPr="001C0BCF">
        <w:t>Author details</w:t>
      </w:r>
    </w:p>
    <w:p w14:paraId="55F5D066" w14:textId="77777777" w:rsidR="00A70EED" w:rsidRDefault="00A70EED" w:rsidP="001C0BCF">
      <w:pPr>
        <w:divId w:val="1112554373"/>
      </w:pPr>
      <w:r>
        <w:t xml:space="preserve">Dr Madeleine J </w:t>
      </w:r>
      <w:proofErr w:type="spellStart"/>
      <w:r>
        <w:t>Marsland</w:t>
      </w:r>
      <w:proofErr w:type="spellEnd"/>
      <w:r>
        <w:t xml:space="preserve">, </w:t>
      </w:r>
      <w:r>
        <w:rPr>
          <w:vertAlign w:val="superscript"/>
        </w:rPr>
        <w:t>1,2</w:t>
      </w:r>
      <w:r>
        <w:t xml:space="preserve"> </w:t>
      </w:r>
    </w:p>
    <w:p w14:paraId="5248C447" w14:textId="77777777" w:rsidR="00A70EED" w:rsidRDefault="00A70EED" w:rsidP="001C0BCF">
      <w:pPr>
        <w:divId w:val="1112554373"/>
      </w:pPr>
      <w:r>
        <w:t xml:space="preserve">Ms Janet Strachan, </w:t>
      </w:r>
      <w:r>
        <w:rPr>
          <w:vertAlign w:val="superscript"/>
        </w:rPr>
        <w:t>1</w:t>
      </w:r>
      <w:r>
        <w:t xml:space="preserve"> </w:t>
      </w:r>
    </w:p>
    <w:p w14:paraId="4C9EAEDC" w14:textId="77777777" w:rsidR="00A70EED" w:rsidRDefault="00A70EED" w:rsidP="001C0BCF">
      <w:pPr>
        <w:divId w:val="1112554373"/>
      </w:pPr>
      <w:r>
        <w:t xml:space="preserve">Dr Rebecca F Gang, </w:t>
      </w:r>
      <w:r>
        <w:rPr>
          <w:vertAlign w:val="superscript"/>
        </w:rPr>
        <w:t>1</w:t>
      </w:r>
      <w:r>
        <w:t xml:space="preserve"> </w:t>
      </w:r>
    </w:p>
    <w:p w14:paraId="7EA70A4E" w14:textId="77777777" w:rsidR="00A70EED" w:rsidRDefault="00A70EED" w:rsidP="001C0BCF">
      <w:pPr>
        <w:divId w:val="1112554373"/>
      </w:pPr>
      <w:r>
        <w:t xml:space="preserve">Ms Miriam O’Hara, </w:t>
      </w:r>
      <w:r>
        <w:rPr>
          <w:vertAlign w:val="superscript"/>
        </w:rPr>
        <w:t>1</w:t>
      </w:r>
      <w:r>
        <w:t xml:space="preserve"> </w:t>
      </w:r>
    </w:p>
    <w:p w14:paraId="6943511D" w14:textId="77777777" w:rsidR="00A70EED" w:rsidRDefault="00A70EED" w:rsidP="001C0BCF">
      <w:pPr>
        <w:divId w:val="1112554373"/>
      </w:pPr>
      <w:r>
        <w:t xml:space="preserve">Ms Nicole M Hughes, </w:t>
      </w:r>
      <w:r>
        <w:rPr>
          <w:vertAlign w:val="superscript"/>
        </w:rPr>
        <w:t>1</w:t>
      </w:r>
      <w:r>
        <w:t xml:space="preserve"> </w:t>
      </w:r>
    </w:p>
    <w:p w14:paraId="568BAC43" w14:textId="77777777" w:rsidR="00A70EED" w:rsidRDefault="00A70EED" w:rsidP="001C0BCF">
      <w:pPr>
        <w:divId w:val="1112554373"/>
      </w:pPr>
      <w:r>
        <w:t xml:space="preserve">Ms Anna </w:t>
      </w:r>
      <w:proofErr w:type="spellStart"/>
      <w:r>
        <w:t>Glynn-Robinson</w:t>
      </w:r>
      <w:proofErr w:type="spellEnd"/>
      <w:r>
        <w:t xml:space="preserve"> </w:t>
      </w:r>
      <w:r>
        <w:rPr>
          <w:vertAlign w:val="superscript"/>
        </w:rPr>
        <w:t>2</w:t>
      </w:r>
      <w:r>
        <w:t xml:space="preserve"> </w:t>
      </w:r>
    </w:p>
    <w:p w14:paraId="475C614D" w14:textId="77777777" w:rsidR="00A70EED" w:rsidRPr="001C0BCF" w:rsidRDefault="00A70EED" w:rsidP="001C0BCF">
      <w:pPr>
        <w:pStyle w:val="ListParagraph"/>
        <w:numPr>
          <w:ilvl w:val="0"/>
          <w:numId w:val="9"/>
        </w:numPr>
        <w:divId w:val="1112554373"/>
        <w:rPr>
          <w:rFonts w:eastAsia="Times New Roman"/>
        </w:rPr>
      </w:pPr>
      <w:r w:rsidRPr="001C0BCF">
        <w:rPr>
          <w:rFonts w:eastAsia="Times New Roman"/>
        </w:rPr>
        <w:t>Public Health Division, Department of Health, Victoria.</w:t>
      </w:r>
    </w:p>
    <w:p w14:paraId="3E0DB471" w14:textId="77777777" w:rsidR="00A70EED" w:rsidRPr="001C0BCF" w:rsidRDefault="00A70EED" w:rsidP="001C0BCF">
      <w:pPr>
        <w:pStyle w:val="ListParagraph"/>
        <w:numPr>
          <w:ilvl w:val="0"/>
          <w:numId w:val="9"/>
        </w:numPr>
        <w:divId w:val="1112554373"/>
        <w:rPr>
          <w:rFonts w:eastAsia="Times New Roman"/>
        </w:rPr>
      </w:pPr>
      <w:r w:rsidRPr="001C0BCF">
        <w:rPr>
          <w:rFonts w:eastAsia="Times New Roman"/>
        </w:rPr>
        <w:t>National Centre for Epidemiology &amp; Population Health, Australian National University.</w:t>
      </w:r>
    </w:p>
    <w:p w14:paraId="2ED03B5A" w14:textId="77777777" w:rsidR="00A70EED" w:rsidRPr="001C0BCF" w:rsidRDefault="00A70EED" w:rsidP="001C0BCF">
      <w:pPr>
        <w:pStyle w:val="Heading2"/>
        <w:divId w:val="1112554373"/>
      </w:pPr>
      <w:r w:rsidRPr="001C0BCF">
        <w:t>Corresponding author</w:t>
      </w:r>
    </w:p>
    <w:p w14:paraId="0581BF8B" w14:textId="77777777" w:rsidR="00A70EED" w:rsidRDefault="00A70EED" w:rsidP="001C0BCF">
      <w:pPr>
        <w:divId w:val="1112554373"/>
      </w:pPr>
      <w:r>
        <w:t xml:space="preserve">Dr Madeleine J </w:t>
      </w:r>
      <w:proofErr w:type="spellStart"/>
      <w:r>
        <w:t>Marsland</w:t>
      </w:r>
      <w:proofErr w:type="spellEnd"/>
    </w:p>
    <w:p w14:paraId="5D9DF4C9" w14:textId="77777777" w:rsidR="00A70EED" w:rsidRDefault="00A70EED" w:rsidP="001C0BCF">
      <w:pPr>
        <w:divId w:val="1112554373"/>
      </w:pPr>
      <w:r>
        <w:t xml:space="preserve">Address: Victoria Department of Health, 50 Lonsdale Street, Melbourne, Victoria, </w:t>
      </w:r>
      <w:proofErr w:type="gramStart"/>
      <w:r>
        <w:t>3000</w:t>
      </w:r>
      <w:proofErr w:type="gramEnd"/>
    </w:p>
    <w:p w14:paraId="0FC4B331" w14:textId="77777777" w:rsidR="00A70EED" w:rsidRDefault="00A70EED" w:rsidP="001C0BCF">
      <w:pPr>
        <w:divId w:val="1112554373"/>
      </w:pPr>
      <w:r>
        <w:t>Phone: 03 8850 7484</w:t>
      </w:r>
    </w:p>
    <w:p w14:paraId="081B0F0F" w14:textId="77777777" w:rsidR="00A70EED" w:rsidRDefault="00A70EED" w:rsidP="001C0BCF">
      <w:pPr>
        <w:divId w:val="1112554373"/>
      </w:pPr>
      <w:r>
        <w:t>Email: madeleine.marsland@health.vic.gov.au; madeleine.marsland@anu.edu.au</w:t>
      </w:r>
    </w:p>
    <w:p w14:paraId="111D6507" w14:textId="77777777" w:rsidR="00A70EED" w:rsidRPr="001C0BCF" w:rsidRDefault="00A70EED" w:rsidP="001C0BCF">
      <w:pPr>
        <w:pStyle w:val="Heading1"/>
        <w:divId w:val="1112554373"/>
      </w:pPr>
      <w:r w:rsidRPr="001C0BCF">
        <w:t>References</w:t>
      </w:r>
    </w:p>
    <w:p w14:paraId="2FB98853" w14:textId="77777777" w:rsidR="00A70EED" w:rsidRPr="001C0BCF" w:rsidRDefault="00A70EED" w:rsidP="001C0BCF">
      <w:pPr>
        <w:pStyle w:val="ListParagraph"/>
        <w:numPr>
          <w:ilvl w:val="0"/>
          <w:numId w:val="10"/>
        </w:numPr>
        <w:divId w:val="1112554373"/>
        <w:rPr>
          <w:rFonts w:eastAsia="Times New Roman"/>
        </w:rPr>
      </w:pPr>
      <w:proofErr w:type="spellStart"/>
      <w:r w:rsidRPr="001C0BCF">
        <w:rPr>
          <w:rFonts w:eastAsia="Times New Roman"/>
        </w:rPr>
        <w:t>Hübschen</w:t>
      </w:r>
      <w:proofErr w:type="spellEnd"/>
      <w:r w:rsidRPr="001C0BCF">
        <w:rPr>
          <w:rFonts w:eastAsia="Times New Roman"/>
        </w:rPr>
        <w:t xml:space="preserve"> JM, </w:t>
      </w:r>
      <w:proofErr w:type="spellStart"/>
      <w:r w:rsidRPr="001C0BCF">
        <w:rPr>
          <w:rFonts w:eastAsia="Times New Roman"/>
        </w:rPr>
        <w:t>Gouandjika-Vasilache</w:t>
      </w:r>
      <w:proofErr w:type="spellEnd"/>
      <w:r w:rsidRPr="001C0BCF">
        <w:rPr>
          <w:rFonts w:eastAsia="Times New Roman"/>
        </w:rPr>
        <w:t xml:space="preserve"> I, Dina J. Measles. </w:t>
      </w:r>
      <w:r w:rsidRPr="0070735F">
        <w:rPr>
          <w:rFonts w:eastAsia="Times New Roman"/>
          <w:i/>
          <w:iCs/>
        </w:rPr>
        <w:t>Lancet</w:t>
      </w:r>
      <w:r w:rsidRPr="001C0BCF">
        <w:rPr>
          <w:rFonts w:eastAsia="Times New Roman"/>
        </w:rPr>
        <w:t xml:space="preserve">. 2022;399(10325):678–90. </w:t>
      </w:r>
      <w:proofErr w:type="spellStart"/>
      <w:r w:rsidRPr="001C0BCF">
        <w:rPr>
          <w:rFonts w:eastAsia="Times New Roman"/>
        </w:rPr>
        <w:t>doi</w:t>
      </w:r>
      <w:proofErr w:type="spellEnd"/>
      <w:r w:rsidRPr="001C0BCF">
        <w:rPr>
          <w:rFonts w:eastAsia="Times New Roman"/>
        </w:rPr>
        <w:t>: https://doi.org/10.1016/S0140-6736(21)02004-3.</w:t>
      </w:r>
    </w:p>
    <w:p w14:paraId="7BAF9644" w14:textId="77777777" w:rsidR="00A70EED" w:rsidRPr="001C0BCF" w:rsidRDefault="00A70EED" w:rsidP="001C0BCF">
      <w:pPr>
        <w:pStyle w:val="ListParagraph"/>
        <w:numPr>
          <w:ilvl w:val="0"/>
          <w:numId w:val="10"/>
        </w:numPr>
        <w:divId w:val="1112554373"/>
        <w:rPr>
          <w:rFonts w:eastAsia="Times New Roman"/>
        </w:rPr>
      </w:pPr>
      <w:proofErr w:type="spellStart"/>
      <w:r w:rsidRPr="001C0BCF">
        <w:rPr>
          <w:rFonts w:eastAsia="Times New Roman"/>
        </w:rPr>
        <w:t>Misin</w:t>
      </w:r>
      <w:proofErr w:type="spellEnd"/>
      <w:r w:rsidRPr="001C0BCF">
        <w:rPr>
          <w:rFonts w:eastAsia="Times New Roman"/>
        </w:rPr>
        <w:t xml:space="preserve"> A, Antonello RM, Di Bella S, </w:t>
      </w:r>
      <w:proofErr w:type="spellStart"/>
      <w:r w:rsidRPr="001C0BCF">
        <w:rPr>
          <w:rFonts w:eastAsia="Times New Roman"/>
        </w:rPr>
        <w:t>Campisciano</w:t>
      </w:r>
      <w:proofErr w:type="spellEnd"/>
      <w:r w:rsidRPr="001C0BCF">
        <w:rPr>
          <w:rFonts w:eastAsia="Times New Roman"/>
        </w:rPr>
        <w:t xml:space="preserve"> G, </w:t>
      </w:r>
      <w:proofErr w:type="spellStart"/>
      <w:r w:rsidRPr="001C0BCF">
        <w:rPr>
          <w:rFonts w:eastAsia="Times New Roman"/>
        </w:rPr>
        <w:t>Zanotta</w:t>
      </w:r>
      <w:proofErr w:type="spellEnd"/>
      <w:r w:rsidRPr="001C0BCF">
        <w:rPr>
          <w:rFonts w:eastAsia="Times New Roman"/>
        </w:rPr>
        <w:t xml:space="preserve"> N, </w:t>
      </w:r>
      <w:proofErr w:type="spellStart"/>
      <w:r w:rsidRPr="001C0BCF">
        <w:rPr>
          <w:rFonts w:eastAsia="Times New Roman"/>
        </w:rPr>
        <w:t>Giacobbe</w:t>
      </w:r>
      <w:proofErr w:type="spellEnd"/>
      <w:r w:rsidRPr="001C0BCF">
        <w:rPr>
          <w:rFonts w:eastAsia="Times New Roman"/>
        </w:rPr>
        <w:t xml:space="preserve"> DR et al. Measles: an overview of a re-emerging disease in children and immunocompromised patients. </w:t>
      </w:r>
      <w:proofErr w:type="gramStart"/>
      <w:r w:rsidRPr="00D63274">
        <w:rPr>
          <w:rStyle w:val="Emphasis"/>
          <w:rFonts w:eastAsia="Times New Roman"/>
          <w:b w:val="0"/>
          <w:bCs w:val="0"/>
        </w:rPr>
        <w:t>Microorganisms</w:t>
      </w:r>
      <w:r w:rsidRPr="001C0BCF">
        <w:rPr>
          <w:rFonts w:eastAsia="Times New Roman"/>
        </w:rPr>
        <w:t xml:space="preserve"> .</w:t>
      </w:r>
      <w:proofErr w:type="gramEnd"/>
      <w:r w:rsidRPr="001C0BCF">
        <w:rPr>
          <w:rFonts w:eastAsia="Times New Roman"/>
        </w:rPr>
        <w:t xml:space="preserve"> 2020;8(2):276. </w:t>
      </w:r>
      <w:proofErr w:type="spellStart"/>
      <w:r w:rsidRPr="001C0BCF">
        <w:rPr>
          <w:rFonts w:eastAsia="Times New Roman"/>
        </w:rPr>
        <w:t>doi</w:t>
      </w:r>
      <w:proofErr w:type="spellEnd"/>
      <w:r w:rsidRPr="001C0BCF">
        <w:rPr>
          <w:rFonts w:eastAsia="Times New Roman"/>
        </w:rPr>
        <w:t>: https://doi.org/10.3390/microorganisms8020276.</w:t>
      </w:r>
    </w:p>
    <w:p w14:paraId="1A249ECC"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Australian Government Department of Health and Aged Care, Communicable Diseases Network Australia (CDNA). </w:t>
      </w:r>
      <w:r w:rsidRPr="00D63274">
        <w:rPr>
          <w:rStyle w:val="Emphasis"/>
          <w:rFonts w:eastAsia="Times New Roman"/>
          <w:b w:val="0"/>
          <w:bCs w:val="0"/>
        </w:rPr>
        <w:t xml:space="preserve">Measles: CDNA National Guidelines for Public Health </w:t>
      </w:r>
      <w:proofErr w:type="gramStart"/>
      <w:r w:rsidRPr="00D63274">
        <w:rPr>
          <w:rStyle w:val="Emphasis"/>
          <w:rFonts w:eastAsia="Times New Roman"/>
          <w:b w:val="0"/>
          <w:bCs w:val="0"/>
        </w:rPr>
        <w:t>Units</w:t>
      </w:r>
      <w:r w:rsidRPr="001C0BCF">
        <w:rPr>
          <w:rFonts w:eastAsia="Times New Roman"/>
        </w:rPr>
        <w:t xml:space="preserve"> .</w:t>
      </w:r>
      <w:proofErr w:type="gramEnd"/>
      <w:r w:rsidRPr="001C0BCF">
        <w:rPr>
          <w:rFonts w:eastAsia="Times New Roman"/>
        </w:rPr>
        <w:t xml:space="preserve"> Canberra: Australian Government Department of Health and Aged Care, CDNA; 7 May 2019. [Accessed on 28 March 2023.] Available from: https://www.health.gov.au/sites/default/files/documents/2020/02/measles-cdna-national-guidelines-for-public-health-units.pdf.</w:t>
      </w:r>
    </w:p>
    <w:p w14:paraId="09ECC7C3"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Fitzgerald TL, </w:t>
      </w:r>
      <w:proofErr w:type="spellStart"/>
      <w:r w:rsidRPr="001C0BCF">
        <w:rPr>
          <w:rFonts w:eastAsia="Times New Roman"/>
        </w:rPr>
        <w:t>Durrheim</w:t>
      </w:r>
      <w:proofErr w:type="spellEnd"/>
      <w:r w:rsidRPr="001C0BCF">
        <w:rPr>
          <w:rFonts w:eastAsia="Times New Roman"/>
        </w:rPr>
        <w:t xml:space="preserve"> DN, Merritt TD, Birch C, Tran T. Measles with a possible </w:t>
      </w:r>
      <w:proofErr w:type="gramStart"/>
      <w:r w:rsidRPr="001C0BCF">
        <w:rPr>
          <w:rFonts w:eastAsia="Times New Roman"/>
        </w:rPr>
        <w:t>23 day</w:t>
      </w:r>
      <w:proofErr w:type="gramEnd"/>
      <w:r w:rsidRPr="001C0BCF">
        <w:rPr>
          <w:rFonts w:eastAsia="Times New Roman"/>
        </w:rPr>
        <w:t xml:space="preserve"> incubation period. </w:t>
      </w:r>
      <w:proofErr w:type="spellStart"/>
      <w:r w:rsidRPr="00D63274">
        <w:rPr>
          <w:rStyle w:val="Emphasis"/>
          <w:rFonts w:eastAsia="Times New Roman"/>
          <w:b w:val="0"/>
          <w:bCs w:val="0"/>
        </w:rPr>
        <w:t>Commun</w:t>
      </w:r>
      <w:proofErr w:type="spellEnd"/>
      <w:r w:rsidRPr="00D63274">
        <w:rPr>
          <w:rStyle w:val="Emphasis"/>
          <w:rFonts w:eastAsia="Times New Roman"/>
          <w:b w:val="0"/>
          <w:bCs w:val="0"/>
        </w:rPr>
        <w:t xml:space="preserve"> Dis </w:t>
      </w:r>
      <w:proofErr w:type="spellStart"/>
      <w:r w:rsidRPr="00D63274">
        <w:rPr>
          <w:rStyle w:val="Emphasis"/>
          <w:rFonts w:eastAsia="Times New Roman"/>
          <w:b w:val="0"/>
          <w:bCs w:val="0"/>
        </w:rPr>
        <w:t>Intell</w:t>
      </w:r>
      <w:proofErr w:type="spellEnd"/>
      <w:r w:rsidRPr="00D63274">
        <w:rPr>
          <w:rStyle w:val="Emphasis"/>
          <w:rFonts w:eastAsia="Times New Roman"/>
          <w:b w:val="0"/>
          <w:bCs w:val="0"/>
        </w:rPr>
        <w:t xml:space="preserve"> Q </w:t>
      </w:r>
      <w:proofErr w:type="gramStart"/>
      <w:r w:rsidRPr="00D63274">
        <w:rPr>
          <w:rStyle w:val="Emphasis"/>
          <w:rFonts w:eastAsia="Times New Roman"/>
          <w:b w:val="0"/>
          <w:bCs w:val="0"/>
        </w:rPr>
        <w:t>Rep</w:t>
      </w:r>
      <w:r w:rsidRPr="001C0BCF">
        <w:rPr>
          <w:rFonts w:eastAsia="Times New Roman"/>
        </w:rPr>
        <w:t xml:space="preserve"> .</w:t>
      </w:r>
      <w:proofErr w:type="gramEnd"/>
      <w:r w:rsidRPr="001C0BCF">
        <w:rPr>
          <w:rFonts w:eastAsia="Times New Roman"/>
        </w:rPr>
        <w:t xml:space="preserve"> 2012;36(3</w:t>
      </w:r>
      <w:proofErr w:type="gramStart"/>
      <w:r w:rsidRPr="001C0BCF">
        <w:rPr>
          <w:rFonts w:eastAsia="Times New Roman"/>
        </w:rPr>
        <w:t>):E</w:t>
      </w:r>
      <w:proofErr w:type="gramEnd"/>
      <w:r w:rsidRPr="001C0BCF">
        <w:rPr>
          <w:rFonts w:eastAsia="Times New Roman"/>
        </w:rPr>
        <w:t>277–80.</w:t>
      </w:r>
    </w:p>
    <w:p w14:paraId="5BB83A89"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Australian Government Department of Health and Aged Care, Australian Immunisation Handbook. Measles. [Webpage.] Canberra: Australian Government Department of Health and Aged Care; 19 May 2022. [Accessed on 29 March 2023.] Available from: https://immunisationhandbook.health.gov.au/contents/vaccine-preventable-diseases/measles.</w:t>
      </w:r>
    </w:p>
    <w:p w14:paraId="45AA8A89"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Williamson KM, Merritt T, </w:t>
      </w:r>
      <w:proofErr w:type="spellStart"/>
      <w:r w:rsidRPr="001C0BCF">
        <w:rPr>
          <w:rFonts w:eastAsia="Times New Roman"/>
        </w:rPr>
        <w:t>Durrheim</w:t>
      </w:r>
      <w:proofErr w:type="spellEnd"/>
      <w:r w:rsidRPr="001C0BCF">
        <w:rPr>
          <w:rFonts w:eastAsia="Times New Roman"/>
        </w:rPr>
        <w:t xml:space="preserve"> DN. Australia: an island in a sea of measles. </w:t>
      </w:r>
      <w:r w:rsidRPr="00D63274">
        <w:rPr>
          <w:rStyle w:val="Emphasis"/>
          <w:rFonts w:eastAsia="Times New Roman"/>
          <w:b w:val="0"/>
          <w:bCs w:val="0"/>
        </w:rPr>
        <w:t xml:space="preserve">Med J </w:t>
      </w:r>
      <w:proofErr w:type="gramStart"/>
      <w:r w:rsidRPr="00D63274">
        <w:rPr>
          <w:rStyle w:val="Emphasis"/>
          <w:rFonts w:eastAsia="Times New Roman"/>
          <w:b w:val="0"/>
          <w:bCs w:val="0"/>
        </w:rPr>
        <w:t>Aust</w:t>
      </w:r>
      <w:r w:rsidRPr="001C0BCF">
        <w:rPr>
          <w:rFonts w:eastAsia="Times New Roman"/>
        </w:rPr>
        <w:t xml:space="preserve"> .</w:t>
      </w:r>
      <w:proofErr w:type="gramEnd"/>
      <w:r w:rsidRPr="001C0BCF">
        <w:rPr>
          <w:rFonts w:eastAsia="Times New Roman"/>
        </w:rPr>
        <w:t xml:space="preserve"> 2020;213(3):101–</w:t>
      </w:r>
      <w:proofErr w:type="gramStart"/>
      <w:r w:rsidRPr="001C0BCF">
        <w:rPr>
          <w:rFonts w:eastAsia="Times New Roman"/>
        </w:rPr>
        <w:t>3.e</w:t>
      </w:r>
      <w:proofErr w:type="gramEnd"/>
      <w:r w:rsidRPr="001C0BCF">
        <w:rPr>
          <w:rFonts w:eastAsia="Times New Roman"/>
        </w:rPr>
        <w:t xml:space="preserve">1. </w:t>
      </w:r>
      <w:proofErr w:type="spellStart"/>
      <w:r w:rsidRPr="001C0BCF">
        <w:rPr>
          <w:rFonts w:eastAsia="Times New Roman"/>
        </w:rPr>
        <w:t>doi</w:t>
      </w:r>
      <w:proofErr w:type="spellEnd"/>
      <w:r w:rsidRPr="001C0BCF">
        <w:rPr>
          <w:rFonts w:eastAsia="Times New Roman"/>
        </w:rPr>
        <w:t>: https://doi.org/10.5694/mja2.50650.</w:t>
      </w:r>
    </w:p>
    <w:p w14:paraId="3A9191C5"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Winkler NE, Dey A, Quinn HE, Pourmarzi D, Lambert S, McIntyre P et al. Australian vaccine preventable disease epidemiological review series: measles, 2012–2019. </w:t>
      </w:r>
      <w:proofErr w:type="spellStart"/>
      <w:r w:rsidRPr="00D63274">
        <w:rPr>
          <w:rStyle w:val="Emphasis"/>
          <w:rFonts w:eastAsia="Times New Roman"/>
          <w:b w:val="0"/>
          <w:bCs w:val="0"/>
        </w:rPr>
        <w:t>Commun</w:t>
      </w:r>
      <w:proofErr w:type="spellEnd"/>
      <w:r w:rsidRPr="00D63274">
        <w:rPr>
          <w:rStyle w:val="Emphasis"/>
          <w:rFonts w:eastAsia="Times New Roman"/>
          <w:b w:val="0"/>
          <w:bCs w:val="0"/>
        </w:rPr>
        <w:t xml:space="preserve"> Dis </w:t>
      </w:r>
      <w:proofErr w:type="spellStart"/>
      <w:r w:rsidRPr="00D63274">
        <w:rPr>
          <w:rStyle w:val="Emphasis"/>
          <w:rFonts w:eastAsia="Times New Roman"/>
          <w:b w:val="0"/>
          <w:bCs w:val="0"/>
        </w:rPr>
        <w:t>Intell</w:t>
      </w:r>
      <w:proofErr w:type="spellEnd"/>
      <w:r w:rsidRPr="00D63274">
        <w:rPr>
          <w:rStyle w:val="Emphasis"/>
          <w:rFonts w:eastAsia="Times New Roman"/>
          <w:b w:val="0"/>
          <w:bCs w:val="0"/>
        </w:rPr>
        <w:t xml:space="preserve"> (2018</w:t>
      </w:r>
      <w:proofErr w:type="gramStart"/>
      <w:r w:rsidRPr="00D63274">
        <w:rPr>
          <w:rStyle w:val="Emphasis"/>
          <w:rFonts w:eastAsia="Times New Roman"/>
          <w:b w:val="0"/>
          <w:bCs w:val="0"/>
        </w:rPr>
        <w:t>)</w:t>
      </w:r>
      <w:r w:rsidRPr="001C0BCF">
        <w:rPr>
          <w:rFonts w:eastAsia="Times New Roman"/>
        </w:rPr>
        <w:t xml:space="preserve"> .</w:t>
      </w:r>
      <w:proofErr w:type="gramEnd"/>
      <w:r w:rsidRPr="001C0BCF">
        <w:rPr>
          <w:rFonts w:eastAsia="Times New Roman"/>
        </w:rPr>
        <w:t xml:space="preserve"> 2022;</w:t>
      </w:r>
      <w:proofErr w:type="gramStart"/>
      <w:r w:rsidRPr="001C0BCF">
        <w:rPr>
          <w:rFonts w:eastAsia="Times New Roman"/>
        </w:rPr>
        <w:t>46</w:t>
      </w:r>
      <w:proofErr w:type="gramEnd"/>
      <w:r w:rsidRPr="001C0BCF">
        <w:rPr>
          <w:rFonts w:eastAsia="Times New Roman"/>
        </w:rPr>
        <w:t xml:space="preserve">. </w:t>
      </w:r>
      <w:proofErr w:type="spellStart"/>
      <w:r w:rsidRPr="001C0BCF">
        <w:rPr>
          <w:rFonts w:eastAsia="Times New Roman"/>
        </w:rPr>
        <w:t>doi</w:t>
      </w:r>
      <w:proofErr w:type="spellEnd"/>
      <w:r w:rsidRPr="001C0BCF">
        <w:rPr>
          <w:rFonts w:eastAsia="Times New Roman"/>
        </w:rPr>
        <w:t>: https://doi.org/10.33321/cdi.2022.46.38.</w:t>
      </w:r>
    </w:p>
    <w:p w14:paraId="7D9210E6" w14:textId="77777777" w:rsidR="00A70EED" w:rsidRPr="001C0BCF" w:rsidRDefault="00A70EED" w:rsidP="001C0BCF">
      <w:pPr>
        <w:pStyle w:val="ListParagraph"/>
        <w:numPr>
          <w:ilvl w:val="0"/>
          <w:numId w:val="10"/>
        </w:numPr>
        <w:divId w:val="1112554373"/>
        <w:rPr>
          <w:rFonts w:eastAsia="Times New Roman"/>
        </w:rPr>
      </w:pPr>
      <w:proofErr w:type="spellStart"/>
      <w:r w:rsidRPr="001C0BCF">
        <w:rPr>
          <w:rFonts w:eastAsia="Times New Roman"/>
        </w:rPr>
        <w:t>MacIntyre</w:t>
      </w:r>
      <w:proofErr w:type="spellEnd"/>
      <w:r w:rsidRPr="001C0BCF">
        <w:rPr>
          <w:rFonts w:eastAsia="Times New Roman"/>
        </w:rPr>
        <w:t xml:space="preserve"> CR, Karki S, Sheikh M, </w:t>
      </w:r>
      <w:proofErr w:type="spellStart"/>
      <w:r w:rsidRPr="001C0BCF">
        <w:rPr>
          <w:rFonts w:eastAsia="Times New Roman"/>
        </w:rPr>
        <w:t>Zwar</w:t>
      </w:r>
      <w:proofErr w:type="spellEnd"/>
      <w:r w:rsidRPr="001C0BCF">
        <w:rPr>
          <w:rFonts w:eastAsia="Times New Roman"/>
        </w:rPr>
        <w:t xml:space="preserve"> N, Heywood AE. The role of travel in measles outbreaks in Australia – an enhanced surveillance study. </w:t>
      </w:r>
      <w:proofErr w:type="gramStart"/>
      <w:r w:rsidRPr="00D63274">
        <w:rPr>
          <w:rStyle w:val="Emphasis"/>
          <w:rFonts w:eastAsia="Times New Roman"/>
          <w:b w:val="0"/>
          <w:bCs w:val="0"/>
        </w:rPr>
        <w:t>Vaccine</w:t>
      </w:r>
      <w:r w:rsidRPr="001C0BCF">
        <w:rPr>
          <w:rFonts w:eastAsia="Times New Roman"/>
        </w:rPr>
        <w:t xml:space="preserve"> .</w:t>
      </w:r>
      <w:proofErr w:type="gramEnd"/>
      <w:r w:rsidRPr="001C0BCF">
        <w:rPr>
          <w:rFonts w:eastAsia="Times New Roman"/>
        </w:rPr>
        <w:t xml:space="preserve"> 2016;34(37):4386–91. </w:t>
      </w:r>
      <w:proofErr w:type="spellStart"/>
      <w:r w:rsidRPr="001C0BCF">
        <w:rPr>
          <w:rFonts w:eastAsia="Times New Roman"/>
        </w:rPr>
        <w:t>doi</w:t>
      </w:r>
      <w:proofErr w:type="spellEnd"/>
      <w:r w:rsidRPr="001C0BCF">
        <w:rPr>
          <w:rFonts w:eastAsia="Times New Roman"/>
        </w:rPr>
        <w:t>: https://doi.org/10.1016/j.vaccine.2016.07.023.</w:t>
      </w:r>
    </w:p>
    <w:p w14:paraId="679F3BB1"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Gidding HF. The impact of Australia’s measles control programme over the past decade. </w:t>
      </w:r>
      <w:r w:rsidRPr="00D63274">
        <w:rPr>
          <w:rStyle w:val="Emphasis"/>
          <w:rFonts w:eastAsia="Times New Roman"/>
          <w:b w:val="0"/>
          <w:bCs w:val="0"/>
        </w:rPr>
        <w:t xml:space="preserve">Epidemiol </w:t>
      </w:r>
      <w:proofErr w:type="gramStart"/>
      <w:r w:rsidRPr="00D63274">
        <w:rPr>
          <w:rStyle w:val="Emphasis"/>
          <w:rFonts w:eastAsia="Times New Roman"/>
          <w:b w:val="0"/>
          <w:bCs w:val="0"/>
        </w:rPr>
        <w:t>Infect</w:t>
      </w:r>
      <w:r w:rsidRPr="001C0BCF">
        <w:rPr>
          <w:rFonts w:eastAsia="Times New Roman"/>
        </w:rPr>
        <w:t xml:space="preserve"> .</w:t>
      </w:r>
      <w:proofErr w:type="gramEnd"/>
      <w:r w:rsidRPr="001C0BCF">
        <w:rPr>
          <w:rFonts w:eastAsia="Times New Roman"/>
        </w:rPr>
        <w:t xml:space="preserve"> 2005;133(1):99–105. </w:t>
      </w:r>
      <w:proofErr w:type="spellStart"/>
      <w:r w:rsidRPr="001C0BCF">
        <w:rPr>
          <w:rFonts w:eastAsia="Times New Roman"/>
        </w:rPr>
        <w:t>doi</w:t>
      </w:r>
      <w:proofErr w:type="spellEnd"/>
      <w:r w:rsidRPr="001C0BCF">
        <w:rPr>
          <w:rFonts w:eastAsia="Times New Roman"/>
        </w:rPr>
        <w:t>: https://doi.org/10.1017/s0950268804003073.</w:t>
      </w:r>
    </w:p>
    <w:p w14:paraId="62C1E41E"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World Health Organization (WHO). Four Western Pacific countries and areas are the first in their Region to be measles-free. [Internet.] Geneva: WHO; 20 March 2014. [Accessed on 26 April 2023.] Available from: https://www.who.int/westernpacific/news/item/20-03-2014-four-western-pacific-countries-and-areas-are-the-first-in-their-region-to-be-measles-free.</w:t>
      </w:r>
    </w:p>
    <w:p w14:paraId="4359458A"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Alexander K, </w:t>
      </w:r>
      <w:proofErr w:type="spellStart"/>
      <w:r w:rsidRPr="001C0BCF">
        <w:rPr>
          <w:rFonts w:eastAsia="Times New Roman"/>
        </w:rPr>
        <w:t>Wickens</w:t>
      </w:r>
      <w:proofErr w:type="spellEnd"/>
      <w:r w:rsidRPr="001C0BCF">
        <w:rPr>
          <w:rFonts w:eastAsia="Times New Roman"/>
        </w:rPr>
        <w:t xml:space="preserve"> M, Fletcher-Lartey S. Measles elimination in </w:t>
      </w:r>
      <w:proofErr w:type="gramStart"/>
      <w:r w:rsidRPr="001C0BCF">
        <w:rPr>
          <w:rFonts w:eastAsia="Times New Roman"/>
        </w:rPr>
        <w:t>Australia:</w:t>
      </w:r>
      <w:proofErr w:type="gramEnd"/>
      <w:r w:rsidRPr="001C0BCF">
        <w:rPr>
          <w:rFonts w:eastAsia="Times New Roman"/>
        </w:rPr>
        <w:t xml:space="preserve"> hard won, easily lost. </w:t>
      </w:r>
      <w:r w:rsidRPr="00D63274">
        <w:rPr>
          <w:rStyle w:val="Emphasis"/>
          <w:rFonts w:eastAsia="Times New Roman"/>
          <w:b w:val="0"/>
          <w:bCs w:val="0"/>
        </w:rPr>
        <w:t xml:space="preserve">Aust J Gen </w:t>
      </w:r>
      <w:proofErr w:type="spellStart"/>
      <w:proofErr w:type="gramStart"/>
      <w:r w:rsidRPr="00D63274">
        <w:rPr>
          <w:rStyle w:val="Emphasis"/>
          <w:rFonts w:eastAsia="Times New Roman"/>
          <w:b w:val="0"/>
          <w:bCs w:val="0"/>
        </w:rPr>
        <w:t>Pract</w:t>
      </w:r>
      <w:proofErr w:type="spellEnd"/>
      <w:r w:rsidRPr="001C0BCF">
        <w:rPr>
          <w:rFonts w:eastAsia="Times New Roman"/>
        </w:rPr>
        <w:t xml:space="preserve"> .</w:t>
      </w:r>
      <w:proofErr w:type="gramEnd"/>
      <w:r w:rsidRPr="001C0BCF">
        <w:rPr>
          <w:rFonts w:eastAsia="Times New Roman"/>
        </w:rPr>
        <w:t xml:space="preserve"> </w:t>
      </w:r>
      <w:proofErr w:type="gramStart"/>
      <w:r w:rsidRPr="001C0BCF">
        <w:rPr>
          <w:rFonts w:eastAsia="Times New Roman"/>
        </w:rPr>
        <w:t>2020;49:112</w:t>
      </w:r>
      <w:proofErr w:type="gramEnd"/>
      <w:r w:rsidRPr="001C0BCF">
        <w:rPr>
          <w:rFonts w:eastAsia="Times New Roman"/>
        </w:rPr>
        <w:t xml:space="preserve">–4. </w:t>
      </w:r>
      <w:proofErr w:type="spellStart"/>
      <w:r w:rsidRPr="001C0BCF">
        <w:rPr>
          <w:rFonts w:eastAsia="Times New Roman"/>
        </w:rPr>
        <w:t>doi</w:t>
      </w:r>
      <w:proofErr w:type="spellEnd"/>
      <w:r w:rsidRPr="001C0BCF">
        <w:rPr>
          <w:rFonts w:eastAsia="Times New Roman"/>
        </w:rPr>
        <w:t>: https://doi.org/10.31128/AJGP-11-19-5147.</w:t>
      </w:r>
    </w:p>
    <w:p w14:paraId="52CD9586"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Hayman DTS. Measles vaccination in an increasingly immunized and developed world. </w:t>
      </w:r>
      <w:r w:rsidRPr="00D63274">
        <w:rPr>
          <w:rStyle w:val="Emphasis"/>
          <w:rFonts w:eastAsia="Times New Roman"/>
          <w:b w:val="0"/>
          <w:bCs w:val="0"/>
        </w:rPr>
        <w:t xml:space="preserve">Hum </w:t>
      </w:r>
      <w:proofErr w:type="spellStart"/>
      <w:r w:rsidRPr="00D63274">
        <w:rPr>
          <w:rStyle w:val="Emphasis"/>
          <w:rFonts w:eastAsia="Times New Roman"/>
          <w:b w:val="0"/>
          <w:bCs w:val="0"/>
        </w:rPr>
        <w:t>Vaccin</w:t>
      </w:r>
      <w:proofErr w:type="spellEnd"/>
      <w:r w:rsidRPr="00D63274">
        <w:rPr>
          <w:rStyle w:val="Emphasis"/>
          <w:rFonts w:eastAsia="Times New Roman"/>
          <w:b w:val="0"/>
          <w:bCs w:val="0"/>
        </w:rPr>
        <w:t xml:space="preserve"> </w:t>
      </w:r>
      <w:proofErr w:type="spellStart"/>
      <w:proofErr w:type="gramStart"/>
      <w:r w:rsidRPr="00D63274">
        <w:rPr>
          <w:rStyle w:val="Emphasis"/>
          <w:rFonts w:eastAsia="Times New Roman"/>
          <w:b w:val="0"/>
          <w:bCs w:val="0"/>
        </w:rPr>
        <w:t>Immunother</w:t>
      </w:r>
      <w:proofErr w:type="spellEnd"/>
      <w:r w:rsidRPr="001C0BCF">
        <w:rPr>
          <w:rFonts w:eastAsia="Times New Roman"/>
        </w:rPr>
        <w:t xml:space="preserve"> .</w:t>
      </w:r>
      <w:proofErr w:type="gramEnd"/>
      <w:r w:rsidRPr="001C0BCF">
        <w:rPr>
          <w:rFonts w:eastAsia="Times New Roman"/>
        </w:rPr>
        <w:t xml:space="preserve"> 2019;15(1):28–33. </w:t>
      </w:r>
      <w:proofErr w:type="spellStart"/>
      <w:r w:rsidRPr="001C0BCF">
        <w:rPr>
          <w:rFonts w:eastAsia="Times New Roman"/>
        </w:rPr>
        <w:t>doi</w:t>
      </w:r>
      <w:proofErr w:type="spellEnd"/>
      <w:r w:rsidRPr="001C0BCF">
        <w:rPr>
          <w:rFonts w:eastAsia="Times New Roman"/>
        </w:rPr>
        <w:t>: https://doi.org/10.1080/21645515.2018.1517074.</w:t>
      </w:r>
    </w:p>
    <w:p w14:paraId="33EE2014"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New Zealand Government Ministry of Health – </w:t>
      </w:r>
      <w:proofErr w:type="spellStart"/>
      <w:r w:rsidRPr="001C0BCF">
        <w:rPr>
          <w:rFonts w:eastAsia="Times New Roman"/>
        </w:rPr>
        <w:t>Manatū</w:t>
      </w:r>
      <w:proofErr w:type="spellEnd"/>
      <w:r w:rsidRPr="001C0BCF">
        <w:rPr>
          <w:rFonts w:eastAsia="Times New Roman"/>
        </w:rPr>
        <w:t xml:space="preserve"> Hauora. Measles. [Webpage.] Wellington: New Zealand Government Ministry of Health; 20 December 2022. [Accessed on 12 May 2023.] Available from: https://www.health.govt.nz/your-health/conditions-and-treatments/diseases-and-illnesses/measles.</w:t>
      </w:r>
    </w:p>
    <w:p w14:paraId="51517668" w14:textId="77777777" w:rsidR="00A70EED" w:rsidRPr="001C0BCF" w:rsidRDefault="00A70EED" w:rsidP="001C0BCF">
      <w:pPr>
        <w:pStyle w:val="ListParagraph"/>
        <w:numPr>
          <w:ilvl w:val="0"/>
          <w:numId w:val="10"/>
        </w:numPr>
        <w:divId w:val="1112554373"/>
        <w:rPr>
          <w:rFonts w:eastAsia="Times New Roman"/>
        </w:rPr>
      </w:pPr>
      <w:proofErr w:type="spellStart"/>
      <w:r w:rsidRPr="001C0BCF">
        <w:rPr>
          <w:rFonts w:eastAsia="Times New Roman"/>
        </w:rPr>
        <w:t>Durrheim</w:t>
      </w:r>
      <w:proofErr w:type="spellEnd"/>
      <w:r w:rsidRPr="001C0BCF">
        <w:rPr>
          <w:rFonts w:eastAsia="Times New Roman"/>
        </w:rPr>
        <w:t xml:space="preserve"> DN, Crowcroft NS, Blumberg LH. Is the global measles resurgence a “public health emergency of international concern”? </w:t>
      </w:r>
      <w:r w:rsidRPr="00D63274">
        <w:rPr>
          <w:rStyle w:val="Emphasis"/>
          <w:rFonts w:eastAsia="Times New Roman"/>
          <w:b w:val="0"/>
          <w:bCs w:val="0"/>
        </w:rPr>
        <w:t xml:space="preserve">Int J Infect </w:t>
      </w:r>
      <w:proofErr w:type="gramStart"/>
      <w:r w:rsidRPr="00D63274">
        <w:rPr>
          <w:rStyle w:val="Emphasis"/>
          <w:rFonts w:eastAsia="Times New Roman"/>
          <w:b w:val="0"/>
          <w:bCs w:val="0"/>
        </w:rPr>
        <w:t>Dis</w:t>
      </w:r>
      <w:r w:rsidRPr="001C0BCF">
        <w:rPr>
          <w:rFonts w:eastAsia="Times New Roman"/>
        </w:rPr>
        <w:t xml:space="preserve"> .</w:t>
      </w:r>
      <w:proofErr w:type="gramEnd"/>
      <w:r w:rsidRPr="001C0BCF">
        <w:rPr>
          <w:rFonts w:eastAsia="Times New Roman"/>
        </w:rPr>
        <w:t xml:space="preserve"> </w:t>
      </w:r>
      <w:proofErr w:type="gramStart"/>
      <w:r w:rsidRPr="001C0BCF">
        <w:rPr>
          <w:rFonts w:eastAsia="Times New Roman"/>
        </w:rPr>
        <w:t>2019;83:95</w:t>
      </w:r>
      <w:proofErr w:type="gramEnd"/>
      <w:r w:rsidRPr="001C0BCF">
        <w:rPr>
          <w:rFonts w:eastAsia="Times New Roman"/>
        </w:rPr>
        <w:t xml:space="preserve">–7. </w:t>
      </w:r>
      <w:proofErr w:type="spellStart"/>
      <w:r w:rsidRPr="001C0BCF">
        <w:rPr>
          <w:rFonts w:eastAsia="Times New Roman"/>
        </w:rPr>
        <w:t>doi</w:t>
      </w:r>
      <w:proofErr w:type="spellEnd"/>
      <w:r w:rsidRPr="001C0BCF">
        <w:rPr>
          <w:rFonts w:eastAsia="Times New Roman"/>
        </w:rPr>
        <w:t>: https://doi.org/10.1016/j.ijid.2019.04.016.</w:t>
      </w:r>
    </w:p>
    <w:p w14:paraId="3D385723"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Parliament of Australia. Senate Select Committee on COVID-19. Appendix 2: Timeline of key decisions and milestones. [Webpage.] Canberra: Parliament of Australia; 2022. [Accessed on 29 March 2023.] Available from: https://www.aph.gov.au/Parliamentary_Business/Committees/Senate/COVID-19/COVID19/Report/section?id=committees%2Freportsen%2F024920%2F79485.</w:t>
      </w:r>
    </w:p>
    <w:p w14:paraId="3573AE03"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Victoria State Government Department of Health. Victoria, local public health areas and local government areas surveillance summary report. [Internet.] Melbourne: Victoria State Government Department of Health; 2 March 2023. [Accessed on 28 March 2023.] Available from: https://www.health.vic.gov.au/infectious-diseases/local-government-areas-surveillance-report.</w:t>
      </w:r>
    </w:p>
    <w:p w14:paraId="31E769D4"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Australian Government Department of Health and Aged Care, National Notifiable Disease Surveillance System (NNDSS). National Communicable Disease Surveillance Dashboard. [Website.] Canberra: Australian Government Department of Health and Aged Care, NNDSS; 2023. [Accessed on 30 March 2023.] Available from: https://nindss.health.gov.au/pbi-dashboard/.</w:t>
      </w:r>
    </w:p>
    <w:p w14:paraId="15D3C176" w14:textId="77777777" w:rsidR="00A70EED" w:rsidRPr="001C0BCF" w:rsidRDefault="00A70EED" w:rsidP="001C0BCF">
      <w:pPr>
        <w:pStyle w:val="ListParagraph"/>
        <w:numPr>
          <w:ilvl w:val="0"/>
          <w:numId w:val="10"/>
        </w:numPr>
        <w:divId w:val="1112554373"/>
        <w:rPr>
          <w:rFonts w:eastAsia="Times New Roman"/>
        </w:rPr>
      </w:pPr>
      <w:proofErr w:type="spellStart"/>
      <w:r w:rsidRPr="001C0BCF">
        <w:rPr>
          <w:rFonts w:eastAsia="Times New Roman"/>
        </w:rPr>
        <w:t>Iacobucci</w:t>
      </w:r>
      <w:proofErr w:type="spellEnd"/>
      <w:r w:rsidRPr="001C0BCF">
        <w:rPr>
          <w:rFonts w:eastAsia="Times New Roman"/>
        </w:rPr>
        <w:t xml:space="preserve"> G. Measles is now “an imminent threat” globally, WHO and CDC warn. </w:t>
      </w:r>
      <w:proofErr w:type="gramStart"/>
      <w:r w:rsidRPr="00D63274">
        <w:rPr>
          <w:rStyle w:val="Emphasis"/>
          <w:rFonts w:eastAsia="Times New Roman"/>
          <w:b w:val="0"/>
          <w:bCs w:val="0"/>
        </w:rPr>
        <w:t>BMJ</w:t>
      </w:r>
      <w:r w:rsidRPr="001C0BCF">
        <w:rPr>
          <w:rFonts w:eastAsia="Times New Roman"/>
        </w:rPr>
        <w:t xml:space="preserve"> .</w:t>
      </w:r>
      <w:proofErr w:type="gramEnd"/>
      <w:r w:rsidRPr="001C0BCF">
        <w:rPr>
          <w:rFonts w:eastAsia="Times New Roman"/>
        </w:rPr>
        <w:t xml:space="preserve"> 2022;</w:t>
      </w:r>
      <w:proofErr w:type="gramStart"/>
      <w:r w:rsidRPr="001C0BCF">
        <w:rPr>
          <w:rFonts w:eastAsia="Times New Roman"/>
        </w:rPr>
        <w:t>379:o</w:t>
      </w:r>
      <w:proofErr w:type="gramEnd"/>
      <w:r w:rsidRPr="001C0BCF">
        <w:rPr>
          <w:rFonts w:eastAsia="Times New Roman"/>
        </w:rPr>
        <w:t xml:space="preserve">2844. </w:t>
      </w:r>
      <w:proofErr w:type="spellStart"/>
      <w:r w:rsidRPr="001C0BCF">
        <w:rPr>
          <w:rFonts w:eastAsia="Times New Roman"/>
        </w:rPr>
        <w:t>doi</w:t>
      </w:r>
      <w:proofErr w:type="spellEnd"/>
      <w:r w:rsidRPr="001C0BCF">
        <w:rPr>
          <w:rFonts w:eastAsia="Times New Roman"/>
        </w:rPr>
        <w:t>: https://doi.org/10.1136/bmj.o2844.</w:t>
      </w:r>
    </w:p>
    <w:p w14:paraId="77B17E5E"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Hull BP, Hendry AJ, Dey A, Bryant K, </w:t>
      </w:r>
      <w:proofErr w:type="spellStart"/>
      <w:r w:rsidRPr="001C0BCF">
        <w:rPr>
          <w:rFonts w:eastAsia="Times New Roman"/>
        </w:rPr>
        <w:t>Radkowski</w:t>
      </w:r>
      <w:proofErr w:type="spellEnd"/>
      <w:r w:rsidRPr="001C0BCF">
        <w:rPr>
          <w:rFonts w:eastAsia="Times New Roman"/>
        </w:rPr>
        <w:t xml:space="preserve"> C, </w:t>
      </w:r>
      <w:proofErr w:type="spellStart"/>
      <w:r w:rsidRPr="001C0BCF">
        <w:rPr>
          <w:rFonts w:eastAsia="Times New Roman"/>
        </w:rPr>
        <w:t>Pellissier</w:t>
      </w:r>
      <w:proofErr w:type="spellEnd"/>
      <w:r w:rsidRPr="001C0BCF">
        <w:rPr>
          <w:rFonts w:eastAsia="Times New Roman"/>
        </w:rPr>
        <w:t xml:space="preserve"> S et al. The impact of the COVID-19 pandemic on routine vaccinations in Victoria. </w:t>
      </w:r>
      <w:r w:rsidRPr="00D63274">
        <w:rPr>
          <w:rStyle w:val="Emphasis"/>
          <w:rFonts w:eastAsia="Times New Roman"/>
          <w:b w:val="0"/>
          <w:bCs w:val="0"/>
        </w:rPr>
        <w:t xml:space="preserve">Med J </w:t>
      </w:r>
      <w:proofErr w:type="gramStart"/>
      <w:r w:rsidRPr="00D63274">
        <w:rPr>
          <w:rStyle w:val="Emphasis"/>
          <w:rFonts w:eastAsia="Times New Roman"/>
          <w:b w:val="0"/>
          <w:bCs w:val="0"/>
        </w:rPr>
        <w:t>Aust</w:t>
      </w:r>
      <w:r w:rsidRPr="001C0BCF">
        <w:rPr>
          <w:rFonts w:eastAsia="Times New Roman"/>
        </w:rPr>
        <w:t xml:space="preserve"> .</w:t>
      </w:r>
      <w:proofErr w:type="gramEnd"/>
      <w:r w:rsidRPr="001C0BCF">
        <w:rPr>
          <w:rFonts w:eastAsia="Times New Roman"/>
        </w:rPr>
        <w:t xml:space="preserve"> 2021;215(2):83–4. </w:t>
      </w:r>
      <w:proofErr w:type="spellStart"/>
      <w:r w:rsidRPr="001C0BCF">
        <w:rPr>
          <w:rFonts w:eastAsia="Times New Roman"/>
        </w:rPr>
        <w:t>doi</w:t>
      </w:r>
      <w:proofErr w:type="spellEnd"/>
      <w:r w:rsidRPr="001C0BCF">
        <w:rPr>
          <w:rFonts w:eastAsia="Times New Roman"/>
        </w:rPr>
        <w:t>: https://doi.org/10.5694/mja2.51145.</w:t>
      </w:r>
    </w:p>
    <w:p w14:paraId="6F49C652"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Victoria State Government Department of Health. Local Public Health Units. [Webpage.] Melbourne: Victoria State Government Department of Health; 4 November 2022. [Accessed on 4 April 2023.] Available from: https://www.health.vic.gov.au/local-public-health-units.</w:t>
      </w:r>
    </w:p>
    <w:p w14:paraId="7C4A2076"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CDNA. </w:t>
      </w:r>
      <w:r w:rsidRPr="00D63274">
        <w:rPr>
          <w:rStyle w:val="Emphasis"/>
          <w:rFonts w:eastAsia="Times New Roman"/>
          <w:b w:val="0"/>
          <w:bCs w:val="0"/>
        </w:rPr>
        <w:t xml:space="preserve">Measles: Australian national notifiable diseases case </w:t>
      </w:r>
      <w:proofErr w:type="gramStart"/>
      <w:r w:rsidRPr="00D63274">
        <w:rPr>
          <w:rStyle w:val="Emphasis"/>
          <w:rFonts w:eastAsia="Times New Roman"/>
          <w:b w:val="0"/>
          <w:bCs w:val="0"/>
        </w:rPr>
        <w:t>definition</w:t>
      </w:r>
      <w:r w:rsidRPr="001C0BCF">
        <w:rPr>
          <w:rFonts w:eastAsia="Times New Roman"/>
        </w:rPr>
        <w:t xml:space="preserve"> .</w:t>
      </w:r>
      <w:proofErr w:type="gramEnd"/>
      <w:r w:rsidRPr="001C0BCF">
        <w:rPr>
          <w:rFonts w:eastAsia="Times New Roman"/>
        </w:rPr>
        <w:t xml:space="preserve"> Canberra: Australian Government Department of Health; 1 July 2019. [Accessed on 28 March 2023.] Available from: https://www.health.gov.au/sites/default/files/documents/2022/06/measles-surveillance-case-definition.pdf.</w:t>
      </w:r>
    </w:p>
    <w:p w14:paraId="42CC45A1"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Victoria State Government Department of Health. Measles. [Internet.] Melbourne: Victoria State Government Department of Health; 8 October 2015. [Accessed on 28 March 2023.] Available from: https://www.health.vic.gov.au/infectious-diseases/measles.</w:t>
      </w:r>
    </w:p>
    <w:p w14:paraId="31980795"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Victorian Infectious Diseases Reference Laboratory (VIDRL). Measles. [Webpage.] Melbourne: The Doherty Institute, VIDRL; 2023. [Accessed on 12 May 2023.] Available from: https://www.vidrl.org.au/surveillance/measles/.</w:t>
      </w:r>
    </w:p>
    <w:p w14:paraId="3067ADA8"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VIDRL. </w:t>
      </w:r>
      <w:r w:rsidRPr="00D63274">
        <w:rPr>
          <w:rStyle w:val="Emphasis"/>
          <w:rFonts w:eastAsia="Times New Roman"/>
          <w:b w:val="0"/>
          <w:bCs w:val="0"/>
        </w:rPr>
        <w:t xml:space="preserve">Measles and Rubella Molecular Epidemiology: Australia 2020. Victorian Infectious Diseases Reference Laboratory Summary </w:t>
      </w:r>
      <w:proofErr w:type="gramStart"/>
      <w:r w:rsidRPr="00D63274">
        <w:rPr>
          <w:rStyle w:val="Emphasis"/>
          <w:rFonts w:eastAsia="Times New Roman"/>
          <w:b w:val="0"/>
          <w:bCs w:val="0"/>
        </w:rPr>
        <w:t>Report</w:t>
      </w:r>
      <w:r w:rsidRPr="001C0BCF">
        <w:rPr>
          <w:rFonts w:eastAsia="Times New Roman"/>
        </w:rPr>
        <w:t xml:space="preserve"> .</w:t>
      </w:r>
      <w:proofErr w:type="gramEnd"/>
      <w:r w:rsidRPr="001C0BCF">
        <w:rPr>
          <w:rFonts w:eastAsia="Times New Roman"/>
        </w:rPr>
        <w:t xml:space="preserve"> Melbourne: The Doherty Institute, VIDRL; 2020. [Accessed on 12 May 2023.] Available from: https://www.vidrl.org.au/app/uploads/2022/03/Measles-and-Rubella-Molecular-Epidemiology-in-Australia-2020.pdf.</w:t>
      </w:r>
    </w:p>
    <w:p w14:paraId="147DC74C"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Pearce A, Marshall H, Bedford H, Lynch J. Barriers to childhood immunisation: findings from the Longitudinal Study of Australian Children. </w:t>
      </w:r>
      <w:proofErr w:type="gramStart"/>
      <w:r w:rsidRPr="00D63274">
        <w:rPr>
          <w:rStyle w:val="Emphasis"/>
          <w:rFonts w:eastAsia="Times New Roman"/>
          <w:b w:val="0"/>
          <w:bCs w:val="0"/>
        </w:rPr>
        <w:t>Vaccine</w:t>
      </w:r>
      <w:r w:rsidRPr="001C0BCF">
        <w:rPr>
          <w:rFonts w:eastAsia="Times New Roman"/>
        </w:rPr>
        <w:t xml:space="preserve"> .</w:t>
      </w:r>
      <w:proofErr w:type="gramEnd"/>
      <w:r w:rsidRPr="001C0BCF">
        <w:rPr>
          <w:rFonts w:eastAsia="Times New Roman"/>
        </w:rPr>
        <w:t xml:space="preserve"> 2015;33(29):3377–83. </w:t>
      </w:r>
      <w:proofErr w:type="spellStart"/>
      <w:r w:rsidRPr="001C0BCF">
        <w:rPr>
          <w:rFonts w:eastAsia="Times New Roman"/>
        </w:rPr>
        <w:t>doi</w:t>
      </w:r>
      <w:proofErr w:type="spellEnd"/>
      <w:r w:rsidRPr="001C0BCF">
        <w:rPr>
          <w:rFonts w:eastAsia="Times New Roman"/>
        </w:rPr>
        <w:t>: https://doi.org/10.1016/j.vaccine.2015.04.089.</w:t>
      </w:r>
    </w:p>
    <w:p w14:paraId="38536A1A"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Ishikawa H, Kato M. Health literacy and COVID-19-related beliefs and </w:t>
      </w:r>
      <w:proofErr w:type="spellStart"/>
      <w:r w:rsidRPr="001C0BCF">
        <w:rPr>
          <w:rFonts w:eastAsia="Times New Roman"/>
        </w:rPr>
        <w:t>behaviors</w:t>
      </w:r>
      <w:proofErr w:type="spellEnd"/>
      <w:r w:rsidRPr="001C0BCF">
        <w:rPr>
          <w:rFonts w:eastAsia="Times New Roman"/>
        </w:rPr>
        <w:t xml:space="preserve">: a longitudinal study of the Japanese general population. </w:t>
      </w:r>
      <w:r w:rsidRPr="00D63274">
        <w:rPr>
          <w:rStyle w:val="Emphasis"/>
          <w:rFonts w:eastAsia="Times New Roman"/>
          <w:b w:val="0"/>
          <w:bCs w:val="0"/>
        </w:rPr>
        <w:t xml:space="preserve">Health </w:t>
      </w:r>
      <w:proofErr w:type="spellStart"/>
      <w:r w:rsidRPr="00D63274">
        <w:rPr>
          <w:rStyle w:val="Emphasis"/>
          <w:rFonts w:eastAsia="Times New Roman"/>
          <w:b w:val="0"/>
          <w:bCs w:val="0"/>
        </w:rPr>
        <w:t>Promot</w:t>
      </w:r>
      <w:proofErr w:type="spellEnd"/>
      <w:r w:rsidRPr="00D63274">
        <w:rPr>
          <w:rStyle w:val="Emphasis"/>
          <w:rFonts w:eastAsia="Times New Roman"/>
          <w:b w:val="0"/>
          <w:bCs w:val="0"/>
        </w:rPr>
        <w:t xml:space="preserve"> </w:t>
      </w:r>
      <w:proofErr w:type="gramStart"/>
      <w:r w:rsidRPr="00D63274">
        <w:rPr>
          <w:rStyle w:val="Emphasis"/>
          <w:rFonts w:eastAsia="Times New Roman"/>
          <w:b w:val="0"/>
          <w:bCs w:val="0"/>
        </w:rPr>
        <w:t>Int</w:t>
      </w:r>
      <w:r w:rsidRPr="001C0BCF">
        <w:rPr>
          <w:rFonts w:eastAsia="Times New Roman"/>
        </w:rPr>
        <w:t xml:space="preserve"> .</w:t>
      </w:r>
      <w:proofErr w:type="gramEnd"/>
      <w:r w:rsidRPr="001C0BCF">
        <w:rPr>
          <w:rFonts w:eastAsia="Times New Roman"/>
        </w:rPr>
        <w:t xml:space="preserve"> 2023;38(2</w:t>
      </w:r>
      <w:proofErr w:type="gramStart"/>
      <w:r w:rsidRPr="001C0BCF">
        <w:rPr>
          <w:rFonts w:eastAsia="Times New Roman"/>
        </w:rPr>
        <w:t>):daac</w:t>
      </w:r>
      <w:proofErr w:type="gramEnd"/>
      <w:r w:rsidRPr="001C0BCF">
        <w:rPr>
          <w:rFonts w:eastAsia="Times New Roman"/>
        </w:rPr>
        <w:t xml:space="preserve">196. </w:t>
      </w:r>
      <w:proofErr w:type="spellStart"/>
      <w:r w:rsidRPr="001C0BCF">
        <w:rPr>
          <w:rFonts w:eastAsia="Times New Roman"/>
        </w:rPr>
        <w:t>doi</w:t>
      </w:r>
      <w:proofErr w:type="spellEnd"/>
      <w:r w:rsidRPr="001C0BCF">
        <w:rPr>
          <w:rFonts w:eastAsia="Times New Roman"/>
        </w:rPr>
        <w:t>: https://doi.org/10.1093/heapro/daac196.</w:t>
      </w:r>
    </w:p>
    <w:p w14:paraId="731A49D3" w14:textId="77777777" w:rsidR="00A70EED" w:rsidRPr="001C0BCF" w:rsidRDefault="00A70EED" w:rsidP="001C0BCF">
      <w:pPr>
        <w:pStyle w:val="ListParagraph"/>
        <w:numPr>
          <w:ilvl w:val="0"/>
          <w:numId w:val="10"/>
        </w:numPr>
        <w:divId w:val="1112554373"/>
        <w:rPr>
          <w:rFonts w:eastAsia="Times New Roman"/>
        </w:rPr>
      </w:pPr>
      <w:proofErr w:type="spellStart"/>
      <w:r w:rsidRPr="001C0BCF">
        <w:rPr>
          <w:rFonts w:eastAsia="Times New Roman"/>
        </w:rPr>
        <w:t>Paakkari</w:t>
      </w:r>
      <w:proofErr w:type="spellEnd"/>
      <w:r w:rsidRPr="001C0BCF">
        <w:rPr>
          <w:rFonts w:eastAsia="Times New Roman"/>
        </w:rPr>
        <w:t xml:space="preserve"> L, Okan O. COVID-19: health literacy is an underestimated problem. </w:t>
      </w:r>
      <w:r w:rsidRPr="00D63274">
        <w:rPr>
          <w:rStyle w:val="Emphasis"/>
          <w:rFonts w:eastAsia="Times New Roman"/>
          <w:b w:val="0"/>
          <w:bCs w:val="0"/>
        </w:rPr>
        <w:t xml:space="preserve">Lancet Public </w:t>
      </w:r>
      <w:proofErr w:type="gramStart"/>
      <w:r w:rsidRPr="00D63274">
        <w:rPr>
          <w:rStyle w:val="Emphasis"/>
          <w:rFonts w:eastAsia="Times New Roman"/>
          <w:b w:val="0"/>
          <w:bCs w:val="0"/>
        </w:rPr>
        <w:t>Health</w:t>
      </w:r>
      <w:r w:rsidRPr="001C0BCF">
        <w:rPr>
          <w:rFonts w:eastAsia="Times New Roman"/>
        </w:rPr>
        <w:t xml:space="preserve"> .</w:t>
      </w:r>
      <w:proofErr w:type="gramEnd"/>
      <w:r w:rsidRPr="001C0BCF">
        <w:rPr>
          <w:rFonts w:eastAsia="Times New Roman"/>
        </w:rPr>
        <w:t xml:space="preserve"> 2020;5(5</w:t>
      </w:r>
      <w:proofErr w:type="gramStart"/>
      <w:r w:rsidRPr="001C0BCF">
        <w:rPr>
          <w:rFonts w:eastAsia="Times New Roman"/>
        </w:rPr>
        <w:t>):e</w:t>
      </w:r>
      <w:proofErr w:type="gramEnd"/>
      <w:r w:rsidRPr="001C0BCF">
        <w:rPr>
          <w:rFonts w:eastAsia="Times New Roman"/>
        </w:rPr>
        <w:t xml:space="preserve">249–50. </w:t>
      </w:r>
      <w:proofErr w:type="spellStart"/>
      <w:r w:rsidRPr="001C0BCF">
        <w:rPr>
          <w:rFonts w:eastAsia="Times New Roman"/>
        </w:rPr>
        <w:t>doi</w:t>
      </w:r>
      <w:proofErr w:type="spellEnd"/>
      <w:r w:rsidRPr="001C0BCF">
        <w:rPr>
          <w:rFonts w:eastAsia="Times New Roman"/>
        </w:rPr>
        <w:t>: https://doi.org/10.1016/S2468-2667(20)30086-4.</w:t>
      </w:r>
    </w:p>
    <w:p w14:paraId="528F1073"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Murphy K, Williamson H, </w:t>
      </w:r>
      <w:proofErr w:type="spellStart"/>
      <w:r w:rsidRPr="001C0BCF">
        <w:rPr>
          <w:rFonts w:eastAsia="Times New Roman"/>
        </w:rPr>
        <w:t>Sargeant</w:t>
      </w:r>
      <w:proofErr w:type="spellEnd"/>
      <w:r w:rsidRPr="001C0BCF">
        <w:rPr>
          <w:rFonts w:eastAsia="Times New Roman"/>
        </w:rPr>
        <w:t xml:space="preserve"> E, McCarthy M. </w:t>
      </w:r>
      <w:proofErr w:type="gramStart"/>
      <w:r w:rsidRPr="001C0BCF">
        <w:rPr>
          <w:rFonts w:eastAsia="Times New Roman"/>
        </w:rPr>
        <w:t>Why</w:t>
      </w:r>
      <w:proofErr w:type="gramEnd"/>
      <w:r w:rsidRPr="001C0BCF">
        <w:rPr>
          <w:rFonts w:eastAsia="Times New Roman"/>
        </w:rPr>
        <w:t xml:space="preserve"> people comply with COVID-19 social distancing restrictions: self-interest or duty? </w:t>
      </w:r>
      <w:r w:rsidRPr="00D63274">
        <w:rPr>
          <w:rStyle w:val="Emphasis"/>
          <w:rFonts w:eastAsia="Times New Roman"/>
          <w:b w:val="0"/>
          <w:bCs w:val="0"/>
        </w:rPr>
        <w:t xml:space="preserve">Aust N Z J </w:t>
      </w:r>
      <w:proofErr w:type="spellStart"/>
      <w:proofErr w:type="gramStart"/>
      <w:r w:rsidRPr="00D63274">
        <w:rPr>
          <w:rStyle w:val="Emphasis"/>
          <w:rFonts w:eastAsia="Times New Roman"/>
          <w:b w:val="0"/>
          <w:bCs w:val="0"/>
        </w:rPr>
        <w:t>Criminol</w:t>
      </w:r>
      <w:proofErr w:type="spellEnd"/>
      <w:r w:rsidRPr="001C0BCF">
        <w:rPr>
          <w:rFonts w:eastAsia="Times New Roman"/>
        </w:rPr>
        <w:t xml:space="preserve"> .</w:t>
      </w:r>
      <w:proofErr w:type="gramEnd"/>
      <w:r w:rsidRPr="001C0BCF">
        <w:rPr>
          <w:rFonts w:eastAsia="Times New Roman"/>
        </w:rPr>
        <w:t xml:space="preserve"> 2020;53(4):477–96. </w:t>
      </w:r>
      <w:proofErr w:type="spellStart"/>
      <w:r w:rsidRPr="001C0BCF">
        <w:rPr>
          <w:rFonts w:eastAsia="Times New Roman"/>
        </w:rPr>
        <w:t>doi</w:t>
      </w:r>
      <w:proofErr w:type="spellEnd"/>
      <w:r w:rsidRPr="001C0BCF">
        <w:rPr>
          <w:rFonts w:eastAsia="Times New Roman"/>
        </w:rPr>
        <w:t>: https://doi.org/10.1177/0004865820954484.</w:t>
      </w:r>
    </w:p>
    <w:p w14:paraId="5576DBBA"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Gibney K, Cheng A. Measles has been </w:t>
      </w:r>
      <w:proofErr w:type="gramStart"/>
      <w:r w:rsidRPr="001C0BCF">
        <w:rPr>
          <w:rFonts w:eastAsia="Times New Roman"/>
        </w:rPr>
        <w:t>identified</w:t>
      </w:r>
      <w:proofErr w:type="gramEnd"/>
      <w:r w:rsidRPr="001C0BCF">
        <w:rPr>
          <w:rFonts w:eastAsia="Times New Roman"/>
        </w:rPr>
        <w:t xml:space="preserve"> in NSW, Qld and SA. </w:t>
      </w:r>
      <w:proofErr w:type="gramStart"/>
      <w:r w:rsidRPr="001C0BCF">
        <w:rPr>
          <w:rFonts w:eastAsia="Times New Roman"/>
        </w:rPr>
        <w:t>5</w:t>
      </w:r>
      <w:proofErr w:type="gramEnd"/>
      <w:r w:rsidRPr="001C0BCF">
        <w:rPr>
          <w:rFonts w:eastAsia="Times New Roman"/>
        </w:rPr>
        <w:t xml:space="preserve"> things to know about the virus. [Webpage.] Melbourne: The Conversation Australia and New Zealand; 30 March 2023. Available from: https://theconversation.com/measles-has-been-identified-in-nsw-qld-and-sa-5-things-to-know-about-the-virus-202945.</w:t>
      </w:r>
    </w:p>
    <w:p w14:paraId="4BD84124"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Gibney KB, Brahmi A, O’Hara M, Morey R, Franklin L. Challenges in managing a school-based measles outbreak in Melbourne, Australia, 2014. </w:t>
      </w:r>
      <w:r w:rsidRPr="00D63274">
        <w:rPr>
          <w:rStyle w:val="Emphasis"/>
          <w:rFonts w:eastAsia="Times New Roman"/>
          <w:b w:val="0"/>
          <w:bCs w:val="0"/>
        </w:rPr>
        <w:t xml:space="preserve">Aust N Z J Public </w:t>
      </w:r>
      <w:proofErr w:type="gramStart"/>
      <w:r w:rsidRPr="00D63274">
        <w:rPr>
          <w:rStyle w:val="Emphasis"/>
          <w:rFonts w:eastAsia="Times New Roman"/>
          <w:b w:val="0"/>
          <w:bCs w:val="0"/>
        </w:rPr>
        <w:t>Health</w:t>
      </w:r>
      <w:r w:rsidRPr="001C0BCF">
        <w:rPr>
          <w:rFonts w:eastAsia="Times New Roman"/>
        </w:rPr>
        <w:t xml:space="preserve"> .</w:t>
      </w:r>
      <w:proofErr w:type="gramEnd"/>
      <w:r w:rsidRPr="001C0BCF">
        <w:rPr>
          <w:rFonts w:eastAsia="Times New Roman"/>
        </w:rPr>
        <w:t xml:space="preserve"> 2017;41(1):80–4. </w:t>
      </w:r>
      <w:proofErr w:type="spellStart"/>
      <w:r w:rsidRPr="001C0BCF">
        <w:rPr>
          <w:rFonts w:eastAsia="Times New Roman"/>
        </w:rPr>
        <w:t>doi</w:t>
      </w:r>
      <w:proofErr w:type="spellEnd"/>
      <w:r w:rsidRPr="001C0BCF">
        <w:rPr>
          <w:rFonts w:eastAsia="Times New Roman"/>
        </w:rPr>
        <w:t>: https://doi.org/10.1111/1753-6405.12620.</w:t>
      </w:r>
    </w:p>
    <w:p w14:paraId="4247E25C"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Hope K, Boyd R, </w:t>
      </w:r>
      <w:proofErr w:type="spellStart"/>
      <w:r w:rsidRPr="001C0BCF">
        <w:rPr>
          <w:rFonts w:eastAsia="Times New Roman"/>
        </w:rPr>
        <w:t>Conaty</w:t>
      </w:r>
      <w:proofErr w:type="spellEnd"/>
      <w:r w:rsidRPr="001C0BCF">
        <w:rPr>
          <w:rFonts w:eastAsia="Times New Roman"/>
        </w:rPr>
        <w:t xml:space="preserve"> S, Maywood P. Measles transmission in health care waiting rooms: implications for public health response. </w:t>
      </w:r>
      <w:r w:rsidRPr="00D63274">
        <w:rPr>
          <w:rStyle w:val="Emphasis"/>
          <w:rFonts w:eastAsia="Times New Roman"/>
          <w:b w:val="0"/>
          <w:bCs w:val="0"/>
        </w:rPr>
        <w:t xml:space="preserve">Western Pac </w:t>
      </w:r>
      <w:proofErr w:type="spellStart"/>
      <w:r w:rsidRPr="00D63274">
        <w:rPr>
          <w:rStyle w:val="Emphasis"/>
          <w:rFonts w:eastAsia="Times New Roman"/>
          <w:b w:val="0"/>
          <w:bCs w:val="0"/>
        </w:rPr>
        <w:t>Surveill</w:t>
      </w:r>
      <w:proofErr w:type="spellEnd"/>
      <w:r w:rsidRPr="00D63274">
        <w:rPr>
          <w:rStyle w:val="Emphasis"/>
          <w:rFonts w:eastAsia="Times New Roman"/>
          <w:b w:val="0"/>
          <w:bCs w:val="0"/>
        </w:rPr>
        <w:t xml:space="preserve"> Response </w:t>
      </w:r>
      <w:proofErr w:type="gramStart"/>
      <w:r w:rsidRPr="00D63274">
        <w:rPr>
          <w:rStyle w:val="Emphasis"/>
          <w:rFonts w:eastAsia="Times New Roman"/>
          <w:b w:val="0"/>
          <w:bCs w:val="0"/>
        </w:rPr>
        <w:t>J</w:t>
      </w:r>
      <w:r w:rsidRPr="001C0BCF">
        <w:rPr>
          <w:rFonts w:eastAsia="Times New Roman"/>
        </w:rPr>
        <w:t xml:space="preserve"> .</w:t>
      </w:r>
      <w:proofErr w:type="gramEnd"/>
      <w:r w:rsidRPr="001C0BCF">
        <w:rPr>
          <w:rFonts w:eastAsia="Times New Roman"/>
        </w:rPr>
        <w:t xml:space="preserve"> 2012;3(4):33–8. </w:t>
      </w:r>
      <w:proofErr w:type="spellStart"/>
      <w:r w:rsidRPr="001C0BCF">
        <w:rPr>
          <w:rFonts w:eastAsia="Times New Roman"/>
        </w:rPr>
        <w:t>doi</w:t>
      </w:r>
      <w:proofErr w:type="spellEnd"/>
      <w:r w:rsidRPr="001C0BCF">
        <w:rPr>
          <w:rFonts w:eastAsia="Times New Roman"/>
        </w:rPr>
        <w:t>: https://doi.org/10.5365/WPSAR.2012.3.3.009.</w:t>
      </w:r>
    </w:p>
    <w:p w14:paraId="5AC3CCEB"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Uren AM, Vasant BR, Judd D, </w:t>
      </w:r>
      <w:proofErr w:type="spellStart"/>
      <w:r w:rsidRPr="001C0BCF">
        <w:rPr>
          <w:rFonts w:eastAsia="Times New Roman"/>
        </w:rPr>
        <w:t>Looke</w:t>
      </w:r>
      <w:proofErr w:type="spellEnd"/>
      <w:r w:rsidRPr="001C0BCF">
        <w:rPr>
          <w:rFonts w:eastAsia="Times New Roman"/>
        </w:rPr>
        <w:t xml:space="preserve"> DFM, Henderson AJ, </w:t>
      </w:r>
      <w:proofErr w:type="spellStart"/>
      <w:r w:rsidRPr="001C0BCF">
        <w:rPr>
          <w:rFonts w:eastAsia="Times New Roman"/>
        </w:rPr>
        <w:t>Jarvinen</w:t>
      </w:r>
      <w:proofErr w:type="spellEnd"/>
      <w:r w:rsidRPr="001C0BCF">
        <w:rPr>
          <w:rFonts w:eastAsia="Times New Roman"/>
        </w:rPr>
        <w:t xml:space="preserve"> KAJ. Modified measles with an atypical presentation. </w:t>
      </w:r>
      <w:proofErr w:type="spellStart"/>
      <w:r w:rsidRPr="00D63274">
        <w:rPr>
          <w:rStyle w:val="Emphasis"/>
          <w:rFonts w:eastAsia="Times New Roman"/>
          <w:b w:val="0"/>
          <w:bCs w:val="0"/>
        </w:rPr>
        <w:t>Commun</w:t>
      </w:r>
      <w:proofErr w:type="spellEnd"/>
      <w:r w:rsidRPr="00D63274">
        <w:rPr>
          <w:rStyle w:val="Emphasis"/>
          <w:rFonts w:eastAsia="Times New Roman"/>
          <w:b w:val="0"/>
          <w:bCs w:val="0"/>
        </w:rPr>
        <w:t xml:space="preserve"> Dis </w:t>
      </w:r>
      <w:proofErr w:type="spellStart"/>
      <w:r w:rsidRPr="00D63274">
        <w:rPr>
          <w:rStyle w:val="Emphasis"/>
          <w:rFonts w:eastAsia="Times New Roman"/>
          <w:b w:val="0"/>
          <w:bCs w:val="0"/>
        </w:rPr>
        <w:t>Intell</w:t>
      </w:r>
      <w:proofErr w:type="spellEnd"/>
      <w:r w:rsidRPr="00D63274">
        <w:rPr>
          <w:rStyle w:val="Emphasis"/>
          <w:rFonts w:eastAsia="Times New Roman"/>
          <w:b w:val="0"/>
          <w:bCs w:val="0"/>
        </w:rPr>
        <w:t xml:space="preserve"> (2018</w:t>
      </w:r>
      <w:proofErr w:type="gramStart"/>
      <w:r w:rsidRPr="00D63274">
        <w:rPr>
          <w:rStyle w:val="Emphasis"/>
          <w:rFonts w:eastAsia="Times New Roman"/>
          <w:b w:val="0"/>
          <w:bCs w:val="0"/>
        </w:rPr>
        <w:t>)</w:t>
      </w:r>
      <w:r w:rsidRPr="001C0BCF">
        <w:rPr>
          <w:rFonts w:eastAsia="Times New Roman"/>
        </w:rPr>
        <w:t xml:space="preserve"> .</w:t>
      </w:r>
      <w:proofErr w:type="gramEnd"/>
      <w:r w:rsidRPr="001C0BCF">
        <w:rPr>
          <w:rFonts w:eastAsia="Times New Roman"/>
        </w:rPr>
        <w:t xml:space="preserve"> 2019;</w:t>
      </w:r>
      <w:proofErr w:type="gramStart"/>
      <w:r w:rsidRPr="001C0BCF">
        <w:rPr>
          <w:rFonts w:eastAsia="Times New Roman"/>
        </w:rPr>
        <w:t>43</w:t>
      </w:r>
      <w:proofErr w:type="gramEnd"/>
      <w:r w:rsidRPr="001C0BCF">
        <w:rPr>
          <w:rFonts w:eastAsia="Times New Roman"/>
        </w:rPr>
        <w:t xml:space="preserve">. </w:t>
      </w:r>
      <w:proofErr w:type="spellStart"/>
      <w:r w:rsidRPr="001C0BCF">
        <w:rPr>
          <w:rFonts w:eastAsia="Times New Roman"/>
        </w:rPr>
        <w:t>doi</w:t>
      </w:r>
      <w:proofErr w:type="spellEnd"/>
      <w:r w:rsidRPr="001C0BCF">
        <w:rPr>
          <w:rFonts w:eastAsia="Times New Roman"/>
        </w:rPr>
        <w:t>: https://doi.org/10.33321/cdi.2019.43.26.</w:t>
      </w:r>
    </w:p>
    <w:p w14:paraId="249949FC"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Gibney KB, Attwood LO, Nicholson S, Tran T, </w:t>
      </w:r>
      <w:proofErr w:type="spellStart"/>
      <w:r w:rsidRPr="001C0BCF">
        <w:rPr>
          <w:rFonts w:eastAsia="Times New Roman"/>
        </w:rPr>
        <w:t>Druce</w:t>
      </w:r>
      <w:proofErr w:type="spellEnd"/>
      <w:r w:rsidRPr="001C0BCF">
        <w:rPr>
          <w:rFonts w:eastAsia="Times New Roman"/>
        </w:rPr>
        <w:t xml:space="preserve"> J, Healy et al. Emergence of attenuated measles illness among IgG-positive/IgM-negative measles cases: Victoria, Australia, 2008-2017. </w:t>
      </w:r>
      <w:r w:rsidRPr="00D63274">
        <w:rPr>
          <w:rStyle w:val="Emphasis"/>
          <w:rFonts w:eastAsia="Times New Roman"/>
          <w:b w:val="0"/>
          <w:bCs w:val="0"/>
        </w:rPr>
        <w:t xml:space="preserve">Clin Infect </w:t>
      </w:r>
      <w:proofErr w:type="gramStart"/>
      <w:r w:rsidRPr="00D63274">
        <w:rPr>
          <w:rStyle w:val="Emphasis"/>
          <w:rFonts w:eastAsia="Times New Roman"/>
          <w:b w:val="0"/>
          <w:bCs w:val="0"/>
        </w:rPr>
        <w:t>Dis</w:t>
      </w:r>
      <w:r w:rsidRPr="001C0BCF">
        <w:rPr>
          <w:rFonts w:eastAsia="Times New Roman"/>
        </w:rPr>
        <w:t xml:space="preserve"> .</w:t>
      </w:r>
      <w:proofErr w:type="gramEnd"/>
      <w:r w:rsidRPr="001C0BCF">
        <w:rPr>
          <w:rFonts w:eastAsia="Times New Roman"/>
        </w:rPr>
        <w:t xml:space="preserve"> 2020;70(6):1060–7. </w:t>
      </w:r>
      <w:proofErr w:type="spellStart"/>
      <w:r w:rsidRPr="001C0BCF">
        <w:rPr>
          <w:rFonts w:eastAsia="Times New Roman"/>
        </w:rPr>
        <w:t>doi</w:t>
      </w:r>
      <w:proofErr w:type="spellEnd"/>
      <w:r w:rsidRPr="001C0BCF">
        <w:rPr>
          <w:rFonts w:eastAsia="Times New Roman"/>
        </w:rPr>
        <w:t>: https://doi.org/10.1093/cid/ciz363.</w:t>
      </w:r>
    </w:p>
    <w:p w14:paraId="27B810A1"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Hull BP, </w:t>
      </w:r>
      <w:proofErr w:type="spellStart"/>
      <w:r w:rsidRPr="001C0BCF">
        <w:rPr>
          <w:rFonts w:eastAsia="Times New Roman"/>
        </w:rPr>
        <w:t>Mclntyre</w:t>
      </w:r>
      <w:proofErr w:type="spellEnd"/>
      <w:r w:rsidRPr="001C0BCF">
        <w:rPr>
          <w:rFonts w:eastAsia="Times New Roman"/>
        </w:rPr>
        <w:t xml:space="preserve"> PB, Sayer GP. Factors associated with low uptake of measles and pertussis vaccines — an ecologic study based on the Australian Childhood Immunisation Register. </w:t>
      </w:r>
      <w:r w:rsidRPr="00D63274">
        <w:rPr>
          <w:rStyle w:val="Emphasis"/>
          <w:rFonts w:eastAsia="Times New Roman"/>
          <w:b w:val="0"/>
          <w:bCs w:val="0"/>
        </w:rPr>
        <w:t xml:space="preserve">Aust N Z J Public </w:t>
      </w:r>
      <w:proofErr w:type="gramStart"/>
      <w:r w:rsidRPr="00D63274">
        <w:rPr>
          <w:rStyle w:val="Emphasis"/>
          <w:rFonts w:eastAsia="Times New Roman"/>
          <w:b w:val="0"/>
          <w:bCs w:val="0"/>
        </w:rPr>
        <w:t>Health</w:t>
      </w:r>
      <w:r w:rsidRPr="001C0BCF">
        <w:rPr>
          <w:rFonts w:eastAsia="Times New Roman"/>
        </w:rPr>
        <w:t xml:space="preserve"> .</w:t>
      </w:r>
      <w:proofErr w:type="gramEnd"/>
      <w:r w:rsidRPr="001C0BCF">
        <w:rPr>
          <w:rFonts w:eastAsia="Times New Roman"/>
        </w:rPr>
        <w:t xml:space="preserve"> 2001;25(5):405–10.</w:t>
      </w:r>
    </w:p>
    <w:p w14:paraId="5B62C049" w14:textId="77777777" w:rsidR="00A70EED" w:rsidRPr="001C0BCF" w:rsidRDefault="00A70EED" w:rsidP="001C0BCF">
      <w:pPr>
        <w:pStyle w:val="ListParagraph"/>
        <w:numPr>
          <w:ilvl w:val="0"/>
          <w:numId w:val="10"/>
        </w:numPr>
        <w:divId w:val="1112554373"/>
        <w:rPr>
          <w:rFonts w:eastAsia="Times New Roman"/>
        </w:rPr>
      </w:pPr>
      <w:proofErr w:type="spellStart"/>
      <w:r w:rsidRPr="001C0BCF">
        <w:rPr>
          <w:rFonts w:eastAsia="Times New Roman"/>
        </w:rPr>
        <w:t>Hoad</w:t>
      </w:r>
      <w:proofErr w:type="spellEnd"/>
      <w:r w:rsidRPr="001C0BCF">
        <w:rPr>
          <w:rFonts w:eastAsia="Times New Roman"/>
        </w:rPr>
        <w:t xml:space="preserve"> VC, O’Connor BA, Langley AJ, Dowse GK. Risk of measles transmission on aeroplanes: Australian experience 2007–2011. </w:t>
      </w:r>
      <w:r w:rsidRPr="0070735F">
        <w:rPr>
          <w:rFonts w:eastAsia="Times New Roman"/>
          <w:i/>
          <w:iCs/>
        </w:rPr>
        <w:t>Med J Aust</w:t>
      </w:r>
      <w:r w:rsidRPr="001C0BCF">
        <w:rPr>
          <w:rFonts w:eastAsia="Times New Roman"/>
        </w:rPr>
        <w:t xml:space="preserve">. 2013;198(6):320–3. </w:t>
      </w:r>
      <w:proofErr w:type="spellStart"/>
      <w:r w:rsidRPr="001C0BCF">
        <w:rPr>
          <w:rFonts w:eastAsia="Times New Roman"/>
        </w:rPr>
        <w:t>doi</w:t>
      </w:r>
      <w:proofErr w:type="spellEnd"/>
      <w:r w:rsidRPr="001C0BCF">
        <w:rPr>
          <w:rFonts w:eastAsia="Times New Roman"/>
        </w:rPr>
        <w:t>: https://doi.org/10.5694/mja12.11752.</w:t>
      </w:r>
    </w:p>
    <w:p w14:paraId="76779B84"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Beard F, Franklin L, Donohue S, Moran R, Lambert S, Maloney M et al. Contact tracing of in-flight measles exposures: lessons from an outbreak investigation and case series, Australia, 2010. </w:t>
      </w:r>
      <w:r w:rsidRPr="00D63274">
        <w:rPr>
          <w:rStyle w:val="Emphasis"/>
          <w:rFonts w:eastAsia="Times New Roman"/>
          <w:b w:val="0"/>
          <w:bCs w:val="0"/>
        </w:rPr>
        <w:t xml:space="preserve">Western Pac </w:t>
      </w:r>
      <w:proofErr w:type="spellStart"/>
      <w:r w:rsidRPr="00D63274">
        <w:rPr>
          <w:rStyle w:val="Emphasis"/>
          <w:rFonts w:eastAsia="Times New Roman"/>
          <w:b w:val="0"/>
          <w:bCs w:val="0"/>
        </w:rPr>
        <w:t>Surveill</w:t>
      </w:r>
      <w:proofErr w:type="spellEnd"/>
      <w:r w:rsidRPr="00D63274">
        <w:rPr>
          <w:rStyle w:val="Emphasis"/>
          <w:rFonts w:eastAsia="Times New Roman"/>
          <w:b w:val="0"/>
          <w:bCs w:val="0"/>
        </w:rPr>
        <w:t xml:space="preserve"> Response </w:t>
      </w:r>
      <w:proofErr w:type="gramStart"/>
      <w:r w:rsidRPr="00D63274">
        <w:rPr>
          <w:rStyle w:val="Emphasis"/>
          <w:rFonts w:eastAsia="Times New Roman"/>
          <w:b w:val="0"/>
          <w:bCs w:val="0"/>
        </w:rPr>
        <w:t>J</w:t>
      </w:r>
      <w:r w:rsidRPr="001C0BCF">
        <w:rPr>
          <w:rFonts w:eastAsia="Times New Roman"/>
        </w:rPr>
        <w:t xml:space="preserve"> .</w:t>
      </w:r>
      <w:proofErr w:type="gramEnd"/>
      <w:r w:rsidRPr="001C0BCF">
        <w:rPr>
          <w:rFonts w:eastAsia="Times New Roman"/>
        </w:rPr>
        <w:t xml:space="preserve"> 2011;2(3):25–33. </w:t>
      </w:r>
      <w:proofErr w:type="spellStart"/>
      <w:r w:rsidRPr="001C0BCF">
        <w:rPr>
          <w:rFonts w:eastAsia="Times New Roman"/>
        </w:rPr>
        <w:t>doi</w:t>
      </w:r>
      <w:proofErr w:type="spellEnd"/>
      <w:r w:rsidRPr="001C0BCF">
        <w:rPr>
          <w:rFonts w:eastAsia="Times New Roman"/>
        </w:rPr>
        <w:t>: https://doi.org/10.5365/WPSAR.2011.2.2.010.</w:t>
      </w:r>
    </w:p>
    <w:p w14:paraId="6595FF7A"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Rafferty AC, </w:t>
      </w:r>
      <w:proofErr w:type="spellStart"/>
      <w:r w:rsidRPr="001C0BCF">
        <w:rPr>
          <w:rFonts w:eastAsia="Times New Roman"/>
        </w:rPr>
        <w:t>Bofkin</w:t>
      </w:r>
      <w:proofErr w:type="spellEnd"/>
      <w:r w:rsidRPr="001C0BCF">
        <w:rPr>
          <w:rFonts w:eastAsia="Times New Roman"/>
        </w:rPr>
        <w:t xml:space="preserve"> K, Hughes W, Souter S, </w:t>
      </w:r>
      <w:proofErr w:type="spellStart"/>
      <w:r w:rsidRPr="001C0BCF">
        <w:rPr>
          <w:rFonts w:eastAsia="Times New Roman"/>
        </w:rPr>
        <w:t>Hosegood</w:t>
      </w:r>
      <w:proofErr w:type="spellEnd"/>
      <w:r w:rsidRPr="001C0BCF">
        <w:rPr>
          <w:rFonts w:eastAsia="Times New Roman"/>
        </w:rPr>
        <w:t xml:space="preserve"> I, Hall RN et al. Does </w:t>
      </w:r>
      <w:proofErr w:type="gramStart"/>
      <w:r w:rsidRPr="001C0BCF">
        <w:rPr>
          <w:rFonts w:eastAsia="Times New Roman"/>
        </w:rPr>
        <w:t>2x2</w:t>
      </w:r>
      <w:proofErr w:type="gramEnd"/>
      <w:r w:rsidRPr="001C0BCF">
        <w:rPr>
          <w:rFonts w:eastAsia="Times New Roman"/>
        </w:rPr>
        <w:t xml:space="preserve"> airplane passenger contact tracing for infectious respiratory pathogens work? A systematic review of the evidence. </w:t>
      </w:r>
      <w:proofErr w:type="spellStart"/>
      <w:r w:rsidRPr="00D63274">
        <w:rPr>
          <w:rStyle w:val="Emphasis"/>
          <w:rFonts w:eastAsia="Times New Roman"/>
          <w:b w:val="0"/>
          <w:bCs w:val="0"/>
        </w:rPr>
        <w:t>PLoS</w:t>
      </w:r>
      <w:proofErr w:type="spellEnd"/>
      <w:r w:rsidRPr="00D63274">
        <w:rPr>
          <w:rStyle w:val="Emphasis"/>
          <w:rFonts w:eastAsia="Times New Roman"/>
          <w:b w:val="0"/>
          <w:bCs w:val="0"/>
        </w:rPr>
        <w:t xml:space="preserve"> </w:t>
      </w:r>
      <w:proofErr w:type="gramStart"/>
      <w:r w:rsidRPr="00D63274">
        <w:rPr>
          <w:rStyle w:val="Emphasis"/>
          <w:rFonts w:eastAsia="Times New Roman"/>
          <w:b w:val="0"/>
          <w:bCs w:val="0"/>
        </w:rPr>
        <w:t>One</w:t>
      </w:r>
      <w:r w:rsidRPr="001C0BCF">
        <w:rPr>
          <w:rFonts w:eastAsia="Times New Roman"/>
        </w:rPr>
        <w:t xml:space="preserve"> .</w:t>
      </w:r>
      <w:proofErr w:type="gramEnd"/>
      <w:r w:rsidRPr="001C0BCF">
        <w:rPr>
          <w:rFonts w:eastAsia="Times New Roman"/>
        </w:rPr>
        <w:t xml:space="preserve"> 2023;18(2</w:t>
      </w:r>
      <w:proofErr w:type="gramStart"/>
      <w:r w:rsidRPr="001C0BCF">
        <w:rPr>
          <w:rFonts w:eastAsia="Times New Roman"/>
        </w:rPr>
        <w:t>):e</w:t>
      </w:r>
      <w:proofErr w:type="gramEnd"/>
      <w:r w:rsidRPr="001C0BCF">
        <w:rPr>
          <w:rFonts w:eastAsia="Times New Roman"/>
        </w:rPr>
        <w:t xml:space="preserve">0264294. </w:t>
      </w:r>
      <w:proofErr w:type="spellStart"/>
      <w:r w:rsidRPr="001C0BCF">
        <w:rPr>
          <w:rFonts w:eastAsia="Times New Roman"/>
        </w:rPr>
        <w:t>doi</w:t>
      </w:r>
      <w:proofErr w:type="spellEnd"/>
      <w:r w:rsidRPr="001C0BCF">
        <w:rPr>
          <w:rFonts w:eastAsia="Times New Roman"/>
        </w:rPr>
        <w:t>: https://doi.org/10.1371/journal.pone.0264294.</w:t>
      </w:r>
    </w:p>
    <w:p w14:paraId="4676D425"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Nic </w:t>
      </w:r>
      <w:proofErr w:type="spellStart"/>
      <w:r w:rsidRPr="001C0BCF">
        <w:rPr>
          <w:rFonts w:eastAsia="Times New Roman"/>
        </w:rPr>
        <w:t>Lochlainn</w:t>
      </w:r>
      <w:proofErr w:type="spellEnd"/>
      <w:r w:rsidRPr="001C0BCF">
        <w:rPr>
          <w:rFonts w:eastAsia="Times New Roman"/>
        </w:rPr>
        <w:t xml:space="preserve"> L, </w:t>
      </w:r>
      <w:proofErr w:type="spellStart"/>
      <w:r w:rsidRPr="001C0BCF">
        <w:rPr>
          <w:rFonts w:eastAsia="Times New Roman"/>
        </w:rPr>
        <w:t>Ruijs</w:t>
      </w:r>
      <w:proofErr w:type="spellEnd"/>
      <w:r w:rsidRPr="001C0BCF">
        <w:rPr>
          <w:rFonts w:eastAsia="Times New Roman"/>
        </w:rPr>
        <w:t xml:space="preserve"> WLM, </w:t>
      </w:r>
      <w:proofErr w:type="spellStart"/>
      <w:r w:rsidRPr="001C0BCF">
        <w:rPr>
          <w:rFonts w:eastAsia="Times New Roman"/>
        </w:rPr>
        <w:t>Swaan</w:t>
      </w:r>
      <w:proofErr w:type="spellEnd"/>
      <w:r w:rsidRPr="001C0BCF">
        <w:rPr>
          <w:rFonts w:eastAsia="Times New Roman"/>
        </w:rPr>
        <w:t xml:space="preserve"> C, de </w:t>
      </w:r>
      <w:proofErr w:type="spellStart"/>
      <w:r w:rsidRPr="001C0BCF">
        <w:rPr>
          <w:rFonts w:eastAsia="Times New Roman"/>
        </w:rPr>
        <w:t>Melker</w:t>
      </w:r>
      <w:proofErr w:type="spellEnd"/>
      <w:r w:rsidRPr="001C0BCF">
        <w:rPr>
          <w:rFonts w:eastAsia="Times New Roman"/>
        </w:rPr>
        <w:t xml:space="preserve"> H, </w:t>
      </w:r>
      <w:proofErr w:type="spellStart"/>
      <w:r w:rsidRPr="001C0BCF">
        <w:rPr>
          <w:rFonts w:eastAsia="Times New Roman"/>
        </w:rPr>
        <w:t>Hahné</w:t>
      </w:r>
      <w:proofErr w:type="spellEnd"/>
      <w:r w:rsidRPr="001C0BCF">
        <w:rPr>
          <w:rFonts w:eastAsia="Times New Roman"/>
        </w:rPr>
        <w:t xml:space="preserve"> S. Response to Lim et al regarding “In-flight transmission of measles: Time to update the guidelines?”. </w:t>
      </w:r>
      <w:r w:rsidRPr="00D63274">
        <w:rPr>
          <w:rStyle w:val="Emphasis"/>
          <w:rFonts w:eastAsia="Times New Roman"/>
          <w:b w:val="0"/>
          <w:bCs w:val="0"/>
        </w:rPr>
        <w:t xml:space="preserve">Am J Infect </w:t>
      </w:r>
      <w:proofErr w:type="gramStart"/>
      <w:r w:rsidRPr="00D63274">
        <w:rPr>
          <w:rStyle w:val="Emphasis"/>
          <w:rFonts w:eastAsia="Times New Roman"/>
          <w:b w:val="0"/>
          <w:bCs w:val="0"/>
        </w:rPr>
        <w:t>Control</w:t>
      </w:r>
      <w:r w:rsidRPr="001C0BCF">
        <w:rPr>
          <w:rFonts w:eastAsia="Times New Roman"/>
        </w:rPr>
        <w:t xml:space="preserve"> .</w:t>
      </w:r>
      <w:proofErr w:type="gramEnd"/>
      <w:r w:rsidRPr="001C0BCF">
        <w:rPr>
          <w:rFonts w:eastAsia="Times New Roman"/>
        </w:rPr>
        <w:t xml:space="preserve"> 2017;45(1):95–6. </w:t>
      </w:r>
      <w:proofErr w:type="spellStart"/>
      <w:r w:rsidRPr="001C0BCF">
        <w:rPr>
          <w:rFonts w:eastAsia="Times New Roman"/>
        </w:rPr>
        <w:t>doi</w:t>
      </w:r>
      <w:proofErr w:type="spellEnd"/>
      <w:r w:rsidRPr="001C0BCF">
        <w:rPr>
          <w:rFonts w:eastAsia="Times New Roman"/>
        </w:rPr>
        <w:t>: https://doi.org/10.1016/j.ajic.2016.08.023.</w:t>
      </w:r>
    </w:p>
    <w:p w14:paraId="57B56DB3"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Draper AD, Dempsey KE, Boyd RH, Childs EM, Black HM, Francis LA et al. The first 2 months of COVID-19 contact tracing in the Northern Territory of Australia, March-April 2020. </w:t>
      </w:r>
      <w:proofErr w:type="spellStart"/>
      <w:r w:rsidRPr="00D63274">
        <w:rPr>
          <w:rStyle w:val="Emphasis"/>
          <w:rFonts w:eastAsia="Times New Roman"/>
          <w:b w:val="0"/>
          <w:bCs w:val="0"/>
        </w:rPr>
        <w:t>Commun</w:t>
      </w:r>
      <w:proofErr w:type="spellEnd"/>
      <w:r w:rsidRPr="00D63274">
        <w:rPr>
          <w:rStyle w:val="Emphasis"/>
          <w:rFonts w:eastAsia="Times New Roman"/>
          <w:b w:val="0"/>
          <w:bCs w:val="0"/>
        </w:rPr>
        <w:t xml:space="preserve"> Dis </w:t>
      </w:r>
      <w:proofErr w:type="spellStart"/>
      <w:r w:rsidRPr="00D63274">
        <w:rPr>
          <w:rStyle w:val="Emphasis"/>
          <w:rFonts w:eastAsia="Times New Roman"/>
          <w:b w:val="0"/>
          <w:bCs w:val="0"/>
        </w:rPr>
        <w:t>Intell</w:t>
      </w:r>
      <w:proofErr w:type="spellEnd"/>
      <w:r w:rsidRPr="00D63274">
        <w:rPr>
          <w:rStyle w:val="Emphasis"/>
          <w:rFonts w:eastAsia="Times New Roman"/>
          <w:b w:val="0"/>
          <w:bCs w:val="0"/>
        </w:rPr>
        <w:t xml:space="preserve"> (2018</w:t>
      </w:r>
      <w:proofErr w:type="gramStart"/>
      <w:r w:rsidRPr="00D63274">
        <w:rPr>
          <w:rStyle w:val="Emphasis"/>
          <w:rFonts w:eastAsia="Times New Roman"/>
          <w:b w:val="0"/>
          <w:bCs w:val="0"/>
        </w:rPr>
        <w:t>)</w:t>
      </w:r>
      <w:r w:rsidRPr="001C0BCF">
        <w:rPr>
          <w:rFonts w:eastAsia="Times New Roman"/>
        </w:rPr>
        <w:t xml:space="preserve"> .</w:t>
      </w:r>
      <w:proofErr w:type="gramEnd"/>
      <w:r w:rsidRPr="001C0BCF">
        <w:rPr>
          <w:rFonts w:eastAsia="Times New Roman"/>
        </w:rPr>
        <w:t xml:space="preserve"> 2020;</w:t>
      </w:r>
      <w:proofErr w:type="gramStart"/>
      <w:r w:rsidRPr="001C0BCF">
        <w:rPr>
          <w:rFonts w:eastAsia="Times New Roman"/>
        </w:rPr>
        <w:t>44</w:t>
      </w:r>
      <w:proofErr w:type="gramEnd"/>
      <w:r w:rsidRPr="001C0BCF">
        <w:rPr>
          <w:rFonts w:eastAsia="Times New Roman"/>
        </w:rPr>
        <w:t xml:space="preserve">. </w:t>
      </w:r>
      <w:proofErr w:type="spellStart"/>
      <w:r w:rsidRPr="001C0BCF">
        <w:rPr>
          <w:rFonts w:eastAsia="Times New Roman"/>
        </w:rPr>
        <w:t>doi</w:t>
      </w:r>
      <w:proofErr w:type="spellEnd"/>
      <w:r w:rsidRPr="001C0BCF">
        <w:rPr>
          <w:rFonts w:eastAsia="Times New Roman"/>
        </w:rPr>
        <w:t>: https://doi.org/10.33321/cdi.2020.44.53.</w:t>
      </w:r>
    </w:p>
    <w:p w14:paraId="663E5932"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Australian National Audit Office (ANAO). </w:t>
      </w:r>
      <w:r w:rsidRPr="00D63274">
        <w:rPr>
          <w:rStyle w:val="Emphasis"/>
          <w:rFonts w:eastAsia="Times New Roman"/>
          <w:b w:val="0"/>
          <w:bCs w:val="0"/>
        </w:rPr>
        <w:t>Human Biosecurity for International Air Travellers during COVID-</w:t>
      </w:r>
      <w:proofErr w:type="gramStart"/>
      <w:r w:rsidRPr="00D63274">
        <w:rPr>
          <w:rStyle w:val="Emphasis"/>
          <w:rFonts w:eastAsia="Times New Roman"/>
          <w:b w:val="0"/>
          <w:bCs w:val="0"/>
        </w:rPr>
        <w:t>19</w:t>
      </w:r>
      <w:r w:rsidRPr="001C0BCF">
        <w:rPr>
          <w:rFonts w:eastAsia="Times New Roman"/>
        </w:rPr>
        <w:t xml:space="preserve"> .</w:t>
      </w:r>
      <w:proofErr w:type="gramEnd"/>
      <w:r w:rsidRPr="001C0BCF">
        <w:rPr>
          <w:rFonts w:eastAsia="Times New Roman"/>
        </w:rPr>
        <w:t xml:space="preserve"> [Performance audit report.] Canberra: ANAO; 24 March 2022. [Accessed on 4 April 2023.] Available from: https://www.anao.gov.au/work/performance-audit/human-biosecurity-international-air-travellers-during-covid-19.</w:t>
      </w:r>
    </w:p>
    <w:p w14:paraId="00F0C5F5" w14:textId="77777777" w:rsidR="00A70EED" w:rsidRPr="001C0BCF" w:rsidRDefault="00A70EED" w:rsidP="001C0BCF">
      <w:pPr>
        <w:pStyle w:val="ListParagraph"/>
        <w:numPr>
          <w:ilvl w:val="0"/>
          <w:numId w:val="10"/>
        </w:numPr>
        <w:divId w:val="1112554373"/>
        <w:rPr>
          <w:rFonts w:eastAsia="Times New Roman"/>
        </w:rPr>
      </w:pPr>
      <w:r w:rsidRPr="001C0BCF">
        <w:rPr>
          <w:rFonts w:eastAsia="Times New Roman"/>
        </w:rPr>
        <w:t xml:space="preserve">Sundaram ME, </w:t>
      </w:r>
      <w:proofErr w:type="spellStart"/>
      <w:r w:rsidRPr="001C0BCF">
        <w:rPr>
          <w:rFonts w:eastAsia="Times New Roman"/>
        </w:rPr>
        <w:t>Guterman</w:t>
      </w:r>
      <w:proofErr w:type="spellEnd"/>
      <w:r w:rsidRPr="001C0BCF">
        <w:rPr>
          <w:rFonts w:eastAsia="Times New Roman"/>
        </w:rPr>
        <w:t xml:space="preserve"> LB, Omer SB. The </w:t>
      </w:r>
      <w:proofErr w:type="gramStart"/>
      <w:r w:rsidRPr="001C0BCF">
        <w:rPr>
          <w:rFonts w:eastAsia="Times New Roman"/>
        </w:rPr>
        <w:t>true cost</w:t>
      </w:r>
      <w:proofErr w:type="gramEnd"/>
      <w:r w:rsidRPr="001C0BCF">
        <w:rPr>
          <w:rFonts w:eastAsia="Times New Roman"/>
        </w:rPr>
        <w:t xml:space="preserve"> of measles outbreaks during the </w:t>
      </w:r>
      <w:proofErr w:type="spellStart"/>
      <w:r w:rsidRPr="001C0BCF">
        <w:rPr>
          <w:rFonts w:eastAsia="Times New Roman"/>
        </w:rPr>
        <w:t>postelimination</w:t>
      </w:r>
      <w:proofErr w:type="spellEnd"/>
      <w:r w:rsidRPr="001C0BCF">
        <w:rPr>
          <w:rFonts w:eastAsia="Times New Roman"/>
        </w:rPr>
        <w:t xml:space="preserve"> era. </w:t>
      </w:r>
      <w:proofErr w:type="gramStart"/>
      <w:r w:rsidRPr="00D63274">
        <w:rPr>
          <w:rStyle w:val="Emphasis"/>
          <w:rFonts w:eastAsia="Times New Roman"/>
          <w:b w:val="0"/>
          <w:bCs w:val="0"/>
        </w:rPr>
        <w:t>JAMA</w:t>
      </w:r>
      <w:r w:rsidRPr="001C0BCF">
        <w:rPr>
          <w:rFonts w:eastAsia="Times New Roman"/>
        </w:rPr>
        <w:t xml:space="preserve"> .</w:t>
      </w:r>
      <w:proofErr w:type="gramEnd"/>
      <w:r w:rsidRPr="001C0BCF">
        <w:rPr>
          <w:rFonts w:eastAsia="Times New Roman"/>
        </w:rPr>
        <w:t xml:space="preserve"> 2019;321(12):1155–6. </w:t>
      </w:r>
      <w:proofErr w:type="spellStart"/>
      <w:r w:rsidRPr="001C0BCF">
        <w:rPr>
          <w:rFonts w:eastAsia="Times New Roman"/>
        </w:rPr>
        <w:t>doi</w:t>
      </w:r>
      <w:proofErr w:type="spellEnd"/>
      <w:r w:rsidRPr="001C0BCF">
        <w:rPr>
          <w:rFonts w:eastAsia="Times New Roman"/>
        </w:rPr>
        <w:t>: https://doi.org/10.1001/jama.2019.1506.</w:t>
      </w:r>
    </w:p>
    <w:p w14:paraId="5267ACDC" w14:textId="3C272ED3" w:rsidR="008B5348" w:rsidRDefault="008B5348">
      <w:pPr>
        <w:rPr>
          <w:rStyle w:val="A10"/>
        </w:rPr>
      </w:pPr>
    </w:p>
    <w:p w14:paraId="6E5F5686"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5A875461"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14BCF74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066A001" w14:textId="77777777" w:rsidR="000A5F42" w:rsidRPr="000606CC" w:rsidRDefault="000A5F42" w:rsidP="000A5F42">
      <w:pPr>
        <w:pStyle w:val="NoSpacing"/>
        <w:rPr>
          <w:rStyle w:val="URI"/>
          <w:rFonts w:cstheme="minorHAnsi"/>
          <w:sz w:val="20"/>
          <w:szCs w:val="18"/>
        </w:rPr>
      </w:pPr>
    </w:p>
    <w:p w14:paraId="6C1517F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00450ACB" w14:textId="77777777" w:rsidR="000A5F42" w:rsidRPr="000606CC" w:rsidRDefault="000A5F42" w:rsidP="000A5F42">
      <w:pPr>
        <w:pStyle w:val="NoSpacing"/>
        <w:rPr>
          <w:rStyle w:val="Strong"/>
          <w:rFonts w:cstheme="minorHAnsi"/>
          <w:sz w:val="20"/>
          <w:szCs w:val="18"/>
        </w:rPr>
      </w:pPr>
    </w:p>
    <w:p w14:paraId="73BBB9B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03D1065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4EC08F4"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E201C9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60F64757" w14:textId="77777777" w:rsidR="000A5F42" w:rsidRPr="000606CC" w:rsidRDefault="000A5F42" w:rsidP="000A5F42">
      <w:pPr>
        <w:pStyle w:val="NoSpacing"/>
        <w:rPr>
          <w:rStyle w:val="Strong"/>
          <w:rFonts w:cstheme="minorHAnsi"/>
          <w:sz w:val="20"/>
          <w:szCs w:val="18"/>
        </w:rPr>
      </w:pPr>
    </w:p>
    <w:p w14:paraId="631BB722" w14:textId="6569A14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94D8E16" w14:textId="77777777" w:rsidR="000A5F42" w:rsidRPr="000606CC" w:rsidRDefault="000A5F42" w:rsidP="000A5F42">
      <w:pPr>
        <w:pStyle w:val="NoSpacing"/>
        <w:rPr>
          <w:rStyle w:val="Strong"/>
          <w:rFonts w:cstheme="minorHAnsi"/>
          <w:sz w:val="20"/>
          <w:szCs w:val="18"/>
        </w:rPr>
      </w:pPr>
    </w:p>
    <w:p w14:paraId="6F50A9B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048B0B5A" w14:textId="77777777" w:rsidR="000A5F42" w:rsidRPr="000606CC" w:rsidRDefault="000A5F42" w:rsidP="000A5F42">
      <w:pPr>
        <w:pStyle w:val="NoSpacing"/>
        <w:rPr>
          <w:rStyle w:val="Strong"/>
          <w:rFonts w:cstheme="minorHAnsi"/>
          <w:sz w:val="20"/>
          <w:szCs w:val="18"/>
        </w:rPr>
      </w:pPr>
    </w:p>
    <w:p w14:paraId="653F2E92" w14:textId="4ED677D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3EA7DB1" w14:textId="77777777" w:rsidR="000A5F42" w:rsidRPr="000606CC" w:rsidRDefault="000A5F42" w:rsidP="000A5F42">
      <w:pPr>
        <w:pStyle w:val="NoSpacing"/>
        <w:rPr>
          <w:rStyle w:val="Strong"/>
          <w:rFonts w:cstheme="minorHAnsi"/>
          <w:sz w:val="20"/>
          <w:szCs w:val="18"/>
        </w:rPr>
      </w:pPr>
    </w:p>
    <w:p w14:paraId="15E4C34C" w14:textId="1AE86B33"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42505D7" w14:textId="7AD25C4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1B5DCAAC" w14:textId="77777777" w:rsidR="000A5F42" w:rsidRPr="000606CC" w:rsidRDefault="000A5F42" w:rsidP="000A5F42">
      <w:pPr>
        <w:pStyle w:val="NoSpacing"/>
        <w:pBdr>
          <w:bottom w:val="single" w:sz="6" w:space="1" w:color="auto"/>
        </w:pBdr>
        <w:rPr>
          <w:rStyle w:val="Strong"/>
          <w:rFonts w:cstheme="minorHAnsi"/>
          <w:sz w:val="12"/>
          <w:szCs w:val="18"/>
        </w:rPr>
      </w:pPr>
    </w:p>
    <w:p w14:paraId="7834D97C" w14:textId="77777777" w:rsidR="000A5F42" w:rsidRPr="000606CC" w:rsidRDefault="000A5F42" w:rsidP="000A5F42">
      <w:pPr>
        <w:pStyle w:val="NoSpacing"/>
        <w:rPr>
          <w:rFonts w:cstheme="minorHAnsi"/>
          <w:sz w:val="20"/>
          <w:szCs w:val="18"/>
        </w:rPr>
      </w:pPr>
    </w:p>
    <w:p w14:paraId="1E88624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13038B4" w14:textId="77777777" w:rsidR="000A5F42" w:rsidRPr="000606CC" w:rsidRDefault="000A5F42" w:rsidP="000A5F42">
      <w:pPr>
        <w:pStyle w:val="NoSpacing"/>
        <w:rPr>
          <w:rFonts w:cstheme="minorHAnsi"/>
          <w:sz w:val="20"/>
          <w:szCs w:val="18"/>
        </w:rPr>
      </w:pPr>
    </w:p>
    <w:p w14:paraId="61FC409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546834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1F51A7">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1D25F00A" w14:textId="4AF786D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376758A" w14:textId="77777777" w:rsidR="000A5F42" w:rsidRPr="000606CC" w:rsidRDefault="000A5F42" w:rsidP="000A5F42">
      <w:pPr>
        <w:pStyle w:val="NoSpacing"/>
        <w:rPr>
          <w:rFonts w:cstheme="minorHAnsi"/>
          <w:sz w:val="20"/>
          <w:szCs w:val="18"/>
        </w:rPr>
      </w:pPr>
    </w:p>
    <w:p w14:paraId="02881B0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A81CAF6" w14:textId="587C32C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0541D0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55EA885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17D093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4D7186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AD04C09" w14:textId="77777777" w:rsidR="000A5F42" w:rsidRPr="000606CC" w:rsidRDefault="000A5F42" w:rsidP="000A5F42">
      <w:pPr>
        <w:pStyle w:val="NoSpacing"/>
        <w:rPr>
          <w:rStyle w:val="Strong"/>
          <w:rFonts w:cstheme="minorHAnsi"/>
          <w:sz w:val="20"/>
          <w:szCs w:val="18"/>
        </w:rPr>
      </w:pPr>
    </w:p>
    <w:p w14:paraId="0401D19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54D21293" w14:textId="77777777" w:rsidR="000A5F42" w:rsidRPr="000606CC" w:rsidRDefault="000A5F42" w:rsidP="000A5F42">
      <w:pPr>
        <w:pStyle w:val="NoSpacing"/>
        <w:rPr>
          <w:rStyle w:val="Strong"/>
          <w:rFonts w:cstheme="minorHAnsi"/>
          <w:sz w:val="20"/>
          <w:szCs w:val="18"/>
        </w:rPr>
      </w:pPr>
    </w:p>
    <w:p w14:paraId="1A1F7C41" w14:textId="74AB86A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4EE7DD7" w14:textId="77777777" w:rsidR="000A5F42" w:rsidRPr="000606CC" w:rsidRDefault="000A5F42" w:rsidP="000A5F42">
      <w:pPr>
        <w:pStyle w:val="NoSpacing"/>
        <w:rPr>
          <w:rStyle w:val="URI"/>
          <w:rFonts w:cstheme="minorHAnsi"/>
          <w:sz w:val="20"/>
          <w:szCs w:val="18"/>
        </w:rPr>
      </w:pPr>
    </w:p>
    <w:p w14:paraId="0C5E6BBD" w14:textId="401E1A6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8A43" w14:textId="77777777" w:rsidR="00260B11" w:rsidRDefault="00260B11" w:rsidP="00E54DBA">
      <w:r>
        <w:separator/>
      </w:r>
    </w:p>
    <w:p w14:paraId="7C5CD7B8" w14:textId="77777777" w:rsidR="00260B11" w:rsidRDefault="00260B11"/>
    <w:p w14:paraId="10CCB491" w14:textId="77777777" w:rsidR="00260B11" w:rsidRDefault="00260B11" w:rsidP="008714B0"/>
  </w:endnote>
  <w:endnote w:type="continuationSeparator" w:id="0">
    <w:p w14:paraId="33EFCC87" w14:textId="77777777" w:rsidR="00260B11" w:rsidRDefault="00260B11" w:rsidP="00E54DBA">
      <w:r>
        <w:continuationSeparator/>
      </w:r>
    </w:p>
    <w:p w14:paraId="11861742" w14:textId="77777777" w:rsidR="00260B11" w:rsidRDefault="00260B11"/>
    <w:p w14:paraId="60370C00" w14:textId="77777777" w:rsidR="00260B11" w:rsidRDefault="00260B1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3D6B" w14:textId="20F9611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D63274">
      <w:rPr>
        <w:i/>
        <w:sz w:val="18"/>
      </w:rPr>
      <w:t>Commun</w:t>
    </w:r>
    <w:proofErr w:type="spellEnd"/>
    <w:r w:rsidR="00CE342B" w:rsidRPr="00D63274">
      <w:rPr>
        <w:i/>
        <w:sz w:val="18"/>
      </w:rPr>
      <w:t xml:space="preserve"> Dis </w:t>
    </w:r>
    <w:proofErr w:type="spellStart"/>
    <w:r w:rsidR="00CE342B" w:rsidRPr="00D63274">
      <w:rPr>
        <w:i/>
        <w:sz w:val="18"/>
      </w:rPr>
      <w:t>Intell</w:t>
    </w:r>
    <w:proofErr w:type="spellEnd"/>
    <w:r w:rsidR="00CE342B" w:rsidRPr="00D63274">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F51A7">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F51A7">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FF1AE8">
      <w:rPr>
        <w:sz w:val="18"/>
      </w:rPr>
      <w:t>https://doi.org/10.33321/cdi.2023.47.54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E7A67">
      <w:rPr>
        <w:sz w:val="18"/>
      </w:rPr>
      <w:t>21/09/2023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34E8" w14:textId="1DFC2C5E"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D63274">
      <w:rPr>
        <w:i/>
        <w:sz w:val="18"/>
      </w:rPr>
      <w:t>Commun</w:t>
    </w:r>
    <w:proofErr w:type="spellEnd"/>
    <w:r w:rsidR="00A164D5" w:rsidRPr="00D63274">
      <w:rPr>
        <w:i/>
        <w:sz w:val="18"/>
      </w:rPr>
      <w:t xml:space="preserve"> Dis </w:t>
    </w:r>
    <w:proofErr w:type="spellStart"/>
    <w:r w:rsidR="00A164D5" w:rsidRPr="00D63274">
      <w:rPr>
        <w:i/>
        <w:sz w:val="18"/>
      </w:rPr>
      <w:t>Intell</w:t>
    </w:r>
    <w:proofErr w:type="spellEnd"/>
    <w:r w:rsidR="00A164D5" w:rsidRPr="00D63274">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F51A7">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F51A7">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70378">
      <w:rPr>
        <w:sz w:val="18"/>
      </w:rPr>
      <w:t>https://doi.org/10.33321/cdi.2023.47.54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BE7A67">
      <w:rPr>
        <w:sz w:val="18"/>
      </w:rPr>
      <w:t>21/09/2023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B25A" w14:textId="77777777" w:rsidR="00260B11" w:rsidRPr="00B91FB5" w:rsidRDefault="00260B11" w:rsidP="00B91FB5">
      <w:pPr>
        <w:spacing w:after="0" w:line="240" w:lineRule="auto"/>
        <w:rPr>
          <w:sz w:val="18"/>
          <w:szCs w:val="18"/>
        </w:rPr>
      </w:pPr>
      <w:r w:rsidRPr="00B91FB5">
        <w:rPr>
          <w:sz w:val="18"/>
          <w:szCs w:val="18"/>
        </w:rPr>
        <w:separator/>
      </w:r>
    </w:p>
  </w:footnote>
  <w:footnote w:type="continuationSeparator" w:id="0">
    <w:p w14:paraId="371BA515" w14:textId="77777777" w:rsidR="00260B11" w:rsidRDefault="00260B11" w:rsidP="00E54DBA">
      <w:r>
        <w:continuationSeparator/>
      </w:r>
    </w:p>
  </w:footnote>
  <w:footnote w:type="continuationNotice" w:id="1">
    <w:p w14:paraId="16541408" w14:textId="77777777" w:rsidR="00260B11" w:rsidRPr="00224EFF" w:rsidRDefault="00260B1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034C" w14:textId="25E260EB" w:rsidR="00257484" w:rsidRPr="00A153B6" w:rsidRDefault="0000000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Content>
        <w:r w:rsidR="0090222F">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BB47"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2878946" wp14:editId="24A9E799">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593C42"/>
    <w:multiLevelType w:val="multilevel"/>
    <w:tmpl w:val="E8D2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77D56"/>
    <w:multiLevelType w:val="multilevel"/>
    <w:tmpl w:val="57EE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41EF3"/>
    <w:multiLevelType w:val="hybridMultilevel"/>
    <w:tmpl w:val="1A02F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B865A5"/>
    <w:multiLevelType w:val="hybridMultilevel"/>
    <w:tmpl w:val="8BB2D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3775424">
    <w:abstractNumId w:val="1"/>
  </w:num>
  <w:num w:numId="2" w16cid:durableId="1168979530">
    <w:abstractNumId w:val="2"/>
  </w:num>
  <w:num w:numId="3" w16cid:durableId="1156922714">
    <w:abstractNumId w:val="3"/>
  </w:num>
  <w:num w:numId="4" w16cid:durableId="455493721">
    <w:abstractNumId w:val="0"/>
  </w:num>
  <w:num w:numId="5" w16cid:durableId="271981251">
    <w:abstractNumId w:val="8"/>
  </w:num>
  <w:num w:numId="6" w16cid:durableId="1899509795">
    <w:abstractNumId w:val="9"/>
  </w:num>
  <w:num w:numId="7" w16cid:durableId="346562297">
    <w:abstractNumId w:val="4"/>
  </w:num>
  <w:num w:numId="8" w16cid:durableId="1531793352">
    <w:abstractNumId w:val="5"/>
  </w:num>
  <w:num w:numId="9" w16cid:durableId="436601574">
    <w:abstractNumId w:val="7"/>
  </w:num>
  <w:num w:numId="10" w16cid:durableId="1948391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A7"/>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0BCF"/>
    <w:rsid w:val="001C1303"/>
    <w:rsid w:val="001C70B2"/>
    <w:rsid w:val="001D37C7"/>
    <w:rsid w:val="001D6888"/>
    <w:rsid w:val="001E4E1D"/>
    <w:rsid w:val="001F51A7"/>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0B11"/>
    <w:rsid w:val="00275213"/>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0378"/>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0735F"/>
    <w:rsid w:val="0071048D"/>
    <w:rsid w:val="00710F86"/>
    <w:rsid w:val="007111A8"/>
    <w:rsid w:val="00723B5F"/>
    <w:rsid w:val="00731BC3"/>
    <w:rsid w:val="00741192"/>
    <w:rsid w:val="00743A33"/>
    <w:rsid w:val="00746080"/>
    <w:rsid w:val="0075144A"/>
    <w:rsid w:val="00786329"/>
    <w:rsid w:val="00792C7D"/>
    <w:rsid w:val="00794A4D"/>
    <w:rsid w:val="007A5234"/>
    <w:rsid w:val="007B16B1"/>
    <w:rsid w:val="007B7854"/>
    <w:rsid w:val="007C56A1"/>
    <w:rsid w:val="007C6454"/>
    <w:rsid w:val="007E01E0"/>
    <w:rsid w:val="007E5CA0"/>
    <w:rsid w:val="007F0B93"/>
    <w:rsid w:val="007F2ECA"/>
    <w:rsid w:val="00802960"/>
    <w:rsid w:val="00811708"/>
    <w:rsid w:val="00814686"/>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222F"/>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0EA3"/>
    <w:rsid w:val="009F4150"/>
    <w:rsid w:val="009F5665"/>
    <w:rsid w:val="009F5DAD"/>
    <w:rsid w:val="00A01BCA"/>
    <w:rsid w:val="00A10448"/>
    <w:rsid w:val="00A10458"/>
    <w:rsid w:val="00A153B6"/>
    <w:rsid w:val="00A164D5"/>
    <w:rsid w:val="00A273C3"/>
    <w:rsid w:val="00A30C37"/>
    <w:rsid w:val="00A36C65"/>
    <w:rsid w:val="00A41BBE"/>
    <w:rsid w:val="00A443E3"/>
    <w:rsid w:val="00A45BDD"/>
    <w:rsid w:val="00A46A0A"/>
    <w:rsid w:val="00A553F8"/>
    <w:rsid w:val="00A6435C"/>
    <w:rsid w:val="00A6708F"/>
    <w:rsid w:val="00A70EED"/>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16BC5"/>
    <w:rsid w:val="00B31427"/>
    <w:rsid w:val="00B33861"/>
    <w:rsid w:val="00B40DE2"/>
    <w:rsid w:val="00B473C6"/>
    <w:rsid w:val="00B50210"/>
    <w:rsid w:val="00B50D8D"/>
    <w:rsid w:val="00B53955"/>
    <w:rsid w:val="00B53BFC"/>
    <w:rsid w:val="00B63C79"/>
    <w:rsid w:val="00B6408A"/>
    <w:rsid w:val="00B6478A"/>
    <w:rsid w:val="00B714B8"/>
    <w:rsid w:val="00B75410"/>
    <w:rsid w:val="00B82C2C"/>
    <w:rsid w:val="00B8720B"/>
    <w:rsid w:val="00B876EF"/>
    <w:rsid w:val="00B91FB5"/>
    <w:rsid w:val="00BA4697"/>
    <w:rsid w:val="00BB5378"/>
    <w:rsid w:val="00BC0BD3"/>
    <w:rsid w:val="00BD0107"/>
    <w:rsid w:val="00BE0C33"/>
    <w:rsid w:val="00BE262C"/>
    <w:rsid w:val="00BE4C25"/>
    <w:rsid w:val="00BE6C3D"/>
    <w:rsid w:val="00BE7A67"/>
    <w:rsid w:val="00C07606"/>
    <w:rsid w:val="00C12542"/>
    <w:rsid w:val="00C130EE"/>
    <w:rsid w:val="00C24725"/>
    <w:rsid w:val="00C30BA9"/>
    <w:rsid w:val="00C3541E"/>
    <w:rsid w:val="00C36A8F"/>
    <w:rsid w:val="00C42834"/>
    <w:rsid w:val="00C42FFA"/>
    <w:rsid w:val="00C46F67"/>
    <w:rsid w:val="00C507D8"/>
    <w:rsid w:val="00C51F5A"/>
    <w:rsid w:val="00C57018"/>
    <w:rsid w:val="00C62EAC"/>
    <w:rsid w:val="00C63F9F"/>
    <w:rsid w:val="00C7723C"/>
    <w:rsid w:val="00C838F5"/>
    <w:rsid w:val="00C841C0"/>
    <w:rsid w:val="00CA1AF4"/>
    <w:rsid w:val="00CA6068"/>
    <w:rsid w:val="00CB15E1"/>
    <w:rsid w:val="00CB3D46"/>
    <w:rsid w:val="00CD1A87"/>
    <w:rsid w:val="00CD35F3"/>
    <w:rsid w:val="00CD5C93"/>
    <w:rsid w:val="00CE144A"/>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63274"/>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129C"/>
    <w:rsid w:val="00E901CB"/>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37DE"/>
    <w:rsid w:val="00F55648"/>
    <w:rsid w:val="00F70046"/>
    <w:rsid w:val="00F7266F"/>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1AE8"/>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1FDEA"/>
  <w15:docId w15:val="{8DC29862-5E9B-45A2-9941-8772F79B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112554373">
      <w:bodyDiv w:val="1"/>
      <w:marLeft w:val="0"/>
      <w:marRight w:val="0"/>
      <w:marTop w:val="0"/>
      <w:marBottom w:val="0"/>
      <w:divBdr>
        <w:top w:val="none" w:sz="0" w:space="0" w:color="auto"/>
        <w:left w:val="none" w:sz="0" w:space="0" w:color="auto"/>
        <w:bottom w:val="none" w:sz="0" w:space="0" w:color="auto"/>
        <w:right w:val="none" w:sz="0" w:space="0" w:color="auto"/>
      </w:divBdr>
    </w:div>
    <w:div w:id="2099059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k\OneDrive%20-%20Department%20of%20Health\Desktop\T%20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15</TotalTime>
  <Pages>12</Pages>
  <Words>5969</Words>
  <Characters>33310</Characters>
  <Application>Microsoft Office Word</Application>
  <DocSecurity>0</DocSecurity>
  <Lines>2562</Lines>
  <Paragraphs>1785</Paragraphs>
  <ScaleCrop>false</ScaleCrop>
  <HeadingPairs>
    <vt:vector size="2" baseType="variant">
      <vt:variant>
        <vt:lpstr>Title</vt:lpstr>
      </vt:variant>
      <vt:variant>
        <vt:i4>1</vt:i4>
      </vt:variant>
    </vt:vector>
  </HeadingPairs>
  <TitlesOfParts>
    <vt:vector size="1" baseType="lpstr">
      <vt:lpstr>Communicable Diseases Intelligence - Lessons from the re-emergence of imported measles cases following the COVID-19 pandemic in Victoria, Australia</vt:lpstr>
    </vt:vector>
  </TitlesOfParts>
  <Company>Australian Government, Department of Health</Company>
  <LinksUpToDate>false</LinksUpToDate>
  <CharactersWithSpaces>37494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Lessons from the re-emergence of imported measles cases following the COVID-19 pandemic in Victoria, Australia</dc:title>
  <dc:subject>Australia is measles-free and most cases are imported from overseas. During the COVID-19 pandemic international travel restrictions led to measles case numbers rapidly declining, with no cases reported in Australia in 2021. We report a case series outlining the public health response to the first six cases to occur in Victoria following the reopening of the international border in 2022; three of which were single imported cases and three were part of an epidemiologically linked household cluster. We discuss lessons learned including opportunities for improving Australia’s systems to rapidly identify and respond to imported measles cases.</dc:subject>
  <dc:creator>Madeleine J Marsland; Janet Strachan; Rebecca F Gang; Miriam O’Hara; Nicole M Hughes; Anna Glynn-Robinson</dc:creator>
  <cp:keywords>measles; communicable diseases; imported; communicable disease control; epidemiology</cp:keywords>
  <dc:description>© Commonwealth of Australia CC BY-NC-ND ISSN: 2209-6051 (Online)</dc:description>
  <cp:lastModifiedBy>YOUSEFI, Kasra</cp:lastModifiedBy>
  <cp:revision>9</cp:revision>
  <cp:lastPrinted>2018-05-10T02:19:00Z</cp:lastPrinted>
  <dcterms:created xsi:type="dcterms:W3CDTF">2023-09-06T06:49:00Z</dcterms:created>
  <dcterms:modified xsi:type="dcterms:W3CDTF">2023-09-12T03:43:00Z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21/09/2023</vt:lpwstr>
  </property>
  <property fmtid="{D5CDD505-2E9C-101B-9397-08002B2CF9AE}" pid="5" name="DOI">
    <vt:lpwstr>https://doi.org/10.33321/cdi.2023.47.54</vt:lpwstr>
  </property>
</Properties>
</file>