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CDCC5" w14:textId="3B721A6C" w:rsidR="000C0E7A" w:rsidRDefault="000C0E7A" w:rsidP="000C0E7A">
      <w:pPr>
        <w:pStyle w:val="Title"/>
        <w:rPr>
          <w:rFonts w:eastAsia="Times New Roman"/>
          <w:sz w:val="48"/>
          <w:szCs w:val="48"/>
        </w:rPr>
      </w:pPr>
      <w:r>
        <w:rPr>
          <w:rFonts w:eastAsia="Times New Roman"/>
        </w:rPr>
        <w:t>FluTracking: Weekly online community based surveillance of influenza-like illness in Australia, 2018 Annual Report</w:t>
      </w:r>
    </w:p>
    <w:p w14:paraId="21EE365A" w14:textId="77777777" w:rsidR="000C0E7A" w:rsidRDefault="000C0E7A" w:rsidP="000C0E7A">
      <w:r>
        <w:t xml:space="preserve">Zachary L Howard, Sandra J Carlson, Sarah Moberley, Michelle Butler, Craig B Dalton </w:t>
      </w:r>
    </w:p>
    <w:p w14:paraId="4AA7EACB" w14:textId="77777777" w:rsidR="000C0E7A" w:rsidRPr="000C0E7A" w:rsidRDefault="000C0E7A" w:rsidP="000C0E7A">
      <w:pPr>
        <w:pStyle w:val="Heading1"/>
      </w:pPr>
      <w:r w:rsidRPr="000C0E7A">
        <w:t xml:space="preserve">Abstract </w:t>
      </w:r>
    </w:p>
    <w:p w14:paraId="26E74E41" w14:textId="77777777" w:rsidR="000C0E7A" w:rsidRDefault="000C0E7A" w:rsidP="000C0E7A">
      <w:r>
        <w:t xml:space="preserve">FluTracking experienced major growth in 2018, with participation numbers increasing 34.1% from 2017. The addition of 16,881 new participants brought the total number of participants for 2018 to 45,532. </w:t>
      </w:r>
      <w:proofErr w:type="gramStart"/>
      <w:r>
        <w:t>A majority of</w:t>
      </w:r>
      <w:proofErr w:type="gramEnd"/>
      <w:r>
        <w:t xml:space="preserve"> participants continued to complete their survey within 24 hours of the email being sent (mean 74.3% responses received in 24 hours). </w:t>
      </w:r>
    </w:p>
    <w:p w14:paraId="12B1EBA8" w14:textId="77777777" w:rsidR="000C0E7A" w:rsidRDefault="000C0E7A" w:rsidP="000C0E7A">
      <w:r>
        <w:t xml:space="preserve">The rate of influenza-like illness (ILI) in 2018 was the lowest since FluTracking commenced in 2007 and was consistently low across all ages. The peak weekly ILI rate was consistent with previous years, occurring during the week ending 19 August. This preceded the peak in laboratory-confirmed influenza notifications by three weeks. </w:t>
      </w:r>
    </w:p>
    <w:p w14:paraId="4EAA4FEA" w14:textId="77777777" w:rsidR="000C0E7A" w:rsidRDefault="000C0E7A" w:rsidP="000C0E7A">
      <w:r>
        <w:t xml:space="preserve">During the peak week of FluTracking, 2.1% of unvaccinated, and 1.9% of vaccinated participants reported fever and cough. By the final survey of 2018, 65.6% of participants had received the annual influenza vaccine, compared with 60.2% in 2017. Vaccination rates in participants under five years of age doubled from 23.7% in 2017, to 55.6% in 2018. </w:t>
      </w:r>
    </w:p>
    <w:p w14:paraId="76C8B393" w14:textId="77777777" w:rsidR="000C0E7A" w:rsidRDefault="000C0E7A" w:rsidP="000C0E7A">
      <w:r>
        <w:t xml:space="preserve">During the peak four weeks of reported ILI, a lower percentage of participants sought medical care in 2018 compared to 2017 (36.7% and 42.3% respectively), and fewer participants reported a positive laboratory test for influenza (0.8% and 4.8%). </w:t>
      </w:r>
      <w:proofErr w:type="gramStart"/>
      <w:r>
        <w:t>Overall</w:t>
      </w:r>
      <w:proofErr w:type="gramEnd"/>
      <w:r>
        <w:t xml:space="preserve"> the severity of the 2018 season was one of the lowest FluTracking has recorded. </w:t>
      </w:r>
    </w:p>
    <w:p w14:paraId="0C9DFA01" w14:textId="77777777" w:rsidR="000C0E7A" w:rsidRDefault="000C0E7A" w:rsidP="000C0E7A">
      <w:r>
        <w:t xml:space="preserve">Rates of both influenza laboratory notifications and general practitioner (GP) ILI consultations were lower in 2018 than most prior years. We found a reduction in the percentage of FluTracking participants with ILI who were tested for influenza (3.2% compared with 5.0% in 2017), and who visited a medical practitioner (36.7% compared with 42.3% in 2017). The drop in laboratory-confirmed cases and Australian Sentinel Practices Research Network (ASPREN) reported GP consultations concurs with our survey results that 2018 was a milder influenza season than many previous. </w:t>
      </w:r>
    </w:p>
    <w:p w14:paraId="238CA58C" w14:textId="77777777" w:rsidR="000C0E7A" w:rsidRDefault="000C0E7A" w:rsidP="000C0E7A">
      <w:r>
        <w:t xml:space="preserve">Keyword: FluTracking, influenza, surveillance </w:t>
      </w:r>
    </w:p>
    <w:p w14:paraId="621B835F" w14:textId="77777777" w:rsidR="00345EBA" w:rsidRDefault="00345EBA">
      <w:pPr>
        <w:rPr>
          <w:rFonts w:asciiTheme="majorHAnsi" w:eastAsiaTheme="majorEastAsia" w:hAnsiTheme="majorHAnsi" w:cstheme="majorBidi"/>
          <w:b/>
          <w:bCs/>
          <w:sz w:val="32"/>
          <w:szCs w:val="28"/>
        </w:rPr>
      </w:pPr>
      <w:r>
        <w:br w:type="page"/>
      </w:r>
    </w:p>
    <w:p w14:paraId="65B7B3A4" w14:textId="41A49601" w:rsidR="000C0E7A" w:rsidRPr="000C0E7A" w:rsidRDefault="000C0E7A" w:rsidP="000C0E7A">
      <w:pPr>
        <w:pStyle w:val="Heading1"/>
      </w:pPr>
      <w:r w:rsidRPr="000C0E7A">
        <w:lastRenderedPageBreak/>
        <w:t xml:space="preserve">Introduction </w:t>
      </w:r>
    </w:p>
    <w:p w14:paraId="537374DE" w14:textId="77777777" w:rsidR="000C0E7A" w:rsidRDefault="000C0E7A" w:rsidP="000C0E7A">
      <w:r>
        <w:t>FluTracking provides weekly community level influenza-like illness (ILI) surveillance that is not biased by health seeking behaviour, clinician testing practices or differences in jurisdictional surveillance methods.</w:t>
      </w:r>
      <w:r>
        <w:rPr>
          <w:vertAlign w:val="superscript"/>
        </w:rPr>
        <w:t>1–5</w:t>
      </w:r>
      <w:r>
        <w:t xml:space="preserve"> FluTracking provides an indication of the differential ILI attack rates by age and geography, and seriousness of disease at a community level.</w:t>
      </w:r>
      <w:r>
        <w:rPr>
          <w:vertAlign w:val="superscript"/>
        </w:rPr>
        <w:t>6</w:t>
      </w:r>
      <w:r>
        <w:t xml:space="preserve"> The FluTracking surveillance system has been incorporated into the weekly Australian Influenza Surveillance Report since 2009.</w:t>
      </w:r>
      <w:r>
        <w:rPr>
          <w:vertAlign w:val="superscript"/>
        </w:rPr>
        <w:t>7</w:t>
      </w:r>
      <w:r>
        <w:t xml:space="preserve"> </w:t>
      </w:r>
    </w:p>
    <w:p w14:paraId="0F573DC5" w14:textId="77777777" w:rsidR="000C0E7A" w:rsidRDefault="000C0E7A" w:rsidP="000C0E7A">
      <w:r>
        <w:t xml:space="preserve">The main aims of FluTracking are to: </w:t>
      </w:r>
    </w:p>
    <w:p w14:paraId="20E96F3B" w14:textId="77777777" w:rsidR="000C0E7A" w:rsidRPr="000C0E7A" w:rsidRDefault="000C0E7A" w:rsidP="000C0E7A">
      <w:pPr>
        <w:pStyle w:val="ListParagraph"/>
        <w:numPr>
          <w:ilvl w:val="0"/>
          <w:numId w:val="11"/>
        </w:numPr>
        <w:rPr>
          <w:rFonts w:eastAsia="Times New Roman"/>
        </w:rPr>
      </w:pPr>
      <w:r w:rsidRPr="000C0E7A">
        <w:rPr>
          <w:rFonts w:eastAsia="Times New Roman"/>
        </w:rPr>
        <w:t xml:space="preserve">contribute to community level influenza surveillance in </w:t>
      </w:r>
      <w:proofErr w:type="gramStart"/>
      <w:r w:rsidRPr="000C0E7A">
        <w:rPr>
          <w:rFonts w:eastAsia="Times New Roman"/>
        </w:rPr>
        <w:t>Australia;</w:t>
      </w:r>
      <w:proofErr w:type="gramEnd"/>
      <w:r w:rsidRPr="000C0E7A">
        <w:rPr>
          <w:rFonts w:eastAsia="Times New Roman"/>
        </w:rPr>
        <w:t xml:space="preserve"> </w:t>
      </w:r>
    </w:p>
    <w:p w14:paraId="365CFAE8" w14:textId="77777777" w:rsidR="000C0E7A" w:rsidRPr="000C0E7A" w:rsidRDefault="000C0E7A" w:rsidP="000C0E7A">
      <w:pPr>
        <w:pStyle w:val="ListParagraph"/>
        <w:numPr>
          <w:ilvl w:val="0"/>
          <w:numId w:val="11"/>
        </w:numPr>
        <w:rPr>
          <w:rFonts w:eastAsia="Times New Roman"/>
        </w:rPr>
      </w:pPr>
      <w:r w:rsidRPr="000C0E7A">
        <w:rPr>
          <w:rFonts w:eastAsia="Times New Roman"/>
        </w:rPr>
        <w:t xml:space="preserve">provide consistent surveillance of influenza attack rates across all jurisdictions and over time; and </w:t>
      </w:r>
    </w:p>
    <w:p w14:paraId="28127345" w14:textId="77777777" w:rsidR="000C0E7A" w:rsidRPr="000C0E7A" w:rsidRDefault="000C0E7A" w:rsidP="000C0E7A">
      <w:pPr>
        <w:pStyle w:val="ListParagraph"/>
        <w:numPr>
          <w:ilvl w:val="0"/>
          <w:numId w:val="11"/>
        </w:numPr>
        <w:rPr>
          <w:rFonts w:eastAsia="Times New Roman"/>
        </w:rPr>
      </w:pPr>
      <w:r w:rsidRPr="000C0E7A">
        <w:rPr>
          <w:rFonts w:eastAsia="Times New Roman"/>
        </w:rPr>
        <w:t xml:space="preserve">provide year-to-year comparison of the timing, attack rates, and seriousness of influenza in the community. </w:t>
      </w:r>
    </w:p>
    <w:p w14:paraId="66DCE180" w14:textId="77777777" w:rsidR="000C0E7A" w:rsidRDefault="000C0E7A" w:rsidP="000C0E7A">
      <w:r>
        <w:t xml:space="preserve">In this report, we: </w:t>
      </w:r>
    </w:p>
    <w:p w14:paraId="42C3D79F" w14:textId="77777777" w:rsidR="000C0E7A" w:rsidRPr="004C77AC" w:rsidRDefault="000C0E7A" w:rsidP="004C77AC">
      <w:pPr>
        <w:pStyle w:val="ListParagraph"/>
        <w:numPr>
          <w:ilvl w:val="0"/>
          <w:numId w:val="14"/>
        </w:numPr>
        <w:rPr>
          <w:rFonts w:eastAsia="Times New Roman"/>
        </w:rPr>
      </w:pPr>
      <w:r w:rsidRPr="004C77AC">
        <w:rPr>
          <w:rFonts w:eastAsia="Times New Roman"/>
        </w:rPr>
        <w:t xml:space="preserve">describe the epidemiology of ILI in the </w:t>
      </w:r>
      <w:proofErr w:type="gramStart"/>
      <w:r w:rsidRPr="004C77AC">
        <w:rPr>
          <w:rFonts w:eastAsia="Times New Roman"/>
        </w:rPr>
        <w:t>community;</w:t>
      </w:r>
      <w:proofErr w:type="gramEnd"/>
      <w:r w:rsidRPr="004C77AC">
        <w:rPr>
          <w:rFonts w:eastAsia="Times New Roman"/>
        </w:rPr>
        <w:t xml:space="preserve"> </w:t>
      </w:r>
    </w:p>
    <w:p w14:paraId="6E33CCB8" w14:textId="77777777" w:rsidR="000C0E7A" w:rsidRPr="004C77AC" w:rsidRDefault="000C0E7A" w:rsidP="004C77AC">
      <w:pPr>
        <w:pStyle w:val="ListParagraph"/>
        <w:numPr>
          <w:ilvl w:val="0"/>
          <w:numId w:val="14"/>
        </w:numPr>
        <w:rPr>
          <w:rFonts w:eastAsia="Times New Roman"/>
        </w:rPr>
      </w:pPr>
      <w:r w:rsidRPr="004C77AC">
        <w:rPr>
          <w:rFonts w:eastAsia="Times New Roman"/>
        </w:rPr>
        <w:t xml:space="preserve">describe influenza vaccine coverage and laboratory influenza testing self-reported by </w:t>
      </w:r>
      <w:proofErr w:type="gramStart"/>
      <w:r w:rsidRPr="004C77AC">
        <w:rPr>
          <w:rFonts w:eastAsia="Times New Roman"/>
        </w:rPr>
        <w:t>participants;</w:t>
      </w:r>
      <w:proofErr w:type="gramEnd"/>
      <w:r w:rsidRPr="004C77AC">
        <w:rPr>
          <w:rFonts w:eastAsia="Times New Roman"/>
        </w:rPr>
        <w:t xml:space="preserve"> </w:t>
      </w:r>
    </w:p>
    <w:p w14:paraId="5441A681" w14:textId="77777777" w:rsidR="000C0E7A" w:rsidRPr="004C77AC" w:rsidRDefault="000C0E7A" w:rsidP="004C77AC">
      <w:pPr>
        <w:pStyle w:val="ListParagraph"/>
        <w:numPr>
          <w:ilvl w:val="0"/>
          <w:numId w:val="14"/>
        </w:numPr>
        <w:rPr>
          <w:rFonts w:eastAsia="Times New Roman"/>
        </w:rPr>
      </w:pPr>
      <w:r w:rsidRPr="004C77AC">
        <w:rPr>
          <w:rFonts w:eastAsia="Times New Roman"/>
        </w:rPr>
        <w:t xml:space="preserve">describe the performance characteristics of the FluTracking </w:t>
      </w:r>
      <w:proofErr w:type="gramStart"/>
      <w:r w:rsidRPr="004C77AC">
        <w:rPr>
          <w:rFonts w:eastAsia="Times New Roman"/>
        </w:rPr>
        <w:t>system;</w:t>
      </w:r>
      <w:proofErr w:type="gramEnd"/>
      <w:r w:rsidRPr="004C77AC">
        <w:rPr>
          <w:rFonts w:eastAsia="Times New Roman"/>
        </w:rPr>
        <w:t xml:space="preserve"> </w:t>
      </w:r>
    </w:p>
    <w:p w14:paraId="759D7FD9" w14:textId="77777777" w:rsidR="000C0E7A" w:rsidRPr="004C77AC" w:rsidRDefault="000C0E7A" w:rsidP="004C77AC">
      <w:pPr>
        <w:pStyle w:val="ListParagraph"/>
        <w:numPr>
          <w:ilvl w:val="0"/>
          <w:numId w:val="14"/>
        </w:numPr>
        <w:rPr>
          <w:rFonts w:eastAsia="Times New Roman"/>
        </w:rPr>
      </w:pPr>
      <w:r w:rsidRPr="004C77AC">
        <w:rPr>
          <w:rFonts w:eastAsia="Times New Roman"/>
        </w:rPr>
        <w:t xml:space="preserve">compare FluTracking ILI estimates with notifications of laboratory-confirmed influenza; and </w:t>
      </w:r>
    </w:p>
    <w:p w14:paraId="363E91A2" w14:textId="77777777" w:rsidR="000C0E7A" w:rsidRPr="004C77AC" w:rsidRDefault="000C0E7A" w:rsidP="004C77AC">
      <w:pPr>
        <w:pStyle w:val="ListParagraph"/>
        <w:numPr>
          <w:ilvl w:val="0"/>
          <w:numId w:val="14"/>
        </w:numPr>
        <w:rPr>
          <w:rFonts w:eastAsia="Times New Roman"/>
        </w:rPr>
      </w:pPr>
      <w:r w:rsidRPr="004C77AC">
        <w:rPr>
          <w:rFonts w:eastAsia="Times New Roman"/>
        </w:rPr>
        <w:t xml:space="preserve">compare ILI consultation rates from the Australian Sentinel Practices Research Network (ASPREN) with the percentage of FluTracking participants with ILI who visited a general practitioner (GP). </w:t>
      </w:r>
    </w:p>
    <w:p w14:paraId="1965B99D" w14:textId="77777777" w:rsidR="000C0E7A" w:rsidRPr="000C0E7A" w:rsidRDefault="000C0E7A" w:rsidP="000C0E7A">
      <w:pPr>
        <w:pStyle w:val="Heading1"/>
      </w:pPr>
      <w:r w:rsidRPr="000C0E7A">
        <w:t xml:space="preserve">Methods </w:t>
      </w:r>
    </w:p>
    <w:p w14:paraId="6E8E73A1" w14:textId="77777777" w:rsidR="000C0E7A" w:rsidRDefault="000C0E7A" w:rsidP="000C0E7A">
      <w:r>
        <w:t xml:space="preserve">The FluTracking surveillance system operated for 26 weeks from the week ending Sunday 29 April to the week ending Sunday 21 October 2018. The recruitment drive commenced on 24 April and continued through to the end of May, although participants were able to join at any time during the year. Recruitment methods were </w:t>
      </w:r>
      <w:proofErr w:type="gramStart"/>
      <w:r>
        <w:t>similar to</w:t>
      </w:r>
      <w:proofErr w:type="gramEnd"/>
      <w:r>
        <w:t xml:space="preserve"> those used in 2007–2017.</w:t>
      </w:r>
      <w:r>
        <w:rPr>
          <w:vertAlign w:val="superscript"/>
        </w:rPr>
        <w:t>8</w:t>
      </w:r>
      <w:r>
        <w:t xml:space="preserve"> The weekly survey questions evolved from 2007–2012.</w:t>
      </w:r>
      <w:r>
        <w:rPr>
          <w:vertAlign w:val="superscript"/>
        </w:rPr>
        <w:t>1,2,4,8</w:t>
      </w:r>
      <w:r>
        <w:t xml:space="preserve"> </w:t>
      </w:r>
    </w:p>
    <w:p w14:paraId="69F6DF26" w14:textId="77777777" w:rsidR="000C0E7A" w:rsidRDefault="000C0E7A" w:rsidP="000C0E7A">
      <w:r>
        <w:t>Descriptive statistics were tabulated and summarised for each state and territory, by age group, sex, education level, Aboriginal and Torres Strait Islander status, and influenza vaccination status. Note that FluTracking asks if a participant ‘identifies’ as Aboriginal or Torres Strait Islander, rather than asking if a participant is of Aboriginal or Torres Strait Islander ‘origin’. The rationale for this decision is discussed elsewhere.</w:t>
      </w:r>
      <w:r>
        <w:rPr>
          <w:vertAlign w:val="superscript"/>
        </w:rPr>
        <w:t xml:space="preserve">9 </w:t>
      </w:r>
    </w:p>
    <w:p w14:paraId="3EDB91CB" w14:textId="77777777" w:rsidR="000C0E7A" w:rsidRDefault="000C0E7A" w:rsidP="000C0E7A">
      <w:r>
        <w:t xml:space="preserve">A participant was defined as anyone who had a survey submitted by themself or on their behalf. A respondent was anyone who submitted a survey either for themself or on behalf of a household member. Each household has one only respondent but can have multiple participants. </w:t>
      </w:r>
    </w:p>
    <w:p w14:paraId="0874DC2F" w14:textId="77777777" w:rsidR="000C0E7A" w:rsidRDefault="000C0E7A" w:rsidP="000C0E7A">
      <w:r>
        <w:t>The participation rate for state and territory, age group, and sex was calculated using the Australian Bureau of Statistics June 2018 Estimated Resident Population.</w:t>
      </w:r>
      <w:r>
        <w:rPr>
          <w:vertAlign w:val="superscript"/>
        </w:rPr>
        <w:t>10</w:t>
      </w:r>
      <w:r>
        <w:t xml:space="preserve"> The participation rate for education level was calculated using the 2016 Australian Census data, and Aboriginal and Torres Strait Islander status used the 2016 Australian Census data.</w:t>
      </w:r>
      <w:r>
        <w:rPr>
          <w:vertAlign w:val="superscript"/>
        </w:rPr>
        <w:t>11,12</w:t>
      </w:r>
      <w:r>
        <w:t xml:space="preserve"> </w:t>
      </w:r>
    </w:p>
    <w:p w14:paraId="062FBCD6" w14:textId="77777777" w:rsidR="000C0E7A" w:rsidRDefault="000C0E7A" w:rsidP="000C0E7A">
      <w:r>
        <w:t xml:space="preserve">Unless otherwise stated, an ILI case was defined as a participant who reported both fever and cough. For all ILI analyses, any surveys including a response of ‘don’t know’ for the ‘fever’ or ‘cough’ or ‘influenza vaccination status’ or ‘time off work or normal duties’ variables were removed from analysis. ILI percentages include all vaccinated and unvaccinated participants unless otherwise noted or stratified. </w:t>
      </w:r>
    </w:p>
    <w:p w14:paraId="706C1556" w14:textId="77777777" w:rsidR="000C0E7A" w:rsidRDefault="000C0E7A" w:rsidP="000C0E7A">
      <w:r>
        <w:lastRenderedPageBreak/>
        <w:t xml:space="preserve">For ILI percentage calculations, the numerator was all participants who completed a survey for the current week and reported new ILI symptoms, and the denominator was all participants who completed a survey for that week (excluding participants who responded ‘don’t know’ as noted above). Where there were consecutive weeks of reporting ILI symptoms, only the first week of onset of symptoms was used to determine attack rates. Symptoms reported following at least one week with no symptoms, or following at least two missing surveys, were treated as a new case of ILI. </w:t>
      </w:r>
    </w:p>
    <w:p w14:paraId="7D7B7BE6" w14:textId="0F5D9229" w:rsidR="000C0E7A" w:rsidRDefault="000C0E7A" w:rsidP="000C0E7A">
      <w:r>
        <w:t xml:space="preserve">A participant </w:t>
      </w:r>
      <w:proofErr w:type="gramStart"/>
      <w:r>
        <w:t>was considered to be</w:t>
      </w:r>
      <w:proofErr w:type="gramEnd"/>
      <w:r>
        <w:t xml:space="preserve"> effectively vaccinated two survey periods after they reported being vaccinated. This delay was not applied to any participants who reported being vaccinated in their first FluTracking survey for the</w:t>
      </w:r>
      <w:r w:rsidR="00345EBA">
        <w:t> </w:t>
      </w:r>
      <w:r>
        <w:t xml:space="preserve">year. </w:t>
      </w:r>
    </w:p>
    <w:p w14:paraId="054D29E8" w14:textId="77777777" w:rsidR="000C0E7A" w:rsidRDefault="000C0E7A" w:rsidP="000C0E7A">
      <w:r>
        <w:t xml:space="preserve">We analysed the percentage of vaccinated participants for the following groups: those aged less than 5 years, those greater than 65 years, and those who identified as working face-to-face with patients. Weekly ILI percentages were compared by self-reported vaccination status, adjusted by effective vaccination as described above. </w:t>
      </w:r>
    </w:p>
    <w:p w14:paraId="7C4D6CCA" w14:textId="77777777" w:rsidR="000C0E7A" w:rsidRDefault="000C0E7A" w:rsidP="000C0E7A">
      <w:r>
        <w:t xml:space="preserve">We compared the weekly percentage of participants who reported ILI across 2011 to 2018 alongside two additional severity definitions: 1) two or more days off work or normal duties; and 2) visited a GP, emergency department, or were admitted to hospital due to ILI. </w:t>
      </w:r>
    </w:p>
    <w:p w14:paraId="41537479" w14:textId="77777777" w:rsidR="000C0E7A" w:rsidRDefault="000C0E7A" w:rsidP="000C0E7A">
      <w:r>
        <w:t xml:space="preserve">ILI percentages were compared with national laboratory confirmed influenza notifications for 2009 to 2018. </w:t>
      </w:r>
    </w:p>
    <w:p w14:paraId="39A81FCC" w14:textId="77777777" w:rsidR="000C0E7A" w:rsidRDefault="000C0E7A" w:rsidP="000C0E7A">
      <w:r>
        <w:t xml:space="preserve">The mean weekly percentage of FluTracking participants with ILI that were tested for influenza was compared across states and territories from 2013 to 2018. </w:t>
      </w:r>
    </w:p>
    <w:p w14:paraId="01D8A6C9" w14:textId="77777777" w:rsidR="000C0E7A" w:rsidRDefault="000C0E7A" w:rsidP="000C0E7A">
      <w:r>
        <w:t xml:space="preserve">We compared the percentage of participants reporting ILI in the peak four weeks, and cumulative incidence of ILI across the season, stratified by age group. </w:t>
      </w:r>
    </w:p>
    <w:p w14:paraId="6F83200B" w14:textId="77777777" w:rsidR="000C0E7A" w:rsidRDefault="000C0E7A" w:rsidP="000C0E7A">
      <w:r>
        <w:t>For 2014 to 2018, we also compared the weekly percentage of FluTracking participants with ILI who visited a GP, to the Australian Sentinel Practices Research Network (ASPREN) rate per 1,000 consultations of fever, cough, fatigue.</w:t>
      </w:r>
      <w:r>
        <w:rPr>
          <w:vertAlign w:val="superscript"/>
        </w:rPr>
        <w:t xml:space="preserve">13 </w:t>
      </w:r>
    </w:p>
    <w:p w14:paraId="14713A97" w14:textId="77777777" w:rsidR="000C0E7A" w:rsidRPr="000C0E7A" w:rsidRDefault="000C0E7A" w:rsidP="000C0E7A">
      <w:pPr>
        <w:pStyle w:val="Heading1"/>
      </w:pPr>
      <w:r w:rsidRPr="000C0E7A">
        <w:t xml:space="preserve">Results </w:t>
      </w:r>
    </w:p>
    <w:p w14:paraId="56E16F52" w14:textId="77777777" w:rsidR="000C0E7A" w:rsidRPr="000C0E7A" w:rsidRDefault="000C0E7A" w:rsidP="000C0E7A">
      <w:pPr>
        <w:pStyle w:val="Heading2"/>
      </w:pPr>
      <w:r w:rsidRPr="000C0E7A">
        <w:t xml:space="preserve">Recruitment </w:t>
      </w:r>
    </w:p>
    <w:p w14:paraId="21788D09" w14:textId="77777777" w:rsidR="000C0E7A" w:rsidRDefault="000C0E7A" w:rsidP="000C0E7A">
      <w:r>
        <w:t xml:space="preserve">An additional 16,881 FluTracking participants were recruited in 2018, slightly more than the previous two years combined (7,785 and 8,609 new participants recruited during 2017 and 2016 respectively). </w:t>
      </w:r>
    </w:p>
    <w:p w14:paraId="28C7497E" w14:textId="77777777" w:rsidR="000C0E7A" w:rsidRDefault="000C0E7A" w:rsidP="000C0E7A">
      <w:r>
        <w:t xml:space="preserve">For 2018, the most successful recruitment strategy continued to be the email asking existing participants to invite two friends (with 5,749 participants signing up in the following six days). There was overlap between the first survey sent on 30 April and an email invite to a website subscription list targeting Australians aged 65 years and over (wyza.com.au) on 1 May (with 4,136 new participants over the following six days, Figure 1). A total of 1,407 participants signed up by following the link in their WYZA email. </w:t>
      </w:r>
    </w:p>
    <w:p w14:paraId="005B3B99" w14:textId="77777777" w:rsidR="000C0E7A" w:rsidRDefault="000C0E7A" w:rsidP="000C0E7A">
      <w:r>
        <w:t xml:space="preserve">Facebook posts were boosted in April and May, which resulted in a combined 1,992 likes, 347 comments, 1,360 shares and a reach of 195,788. The number of “likes” for the FluTracking Facebook page increased from 5,097 to 6,716; the page had 6,645 followers at the end of the FluTracking surveillance period. </w:t>
      </w:r>
    </w:p>
    <w:p w14:paraId="66FEC55C" w14:textId="77777777" w:rsidR="0001412F" w:rsidRDefault="0001412F">
      <w:pPr>
        <w:rPr>
          <w:rFonts w:asciiTheme="majorHAnsi" w:eastAsiaTheme="majorEastAsia" w:hAnsiTheme="majorHAnsi" w:cstheme="majorBidi"/>
          <w:b/>
          <w:bCs/>
          <w:sz w:val="26"/>
          <w:szCs w:val="26"/>
        </w:rPr>
      </w:pPr>
      <w:r>
        <w:br w:type="page"/>
      </w:r>
    </w:p>
    <w:p w14:paraId="56E64D83" w14:textId="77777777" w:rsidR="0001412F" w:rsidRPr="005D10EE" w:rsidRDefault="0001412F" w:rsidP="0001412F">
      <w:pPr>
        <w:pStyle w:val="CDIFigures"/>
      </w:pPr>
      <w:r w:rsidRPr="005D10EE">
        <w:rPr>
          <w:rStyle w:val="Strong"/>
          <w:b/>
          <w:bCs w:val="0"/>
        </w:rPr>
        <w:lastRenderedPageBreak/>
        <w:t>Figure 1: Significant FluTracking recruitment events and impact, 2018</w:t>
      </w:r>
    </w:p>
    <w:p w14:paraId="5C38746D" w14:textId="77777777" w:rsidR="0001412F" w:rsidRDefault="0001412F" w:rsidP="004C77AC">
      <w:pPr>
        <w:jc w:val="center"/>
        <w:rPr>
          <w:rFonts w:eastAsia="Times New Roman"/>
          <w:lang w:val="en-GB"/>
        </w:rPr>
      </w:pPr>
      <w:r>
        <w:rPr>
          <w:rFonts w:eastAsia="Times New Roman"/>
          <w:noProof/>
          <w:lang w:val="en-GB"/>
        </w:rPr>
        <w:drawing>
          <wp:inline distT="0" distB="0" distL="0" distR="0" wp14:anchorId="7CD771A1" wp14:editId="6FFCBB92">
            <wp:extent cx="6629400" cy="4242155"/>
            <wp:effectExtent l="0" t="0" r="0" b="6350"/>
            <wp:docPr id="14" name="Picture 14" descr="Figure 1 is a column graph showing the number of participants recruited each day from 1 April to 21 October 2018 with relevant recruitment events. Details of the graph are explained in the main body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column graph showing the number of participants recruited each day from 1 April to 21 October 2018 with relevant recruitment events. Details of the graph are explained in the main body tex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6445" cy="4246663"/>
                    </a:xfrm>
                    <a:prstGeom prst="rect">
                      <a:avLst/>
                    </a:prstGeom>
                  </pic:spPr>
                </pic:pic>
              </a:graphicData>
            </a:graphic>
          </wp:inline>
        </w:drawing>
      </w:r>
    </w:p>
    <w:p w14:paraId="470A015F" w14:textId="68CEF7A1" w:rsidR="000C0E7A" w:rsidRPr="000C0E7A" w:rsidRDefault="000C0E7A" w:rsidP="000C0E7A">
      <w:pPr>
        <w:pStyle w:val="Heading2"/>
      </w:pPr>
      <w:r w:rsidRPr="000C0E7A">
        <w:t xml:space="preserve">Participation </w:t>
      </w:r>
    </w:p>
    <w:p w14:paraId="65E37A78" w14:textId="77777777" w:rsidR="000C0E7A" w:rsidRDefault="000C0E7A" w:rsidP="000C0E7A">
      <w:r>
        <w:t xml:space="preserve">At least one survey was completed by 25,895 respondents and 19,637 household members for a total of 45,532 participants. This represented a 34.1% increase from 2017 (n = 33,947, Figure 2). Of the 42,400 participants who completed a survey during the first four survey weeks, 67.5% (28,606) completed all available surveys, and 80.3% (34,045) completed more than 90.0% of available surveys. Eighty-five percent of the 2017 participants (n = 28,922) returned in 2018 to complete at least one survey, and this group comprised 64.0% of the 2018 participants. </w:t>
      </w:r>
    </w:p>
    <w:p w14:paraId="62DE3777" w14:textId="77777777" w:rsidR="000C0E7A" w:rsidRDefault="000C0E7A" w:rsidP="000C0E7A">
      <w:r>
        <w:t xml:space="preserve">During 2018, percentage increases in peak week participation were most marked in New South Wales, </w:t>
      </w:r>
      <w:proofErr w:type="gramStart"/>
      <w:r>
        <w:t>Victoria</w:t>
      </w:r>
      <w:proofErr w:type="gramEnd"/>
      <w:r>
        <w:t xml:space="preserve"> and Queensland. Queensland was the only jurisdiction with fewer than 100 participants (89.7) per 100,000 population (Appendix A, Table A.1). Tasmania continued to have the highest rate of FluTracking participation, with 619.7 FluTracking participants per 100,000 population (Figure 3 and Appendix A, Table A.1). </w:t>
      </w:r>
    </w:p>
    <w:p w14:paraId="14D0AF16" w14:textId="77777777" w:rsidR="006C2B0D" w:rsidRDefault="006C2B0D">
      <w:pPr>
        <w:rPr>
          <w:rFonts w:asciiTheme="majorHAnsi" w:eastAsiaTheme="majorEastAsia" w:hAnsiTheme="majorHAnsi" w:cstheme="majorBidi"/>
          <w:b/>
          <w:bCs/>
          <w:sz w:val="26"/>
          <w:szCs w:val="26"/>
        </w:rPr>
      </w:pPr>
      <w:r>
        <w:br w:type="page"/>
      </w:r>
    </w:p>
    <w:p w14:paraId="24D9AAD2" w14:textId="77777777" w:rsidR="006C2B0D" w:rsidRPr="005D10EE" w:rsidRDefault="006C2B0D" w:rsidP="006C2B0D">
      <w:pPr>
        <w:pStyle w:val="CDIFigures"/>
      </w:pPr>
      <w:r w:rsidRPr="005D10EE">
        <w:rPr>
          <w:rStyle w:val="Strong"/>
          <w:b/>
          <w:bCs w:val="0"/>
        </w:rPr>
        <w:lastRenderedPageBreak/>
        <w:t>Figure 2: Number of participants who completed at least one survey, Australia, 2006 to 2018, by year</w:t>
      </w:r>
    </w:p>
    <w:p w14:paraId="4D7B0D3C" w14:textId="77777777" w:rsidR="006C2B0D" w:rsidRDefault="006C2B0D" w:rsidP="004C77AC">
      <w:pPr>
        <w:jc w:val="center"/>
        <w:rPr>
          <w:rFonts w:eastAsia="Times New Roman"/>
          <w:lang w:val="en-GB"/>
        </w:rPr>
      </w:pPr>
      <w:r>
        <w:rPr>
          <w:rFonts w:eastAsia="Times New Roman"/>
          <w:noProof/>
          <w:lang w:val="en-GB"/>
        </w:rPr>
        <w:drawing>
          <wp:inline distT="0" distB="0" distL="0" distR="0" wp14:anchorId="04B79390" wp14:editId="4DB4B425">
            <wp:extent cx="6233136" cy="4390846"/>
            <wp:effectExtent l="0" t="0" r="0" b="0"/>
            <wp:docPr id="2" name="Picture 2" descr="Figure 2 is a column graph showing the number of participants who completed at least one survey in Australia each year from 2006 to 2018. The number of participants that have completed at least one survey has increased each year from 394 participants in 2006 to 45,532 participants in 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column graph showing the number of participants who completed at least one survey in Australia each year from 2006 to 2018. The number of participants that have completed at least one survey has increased each year from 394 participants in 2006 to 45,532 participants in 2018.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274765" cy="4420171"/>
                    </a:xfrm>
                    <a:prstGeom prst="rect">
                      <a:avLst/>
                    </a:prstGeom>
                  </pic:spPr>
                </pic:pic>
              </a:graphicData>
            </a:graphic>
          </wp:inline>
        </w:drawing>
      </w:r>
    </w:p>
    <w:p w14:paraId="145F3C75" w14:textId="77777777" w:rsidR="006241D0" w:rsidRPr="005D10EE" w:rsidRDefault="006241D0" w:rsidP="006241D0">
      <w:pPr>
        <w:pStyle w:val="CDIFigures"/>
      </w:pPr>
      <w:r w:rsidRPr="005D10EE">
        <w:rPr>
          <w:rStyle w:val="Strong"/>
          <w:b/>
          <w:bCs w:val="0"/>
        </w:rPr>
        <w:t>Figure 3. FluTracking participation per 100,000 population, by jurisdiction, 2018</w:t>
      </w:r>
    </w:p>
    <w:p w14:paraId="249F0249" w14:textId="77777777" w:rsidR="006241D0" w:rsidRDefault="006241D0" w:rsidP="004C77AC">
      <w:pPr>
        <w:jc w:val="center"/>
        <w:rPr>
          <w:rFonts w:eastAsia="Times New Roman"/>
          <w:lang w:val="en-GB"/>
        </w:rPr>
      </w:pPr>
      <w:r>
        <w:rPr>
          <w:rFonts w:eastAsia="Times New Roman"/>
          <w:noProof/>
          <w:lang w:val="en-GB"/>
        </w:rPr>
        <w:drawing>
          <wp:inline distT="0" distB="0" distL="0" distR="0" wp14:anchorId="032783B0" wp14:editId="286FBCB2">
            <wp:extent cx="3954322" cy="3717985"/>
            <wp:effectExtent l="0" t="0" r="8255" b="0"/>
            <wp:docPr id="3" name="Picture 3" descr="Figure 3 is a map describing the rate of Flutracking participation per 100,000 participants for each state/territory. Tasmania had the highest rate of Flutracking participation per 100,000 persons (619.7), followed by the Northern Territory (450.6) and the Australian Capital Territory (446.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map describing the rate of Flutracking participation per 100,000 participants for each state/territory. Tasmania had the highest rate of Flutracking participation per 100,000 persons (619.7), followed by the Northern Territory (450.6) and the Australian Capital Territory (446.4). "/>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976260" cy="3738612"/>
                    </a:xfrm>
                    <a:prstGeom prst="rect">
                      <a:avLst/>
                    </a:prstGeom>
                  </pic:spPr>
                </pic:pic>
              </a:graphicData>
            </a:graphic>
          </wp:inline>
        </w:drawing>
      </w:r>
    </w:p>
    <w:p w14:paraId="565EF80F" w14:textId="77777777" w:rsidR="006241D0" w:rsidRDefault="006241D0" w:rsidP="000C0E7A">
      <w:pPr>
        <w:pStyle w:val="Heading2"/>
      </w:pPr>
    </w:p>
    <w:p w14:paraId="0202C353" w14:textId="512A1470" w:rsidR="000C0E7A" w:rsidRPr="000C0E7A" w:rsidRDefault="000C0E7A" w:rsidP="000C0E7A">
      <w:pPr>
        <w:pStyle w:val="Heading2"/>
      </w:pPr>
      <w:r w:rsidRPr="000C0E7A">
        <w:t xml:space="preserve">Socio-demographic characteristics </w:t>
      </w:r>
    </w:p>
    <w:p w14:paraId="3F0BFAA1" w14:textId="77777777" w:rsidR="000C0E7A" w:rsidRDefault="000C0E7A" w:rsidP="000C0E7A">
      <w:r>
        <w:t xml:space="preserve">Of the participants who completed at least one survey in 2018, complete demographic details were available for 42,696 (773 participants were missing sex, 1,342 were missing education, and 2,238 were missing Aboriginal and Torres Strait Islander status; these participants signed up prior to these data being collected). The largest age bracket was participants aged 50 to 64 years (31.1%), followed by participants aged 35 to 49 years (22.7%); 16 to 34 years (15.6%); 65 years and over (17.3%); and 0 to 15 years (13.3%, Appendix A, Table A.2). More participants were female (59.8%) than male (40.2%), and the largest education group was ‘completed a </w:t>
      </w:r>
      <w:proofErr w:type="gramStart"/>
      <w:r>
        <w:t>bachelors</w:t>
      </w:r>
      <w:proofErr w:type="gramEnd"/>
      <w:r>
        <w:t xml:space="preserve"> degree’ (23.7%). The percentage of participants who identified as being Aboriginal or Torres Strait Islander remained at 1.6% (compared to 3.3% of the Australian population). </w:t>
      </w:r>
    </w:p>
    <w:p w14:paraId="499AC42A" w14:textId="77777777" w:rsidR="000C0E7A" w:rsidRPr="000C0E7A" w:rsidRDefault="000C0E7A" w:rsidP="000C0E7A">
      <w:pPr>
        <w:pStyle w:val="Heading2"/>
      </w:pPr>
      <w:r w:rsidRPr="000C0E7A">
        <w:t xml:space="preserve">Time to respond to survey each week </w:t>
      </w:r>
    </w:p>
    <w:p w14:paraId="51644949" w14:textId="77777777" w:rsidR="000C0E7A" w:rsidRDefault="000C0E7A" w:rsidP="000C0E7A">
      <w:r>
        <w:t>Most participants responded within 24 hours of the survey being sent, with a mean 24-hour response of 74.3% over the 26 weeks. The 65 years or over age group had the highest mean 24-hour response of 81.3% over the 26 weeks.</w:t>
      </w:r>
    </w:p>
    <w:p w14:paraId="0F5C610C" w14:textId="77777777" w:rsidR="000C0E7A" w:rsidRPr="000C0E7A" w:rsidRDefault="000C0E7A" w:rsidP="000C0E7A">
      <w:pPr>
        <w:pStyle w:val="Heading2"/>
      </w:pPr>
      <w:r w:rsidRPr="000C0E7A">
        <w:t xml:space="preserve">Percentage of participants vaccinated </w:t>
      </w:r>
    </w:p>
    <w:p w14:paraId="6603AF92" w14:textId="5A1855D7" w:rsidR="000C0E7A" w:rsidRDefault="000C0E7A" w:rsidP="000C0E7A">
      <w:r>
        <w:t>By the final survey for 2018, the annual influenza vaccine had been received by 65.7% of participants (29,891/45,531), compared with 60.2% of 2017 participants (20,421/33,947) vaccinated by the end of 2017 (Figure</w:t>
      </w:r>
      <w:r w:rsidR="00772D38">
        <w:t> </w:t>
      </w:r>
      <w:r>
        <w:t xml:space="preserve">4). Participants aged less than five years had the largest increase in vaccine coverage, with 55.6% coverage compared to 23.7% in 2017. Participants aged 65 years and above had the highest coverage, at 86.6%, which was slightly higher than 84.2% in 2017. </w:t>
      </w:r>
    </w:p>
    <w:p w14:paraId="4D9555AF" w14:textId="69F1DF17" w:rsidR="00772D38" w:rsidRDefault="000C0E7A" w:rsidP="000C0E7A">
      <w:r>
        <w:t xml:space="preserve">Of the 7,956 participants in 2018 who identified as working face-to-face with patients, 6,586 (82.8%) received the vaccine compared with 80.2% by the end of 2017. </w:t>
      </w:r>
    </w:p>
    <w:p w14:paraId="0139D025" w14:textId="77777777" w:rsidR="00772D38" w:rsidRDefault="00772D38">
      <w:pPr>
        <w:rPr>
          <w:rFonts w:asciiTheme="majorHAnsi" w:eastAsiaTheme="majorEastAsia" w:hAnsiTheme="majorHAnsi" w:cstheme="majorBidi"/>
          <w:b/>
          <w:bCs/>
          <w:sz w:val="26"/>
          <w:szCs w:val="26"/>
        </w:rPr>
      </w:pPr>
      <w:r>
        <w:br w:type="page"/>
      </w:r>
    </w:p>
    <w:p w14:paraId="21F2CA6C" w14:textId="77777777" w:rsidR="00772D38" w:rsidRPr="005D10EE" w:rsidRDefault="00772D38" w:rsidP="00772D38">
      <w:pPr>
        <w:pStyle w:val="CDIFigures"/>
      </w:pPr>
      <w:r w:rsidRPr="005D10EE">
        <w:rPr>
          <w:rStyle w:val="Strong"/>
          <w:b/>
          <w:bCs w:val="0"/>
        </w:rPr>
        <w:lastRenderedPageBreak/>
        <w:t>Figure 4: Influenza vaccination uptake at the final survey of each participant, by participant characteristics, Australia, 2007 to 2018, by year</w:t>
      </w:r>
    </w:p>
    <w:p w14:paraId="7A4C66CD" w14:textId="6DF7F3E6" w:rsidR="00772D38" w:rsidRDefault="002B0D30" w:rsidP="004C77AC">
      <w:pPr>
        <w:jc w:val="center"/>
        <w:rPr>
          <w:rFonts w:eastAsia="Times New Roman"/>
          <w:lang w:val="en-GB"/>
        </w:rPr>
      </w:pPr>
      <w:r>
        <w:rPr>
          <w:rFonts w:eastAsia="Times New Roman"/>
          <w:noProof/>
          <w:lang w:val="en-GB"/>
        </w:rPr>
        <w:drawing>
          <wp:inline distT="0" distB="0" distL="0" distR="0" wp14:anchorId="5C54BB75" wp14:editId="792E6A47">
            <wp:extent cx="6645910" cy="4619625"/>
            <wp:effectExtent l="0" t="0" r="2540" b="9525"/>
            <wp:docPr id="15" name="Picture 15" descr="Figure 4 is a line graph comparing the percentage of participants vaccinated each year from 2007 to 2018 for: 1) all participants; 2) participants working face-to-face with patients; 3) participants aged less than 5 years of age; and 4) participants aged 65 years and over. This percentage calculation for 2010 included participants who received either the monovalent H1N109 influenza vaccine in 2009 or 2010, or received the 2010 seasonal influenza vaccine. Seasonal vaccination levels were similar in 2018 to prior years for all of the comparison groups except for children under 5 years, for whom vaccination rates sharply incr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4 is a line graph comparing the percentage of participants vaccinated each year from 2007 to 2018 for: 1) all participants; 2) participants working face-to-face with patients; 3) participants aged less than 5 years of age; and 4) participants aged 65 years and over. This percentage calculation for 2010 included participants who received either the monovalent H1N109 influenza vaccine in 2009 or 2010, or received the 2010 seasonal influenza vaccine. Seasonal vaccination levels were similar in 2018 to prior years for all of the comparison groups except for children under 5 years, for whom vaccination rates sharply increas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4619625"/>
                    </a:xfrm>
                    <a:prstGeom prst="rect">
                      <a:avLst/>
                    </a:prstGeom>
                  </pic:spPr>
                </pic:pic>
              </a:graphicData>
            </a:graphic>
          </wp:inline>
        </w:drawing>
      </w:r>
    </w:p>
    <w:p w14:paraId="6010BC72" w14:textId="77777777" w:rsidR="00772D38" w:rsidRDefault="00772D38" w:rsidP="00772D38">
      <w:pPr>
        <w:pStyle w:val="CDIfootnotes"/>
        <w:rPr>
          <w:lang w:val="en-GB"/>
        </w:rPr>
      </w:pPr>
      <w:r>
        <w:rPr>
          <w:lang w:val="en-GB"/>
        </w:rPr>
        <w:t>a</w:t>
      </w:r>
      <w:r>
        <w:rPr>
          <w:lang w:val="en-GB"/>
        </w:rPr>
        <w:tab/>
      </w:r>
      <w:proofErr w:type="gramStart"/>
      <w:r>
        <w:rPr>
          <w:lang w:val="en-GB"/>
        </w:rPr>
        <w:t>Household members (including children)</w:t>
      </w:r>
      <w:proofErr w:type="gramEnd"/>
      <w:r>
        <w:rPr>
          <w:lang w:val="en-GB"/>
        </w:rPr>
        <w:t xml:space="preserve"> were not added to FluTracking until the 2008 season.</w:t>
      </w:r>
    </w:p>
    <w:p w14:paraId="7D1A4E48" w14:textId="77777777" w:rsidR="00772D38" w:rsidRDefault="00772D38" w:rsidP="00772D38">
      <w:pPr>
        <w:pStyle w:val="CDIfootnotes"/>
        <w:rPr>
          <w:lang w:val="en-GB"/>
        </w:rPr>
      </w:pPr>
      <w:r>
        <w:rPr>
          <w:lang w:val="en-GB"/>
        </w:rPr>
        <w:t>b</w:t>
      </w:r>
      <w:r>
        <w:rPr>
          <w:lang w:val="en-GB"/>
        </w:rPr>
        <w:tab/>
        <w:t xml:space="preserve">This percentage calculation included participants who received either the monovalent H1N109 influenza vaccine in 2009 or </w:t>
      </w:r>
      <w:proofErr w:type="gramStart"/>
      <w:r>
        <w:rPr>
          <w:lang w:val="en-GB"/>
        </w:rPr>
        <w:t>2010, or</w:t>
      </w:r>
      <w:proofErr w:type="gramEnd"/>
      <w:r>
        <w:rPr>
          <w:lang w:val="en-GB"/>
        </w:rPr>
        <w:t xml:space="preserve"> received the 2010 seasonal influenza vaccine.</w:t>
      </w:r>
    </w:p>
    <w:p w14:paraId="193BAAB9" w14:textId="77777777" w:rsidR="00516B9E" w:rsidRDefault="00516B9E">
      <w:pPr>
        <w:rPr>
          <w:rFonts w:asciiTheme="majorHAnsi" w:eastAsiaTheme="majorEastAsia" w:hAnsiTheme="majorHAnsi" w:cstheme="majorBidi"/>
          <w:b/>
          <w:bCs/>
          <w:sz w:val="26"/>
          <w:szCs w:val="26"/>
        </w:rPr>
      </w:pPr>
      <w:r>
        <w:br w:type="page"/>
      </w:r>
    </w:p>
    <w:p w14:paraId="21114A7C" w14:textId="77777777" w:rsidR="00516B9E" w:rsidRDefault="00516B9E" w:rsidP="00516B9E">
      <w:pPr>
        <w:pStyle w:val="NormalWeb"/>
        <w:rPr>
          <w:lang w:val="en-GB"/>
        </w:rPr>
      </w:pPr>
      <w:r>
        <w:rPr>
          <w:rStyle w:val="Strong"/>
          <w:lang w:val="en-GB"/>
        </w:rPr>
        <w:lastRenderedPageBreak/>
        <w:t>Figure 5: Percent of participants with ILI stratified by influenza vaccination status, Australia, 2009 to 2018, by week</w:t>
      </w:r>
    </w:p>
    <w:p w14:paraId="2F633144" w14:textId="77777777" w:rsidR="00516B9E" w:rsidRDefault="00516B9E" w:rsidP="004C77AC">
      <w:pPr>
        <w:jc w:val="center"/>
        <w:rPr>
          <w:rFonts w:eastAsia="Times New Roman"/>
          <w:lang w:val="en-GB"/>
        </w:rPr>
      </w:pPr>
      <w:r>
        <w:rPr>
          <w:rFonts w:eastAsia="Times New Roman"/>
          <w:noProof/>
          <w:lang w:val="en-GB"/>
        </w:rPr>
        <w:drawing>
          <wp:inline distT="0" distB="0" distL="0" distR="0" wp14:anchorId="0B65DCB7" wp14:editId="61A6B68E">
            <wp:extent cx="6648095" cy="4466326"/>
            <wp:effectExtent l="0" t="0" r="635" b="0"/>
            <wp:docPr id="5" name="Picture 5" descr="Figure 5 is a line graph showing the national percentage of participants with ILI (defined as fever and cough) each week (ending Sunday) from 2009 to 2018, stratified by vaccination status (vaccinated versus unvaccinated with the seasonal influenza vaccine). For the majority of survey weeks there was a higher percentage of unvaccinated participants with ILI, as compared to vaccinated particip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is a line graph showing the national percentage of participants with ILI (defined as fever and cough) each week (ending Sunday) from 2009 to 2018, stratified by vaccination status (vaccinated versus unvaccinated with the seasonal influenza vaccine). For the majority of survey weeks there was a higher percentage of unvaccinated participants with ILI, as compared to vaccinated participants.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56203" cy="4471773"/>
                    </a:xfrm>
                    <a:prstGeom prst="rect">
                      <a:avLst/>
                    </a:prstGeom>
                  </pic:spPr>
                </pic:pic>
              </a:graphicData>
            </a:graphic>
          </wp:inline>
        </w:drawing>
      </w:r>
    </w:p>
    <w:p w14:paraId="101A4361" w14:textId="77777777" w:rsidR="007642EB" w:rsidRDefault="007642EB">
      <w:pPr>
        <w:rPr>
          <w:rFonts w:asciiTheme="majorHAnsi" w:eastAsiaTheme="majorEastAsia" w:hAnsiTheme="majorHAnsi" w:cstheme="majorBidi"/>
          <w:b/>
          <w:bCs/>
          <w:sz w:val="26"/>
          <w:szCs w:val="26"/>
        </w:rPr>
      </w:pPr>
      <w:r>
        <w:br w:type="page"/>
      </w:r>
    </w:p>
    <w:p w14:paraId="5A978C4B" w14:textId="77777777" w:rsidR="007642EB" w:rsidRPr="005D10EE" w:rsidRDefault="007642EB" w:rsidP="007642EB">
      <w:pPr>
        <w:pStyle w:val="CDIFigures"/>
      </w:pPr>
      <w:r w:rsidRPr="005D10EE">
        <w:rPr>
          <w:rStyle w:val="Strong"/>
          <w:b/>
          <w:bCs w:val="0"/>
        </w:rPr>
        <w:lastRenderedPageBreak/>
        <w:t xml:space="preserve">Figure 6: ILI percentage, 1 April to 31 </w:t>
      </w:r>
      <w:proofErr w:type="gramStart"/>
      <w:r w:rsidRPr="005D10EE">
        <w:rPr>
          <w:rStyle w:val="Strong"/>
          <w:b/>
          <w:bCs w:val="0"/>
        </w:rPr>
        <w:t>October,</w:t>
      </w:r>
      <w:r w:rsidRPr="0052298B">
        <w:rPr>
          <w:rStyle w:val="Strong"/>
          <w:b/>
          <w:bCs w:val="0"/>
          <w:vertAlign w:val="superscript"/>
        </w:rPr>
        <w:t>a</w:t>
      </w:r>
      <w:proofErr w:type="gramEnd"/>
      <w:r w:rsidRPr="005D10EE">
        <w:rPr>
          <w:rStyle w:val="Strong"/>
          <w:b/>
          <w:bCs w:val="0"/>
        </w:rPr>
        <w:t xml:space="preserve"> compared with national influenza laboratory notifications, Australia, 2009 to 2018, by week</w:t>
      </w:r>
    </w:p>
    <w:p w14:paraId="0233AF63" w14:textId="77777777" w:rsidR="007642EB" w:rsidRDefault="007642EB" w:rsidP="004C77AC">
      <w:pPr>
        <w:jc w:val="center"/>
        <w:rPr>
          <w:rFonts w:eastAsia="Times New Roman"/>
          <w:lang w:val="en-GB"/>
        </w:rPr>
      </w:pPr>
      <w:r>
        <w:rPr>
          <w:rFonts w:eastAsia="Times New Roman"/>
          <w:noProof/>
          <w:lang w:val="en-GB"/>
        </w:rPr>
        <w:drawing>
          <wp:inline distT="0" distB="0" distL="0" distR="0" wp14:anchorId="13DC121B" wp14:editId="53B640C6">
            <wp:extent cx="6629400" cy="4602557"/>
            <wp:effectExtent l="0" t="0" r="0" b="7620"/>
            <wp:docPr id="6" name="Picture 6" descr="Figure 6 is a line graph showing the national percentage of participants with ILI (defined as fever and cough) compared with counts of national influenza laboratory notifications for each week ending Sunday from 2009 to 2018. A similar seasonality pattern is seen in both the Flutracking ILI data and confirmed influenza notifications, with Flutracking ILI activity peaking up to four weeks earlier than confirmed influenza notifications in all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is a line graph showing the national percentage of participants with ILI (defined as fever and cough) compared with counts of national influenza laboratory notifications for each week ending Sunday from 2009 to 2018. A similar seasonality pattern is seen in both the Flutracking ILI data and confirmed influenza notifications, with Flutracking ILI activity peaking up to four weeks earlier than confirmed influenza notifications in all years."/>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0842" cy="4603558"/>
                    </a:xfrm>
                    <a:prstGeom prst="rect">
                      <a:avLst/>
                    </a:prstGeom>
                  </pic:spPr>
                </pic:pic>
              </a:graphicData>
            </a:graphic>
          </wp:inline>
        </w:drawing>
      </w:r>
    </w:p>
    <w:p w14:paraId="0EA70659" w14:textId="59B2038D" w:rsidR="00A06A54" w:rsidRPr="00A06A54" w:rsidRDefault="00A06A54" w:rsidP="00A06A54">
      <w:pPr>
        <w:pStyle w:val="CDIfootnotes"/>
        <w:rPr>
          <w:lang w:val="en-GB"/>
        </w:rPr>
      </w:pPr>
      <w:r>
        <w:rPr>
          <w:lang w:val="en-GB"/>
        </w:rPr>
        <w:t>a</w:t>
      </w:r>
      <w:r>
        <w:rPr>
          <w:lang w:val="en-GB"/>
        </w:rPr>
        <w:tab/>
      </w:r>
      <w:proofErr w:type="gramStart"/>
      <w:r>
        <w:rPr>
          <w:lang w:val="en-GB"/>
        </w:rPr>
        <w:t>Laboratory notifications</w:t>
      </w:r>
      <w:proofErr w:type="gramEnd"/>
      <w:r>
        <w:rPr>
          <w:lang w:val="en-GB"/>
        </w:rPr>
        <w:t xml:space="preserve"> are recorded year-round, while FluTracking typically collects data only between May and October.</w:t>
      </w:r>
    </w:p>
    <w:p w14:paraId="04289841" w14:textId="25782EC5" w:rsidR="000C0E7A" w:rsidRPr="000C0E7A" w:rsidRDefault="000C0E7A" w:rsidP="000C0E7A">
      <w:pPr>
        <w:pStyle w:val="Heading2"/>
      </w:pPr>
      <w:r w:rsidRPr="000C0E7A">
        <w:t xml:space="preserve">Percentage of participants with influenza-like illness symptoms </w:t>
      </w:r>
    </w:p>
    <w:p w14:paraId="2465A7E4" w14:textId="77777777" w:rsidR="000C0E7A" w:rsidRDefault="000C0E7A" w:rsidP="000C0E7A">
      <w:r>
        <w:t xml:space="preserve">Of participants who completed a survey in the national peak week of ILI for 2018, ILI was reported by 1.9% (compared with 3.4% in 2017 and 2.7% in 2016). Of participants who completed at least one survey in the national peak four-week period of ILI for 2018, ILI was reported by 6.8%, compared with 12.3% in 2017 and 9.6% in 2016 (Appendix A, Table A.3). </w:t>
      </w:r>
    </w:p>
    <w:p w14:paraId="6AE6AB18" w14:textId="77777777" w:rsidR="000C0E7A" w:rsidRPr="000C0E7A" w:rsidRDefault="000C0E7A" w:rsidP="000C0E7A">
      <w:pPr>
        <w:pStyle w:val="Heading2"/>
      </w:pPr>
      <w:r w:rsidRPr="000C0E7A">
        <w:t xml:space="preserve">Detection of influenza-like illness </w:t>
      </w:r>
    </w:p>
    <w:p w14:paraId="2E3EACAF" w14:textId="77777777" w:rsidR="000C0E7A" w:rsidRDefault="000C0E7A" w:rsidP="000C0E7A">
      <w:r>
        <w:t xml:space="preserve">The peak in ILI activity for 2018 occurred during the week ending 19 August; with 2.1% of unvaccinated and 1.8% of vaccinated participants reporting ILI (Figure 5). Divergence between the vaccinated and unvaccinated participants’ ILI percentages was highest during the week ending 16 September (1.5% in the vaccinated group and 1.9% in the unvaccinated group). </w:t>
      </w:r>
    </w:p>
    <w:p w14:paraId="35737DE2" w14:textId="77777777" w:rsidR="000C0E7A" w:rsidRPr="000C0E7A" w:rsidRDefault="000C0E7A" w:rsidP="000C0E7A">
      <w:pPr>
        <w:pStyle w:val="Heading2"/>
      </w:pPr>
      <w:r w:rsidRPr="000C0E7A">
        <w:t xml:space="preserve">Comparison with national laboratory influenza notifications </w:t>
      </w:r>
    </w:p>
    <w:p w14:paraId="2AB10572" w14:textId="77777777" w:rsidR="000C0E7A" w:rsidRDefault="000C0E7A" w:rsidP="000C0E7A">
      <w:r>
        <w:t xml:space="preserve">Nationally there was a large decrease in the number of </w:t>
      </w:r>
      <w:proofErr w:type="gramStart"/>
      <w:r>
        <w:t>laboratory</w:t>
      </w:r>
      <w:proofErr w:type="gramEnd"/>
      <w:r>
        <w:t xml:space="preserve"> confirmed cases of influenza in 2018 compared to 2017 (58,418 and 251,508 laboratory notifications respectively). In 2018, the peak week of laboratory notifications of influenza (3,039 laboratory notifications) occurred the week ending 9 September, compared with the peak week for FluTracking ILI (week ending 19 August). </w:t>
      </w:r>
    </w:p>
    <w:p w14:paraId="642A9EAF" w14:textId="77777777" w:rsidR="000C0E7A" w:rsidRPr="000C0E7A" w:rsidRDefault="000C0E7A" w:rsidP="000C0E7A">
      <w:pPr>
        <w:pStyle w:val="Heading2"/>
      </w:pPr>
      <w:r w:rsidRPr="000C0E7A">
        <w:lastRenderedPageBreak/>
        <w:t xml:space="preserve">Percent of self-reported laboratory influenza tests </w:t>
      </w:r>
    </w:p>
    <w:p w14:paraId="52168939" w14:textId="053E8D4B" w:rsidR="000C0E7A" w:rsidRDefault="000C0E7A" w:rsidP="000C0E7A">
      <w:r>
        <w:t xml:space="preserve">There was a reduction in the mean percentage of FluTracking participants with ILI in 2018 who were tested for influenza compared to 2017 (3.2% compared to 5.0% in 2017). This decrease in testing was consistent across all jurisdictions except for Western Australia. The percentage of participants with ILI who reported being tested for influenza ranged from 1.5% in the Northern Territory to 4.4% in South Australia, Figure 7). </w:t>
      </w:r>
    </w:p>
    <w:p w14:paraId="7D016EC9" w14:textId="77777777" w:rsidR="007642EB" w:rsidRPr="005D10EE" w:rsidRDefault="007642EB" w:rsidP="007642EB">
      <w:pPr>
        <w:pStyle w:val="CDIFigures"/>
      </w:pPr>
      <w:r w:rsidRPr="005D10EE">
        <w:rPr>
          <w:rStyle w:val="Strong"/>
          <w:b/>
          <w:bCs w:val="0"/>
        </w:rPr>
        <w:t>Figure 7: Mean weekly percentage of FluTracking participants with ILI who reported being tested for influenza, by jurisdiction, 2013-2018</w:t>
      </w:r>
    </w:p>
    <w:p w14:paraId="4BBF17D0" w14:textId="0A7AE053" w:rsidR="007642EB" w:rsidRPr="007642EB" w:rsidRDefault="007642EB" w:rsidP="004C77AC">
      <w:pPr>
        <w:jc w:val="center"/>
        <w:rPr>
          <w:rFonts w:eastAsia="Times New Roman"/>
          <w:lang w:val="en-GB"/>
        </w:rPr>
      </w:pPr>
      <w:r>
        <w:rPr>
          <w:rFonts w:eastAsia="Times New Roman"/>
          <w:noProof/>
          <w:lang w:val="en-GB"/>
        </w:rPr>
        <w:drawing>
          <wp:inline distT="0" distB="0" distL="0" distR="0" wp14:anchorId="24BDB3E7" wp14:editId="11DFC7F2">
            <wp:extent cx="6629400" cy="4634961"/>
            <wp:effectExtent l="0" t="0" r="0" b="0"/>
            <wp:docPr id="7" name="Picture 7" descr="Figure 7 is a column graph describing the average weekly percentage of Flutracking participants with fever and cough that were tested for influenza in each state/territory from 2013 to 2018. There was considerable diversity of rates of testing across jurisdictions. The average weekly percentage of Flutracking participants with fever and cough that were tested for influenza has increased each year from 2013 to 2017 at the national level but decreased in 2018. The percentage of ILI participants tested for influenza dropped in most jurisdictions in 2018 (all but W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is a column graph describing the average weekly percentage of Flutracking participants with fever and cough that were tested for influenza in each state/territory from 2013 to 2018. There was considerable diversity of rates of testing across jurisdictions. The average weekly percentage of Flutracking participants with fever and cough that were tested for influenza has increased each year from 2013 to 2017 at the national level but decreased in 2018. The percentage of ILI participants tested for influenza dropped in most jurisdictions in 2018 (all but WA).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58992" cy="4655650"/>
                    </a:xfrm>
                    <a:prstGeom prst="rect">
                      <a:avLst/>
                    </a:prstGeom>
                  </pic:spPr>
                </pic:pic>
              </a:graphicData>
            </a:graphic>
          </wp:inline>
        </w:drawing>
      </w:r>
    </w:p>
    <w:p w14:paraId="459B2DE4" w14:textId="77777777" w:rsidR="000C0E7A" w:rsidRPr="000C0E7A" w:rsidRDefault="000C0E7A" w:rsidP="000C0E7A">
      <w:pPr>
        <w:pStyle w:val="Heading2"/>
      </w:pPr>
      <w:r w:rsidRPr="000C0E7A">
        <w:t xml:space="preserve">Time off work or normal duties and health-seeking behaviour </w:t>
      </w:r>
    </w:p>
    <w:p w14:paraId="6D3C6A07" w14:textId="4AB04153" w:rsidR="00402782" w:rsidRDefault="000C0E7A" w:rsidP="000C0E7A">
      <w:r>
        <w:t xml:space="preserve">The peak weekly percentage of participants with ILI taking time off work or normal duties was 56.8% in 2018 and 70.0% in 2017, while the peak weekly percentage of participants with ILI seeking health care was 36.9% in 2018 and 43.6% in 2017 (Figure 8). </w:t>
      </w:r>
    </w:p>
    <w:p w14:paraId="66C6F3F4" w14:textId="77777777" w:rsidR="00402782" w:rsidRDefault="00402782">
      <w:r>
        <w:br w:type="page"/>
      </w:r>
    </w:p>
    <w:p w14:paraId="7989B992" w14:textId="77777777" w:rsidR="00402782" w:rsidRPr="005D10EE" w:rsidRDefault="00402782" w:rsidP="00402782">
      <w:pPr>
        <w:pStyle w:val="CDIFigures"/>
      </w:pPr>
      <w:r w:rsidRPr="005D10EE">
        <w:rPr>
          <w:rStyle w:val="Strong"/>
          <w:b/>
          <w:bCs w:val="0"/>
        </w:rPr>
        <w:lastRenderedPageBreak/>
        <w:t xml:space="preserve">Figure 8: Weekly ILI </w:t>
      </w:r>
      <w:proofErr w:type="gramStart"/>
      <w:r w:rsidRPr="005D10EE">
        <w:rPr>
          <w:rStyle w:val="Strong"/>
          <w:b/>
          <w:bCs w:val="0"/>
        </w:rPr>
        <w:t>severity,</w:t>
      </w:r>
      <w:r w:rsidRPr="005D10EE">
        <w:rPr>
          <w:rStyle w:val="Strong"/>
          <w:b/>
          <w:bCs w:val="0"/>
          <w:vertAlign w:val="superscript"/>
        </w:rPr>
        <w:t>a</w:t>
      </w:r>
      <w:proofErr w:type="gramEnd"/>
      <w:r w:rsidRPr="005D10EE">
        <w:rPr>
          <w:rStyle w:val="Strong"/>
          <w:b/>
          <w:bCs w:val="0"/>
        </w:rPr>
        <w:t xml:space="preserve"> Australia, 2011 to 2018, by week</w:t>
      </w:r>
    </w:p>
    <w:p w14:paraId="33A0FF64" w14:textId="77777777" w:rsidR="00402782" w:rsidRDefault="00402782" w:rsidP="004C77AC">
      <w:pPr>
        <w:jc w:val="center"/>
        <w:rPr>
          <w:rFonts w:eastAsia="Times New Roman"/>
          <w:lang w:val="en-GB"/>
        </w:rPr>
      </w:pPr>
      <w:r>
        <w:rPr>
          <w:rFonts w:eastAsia="Times New Roman"/>
          <w:noProof/>
          <w:lang w:val="en-GB"/>
        </w:rPr>
        <w:drawing>
          <wp:inline distT="0" distB="0" distL="0" distR="0" wp14:anchorId="391E60A5" wp14:editId="5106447D">
            <wp:extent cx="6629400" cy="4617992"/>
            <wp:effectExtent l="0" t="0" r="0" b="0"/>
            <wp:docPr id="8" name="Picture 8" descr="Figure 8 is a line graph showing the national percentage of participants who had two or more days off work or normal duties due to fever and cough compared with the national percentage of participants who sought medical advice from a general practitioner, emergency department or as a hospital inpatient each week (ending Sunday) from 2011 to 2018. The number of weekly participants who reported ILI is used as denominator for all percentages. There was a lower percentage of participants taking time off work or normal duties in 2018 compared to 2017 (peak level of 36.7% in 2018 compared to a peak level of 42.3% in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is a line graph showing the national percentage of participants who had two or more days off work or normal duties due to fever and cough compared with the national percentage of participants who sought medical advice from a general practitioner, emergency department or as a hospital inpatient each week (ending Sunday) from 2011 to 2018. The number of weekly participants who reported ILI is used as denominator for all percentages. There was a lower percentage of participants taking time off work or normal duties in 2018 compared to 2017 (peak level of 36.7% in 2018 compared to a peak level of 42.3% in 2017).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2663" cy="4620265"/>
                    </a:xfrm>
                    <a:prstGeom prst="rect">
                      <a:avLst/>
                    </a:prstGeom>
                  </pic:spPr>
                </pic:pic>
              </a:graphicData>
            </a:graphic>
          </wp:inline>
        </w:drawing>
      </w:r>
    </w:p>
    <w:p w14:paraId="0BE77CED" w14:textId="7BEA2B13" w:rsidR="000C0E7A" w:rsidRPr="00402782" w:rsidRDefault="00402782" w:rsidP="00402782">
      <w:pPr>
        <w:pStyle w:val="CDIfootnotes"/>
        <w:rPr>
          <w:lang w:val="en-GB"/>
        </w:rPr>
      </w:pPr>
      <w:r>
        <w:rPr>
          <w:lang w:val="en-GB"/>
        </w:rPr>
        <w:t>a</w:t>
      </w:r>
      <w:r>
        <w:rPr>
          <w:lang w:val="en-GB"/>
        </w:rPr>
        <w:tab/>
      </w:r>
      <w:proofErr w:type="gramStart"/>
      <w:r>
        <w:rPr>
          <w:lang w:val="en-GB"/>
        </w:rPr>
        <w:t>The</w:t>
      </w:r>
      <w:proofErr w:type="gramEnd"/>
      <w:r>
        <w:rPr>
          <w:lang w:val="en-GB"/>
        </w:rPr>
        <w:t xml:space="preserve"> denominator is the number of weekly ILI cases.</w:t>
      </w:r>
    </w:p>
    <w:p w14:paraId="481B25AE" w14:textId="77777777" w:rsidR="00145206" w:rsidRDefault="00145206">
      <w:pPr>
        <w:rPr>
          <w:rFonts w:asciiTheme="majorHAnsi" w:eastAsiaTheme="majorEastAsia" w:hAnsiTheme="majorHAnsi" w:cstheme="majorBidi"/>
          <w:b/>
          <w:bCs/>
          <w:sz w:val="26"/>
          <w:szCs w:val="26"/>
        </w:rPr>
      </w:pPr>
      <w:r>
        <w:br w:type="page"/>
      </w:r>
    </w:p>
    <w:p w14:paraId="548159DA" w14:textId="77777777" w:rsidR="00145206" w:rsidRDefault="00145206" w:rsidP="00145206">
      <w:pPr>
        <w:pStyle w:val="CDIFigures"/>
        <w:rPr>
          <w:rStyle w:val="Strong"/>
          <w:b/>
          <w:bCs w:val="0"/>
        </w:rPr>
      </w:pPr>
      <w:r w:rsidRPr="005D10EE">
        <w:rPr>
          <w:rStyle w:val="Strong"/>
          <w:b/>
          <w:bCs w:val="0"/>
        </w:rPr>
        <w:lastRenderedPageBreak/>
        <w:t>Figure 9: Burden of Illness pyramid for the peak four weeks of influenza activity in 2017 (weeks ending 6 August to 27 August) and 2018 (weeks ending 12 August to 2 September).</w:t>
      </w:r>
    </w:p>
    <w:p w14:paraId="0160F1A4" w14:textId="77777777" w:rsidR="00145206" w:rsidRPr="00B61327" w:rsidRDefault="00145206" w:rsidP="00145206">
      <w:pPr>
        <w:rPr>
          <w:rFonts w:eastAsia="Times New Roman"/>
          <w:b/>
          <w:bCs/>
          <w:lang w:val="en-GB"/>
        </w:rPr>
      </w:pPr>
      <w:r w:rsidRPr="00B61327">
        <w:rPr>
          <w:rFonts w:eastAsia="Times New Roman"/>
          <w:b/>
          <w:bCs/>
          <w:lang w:val="en-GB"/>
        </w:rPr>
        <w:t>2017</w:t>
      </w:r>
    </w:p>
    <w:p w14:paraId="7F22D433" w14:textId="77777777" w:rsidR="00145206" w:rsidRDefault="00145206" w:rsidP="004C77AC">
      <w:pPr>
        <w:jc w:val="center"/>
        <w:rPr>
          <w:rFonts w:eastAsia="Times New Roman"/>
          <w:lang w:val="en-GB"/>
        </w:rPr>
      </w:pPr>
      <w:r>
        <w:rPr>
          <w:rFonts w:eastAsia="Times New Roman"/>
          <w:noProof/>
          <w:lang w:val="en-GB"/>
        </w:rPr>
        <w:drawing>
          <wp:inline distT="0" distB="0" distL="0" distR="0" wp14:anchorId="7F639C6F" wp14:editId="787E4460">
            <wp:extent cx="2938278" cy="2203708"/>
            <wp:effectExtent l="0" t="0" r="0" b="6350"/>
            <wp:docPr id="12" name="Picture 12" descr="Figure 9 is a burden of illness triangle for 2017 and 2018. In 2017, 3,826 participants had fever and cough, of which 1,621 (42.3%) sought medical care and 182 (4.8%) tested positive for influenza. In 2018, 2,772 participants had fever and cough, of which 1,016 (36.7%) sought medical care and 21 (0.8%) tested positive for influe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9 is a burden of illness triangle for 2017 and 2018. In 2017, 3,826 participants had fever and cough, of which 1,621 (42.3%) sought medical care and 182 (4.8%) tested positive for influenza. In 2018, 2,772 participants had fever and cough, of which 1,016 (36.7%) sought medical care and 21 (0.8%) tested positive for influenza."/>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938278" cy="2203708"/>
                    </a:xfrm>
                    <a:prstGeom prst="rect">
                      <a:avLst/>
                    </a:prstGeom>
                  </pic:spPr>
                </pic:pic>
              </a:graphicData>
            </a:graphic>
          </wp:inline>
        </w:drawing>
      </w:r>
    </w:p>
    <w:p w14:paraId="7633AE7F" w14:textId="77777777" w:rsidR="00145206" w:rsidRPr="00B61327" w:rsidRDefault="00145206" w:rsidP="00145206">
      <w:pPr>
        <w:rPr>
          <w:rFonts w:eastAsia="Times New Roman"/>
          <w:b/>
          <w:bCs/>
          <w:lang w:val="en-GB"/>
        </w:rPr>
      </w:pPr>
      <w:r w:rsidRPr="00B61327">
        <w:rPr>
          <w:rFonts w:eastAsia="Times New Roman"/>
          <w:b/>
          <w:bCs/>
          <w:lang w:val="en-GB"/>
        </w:rPr>
        <w:t>2018</w:t>
      </w:r>
    </w:p>
    <w:p w14:paraId="37BA4130" w14:textId="77777777" w:rsidR="00145206" w:rsidRDefault="00145206" w:rsidP="004C77AC">
      <w:pPr>
        <w:jc w:val="center"/>
        <w:rPr>
          <w:rFonts w:eastAsia="Times New Roman"/>
          <w:lang w:val="en-GB"/>
        </w:rPr>
      </w:pPr>
      <w:r>
        <w:rPr>
          <w:rFonts w:eastAsia="Times New Roman"/>
          <w:noProof/>
          <w:lang w:val="en-GB"/>
        </w:rPr>
        <w:drawing>
          <wp:inline distT="0" distB="0" distL="0" distR="0" wp14:anchorId="4ED3BCE5" wp14:editId="1F121655">
            <wp:extent cx="2916942" cy="2188468"/>
            <wp:effectExtent l="0" t="0" r="0" b="254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916942" cy="2188468"/>
                    </a:xfrm>
                    <a:prstGeom prst="rect">
                      <a:avLst/>
                    </a:prstGeom>
                  </pic:spPr>
                </pic:pic>
              </a:graphicData>
            </a:graphic>
          </wp:inline>
        </w:drawing>
      </w:r>
    </w:p>
    <w:p w14:paraId="41BC8574" w14:textId="77A3204D" w:rsidR="000C0E7A" w:rsidRPr="000C0E7A" w:rsidRDefault="000C0E7A" w:rsidP="000C0E7A">
      <w:pPr>
        <w:pStyle w:val="Heading2"/>
      </w:pPr>
      <w:r w:rsidRPr="000C0E7A">
        <w:t xml:space="preserve">Burden of illness pyramid </w:t>
      </w:r>
    </w:p>
    <w:p w14:paraId="7858972B" w14:textId="77777777" w:rsidR="000C0E7A" w:rsidRDefault="000C0E7A" w:rsidP="000C0E7A">
      <w:r>
        <w:t xml:space="preserve">The percentage of FluTracking participants seeking care for ILI during the peak four weeks of influenza activity was lower in 2018 than in 2017 (36.7% versus 42.3%, Figure 9). Likewise, the percentage of FluTracking participants with ILI who tested positive for influenza during this period in 2018 was lower, at 0.8% compared to 4.8% in 2017. </w:t>
      </w:r>
    </w:p>
    <w:p w14:paraId="79AC3944" w14:textId="77777777" w:rsidR="000C0E7A" w:rsidRPr="000C0E7A" w:rsidRDefault="000C0E7A" w:rsidP="000C0E7A">
      <w:pPr>
        <w:pStyle w:val="Heading2"/>
      </w:pPr>
      <w:r w:rsidRPr="000C0E7A">
        <w:t xml:space="preserve">Percentage of participants with influenza-like illness by age group </w:t>
      </w:r>
    </w:p>
    <w:p w14:paraId="5F1DCE3A" w14:textId="77777777" w:rsidR="000C0E7A" w:rsidRDefault="000C0E7A" w:rsidP="000C0E7A">
      <w:r>
        <w:t xml:space="preserve">During the four-week peak of 2018, FluTracking participants reported lower rates of ILI across all age groups than was reported for the peak four weeks of 2017 or for the five-year average (2013–2017) of this measure. ILI percentages among FluTracking participants were highest in the youngest age group, and lowest in the oldest age group for these peak four weeks (Figure 10). </w:t>
      </w:r>
    </w:p>
    <w:p w14:paraId="675414C9" w14:textId="77777777" w:rsidR="00145206" w:rsidRDefault="00145206">
      <w:pPr>
        <w:rPr>
          <w:rFonts w:asciiTheme="majorHAnsi" w:eastAsiaTheme="majorEastAsia" w:hAnsiTheme="majorHAnsi" w:cstheme="majorBidi"/>
          <w:b/>
          <w:bCs/>
          <w:sz w:val="26"/>
          <w:szCs w:val="26"/>
        </w:rPr>
      </w:pPr>
      <w:r>
        <w:br w:type="page"/>
      </w:r>
    </w:p>
    <w:p w14:paraId="1FAE5237" w14:textId="77777777" w:rsidR="00145206" w:rsidRDefault="00145206" w:rsidP="00145206">
      <w:pPr>
        <w:pStyle w:val="CDIFigures"/>
        <w:rPr>
          <w:rStyle w:val="Strong"/>
          <w:b/>
          <w:bCs w:val="0"/>
        </w:rPr>
      </w:pPr>
      <w:r w:rsidRPr="005D10EE">
        <w:rPr>
          <w:rStyle w:val="Strong"/>
          <w:b/>
          <w:bCs w:val="0"/>
        </w:rPr>
        <w:lastRenderedPageBreak/>
        <w:t>Figure 10: Percentage of participants with ILI episodes, by year and age group, Australia, 2013 to 2018</w:t>
      </w:r>
      <w:r w:rsidRPr="002B0D30">
        <w:rPr>
          <w:rStyle w:val="Strong"/>
          <w:b/>
          <w:bCs w:val="0"/>
          <w:vertAlign w:val="superscript"/>
        </w:rPr>
        <w:t>a</w:t>
      </w:r>
    </w:p>
    <w:p w14:paraId="7D94D0BB" w14:textId="77777777" w:rsidR="00145206" w:rsidRPr="005D10EE" w:rsidRDefault="00145206" w:rsidP="004C77AC">
      <w:pPr>
        <w:pStyle w:val="CDIFigures"/>
        <w:jc w:val="center"/>
      </w:pPr>
      <w:r>
        <w:rPr>
          <w:rFonts w:eastAsia="Times New Roman"/>
          <w:noProof/>
          <w:lang w:val="en-GB"/>
        </w:rPr>
        <w:drawing>
          <wp:inline distT="0" distB="0" distL="0" distR="0" wp14:anchorId="396995D6" wp14:editId="13EF6D4F">
            <wp:extent cx="6629400" cy="4403864"/>
            <wp:effectExtent l="0" t="0" r="0" b="0"/>
            <wp:docPr id="9" name="Picture 9" descr="Figure 10 is a line graph comparing the percentage of participants with fever and cough from 2013 to 2018 by five year age groups.  Only the peak four weeks of fever and cough in Australia for each year were included.  The 0-4 years and 5-9 years age groups consistently had the highest levels of fever and cough each year for these years, compared to other age groups.  The proportion of participants with fever and cough declined with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10 is a line graph comparing the percentage of participants with fever and cough from 2013 to 2018 by five year age groups.  Only the peak four weeks of fever and cough in Australia for each year were included.  The 0-4 years and 5-9 years age groups consistently had the highest levels of fever and cough each year for these years, compared to other age groups.  The proportion of participants with fever and cough declined with ag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35927" cy="4408200"/>
                    </a:xfrm>
                    <a:prstGeom prst="rect">
                      <a:avLst/>
                    </a:prstGeom>
                  </pic:spPr>
                </pic:pic>
              </a:graphicData>
            </a:graphic>
          </wp:inline>
        </w:drawing>
      </w:r>
    </w:p>
    <w:p w14:paraId="5118A472" w14:textId="77777777" w:rsidR="00145206" w:rsidRDefault="00145206" w:rsidP="00145206">
      <w:pPr>
        <w:pStyle w:val="CDIfootnotes"/>
        <w:rPr>
          <w:lang w:val="en-GB"/>
        </w:rPr>
      </w:pPr>
      <w:proofErr w:type="gramStart"/>
      <w:r>
        <w:rPr>
          <w:lang w:val="en-GB"/>
        </w:rPr>
        <w:t>a</w:t>
      </w:r>
      <w:proofErr w:type="gramEnd"/>
      <w:r>
        <w:rPr>
          <w:lang w:val="en-GB"/>
        </w:rPr>
        <w:tab/>
        <w:t>Only the peak four weeks of ILI in Australia for each year were included.</w:t>
      </w:r>
    </w:p>
    <w:p w14:paraId="157D6FE6" w14:textId="614D2367" w:rsidR="000C0E7A" w:rsidRPr="000C0E7A" w:rsidRDefault="000C0E7A" w:rsidP="000C0E7A">
      <w:pPr>
        <w:pStyle w:val="Heading2"/>
      </w:pPr>
      <w:r w:rsidRPr="000C0E7A">
        <w:t xml:space="preserve">Cumulative incidence </w:t>
      </w:r>
    </w:p>
    <w:p w14:paraId="083A8274" w14:textId="77777777" w:rsidR="000C0E7A" w:rsidRDefault="000C0E7A" w:rsidP="000C0E7A">
      <w:r>
        <w:t xml:space="preserve">For participants completing all 26 surveys for 2018, the cumulative incidence of ILI was highest in the youngest age group, reaching 63%, and lowest in those aged 65 years or older (19%). There was a gradual increase in cumulative incidence for all age groups, with a sharper rise in ILI during May/June for the </w:t>
      </w:r>
      <w:proofErr w:type="gramStart"/>
      <w:r>
        <w:t>0 to 4 year</w:t>
      </w:r>
      <w:proofErr w:type="gramEnd"/>
      <w:r>
        <w:t xml:space="preserve"> age group (Figure 11). </w:t>
      </w:r>
    </w:p>
    <w:p w14:paraId="47AB62F3" w14:textId="77777777" w:rsidR="000C0E7A" w:rsidRPr="000C0E7A" w:rsidRDefault="000C0E7A" w:rsidP="000C0E7A">
      <w:pPr>
        <w:pStyle w:val="Heading2"/>
      </w:pPr>
      <w:r w:rsidRPr="000C0E7A">
        <w:t xml:space="preserve">Comparison with the Australian Sentinel Practices Research Network (ASPREN) </w:t>
      </w:r>
    </w:p>
    <w:p w14:paraId="14FFD0B5" w14:textId="77777777" w:rsidR="000C0E7A" w:rsidRDefault="000C0E7A" w:rsidP="000C0E7A">
      <w:r>
        <w:t xml:space="preserve">Nationally, the rate of ILI diagnosed by GP per 1,000 consultations showed a very similar trend to the percentage of FluTracking participants with ILI who visited a GP for the period 2014 to 2018 (Figure 12). In particular, the timing of the peak for both sources of data was consistent for each year considered. </w:t>
      </w:r>
    </w:p>
    <w:p w14:paraId="1E59CEE5" w14:textId="77777777" w:rsidR="00145206" w:rsidRDefault="00145206">
      <w:pPr>
        <w:rPr>
          <w:rFonts w:asciiTheme="majorHAnsi" w:eastAsiaTheme="majorEastAsia" w:hAnsiTheme="majorHAnsi" w:cstheme="majorBidi"/>
          <w:b/>
          <w:bCs/>
          <w:sz w:val="32"/>
          <w:szCs w:val="28"/>
        </w:rPr>
      </w:pPr>
      <w:r>
        <w:br w:type="page"/>
      </w:r>
    </w:p>
    <w:p w14:paraId="7662DB0A" w14:textId="77777777" w:rsidR="00145206" w:rsidRPr="005D10EE" w:rsidRDefault="00145206" w:rsidP="00145206">
      <w:pPr>
        <w:pStyle w:val="CDIFigures"/>
      </w:pPr>
      <w:r w:rsidRPr="005D10EE">
        <w:rPr>
          <w:rStyle w:val="Strong"/>
          <w:b/>
          <w:bCs w:val="0"/>
        </w:rPr>
        <w:lastRenderedPageBreak/>
        <w:t>Figure 11: Cumulative incidence of ILI, by age group, April to October 2018 by week</w:t>
      </w:r>
      <w:r w:rsidRPr="005D10EE">
        <w:rPr>
          <w:rStyle w:val="Strong"/>
          <w:b/>
          <w:bCs w:val="0"/>
          <w:vertAlign w:val="superscript"/>
        </w:rPr>
        <w:t>a</w:t>
      </w:r>
    </w:p>
    <w:p w14:paraId="68D78DA9" w14:textId="4444528D" w:rsidR="00145206" w:rsidRDefault="00145206" w:rsidP="004C77AC">
      <w:pPr>
        <w:jc w:val="center"/>
        <w:rPr>
          <w:rFonts w:eastAsia="Times New Roman"/>
          <w:lang w:val="en-GB"/>
        </w:rPr>
      </w:pPr>
      <w:r>
        <w:rPr>
          <w:rFonts w:eastAsia="Times New Roman"/>
          <w:noProof/>
          <w:lang w:val="en-GB"/>
        </w:rPr>
        <w:drawing>
          <wp:inline distT="0" distB="0" distL="0" distR="0" wp14:anchorId="306289D3" wp14:editId="63412C8A">
            <wp:extent cx="6132588" cy="4136144"/>
            <wp:effectExtent l="0" t="0" r="1905" b="0"/>
            <wp:docPr id="10" name="Picture 10" descr="Figure 11 is a line graph comparing the cumulative percentage of participants reporting a fever and cough incident across the survey period, by age group (0-4 years, 5-17 years, 18-64 years, 65+ years).  Only the first ILI episode of each participant was included.  The 0-4 years The cumulative proportion of participants with fever and cough increased throughout the survey period, but proportionally declined with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11 is a line graph comparing the cumulative percentage of participants reporting a fever and cough incident across the survey period, by age group (0-4 years, 5-17 years, 18-64 years, 65+ years).  Only the first ILI episode of each participant was included.  The 0-4 years The cumulative proportion of participants with fever and cough increased throughout the survey period, but proportionally declined with age.&#10;"/>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132588" cy="4136144"/>
                    </a:xfrm>
                    <a:prstGeom prst="rect">
                      <a:avLst/>
                    </a:prstGeom>
                  </pic:spPr>
                </pic:pic>
              </a:graphicData>
            </a:graphic>
          </wp:inline>
        </w:drawing>
      </w:r>
    </w:p>
    <w:p w14:paraId="3ABADE45" w14:textId="77777777" w:rsidR="001E16A1" w:rsidRDefault="001E16A1" w:rsidP="001E16A1">
      <w:pPr>
        <w:pStyle w:val="CDIfootnotes"/>
        <w:rPr>
          <w:lang w:val="en-GB"/>
        </w:rPr>
      </w:pPr>
      <w:proofErr w:type="gramStart"/>
      <w:r>
        <w:rPr>
          <w:lang w:val="en-GB"/>
        </w:rPr>
        <w:t>a</w:t>
      </w:r>
      <w:proofErr w:type="gramEnd"/>
      <w:r>
        <w:rPr>
          <w:lang w:val="en-GB"/>
        </w:rPr>
        <w:tab/>
        <w:t>Only first ILI episode of each participant was included.</w:t>
      </w:r>
    </w:p>
    <w:p w14:paraId="0C1FCAFC" w14:textId="77777777" w:rsidR="001E16A1" w:rsidRDefault="001E16A1" w:rsidP="004C77AC">
      <w:pPr>
        <w:jc w:val="center"/>
        <w:rPr>
          <w:rFonts w:eastAsia="Times New Roman"/>
          <w:lang w:val="en-GB"/>
        </w:rPr>
      </w:pPr>
    </w:p>
    <w:p w14:paraId="76172132" w14:textId="77777777" w:rsidR="002C2FA4" w:rsidRDefault="002C2FA4">
      <w:pPr>
        <w:rPr>
          <w:rStyle w:val="Strong"/>
          <w:bCs w:val="0"/>
        </w:rPr>
      </w:pPr>
      <w:r>
        <w:rPr>
          <w:rStyle w:val="Strong"/>
          <w:b w:val="0"/>
          <w:bCs w:val="0"/>
        </w:rPr>
        <w:br w:type="page"/>
      </w:r>
    </w:p>
    <w:p w14:paraId="650DD854" w14:textId="1A20C44B" w:rsidR="002C2FA4" w:rsidRPr="005D10EE" w:rsidRDefault="002C2FA4" w:rsidP="002C2FA4">
      <w:pPr>
        <w:pStyle w:val="CDIFigures"/>
      </w:pPr>
      <w:r w:rsidRPr="005D10EE">
        <w:rPr>
          <w:rStyle w:val="Strong"/>
          <w:b/>
          <w:bCs w:val="0"/>
        </w:rPr>
        <w:lastRenderedPageBreak/>
        <w:t>Figure 12: Percentage of FluTracking participants with ILI and rate of ILI/1,000 general practitioner consultations, 2014 to 2018</w:t>
      </w:r>
    </w:p>
    <w:p w14:paraId="36D6AF3F" w14:textId="0A695571" w:rsidR="002C2FA4" w:rsidRPr="00D631E3" w:rsidRDefault="002C2FA4" w:rsidP="00D631E3">
      <w:pPr>
        <w:jc w:val="center"/>
        <w:rPr>
          <w:rFonts w:eastAsia="Times New Roman"/>
          <w:lang w:val="en-GB"/>
        </w:rPr>
      </w:pPr>
      <w:r>
        <w:rPr>
          <w:rFonts w:eastAsia="Times New Roman"/>
          <w:noProof/>
          <w:lang w:val="en-GB"/>
        </w:rPr>
        <w:drawing>
          <wp:inline distT="0" distB="0" distL="0" distR="0" wp14:anchorId="76622DC8" wp14:editId="565696DA">
            <wp:extent cx="6114300" cy="4178817"/>
            <wp:effectExtent l="0" t="0" r="1270" b="0"/>
            <wp:docPr id="11" name="Picture 11" descr="Figure 12 is a line graph comparing the percentage of participants with fever and cough from 2014 to 2018 with the rate of ILI/1000 general practitioner consultations from the ASPREN surveillance system.  A similar seasonality pattern is seen in both the Flutracking ILI data and GP consultations, with Flutracking ILI activity peaking around three weeks earlier than ASPREN GP consultations for ILI in all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2 is a line graph comparing the percentage of participants with fever and cough from 2014 to 2018 with the rate of ILI/1000 general practitioner consultations from the ASPREN surveillance system.  A similar seasonality pattern is seen in both the Flutracking ILI data and GP consultations, with Flutracking ILI activity peaking around three weeks earlier than ASPREN GP consultations for ILI in all years."/>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114300" cy="4178817"/>
                    </a:xfrm>
                    <a:prstGeom prst="rect">
                      <a:avLst/>
                    </a:prstGeom>
                  </pic:spPr>
                </pic:pic>
              </a:graphicData>
            </a:graphic>
          </wp:inline>
        </w:drawing>
      </w:r>
    </w:p>
    <w:p w14:paraId="34F66DB8" w14:textId="6C87F534" w:rsidR="000C0E7A" w:rsidRPr="000C0E7A" w:rsidRDefault="000C0E7A" w:rsidP="000C0E7A">
      <w:pPr>
        <w:pStyle w:val="Heading1"/>
      </w:pPr>
      <w:r w:rsidRPr="000C0E7A">
        <w:t xml:space="preserve">Discussion </w:t>
      </w:r>
    </w:p>
    <w:p w14:paraId="6CDC0DFF" w14:textId="77777777" w:rsidR="000C0E7A" w:rsidRDefault="000C0E7A" w:rsidP="000C0E7A">
      <w:r>
        <w:t xml:space="preserve">The key highlights of FluTracking in 2018 were the large increase in new participants as well as the record low ILI and increased vaccination in young FluTrackers. Rates of ILI during 2018 were the lowest seen since FluTracking commenced in 2007, and we provided context to these rates by showing that ILI also tended to be less severe (with lower percentages of health-seeking or time off work/normal duties per ILI case) than during previous seasons. This low level of ILI was consistent with the ASPREN surveillance system and the number of </w:t>
      </w:r>
      <w:proofErr w:type="gramStart"/>
      <w:r>
        <w:t>laboratory</w:t>
      </w:r>
      <w:proofErr w:type="gramEnd"/>
      <w:r>
        <w:t xml:space="preserve"> confirmed influenza notifications. The value of multiple surveillance systems becomes clear when the usual epidemiological patterns are disrupted such as during the 2009 pandemic.</w:t>
      </w:r>
      <w:r>
        <w:rPr>
          <w:vertAlign w:val="superscript"/>
        </w:rPr>
        <w:t>4</w:t>
      </w:r>
      <w:r>
        <w:t xml:space="preserve"> </w:t>
      </w:r>
    </w:p>
    <w:p w14:paraId="5111EDE4" w14:textId="77777777" w:rsidR="000C0E7A" w:rsidRDefault="000C0E7A" w:rsidP="000C0E7A">
      <w:r>
        <w:t>The commitment of the FluTracking surveillance cohort continued to be demonstrated by the high percentage of participants completing their surveys within 24 hours (mean 74.3% of participants)</w:t>
      </w:r>
      <w:r w:rsidRPr="00042C15">
        <w:rPr>
          <w:rStyle w:val="Emphasis"/>
          <w:b w:val="0"/>
          <w:bCs w:val="0"/>
        </w:rPr>
        <w:t xml:space="preserve"> </w:t>
      </w:r>
      <w:r>
        <w:t xml:space="preserve">and the high completion rate, with </w:t>
      </w:r>
      <w:proofErr w:type="gramStart"/>
      <w:r>
        <w:t>a majority of</w:t>
      </w:r>
      <w:proofErr w:type="gramEnd"/>
      <w:r>
        <w:t xml:space="preserve"> participants (80.3%) completing 90% or more of surveys. These completion rates are much higher than other community based surveillance systems internationally (e.g., Flu Near You reports that around 22% of participants complete at least half the possible surveys).</w:t>
      </w:r>
      <w:r>
        <w:rPr>
          <w:vertAlign w:val="superscript"/>
        </w:rPr>
        <w:t>14</w:t>
      </w:r>
      <w:r>
        <w:t xml:space="preserve"> The strong FluTracking completion rates may be due to the user experience and brevity of the FluTracking survey, along with the active engagement that FluTracking aims for with our participants and strong participant involvement in the recruitment process itself.</w:t>
      </w:r>
      <w:r>
        <w:rPr>
          <w:vertAlign w:val="superscript"/>
        </w:rPr>
        <w:t>15</w:t>
      </w:r>
      <w:r>
        <w:t xml:space="preserve"> This is a strength of the system, as consistent participation reduces the likelihood of bias, such as participants only reporting when they experience symptoms. </w:t>
      </w:r>
    </w:p>
    <w:p w14:paraId="37E02037" w14:textId="77777777" w:rsidR="000C0E7A" w:rsidRDefault="000C0E7A" w:rsidP="000C0E7A">
      <w:r>
        <w:lastRenderedPageBreak/>
        <w:t xml:space="preserve">The timing of the peak percent of ILI in FluTracking was consistently three weeks prior to the peak in the notification of laboratory confirmed influenza cases. This suggests that community surveillance provides an earlier picture of ILI levels compared with the delay in testing and notification. </w:t>
      </w:r>
    </w:p>
    <w:p w14:paraId="2C40B666" w14:textId="279E500E" w:rsidR="000C0E7A" w:rsidRDefault="000C0E7A" w:rsidP="000C0E7A">
      <w:r>
        <w:t>FluTracking participants reported higher vaccination coverage for each age group in 2018 than in previous years, with the most notable increase in children aged younger than five years. This increase may be due to the newly-introduced funding of influenza vaccines for all children aged six months to five years, which commenced in 2018; we provide a more detailed analysis of these trends elsewhere.</w:t>
      </w:r>
      <w:r>
        <w:rPr>
          <w:vertAlign w:val="superscript"/>
        </w:rPr>
        <w:t>16,17</w:t>
      </w:r>
      <w:r>
        <w:t xml:space="preserve"> Another source of data for vaccination coverage, the Australian Immunisation Register, also released coverage data showing increased vaccination in children from 2016 to 2018 (Aboriginal and Torres Strait Islander from 11.6% to 28.2%; non-Aboriginal from 2.7% to 24.8% ).</w:t>
      </w:r>
      <w:r>
        <w:rPr>
          <w:vertAlign w:val="superscript"/>
        </w:rPr>
        <w:t>18,19</w:t>
      </w:r>
      <w:r>
        <w:t xml:space="preserve"> It is unclear whether the downturn in ILI throughout 2018 is related to this sharp increase in childhood vaccination</w:t>
      </w:r>
      <w:r w:rsidR="005F78DA">
        <w:t> </w:t>
      </w:r>
      <w:r>
        <w:t xml:space="preserve">rates. </w:t>
      </w:r>
    </w:p>
    <w:p w14:paraId="49A2276B" w14:textId="77777777" w:rsidR="000C0E7A" w:rsidRDefault="000C0E7A" w:rsidP="000C0E7A">
      <w:r>
        <w:t xml:space="preserve">Some limitations of the system should be noted. The profile of FluTracking participants continued to comprise greater proportions of those with higher education levels and female. There were also fewer younger, and fewer Aboriginal and Torres Strait Islander participants, than would be expected in a fully representative group of Australians. We are continually working toward improving representativeness of participants through targeted recruitment strategies and exploring a governance structure to honour and privilege First Nations voices and participation in FluTracking. FluTracking data also shows a consistent pattern of low rates of ILI in participants aged 65 years or older that is at odds with other data sources. </w:t>
      </w:r>
    </w:p>
    <w:p w14:paraId="6CCF0ED5" w14:textId="77777777" w:rsidR="000C0E7A" w:rsidRDefault="000C0E7A" w:rsidP="000C0E7A">
      <w:r>
        <w:t xml:space="preserve">During 2019, we aim to continue expanding FluTracking participation in Australia and our near neighbours. In 2018 FluTracking expanded to New Zealand, with excellent initial uptake showing promise for further expansion. </w:t>
      </w:r>
    </w:p>
    <w:p w14:paraId="5E78EED9" w14:textId="77777777" w:rsidR="000C0E7A" w:rsidRPr="000C0E7A" w:rsidRDefault="000C0E7A" w:rsidP="000C0E7A">
      <w:pPr>
        <w:pStyle w:val="Heading1"/>
      </w:pPr>
      <w:r w:rsidRPr="000C0E7A">
        <w:t xml:space="preserve">Acknowledgements </w:t>
      </w:r>
    </w:p>
    <w:p w14:paraId="606FE335" w14:textId="77777777" w:rsidR="000C0E7A" w:rsidRDefault="000C0E7A" w:rsidP="000C0E7A">
      <w:r>
        <w:t xml:space="preserve">We acknowledge the Custodians of the land and waters in which we live as First Nations Peoples of Australia. We acknowledge the contributions, wisdoms, </w:t>
      </w:r>
      <w:proofErr w:type="gramStart"/>
      <w:r>
        <w:t>knowledges</w:t>
      </w:r>
      <w:proofErr w:type="gramEnd"/>
      <w:r>
        <w:t xml:space="preserve"> and experiences of the First Nations participants involved in FluTracking. </w:t>
      </w:r>
    </w:p>
    <w:p w14:paraId="3F6C4311" w14:textId="72404A25" w:rsidR="000C0E7A" w:rsidRDefault="000C0E7A" w:rsidP="000C0E7A">
      <w:r>
        <w:t>We acknowledge the University of Newcastle for their continued support, and the Australian Government Department of Health</w:t>
      </w:r>
      <w:r w:rsidR="00C362F1">
        <w:t xml:space="preserve"> and Aged Care</w:t>
      </w:r>
      <w:r>
        <w:t xml:space="preserve"> and the Hunter Medical Research Institute for their funding and support. We also acknowledge Stephen Clarke for software and database development, and John Fejsa for his contribution to the design of the project, and the many thousands of FluTracking participants who freely give their time each week to contribute to influenza surveillance. </w:t>
      </w:r>
    </w:p>
    <w:p w14:paraId="7A10A62A" w14:textId="77777777" w:rsidR="002B0D30" w:rsidRDefault="002B0D30">
      <w:pPr>
        <w:rPr>
          <w:rFonts w:asciiTheme="majorHAnsi" w:eastAsiaTheme="majorEastAsia" w:hAnsiTheme="majorHAnsi" w:cstheme="majorBidi"/>
          <w:b/>
          <w:bCs/>
          <w:sz w:val="32"/>
          <w:szCs w:val="28"/>
        </w:rPr>
      </w:pPr>
      <w:r>
        <w:br w:type="page"/>
      </w:r>
    </w:p>
    <w:p w14:paraId="3755C2B6" w14:textId="45C6E374" w:rsidR="000C0E7A" w:rsidRPr="000C0E7A" w:rsidRDefault="000C0E7A" w:rsidP="000C0E7A">
      <w:pPr>
        <w:pStyle w:val="Heading1"/>
      </w:pPr>
      <w:r w:rsidRPr="000C0E7A">
        <w:lastRenderedPageBreak/>
        <w:t xml:space="preserve">Author details </w:t>
      </w:r>
    </w:p>
    <w:p w14:paraId="701B8A4B" w14:textId="542C6260" w:rsidR="000C0E7A" w:rsidRDefault="000C0E7A" w:rsidP="000C0E7A">
      <w:r>
        <w:t>Zachary L Howard</w:t>
      </w:r>
      <w:r>
        <w:rPr>
          <w:vertAlign w:val="superscript"/>
        </w:rPr>
        <w:t>1,4</w:t>
      </w:r>
      <w:r>
        <w:t xml:space="preserve"> </w:t>
      </w:r>
      <w:r w:rsidR="002B0D30">
        <w:br/>
      </w:r>
      <w:r>
        <w:t>Sandra J Carlson</w:t>
      </w:r>
      <w:r>
        <w:rPr>
          <w:vertAlign w:val="superscript"/>
        </w:rPr>
        <w:t>2</w:t>
      </w:r>
      <w:r>
        <w:t xml:space="preserve"> </w:t>
      </w:r>
      <w:r w:rsidR="002B0D30">
        <w:br/>
      </w:r>
      <w:r>
        <w:t>Sarah Moberley</w:t>
      </w:r>
      <w:r>
        <w:rPr>
          <w:vertAlign w:val="superscript"/>
        </w:rPr>
        <w:t>3</w:t>
      </w:r>
      <w:r>
        <w:t xml:space="preserve"> </w:t>
      </w:r>
      <w:r w:rsidR="002B0D30">
        <w:br/>
      </w:r>
      <w:r>
        <w:t>Michelle Butler</w:t>
      </w:r>
      <w:r>
        <w:rPr>
          <w:vertAlign w:val="superscript"/>
        </w:rPr>
        <w:t>2</w:t>
      </w:r>
      <w:r>
        <w:t xml:space="preserve"> </w:t>
      </w:r>
      <w:r w:rsidR="002B0D30">
        <w:br/>
      </w:r>
      <w:r>
        <w:t>Craig B Dalton</w:t>
      </w:r>
      <w:r>
        <w:rPr>
          <w:vertAlign w:val="superscript"/>
        </w:rPr>
        <w:t xml:space="preserve">2,4 </w:t>
      </w:r>
    </w:p>
    <w:p w14:paraId="6B9558B4" w14:textId="77777777" w:rsidR="000C0E7A" w:rsidRPr="000C0E7A" w:rsidRDefault="000C0E7A" w:rsidP="000C0E7A">
      <w:pPr>
        <w:pStyle w:val="ListParagraph"/>
        <w:numPr>
          <w:ilvl w:val="0"/>
          <w:numId w:val="13"/>
        </w:numPr>
        <w:rPr>
          <w:rFonts w:eastAsia="Times New Roman"/>
        </w:rPr>
      </w:pPr>
      <w:r w:rsidRPr="000C0E7A">
        <w:rPr>
          <w:rFonts w:eastAsia="Times New Roman"/>
        </w:rPr>
        <w:t xml:space="preserve">University of Western Australia, Western Australia, Australia </w:t>
      </w:r>
    </w:p>
    <w:p w14:paraId="5B78DC29" w14:textId="77777777" w:rsidR="000C0E7A" w:rsidRPr="000C0E7A" w:rsidRDefault="000C0E7A" w:rsidP="000C0E7A">
      <w:pPr>
        <w:pStyle w:val="ListParagraph"/>
        <w:numPr>
          <w:ilvl w:val="0"/>
          <w:numId w:val="13"/>
        </w:numPr>
        <w:rPr>
          <w:rFonts w:eastAsia="Times New Roman"/>
        </w:rPr>
      </w:pPr>
      <w:r w:rsidRPr="000C0E7A">
        <w:rPr>
          <w:rFonts w:eastAsia="Times New Roman"/>
        </w:rPr>
        <w:t xml:space="preserve">Hunter New England Population Health, New South Wales, Australia </w:t>
      </w:r>
    </w:p>
    <w:p w14:paraId="46A30AF4" w14:textId="77777777" w:rsidR="000C0E7A" w:rsidRPr="000C0E7A" w:rsidRDefault="000C0E7A" w:rsidP="000C0E7A">
      <w:pPr>
        <w:pStyle w:val="ListParagraph"/>
        <w:numPr>
          <w:ilvl w:val="0"/>
          <w:numId w:val="13"/>
        </w:numPr>
        <w:rPr>
          <w:rFonts w:eastAsia="Times New Roman"/>
        </w:rPr>
      </w:pPr>
      <w:r w:rsidRPr="000C0E7A">
        <w:rPr>
          <w:rFonts w:eastAsia="Times New Roman"/>
        </w:rPr>
        <w:t xml:space="preserve">Calvary Mater Newcastle, Waratah, Australia </w:t>
      </w:r>
    </w:p>
    <w:p w14:paraId="77E8085B" w14:textId="77777777" w:rsidR="000C0E7A" w:rsidRPr="000C0E7A" w:rsidRDefault="000C0E7A" w:rsidP="000C0E7A">
      <w:pPr>
        <w:pStyle w:val="ListParagraph"/>
        <w:numPr>
          <w:ilvl w:val="0"/>
          <w:numId w:val="13"/>
        </w:numPr>
        <w:rPr>
          <w:rFonts w:eastAsia="Times New Roman"/>
        </w:rPr>
      </w:pPr>
      <w:r w:rsidRPr="000C0E7A">
        <w:rPr>
          <w:rFonts w:eastAsia="Times New Roman"/>
        </w:rPr>
        <w:t xml:space="preserve">University of Newcastle, Callaghan, Australia </w:t>
      </w:r>
    </w:p>
    <w:p w14:paraId="770F2D03" w14:textId="6BC38EF8" w:rsidR="0093295E" w:rsidRDefault="0093295E">
      <w:pPr>
        <w:rPr>
          <w:rFonts w:asciiTheme="majorHAnsi" w:eastAsiaTheme="majorEastAsia" w:hAnsiTheme="majorHAnsi" w:cstheme="majorBidi"/>
          <w:b/>
          <w:bCs/>
          <w:sz w:val="26"/>
          <w:szCs w:val="26"/>
        </w:rPr>
      </w:pPr>
    </w:p>
    <w:p w14:paraId="1B958379" w14:textId="4B9D92A2" w:rsidR="000C0E7A" w:rsidRPr="000C0E7A" w:rsidRDefault="000C0E7A" w:rsidP="0093295E">
      <w:pPr>
        <w:pStyle w:val="Heading2"/>
        <w:spacing w:after="200"/>
      </w:pPr>
      <w:r w:rsidRPr="000C0E7A">
        <w:t xml:space="preserve">Corresponding author </w:t>
      </w:r>
    </w:p>
    <w:p w14:paraId="51E16889" w14:textId="77777777" w:rsidR="000C0E7A" w:rsidRDefault="000C0E7A" w:rsidP="000C0E7A">
      <w:r>
        <w:t xml:space="preserve">Sandra J Carlson </w:t>
      </w:r>
    </w:p>
    <w:p w14:paraId="4F7436B8" w14:textId="77777777" w:rsidR="000C0E7A" w:rsidRDefault="000C0E7A" w:rsidP="000C0E7A">
      <w:r>
        <w:t xml:space="preserve">Hunter New England Population Health, New South Wales, Australia </w:t>
      </w:r>
    </w:p>
    <w:p w14:paraId="386420B6" w14:textId="77777777" w:rsidR="000C0E7A" w:rsidRDefault="000C0E7A" w:rsidP="000C0E7A">
      <w:r>
        <w:t xml:space="preserve">Sandra.Carlson@health.nsw.gov.au </w:t>
      </w:r>
    </w:p>
    <w:p w14:paraId="7447C739" w14:textId="77777777" w:rsidR="000C0E7A" w:rsidRPr="000C0E7A" w:rsidRDefault="000C0E7A" w:rsidP="000C0E7A">
      <w:pPr>
        <w:pStyle w:val="Heading1"/>
      </w:pPr>
      <w:r w:rsidRPr="000C0E7A">
        <w:t xml:space="preserve">References </w:t>
      </w:r>
    </w:p>
    <w:p w14:paraId="00B2BF23"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Carlson SJ, Dalton CB, Tuyl FA, Durrheim DN, Fejsa J, Muscatello DJ et al. Flutracking surveillance: comparing 2007 New South Wales results with laboratory confirmed influenza notifications. </w:t>
      </w:r>
      <w:r w:rsidRPr="00042C15">
        <w:rPr>
          <w:rStyle w:val="Emphasis"/>
          <w:rFonts w:eastAsia="Times New Roman"/>
          <w:b w:val="0"/>
          <w:bCs w:val="0"/>
        </w:rPr>
        <w:t>Commun Dis Intell Q Rep</w:t>
      </w:r>
      <w:r>
        <w:rPr>
          <w:rFonts w:eastAsia="Times New Roman"/>
        </w:rPr>
        <w:t xml:space="preserve">. 2009;33(3);323–7. </w:t>
      </w:r>
    </w:p>
    <w:p w14:paraId="645B44B4"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Dalton CB, Durrheim DN, Fejsa J, Francis L, Carlson SJ, d’Espaignet ET et al. Flutracking: a weekly Australian community online survey of influenza-like illness in 2006, 2007 and 2008. </w:t>
      </w:r>
      <w:r w:rsidRPr="00042C15">
        <w:rPr>
          <w:rStyle w:val="Emphasis"/>
          <w:rFonts w:eastAsia="Times New Roman"/>
          <w:b w:val="0"/>
          <w:bCs w:val="0"/>
        </w:rPr>
        <w:t>Commun Dis Intell Q Rep</w:t>
      </w:r>
      <w:r>
        <w:rPr>
          <w:rFonts w:eastAsia="Times New Roman"/>
        </w:rPr>
        <w:t xml:space="preserve">. 2009;33(3);316–22. </w:t>
      </w:r>
    </w:p>
    <w:p w14:paraId="1C67A6EE"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Parrella A, Dalton CB, Pearce R, Litt JCB, Stocks N. ASPREN surveillance system for influenza-like illness: a comparison with FluTracking and the National Notifiable Diseases Surveillance System. </w:t>
      </w:r>
      <w:r w:rsidRPr="00042C15">
        <w:rPr>
          <w:rStyle w:val="Emphasis"/>
          <w:rFonts w:eastAsia="Times New Roman"/>
          <w:b w:val="0"/>
          <w:bCs w:val="0"/>
        </w:rPr>
        <w:t>Aust Fam Physician</w:t>
      </w:r>
      <w:r>
        <w:rPr>
          <w:rFonts w:eastAsia="Times New Roman"/>
        </w:rPr>
        <w:t xml:space="preserve">. 2009;38(11);932–6. </w:t>
      </w:r>
    </w:p>
    <w:p w14:paraId="4F7BA8DD"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Carlson SJ, Dalton CB, Durrheim DN, Fejsa J. Online Flutracking survey of influenza-like illness during pandemic (H1N1) 2009, Australia. </w:t>
      </w:r>
      <w:r w:rsidRPr="00042C15">
        <w:rPr>
          <w:rStyle w:val="Emphasis"/>
          <w:rFonts w:eastAsia="Times New Roman"/>
          <w:b w:val="0"/>
          <w:bCs w:val="0"/>
        </w:rPr>
        <w:t>Emerg Infect Dis</w:t>
      </w:r>
      <w:r>
        <w:rPr>
          <w:rFonts w:eastAsia="Times New Roman"/>
        </w:rPr>
        <w:t xml:space="preserve">. 2010;16(12):1960–2. </w:t>
      </w:r>
    </w:p>
    <w:p w14:paraId="560A0D29"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Dalton CB, Carlson SJ, Durrheim DN, Butler MT, Cheng AC, Kelly HA. Flutracking weekly online community survey of influenza-like illness annual report, 2015. </w:t>
      </w:r>
      <w:r w:rsidRPr="00042C15">
        <w:rPr>
          <w:rStyle w:val="Emphasis"/>
          <w:rFonts w:eastAsia="Times New Roman"/>
          <w:b w:val="0"/>
          <w:bCs w:val="0"/>
        </w:rPr>
        <w:t>Commun Dis Intell Q Rep</w:t>
      </w:r>
      <w:r>
        <w:rPr>
          <w:rFonts w:eastAsia="Times New Roman"/>
        </w:rPr>
        <w:t>. 2016;40(4</w:t>
      </w:r>
      <w:proofErr w:type="gramStart"/>
      <w:r>
        <w:rPr>
          <w:rFonts w:eastAsia="Times New Roman"/>
        </w:rPr>
        <w:t>);E</w:t>
      </w:r>
      <w:proofErr w:type="gramEnd"/>
      <w:r>
        <w:rPr>
          <w:rFonts w:eastAsia="Times New Roman"/>
        </w:rPr>
        <w:t xml:space="preserve">512–20. </w:t>
      </w:r>
    </w:p>
    <w:p w14:paraId="5AA7C6CB"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World Health Organization (WHO). </w:t>
      </w:r>
      <w:r w:rsidRPr="00042C15">
        <w:rPr>
          <w:rStyle w:val="Emphasis"/>
          <w:rFonts w:eastAsia="Times New Roman"/>
          <w:b w:val="0"/>
          <w:bCs w:val="0"/>
        </w:rPr>
        <w:t>Pandemic Influenza Severity Assessment (PISA): a WHO guide to assess the severity of influenza epidemics and pandemic</w:t>
      </w:r>
      <w:r>
        <w:rPr>
          <w:rFonts w:eastAsia="Times New Roman"/>
        </w:rPr>
        <w:t xml:space="preserve">. Geneva: WHO; May 2017. Available from: https://apps.who.int/iris/bitstream/handle/10665/259392/WHO-WHE-IHM-GIP-2017.2-eng.pdf. </w:t>
      </w:r>
    </w:p>
    <w:p w14:paraId="71823EF9"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Australian Government Department of Health. Australian influenza report 2009. Canberra: Australian Government Department of Health; 2009. </w:t>
      </w:r>
    </w:p>
    <w:p w14:paraId="2CB6BF82"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Moberley S, Carlson SJ, Durrheim DN, Dalton CB. Flutracking: Weekly online community-based surveillance of influenza-like illness in Australia, 2017 Annual Report. </w:t>
      </w:r>
      <w:r w:rsidRPr="00042C15">
        <w:rPr>
          <w:rStyle w:val="Emphasis"/>
          <w:rFonts w:eastAsia="Times New Roman"/>
          <w:b w:val="0"/>
          <w:bCs w:val="0"/>
        </w:rPr>
        <w:t>Commun Dis Intell (2018)</w:t>
      </w:r>
      <w:r>
        <w:rPr>
          <w:rFonts w:eastAsia="Times New Roman"/>
        </w:rPr>
        <w:t xml:space="preserve">. 2019;43. doi: https://doi.org/10.33321/cdi.2019.43.31. </w:t>
      </w:r>
    </w:p>
    <w:p w14:paraId="79DDAB2D"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Crooks K, Carlson SJ, Dalton CB. Defining, </w:t>
      </w:r>
      <w:proofErr w:type="gramStart"/>
      <w:r>
        <w:rPr>
          <w:rFonts w:eastAsia="Times New Roman"/>
        </w:rPr>
        <w:t>controlling</w:t>
      </w:r>
      <w:proofErr w:type="gramEnd"/>
      <w:r>
        <w:rPr>
          <w:rFonts w:eastAsia="Times New Roman"/>
        </w:rPr>
        <w:t xml:space="preserve"> and analysing Indigenous data: commitment to historical consistency or commitment to Australian Aboriginal and Torres Strait Islander peoples? </w:t>
      </w:r>
      <w:r w:rsidRPr="00042C15">
        <w:rPr>
          <w:rStyle w:val="Emphasis"/>
          <w:rFonts w:eastAsia="Times New Roman"/>
          <w:b w:val="0"/>
          <w:bCs w:val="0"/>
        </w:rPr>
        <w:t>Public Health Res Pract</w:t>
      </w:r>
      <w:r>
        <w:rPr>
          <w:rFonts w:eastAsia="Times New Roman"/>
        </w:rPr>
        <w:t xml:space="preserve">. 2019;29(4);2941926. doi: https://doi.org/10.17061/phrp2941926. </w:t>
      </w:r>
    </w:p>
    <w:p w14:paraId="47FCCC17"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lastRenderedPageBreak/>
        <w:t xml:space="preserve">Australian Bureau of Statistics. 3101.0 Australian Demographic Statistics, Jun 2018. [Webpage.] Canberra: Australian Bureau of Statistics; 20 December 2018. [Accessed on 10 June 2022.] Available from: https://www.abs.gov.au/AUSSTATS/abs@.nsf/DetailsPage/3101.0Jun%202018. </w:t>
      </w:r>
    </w:p>
    <w:p w14:paraId="482E7A2D"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Australian Bureau of Statistics. 2016 Census QuickStats. [Webpage.] Canberra: Australian Bureau of Statistics. [Accessed on 10 June 2022.] Available from: https://www.abs.gov.au/census/find-census-data/quickstats/2016/0. </w:t>
      </w:r>
    </w:p>
    <w:p w14:paraId="3A11F8CC"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Australian Bureau of Statistics. 2016 Census: Aboriginal and/or Torres Strait Islander Peoples QuickStats. [Webpage.] Canberra: Australian Bureau of Statistics; 2017. [Accessed on 28 February 2018.] Available from: https://quickstats.censusdata.abs.gov.au/census_services/getproduct/census/2016/quickstat/IQS036. </w:t>
      </w:r>
    </w:p>
    <w:p w14:paraId="5E828BE4"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Clothier HJ, Fielding JE, Kelly HA. An evaluation of the Australian Sentinel Practice Research Network (ASPREN) surveillance for influenza-like illness. </w:t>
      </w:r>
      <w:r w:rsidRPr="00042C15">
        <w:rPr>
          <w:rStyle w:val="Emphasis"/>
          <w:rFonts w:eastAsia="Times New Roman"/>
          <w:b w:val="0"/>
          <w:bCs w:val="0"/>
        </w:rPr>
        <w:t>Commun Dis Intell Q Rep</w:t>
      </w:r>
      <w:r>
        <w:rPr>
          <w:rFonts w:eastAsia="Times New Roman"/>
        </w:rPr>
        <w:t xml:space="preserve">. 2005;29(3):231–47. </w:t>
      </w:r>
    </w:p>
    <w:p w14:paraId="513D853D"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Smolinski MS, Crawley AW, Baltrusaitis K, Chunara R, Olsen JM, Wójcik O et al. Flu Near You: crowdsourced symptom reporting spanning 2 influenza seasons. </w:t>
      </w:r>
      <w:r w:rsidRPr="00042C15">
        <w:rPr>
          <w:rStyle w:val="Emphasis"/>
          <w:rFonts w:eastAsia="Times New Roman"/>
          <w:b w:val="0"/>
          <w:bCs w:val="0"/>
        </w:rPr>
        <w:t>Am J Public Health</w:t>
      </w:r>
      <w:r>
        <w:rPr>
          <w:rFonts w:eastAsia="Times New Roman"/>
        </w:rPr>
        <w:t xml:space="preserve">. 2015;105(10);2124–30. </w:t>
      </w:r>
    </w:p>
    <w:p w14:paraId="402D6614"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Dalton CB, Carlson SJ, Butler M, Cassano D, Clarke S, Fejsa J et al. Insights from Flutracking: thirteen tips to growing a web-based participatory surveillance system. </w:t>
      </w:r>
      <w:r w:rsidRPr="00042C15">
        <w:rPr>
          <w:rStyle w:val="Emphasis"/>
          <w:rFonts w:eastAsia="Times New Roman"/>
          <w:b w:val="0"/>
          <w:bCs w:val="0"/>
        </w:rPr>
        <w:t>JMIR Public Health Surveill</w:t>
      </w:r>
      <w:r>
        <w:rPr>
          <w:rFonts w:eastAsia="Times New Roman"/>
        </w:rPr>
        <w:t>. 2017;3(3</w:t>
      </w:r>
      <w:proofErr w:type="gramStart"/>
      <w:r>
        <w:rPr>
          <w:rFonts w:eastAsia="Times New Roman"/>
        </w:rPr>
        <w:t>);e</w:t>
      </w:r>
      <w:proofErr w:type="gramEnd"/>
      <w:r>
        <w:rPr>
          <w:rFonts w:eastAsia="Times New Roman"/>
        </w:rPr>
        <w:t xml:space="preserve">48. doi: https://doi.org/10.2196/publichealth.7333. </w:t>
      </w:r>
    </w:p>
    <w:p w14:paraId="28B1DCD7"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New South Wales Government Department of Health (NSW Health). Free flu shots for children aged 6 months to under 5 years. [Internet.] Sydney: NSW Health; 5 October 2018. [Accessed on 4 March 2019.] Available from: https://www.health.nsw.gov.au/immunisation/Pages/flu.aspx. </w:t>
      </w:r>
    </w:p>
    <w:p w14:paraId="4A71FA33"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Howard ZL, Dalton CB, Carlson SJ, Baldwin Z, Durheim DN. Impact of funding on influenza vaccine uptake in Australian children. </w:t>
      </w:r>
      <w:r w:rsidRPr="00042C15">
        <w:rPr>
          <w:rStyle w:val="Emphasis"/>
          <w:rFonts w:eastAsia="Times New Roman"/>
          <w:b w:val="0"/>
          <w:bCs w:val="0"/>
        </w:rPr>
        <w:t>Public Health Res Pract</w:t>
      </w:r>
      <w:r>
        <w:rPr>
          <w:rFonts w:eastAsia="Times New Roman"/>
        </w:rPr>
        <w:t>. 2021;31(1</w:t>
      </w:r>
      <w:proofErr w:type="gramStart"/>
      <w:r>
        <w:rPr>
          <w:rFonts w:eastAsia="Times New Roman"/>
        </w:rPr>
        <w:t>);e</w:t>
      </w:r>
      <w:proofErr w:type="gramEnd"/>
      <w:r>
        <w:rPr>
          <w:rFonts w:eastAsia="Times New Roman"/>
        </w:rPr>
        <w:t xml:space="preserve">3112104. doi: https://doi.org/10.17061/phrp3112104. </w:t>
      </w:r>
    </w:p>
    <w:p w14:paraId="1198450E"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Hull B, Hendry A, Dey A, Beard F, Brotherton J, McIntyre P. Annual Immunisation Coverage Report 2016. </w:t>
      </w:r>
      <w:r w:rsidRPr="00042C15">
        <w:rPr>
          <w:rStyle w:val="Emphasis"/>
          <w:rFonts w:eastAsia="Times New Roman"/>
          <w:b w:val="0"/>
          <w:bCs w:val="0"/>
        </w:rPr>
        <w:t>Commun Dis Intell (2018)</w:t>
      </w:r>
      <w:r>
        <w:rPr>
          <w:rFonts w:eastAsia="Times New Roman"/>
        </w:rPr>
        <w:t xml:space="preserve">. 2019;43. doi: https://doi.org/10.33321/cdi.2019.43.44. </w:t>
      </w:r>
    </w:p>
    <w:p w14:paraId="199DEB5A" w14:textId="77777777" w:rsidR="000C0E7A" w:rsidRDefault="000C0E7A" w:rsidP="000C0E7A">
      <w:pPr>
        <w:numPr>
          <w:ilvl w:val="0"/>
          <w:numId w:val="10"/>
        </w:numPr>
        <w:spacing w:before="100" w:beforeAutospacing="1" w:after="100" w:afterAutospacing="1" w:line="240" w:lineRule="auto"/>
        <w:rPr>
          <w:rFonts w:eastAsia="Times New Roman"/>
        </w:rPr>
      </w:pPr>
      <w:r>
        <w:rPr>
          <w:rFonts w:eastAsia="Times New Roman"/>
        </w:rPr>
        <w:t xml:space="preserve">Beard FH, Hendry AJ, Macartney K. Early success with room for improvement: influenza vaccination of young Australian children. </w:t>
      </w:r>
      <w:r w:rsidRPr="00042C15">
        <w:rPr>
          <w:rStyle w:val="Emphasis"/>
          <w:rFonts w:eastAsia="Times New Roman"/>
          <w:b w:val="0"/>
          <w:bCs w:val="0"/>
        </w:rPr>
        <w:t>Med J Aust</w:t>
      </w:r>
      <w:r>
        <w:rPr>
          <w:rFonts w:eastAsia="Times New Roman"/>
        </w:rPr>
        <w:t xml:space="preserve">. 2019;210(11);484–6. </w:t>
      </w:r>
    </w:p>
    <w:p w14:paraId="593F1FC6" w14:textId="77777777" w:rsidR="002B0D30" w:rsidRDefault="002B0D30">
      <w:pPr>
        <w:rPr>
          <w:rFonts w:asciiTheme="majorHAnsi" w:eastAsiaTheme="majorEastAsia" w:hAnsiTheme="majorHAnsi" w:cstheme="majorBidi"/>
          <w:b/>
          <w:bCs/>
          <w:sz w:val="32"/>
          <w:szCs w:val="28"/>
        </w:rPr>
      </w:pPr>
      <w:r>
        <w:br w:type="page"/>
      </w:r>
    </w:p>
    <w:p w14:paraId="5A5A9730" w14:textId="4850A7B8" w:rsidR="000C0E7A" w:rsidRPr="000C0E7A" w:rsidRDefault="000C0E7A" w:rsidP="000C0E7A">
      <w:pPr>
        <w:pStyle w:val="Heading1"/>
      </w:pPr>
      <w:r w:rsidRPr="000C0E7A">
        <w:lastRenderedPageBreak/>
        <w:t>Appendix A: Supplementary tables</w:t>
      </w:r>
    </w:p>
    <w:p w14:paraId="5C0B07BD" w14:textId="77777777" w:rsidR="002C2FA4" w:rsidRPr="005D10EE" w:rsidRDefault="002C2FA4" w:rsidP="002C2FA4">
      <w:pPr>
        <w:pStyle w:val="CDIFigures"/>
      </w:pPr>
      <w:r w:rsidRPr="005D10EE">
        <w:rPr>
          <w:rStyle w:val="Strong"/>
          <w:b/>
          <w:bCs w:val="0"/>
        </w:rPr>
        <w:t>Table A.1: FluTracking growth and participation in 2017 and 2018, by jurisdiction</w:t>
      </w:r>
    </w:p>
    <w:tbl>
      <w:tblPr>
        <w:tblStyle w:val="CDI-StandardTable"/>
        <w:tblW w:w="0" w:type="auto"/>
        <w:tblCellMar>
          <w:top w:w="170" w:type="dxa"/>
          <w:left w:w="113" w:type="dxa"/>
          <w:bottom w:w="170" w:type="dxa"/>
          <w:right w:w="113" w:type="dxa"/>
        </w:tblCellMar>
        <w:tblLook w:val="04A0" w:firstRow="1" w:lastRow="0" w:firstColumn="1" w:lastColumn="0" w:noHBand="0" w:noVBand="1"/>
        <w:tblDescription w:val="Appendix Table A.1 shows the number and percent of participants in the peak week of Flutracking for both 2017 and 2018, as well as the percentage change in participation from 2017 to 2018 and the rate of Flutracking participation per 100,000 participants, by jurisdiction."/>
      </w:tblPr>
      <w:tblGrid>
        <w:gridCol w:w="1013"/>
        <w:gridCol w:w="1807"/>
        <w:gridCol w:w="1578"/>
        <w:gridCol w:w="1720"/>
        <w:gridCol w:w="1578"/>
        <w:gridCol w:w="1720"/>
        <w:gridCol w:w="1044"/>
      </w:tblGrid>
      <w:tr w:rsidR="002C2FA4" w:rsidRPr="00941B94" w14:paraId="3E043103" w14:textId="77777777" w:rsidTr="00A4727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2" w:space="0" w:color="886E49"/>
              <w:left w:val="single" w:sz="2" w:space="0" w:color="886E49"/>
              <w:bottom w:val="single" w:sz="2" w:space="0" w:color="886E49"/>
              <w:right w:val="single" w:sz="2" w:space="0" w:color="886E49"/>
            </w:tcBorders>
            <w:vAlign w:val="center"/>
            <w:hideMark/>
          </w:tcPr>
          <w:p w14:paraId="2E34C19E" w14:textId="77777777" w:rsidR="002C2FA4" w:rsidRPr="00941B94" w:rsidRDefault="002C2FA4" w:rsidP="002B0D30">
            <w:pPr>
              <w:pStyle w:val="NormalWeb"/>
              <w:rPr>
                <w:color w:val="FFFFFF" w:themeColor="background1"/>
                <w:sz w:val="18"/>
                <w:szCs w:val="18"/>
              </w:rPr>
            </w:pPr>
            <w:r w:rsidRPr="00941B94">
              <w:rPr>
                <w:color w:val="FFFFFF" w:themeColor="background1"/>
                <w:sz w:val="18"/>
                <w:szCs w:val="18"/>
              </w:rPr>
              <w:t>State or Territory</w:t>
            </w:r>
          </w:p>
        </w:tc>
        <w:tc>
          <w:tcPr>
            <w:tcW w:w="0" w:type="auto"/>
            <w:vMerge w:val="restart"/>
            <w:tcBorders>
              <w:top w:val="single" w:sz="2" w:space="0" w:color="886E49"/>
              <w:left w:val="single" w:sz="2" w:space="0" w:color="886E49"/>
              <w:bottom w:val="single" w:sz="2" w:space="0" w:color="886E49"/>
              <w:right w:val="single" w:sz="2" w:space="0" w:color="886E49"/>
            </w:tcBorders>
            <w:vAlign w:val="center"/>
            <w:hideMark/>
          </w:tcPr>
          <w:p w14:paraId="38F489B7" w14:textId="77777777" w:rsidR="002C2FA4" w:rsidRPr="00941B94" w:rsidRDefault="002C2FA4" w:rsidP="002B0D30">
            <w:pPr>
              <w:pStyle w:val="NormalWeb"/>
              <w:jc w:val="center"/>
              <w:rPr>
                <w:color w:val="FFFFFF" w:themeColor="background1"/>
                <w:sz w:val="18"/>
                <w:szCs w:val="18"/>
              </w:rPr>
            </w:pPr>
            <w:r w:rsidRPr="00941B94">
              <w:rPr>
                <w:color w:val="FFFFFF" w:themeColor="background1"/>
                <w:sz w:val="18"/>
                <w:szCs w:val="18"/>
              </w:rPr>
              <w:t>Percent distribution of Australian population from ABS ERP</w:t>
            </w:r>
          </w:p>
        </w:tc>
        <w:tc>
          <w:tcPr>
            <w:tcW w:w="0" w:type="auto"/>
            <w:gridSpan w:val="2"/>
            <w:tcBorders>
              <w:top w:val="single" w:sz="2" w:space="0" w:color="886E49"/>
              <w:left w:val="single" w:sz="2" w:space="0" w:color="886E49"/>
              <w:bottom w:val="single" w:sz="2" w:space="0" w:color="886E49"/>
              <w:right w:val="single" w:sz="2" w:space="0" w:color="886E49"/>
            </w:tcBorders>
            <w:vAlign w:val="center"/>
            <w:hideMark/>
          </w:tcPr>
          <w:p w14:paraId="1853F79E" w14:textId="77777777" w:rsidR="002C2FA4" w:rsidRPr="00941B94" w:rsidRDefault="002C2FA4" w:rsidP="002B0D30">
            <w:pPr>
              <w:pStyle w:val="NormalWeb"/>
              <w:jc w:val="center"/>
              <w:rPr>
                <w:color w:val="FFFFFF" w:themeColor="background1"/>
                <w:sz w:val="18"/>
                <w:szCs w:val="18"/>
              </w:rPr>
            </w:pPr>
            <w:r w:rsidRPr="00941B94">
              <w:rPr>
                <w:color w:val="FFFFFF" w:themeColor="background1"/>
                <w:sz w:val="18"/>
                <w:szCs w:val="18"/>
              </w:rPr>
              <w:t>2017</w:t>
            </w:r>
          </w:p>
        </w:tc>
        <w:tc>
          <w:tcPr>
            <w:tcW w:w="0" w:type="auto"/>
            <w:gridSpan w:val="3"/>
            <w:tcBorders>
              <w:top w:val="single" w:sz="2" w:space="0" w:color="886E49"/>
              <w:left w:val="single" w:sz="2" w:space="0" w:color="886E49"/>
              <w:bottom w:val="single" w:sz="2" w:space="0" w:color="886E49"/>
              <w:right w:val="single" w:sz="2" w:space="0" w:color="886E49"/>
            </w:tcBorders>
            <w:vAlign w:val="center"/>
            <w:hideMark/>
          </w:tcPr>
          <w:p w14:paraId="684F1C79" w14:textId="77777777" w:rsidR="002C2FA4" w:rsidRPr="00941B94" w:rsidRDefault="002C2FA4" w:rsidP="002B0D30">
            <w:pPr>
              <w:pStyle w:val="NormalWeb"/>
              <w:jc w:val="center"/>
              <w:rPr>
                <w:color w:val="FFFFFF" w:themeColor="background1"/>
                <w:sz w:val="18"/>
                <w:szCs w:val="18"/>
              </w:rPr>
            </w:pPr>
            <w:r w:rsidRPr="00941B94">
              <w:rPr>
                <w:color w:val="FFFFFF" w:themeColor="background1"/>
                <w:sz w:val="18"/>
                <w:szCs w:val="18"/>
              </w:rPr>
              <w:t>2018</w:t>
            </w:r>
          </w:p>
        </w:tc>
      </w:tr>
      <w:tr w:rsidR="002C2FA4" w:rsidRPr="00941B94" w14:paraId="2ECA54EE" w14:textId="77777777" w:rsidTr="00A4727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886E49"/>
              <w:left w:val="single" w:sz="2" w:space="0" w:color="886E49"/>
              <w:bottom w:val="single" w:sz="2" w:space="0" w:color="886E49"/>
              <w:right w:val="single" w:sz="2" w:space="0" w:color="886E49"/>
            </w:tcBorders>
            <w:vAlign w:val="center"/>
            <w:hideMark/>
          </w:tcPr>
          <w:p w14:paraId="41D91EE0" w14:textId="77777777" w:rsidR="002C2FA4" w:rsidRPr="00941B94" w:rsidRDefault="002C2FA4" w:rsidP="002B0D30">
            <w:pPr>
              <w:jc w:val="center"/>
              <w:rPr>
                <w:color w:val="FFFFFF" w:themeColor="background1"/>
                <w:sz w:val="18"/>
                <w:szCs w:val="18"/>
              </w:rPr>
            </w:pPr>
          </w:p>
        </w:tc>
        <w:tc>
          <w:tcPr>
            <w:tcW w:w="0" w:type="auto"/>
            <w:vMerge/>
            <w:tcBorders>
              <w:top w:val="single" w:sz="2" w:space="0" w:color="886E49"/>
              <w:left w:val="single" w:sz="2" w:space="0" w:color="886E49"/>
              <w:bottom w:val="single" w:sz="2" w:space="0" w:color="886E49"/>
              <w:right w:val="single" w:sz="2" w:space="0" w:color="886E49"/>
            </w:tcBorders>
            <w:vAlign w:val="center"/>
            <w:hideMark/>
          </w:tcPr>
          <w:p w14:paraId="41824899" w14:textId="77777777" w:rsidR="002C2FA4" w:rsidRPr="00941B94" w:rsidRDefault="002C2FA4" w:rsidP="002B0D30">
            <w:pPr>
              <w:jc w:val="center"/>
              <w:rPr>
                <w:color w:val="FFFFFF" w:themeColor="background1"/>
                <w:sz w:val="18"/>
                <w:szCs w:val="18"/>
              </w:rPr>
            </w:pPr>
          </w:p>
        </w:tc>
        <w:tc>
          <w:tcPr>
            <w:tcW w:w="0" w:type="auto"/>
            <w:tcBorders>
              <w:top w:val="single" w:sz="2" w:space="0" w:color="886E49"/>
              <w:left w:val="single" w:sz="2" w:space="0" w:color="886E49"/>
              <w:bottom w:val="single" w:sz="2" w:space="0" w:color="886E49"/>
              <w:right w:val="single" w:sz="2" w:space="0" w:color="886E49"/>
            </w:tcBorders>
            <w:vAlign w:val="center"/>
            <w:hideMark/>
          </w:tcPr>
          <w:p w14:paraId="3E27EB86" w14:textId="77777777" w:rsidR="002C2FA4" w:rsidRPr="00941B94" w:rsidRDefault="002C2FA4" w:rsidP="002B0D30">
            <w:pPr>
              <w:pStyle w:val="NormalWeb"/>
              <w:jc w:val="center"/>
              <w:rPr>
                <w:color w:val="FFFFFF" w:themeColor="background1"/>
                <w:sz w:val="18"/>
                <w:szCs w:val="18"/>
              </w:rPr>
            </w:pPr>
            <w:r w:rsidRPr="00941B94">
              <w:rPr>
                <w:color w:val="FFFFFF" w:themeColor="background1"/>
                <w:sz w:val="18"/>
                <w:szCs w:val="18"/>
              </w:rPr>
              <w:t>Number of participants at peak (% of total)</w:t>
            </w:r>
          </w:p>
        </w:tc>
        <w:tc>
          <w:tcPr>
            <w:tcW w:w="0" w:type="auto"/>
            <w:tcBorders>
              <w:top w:val="single" w:sz="2" w:space="0" w:color="886E49"/>
              <w:left w:val="single" w:sz="2" w:space="0" w:color="886E49"/>
              <w:bottom w:val="single" w:sz="2" w:space="0" w:color="886E49"/>
              <w:right w:val="single" w:sz="2" w:space="0" w:color="886E49"/>
            </w:tcBorders>
            <w:vAlign w:val="center"/>
            <w:hideMark/>
          </w:tcPr>
          <w:p w14:paraId="1C835AA2" w14:textId="77777777" w:rsidR="002C2FA4" w:rsidRPr="00941B94" w:rsidRDefault="002C2FA4" w:rsidP="002B0D30">
            <w:pPr>
              <w:pStyle w:val="NormalWeb"/>
              <w:jc w:val="center"/>
              <w:rPr>
                <w:color w:val="FFFFFF" w:themeColor="background1"/>
                <w:sz w:val="18"/>
                <w:szCs w:val="18"/>
              </w:rPr>
            </w:pPr>
            <w:r w:rsidRPr="00941B94">
              <w:rPr>
                <w:color w:val="FFFFFF" w:themeColor="background1"/>
                <w:sz w:val="18"/>
                <w:szCs w:val="18"/>
              </w:rPr>
              <w:t>FluTracking participation per 100,000 population</w:t>
            </w:r>
          </w:p>
        </w:tc>
        <w:tc>
          <w:tcPr>
            <w:tcW w:w="0" w:type="auto"/>
            <w:tcBorders>
              <w:top w:val="single" w:sz="2" w:space="0" w:color="886E49"/>
              <w:left w:val="single" w:sz="2" w:space="0" w:color="886E49"/>
              <w:bottom w:val="single" w:sz="2" w:space="0" w:color="886E49"/>
              <w:right w:val="single" w:sz="2" w:space="0" w:color="886E49"/>
            </w:tcBorders>
            <w:vAlign w:val="center"/>
            <w:hideMark/>
          </w:tcPr>
          <w:p w14:paraId="7638C25A" w14:textId="77777777" w:rsidR="002C2FA4" w:rsidRPr="00941B94" w:rsidRDefault="002C2FA4" w:rsidP="002B0D30">
            <w:pPr>
              <w:pStyle w:val="NormalWeb"/>
              <w:jc w:val="center"/>
              <w:rPr>
                <w:color w:val="FFFFFF" w:themeColor="background1"/>
                <w:sz w:val="18"/>
                <w:szCs w:val="18"/>
              </w:rPr>
            </w:pPr>
            <w:r w:rsidRPr="00941B94">
              <w:rPr>
                <w:color w:val="FFFFFF" w:themeColor="background1"/>
                <w:sz w:val="18"/>
                <w:szCs w:val="18"/>
              </w:rPr>
              <w:t>Number of participants at peak (% of total)</w:t>
            </w:r>
          </w:p>
        </w:tc>
        <w:tc>
          <w:tcPr>
            <w:tcW w:w="0" w:type="auto"/>
            <w:tcBorders>
              <w:top w:val="single" w:sz="2" w:space="0" w:color="886E49"/>
              <w:left w:val="single" w:sz="2" w:space="0" w:color="886E49"/>
              <w:bottom w:val="single" w:sz="2" w:space="0" w:color="886E49"/>
              <w:right w:val="single" w:sz="2" w:space="0" w:color="886E49"/>
            </w:tcBorders>
            <w:vAlign w:val="center"/>
            <w:hideMark/>
          </w:tcPr>
          <w:p w14:paraId="7A84FE2A" w14:textId="77777777" w:rsidR="002C2FA4" w:rsidRPr="00941B94" w:rsidRDefault="002C2FA4" w:rsidP="002B0D30">
            <w:pPr>
              <w:pStyle w:val="NormalWeb"/>
              <w:jc w:val="center"/>
              <w:rPr>
                <w:color w:val="FFFFFF" w:themeColor="background1"/>
                <w:sz w:val="18"/>
                <w:szCs w:val="18"/>
              </w:rPr>
            </w:pPr>
            <w:r w:rsidRPr="00941B94">
              <w:rPr>
                <w:color w:val="FFFFFF" w:themeColor="background1"/>
                <w:sz w:val="18"/>
                <w:szCs w:val="18"/>
              </w:rPr>
              <w:t>FluTracking participation per 100,000 population</w:t>
            </w:r>
          </w:p>
        </w:tc>
        <w:tc>
          <w:tcPr>
            <w:tcW w:w="0" w:type="auto"/>
            <w:tcBorders>
              <w:top w:val="single" w:sz="2" w:space="0" w:color="886E49"/>
              <w:left w:val="single" w:sz="2" w:space="0" w:color="886E49"/>
              <w:bottom w:val="single" w:sz="2" w:space="0" w:color="886E49"/>
              <w:right w:val="single" w:sz="2" w:space="0" w:color="886E49"/>
            </w:tcBorders>
            <w:vAlign w:val="center"/>
            <w:hideMark/>
          </w:tcPr>
          <w:p w14:paraId="5B177AAE" w14:textId="77777777" w:rsidR="002C2FA4" w:rsidRPr="00941B94" w:rsidRDefault="002C2FA4" w:rsidP="002B0D30">
            <w:pPr>
              <w:pStyle w:val="NormalWeb"/>
              <w:jc w:val="center"/>
              <w:rPr>
                <w:color w:val="FFFFFF" w:themeColor="background1"/>
                <w:sz w:val="18"/>
                <w:szCs w:val="18"/>
              </w:rPr>
            </w:pPr>
            <w:r w:rsidRPr="00941B94">
              <w:rPr>
                <w:color w:val="FFFFFF" w:themeColor="background1"/>
                <w:sz w:val="18"/>
                <w:szCs w:val="18"/>
              </w:rPr>
              <w:t>% increase from 2017</w:t>
            </w:r>
          </w:p>
        </w:tc>
      </w:tr>
      <w:tr w:rsidR="002C2FA4" w:rsidRPr="00941B94" w14:paraId="48ED6070" w14:textId="77777777" w:rsidTr="00A4727D">
        <w:tc>
          <w:tcPr>
            <w:tcW w:w="0" w:type="auto"/>
            <w:tcBorders>
              <w:top w:val="single" w:sz="2" w:space="0" w:color="886E49"/>
            </w:tcBorders>
            <w:hideMark/>
          </w:tcPr>
          <w:p w14:paraId="232901A2" w14:textId="77777777" w:rsidR="002C2FA4" w:rsidRPr="00941B94" w:rsidRDefault="002C2FA4" w:rsidP="002B0D30">
            <w:pPr>
              <w:pStyle w:val="NormalWeb"/>
              <w:rPr>
                <w:sz w:val="18"/>
                <w:szCs w:val="18"/>
              </w:rPr>
            </w:pPr>
            <w:r w:rsidRPr="00941B94">
              <w:rPr>
                <w:sz w:val="18"/>
                <w:szCs w:val="18"/>
              </w:rPr>
              <w:t>NSW</w:t>
            </w:r>
          </w:p>
        </w:tc>
        <w:tc>
          <w:tcPr>
            <w:tcW w:w="0" w:type="auto"/>
            <w:tcBorders>
              <w:top w:val="single" w:sz="2" w:space="0" w:color="886E49"/>
            </w:tcBorders>
            <w:hideMark/>
          </w:tcPr>
          <w:p w14:paraId="77306F27" w14:textId="77777777" w:rsidR="002C2FA4" w:rsidRPr="00941B94" w:rsidRDefault="002C2FA4" w:rsidP="002B0D30">
            <w:pPr>
              <w:pStyle w:val="NormalWeb"/>
              <w:jc w:val="center"/>
              <w:rPr>
                <w:sz w:val="18"/>
                <w:szCs w:val="18"/>
              </w:rPr>
            </w:pPr>
            <w:r w:rsidRPr="00941B94">
              <w:rPr>
                <w:sz w:val="18"/>
                <w:szCs w:val="18"/>
              </w:rPr>
              <w:t>32.0</w:t>
            </w:r>
          </w:p>
        </w:tc>
        <w:tc>
          <w:tcPr>
            <w:tcW w:w="0" w:type="auto"/>
            <w:tcBorders>
              <w:top w:val="single" w:sz="2" w:space="0" w:color="886E49"/>
            </w:tcBorders>
            <w:hideMark/>
          </w:tcPr>
          <w:p w14:paraId="18251A11" w14:textId="77777777" w:rsidR="002C2FA4" w:rsidRPr="00941B94" w:rsidRDefault="002C2FA4" w:rsidP="002B0D30">
            <w:pPr>
              <w:pStyle w:val="NormalWeb"/>
              <w:jc w:val="center"/>
              <w:rPr>
                <w:sz w:val="18"/>
                <w:szCs w:val="18"/>
              </w:rPr>
            </w:pPr>
            <w:r w:rsidRPr="00941B94">
              <w:rPr>
                <w:sz w:val="18"/>
                <w:szCs w:val="18"/>
              </w:rPr>
              <w:t>9,782 (32.8%)</w:t>
            </w:r>
          </w:p>
        </w:tc>
        <w:tc>
          <w:tcPr>
            <w:tcW w:w="0" w:type="auto"/>
            <w:tcBorders>
              <w:top w:val="single" w:sz="2" w:space="0" w:color="886E49"/>
            </w:tcBorders>
            <w:hideMark/>
          </w:tcPr>
          <w:p w14:paraId="6265AB0E" w14:textId="77777777" w:rsidR="002C2FA4" w:rsidRPr="00941B94" w:rsidRDefault="002C2FA4" w:rsidP="002B0D30">
            <w:pPr>
              <w:pStyle w:val="NormalWeb"/>
              <w:jc w:val="center"/>
              <w:rPr>
                <w:sz w:val="18"/>
                <w:szCs w:val="18"/>
              </w:rPr>
            </w:pPr>
            <w:r w:rsidRPr="00941B94">
              <w:rPr>
                <w:sz w:val="18"/>
                <w:szCs w:val="18"/>
              </w:rPr>
              <w:t>124.4</w:t>
            </w:r>
          </w:p>
        </w:tc>
        <w:tc>
          <w:tcPr>
            <w:tcW w:w="0" w:type="auto"/>
            <w:tcBorders>
              <w:top w:val="single" w:sz="2" w:space="0" w:color="886E49"/>
            </w:tcBorders>
            <w:hideMark/>
          </w:tcPr>
          <w:p w14:paraId="716030B8" w14:textId="77777777" w:rsidR="002C2FA4" w:rsidRPr="00941B94" w:rsidRDefault="002C2FA4" w:rsidP="002B0D30">
            <w:pPr>
              <w:pStyle w:val="NormalWeb"/>
              <w:jc w:val="center"/>
              <w:rPr>
                <w:sz w:val="18"/>
                <w:szCs w:val="18"/>
              </w:rPr>
            </w:pPr>
            <w:r w:rsidRPr="00941B94">
              <w:rPr>
                <w:sz w:val="18"/>
                <w:szCs w:val="18"/>
              </w:rPr>
              <w:t>13,933 (34.2%)</w:t>
            </w:r>
          </w:p>
        </w:tc>
        <w:tc>
          <w:tcPr>
            <w:tcW w:w="0" w:type="auto"/>
            <w:tcBorders>
              <w:top w:val="single" w:sz="2" w:space="0" w:color="886E49"/>
            </w:tcBorders>
            <w:hideMark/>
          </w:tcPr>
          <w:p w14:paraId="1239ED9F" w14:textId="77777777" w:rsidR="002C2FA4" w:rsidRPr="00941B94" w:rsidRDefault="002C2FA4" w:rsidP="002B0D30">
            <w:pPr>
              <w:pStyle w:val="NormalWeb"/>
              <w:jc w:val="center"/>
              <w:rPr>
                <w:sz w:val="18"/>
                <w:szCs w:val="18"/>
              </w:rPr>
            </w:pPr>
            <w:r w:rsidRPr="00941B94">
              <w:rPr>
                <w:sz w:val="18"/>
                <w:szCs w:val="18"/>
              </w:rPr>
              <w:t>174.4</w:t>
            </w:r>
          </w:p>
        </w:tc>
        <w:tc>
          <w:tcPr>
            <w:tcW w:w="0" w:type="auto"/>
            <w:tcBorders>
              <w:top w:val="single" w:sz="2" w:space="0" w:color="886E49"/>
            </w:tcBorders>
            <w:hideMark/>
          </w:tcPr>
          <w:p w14:paraId="535D9A18" w14:textId="77777777" w:rsidR="002C2FA4" w:rsidRPr="00941B94" w:rsidRDefault="002C2FA4" w:rsidP="002B0D30">
            <w:pPr>
              <w:pStyle w:val="NormalWeb"/>
              <w:jc w:val="center"/>
              <w:rPr>
                <w:sz w:val="18"/>
                <w:szCs w:val="18"/>
              </w:rPr>
            </w:pPr>
            <w:r w:rsidRPr="00941B94">
              <w:rPr>
                <w:sz w:val="18"/>
                <w:szCs w:val="18"/>
              </w:rPr>
              <w:t>42.4%</w:t>
            </w:r>
          </w:p>
        </w:tc>
      </w:tr>
      <w:tr w:rsidR="002C2FA4" w:rsidRPr="00941B94" w14:paraId="2D049B25" w14:textId="77777777" w:rsidTr="00A4727D">
        <w:trPr>
          <w:cnfStyle w:val="000000010000" w:firstRow="0" w:lastRow="0" w:firstColumn="0" w:lastColumn="0" w:oddVBand="0" w:evenVBand="0" w:oddHBand="0" w:evenHBand="1" w:firstRowFirstColumn="0" w:firstRowLastColumn="0" w:lastRowFirstColumn="0" w:lastRowLastColumn="0"/>
        </w:trPr>
        <w:tc>
          <w:tcPr>
            <w:tcW w:w="0" w:type="auto"/>
            <w:hideMark/>
          </w:tcPr>
          <w:p w14:paraId="55997ABC" w14:textId="77777777" w:rsidR="002C2FA4" w:rsidRPr="00941B94" w:rsidRDefault="002C2FA4" w:rsidP="002B0D30">
            <w:pPr>
              <w:pStyle w:val="NormalWeb"/>
              <w:rPr>
                <w:sz w:val="18"/>
                <w:szCs w:val="18"/>
              </w:rPr>
            </w:pPr>
            <w:r w:rsidRPr="00941B94">
              <w:rPr>
                <w:sz w:val="18"/>
                <w:szCs w:val="18"/>
              </w:rPr>
              <w:t>Vic</w:t>
            </w:r>
          </w:p>
        </w:tc>
        <w:tc>
          <w:tcPr>
            <w:tcW w:w="0" w:type="auto"/>
            <w:hideMark/>
          </w:tcPr>
          <w:p w14:paraId="7C065429" w14:textId="77777777" w:rsidR="002C2FA4" w:rsidRPr="00941B94" w:rsidRDefault="002C2FA4" w:rsidP="002B0D30">
            <w:pPr>
              <w:pStyle w:val="NormalWeb"/>
              <w:jc w:val="center"/>
              <w:rPr>
                <w:sz w:val="18"/>
                <w:szCs w:val="18"/>
              </w:rPr>
            </w:pPr>
            <w:r w:rsidRPr="00941B94">
              <w:rPr>
                <w:sz w:val="18"/>
                <w:szCs w:val="18"/>
              </w:rPr>
              <w:t>25.7</w:t>
            </w:r>
          </w:p>
        </w:tc>
        <w:tc>
          <w:tcPr>
            <w:tcW w:w="0" w:type="auto"/>
            <w:hideMark/>
          </w:tcPr>
          <w:p w14:paraId="19D7AF3E" w14:textId="77777777" w:rsidR="002C2FA4" w:rsidRPr="00941B94" w:rsidRDefault="002C2FA4" w:rsidP="002B0D30">
            <w:pPr>
              <w:pStyle w:val="NormalWeb"/>
              <w:jc w:val="center"/>
              <w:rPr>
                <w:sz w:val="18"/>
                <w:szCs w:val="18"/>
              </w:rPr>
            </w:pPr>
            <w:r w:rsidRPr="00941B94">
              <w:rPr>
                <w:sz w:val="18"/>
                <w:szCs w:val="18"/>
              </w:rPr>
              <w:t>4,935 (16.6%)</w:t>
            </w:r>
          </w:p>
        </w:tc>
        <w:tc>
          <w:tcPr>
            <w:tcW w:w="0" w:type="auto"/>
            <w:hideMark/>
          </w:tcPr>
          <w:p w14:paraId="026AAB3A" w14:textId="77777777" w:rsidR="002C2FA4" w:rsidRPr="00941B94" w:rsidRDefault="002C2FA4" w:rsidP="002B0D30">
            <w:pPr>
              <w:pStyle w:val="NormalWeb"/>
              <w:jc w:val="center"/>
              <w:rPr>
                <w:sz w:val="18"/>
                <w:szCs w:val="18"/>
              </w:rPr>
            </w:pPr>
            <w:r w:rsidRPr="00941B94">
              <w:rPr>
                <w:sz w:val="18"/>
                <w:szCs w:val="18"/>
              </w:rPr>
              <w:t>78</w:t>
            </w:r>
          </w:p>
        </w:tc>
        <w:tc>
          <w:tcPr>
            <w:tcW w:w="0" w:type="auto"/>
            <w:hideMark/>
          </w:tcPr>
          <w:p w14:paraId="51379168" w14:textId="77777777" w:rsidR="002C2FA4" w:rsidRPr="00941B94" w:rsidRDefault="002C2FA4" w:rsidP="002B0D30">
            <w:pPr>
              <w:pStyle w:val="NormalWeb"/>
              <w:jc w:val="center"/>
              <w:rPr>
                <w:sz w:val="18"/>
                <w:szCs w:val="18"/>
              </w:rPr>
            </w:pPr>
            <w:r w:rsidRPr="00941B94">
              <w:rPr>
                <w:sz w:val="18"/>
                <w:szCs w:val="18"/>
              </w:rPr>
              <w:t>7,044 (17.3%)</w:t>
            </w:r>
          </w:p>
        </w:tc>
        <w:tc>
          <w:tcPr>
            <w:tcW w:w="0" w:type="auto"/>
            <w:hideMark/>
          </w:tcPr>
          <w:p w14:paraId="5BD22B9B" w14:textId="77777777" w:rsidR="002C2FA4" w:rsidRPr="00941B94" w:rsidRDefault="002C2FA4" w:rsidP="002B0D30">
            <w:pPr>
              <w:pStyle w:val="NormalWeb"/>
              <w:jc w:val="center"/>
              <w:rPr>
                <w:sz w:val="18"/>
                <w:szCs w:val="18"/>
              </w:rPr>
            </w:pPr>
            <w:r w:rsidRPr="00941B94">
              <w:rPr>
                <w:sz w:val="18"/>
                <w:szCs w:val="18"/>
              </w:rPr>
              <w:t>109.1</w:t>
            </w:r>
          </w:p>
        </w:tc>
        <w:tc>
          <w:tcPr>
            <w:tcW w:w="0" w:type="auto"/>
            <w:hideMark/>
          </w:tcPr>
          <w:p w14:paraId="28DFCE93" w14:textId="77777777" w:rsidR="002C2FA4" w:rsidRPr="00941B94" w:rsidRDefault="002C2FA4" w:rsidP="002B0D30">
            <w:pPr>
              <w:pStyle w:val="NormalWeb"/>
              <w:jc w:val="center"/>
              <w:rPr>
                <w:sz w:val="18"/>
                <w:szCs w:val="18"/>
              </w:rPr>
            </w:pPr>
            <w:r w:rsidRPr="00941B94">
              <w:rPr>
                <w:sz w:val="18"/>
                <w:szCs w:val="18"/>
              </w:rPr>
              <w:t>42.7%</w:t>
            </w:r>
          </w:p>
        </w:tc>
      </w:tr>
      <w:tr w:rsidR="002C2FA4" w:rsidRPr="00941B94" w14:paraId="7D88B0A9" w14:textId="77777777" w:rsidTr="00A4727D">
        <w:tc>
          <w:tcPr>
            <w:tcW w:w="0" w:type="auto"/>
            <w:hideMark/>
          </w:tcPr>
          <w:p w14:paraId="24C0A7B2" w14:textId="77777777" w:rsidR="002C2FA4" w:rsidRPr="00941B94" w:rsidRDefault="002C2FA4" w:rsidP="002B0D30">
            <w:pPr>
              <w:pStyle w:val="NormalWeb"/>
              <w:rPr>
                <w:sz w:val="18"/>
                <w:szCs w:val="18"/>
              </w:rPr>
            </w:pPr>
            <w:r w:rsidRPr="00941B94">
              <w:rPr>
                <w:sz w:val="18"/>
                <w:szCs w:val="18"/>
              </w:rPr>
              <w:t>Qld</w:t>
            </w:r>
          </w:p>
        </w:tc>
        <w:tc>
          <w:tcPr>
            <w:tcW w:w="0" w:type="auto"/>
            <w:hideMark/>
          </w:tcPr>
          <w:p w14:paraId="0DEE158F" w14:textId="77777777" w:rsidR="002C2FA4" w:rsidRPr="00941B94" w:rsidRDefault="002C2FA4" w:rsidP="002B0D30">
            <w:pPr>
              <w:pStyle w:val="NormalWeb"/>
              <w:jc w:val="center"/>
              <w:rPr>
                <w:sz w:val="18"/>
                <w:szCs w:val="18"/>
              </w:rPr>
            </w:pPr>
            <w:r w:rsidRPr="00941B94">
              <w:rPr>
                <w:sz w:val="18"/>
                <w:szCs w:val="18"/>
              </w:rPr>
              <w:t>20.0</w:t>
            </w:r>
          </w:p>
        </w:tc>
        <w:tc>
          <w:tcPr>
            <w:tcW w:w="0" w:type="auto"/>
            <w:hideMark/>
          </w:tcPr>
          <w:p w14:paraId="01BDC3C7" w14:textId="77777777" w:rsidR="002C2FA4" w:rsidRPr="00941B94" w:rsidRDefault="002C2FA4" w:rsidP="002B0D30">
            <w:pPr>
              <w:pStyle w:val="NormalWeb"/>
              <w:jc w:val="center"/>
              <w:rPr>
                <w:sz w:val="18"/>
                <w:szCs w:val="18"/>
              </w:rPr>
            </w:pPr>
            <w:r w:rsidRPr="00941B94">
              <w:rPr>
                <w:sz w:val="18"/>
                <w:szCs w:val="18"/>
              </w:rPr>
              <w:t>2,989 (10.0%)</w:t>
            </w:r>
          </w:p>
        </w:tc>
        <w:tc>
          <w:tcPr>
            <w:tcW w:w="0" w:type="auto"/>
            <w:hideMark/>
          </w:tcPr>
          <w:p w14:paraId="680C5EF1" w14:textId="77777777" w:rsidR="002C2FA4" w:rsidRPr="00941B94" w:rsidRDefault="002C2FA4" w:rsidP="002B0D30">
            <w:pPr>
              <w:pStyle w:val="NormalWeb"/>
              <w:jc w:val="center"/>
              <w:rPr>
                <w:sz w:val="18"/>
                <w:szCs w:val="18"/>
              </w:rPr>
            </w:pPr>
            <w:r w:rsidRPr="00941B94">
              <w:rPr>
                <w:sz w:val="18"/>
                <w:szCs w:val="18"/>
              </w:rPr>
              <w:t>60.6</w:t>
            </w:r>
          </w:p>
        </w:tc>
        <w:tc>
          <w:tcPr>
            <w:tcW w:w="0" w:type="auto"/>
            <w:hideMark/>
          </w:tcPr>
          <w:p w14:paraId="3DA31F7E" w14:textId="77777777" w:rsidR="002C2FA4" w:rsidRPr="00941B94" w:rsidRDefault="002C2FA4" w:rsidP="002B0D30">
            <w:pPr>
              <w:pStyle w:val="NormalWeb"/>
              <w:jc w:val="center"/>
              <w:rPr>
                <w:sz w:val="18"/>
                <w:szCs w:val="18"/>
              </w:rPr>
            </w:pPr>
            <w:r w:rsidRPr="00941B94">
              <w:rPr>
                <w:sz w:val="18"/>
                <w:szCs w:val="18"/>
              </w:rPr>
              <w:t>4,496 (11.0%)</w:t>
            </w:r>
          </w:p>
        </w:tc>
        <w:tc>
          <w:tcPr>
            <w:tcW w:w="0" w:type="auto"/>
            <w:hideMark/>
          </w:tcPr>
          <w:p w14:paraId="35FBEA62" w14:textId="77777777" w:rsidR="002C2FA4" w:rsidRPr="00941B94" w:rsidRDefault="002C2FA4" w:rsidP="002B0D30">
            <w:pPr>
              <w:pStyle w:val="NormalWeb"/>
              <w:jc w:val="center"/>
              <w:rPr>
                <w:sz w:val="18"/>
                <w:szCs w:val="18"/>
              </w:rPr>
            </w:pPr>
            <w:r w:rsidRPr="00941B94">
              <w:rPr>
                <w:sz w:val="18"/>
                <w:szCs w:val="18"/>
              </w:rPr>
              <w:t>89.7</w:t>
            </w:r>
          </w:p>
        </w:tc>
        <w:tc>
          <w:tcPr>
            <w:tcW w:w="0" w:type="auto"/>
            <w:hideMark/>
          </w:tcPr>
          <w:p w14:paraId="1C5B81A1" w14:textId="77777777" w:rsidR="002C2FA4" w:rsidRPr="00941B94" w:rsidRDefault="002C2FA4" w:rsidP="002B0D30">
            <w:pPr>
              <w:pStyle w:val="NormalWeb"/>
              <w:jc w:val="center"/>
              <w:rPr>
                <w:sz w:val="18"/>
                <w:szCs w:val="18"/>
              </w:rPr>
            </w:pPr>
            <w:r w:rsidRPr="00941B94">
              <w:rPr>
                <w:sz w:val="18"/>
                <w:szCs w:val="18"/>
              </w:rPr>
              <w:t>50.4%</w:t>
            </w:r>
          </w:p>
        </w:tc>
      </w:tr>
      <w:tr w:rsidR="002C2FA4" w:rsidRPr="00941B94" w14:paraId="0C3ACB5D" w14:textId="77777777" w:rsidTr="00A4727D">
        <w:trPr>
          <w:cnfStyle w:val="000000010000" w:firstRow="0" w:lastRow="0" w:firstColumn="0" w:lastColumn="0" w:oddVBand="0" w:evenVBand="0" w:oddHBand="0" w:evenHBand="1" w:firstRowFirstColumn="0" w:firstRowLastColumn="0" w:lastRowFirstColumn="0" w:lastRowLastColumn="0"/>
        </w:trPr>
        <w:tc>
          <w:tcPr>
            <w:tcW w:w="0" w:type="auto"/>
            <w:hideMark/>
          </w:tcPr>
          <w:p w14:paraId="7FEE45EB" w14:textId="77777777" w:rsidR="002C2FA4" w:rsidRPr="00941B94" w:rsidRDefault="002C2FA4" w:rsidP="002B0D30">
            <w:pPr>
              <w:pStyle w:val="NormalWeb"/>
              <w:rPr>
                <w:sz w:val="18"/>
                <w:szCs w:val="18"/>
              </w:rPr>
            </w:pPr>
            <w:r w:rsidRPr="00941B94">
              <w:rPr>
                <w:sz w:val="18"/>
                <w:szCs w:val="18"/>
              </w:rPr>
              <w:t>SA</w:t>
            </w:r>
          </w:p>
        </w:tc>
        <w:tc>
          <w:tcPr>
            <w:tcW w:w="0" w:type="auto"/>
            <w:hideMark/>
          </w:tcPr>
          <w:p w14:paraId="72FD3264" w14:textId="77777777" w:rsidR="002C2FA4" w:rsidRPr="00941B94" w:rsidRDefault="002C2FA4" w:rsidP="002B0D30">
            <w:pPr>
              <w:pStyle w:val="NormalWeb"/>
              <w:jc w:val="center"/>
              <w:rPr>
                <w:sz w:val="18"/>
                <w:szCs w:val="18"/>
              </w:rPr>
            </w:pPr>
            <w:r w:rsidRPr="00941B94">
              <w:rPr>
                <w:sz w:val="18"/>
                <w:szCs w:val="18"/>
              </w:rPr>
              <w:t>7.0</w:t>
            </w:r>
          </w:p>
        </w:tc>
        <w:tc>
          <w:tcPr>
            <w:tcW w:w="0" w:type="auto"/>
            <w:hideMark/>
          </w:tcPr>
          <w:p w14:paraId="7683276D" w14:textId="77777777" w:rsidR="002C2FA4" w:rsidRPr="00941B94" w:rsidRDefault="002C2FA4" w:rsidP="002B0D30">
            <w:pPr>
              <w:pStyle w:val="NormalWeb"/>
              <w:jc w:val="center"/>
              <w:rPr>
                <w:sz w:val="18"/>
                <w:szCs w:val="18"/>
              </w:rPr>
            </w:pPr>
            <w:r w:rsidRPr="00941B94">
              <w:rPr>
                <w:sz w:val="18"/>
                <w:szCs w:val="18"/>
              </w:rPr>
              <w:t>3,400 (11.4%)</w:t>
            </w:r>
          </w:p>
        </w:tc>
        <w:tc>
          <w:tcPr>
            <w:tcW w:w="0" w:type="auto"/>
            <w:hideMark/>
          </w:tcPr>
          <w:p w14:paraId="208C7F9A" w14:textId="77777777" w:rsidR="002C2FA4" w:rsidRPr="00941B94" w:rsidRDefault="002C2FA4" w:rsidP="002B0D30">
            <w:pPr>
              <w:pStyle w:val="NormalWeb"/>
              <w:jc w:val="center"/>
              <w:rPr>
                <w:sz w:val="18"/>
                <w:szCs w:val="18"/>
              </w:rPr>
            </w:pPr>
            <w:r w:rsidRPr="00941B94">
              <w:rPr>
                <w:sz w:val="18"/>
                <w:szCs w:val="18"/>
              </w:rPr>
              <w:t>197.3</w:t>
            </w:r>
          </w:p>
        </w:tc>
        <w:tc>
          <w:tcPr>
            <w:tcW w:w="0" w:type="auto"/>
            <w:hideMark/>
          </w:tcPr>
          <w:p w14:paraId="49080C4A" w14:textId="77777777" w:rsidR="002C2FA4" w:rsidRPr="00941B94" w:rsidRDefault="002C2FA4" w:rsidP="002B0D30">
            <w:pPr>
              <w:pStyle w:val="NormalWeb"/>
              <w:jc w:val="center"/>
              <w:rPr>
                <w:sz w:val="18"/>
                <w:szCs w:val="18"/>
              </w:rPr>
            </w:pPr>
            <w:r w:rsidRPr="00941B94">
              <w:rPr>
                <w:sz w:val="18"/>
                <w:szCs w:val="18"/>
              </w:rPr>
              <w:t>4,259 (10.5%)</w:t>
            </w:r>
          </w:p>
        </w:tc>
        <w:tc>
          <w:tcPr>
            <w:tcW w:w="0" w:type="auto"/>
            <w:hideMark/>
          </w:tcPr>
          <w:p w14:paraId="54CC4873" w14:textId="77777777" w:rsidR="002C2FA4" w:rsidRPr="00941B94" w:rsidRDefault="002C2FA4" w:rsidP="002B0D30">
            <w:pPr>
              <w:pStyle w:val="NormalWeb"/>
              <w:jc w:val="center"/>
              <w:rPr>
                <w:sz w:val="18"/>
                <w:szCs w:val="18"/>
              </w:rPr>
            </w:pPr>
            <w:r w:rsidRPr="00941B94">
              <w:rPr>
                <w:sz w:val="18"/>
                <w:szCs w:val="18"/>
              </w:rPr>
              <w:t>245.3</w:t>
            </w:r>
          </w:p>
        </w:tc>
        <w:tc>
          <w:tcPr>
            <w:tcW w:w="0" w:type="auto"/>
            <w:hideMark/>
          </w:tcPr>
          <w:p w14:paraId="3C044E40" w14:textId="77777777" w:rsidR="002C2FA4" w:rsidRPr="00941B94" w:rsidRDefault="002C2FA4" w:rsidP="002B0D30">
            <w:pPr>
              <w:pStyle w:val="NormalWeb"/>
              <w:jc w:val="center"/>
              <w:rPr>
                <w:sz w:val="18"/>
                <w:szCs w:val="18"/>
              </w:rPr>
            </w:pPr>
            <w:r w:rsidRPr="00941B94">
              <w:rPr>
                <w:sz w:val="18"/>
                <w:szCs w:val="18"/>
              </w:rPr>
              <w:t>25.3%</w:t>
            </w:r>
          </w:p>
        </w:tc>
      </w:tr>
      <w:tr w:rsidR="002C2FA4" w:rsidRPr="00941B94" w14:paraId="23AB8C5E" w14:textId="77777777" w:rsidTr="00A4727D">
        <w:tc>
          <w:tcPr>
            <w:tcW w:w="0" w:type="auto"/>
            <w:hideMark/>
          </w:tcPr>
          <w:p w14:paraId="469867A8" w14:textId="77777777" w:rsidR="002C2FA4" w:rsidRPr="00941B94" w:rsidRDefault="002C2FA4" w:rsidP="002B0D30">
            <w:pPr>
              <w:pStyle w:val="NormalWeb"/>
              <w:rPr>
                <w:sz w:val="18"/>
                <w:szCs w:val="18"/>
              </w:rPr>
            </w:pPr>
            <w:r w:rsidRPr="00941B94">
              <w:rPr>
                <w:sz w:val="18"/>
                <w:szCs w:val="18"/>
              </w:rPr>
              <w:t>WA</w:t>
            </w:r>
          </w:p>
        </w:tc>
        <w:tc>
          <w:tcPr>
            <w:tcW w:w="0" w:type="auto"/>
            <w:hideMark/>
          </w:tcPr>
          <w:p w14:paraId="5FCD6CB3" w14:textId="77777777" w:rsidR="002C2FA4" w:rsidRPr="00941B94" w:rsidRDefault="002C2FA4" w:rsidP="002B0D30">
            <w:pPr>
              <w:pStyle w:val="NormalWeb"/>
              <w:jc w:val="center"/>
              <w:rPr>
                <w:sz w:val="18"/>
                <w:szCs w:val="18"/>
              </w:rPr>
            </w:pPr>
            <w:r w:rsidRPr="00941B94">
              <w:rPr>
                <w:sz w:val="18"/>
                <w:szCs w:val="18"/>
              </w:rPr>
              <w:t>10.5</w:t>
            </w:r>
          </w:p>
        </w:tc>
        <w:tc>
          <w:tcPr>
            <w:tcW w:w="0" w:type="auto"/>
            <w:hideMark/>
          </w:tcPr>
          <w:p w14:paraId="66CFF29B" w14:textId="77777777" w:rsidR="002C2FA4" w:rsidRPr="00941B94" w:rsidRDefault="002C2FA4" w:rsidP="002B0D30">
            <w:pPr>
              <w:pStyle w:val="NormalWeb"/>
              <w:jc w:val="center"/>
              <w:rPr>
                <w:sz w:val="18"/>
                <w:szCs w:val="18"/>
              </w:rPr>
            </w:pPr>
            <w:r w:rsidRPr="00941B94">
              <w:rPr>
                <w:sz w:val="18"/>
                <w:szCs w:val="18"/>
              </w:rPr>
              <w:t>3,583 (12.0%)</w:t>
            </w:r>
          </w:p>
        </w:tc>
        <w:tc>
          <w:tcPr>
            <w:tcW w:w="0" w:type="auto"/>
            <w:hideMark/>
          </w:tcPr>
          <w:p w14:paraId="529B0D82" w14:textId="77777777" w:rsidR="002C2FA4" w:rsidRPr="00941B94" w:rsidRDefault="002C2FA4" w:rsidP="002B0D30">
            <w:pPr>
              <w:pStyle w:val="NormalWeb"/>
              <w:jc w:val="center"/>
              <w:rPr>
                <w:sz w:val="18"/>
                <w:szCs w:val="18"/>
              </w:rPr>
            </w:pPr>
            <w:r w:rsidRPr="00941B94">
              <w:rPr>
                <w:sz w:val="18"/>
                <w:szCs w:val="18"/>
              </w:rPr>
              <w:t>138.9</w:t>
            </w:r>
          </w:p>
        </w:tc>
        <w:tc>
          <w:tcPr>
            <w:tcW w:w="0" w:type="auto"/>
            <w:hideMark/>
          </w:tcPr>
          <w:p w14:paraId="21620EF8" w14:textId="77777777" w:rsidR="002C2FA4" w:rsidRPr="00941B94" w:rsidRDefault="002C2FA4" w:rsidP="002B0D30">
            <w:pPr>
              <w:pStyle w:val="NormalWeb"/>
              <w:jc w:val="center"/>
              <w:rPr>
                <w:sz w:val="18"/>
                <w:szCs w:val="18"/>
              </w:rPr>
            </w:pPr>
            <w:r w:rsidRPr="00941B94">
              <w:rPr>
                <w:sz w:val="18"/>
                <w:szCs w:val="18"/>
              </w:rPr>
              <w:t>4,702 (11.6%)</w:t>
            </w:r>
          </w:p>
        </w:tc>
        <w:tc>
          <w:tcPr>
            <w:tcW w:w="0" w:type="auto"/>
            <w:hideMark/>
          </w:tcPr>
          <w:p w14:paraId="49E4F24C" w14:textId="77777777" w:rsidR="002C2FA4" w:rsidRPr="00941B94" w:rsidRDefault="002C2FA4" w:rsidP="002B0D30">
            <w:pPr>
              <w:pStyle w:val="NormalWeb"/>
              <w:jc w:val="center"/>
              <w:rPr>
                <w:sz w:val="18"/>
                <w:szCs w:val="18"/>
              </w:rPr>
            </w:pPr>
            <w:r w:rsidRPr="00941B94">
              <w:rPr>
                <w:sz w:val="18"/>
                <w:szCs w:val="18"/>
              </w:rPr>
              <w:t>181.2</w:t>
            </w:r>
          </w:p>
        </w:tc>
        <w:tc>
          <w:tcPr>
            <w:tcW w:w="0" w:type="auto"/>
            <w:hideMark/>
          </w:tcPr>
          <w:p w14:paraId="6F301BE8" w14:textId="77777777" w:rsidR="002C2FA4" w:rsidRPr="00941B94" w:rsidRDefault="002C2FA4" w:rsidP="002B0D30">
            <w:pPr>
              <w:pStyle w:val="NormalWeb"/>
              <w:jc w:val="center"/>
              <w:rPr>
                <w:sz w:val="18"/>
                <w:szCs w:val="18"/>
              </w:rPr>
            </w:pPr>
            <w:r w:rsidRPr="00941B94">
              <w:rPr>
                <w:sz w:val="18"/>
                <w:szCs w:val="18"/>
              </w:rPr>
              <w:t>31.2%</w:t>
            </w:r>
          </w:p>
        </w:tc>
      </w:tr>
      <w:tr w:rsidR="002C2FA4" w:rsidRPr="00941B94" w14:paraId="6105DE9D" w14:textId="77777777" w:rsidTr="00A4727D">
        <w:trPr>
          <w:cnfStyle w:val="000000010000" w:firstRow="0" w:lastRow="0" w:firstColumn="0" w:lastColumn="0" w:oddVBand="0" w:evenVBand="0" w:oddHBand="0" w:evenHBand="1" w:firstRowFirstColumn="0" w:firstRowLastColumn="0" w:lastRowFirstColumn="0" w:lastRowLastColumn="0"/>
        </w:trPr>
        <w:tc>
          <w:tcPr>
            <w:tcW w:w="0" w:type="auto"/>
            <w:hideMark/>
          </w:tcPr>
          <w:p w14:paraId="0734BA02" w14:textId="77777777" w:rsidR="002C2FA4" w:rsidRPr="00941B94" w:rsidRDefault="002C2FA4" w:rsidP="002B0D30">
            <w:pPr>
              <w:pStyle w:val="NormalWeb"/>
              <w:rPr>
                <w:sz w:val="18"/>
                <w:szCs w:val="18"/>
              </w:rPr>
            </w:pPr>
            <w:r w:rsidRPr="00941B94">
              <w:rPr>
                <w:sz w:val="18"/>
                <w:szCs w:val="18"/>
              </w:rPr>
              <w:t>Tas</w:t>
            </w:r>
          </w:p>
        </w:tc>
        <w:tc>
          <w:tcPr>
            <w:tcW w:w="0" w:type="auto"/>
            <w:hideMark/>
          </w:tcPr>
          <w:p w14:paraId="0CD099A0" w14:textId="77777777" w:rsidR="002C2FA4" w:rsidRPr="00941B94" w:rsidRDefault="002C2FA4" w:rsidP="002B0D30">
            <w:pPr>
              <w:pStyle w:val="NormalWeb"/>
              <w:jc w:val="center"/>
              <w:rPr>
                <w:sz w:val="18"/>
                <w:szCs w:val="18"/>
              </w:rPr>
            </w:pPr>
            <w:r w:rsidRPr="00941B94">
              <w:rPr>
                <w:sz w:val="18"/>
                <w:szCs w:val="18"/>
              </w:rPr>
              <w:t>2.1</w:t>
            </w:r>
          </w:p>
        </w:tc>
        <w:tc>
          <w:tcPr>
            <w:tcW w:w="0" w:type="auto"/>
            <w:hideMark/>
          </w:tcPr>
          <w:p w14:paraId="39A239C3" w14:textId="77777777" w:rsidR="002C2FA4" w:rsidRPr="00941B94" w:rsidRDefault="002C2FA4" w:rsidP="002B0D30">
            <w:pPr>
              <w:pStyle w:val="NormalWeb"/>
              <w:jc w:val="center"/>
              <w:rPr>
                <w:sz w:val="18"/>
                <w:szCs w:val="18"/>
              </w:rPr>
            </w:pPr>
            <w:r w:rsidRPr="00941B94">
              <w:rPr>
                <w:sz w:val="18"/>
                <w:szCs w:val="18"/>
              </w:rPr>
              <w:t>2,750 (9.2%)</w:t>
            </w:r>
          </w:p>
        </w:tc>
        <w:tc>
          <w:tcPr>
            <w:tcW w:w="0" w:type="auto"/>
            <w:hideMark/>
          </w:tcPr>
          <w:p w14:paraId="1F8EAEE1" w14:textId="77777777" w:rsidR="002C2FA4" w:rsidRPr="00941B94" w:rsidRDefault="002C2FA4" w:rsidP="002B0D30">
            <w:pPr>
              <w:pStyle w:val="NormalWeb"/>
              <w:jc w:val="center"/>
              <w:rPr>
                <w:sz w:val="18"/>
                <w:szCs w:val="18"/>
              </w:rPr>
            </w:pPr>
            <w:r w:rsidRPr="00941B94">
              <w:rPr>
                <w:sz w:val="18"/>
                <w:szCs w:val="18"/>
              </w:rPr>
              <w:t>527.9</w:t>
            </w:r>
          </w:p>
        </w:tc>
        <w:tc>
          <w:tcPr>
            <w:tcW w:w="0" w:type="auto"/>
            <w:hideMark/>
          </w:tcPr>
          <w:p w14:paraId="3FD7BAB1" w14:textId="77777777" w:rsidR="002C2FA4" w:rsidRPr="00941B94" w:rsidRDefault="002C2FA4" w:rsidP="002B0D30">
            <w:pPr>
              <w:pStyle w:val="NormalWeb"/>
              <w:jc w:val="center"/>
              <w:rPr>
                <w:sz w:val="18"/>
                <w:szCs w:val="18"/>
              </w:rPr>
            </w:pPr>
            <w:r w:rsidRPr="00941B94">
              <w:rPr>
                <w:sz w:val="18"/>
                <w:szCs w:val="18"/>
              </w:rPr>
              <w:t>3,272 (8.0%)</w:t>
            </w:r>
          </w:p>
        </w:tc>
        <w:tc>
          <w:tcPr>
            <w:tcW w:w="0" w:type="auto"/>
            <w:hideMark/>
          </w:tcPr>
          <w:p w14:paraId="5221E0AE" w14:textId="77777777" w:rsidR="002C2FA4" w:rsidRPr="00941B94" w:rsidRDefault="002C2FA4" w:rsidP="002B0D30">
            <w:pPr>
              <w:pStyle w:val="NormalWeb"/>
              <w:jc w:val="center"/>
              <w:rPr>
                <w:sz w:val="18"/>
                <w:szCs w:val="18"/>
              </w:rPr>
            </w:pPr>
            <w:r w:rsidRPr="00941B94">
              <w:rPr>
                <w:sz w:val="18"/>
                <w:szCs w:val="18"/>
              </w:rPr>
              <w:t>619.7</w:t>
            </w:r>
          </w:p>
        </w:tc>
        <w:tc>
          <w:tcPr>
            <w:tcW w:w="0" w:type="auto"/>
            <w:hideMark/>
          </w:tcPr>
          <w:p w14:paraId="78B55EE1" w14:textId="77777777" w:rsidR="002C2FA4" w:rsidRPr="00941B94" w:rsidRDefault="002C2FA4" w:rsidP="002B0D30">
            <w:pPr>
              <w:pStyle w:val="NormalWeb"/>
              <w:jc w:val="center"/>
              <w:rPr>
                <w:sz w:val="18"/>
                <w:szCs w:val="18"/>
              </w:rPr>
            </w:pPr>
            <w:r w:rsidRPr="00941B94">
              <w:rPr>
                <w:sz w:val="18"/>
                <w:szCs w:val="18"/>
              </w:rPr>
              <w:t>19.0%</w:t>
            </w:r>
          </w:p>
        </w:tc>
      </w:tr>
      <w:tr w:rsidR="002C2FA4" w:rsidRPr="00941B94" w14:paraId="190BC52D" w14:textId="77777777" w:rsidTr="00A4727D">
        <w:tc>
          <w:tcPr>
            <w:tcW w:w="0" w:type="auto"/>
            <w:hideMark/>
          </w:tcPr>
          <w:p w14:paraId="393A170F" w14:textId="77777777" w:rsidR="002C2FA4" w:rsidRPr="00941B94" w:rsidRDefault="002C2FA4" w:rsidP="002B0D30">
            <w:pPr>
              <w:pStyle w:val="NormalWeb"/>
              <w:rPr>
                <w:sz w:val="18"/>
                <w:szCs w:val="18"/>
              </w:rPr>
            </w:pPr>
            <w:r w:rsidRPr="00941B94">
              <w:rPr>
                <w:sz w:val="18"/>
                <w:szCs w:val="18"/>
              </w:rPr>
              <w:t>NT</w:t>
            </w:r>
          </w:p>
        </w:tc>
        <w:tc>
          <w:tcPr>
            <w:tcW w:w="0" w:type="auto"/>
            <w:hideMark/>
          </w:tcPr>
          <w:p w14:paraId="0493751E" w14:textId="77777777" w:rsidR="002C2FA4" w:rsidRPr="00941B94" w:rsidRDefault="002C2FA4" w:rsidP="002B0D30">
            <w:pPr>
              <w:pStyle w:val="NormalWeb"/>
              <w:jc w:val="center"/>
              <w:rPr>
                <w:sz w:val="18"/>
                <w:szCs w:val="18"/>
              </w:rPr>
            </w:pPr>
            <w:r w:rsidRPr="00941B94">
              <w:rPr>
                <w:sz w:val="18"/>
                <w:szCs w:val="18"/>
              </w:rPr>
              <w:t>1.0</w:t>
            </w:r>
          </w:p>
        </w:tc>
        <w:tc>
          <w:tcPr>
            <w:tcW w:w="0" w:type="auto"/>
            <w:hideMark/>
          </w:tcPr>
          <w:p w14:paraId="2800AB22" w14:textId="77777777" w:rsidR="002C2FA4" w:rsidRPr="00941B94" w:rsidRDefault="002C2FA4" w:rsidP="002B0D30">
            <w:pPr>
              <w:pStyle w:val="NormalWeb"/>
              <w:jc w:val="center"/>
              <w:rPr>
                <w:sz w:val="18"/>
                <w:szCs w:val="18"/>
              </w:rPr>
            </w:pPr>
            <w:r w:rsidRPr="00941B94">
              <w:rPr>
                <w:sz w:val="18"/>
                <w:szCs w:val="18"/>
              </w:rPr>
              <w:t>986 (3.3%)</w:t>
            </w:r>
          </w:p>
        </w:tc>
        <w:tc>
          <w:tcPr>
            <w:tcW w:w="0" w:type="auto"/>
            <w:hideMark/>
          </w:tcPr>
          <w:p w14:paraId="3CB209C6" w14:textId="77777777" w:rsidR="002C2FA4" w:rsidRPr="00941B94" w:rsidRDefault="002C2FA4" w:rsidP="002B0D30">
            <w:pPr>
              <w:pStyle w:val="NormalWeb"/>
              <w:jc w:val="center"/>
              <w:rPr>
                <w:sz w:val="18"/>
                <w:szCs w:val="18"/>
              </w:rPr>
            </w:pPr>
            <w:r w:rsidRPr="00941B94">
              <w:rPr>
                <w:sz w:val="18"/>
                <w:szCs w:val="18"/>
              </w:rPr>
              <w:t>400.7</w:t>
            </w:r>
          </w:p>
        </w:tc>
        <w:tc>
          <w:tcPr>
            <w:tcW w:w="0" w:type="auto"/>
            <w:hideMark/>
          </w:tcPr>
          <w:p w14:paraId="152DC347" w14:textId="77777777" w:rsidR="002C2FA4" w:rsidRPr="00941B94" w:rsidRDefault="002C2FA4" w:rsidP="002B0D30">
            <w:pPr>
              <w:pStyle w:val="NormalWeb"/>
              <w:jc w:val="center"/>
              <w:rPr>
                <w:sz w:val="18"/>
                <w:szCs w:val="18"/>
              </w:rPr>
            </w:pPr>
            <w:r w:rsidRPr="00941B94">
              <w:rPr>
                <w:sz w:val="18"/>
                <w:szCs w:val="18"/>
              </w:rPr>
              <w:t>1,113 (2.7%)</w:t>
            </w:r>
          </w:p>
        </w:tc>
        <w:tc>
          <w:tcPr>
            <w:tcW w:w="0" w:type="auto"/>
            <w:hideMark/>
          </w:tcPr>
          <w:p w14:paraId="17A9462C" w14:textId="77777777" w:rsidR="002C2FA4" w:rsidRPr="00941B94" w:rsidRDefault="002C2FA4" w:rsidP="002B0D30">
            <w:pPr>
              <w:pStyle w:val="NormalWeb"/>
              <w:jc w:val="center"/>
              <w:rPr>
                <w:sz w:val="18"/>
                <w:szCs w:val="18"/>
              </w:rPr>
            </w:pPr>
            <w:r w:rsidRPr="00941B94">
              <w:rPr>
                <w:sz w:val="18"/>
                <w:szCs w:val="18"/>
              </w:rPr>
              <w:t>450.6</w:t>
            </w:r>
          </w:p>
        </w:tc>
        <w:tc>
          <w:tcPr>
            <w:tcW w:w="0" w:type="auto"/>
            <w:hideMark/>
          </w:tcPr>
          <w:p w14:paraId="53F5D57B" w14:textId="77777777" w:rsidR="002C2FA4" w:rsidRPr="00941B94" w:rsidRDefault="002C2FA4" w:rsidP="002B0D30">
            <w:pPr>
              <w:pStyle w:val="NormalWeb"/>
              <w:jc w:val="center"/>
              <w:rPr>
                <w:sz w:val="18"/>
                <w:szCs w:val="18"/>
              </w:rPr>
            </w:pPr>
            <w:r w:rsidRPr="00941B94">
              <w:rPr>
                <w:sz w:val="18"/>
                <w:szCs w:val="18"/>
              </w:rPr>
              <w:t>12.9%</w:t>
            </w:r>
          </w:p>
        </w:tc>
      </w:tr>
      <w:tr w:rsidR="002C2FA4" w:rsidRPr="00941B94" w14:paraId="5DB332E8" w14:textId="77777777" w:rsidTr="00A4727D">
        <w:trPr>
          <w:cnfStyle w:val="000000010000" w:firstRow="0" w:lastRow="0" w:firstColumn="0" w:lastColumn="0" w:oddVBand="0" w:evenVBand="0" w:oddHBand="0" w:evenHBand="1" w:firstRowFirstColumn="0" w:firstRowLastColumn="0" w:lastRowFirstColumn="0" w:lastRowLastColumn="0"/>
        </w:trPr>
        <w:tc>
          <w:tcPr>
            <w:tcW w:w="0" w:type="auto"/>
            <w:hideMark/>
          </w:tcPr>
          <w:p w14:paraId="7397FBA1" w14:textId="77777777" w:rsidR="002C2FA4" w:rsidRPr="00941B94" w:rsidRDefault="002C2FA4" w:rsidP="002B0D30">
            <w:pPr>
              <w:pStyle w:val="NormalWeb"/>
              <w:rPr>
                <w:sz w:val="18"/>
                <w:szCs w:val="18"/>
              </w:rPr>
            </w:pPr>
            <w:r w:rsidRPr="00941B94">
              <w:rPr>
                <w:sz w:val="18"/>
                <w:szCs w:val="18"/>
              </w:rPr>
              <w:t>ACT</w:t>
            </w:r>
          </w:p>
        </w:tc>
        <w:tc>
          <w:tcPr>
            <w:tcW w:w="0" w:type="auto"/>
            <w:hideMark/>
          </w:tcPr>
          <w:p w14:paraId="289D36BE" w14:textId="77777777" w:rsidR="002C2FA4" w:rsidRPr="00941B94" w:rsidRDefault="002C2FA4" w:rsidP="002B0D30">
            <w:pPr>
              <w:pStyle w:val="NormalWeb"/>
              <w:jc w:val="center"/>
              <w:rPr>
                <w:sz w:val="18"/>
                <w:szCs w:val="18"/>
              </w:rPr>
            </w:pPr>
            <w:r w:rsidRPr="00941B94">
              <w:rPr>
                <w:sz w:val="18"/>
                <w:szCs w:val="18"/>
              </w:rPr>
              <w:t>1.7</w:t>
            </w:r>
          </w:p>
        </w:tc>
        <w:tc>
          <w:tcPr>
            <w:tcW w:w="0" w:type="auto"/>
            <w:hideMark/>
          </w:tcPr>
          <w:p w14:paraId="3249D630" w14:textId="77777777" w:rsidR="002C2FA4" w:rsidRPr="00941B94" w:rsidRDefault="002C2FA4" w:rsidP="002B0D30">
            <w:pPr>
              <w:pStyle w:val="NormalWeb"/>
              <w:jc w:val="center"/>
              <w:rPr>
                <w:sz w:val="18"/>
                <w:szCs w:val="18"/>
              </w:rPr>
            </w:pPr>
            <w:r w:rsidRPr="00941B94">
              <w:rPr>
                <w:sz w:val="18"/>
                <w:szCs w:val="18"/>
              </w:rPr>
              <w:t>1,387 (4.7%)</w:t>
            </w:r>
          </w:p>
        </w:tc>
        <w:tc>
          <w:tcPr>
            <w:tcW w:w="0" w:type="auto"/>
            <w:hideMark/>
          </w:tcPr>
          <w:p w14:paraId="55AACDFF" w14:textId="77777777" w:rsidR="002C2FA4" w:rsidRPr="00941B94" w:rsidRDefault="002C2FA4" w:rsidP="002B0D30">
            <w:pPr>
              <w:pStyle w:val="NormalWeb"/>
              <w:jc w:val="center"/>
              <w:rPr>
                <w:sz w:val="18"/>
                <w:szCs w:val="18"/>
              </w:rPr>
            </w:pPr>
            <w:r w:rsidRPr="00941B94">
              <w:rPr>
                <w:sz w:val="18"/>
                <w:szCs w:val="18"/>
              </w:rPr>
              <w:t>338</w:t>
            </w:r>
          </w:p>
        </w:tc>
        <w:tc>
          <w:tcPr>
            <w:tcW w:w="0" w:type="auto"/>
            <w:hideMark/>
          </w:tcPr>
          <w:p w14:paraId="14AD9252" w14:textId="77777777" w:rsidR="002C2FA4" w:rsidRPr="00941B94" w:rsidRDefault="002C2FA4" w:rsidP="002B0D30">
            <w:pPr>
              <w:pStyle w:val="NormalWeb"/>
              <w:jc w:val="center"/>
              <w:rPr>
                <w:sz w:val="18"/>
                <w:szCs w:val="18"/>
              </w:rPr>
            </w:pPr>
            <w:r w:rsidRPr="00941B94">
              <w:rPr>
                <w:sz w:val="18"/>
                <w:szCs w:val="18"/>
              </w:rPr>
              <w:t>1,875 (4.6%)</w:t>
            </w:r>
          </w:p>
        </w:tc>
        <w:tc>
          <w:tcPr>
            <w:tcW w:w="0" w:type="auto"/>
            <w:hideMark/>
          </w:tcPr>
          <w:p w14:paraId="61D30FBB" w14:textId="77777777" w:rsidR="002C2FA4" w:rsidRPr="00941B94" w:rsidRDefault="002C2FA4" w:rsidP="002B0D30">
            <w:pPr>
              <w:pStyle w:val="NormalWeb"/>
              <w:jc w:val="center"/>
              <w:rPr>
                <w:sz w:val="18"/>
                <w:szCs w:val="18"/>
              </w:rPr>
            </w:pPr>
            <w:r w:rsidRPr="00941B94">
              <w:rPr>
                <w:sz w:val="18"/>
                <w:szCs w:val="18"/>
              </w:rPr>
              <w:t>446.4</w:t>
            </w:r>
          </w:p>
        </w:tc>
        <w:tc>
          <w:tcPr>
            <w:tcW w:w="0" w:type="auto"/>
            <w:hideMark/>
          </w:tcPr>
          <w:p w14:paraId="790F5EC2" w14:textId="77777777" w:rsidR="002C2FA4" w:rsidRPr="00941B94" w:rsidRDefault="002C2FA4" w:rsidP="002B0D30">
            <w:pPr>
              <w:pStyle w:val="NormalWeb"/>
              <w:jc w:val="center"/>
              <w:rPr>
                <w:sz w:val="18"/>
                <w:szCs w:val="18"/>
              </w:rPr>
            </w:pPr>
            <w:r w:rsidRPr="00941B94">
              <w:rPr>
                <w:sz w:val="18"/>
                <w:szCs w:val="18"/>
              </w:rPr>
              <w:t>35.2%</w:t>
            </w:r>
          </w:p>
        </w:tc>
      </w:tr>
      <w:tr w:rsidR="002C2FA4" w:rsidRPr="00941B94" w14:paraId="1DF9B16B" w14:textId="77777777" w:rsidTr="00A4727D">
        <w:tc>
          <w:tcPr>
            <w:tcW w:w="0" w:type="auto"/>
            <w:shd w:val="clear" w:color="auto" w:fill="E3B77B"/>
            <w:hideMark/>
          </w:tcPr>
          <w:p w14:paraId="3EB4E6FE" w14:textId="77777777" w:rsidR="002C2FA4" w:rsidRPr="00941B94" w:rsidRDefault="002C2FA4" w:rsidP="002B0D30">
            <w:pPr>
              <w:pStyle w:val="NormalWeb"/>
              <w:rPr>
                <w:b/>
                <w:bCs/>
                <w:sz w:val="18"/>
                <w:szCs w:val="18"/>
              </w:rPr>
            </w:pPr>
            <w:r w:rsidRPr="00941B94">
              <w:rPr>
                <w:b/>
                <w:bCs/>
                <w:sz w:val="18"/>
                <w:szCs w:val="18"/>
              </w:rPr>
              <w:t>Total</w:t>
            </w:r>
          </w:p>
        </w:tc>
        <w:tc>
          <w:tcPr>
            <w:tcW w:w="0" w:type="auto"/>
            <w:shd w:val="clear" w:color="auto" w:fill="E3B77B"/>
            <w:hideMark/>
          </w:tcPr>
          <w:p w14:paraId="3D0E69A7" w14:textId="77777777" w:rsidR="002C2FA4" w:rsidRPr="00941B94" w:rsidRDefault="002C2FA4" w:rsidP="002B0D30">
            <w:pPr>
              <w:pStyle w:val="NormalWeb"/>
              <w:jc w:val="center"/>
              <w:rPr>
                <w:b/>
                <w:bCs/>
                <w:sz w:val="18"/>
                <w:szCs w:val="18"/>
              </w:rPr>
            </w:pPr>
            <w:r w:rsidRPr="00941B94">
              <w:rPr>
                <w:b/>
                <w:bCs/>
                <w:sz w:val="18"/>
                <w:szCs w:val="18"/>
              </w:rPr>
              <w:t>100</w:t>
            </w:r>
          </w:p>
        </w:tc>
        <w:tc>
          <w:tcPr>
            <w:tcW w:w="0" w:type="auto"/>
            <w:shd w:val="clear" w:color="auto" w:fill="E3B77B"/>
            <w:hideMark/>
          </w:tcPr>
          <w:p w14:paraId="6CF7FB2A" w14:textId="77777777" w:rsidR="002C2FA4" w:rsidRPr="00941B94" w:rsidRDefault="002C2FA4" w:rsidP="002B0D30">
            <w:pPr>
              <w:pStyle w:val="NormalWeb"/>
              <w:jc w:val="center"/>
              <w:rPr>
                <w:b/>
                <w:bCs/>
                <w:sz w:val="18"/>
                <w:szCs w:val="18"/>
              </w:rPr>
            </w:pPr>
            <w:r w:rsidRPr="00941B94">
              <w:rPr>
                <w:b/>
                <w:bCs/>
                <w:sz w:val="18"/>
                <w:szCs w:val="18"/>
              </w:rPr>
              <w:t>29,814 (100%)</w:t>
            </w:r>
          </w:p>
        </w:tc>
        <w:tc>
          <w:tcPr>
            <w:tcW w:w="0" w:type="auto"/>
            <w:shd w:val="clear" w:color="auto" w:fill="E3B77B"/>
            <w:hideMark/>
          </w:tcPr>
          <w:p w14:paraId="006B6FC0" w14:textId="77777777" w:rsidR="002C2FA4" w:rsidRPr="00941B94" w:rsidRDefault="002C2FA4" w:rsidP="002B0D30">
            <w:pPr>
              <w:pStyle w:val="NormalWeb"/>
              <w:jc w:val="center"/>
              <w:rPr>
                <w:b/>
                <w:bCs/>
                <w:sz w:val="18"/>
                <w:szCs w:val="18"/>
              </w:rPr>
            </w:pPr>
            <w:r w:rsidRPr="00941B94">
              <w:rPr>
                <w:b/>
                <w:bCs/>
                <w:sz w:val="18"/>
                <w:szCs w:val="18"/>
              </w:rPr>
              <w:t>121.2</w:t>
            </w:r>
          </w:p>
        </w:tc>
        <w:tc>
          <w:tcPr>
            <w:tcW w:w="0" w:type="auto"/>
            <w:shd w:val="clear" w:color="auto" w:fill="E3B77B"/>
            <w:hideMark/>
          </w:tcPr>
          <w:p w14:paraId="34AAC509" w14:textId="77777777" w:rsidR="002C2FA4" w:rsidRPr="00941B94" w:rsidRDefault="002C2FA4" w:rsidP="002B0D30">
            <w:pPr>
              <w:pStyle w:val="NormalWeb"/>
              <w:jc w:val="center"/>
              <w:rPr>
                <w:b/>
                <w:bCs/>
                <w:sz w:val="18"/>
                <w:szCs w:val="18"/>
              </w:rPr>
            </w:pPr>
            <w:r w:rsidRPr="00941B94">
              <w:rPr>
                <w:b/>
                <w:bCs/>
                <w:sz w:val="18"/>
                <w:szCs w:val="18"/>
              </w:rPr>
              <w:t>40,689 (100%)</w:t>
            </w:r>
          </w:p>
        </w:tc>
        <w:tc>
          <w:tcPr>
            <w:tcW w:w="0" w:type="auto"/>
            <w:shd w:val="clear" w:color="auto" w:fill="E3B77B"/>
            <w:hideMark/>
          </w:tcPr>
          <w:p w14:paraId="1655AB29" w14:textId="77777777" w:rsidR="002C2FA4" w:rsidRPr="00941B94" w:rsidRDefault="002C2FA4" w:rsidP="002B0D30">
            <w:pPr>
              <w:pStyle w:val="NormalWeb"/>
              <w:jc w:val="center"/>
              <w:rPr>
                <w:b/>
                <w:bCs/>
                <w:sz w:val="18"/>
                <w:szCs w:val="18"/>
              </w:rPr>
            </w:pPr>
            <w:r w:rsidRPr="00941B94">
              <w:rPr>
                <w:b/>
                <w:bCs/>
                <w:sz w:val="18"/>
                <w:szCs w:val="18"/>
              </w:rPr>
              <w:t>162.8</w:t>
            </w:r>
          </w:p>
        </w:tc>
        <w:tc>
          <w:tcPr>
            <w:tcW w:w="0" w:type="auto"/>
            <w:shd w:val="clear" w:color="auto" w:fill="E3B77B"/>
            <w:hideMark/>
          </w:tcPr>
          <w:p w14:paraId="6F940E68" w14:textId="77777777" w:rsidR="002C2FA4" w:rsidRPr="00941B94" w:rsidRDefault="002C2FA4" w:rsidP="002B0D30">
            <w:pPr>
              <w:pStyle w:val="NormalWeb"/>
              <w:jc w:val="center"/>
              <w:rPr>
                <w:b/>
                <w:bCs/>
                <w:sz w:val="18"/>
                <w:szCs w:val="18"/>
              </w:rPr>
            </w:pPr>
            <w:r w:rsidRPr="00941B94">
              <w:rPr>
                <w:b/>
                <w:bCs/>
                <w:sz w:val="18"/>
                <w:szCs w:val="18"/>
              </w:rPr>
              <w:t>36.5%</w:t>
            </w:r>
          </w:p>
        </w:tc>
      </w:tr>
    </w:tbl>
    <w:p w14:paraId="2C073D48" w14:textId="77777777" w:rsidR="0093295E" w:rsidRDefault="0093295E" w:rsidP="0093295E">
      <w:pPr>
        <w:pStyle w:val="CDIFigures"/>
        <w:rPr>
          <w:rStyle w:val="Strong"/>
          <w:b/>
          <w:bCs w:val="0"/>
        </w:rPr>
        <w:sectPr w:rsidR="0093295E" w:rsidSect="00A30C37">
          <w:headerReference w:type="default" r:id="rId22"/>
          <w:footerReference w:type="default" r:id="rId23"/>
          <w:footerReference w:type="first" r:id="rId24"/>
          <w:pgSz w:w="11906" w:h="16838"/>
          <w:pgMar w:top="720" w:right="720" w:bottom="1134" w:left="720" w:header="709" w:footer="284" w:gutter="0"/>
          <w:cols w:space="708"/>
          <w:titlePg/>
          <w:docGrid w:linePitch="360"/>
        </w:sectPr>
      </w:pPr>
    </w:p>
    <w:p w14:paraId="0F181AE2" w14:textId="020E4434" w:rsidR="002C2FA4" w:rsidRPr="005D10EE" w:rsidRDefault="002C2FA4" w:rsidP="0093295E">
      <w:pPr>
        <w:pStyle w:val="CDIFigures"/>
      </w:pPr>
      <w:r w:rsidRPr="005D10EE">
        <w:rPr>
          <w:rStyle w:val="Strong"/>
          <w:b/>
          <w:bCs w:val="0"/>
        </w:rPr>
        <w:lastRenderedPageBreak/>
        <w:t>Table A.2: Socio-demographic characteristics of FluTracking participants who completed at least one survey during 2017 and 2018</w:t>
      </w:r>
    </w:p>
    <w:tbl>
      <w:tblPr>
        <w:tblStyle w:val="CDI-StandardTable"/>
        <w:tblW w:w="0" w:type="auto"/>
        <w:tblLook w:val="04A0" w:firstRow="1" w:lastRow="0" w:firstColumn="1" w:lastColumn="0" w:noHBand="0" w:noVBand="1"/>
        <w:tblDescription w:val="Appendix Table A.2 shows the number, percent and rate of Flutracking participation per 100,000 participants who completed at least one Flutracking survey, by age, gender, education level, and Aboriginal and/or Torres Strait Islander status for 2017 and 2018.&#10;"/>
      </w:tblPr>
      <w:tblGrid>
        <w:gridCol w:w="6379"/>
        <w:gridCol w:w="1843"/>
        <w:gridCol w:w="567"/>
        <w:gridCol w:w="1276"/>
        <w:gridCol w:w="1830"/>
        <w:gridCol w:w="438"/>
        <w:gridCol w:w="1417"/>
        <w:gridCol w:w="1234"/>
      </w:tblGrid>
      <w:tr w:rsidR="0093295E" w:rsidRPr="00941B94" w14:paraId="1E76E040" w14:textId="77777777" w:rsidTr="00FB235B">
        <w:trPr>
          <w:cnfStyle w:val="100000000000" w:firstRow="1" w:lastRow="0" w:firstColumn="0" w:lastColumn="0" w:oddVBand="0" w:evenVBand="0" w:oddHBand="0" w:evenHBand="0" w:firstRowFirstColumn="0" w:firstRowLastColumn="0" w:lastRowFirstColumn="0" w:lastRowLastColumn="0"/>
          <w:tblHeader/>
        </w:trPr>
        <w:tc>
          <w:tcPr>
            <w:tcW w:w="6379" w:type="dxa"/>
            <w:vMerge w:val="restart"/>
            <w:tcBorders>
              <w:bottom w:val="single" w:sz="2" w:space="0" w:color="E0C198"/>
              <w:right w:val="single" w:sz="2" w:space="0" w:color="E0C198"/>
            </w:tcBorders>
            <w:vAlign w:val="center"/>
            <w:hideMark/>
          </w:tcPr>
          <w:p w14:paraId="2ACC0EBE" w14:textId="77777777" w:rsidR="002C2FA4" w:rsidRPr="00941B94" w:rsidRDefault="002C2FA4" w:rsidP="00FB235B">
            <w:pPr>
              <w:jc w:val="center"/>
              <w:rPr>
                <w:color w:val="FFFFFF" w:themeColor="background1"/>
                <w:sz w:val="18"/>
                <w:szCs w:val="18"/>
                <w:lang w:val="en-GB"/>
              </w:rPr>
            </w:pPr>
          </w:p>
        </w:tc>
        <w:tc>
          <w:tcPr>
            <w:tcW w:w="3686" w:type="dxa"/>
            <w:gridSpan w:val="3"/>
            <w:tcBorders>
              <w:left w:val="single" w:sz="2" w:space="0" w:color="E0C198"/>
              <w:bottom w:val="single" w:sz="2" w:space="0" w:color="E0C198"/>
              <w:right w:val="single" w:sz="2" w:space="0" w:color="E0C198"/>
            </w:tcBorders>
            <w:vAlign w:val="center"/>
            <w:hideMark/>
          </w:tcPr>
          <w:p w14:paraId="715E632A" w14:textId="77777777" w:rsidR="002C2FA4" w:rsidRPr="00941B94" w:rsidRDefault="002C2FA4" w:rsidP="00FB235B">
            <w:pPr>
              <w:pStyle w:val="NormalWeb"/>
              <w:jc w:val="center"/>
              <w:rPr>
                <w:color w:val="FFFFFF" w:themeColor="background1"/>
                <w:sz w:val="18"/>
                <w:szCs w:val="18"/>
              </w:rPr>
            </w:pPr>
            <w:r w:rsidRPr="00941B94">
              <w:rPr>
                <w:color w:val="FFFFFF" w:themeColor="background1"/>
                <w:sz w:val="18"/>
                <w:szCs w:val="18"/>
              </w:rPr>
              <w:t>2017</w:t>
            </w:r>
          </w:p>
        </w:tc>
        <w:tc>
          <w:tcPr>
            <w:tcW w:w="3685" w:type="dxa"/>
            <w:gridSpan w:val="3"/>
            <w:tcBorders>
              <w:left w:val="single" w:sz="2" w:space="0" w:color="E0C198"/>
              <w:bottom w:val="single" w:sz="2" w:space="0" w:color="E0C198"/>
              <w:right w:val="single" w:sz="2" w:space="0" w:color="E0C198"/>
            </w:tcBorders>
            <w:vAlign w:val="center"/>
            <w:hideMark/>
          </w:tcPr>
          <w:p w14:paraId="4D0F41C9" w14:textId="77777777" w:rsidR="002C2FA4" w:rsidRPr="00941B94" w:rsidRDefault="002C2FA4" w:rsidP="00FB235B">
            <w:pPr>
              <w:pStyle w:val="NormalWeb"/>
              <w:jc w:val="center"/>
              <w:rPr>
                <w:color w:val="FFFFFF" w:themeColor="background1"/>
                <w:sz w:val="18"/>
                <w:szCs w:val="18"/>
              </w:rPr>
            </w:pPr>
            <w:r w:rsidRPr="00941B94">
              <w:rPr>
                <w:color w:val="FFFFFF" w:themeColor="background1"/>
                <w:sz w:val="18"/>
                <w:szCs w:val="18"/>
              </w:rPr>
              <w:t>2018</w:t>
            </w:r>
          </w:p>
        </w:tc>
        <w:tc>
          <w:tcPr>
            <w:tcW w:w="1234" w:type="dxa"/>
            <w:vMerge w:val="restart"/>
            <w:tcBorders>
              <w:left w:val="single" w:sz="2" w:space="0" w:color="E0C198"/>
              <w:bottom w:val="single" w:sz="2" w:space="0" w:color="E0C198"/>
            </w:tcBorders>
            <w:vAlign w:val="center"/>
            <w:hideMark/>
          </w:tcPr>
          <w:p w14:paraId="5D5B9BDA" w14:textId="77777777" w:rsidR="002C2FA4" w:rsidRPr="00941B94" w:rsidRDefault="002C2FA4" w:rsidP="00FB235B">
            <w:pPr>
              <w:pStyle w:val="NormalWeb"/>
              <w:jc w:val="center"/>
              <w:rPr>
                <w:color w:val="FFFFFF" w:themeColor="background1"/>
                <w:sz w:val="18"/>
                <w:szCs w:val="18"/>
              </w:rPr>
            </w:pPr>
            <w:r w:rsidRPr="00941B94">
              <w:rPr>
                <w:color w:val="FFFFFF" w:themeColor="background1"/>
                <w:sz w:val="18"/>
                <w:szCs w:val="18"/>
              </w:rPr>
              <w:t>% Australian population</w:t>
            </w:r>
          </w:p>
        </w:tc>
      </w:tr>
      <w:tr w:rsidR="0093295E" w:rsidRPr="00941B94" w14:paraId="151F6691" w14:textId="77777777" w:rsidTr="00FB235B">
        <w:trPr>
          <w:cnfStyle w:val="100000000000" w:firstRow="1" w:lastRow="0" w:firstColumn="0" w:lastColumn="0" w:oddVBand="0" w:evenVBand="0" w:oddHBand="0" w:evenHBand="0" w:firstRowFirstColumn="0" w:firstRowLastColumn="0" w:lastRowFirstColumn="0" w:lastRowLastColumn="0"/>
          <w:tblHeader/>
        </w:trPr>
        <w:tc>
          <w:tcPr>
            <w:tcW w:w="6379" w:type="dxa"/>
            <w:vMerge/>
            <w:tcBorders>
              <w:top w:val="single" w:sz="2" w:space="0" w:color="E0C198"/>
              <w:right w:val="single" w:sz="2" w:space="0" w:color="E0C198"/>
            </w:tcBorders>
            <w:vAlign w:val="center"/>
            <w:hideMark/>
          </w:tcPr>
          <w:p w14:paraId="5185B9DC" w14:textId="77777777" w:rsidR="002C2FA4" w:rsidRPr="00941B94" w:rsidRDefault="002C2FA4" w:rsidP="00FB235B">
            <w:pPr>
              <w:jc w:val="center"/>
              <w:rPr>
                <w:color w:val="FFFFFF" w:themeColor="background1"/>
                <w:sz w:val="18"/>
                <w:szCs w:val="18"/>
                <w:lang w:val="en-GB"/>
              </w:rPr>
            </w:pPr>
          </w:p>
        </w:tc>
        <w:tc>
          <w:tcPr>
            <w:tcW w:w="1843" w:type="dxa"/>
            <w:tcBorders>
              <w:top w:val="single" w:sz="2" w:space="0" w:color="E0C198"/>
              <w:left w:val="single" w:sz="2" w:space="0" w:color="E0C198"/>
              <w:right w:val="single" w:sz="2" w:space="0" w:color="E0C198"/>
            </w:tcBorders>
            <w:vAlign w:val="center"/>
            <w:hideMark/>
          </w:tcPr>
          <w:p w14:paraId="1238191F" w14:textId="77777777" w:rsidR="002C2FA4" w:rsidRPr="00941B94" w:rsidRDefault="002C2FA4" w:rsidP="00FB235B">
            <w:pPr>
              <w:pStyle w:val="NormalWeb"/>
              <w:jc w:val="center"/>
              <w:rPr>
                <w:color w:val="FFFFFF" w:themeColor="background1"/>
                <w:sz w:val="18"/>
                <w:szCs w:val="18"/>
              </w:rPr>
            </w:pPr>
            <w:r w:rsidRPr="00941B94">
              <w:rPr>
                <w:color w:val="FFFFFF" w:themeColor="background1"/>
                <w:sz w:val="18"/>
                <w:szCs w:val="18"/>
              </w:rPr>
              <w:t>Frequency</w:t>
            </w:r>
          </w:p>
        </w:tc>
        <w:tc>
          <w:tcPr>
            <w:tcW w:w="567" w:type="dxa"/>
            <w:tcBorders>
              <w:top w:val="single" w:sz="2" w:space="0" w:color="E0C198"/>
              <w:left w:val="single" w:sz="2" w:space="0" w:color="E0C198"/>
              <w:right w:val="single" w:sz="2" w:space="0" w:color="E0C198"/>
            </w:tcBorders>
            <w:vAlign w:val="center"/>
            <w:hideMark/>
          </w:tcPr>
          <w:p w14:paraId="0D2878D5" w14:textId="77777777" w:rsidR="002C2FA4" w:rsidRPr="00941B94" w:rsidRDefault="002C2FA4" w:rsidP="00FB235B">
            <w:pPr>
              <w:pStyle w:val="NormalWeb"/>
              <w:jc w:val="center"/>
              <w:rPr>
                <w:color w:val="FFFFFF" w:themeColor="background1"/>
                <w:sz w:val="18"/>
                <w:szCs w:val="18"/>
              </w:rPr>
            </w:pPr>
            <w:r w:rsidRPr="00941B94">
              <w:rPr>
                <w:color w:val="FFFFFF" w:themeColor="background1"/>
                <w:sz w:val="18"/>
                <w:szCs w:val="18"/>
              </w:rPr>
              <w:t>%</w:t>
            </w:r>
          </w:p>
        </w:tc>
        <w:tc>
          <w:tcPr>
            <w:tcW w:w="1276" w:type="dxa"/>
            <w:tcBorders>
              <w:top w:val="single" w:sz="2" w:space="0" w:color="E0C198"/>
              <w:left w:val="single" w:sz="2" w:space="0" w:color="E0C198"/>
              <w:right w:val="single" w:sz="2" w:space="0" w:color="E0C198"/>
            </w:tcBorders>
            <w:vAlign w:val="center"/>
            <w:hideMark/>
          </w:tcPr>
          <w:p w14:paraId="64B02A31" w14:textId="77777777" w:rsidR="002C2FA4" w:rsidRPr="00941B94" w:rsidRDefault="002C2FA4" w:rsidP="00FB235B">
            <w:pPr>
              <w:pStyle w:val="NormalWeb"/>
              <w:jc w:val="center"/>
              <w:rPr>
                <w:color w:val="FFFFFF" w:themeColor="background1"/>
                <w:sz w:val="18"/>
                <w:szCs w:val="18"/>
              </w:rPr>
            </w:pPr>
            <w:r w:rsidRPr="00941B94">
              <w:rPr>
                <w:color w:val="FFFFFF" w:themeColor="background1"/>
                <w:sz w:val="18"/>
                <w:szCs w:val="18"/>
              </w:rPr>
              <w:t>Rate /100,000</w:t>
            </w:r>
          </w:p>
        </w:tc>
        <w:tc>
          <w:tcPr>
            <w:tcW w:w="1830" w:type="dxa"/>
            <w:tcBorders>
              <w:top w:val="single" w:sz="2" w:space="0" w:color="E0C198"/>
              <w:left w:val="single" w:sz="2" w:space="0" w:color="E0C198"/>
              <w:right w:val="single" w:sz="2" w:space="0" w:color="E0C198"/>
            </w:tcBorders>
            <w:vAlign w:val="center"/>
            <w:hideMark/>
          </w:tcPr>
          <w:p w14:paraId="554F7716" w14:textId="77777777" w:rsidR="002C2FA4" w:rsidRPr="00941B94" w:rsidRDefault="002C2FA4" w:rsidP="00FB235B">
            <w:pPr>
              <w:pStyle w:val="NormalWeb"/>
              <w:jc w:val="center"/>
              <w:rPr>
                <w:color w:val="FFFFFF" w:themeColor="background1"/>
                <w:sz w:val="18"/>
                <w:szCs w:val="18"/>
              </w:rPr>
            </w:pPr>
            <w:r w:rsidRPr="00941B94">
              <w:rPr>
                <w:color w:val="FFFFFF" w:themeColor="background1"/>
                <w:sz w:val="18"/>
                <w:szCs w:val="18"/>
              </w:rPr>
              <w:t>Frequency</w:t>
            </w:r>
          </w:p>
        </w:tc>
        <w:tc>
          <w:tcPr>
            <w:tcW w:w="438" w:type="dxa"/>
            <w:tcBorders>
              <w:top w:val="single" w:sz="2" w:space="0" w:color="E0C198"/>
              <w:left w:val="single" w:sz="2" w:space="0" w:color="E0C198"/>
              <w:right w:val="single" w:sz="2" w:space="0" w:color="E0C198"/>
            </w:tcBorders>
            <w:vAlign w:val="center"/>
            <w:hideMark/>
          </w:tcPr>
          <w:p w14:paraId="6498664D" w14:textId="77777777" w:rsidR="002C2FA4" w:rsidRPr="00941B94" w:rsidRDefault="002C2FA4" w:rsidP="00FB235B">
            <w:pPr>
              <w:pStyle w:val="NormalWeb"/>
              <w:jc w:val="center"/>
              <w:rPr>
                <w:color w:val="FFFFFF" w:themeColor="background1"/>
                <w:sz w:val="18"/>
                <w:szCs w:val="18"/>
              </w:rPr>
            </w:pPr>
            <w:r w:rsidRPr="00941B94">
              <w:rPr>
                <w:color w:val="FFFFFF" w:themeColor="background1"/>
                <w:sz w:val="18"/>
                <w:szCs w:val="18"/>
              </w:rPr>
              <w:t>%</w:t>
            </w:r>
          </w:p>
        </w:tc>
        <w:tc>
          <w:tcPr>
            <w:tcW w:w="1417" w:type="dxa"/>
            <w:tcBorders>
              <w:top w:val="single" w:sz="2" w:space="0" w:color="E0C198"/>
              <w:left w:val="single" w:sz="2" w:space="0" w:color="E0C198"/>
              <w:right w:val="single" w:sz="2" w:space="0" w:color="E0C198"/>
            </w:tcBorders>
            <w:vAlign w:val="center"/>
            <w:hideMark/>
          </w:tcPr>
          <w:p w14:paraId="4599739C" w14:textId="77777777" w:rsidR="002C2FA4" w:rsidRPr="00941B94" w:rsidRDefault="002C2FA4" w:rsidP="00FB235B">
            <w:pPr>
              <w:pStyle w:val="NormalWeb"/>
              <w:jc w:val="center"/>
              <w:rPr>
                <w:color w:val="FFFFFF" w:themeColor="background1"/>
                <w:sz w:val="18"/>
                <w:szCs w:val="18"/>
              </w:rPr>
            </w:pPr>
            <w:r w:rsidRPr="00941B94">
              <w:rPr>
                <w:color w:val="FFFFFF" w:themeColor="background1"/>
                <w:sz w:val="18"/>
                <w:szCs w:val="18"/>
              </w:rPr>
              <w:t>Rate /100,000</w:t>
            </w:r>
          </w:p>
        </w:tc>
        <w:tc>
          <w:tcPr>
            <w:tcW w:w="1234" w:type="dxa"/>
            <w:vMerge/>
            <w:tcBorders>
              <w:top w:val="single" w:sz="2" w:space="0" w:color="E0C198"/>
              <w:left w:val="single" w:sz="2" w:space="0" w:color="E0C198"/>
            </w:tcBorders>
            <w:vAlign w:val="center"/>
            <w:hideMark/>
          </w:tcPr>
          <w:p w14:paraId="2AF50722" w14:textId="77777777" w:rsidR="002C2FA4" w:rsidRPr="00941B94" w:rsidRDefault="002C2FA4" w:rsidP="00FB235B">
            <w:pPr>
              <w:jc w:val="center"/>
              <w:rPr>
                <w:color w:val="FFFFFF" w:themeColor="background1"/>
                <w:sz w:val="18"/>
                <w:szCs w:val="18"/>
              </w:rPr>
            </w:pPr>
          </w:p>
        </w:tc>
      </w:tr>
      <w:tr w:rsidR="002C2FA4" w:rsidRPr="00941B94" w14:paraId="70791A5D" w14:textId="77777777" w:rsidTr="00FD184B">
        <w:tblPrEx>
          <w:tblCellMar>
            <w:top w:w="57" w:type="dxa"/>
            <w:left w:w="57" w:type="dxa"/>
            <w:bottom w:w="57" w:type="dxa"/>
            <w:right w:w="57" w:type="dxa"/>
          </w:tblCellMar>
        </w:tblPrEx>
        <w:tc>
          <w:tcPr>
            <w:tcW w:w="0" w:type="auto"/>
            <w:gridSpan w:val="8"/>
            <w:shd w:val="clear" w:color="auto" w:fill="595959" w:themeFill="text1" w:themeFillTint="A6"/>
            <w:vAlign w:val="center"/>
            <w:hideMark/>
          </w:tcPr>
          <w:p w14:paraId="70AE7987" w14:textId="77777777" w:rsidR="002C2FA4" w:rsidRPr="00941B94" w:rsidRDefault="002C2FA4" w:rsidP="00FB235B">
            <w:pPr>
              <w:pStyle w:val="NormalWeb"/>
              <w:jc w:val="center"/>
              <w:rPr>
                <w:b/>
                <w:bCs/>
                <w:color w:val="FFFFFF" w:themeColor="background1"/>
                <w:sz w:val="18"/>
                <w:szCs w:val="18"/>
              </w:rPr>
            </w:pPr>
            <w:r w:rsidRPr="00941B94">
              <w:rPr>
                <w:b/>
                <w:bCs/>
                <w:color w:val="FFFFFF" w:themeColor="background1"/>
                <w:sz w:val="18"/>
                <w:szCs w:val="18"/>
              </w:rPr>
              <w:t>Age (years)</w:t>
            </w:r>
          </w:p>
        </w:tc>
      </w:tr>
      <w:tr w:rsidR="0093295E" w:rsidRPr="00941B94" w14:paraId="4EB1637E" w14:textId="77777777" w:rsidTr="00FB23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379" w:type="dxa"/>
            <w:tcBorders>
              <w:bottom w:val="single" w:sz="2" w:space="0" w:color="000000" w:themeColor="text1"/>
            </w:tcBorders>
            <w:shd w:val="clear" w:color="auto" w:fill="auto"/>
            <w:vAlign w:val="center"/>
            <w:hideMark/>
          </w:tcPr>
          <w:p w14:paraId="70F55865" w14:textId="77777777" w:rsidR="002C2FA4" w:rsidRPr="00941B94" w:rsidRDefault="002C2FA4" w:rsidP="00FB235B">
            <w:pPr>
              <w:pStyle w:val="NormalWeb"/>
              <w:jc w:val="center"/>
              <w:rPr>
                <w:sz w:val="18"/>
                <w:szCs w:val="18"/>
              </w:rPr>
            </w:pPr>
            <w:r w:rsidRPr="00941B94">
              <w:rPr>
                <w:sz w:val="18"/>
                <w:szCs w:val="18"/>
              </w:rPr>
              <w:t>0–15</w:t>
            </w:r>
          </w:p>
        </w:tc>
        <w:tc>
          <w:tcPr>
            <w:tcW w:w="1843" w:type="dxa"/>
            <w:tcBorders>
              <w:bottom w:val="single" w:sz="2" w:space="0" w:color="000000" w:themeColor="text1"/>
            </w:tcBorders>
            <w:shd w:val="clear" w:color="auto" w:fill="auto"/>
            <w:vAlign w:val="center"/>
            <w:hideMark/>
          </w:tcPr>
          <w:p w14:paraId="0F4D0937" w14:textId="77777777" w:rsidR="002C2FA4" w:rsidRPr="00941B94" w:rsidRDefault="002C2FA4" w:rsidP="00FB235B">
            <w:pPr>
              <w:pStyle w:val="NormalWeb"/>
              <w:jc w:val="center"/>
              <w:rPr>
                <w:sz w:val="18"/>
                <w:szCs w:val="18"/>
              </w:rPr>
            </w:pPr>
            <w:r w:rsidRPr="00941B94">
              <w:rPr>
                <w:sz w:val="18"/>
                <w:szCs w:val="18"/>
              </w:rPr>
              <w:t>4,454</w:t>
            </w:r>
          </w:p>
        </w:tc>
        <w:tc>
          <w:tcPr>
            <w:tcW w:w="567" w:type="dxa"/>
            <w:tcBorders>
              <w:bottom w:val="single" w:sz="2" w:space="0" w:color="000000" w:themeColor="text1"/>
            </w:tcBorders>
            <w:shd w:val="clear" w:color="auto" w:fill="auto"/>
            <w:vAlign w:val="center"/>
            <w:hideMark/>
          </w:tcPr>
          <w:p w14:paraId="19673376" w14:textId="77777777" w:rsidR="002C2FA4" w:rsidRPr="00941B94" w:rsidRDefault="002C2FA4" w:rsidP="00FB235B">
            <w:pPr>
              <w:pStyle w:val="NormalWeb"/>
              <w:jc w:val="center"/>
              <w:rPr>
                <w:sz w:val="18"/>
                <w:szCs w:val="18"/>
              </w:rPr>
            </w:pPr>
            <w:r w:rsidRPr="00941B94">
              <w:rPr>
                <w:sz w:val="18"/>
                <w:szCs w:val="18"/>
              </w:rPr>
              <w:t>13.1</w:t>
            </w:r>
          </w:p>
        </w:tc>
        <w:tc>
          <w:tcPr>
            <w:tcW w:w="1276" w:type="dxa"/>
            <w:tcBorders>
              <w:bottom w:val="single" w:sz="2" w:space="0" w:color="000000" w:themeColor="text1"/>
            </w:tcBorders>
            <w:shd w:val="clear" w:color="auto" w:fill="auto"/>
            <w:vAlign w:val="center"/>
            <w:hideMark/>
          </w:tcPr>
          <w:p w14:paraId="272DFD5A" w14:textId="77777777" w:rsidR="002C2FA4" w:rsidRPr="00941B94" w:rsidRDefault="002C2FA4" w:rsidP="00FB235B">
            <w:pPr>
              <w:pStyle w:val="NormalWeb"/>
              <w:jc w:val="center"/>
              <w:rPr>
                <w:sz w:val="18"/>
                <w:szCs w:val="18"/>
              </w:rPr>
            </w:pPr>
            <w:r w:rsidRPr="00941B94">
              <w:rPr>
                <w:sz w:val="18"/>
                <w:szCs w:val="18"/>
                <w:lang w:val="en-US"/>
              </w:rPr>
              <w:t>89.5</w:t>
            </w:r>
          </w:p>
        </w:tc>
        <w:tc>
          <w:tcPr>
            <w:tcW w:w="1830" w:type="dxa"/>
            <w:tcBorders>
              <w:bottom w:val="single" w:sz="2" w:space="0" w:color="000000" w:themeColor="text1"/>
            </w:tcBorders>
            <w:shd w:val="clear" w:color="auto" w:fill="auto"/>
            <w:vAlign w:val="center"/>
            <w:hideMark/>
          </w:tcPr>
          <w:p w14:paraId="2A5D241D" w14:textId="77777777" w:rsidR="002C2FA4" w:rsidRPr="00941B94" w:rsidRDefault="002C2FA4" w:rsidP="00FB235B">
            <w:pPr>
              <w:pStyle w:val="NormalWeb"/>
              <w:jc w:val="center"/>
              <w:rPr>
                <w:sz w:val="18"/>
                <w:szCs w:val="18"/>
              </w:rPr>
            </w:pPr>
            <w:r w:rsidRPr="00941B94">
              <w:rPr>
                <w:sz w:val="18"/>
                <w:szCs w:val="18"/>
              </w:rPr>
              <w:t>6,048</w:t>
            </w:r>
          </w:p>
        </w:tc>
        <w:tc>
          <w:tcPr>
            <w:tcW w:w="438" w:type="dxa"/>
            <w:tcBorders>
              <w:bottom w:val="single" w:sz="2" w:space="0" w:color="000000" w:themeColor="text1"/>
            </w:tcBorders>
            <w:shd w:val="clear" w:color="auto" w:fill="auto"/>
            <w:vAlign w:val="center"/>
            <w:hideMark/>
          </w:tcPr>
          <w:p w14:paraId="523F2BC6" w14:textId="77777777" w:rsidR="002C2FA4" w:rsidRPr="00941B94" w:rsidRDefault="002C2FA4" w:rsidP="00FB235B">
            <w:pPr>
              <w:pStyle w:val="NormalWeb"/>
              <w:jc w:val="center"/>
              <w:rPr>
                <w:sz w:val="18"/>
                <w:szCs w:val="18"/>
              </w:rPr>
            </w:pPr>
            <w:r w:rsidRPr="00941B94">
              <w:rPr>
                <w:sz w:val="18"/>
                <w:szCs w:val="18"/>
              </w:rPr>
              <w:t>13.3</w:t>
            </w:r>
          </w:p>
        </w:tc>
        <w:tc>
          <w:tcPr>
            <w:tcW w:w="1417" w:type="dxa"/>
            <w:tcBorders>
              <w:bottom w:val="single" w:sz="2" w:space="0" w:color="000000" w:themeColor="text1"/>
            </w:tcBorders>
            <w:shd w:val="clear" w:color="auto" w:fill="auto"/>
            <w:vAlign w:val="center"/>
            <w:hideMark/>
          </w:tcPr>
          <w:p w14:paraId="5C7F3075" w14:textId="77777777" w:rsidR="002C2FA4" w:rsidRPr="00941B94" w:rsidRDefault="002C2FA4" w:rsidP="00FB235B">
            <w:pPr>
              <w:pStyle w:val="NormalWeb"/>
              <w:jc w:val="center"/>
              <w:rPr>
                <w:sz w:val="18"/>
                <w:szCs w:val="18"/>
              </w:rPr>
            </w:pPr>
            <w:r w:rsidRPr="00941B94">
              <w:rPr>
                <w:sz w:val="18"/>
                <w:szCs w:val="18"/>
              </w:rPr>
              <w:t>121.5</w:t>
            </w:r>
          </w:p>
        </w:tc>
        <w:tc>
          <w:tcPr>
            <w:tcW w:w="1234" w:type="dxa"/>
            <w:tcBorders>
              <w:bottom w:val="single" w:sz="2" w:space="0" w:color="000000" w:themeColor="text1"/>
            </w:tcBorders>
            <w:shd w:val="clear" w:color="auto" w:fill="auto"/>
            <w:vAlign w:val="center"/>
            <w:hideMark/>
          </w:tcPr>
          <w:p w14:paraId="1672D711" w14:textId="77777777" w:rsidR="002C2FA4" w:rsidRPr="00941B94" w:rsidRDefault="002C2FA4" w:rsidP="00FB235B">
            <w:pPr>
              <w:pStyle w:val="NormalWeb"/>
              <w:jc w:val="center"/>
              <w:rPr>
                <w:sz w:val="18"/>
                <w:szCs w:val="18"/>
              </w:rPr>
            </w:pPr>
            <w:r w:rsidRPr="00941B94">
              <w:rPr>
                <w:sz w:val="18"/>
                <w:szCs w:val="18"/>
              </w:rPr>
              <w:t>20.0</w:t>
            </w:r>
          </w:p>
        </w:tc>
      </w:tr>
      <w:tr w:rsidR="0093295E" w:rsidRPr="00941B94" w14:paraId="07E8D7B1" w14:textId="77777777" w:rsidTr="00FB235B">
        <w:tblPrEx>
          <w:tblCellMar>
            <w:top w:w="57" w:type="dxa"/>
            <w:left w:w="57" w:type="dxa"/>
            <w:bottom w:w="57" w:type="dxa"/>
            <w:right w:w="57" w:type="dxa"/>
          </w:tblCellMar>
        </w:tblPrEx>
        <w:tc>
          <w:tcPr>
            <w:tcW w:w="6379" w:type="dxa"/>
            <w:tcBorders>
              <w:top w:val="single" w:sz="2" w:space="0" w:color="000000" w:themeColor="text1"/>
              <w:bottom w:val="single" w:sz="2" w:space="0" w:color="000000" w:themeColor="text1"/>
            </w:tcBorders>
            <w:shd w:val="clear" w:color="auto" w:fill="auto"/>
            <w:vAlign w:val="center"/>
            <w:hideMark/>
          </w:tcPr>
          <w:p w14:paraId="0642BB15" w14:textId="77777777" w:rsidR="002C2FA4" w:rsidRPr="00941B94" w:rsidRDefault="002C2FA4" w:rsidP="00FB235B">
            <w:pPr>
              <w:pStyle w:val="NormalWeb"/>
              <w:jc w:val="center"/>
              <w:rPr>
                <w:sz w:val="18"/>
                <w:szCs w:val="18"/>
              </w:rPr>
            </w:pPr>
            <w:r w:rsidRPr="00941B94">
              <w:rPr>
                <w:sz w:val="18"/>
                <w:szCs w:val="18"/>
              </w:rPr>
              <w:t>16–34</w:t>
            </w:r>
          </w:p>
        </w:tc>
        <w:tc>
          <w:tcPr>
            <w:tcW w:w="1843" w:type="dxa"/>
            <w:tcBorders>
              <w:top w:val="single" w:sz="2" w:space="0" w:color="000000" w:themeColor="text1"/>
              <w:bottom w:val="single" w:sz="2" w:space="0" w:color="000000" w:themeColor="text1"/>
            </w:tcBorders>
            <w:shd w:val="clear" w:color="auto" w:fill="auto"/>
            <w:vAlign w:val="center"/>
            <w:hideMark/>
          </w:tcPr>
          <w:p w14:paraId="490FD418" w14:textId="77777777" w:rsidR="002C2FA4" w:rsidRPr="00941B94" w:rsidRDefault="002C2FA4" w:rsidP="00FB235B">
            <w:pPr>
              <w:pStyle w:val="NormalWeb"/>
              <w:jc w:val="center"/>
              <w:rPr>
                <w:sz w:val="18"/>
                <w:szCs w:val="18"/>
              </w:rPr>
            </w:pPr>
            <w:r w:rsidRPr="00941B94">
              <w:rPr>
                <w:sz w:val="18"/>
                <w:szCs w:val="18"/>
              </w:rPr>
              <w:t>5,335</w:t>
            </w:r>
          </w:p>
        </w:tc>
        <w:tc>
          <w:tcPr>
            <w:tcW w:w="567" w:type="dxa"/>
            <w:tcBorders>
              <w:top w:val="single" w:sz="2" w:space="0" w:color="000000" w:themeColor="text1"/>
              <w:bottom w:val="single" w:sz="2" w:space="0" w:color="000000" w:themeColor="text1"/>
            </w:tcBorders>
            <w:shd w:val="clear" w:color="auto" w:fill="auto"/>
            <w:vAlign w:val="center"/>
            <w:hideMark/>
          </w:tcPr>
          <w:p w14:paraId="7F4870C9" w14:textId="77777777" w:rsidR="002C2FA4" w:rsidRPr="00941B94" w:rsidRDefault="002C2FA4" w:rsidP="00FB235B">
            <w:pPr>
              <w:pStyle w:val="NormalWeb"/>
              <w:jc w:val="center"/>
              <w:rPr>
                <w:sz w:val="18"/>
                <w:szCs w:val="18"/>
              </w:rPr>
            </w:pPr>
            <w:r w:rsidRPr="00941B94">
              <w:rPr>
                <w:sz w:val="18"/>
                <w:szCs w:val="18"/>
              </w:rPr>
              <w:t>15.7</w:t>
            </w:r>
          </w:p>
        </w:tc>
        <w:tc>
          <w:tcPr>
            <w:tcW w:w="1276" w:type="dxa"/>
            <w:tcBorders>
              <w:top w:val="single" w:sz="2" w:space="0" w:color="000000" w:themeColor="text1"/>
              <w:bottom w:val="single" w:sz="2" w:space="0" w:color="000000" w:themeColor="text1"/>
            </w:tcBorders>
            <w:shd w:val="clear" w:color="auto" w:fill="auto"/>
            <w:vAlign w:val="center"/>
            <w:hideMark/>
          </w:tcPr>
          <w:p w14:paraId="191BC795" w14:textId="77777777" w:rsidR="002C2FA4" w:rsidRPr="00941B94" w:rsidRDefault="002C2FA4" w:rsidP="00FB235B">
            <w:pPr>
              <w:pStyle w:val="NormalWeb"/>
              <w:jc w:val="center"/>
              <w:rPr>
                <w:sz w:val="18"/>
                <w:szCs w:val="18"/>
              </w:rPr>
            </w:pPr>
            <w:r w:rsidRPr="00941B94">
              <w:rPr>
                <w:sz w:val="18"/>
                <w:szCs w:val="18"/>
                <w:lang w:val="en-US"/>
              </w:rPr>
              <w:t>79.8</w:t>
            </w:r>
          </w:p>
        </w:tc>
        <w:tc>
          <w:tcPr>
            <w:tcW w:w="1830" w:type="dxa"/>
            <w:tcBorders>
              <w:top w:val="single" w:sz="2" w:space="0" w:color="000000" w:themeColor="text1"/>
              <w:bottom w:val="single" w:sz="2" w:space="0" w:color="000000" w:themeColor="text1"/>
            </w:tcBorders>
            <w:shd w:val="clear" w:color="auto" w:fill="auto"/>
            <w:vAlign w:val="center"/>
            <w:hideMark/>
          </w:tcPr>
          <w:p w14:paraId="59C45CA5" w14:textId="77777777" w:rsidR="002C2FA4" w:rsidRPr="00941B94" w:rsidRDefault="002C2FA4" w:rsidP="00FB235B">
            <w:pPr>
              <w:pStyle w:val="NormalWeb"/>
              <w:jc w:val="center"/>
              <w:rPr>
                <w:sz w:val="18"/>
                <w:szCs w:val="18"/>
              </w:rPr>
            </w:pPr>
            <w:r w:rsidRPr="00941B94">
              <w:rPr>
                <w:sz w:val="18"/>
                <w:szCs w:val="18"/>
              </w:rPr>
              <w:t>7,090</w:t>
            </w:r>
          </w:p>
        </w:tc>
        <w:tc>
          <w:tcPr>
            <w:tcW w:w="438" w:type="dxa"/>
            <w:tcBorders>
              <w:top w:val="single" w:sz="2" w:space="0" w:color="000000" w:themeColor="text1"/>
              <w:bottom w:val="single" w:sz="2" w:space="0" w:color="000000" w:themeColor="text1"/>
            </w:tcBorders>
            <w:shd w:val="clear" w:color="auto" w:fill="auto"/>
            <w:vAlign w:val="center"/>
            <w:hideMark/>
          </w:tcPr>
          <w:p w14:paraId="5D2304A6" w14:textId="77777777" w:rsidR="002C2FA4" w:rsidRPr="00941B94" w:rsidRDefault="002C2FA4" w:rsidP="00FB235B">
            <w:pPr>
              <w:pStyle w:val="NormalWeb"/>
              <w:jc w:val="center"/>
              <w:rPr>
                <w:sz w:val="18"/>
                <w:szCs w:val="18"/>
              </w:rPr>
            </w:pPr>
            <w:r w:rsidRPr="00941B94">
              <w:rPr>
                <w:sz w:val="18"/>
                <w:szCs w:val="18"/>
              </w:rPr>
              <w:t>15.8</w:t>
            </w:r>
          </w:p>
        </w:tc>
        <w:tc>
          <w:tcPr>
            <w:tcW w:w="1417" w:type="dxa"/>
            <w:tcBorders>
              <w:top w:val="single" w:sz="2" w:space="0" w:color="000000" w:themeColor="text1"/>
              <w:bottom w:val="single" w:sz="2" w:space="0" w:color="000000" w:themeColor="text1"/>
            </w:tcBorders>
            <w:shd w:val="clear" w:color="auto" w:fill="auto"/>
            <w:vAlign w:val="center"/>
            <w:hideMark/>
          </w:tcPr>
          <w:p w14:paraId="237644ED" w14:textId="77777777" w:rsidR="002C2FA4" w:rsidRPr="00941B94" w:rsidRDefault="002C2FA4" w:rsidP="00FB235B">
            <w:pPr>
              <w:pStyle w:val="NormalWeb"/>
              <w:jc w:val="center"/>
              <w:rPr>
                <w:sz w:val="18"/>
                <w:szCs w:val="18"/>
              </w:rPr>
            </w:pPr>
            <w:r w:rsidRPr="00941B94">
              <w:rPr>
                <w:sz w:val="18"/>
                <w:szCs w:val="18"/>
              </w:rPr>
              <w:t>106.1</w:t>
            </w:r>
          </w:p>
        </w:tc>
        <w:tc>
          <w:tcPr>
            <w:tcW w:w="1234" w:type="dxa"/>
            <w:tcBorders>
              <w:top w:val="single" w:sz="2" w:space="0" w:color="000000" w:themeColor="text1"/>
              <w:bottom w:val="single" w:sz="2" w:space="0" w:color="000000" w:themeColor="text1"/>
            </w:tcBorders>
            <w:shd w:val="clear" w:color="auto" w:fill="auto"/>
            <w:vAlign w:val="center"/>
            <w:hideMark/>
          </w:tcPr>
          <w:p w14:paraId="0B3EEBCD" w14:textId="77777777" w:rsidR="002C2FA4" w:rsidRPr="00941B94" w:rsidRDefault="002C2FA4" w:rsidP="00FB235B">
            <w:pPr>
              <w:pStyle w:val="NormalWeb"/>
              <w:jc w:val="center"/>
              <w:rPr>
                <w:sz w:val="18"/>
                <w:szCs w:val="18"/>
              </w:rPr>
            </w:pPr>
            <w:r w:rsidRPr="00941B94">
              <w:rPr>
                <w:sz w:val="18"/>
                <w:szCs w:val="18"/>
              </w:rPr>
              <w:t>26.8</w:t>
            </w:r>
          </w:p>
        </w:tc>
      </w:tr>
      <w:tr w:rsidR="0093295E" w:rsidRPr="00941B94" w14:paraId="1CF07E27" w14:textId="77777777" w:rsidTr="00FB23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379" w:type="dxa"/>
            <w:tcBorders>
              <w:top w:val="single" w:sz="2" w:space="0" w:color="000000" w:themeColor="text1"/>
              <w:bottom w:val="single" w:sz="2" w:space="0" w:color="000000" w:themeColor="text1"/>
            </w:tcBorders>
            <w:shd w:val="clear" w:color="auto" w:fill="auto"/>
            <w:vAlign w:val="center"/>
            <w:hideMark/>
          </w:tcPr>
          <w:p w14:paraId="0AA747F8" w14:textId="77777777" w:rsidR="002C2FA4" w:rsidRPr="00941B94" w:rsidRDefault="002C2FA4" w:rsidP="00FB235B">
            <w:pPr>
              <w:pStyle w:val="NormalWeb"/>
              <w:jc w:val="center"/>
              <w:rPr>
                <w:sz w:val="18"/>
                <w:szCs w:val="18"/>
              </w:rPr>
            </w:pPr>
            <w:r w:rsidRPr="00941B94">
              <w:rPr>
                <w:sz w:val="18"/>
                <w:szCs w:val="18"/>
              </w:rPr>
              <w:t>35–49</w:t>
            </w:r>
          </w:p>
        </w:tc>
        <w:tc>
          <w:tcPr>
            <w:tcW w:w="1843" w:type="dxa"/>
            <w:tcBorders>
              <w:top w:val="single" w:sz="2" w:space="0" w:color="000000" w:themeColor="text1"/>
              <w:bottom w:val="single" w:sz="2" w:space="0" w:color="000000" w:themeColor="text1"/>
            </w:tcBorders>
            <w:shd w:val="clear" w:color="auto" w:fill="auto"/>
            <w:vAlign w:val="center"/>
            <w:hideMark/>
          </w:tcPr>
          <w:p w14:paraId="4E809E14" w14:textId="77777777" w:rsidR="002C2FA4" w:rsidRPr="00941B94" w:rsidRDefault="002C2FA4" w:rsidP="00FB235B">
            <w:pPr>
              <w:pStyle w:val="NormalWeb"/>
              <w:jc w:val="center"/>
              <w:rPr>
                <w:sz w:val="18"/>
                <w:szCs w:val="18"/>
              </w:rPr>
            </w:pPr>
            <w:r w:rsidRPr="00941B94">
              <w:rPr>
                <w:sz w:val="18"/>
                <w:szCs w:val="18"/>
              </w:rPr>
              <w:t>8,075</w:t>
            </w:r>
          </w:p>
        </w:tc>
        <w:tc>
          <w:tcPr>
            <w:tcW w:w="567" w:type="dxa"/>
            <w:tcBorders>
              <w:top w:val="single" w:sz="2" w:space="0" w:color="000000" w:themeColor="text1"/>
              <w:bottom w:val="single" w:sz="2" w:space="0" w:color="000000" w:themeColor="text1"/>
            </w:tcBorders>
            <w:shd w:val="clear" w:color="auto" w:fill="auto"/>
            <w:vAlign w:val="center"/>
            <w:hideMark/>
          </w:tcPr>
          <w:p w14:paraId="373D4CD1" w14:textId="77777777" w:rsidR="002C2FA4" w:rsidRPr="00941B94" w:rsidRDefault="002C2FA4" w:rsidP="00FB235B">
            <w:pPr>
              <w:pStyle w:val="NormalWeb"/>
              <w:jc w:val="center"/>
              <w:rPr>
                <w:sz w:val="18"/>
                <w:szCs w:val="18"/>
              </w:rPr>
            </w:pPr>
            <w:r w:rsidRPr="00941B94">
              <w:rPr>
                <w:sz w:val="18"/>
                <w:szCs w:val="18"/>
              </w:rPr>
              <w:t>23.8</w:t>
            </w:r>
          </w:p>
        </w:tc>
        <w:tc>
          <w:tcPr>
            <w:tcW w:w="1276" w:type="dxa"/>
            <w:tcBorders>
              <w:top w:val="single" w:sz="2" w:space="0" w:color="000000" w:themeColor="text1"/>
              <w:bottom w:val="single" w:sz="2" w:space="0" w:color="000000" w:themeColor="text1"/>
            </w:tcBorders>
            <w:shd w:val="clear" w:color="auto" w:fill="auto"/>
            <w:vAlign w:val="center"/>
            <w:hideMark/>
          </w:tcPr>
          <w:p w14:paraId="45B8C8D0" w14:textId="77777777" w:rsidR="002C2FA4" w:rsidRPr="00941B94" w:rsidRDefault="002C2FA4" w:rsidP="00FB235B">
            <w:pPr>
              <w:pStyle w:val="NormalWeb"/>
              <w:jc w:val="center"/>
              <w:rPr>
                <w:sz w:val="18"/>
                <w:szCs w:val="18"/>
              </w:rPr>
            </w:pPr>
            <w:r w:rsidRPr="00941B94">
              <w:rPr>
                <w:sz w:val="18"/>
                <w:szCs w:val="18"/>
                <w:lang w:val="en-US"/>
              </w:rPr>
              <w:t>161.9</w:t>
            </w:r>
          </w:p>
        </w:tc>
        <w:tc>
          <w:tcPr>
            <w:tcW w:w="1830" w:type="dxa"/>
            <w:tcBorders>
              <w:top w:val="single" w:sz="2" w:space="0" w:color="000000" w:themeColor="text1"/>
              <w:bottom w:val="single" w:sz="2" w:space="0" w:color="000000" w:themeColor="text1"/>
            </w:tcBorders>
            <w:shd w:val="clear" w:color="auto" w:fill="auto"/>
            <w:vAlign w:val="center"/>
            <w:hideMark/>
          </w:tcPr>
          <w:p w14:paraId="5CFCBA10" w14:textId="77777777" w:rsidR="002C2FA4" w:rsidRPr="00941B94" w:rsidRDefault="002C2FA4" w:rsidP="00FB235B">
            <w:pPr>
              <w:pStyle w:val="NormalWeb"/>
              <w:jc w:val="center"/>
              <w:rPr>
                <w:sz w:val="18"/>
                <w:szCs w:val="18"/>
              </w:rPr>
            </w:pPr>
            <w:r w:rsidRPr="00941B94">
              <w:rPr>
                <w:sz w:val="18"/>
                <w:szCs w:val="18"/>
              </w:rPr>
              <w:t>10,330</w:t>
            </w:r>
          </w:p>
        </w:tc>
        <w:tc>
          <w:tcPr>
            <w:tcW w:w="438" w:type="dxa"/>
            <w:tcBorders>
              <w:top w:val="single" w:sz="2" w:space="0" w:color="000000" w:themeColor="text1"/>
              <w:bottom w:val="single" w:sz="2" w:space="0" w:color="000000" w:themeColor="text1"/>
            </w:tcBorders>
            <w:shd w:val="clear" w:color="auto" w:fill="auto"/>
            <w:vAlign w:val="center"/>
            <w:hideMark/>
          </w:tcPr>
          <w:p w14:paraId="667AE43B" w14:textId="77777777" w:rsidR="002C2FA4" w:rsidRPr="00941B94" w:rsidRDefault="002C2FA4" w:rsidP="00FB235B">
            <w:pPr>
              <w:pStyle w:val="NormalWeb"/>
              <w:jc w:val="center"/>
              <w:rPr>
                <w:sz w:val="18"/>
                <w:szCs w:val="18"/>
              </w:rPr>
            </w:pPr>
            <w:r w:rsidRPr="00941B94">
              <w:rPr>
                <w:sz w:val="18"/>
                <w:szCs w:val="18"/>
              </w:rPr>
              <w:t>22.7</w:t>
            </w:r>
          </w:p>
        </w:tc>
        <w:tc>
          <w:tcPr>
            <w:tcW w:w="1417" w:type="dxa"/>
            <w:tcBorders>
              <w:top w:val="single" w:sz="2" w:space="0" w:color="000000" w:themeColor="text1"/>
              <w:bottom w:val="single" w:sz="2" w:space="0" w:color="000000" w:themeColor="text1"/>
            </w:tcBorders>
            <w:shd w:val="clear" w:color="auto" w:fill="auto"/>
            <w:vAlign w:val="center"/>
            <w:hideMark/>
          </w:tcPr>
          <w:p w14:paraId="1392A545" w14:textId="77777777" w:rsidR="002C2FA4" w:rsidRPr="00941B94" w:rsidRDefault="002C2FA4" w:rsidP="00FB235B">
            <w:pPr>
              <w:pStyle w:val="NormalWeb"/>
              <w:jc w:val="center"/>
              <w:rPr>
                <w:sz w:val="18"/>
                <w:szCs w:val="18"/>
              </w:rPr>
            </w:pPr>
            <w:r w:rsidRPr="00941B94">
              <w:rPr>
                <w:sz w:val="18"/>
                <w:szCs w:val="18"/>
              </w:rPr>
              <w:t>207.1</w:t>
            </w:r>
          </w:p>
        </w:tc>
        <w:tc>
          <w:tcPr>
            <w:tcW w:w="1234" w:type="dxa"/>
            <w:tcBorders>
              <w:top w:val="single" w:sz="2" w:space="0" w:color="000000" w:themeColor="text1"/>
              <w:bottom w:val="single" w:sz="2" w:space="0" w:color="000000" w:themeColor="text1"/>
            </w:tcBorders>
            <w:shd w:val="clear" w:color="auto" w:fill="auto"/>
            <w:vAlign w:val="center"/>
            <w:hideMark/>
          </w:tcPr>
          <w:p w14:paraId="7BDB08E0" w14:textId="77777777" w:rsidR="002C2FA4" w:rsidRPr="00941B94" w:rsidRDefault="002C2FA4" w:rsidP="00FB235B">
            <w:pPr>
              <w:pStyle w:val="NormalWeb"/>
              <w:jc w:val="center"/>
              <w:rPr>
                <w:sz w:val="18"/>
                <w:szCs w:val="18"/>
              </w:rPr>
            </w:pPr>
            <w:r w:rsidRPr="00941B94">
              <w:rPr>
                <w:sz w:val="18"/>
                <w:szCs w:val="18"/>
              </w:rPr>
              <w:t>20.0</w:t>
            </w:r>
          </w:p>
        </w:tc>
      </w:tr>
      <w:tr w:rsidR="0093295E" w:rsidRPr="00941B94" w14:paraId="47DB8DD9" w14:textId="77777777" w:rsidTr="00FB235B">
        <w:tblPrEx>
          <w:tblCellMar>
            <w:top w:w="57" w:type="dxa"/>
            <w:left w:w="57" w:type="dxa"/>
            <w:bottom w:w="57" w:type="dxa"/>
            <w:right w:w="57" w:type="dxa"/>
          </w:tblCellMar>
        </w:tblPrEx>
        <w:tc>
          <w:tcPr>
            <w:tcW w:w="6379" w:type="dxa"/>
            <w:tcBorders>
              <w:top w:val="single" w:sz="2" w:space="0" w:color="000000" w:themeColor="text1"/>
              <w:bottom w:val="single" w:sz="2" w:space="0" w:color="000000" w:themeColor="text1"/>
            </w:tcBorders>
            <w:shd w:val="clear" w:color="auto" w:fill="auto"/>
            <w:vAlign w:val="center"/>
            <w:hideMark/>
          </w:tcPr>
          <w:p w14:paraId="51244C8C" w14:textId="77777777" w:rsidR="002C2FA4" w:rsidRPr="00941B94" w:rsidRDefault="002C2FA4" w:rsidP="00FB235B">
            <w:pPr>
              <w:pStyle w:val="NormalWeb"/>
              <w:jc w:val="center"/>
              <w:rPr>
                <w:sz w:val="18"/>
                <w:szCs w:val="18"/>
              </w:rPr>
            </w:pPr>
            <w:r w:rsidRPr="00941B94">
              <w:rPr>
                <w:sz w:val="18"/>
                <w:szCs w:val="18"/>
              </w:rPr>
              <w:t>50–64</w:t>
            </w:r>
          </w:p>
        </w:tc>
        <w:tc>
          <w:tcPr>
            <w:tcW w:w="1843" w:type="dxa"/>
            <w:tcBorders>
              <w:top w:val="single" w:sz="2" w:space="0" w:color="000000" w:themeColor="text1"/>
              <w:bottom w:val="single" w:sz="2" w:space="0" w:color="000000" w:themeColor="text1"/>
            </w:tcBorders>
            <w:shd w:val="clear" w:color="auto" w:fill="auto"/>
            <w:vAlign w:val="center"/>
            <w:hideMark/>
          </w:tcPr>
          <w:p w14:paraId="78998167" w14:textId="77777777" w:rsidR="002C2FA4" w:rsidRPr="00941B94" w:rsidRDefault="002C2FA4" w:rsidP="00FB235B">
            <w:pPr>
              <w:pStyle w:val="NormalWeb"/>
              <w:jc w:val="center"/>
              <w:rPr>
                <w:sz w:val="18"/>
                <w:szCs w:val="18"/>
              </w:rPr>
            </w:pPr>
            <w:r w:rsidRPr="00941B94">
              <w:rPr>
                <w:sz w:val="18"/>
                <w:szCs w:val="18"/>
              </w:rPr>
              <w:t>11,167</w:t>
            </w:r>
          </w:p>
        </w:tc>
        <w:tc>
          <w:tcPr>
            <w:tcW w:w="567" w:type="dxa"/>
            <w:tcBorders>
              <w:top w:val="single" w:sz="2" w:space="0" w:color="000000" w:themeColor="text1"/>
              <w:bottom w:val="single" w:sz="2" w:space="0" w:color="000000" w:themeColor="text1"/>
            </w:tcBorders>
            <w:shd w:val="clear" w:color="auto" w:fill="auto"/>
            <w:vAlign w:val="center"/>
            <w:hideMark/>
          </w:tcPr>
          <w:p w14:paraId="340657DC" w14:textId="77777777" w:rsidR="002C2FA4" w:rsidRPr="00941B94" w:rsidRDefault="002C2FA4" w:rsidP="00FB235B">
            <w:pPr>
              <w:pStyle w:val="NormalWeb"/>
              <w:jc w:val="center"/>
              <w:rPr>
                <w:sz w:val="18"/>
                <w:szCs w:val="18"/>
              </w:rPr>
            </w:pPr>
            <w:r w:rsidRPr="00941B94">
              <w:rPr>
                <w:sz w:val="18"/>
                <w:szCs w:val="18"/>
              </w:rPr>
              <w:t>32.9</w:t>
            </w:r>
          </w:p>
        </w:tc>
        <w:tc>
          <w:tcPr>
            <w:tcW w:w="1276" w:type="dxa"/>
            <w:tcBorders>
              <w:top w:val="single" w:sz="2" w:space="0" w:color="000000" w:themeColor="text1"/>
              <w:bottom w:val="single" w:sz="2" w:space="0" w:color="000000" w:themeColor="text1"/>
            </w:tcBorders>
            <w:shd w:val="clear" w:color="auto" w:fill="auto"/>
            <w:vAlign w:val="center"/>
            <w:hideMark/>
          </w:tcPr>
          <w:p w14:paraId="72656E1B" w14:textId="77777777" w:rsidR="002C2FA4" w:rsidRPr="00941B94" w:rsidRDefault="002C2FA4" w:rsidP="00FB235B">
            <w:pPr>
              <w:pStyle w:val="NormalWeb"/>
              <w:jc w:val="center"/>
              <w:rPr>
                <w:sz w:val="18"/>
                <w:szCs w:val="18"/>
              </w:rPr>
            </w:pPr>
            <w:r w:rsidRPr="00941B94">
              <w:rPr>
                <w:sz w:val="18"/>
                <w:szCs w:val="18"/>
                <w:lang w:val="en-US"/>
              </w:rPr>
              <w:t>252.8</w:t>
            </w:r>
          </w:p>
        </w:tc>
        <w:tc>
          <w:tcPr>
            <w:tcW w:w="1830" w:type="dxa"/>
            <w:tcBorders>
              <w:top w:val="single" w:sz="2" w:space="0" w:color="000000" w:themeColor="text1"/>
              <w:bottom w:val="single" w:sz="2" w:space="0" w:color="000000" w:themeColor="text1"/>
            </w:tcBorders>
            <w:shd w:val="clear" w:color="auto" w:fill="auto"/>
            <w:vAlign w:val="center"/>
            <w:hideMark/>
          </w:tcPr>
          <w:p w14:paraId="383E042F" w14:textId="77777777" w:rsidR="002C2FA4" w:rsidRPr="00941B94" w:rsidRDefault="002C2FA4" w:rsidP="00FB235B">
            <w:pPr>
              <w:pStyle w:val="NormalWeb"/>
              <w:jc w:val="center"/>
              <w:rPr>
                <w:sz w:val="18"/>
                <w:szCs w:val="18"/>
              </w:rPr>
            </w:pPr>
            <w:r w:rsidRPr="00941B94">
              <w:rPr>
                <w:sz w:val="18"/>
                <w:szCs w:val="18"/>
              </w:rPr>
              <w:t>14,173</w:t>
            </w:r>
          </w:p>
        </w:tc>
        <w:tc>
          <w:tcPr>
            <w:tcW w:w="438" w:type="dxa"/>
            <w:tcBorders>
              <w:top w:val="single" w:sz="2" w:space="0" w:color="000000" w:themeColor="text1"/>
              <w:bottom w:val="single" w:sz="2" w:space="0" w:color="000000" w:themeColor="text1"/>
            </w:tcBorders>
            <w:shd w:val="clear" w:color="auto" w:fill="auto"/>
            <w:vAlign w:val="center"/>
            <w:hideMark/>
          </w:tcPr>
          <w:p w14:paraId="3E335B03" w14:textId="77777777" w:rsidR="002C2FA4" w:rsidRPr="00941B94" w:rsidRDefault="002C2FA4" w:rsidP="00FB235B">
            <w:pPr>
              <w:pStyle w:val="NormalWeb"/>
              <w:jc w:val="center"/>
              <w:rPr>
                <w:sz w:val="18"/>
                <w:szCs w:val="18"/>
              </w:rPr>
            </w:pPr>
            <w:r w:rsidRPr="00941B94">
              <w:rPr>
                <w:sz w:val="18"/>
                <w:szCs w:val="18"/>
              </w:rPr>
              <w:t>31.1</w:t>
            </w:r>
          </w:p>
        </w:tc>
        <w:tc>
          <w:tcPr>
            <w:tcW w:w="1417" w:type="dxa"/>
            <w:tcBorders>
              <w:top w:val="single" w:sz="2" w:space="0" w:color="000000" w:themeColor="text1"/>
              <w:bottom w:val="single" w:sz="2" w:space="0" w:color="000000" w:themeColor="text1"/>
            </w:tcBorders>
            <w:shd w:val="clear" w:color="auto" w:fill="auto"/>
            <w:vAlign w:val="center"/>
            <w:hideMark/>
          </w:tcPr>
          <w:p w14:paraId="5337570F" w14:textId="77777777" w:rsidR="002C2FA4" w:rsidRPr="00941B94" w:rsidRDefault="002C2FA4" w:rsidP="00FB235B">
            <w:pPr>
              <w:pStyle w:val="NormalWeb"/>
              <w:jc w:val="center"/>
              <w:rPr>
                <w:sz w:val="18"/>
                <w:szCs w:val="18"/>
              </w:rPr>
            </w:pPr>
            <w:r w:rsidRPr="00941B94">
              <w:rPr>
                <w:sz w:val="18"/>
                <w:szCs w:val="18"/>
              </w:rPr>
              <w:t>320.8</w:t>
            </w:r>
          </w:p>
        </w:tc>
        <w:tc>
          <w:tcPr>
            <w:tcW w:w="1234" w:type="dxa"/>
            <w:tcBorders>
              <w:top w:val="single" w:sz="2" w:space="0" w:color="000000" w:themeColor="text1"/>
              <w:bottom w:val="single" w:sz="2" w:space="0" w:color="000000" w:themeColor="text1"/>
            </w:tcBorders>
            <w:shd w:val="clear" w:color="auto" w:fill="auto"/>
            <w:vAlign w:val="center"/>
            <w:hideMark/>
          </w:tcPr>
          <w:p w14:paraId="0D13B38B" w14:textId="77777777" w:rsidR="002C2FA4" w:rsidRPr="00941B94" w:rsidRDefault="002C2FA4" w:rsidP="00FB235B">
            <w:pPr>
              <w:pStyle w:val="NormalWeb"/>
              <w:jc w:val="center"/>
              <w:rPr>
                <w:sz w:val="18"/>
                <w:szCs w:val="18"/>
              </w:rPr>
            </w:pPr>
            <w:r w:rsidRPr="00941B94">
              <w:rPr>
                <w:sz w:val="18"/>
                <w:szCs w:val="18"/>
              </w:rPr>
              <w:t>17.8</w:t>
            </w:r>
          </w:p>
        </w:tc>
      </w:tr>
      <w:tr w:rsidR="0093295E" w:rsidRPr="00941B94" w14:paraId="203503DA" w14:textId="77777777" w:rsidTr="00FB23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379" w:type="dxa"/>
            <w:tcBorders>
              <w:top w:val="single" w:sz="2" w:space="0" w:color="000000" w:themeColor="text1"/>
            </w:tcBorders>
            <w:shd w:val="clear" w:color="auto" w:fill="auto"/>
            <w:vAlign w:val="center"/>
            <w:hideMark/>
          </w:tcPr>
          <w:p w14:paraId="4CDD9A11" w14:textId="77777777" w:rsidR="002C2FA4" w:rsidRPr="00941B94" w:rsidRDefault="002C2FA4" w:rsidP="00FB235B">
            <w:pPr>
              <w:pStyle w:val="NormalWeb"/>
              <w:jc w:val="center"/>
              <w:rPr>
                <w:sz w:val="18"/>
                <w:szCs w:val="18"/>
              </w:rPr>
            </w:pPr>
            <w:r w:rsidRPr="00941B94">
              <w:rPr>
                <w:sz w:val="18"/>
                <w:szCs w:val="18"/>
              </w:rPr>
              <w:t>65 and over</w:t>
            </w:r>
          </w:p>
        </w:tc>
        <w:tc>
          <w:tcPr>
            <w:tcW w:w="1843" w:type="dxa"/>
            <w:tcBorders>
              <w:top w:val="single" w:sz="2" w:space="0" w:color="000000" w:themeColor="text1"/>
            </w:tcBorders>
            <w:shd w:val="clear" w:color="auto" w:fill="auto"/>
            <w:vAlign w:val="center"/>
            <w:hideMark/>
          </w:tcPr>
          <w:p w14:paraId="6C6C6F04" w14:textId="77777777" w:rsidR="002C2FA4" w:rsidRPr="00941B94" w:rsidRDefault="002C2FA4" w:rsidP="00FB235B">
            <w:pPr>
              <w:pStyle w:val="NormalWeb"/>
              <w:jc w:val="center"/>
              <w:rPr>
                <w:sz w:val="18"/>
                <w:szCs w:val="18"/>
              </w:rPr>
            </w:pPr>
            <w:r w:rsidRPr="00941B94">
              <w:rPr>
                <w:sz w:val="18"/>
                <w:szCs w:val="18"/>
              </w:rPr>
              <w:t>4,916</w:t>
            </w:r>
          </w:p>
        </w:tc>
        <w:tc>
          <w:tcPr>
            <w:tcW w:w="567" w:type="dxa"/>
            <w:tcBorders>
              <w:top w:val="single" w:sz="2" w:space="0" w:color="000000" w:themeColor="text1"/>
            </w:tcBorders>
            <w:shd w:val="clear" w:color="auto" w:fill="auto"/>
            <w:vAlign w:val="center"/>
            <w:hideMark/>
          </w:tcPr>
          <w:p w14:paraId="16EBDB6D" w14:textId="77777777" w:rsidR="002C2FA4" w:rsidRPr="00941B94" w:rsidRDefault="002C2FA4" w:rsidP="00FB235B">
            <w:pPr>
              <w:pStyle w:val="NormalWeb"/>
              <w:jc w:val="center"/>
              <w:rPr>
                <w:sz w:val="18"/>
                <w:szCs w:val="18"/>
              </w:rPr>
            </w:pPr>
            <w:r w:rsidRPr="00941B94">
              <w:rPr>
                <w:sz w:val="18"/>
                <w:szCs w:val="18"/>
              </w:rPr>
              <w:t>14.5</w:t>
            </w:r>
          </w:p>
        </w:tc>
        <w:tc>
          <w:tcPr>
            <w:tcW w:w="1276" w:type="dxa"/>
            <w:tcBorders>
              <w:top w:val="single" w:sz="2" w:space="0" w:color="000000" w:themeColor="text1"/>
            </w:tcBorders>
            <w:shd w:val="clear" w:color="auto" w:fill="auto"/>
            <w:vAlign w:val="center"/>
            <w:hideMark/>
          </w:tcPr>
          <w:p w14:paraId="714D9885" w14:textId="77777777" w:rsidR="002C2FA4" w:rsidRPr="00941B94" w:rsidRDefault="002C2FA4" w:rsidP="00FB235B">
            <w:pPr>
              <w:pStyle w:val="NormalWeb"/>
              <w:jc w:val="center"/>
              <w:rPr>
                <w:sz w:val="18"/>
                <w:szCs w:val="18"/>
              </w:rPr>
            </w:pPr>
            <w:r w:rsidRPr="00941B94">
              <w:rPr>
                <w:sz w:val="18"/>
                <w:szCs w:val="18"/>
                <w:lang w:val="en-US"/>
              </w:rPr>
              <w:t>125.6</w:t>
            </w:r>
          </w:p>
        </w:tc>
        <w:tc>
          <w:tcPr>
            <w:tcW w:w="1830" w:type="dxa"/>
            <w:tcBorders>
              <w:top w:val="single" w:sz="2" w:space="0" w:color="000000" w:themeColor="text1"/>
            </w:tcBorders>
            <w:shd w:val="clear" w:color="auto" w:fill="auto"/>
            <w:vAlign w:val="center"/>
            <w:hideMark/>
          </w:tcPr>
          <w:p w14:paraId="48E121CC" w14:textId="77777777" w:rsidR="002C2FA4" w:rsidRPr="00941B94" w:rsidRDefault="002C2FA4" w:rsidP="00FB235B">
            <w:pPr>
              <w:pStyle w:val="NormalWeb"/>
              <w:jc w:val="center"/>
              <w:rPr>
                <w:sz w:val="18"/>
                <w:szCs w:val="18"/>
              </w:rPr>
            </w:pPr>
            <w:r w:rsidRPr="00941B94">
              <w:rPr>
                <w:sz w:val="18"/>
                <w:szCs w:val="18"/>
              </w:rPr>
              <w:t>7,890</w:t>
            </w:r>
          </w:p>
        </w:tc>
        <w:tc>
          <w:tcPr>
            <w:tcW w:w="438" w:type="dxa"/>
            <w:tcBorders>
              <w:top w:val="single" w:sz="2" w:space="0" w:color="000000" w:themeColor="text1"/>
            </w:tcBorders>
            <w:shd w:val="clear" w:color="auto" w:fill="auto"/>
            <w:vAlign w:val="center"/>
            <w:hideMark/>
          </w:tcPr>
          <w:p w14:paraId="7FDA7622" w14:textId="77777777" w:rsidR="002C2FA4" w:rsidRPr="00941B94" w:rsidRDefault="002C2FA4" w:rsidP="00FB235B">
            <w:pPr>
              <w:pStyle w:val="NormalWeb"/>
              <w:jc w:val="center"/>
              <w:rPr>
                <w:sz w:val="18"/>
                <w:szCs w:val="18"/>
              </w:rPr>
            </w:pPr>
            <w:r w:rsidRPr="00941B94">
              <w:rPr>
                <w:sz w:val="18"/>
                <w:szCs w:val="18"/>
              </w:rPr>
              <w:t>17.3</w:t>
            </w:r>
          </w:p>
        </w:tc>
        <w:tc>
          <w:tcPr>
            <w:tcW w:w="1417" w:type="dxa"/>
            <w:tcBorders>
              <w:top w:val="single" w:sz="2" w:space="0" w:color="000000" w:themeColor="text1"/>
            </w:tcBorders>
            <w:shd w:val="clear" w:color="auto" w:fill="auto"/>
            <w:vAlign w:val="center"/>
            <w:hideMark/>
          </w:tcPr>
          <w:p w14:paraId="7AF2ED2F" w14:textId="77777777" w:rsidR="002C2FA4" w:rsidRPr="00941B94" w:rsidRDefault="002C2FA4" w:rsidP="00FB235B">
            <w:pPr>
              <w:pStyle w:val="NormalWeb"/>
              <w:jc w:val="center"/>
              <w:rPr>
                <w:sz w:val="18"/>
                <w:szCs w:val="18"/>
              </w:rPr>
            </w:pPr>
            <w:r w:rsidRPr="00941B94">
              <w:rPr>
                <w:sz w:val="18"/>
                <w:szCs w:val="18"/>
              </w:rPr>
              <w:t>201.6</w:t>
            </w:r>
          </w:p>
        </w:tc>
        <w:tc>
          <w:tcPr>
            <w:tcW w:w="1234" w:type="dxa"/>
            <w:tcBorders>
              <w:top w:val="single" w:sz="2" w:space="0" w:color="000000" w:themeColor="text1"/>
            </w:tcBorders>
            <w:shd w:val="clear" w:color="auto" w:fill="auto"/>
            <w:vAlign w:val="center"/>
            <w:hideMark/>
          </w:tcPr>
          <w:p w14:paraId="54822793" w14:textId="77777777" w:rsidR="002C2FA4" w:rsidRPr="00941B94" w:rsidRDefault="002C2FA4" w:rsidP="00FB235B">
            <w:pPr>
              <w:pStyle w:val="NormalWeb"/>
              <w:jc w:val="center"/>
              <w:rPr>
                <w:sz w:val="18"/>
                <w:szCs w:val="18"/>
              </w:rPr>
            </w:pPr>
            <w:r w:rsidRPr="00941B94">
              <w:rPr>
                <w:sz w:val="18"/>
                <w:szCs w:val="18"/>
              </w:rPr>
              <w:t>15.4</w:t>
            </w:r>
          </w:p>
        </w:tc>
      </w:tr>
      <w:tr w:rsidR="0093295E" w:rsidRPr="00941B94" w14:paraId="40EB8113" w14:textId="77777777" w:rsidTr="00FB235B">
        <w:tblPrEx>
          <w:tblCellMar>
            <w:top w:w="57" w:type="dxa"/>
            <w:left w:w="57" w:type="dxa"/>
            <w:bottom w:w="57" w:type="dxa"/>
            <w:right w:w="57" w:type="dxa"/>
          </w:tblCellMar>
        </w:tblPrEx>
        <w:tc>
          <w:tcPr>
            <w:tcW w:w="6379" w:type="dxa"/>
            <w:shd w:val="clear" w:color="auto" w:fill="E3B77B"/>
            <w:vAlign w:val="center"/>
            <w:hideMark/>
          </w:tcPr>
          <w:p w14:paraId="2CE186AE" w14:textId="77777777" w:rsidR="002C2FA4" w:rsidRPr="00941B94" w:rsidRDefault="002C2FA4" w:rsidP="00FB235B">
            <w:pPr>
              <w:pStyle w:val="NormalWeb"/>
              <w:jc w:val="center"/>
              <w:rPr>
                <w:b/>
                <w:bCs/>
                <w:sz w:val="18"/>
                <w:szCs w:val="18"/>
              </w:rPr>
            </w:pPr>
            <w:r w:rsidRPr="00941B94">
              <w:rPr>
                <w:b/>
                <w:bCs/>
                <w:sz w:val="18"/>
                <w:szCs w:val="18"/>
              </w:rPr>
              <w:t>Total participants</w:t>
            </w:r>
          </w:p>
        </w:tc>
        <w:tc>
          <w:tcPr>
            <w:tcW w:w="1843" w:type="dxa"/>
            <w:shd w:val="clear" w:color="auto" w:fill="E3B77B"/>
            <w:vAlign w:val="center"/>
            <w:hideMark/>
          </w:tcPr>
          <w:p w14:paraId="62F89BCC" w14:textId="77777777" w:rsidR="002C2FA4" w:rsidRPr="00941B94" w:rsidRDefault="002C2FA4" w:rsidP="00FB235B">
            <w:pPr>
              <w:pStyle w:val="NormalWeb"/>
              <w:jc w:val="center"/>
              <w:rPr>
                <w:b/>
                <w:bCs/>
                <w:sz w:val="18"/>
                <w:szCs w:val="18"/>
              </w:rPr>
            </w:pPr>
            <w:r w:rsidRPr="00941B94">
              <w:rPr>
                <w:b/>
                <w:bCs/>
                <w:sz w:val="18"/>
                <w:szCs w:val="18"/>
              </w:rPr>
              <w:t>33,947</w:t>
            </w:r>
          </w:p>
        </w:tc>
        <w:tc>
          <w:tcPr>
            <w:tcW w:w="567" w:type="dxa"/>
            <w:shd w:val="clear" w:color="auto" w:fill="E3B77B"/>
            <w:vAlign w:val="center"/>
            <w:hideMark/>
          </w:tcPr>
          <w:p w14:paraId="767DD219" w14:textId="77777777" w:rsidR="002C2FA4" w:rsidRPr="00941B94" w:rsidRDefault="002C2FA4" w:rsidP="00FB235B">
            <w:pPr>
              <w:jc w:val="center"/>
              <w:rPr>
                <w:b/>
                <w:bCs/>
                <w:sz w:val="18"/>
                <w:szCs w:val="18"/>
              </w:rPr>
            </w:pPr>
          </w:p>
        </w:tc>
        <w:tc>
          <w:tcPr>
            <w:tcW w:w="1276" w:type="dxa"/>
            <w:shd w:val="clear" w:color="auto" w:fill="E3B77B"/>
            <w:vAlign w:val="center"/>
            <w:hideMark/>
          </w:tcPr>
          <w:p w14:paraId="53F205FD" w14:textId="77777777" w:rsidR="002C2FA4" w:rsidRPr="00941B94" w:rsidRDefault="002C2FA4" w:rsidP="00FB235B">
            <w:pPr>
              <w:pStyle w:val="NormalWeb"/>
              <w:jc w:val="center"/>
              <w:rPr>
                <w:b/>
                <w:bCs/>
                <w:sz w:val="18"/>
                <w:szCs w:val="18"/>
              </w:rPr>
            </w:pPr>
            <w:r w:rsidRPr="00941B94">
              <w:rPr>
                <w:b/>
                <w:bCs/>
                <w:sz w:val="18"/>
                <w:szCs w:val="18"/>
              </w:rPr>
              <w:t>135.9</w:t>
            </w:r>
          </w:p>
        </w:tc>
        <w:tc>
          <w:tcPr>
            <w:tcW w:w="1830" w:type="dxa"/>
            <w:shd w:val="clear" w:color="auto" w:fill="E3B77B"/>
            <w:vAlign w:val="center"/>
            <w:hideMark/>
          </w:tcPr>
          <w:p w14:paraId="06DC8CF6" w14:textId="77777777" w:rsidR="002C2FA4" w:rsidRPr="00941B94" w:rsidRDefault="002C2FA4" w:rsidP="00FB235B">
            <w:pPr>
              <w:pStyle w:val="NormalWeb"/>
              <w:jc w:val="center"/>
              <w:rPr>
                <w:b/>
                <w:bCs/>
                <w:sz w:val="18"/>
                <w:szCs w:val="18"/>
              </w:rPr>
            </w:pPr>
            <w:r w:rsidRPr="00941B94">
              <w:rPr>
                <w:b/>
                <w:bCs/>
                <w:sz w:val="18"/>
                <w:szCs w:val="18"/>
              </w:rPr>
              <w:t>45,531 (1 missing)</w:t>
            </w:r>
          </w:p>
        </w:tc>
        <w:tc>
          <w:tcPr>
            <w:tcW w:w="438" w:type="dxa"/>
            <w:shd w:val="clear" w:color="auto" w:fill="E3B77B"/>
            <w:vAlign w:val="center"/>
            <w:hideMark/>
          </w:tcPr>
          <w:p w14:paraId="561868DF" w14:textId="77777777" w:rsidR="002C2FA4" w:rsidRPr="00941B94" w:rsidRDefault="002C2FA4" w:rsidP="00FB235B">
            <w:pPr>
              <w:jc w:val="center"/>
              <w:rPr>
                <w:b/>
                <w:bCs/>
                <w:sz w:val="18"/>
                <w:szCs w:val="18"/>
              </w:rPr>
            </w:pPr>
          </w:p>
        </w:tc>
        <w:tc>
          <w:tcPr>
            <w:tcW w:w="1417" w:type="dxa"/>
            <w:shd w:val="clear" w:color="auto" w:fill="E3B77B"/>
            <w:vAlign w:val="center"/>
            <w:hideMark/>
          </w:tcPr>
          <w:p w14:paraId="017C1300" w14:textId="77777777" w:rsidR="002C2FA4" w:rsidRPr="00941B94" w:rsidRDefault="002C2FA4" w:rsidP="00FB235B">
            <w:pPr>
              <w:pStyle w:val="NormalWeb"/>
              <w:jc w:val="center"/>
              <w:rPr>
                <w:b/>
                <w:bCs/>
                <w:sz w:val="18"/>
                <w:szCs w:val="18"/>
              </w:rPr>
            </w:pPr>
            <w:r w:rsidRPr="00941B94">
              <w:rPr>
                <w:b/>
                <w:bCs/>
                <w:sz w:val="18"/>
                <w:szCs w:val="18"/>
              </w:rPr>
              <w:t>182.3</w:t>
            </w:r>
          </w:p>
        </w:tc>
        <w:tc>
          <w:tcPr>
            <w:tcW w:w="1234" w:type="dxa"/>
            <w:shd w:val="clear" w:color="auto" w:fill="E3B77B"/>
            <w:vAlign w:val="center"/>
            <w:hideMark/>
          </w:tcPr>
          <w:p w14:paraId="0FF18E44" w14:textId="77777777" w:rsidR="002C2FA4" w:rsidRPr="00941B94" w:rsidRDefault="002C2FA4" w:rsidP="00FB235B">
            <w:pPr>
              <w:jc w:val="center"/>
              <w:rPr>
                <w:b/>
                <w:bCs/>
                <w:sz w:val="18"/>
                <w:szCs w:val="18"/>
              </w:rPr>
            </w:pPr>
          </w:p>
        </w:tc>
      </w:tr>
      <w:tr w:rsidR="002C2FA4" w:rsidRPr="00941B94" w14:paraId="5944BB0B" w14:textId="77777777" w:rsidTr="00FD184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8"/>
            <w:shd w:val="clear" w:color="auto" w:fill="595959" w:themeFill="text1" w:themeFillTint="A6"/>
            <w:vAlign w:val="center"/>
            <w:hideMark/>
          </w:tcPr>
          <w:p w14:paraId="25C387FD" w14:textId="77777777" w:rsidR="002C2FA4" w:rsidRPr="00941B94" w:rsidRDefault="002C2FA4" w:rsidP="00FB235B">
            <w:pPr>
              <w:pStyle w:val="NormalWeb"/>
              <w:jc w:val="center"/>
              <w:rPr>
                <w:b/>
                <w:bCs/>
                <w:color w:val="FFFFFF" w:themeColor="background1"/>
                <w:sz w:val="18"/>
                <w:szCs w:val="18"/>
              </w:rPr>
            </w:pPr>
            <w:r w:rsidRPr="00941B94">
              <w:rPr>
                <w:b/>
                <w:bCs/>
                <w:color w:val="FFFFFF" w:themeColor="background1"/>
                <w:sz w:val="18"/>
                <w:szCs w:val="18"/>
              </w:rPr>
              <w:t>Gender</w:t>
            </w:r>
          </w:p>
        </w:tc>
      </w:tr>
      <w:tr w:rsidR="0093295E" w:rsidRPr="00941B94" w14:paraId="3196E457" w14:textId="77777777" w:rsidTr="00FB235B">
        <w:tblPrEx>
          <w:tblCellMar>
            <w:top w:w="57" w:type="dxa"/>
            <w:left w:w="57" w:type="dxa"/>
            <w:bottom w:w="57" w:type="dxa"/>
            <w:right w:w="57" w:type="dxa"/>
          </w:tblCellMar>
        </w:tblPrEx>
        <w:tc>
          <w:tcPr>
            <w:tcW w:w="6379" w:type="dxa"/>
            <w:tcBorders>
              <w:bottom w:val="single" w:sz="2" w:space="0" w:color="000000" w:themeColor="text1"/>
            </w:tcBorders>
            <w:shd w:val="clear" w:color="auto" w:fill="auto"/>
            <w:vAlign w:val="center"/>
            <w:hideMark/>
          </w:tcPr>
          <w:p w14:paraId="3CC86F6F" w14:textId="77777777" w:rsidR="002C2FA4" w:rsidRPr="00941B94" w:rsidRDefault="002C2FA4" w:rsidP="00FB235B">
            <w:pPr>
              <w:pStyle w:val="NormalWeb"/>
              <w:jc w:val="center"/>
              <w:rPr>
                <w:sz w:val="18"/>
                <w:szCs w:val="18"/>
              </w:rPr>
            </w:pPr>
            <w:r w:rsidRPr="00941B94">
              <w:rPr>
                <w:sz w:val="18"/>
                <w:szCs w:val="18"/>
              </w:rPr>
              <w:t>Male</w:t>
            </w:r>
          </w:p>
        </w:tc>
        <w:tc>
          <w:tcPr>
            <w:tcW w:w="1843" w:type="dxa"/>
            <w:tcBorders>
              <w:bottom w:val="single" w:sz="2" w:space="0" w:color="000000" w:themeColor="text1"/>
            </w:tcBorders>
            <w:shd w:val="clear" w:color="auto" w:fill="auto"/>
            <w:vAlign w:val="center"/>
            <w:hideMark/>
          </w:tcPr>
          <w:p w14:paraId="7067D860" w14:textId="77777777" w:rsidR="002C2FA4" w:rsidRPr="00941B94" w:rsidRDefault="002C2FA4" w:rsidP="00FB235B">
            <w:pPr>
              <w:pStyle w:val="NormalWeb"/>
              <w:jc w:val="center"/>
              <w:rPr>
                <w:sz w:val="18"/>
                <w:szCs w:val="18"/>
              </w:rPr>
            </w:pPr>
            <w:r w:rsidRPr="00941B94">
              <w:rPr>
                <w:sz w:val="18"/>
                <w:szCs w:val="18"/>
              </w:rPr>
              <w:t>13,155</w:t>
            </w:r>
          </w:p>
        </w:tc>
        <w:tc>
          <w:tcPr>
            <w:tcW w:w="567" w:type="dxa"/>
            <w:tcBorders>
              <w:bottom w:val="single" w:sz="2" w:space="0" w:color="000000" w:themeColor="text1"/>
            </w:tcBorders>
            <w:shd w:val="clear" w:color="auto" w:fill="auto"/>
            <w:vAlign w:val="center"/>
            <w:hideMark/>
          </w:tcPr>
          <w:p w14:paraId="5AE4E005" w14:textId="77777777" w:rsidR="002C2FA4" w:rsidRPr="00941B94" w:rsidRDefault="002C2FA4" w:rsidP="00FB235B">
            <w:pPr>
              <w:pStyle w:val="NormalWeb"/>
              <w:jc w:val="center"/>
              <w:rPr>
                <w:sz w:val="18"/>
                <w:szCs w:val="18"/>
              </w:rPr>
            </w:pPr>
            <w:r w:rsidRPr="00941B94">
              <w:rPr>
                <w:sz w:val="18"/>
                <w:szCs w:val="18"/>
              </w:rPr>
              <w:t>39.7</w:t>
            </w:r>
          </w:p>
        </w:tc>
        <w:tc>
          <w:tcPr>
            <w:tcW w:w="1276" w:type="dxa"/>
            <w:tcBorders>
              <w:bottom w:val="single" w:sz="2" w:space="0" w:color="000000" w:themeColor="text1"/>
            </w:tcBorders>
            <w:shd w:val="clear" w:color="auto" w:fill="auto"/>
            <w:vAlign w:val="center"/>
            <w:hideMark/>
          </w:tcPr>
          <w:p w14:paraId="1973177B" w14:textId="77777777" w:rsidR="002C2FA4" w:rsidRPr="00941B94" w:rsidRDefault="002C2FA4" w:rsidP="00FB235B">
            <w:pPr>
              <w:pStyle w:val="NormalWeb"/>
              <w:jc w:val="center"/>
              <w:rPr>
                <w:sz w:val="18"/>
                <w:szCs w:val="18"/>
              </w:rPr>
            </w:pPr>
            <w:r w:rsidRPr="00941B94">
              <w:rPr>
                <w:sz w:val="18"/>
                <w:szCs w:val="18"/>
                <w:lang w:val="en-US"/>
              </w:rPr>
              <w:t>113.9</w:t>
            </w:r>
          </w:p>
        </w:tc>
        <w:tc>
          <w:tcPr>
            <w:tcW w:w="1830" w:type="dxa"/>
            <w:tcBorders>
              <w:bottom w:val="single" w:sz="2" w:space="0" w:color="000000" w:themeColor="text1"/>
            </w:tcBorders>
            <w:shd w:val="clear" w:color="auto" w:fill="auto"/>
            <w:vAlign w:val="center"/>
            <w:hideMark/>
          </w:tcPr>
          <w:p w14:paraId="6F58803B" w14:textId="77777777" w:rsidR="002C2FA4" w:rsidRPr="00941B94" w:rsidRDefault="002C2FA4" w:rsidP="00FB235B">
            <w:pPr>
              <w:pStyle w:val="NormalWeb"/>
              <w:jc w:val="center"/>
              <w:rPr>
                <w:sz w:val="18"/>
                <w:szCs w:val="18"/>
              </w:rPr>
            </w:pPr>
            <w:r w:rsidRPr="00941B94">
              <w:rPr>
                <w:sz w:val="18"/>
                <w:szCs w:val="18"/>
              </w:rPr>
              <w:t>17,986</w:t>
            </w:r>
          </w:p>
        </w:tc>
        <w:tc>
          <w:tcPr>
            <w:tcW w:w="438" w:type="dxa"/>
            <w:tcBorders>
              <w:bottom w:val="single" w:sz="2" w:space="0" w:color="000000" w:themeColor="text1"/>
            </w:tcBorders>
            <w:shd w:val="clear" w:color="auto" w:fill="auto"/>
            <w:vAlign w:val="center"/>
            <w:hideMark/>
          </w:tcPr>
          <w:p w14:paraId="313C3A44" w14:textId="77777777" w:rsidR="002C2FA4" w:rsidRPr="00941B94" w:rsidRDefault="002C2FA4" w:rsidP="00FB235B">
            <w:pPr>
              <w:pStyle w:val="NormalWeb"/>
              <w:jc w:val="center"/>
              <w:rPr>
                <w:sz w:val="18"/>
                <w:szCs w:val="18"/>
              </w:rPr>
            </w:pPr>
            <w:r w:rsidRPr="00941B94">
              <w:rPr>
                <w:sz w:val="18"/>
                <w:szCs w:val="18"/>
              </w:rPr>
              <w:t>40.1</w:t>
            </w:r>
          </w:p>
        </w:tc>
        <w:tc>
          <w:tcPr>
            <w:tcW w:w="1417" w:type="dxa"/>
            <w:tcBorders>
              <w:bottom w:val="single" w:sz="2" w:space="0" w:color="000000" w:themeColor="text1"/>
            </w:tcBorders>
            <w:shd w:val="clear" w:color="auto" w:fill="auto"/>
            <w:vAlign w:val="center"/>
            <w:hideMark/>
          </w:tcPr>
          <w:p w14:paraId="6E940CA8" w14:textId="77777777" w:rsidR="002C2FA4" w:rsidRPr="00941B94" w:rsidRDefault="002C2FA4" w:rsidP="00FB235B">
            <w:pPr>
              <w:pStyle w:val="NormalWeb"/>
              <w:jc w:val="center"/>
              <w:rPr>
                <w:sz w:val="18"/>
                <w:szCs w:val="18"/>
              </w:rPr>
            </w:pPr>
            <w:r w:rsidRPr="00941B94">
              <w:rPr>
                <w:sz w:val="18"/>
                <w:szCs w:val="18"/>
              </w:rPr>
              <w:t>155.8</w:t>
            </w:r>
          </w:p>
        </w:tc>
        <w:tc>
          <w:tcPr>
            <w:tcW w:w="1234" w:type="dxa"/>
            <w:tcBorders>
              <w:bottom w:val="single" w:sz="2" w:space="0" w:color="000000" w:themeColor="text1"/>
            </w:tcBorders>
            <w:shd w:val="clear" w:color="auto" w:fill="auto"/>
            <w:vAlign w:val="center"/>
            <w:hideMark/>
          </w:tcPr>
          <w:p w14:paraId="40B66D96" w14:textId="77777777" w:rsidR="002C2FA4" w:rsidRPr="00941B94" w:rsidRDefault="002C2FA4" w:rsidP="00FB235B">
            <w:pPr>
              <w:pStyle w:val="NormalWeb"/>
              <w:jc w:val="center"/>
              <w:rPr>
                <w:sz w:val="18"/>
                <w:szCs w:val="18"/>
              </w:rPr>
            </w:pPr>
            <w:r w:rsidRPr="00941B94">
              <w:rPr>
                <w:sz w:val="18"/>
                <w:szCs w:val="18"/>
              </w:rPr>
              <w:t>49.6</w:t>
            </w:r>
          </w:p>
        </w:tc>
      </w:tr>
      <w:tr w:rsidR="0093295E" w:rsidRPr="00941B94" w14:paraId="5219D621" w14:textId="77777777" w:rsidTr="00FB23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379" w:type="dxa"/>
            <w:tcBorders>
              <w:top w:val="single" w:sz="2" w:space="0" w:color="000000" w:themeColor="text1"/>
              <w:bottom w:val="single" w:sz="2" w:space="0" w:color="000000" w:themeColor="text1"/>
            </w:tcBorders>
            <w:shd w:val="clear" w:color="auto" w:fill="auto"/>
            <w:vAlign w:val="center"/>
            <w:hideMark/>
          </w:tcPr>
          <w:p w14:paraId="04C2B713" w14:textId="77777777" w:rsidR="002C2FA4" w:rsidRPr="00941B94" w:rsidRDefault="002C2FA4" w:rsidP="00FB235B">
            <w:pPr>
              <w:pStyle w:val="NormalWeb"/>
              <w:jc w:val="center"/>
              <w:rPr>
                <w:sz w:val="18"/>
                <w:szCs w:val="18"/>
              </w:rPr>
            </w:pPr>
            <w:r w:rsidRPr="00941B94">
              <w:rPr>
                <w:sz w:val="18"/>
                <w:szCs w:val="18"/>
              </w:rPr>
              <w:t>Female</w:t>
            </w:r>
          </w:p>
        </w:tc>
        <w:tc>
          <w:tcPr>
            <w:tcW w:w="1843" w:type="dxa"/>
            <w:tcBorders>
              <w:top w:val="single" w:sz="2" w:space="0" w:color="000000" w:themeColor="text1"/>
              <w:bottom w:val="single" w:sz="2" w:space="0" w:color="000000" w:themeColor="text1"/>
            </w:tcBorders>
            <w:shd w:val="clear" w:color="auto" w:fill="auto"/>
            <w:vAlign w:val="center"/>
            <w:hideMark/>
          </w:tcPr>
          <w:p w14:paraId="3CF602BC" w14:textId="77777777" w:rsidR="002C2FA4" w:rsidRPr="00941B94" w:rsidRDefault="002C2FA4" w:rsidP="00FB235B">
            <w:pPr>
              <w:pStyle w:val="NormalWeb"/>
              <w:jc w:val="center"/>
              <w:rPr>
                <w:sz w:val="18"/>
                <w:szCs w:val="18"/>
              </w:rPr>
            </w:pPr>
            <w:r w:rsidRPr="00941B94">
              <w:rPr>
                <w:sz w:val="18"/>
                <w:szCs w:val="18"/>
              </w:rPr>
              <w:t>19,935</w:t>
            </w:r>
          </w:p>
        </w:tc>
        <w:tc>
          <w:tcPr>
            <w:tcW w:w="567" w:type="dxa"/>
            <w:tcBorders>
              <w:top w:val="single" w:sz="2" w:space="0" w:color="000000" w:themeColor="text1"/>
              <w:bottom w:val="single" w:sz="2" w:space="0" w:color="000000" w:themeColor="text1"/>
            </w:tcBorders>
            <w:shd w:val="clear" w:color="auto" w:fill="auto"/>
            <w:vAlign w:val="center"/>
            <w:hideMark/>
          </w:tcPr>
          <w:p w14:paraId="44D3ADEE" w14:textId="77777777" w:rsidR="002C2FA4" w:rsidRPr="00941B94" w:rsidRDefault="002C2FA4" w:rsidP="00FB235B">
            <w:pPr>
              <w:pStyle w:val="NormalWeb"/>
              <w:jc w:val="center"/>
              <w:rPr>
                <w:sz w:val="18"/>
                <w:szCs w:val="18"/>
              </w:rPr>
            </w:pPr>
            <w:r w:rsidRPr="00941B94">
              <w:rPr>
                <w:sz w:val="18"/>
                <w:szCs w:val="18"/>
              </w:rPr>
              <w:t>60.2</w:t>
            </w:r>
          </w:p>
        </w:tc>
        <w:tc>
          <w:tcPr>
            <w:tcW w:w="1276" w:type="dxa"/>
            <w:tcBorders>
              <w:top w:val="single" w:sz="2" w:space="0" w:color="000000" w:themeColor="text1"/>
              <w:bottom w:val="single" w:sz="2" w:space="0" w:color="000000" w:themeColor="text1"/>
            </w:tcBorders>
            <w:shd w:val="clear" w:color="auto" w:fill="auto"/>
            <w:vAlign w:val="center"/>
            <w:hideMark/>
          </w:tcPr>
          <w:p w14:paraId="07C44FD1" w14:textId="77777777" w:rsidR="002C2FA4" w:rsidRPr="00941B94" w:rsidRDefault="002C2FA4" w:rsidP="00FB235B">
            <w:pPr>
              <w:pStyle w:val="NormalWeb"/>
              <w:jc w:val="center"/>
              <w:rPr>
                <w:sz w:val="18"/>
                <w:szCs w:val="18"/>
              </w:rPr>
            </w:pPr>
            <w:r w:rsidRPr="00941B94">
              <w:rPr>
                <w:sz w:val="18"/>
                <w:szCs w:val="18"/>
                <w:lang w:val="en-US"/>
              </w:rPr>
              <w:t>168.2</w:t>
            </w:r>
          </w:p>
        </w:tc>
        <w:tc>
          <w:tcPr>
            <w:tcW w:w="1830" w:type="dxa"/>
            <w:tcBorders>
              <w:top w:val="single" w:sz="2" w:space="0" w:color="000000" w:themeColor="text1"/>
              <w:bottom w:val="single" w:sz="2" w:space="0" w:color="000000" w:themeColor="text1"/>
            </w:tcBorders>
            <w:shd w:val="clear" w:color="auto" w:fill="auto"/>
            <w:vAlign w:val="center"/>
            <w:hideMark/>
          </w:tcPr>
          <w:p w14:paraId="1136BBED" w14:textId="77777777" w:rsidR="002C2FA4" w:rsidRPr="00941B94" w:rsidRDefault="002C2FA4" w:rsidP="00FB235B">
            <w:pPr>
              <w:pStyle w:val="NormalWeb"/>
              <w:jc w:val="center"/>
              <w:rPr>
                <w:sz w:val="18"/>
                <w:szCs w:val="18"/>
              </w:rPr>
            </w:pPr>
            <w:r w:rsidRPr="00941B94">
              <w:rPr>
                <w:sz w:val="18"/>
                <w:szCs w:val="18"/>
              </w:rPr>
              <w:t>26,749</w:t>
            </w:r>
          </w:p>
        </w:tc>
        <w:tc>
          <w:tcPr>
            <w:tcW w:w="438" w:type="dxa"/>
            <w:tcBorders>
              <w:top w:val="single" w:sz="2" w:space="0" w:color="000000" w:themeColor="text1"/>
              <w:bottom w:val="single" w:sz="2" w:space="0" w:color="000000" w:themeColor="text1"/>
            </w:tcBorders>
            <w:shd w:val="clear" w:color="auto" w:fill="auto"/>
            <w:vAlign w:val="center"/>
            <w:hideMark/>
          </w:tcPr>
          <w:p w14:paraId="7BD43302" w14:textId="77777777" w:rsidR="002C2FA4" w:rsidRPr="00941B94" w:rsidRDefault="002C2FA4" w:rsidP="00FB235B">
            <w:pPr>
              <w:pStyle w:val="NormalWeb"/>
              <w:jc w:val="center"/>
              <w:rPr>
                <w:sz w:val="18"/>
                <w:szCs w:val="18"/>
              </w:rPr>
            </w:pPr>
            <w:r w:rsidRPr="00941B94">
              <w:rPr>
                <w:sz w:val="18"/>
                <w:szCs w:val="18"/>
              </w:rPr>
              <w:t>59.8</w:t>
            </w:r>
          </w:p>
        </w:tc>
        <w:tc>
          <w:tcPr>
            <w:tcW w:w="1417" w:type="dxa"/>
            <w:tcBorders>
              <w:top w:val="single" w:sz="2" w:space="0" w:color="000000" w:themeColor="text1"/>
              <w:bottom w:val="single" w:sz="2" w:space="0" w:color="000000" w:themeColor="text1"/>
            </w:tcBorders>
            <w:shd w:val="clear" w:color="auto" w:fill="auto"/>
            <w:vAlign w:val="center"/>
            <w:hideMark/>
          </w:tcPr>
          <w:p w14:paraId="16B5D19C" w14:textId="77777777" w:rsidR="002C2FA4" w:rsidRPr="00941B94" w:rsidRDefault="002C2FA4" w:rsidP="00FB235B">
            <w:pPr>
              <w:pStyle w:val="NormalWeb"/>
              <w:jc w:val="center"/>
              <w:rPr>
                <w:sz w:val="18"/>
                <w:szCs w:val="18"/>
              </w:rPr>
            </w:pPr>
            <w:r w:rsidRPr="00941B94">
              <w:rPr>
                <w:sz w:val="18"/>
                <w:szCs w:val="18"/>
              </w:rPr>
              <w:t>225.6</w:t>
            </w:r>
          </w:p>
        </w:tc>
        <w:tc>
          <w:tcPr>
            <w:tcW w:w="1234" w:type="dxa"/>
            <w:tcBorders>
              <w:top w:val="single" w:sz="2" w:space="0" w:color="000000" w:themeColor="text1"/>
              <w:bottom w:val="single" w:sz="2" w:space="0" w:color="000000" w:themeColor="text1"/>
            </w:tcBorders>
            <w:shd w:val="clear" w:color="auto" w:fill="auto"/>
            <w:vAlign w:val="center"/>
            <w:hideMark/>
          </w:tcPr>
          <w:p w14:paraId="58370724" w14:textId="77777777" w:rsidR="002C2FA4" w:rsidRPr="00941B94" w:rsidRDefault="002C2FA4" w:rsidP="00FB235B">
            <w:pPr>
              <w:pStyle w:val="NormalWeb"/>
              <w:jc w:val="center"/>
              <w:rPr>
                <w:sz w:val="18"/>
                <w:szCs w:val="18"/>
              </w:rPr>
            </w:pPr>
            <w:r w:rsidRPr="00941B94">
              <w:rPr>
                <w:sz w:val="18"/>
                <w:szCs w:val="18"/>
              </w:rPr>
              <w:t>50.4</w:t>
            </w:r>
          </w:p>
        </w:tc>
      </w:tr>
      <w:tr w:rsidR="0093295E" w:rsidRPr="00941B94" w14:paraId="5D31F631" w14:textId="77777777" w:rsidTr="00FB235B">
        <w:tblPrEx>
          <w:tblCellMar>
            <w:top w:w="57" w:type="dxa"/>
            <w:left w:w="57" w:type="dxa"/>
            <w:bottom w:w="57" w:type="dxa"/>
            <w:right w:w="57" w:type="dxa"/>
          </w:tblCellMar>
        </w:tblPrEx>
        <w:tc>
          <w:tcPr>
            <w:tcW w:w="6379" w:type="dxa"/>
            <w:tcBorders>
              <w:top w:val="single" w:sz="2" w:space="0" w:color="000000" w:themeColor="text1"/>
            </w:tcBorders>
            <w:shd w:val="clear" w:color="auto" w:fill="auto"/>
            <w:vAlign w:val="center"/>
            <w:hideMark/>
          </w:tcPr>
          <w:p w14:paraId="443898F6" w14:textId="77777777" w:rsidR="002C2FA4" w:rsidRPr="00941B94" w:rsidRDefault="002C2FA4" w:rsidP="00FB235B">
            <w:pPr>
              <w:pStyle w:val="NormalWeb"/>
              <w:jc w:val="center"/>
              <w:rPr>
                <w:sz w:val="18"/>
                <w:szCs w:val="18"/>
              </w:rPr>
            </w:pPr>
            <w:r w:rsidRPr="00941B94">
              <w:rPr>
                <w:sz w:val="18"/>
                <w:szCs w:val="18"/>
              </w:rPr>
              <w:t>Other</w:t>
            </w:r>
          </w:p>
        </w:tc>
        <w:tc>
          <w:tcPr>
            <w:tcW w:w="1843" w:type="dxa"/>
            <w:tcBorders>
              <w:top w:val="single" w:sz="2" w:space="0" w:color="000000" w:themeColor="text1"/>
            </w:tcBorders>
            <w:shd w:val="clear" w:color="auto" w:fill="auto"/>
            <w:vAlign w:val="center"/>
            <w:hideMark/>
          </w:tcPr>
          <w:p w14:paraId="4A510190" w14:textId="77777777" w:rsidR="002C2FA4" w:rsidRPr="00941B94" w:rsidRDefault="002C2FA4" w:rsidP="00FB235B">
            <w:pPr>
              <w:pStyle w:val="NormalWeb"/>
              <w:jc w:val="center"/>
              <w:rPr>
                <w:sz w:val="18"/>
                <w:szCs w:val="18"/>
              </w:rPr>
            </w:pPr>
            <w:r w:rsidRPr="00941B94">
              <w:rPr>
                <w:sz w:val="18"/>
                <w:szCs w:val="18"/>
              </w:rPr>
              <w:t>5</w:t>
            </w:r>
          </w:p>
        </w:tc>
        <w:tc>
          <w:tcPr>
            <w:tcW w:w="567" w:type="dxa"/>
            <w:tcBorders>
              <w:top w:val="single" w:sz="2" w:space="0" w:color="000000" w:themeColor="text1"/>
            </w:tcBorders>
            <w:shd w:val="clear" w:color="auto" w:fill="auto"/>
            <w:vAlign w:val="center"/>
            <w:hideMark/>
          </w:tcPr>
          <w:p w14:paraId="20B5D63E" w14:textId="77777777" w:rsidR="002C2FA4" w:rsidRPr="00941B94" w:rsidRDefault="002C2FA4" w:rsidP="00FB235B">
            <w:pPr>
              <w:jc w:val="center"/>
              <w:rPr>
                <w:sz w:val="18"/>
                <w:szCs w:val="18"/>
              </w:rPr>
            </w:pPr>
          </w:p>
        </w:tc>
        <w:tc>
          <w:tcPr>
            <w:tcW w:w="1276" w:type="dxa"/>
            <w:tcBorders>
              <w:top w:val="single" w:sz="2" w:space="0" w:color="000000" w:themeColor="text1"/>
            </w:tcBorders>
            <w:shd w:val="clear" w:color="auto" w:fill="auto"/>
            <w:vAlign w:val="center"/>
            <w:hideMark/>
          </w:tcPr>
          <w:p w14:paraId="7AE8D5B2" w14:textId="77777777" w:rsidR="002C2FA4" w:rsidRPr="00941B94" w:rsidRDefault="002C2FA4" w:rsidP="00FB235B">
            <w:pPr>
              <w:jc w:val="center"/>
              <w:rPr>
                <w:rFonts w:eastAsia="Times New Roman"/>
                <w:sz w:val="18"/>
                <w:szCs w:val="18"/>
              </w:rPr>
            </w:pPr>
          </w:p>
        </w:tc>
        <w:tc>
          <w:tcPr>
            <w:tcW w:w="1830" w:type="dxa"/>
            <w:tcBorders>
              <w:top w:val="single" w:sz="2" w:space="0" w:color="000000" w:themeColor="text1"/>
            </w:tcBorders>
            <w:shd w:val="clear" w:color="auto" w:fill="auto"/>
            <w:vAlign w:val="center"/>
            <w:hideMark/>
          </w:tcPr>
          <w:p w14:paraId="515B1150" w14:textId="77777777" w:rsidR="002C2FA4" w:rsidRPr="00941B94" w:rsidRDefault="002C2FA4" w:rsidP="00FB235B">
            <w:pPr>
              <w:pStyle w:val="NormalWeb"/>
              <w:jc w:val="center"/>
              <w:rPr>
                <w:sz w:val="18"/>
                <w:szCs w:val="18"/>
              </w:rPr>
            </w:pPr>
            <w:r w:rsidRPr="00941B94">
              <w:rPr>
                <w:sz w:val="18"/>
                <w:szCs w:val="18"/>
              </w:rPr>
              <w:t>24</w:t>
            </w:r>
          </w:p>
        </w:tc>
        <w:tc>
          <w:tcPr>
            <w:tcW w:w="438" w:type="dxa"/>
            <w:tcBorders>
              <w:top w:val="single" w:sz="2" w:space="0" w:color="000000" w:themeColor="text1"/>
            </w:tcBorders>
            <w:shd w:val="clear" w:color="auto" w:fill="auto"/>
            <w:vAlign w:val="center"/>
            <w:hideMark/>
          </w:tcPr>
          <w:p w14:paraId="2DB40973" w14:textId="77777777" w:rsidR="002C2FA4" w:rsidRPr="00941B94" w:rsidRDefault="002C2FA4" w:rsidP="00FB235B">
            <w:pPr>
              <w:pStyle w:val="NormalWeb"/>
              <w:jc w:val="center"/>
              <w:rPr>
                <w:sz w:val="18"/>
                <w:szCs w:val="18"/>
              </w:rPr>
            </w:pPr>
            <w:r w:rsidRPr="00941B94">
              <w:rPr>
                <w:sz w:val="18"/>
                <w:szCs w:val="18"/>
              </w:rPr>
              <w:t>0.1</w:t>
            </w:r>
          </w:p>
        </w:tc>
        <w:tc>
          <w:tcPr>
            <w:tcW w:w="1417" w:type="dxa"/>
            <w:tcBorders>
              <w:top w:val="single" w:sz="2" w:space="0" w:color="000000" w:themeColor="text1"/>
            </w:tcBorders>
            <w:shd w:val="clear" w:color="auto" w:fill="auto"/>
            <w:vAlign w:val="center"/>
            <w:hideMark/>
          </w:tcPr>
          <w:p w14:paraId="6EDB3D04" w14:textId="77777777" w:rsidR="002C2FA4" w:rsidRPr="00941B94" w:rsidRDefault="002C2FA4" w:rsidP="00FB235B">
            <w:pPr>
              <w:jc w:val="center"/>
              <w:rPr>
                <w:sz w:val="18"/>
                <w:szCs w:val="18"/>
              </w:rPr>
            </w:pPr>
          </w:p>
        </w:tc>
        <w:tc>
          <w:tcPr>
            <w:tcW w:w="1234" w:type="dxa"/>
            <w:tcBorders>
              <w:top w:val="single" w:sz="2" w:space="0" w:color="000000" w:themeColor="text1"/>
            </w:tcBorders>
            <w:shd w:val="clear" w:color="auto" w:fill="auto"/>
            <w:vAlign w:val="center"/>
            <w:hideMark/>
          </w:tcPr>
          <w:p w14:paraId="6BC0C427" w14:textId="77777777" w:rsidR="002C2FA4" w:rsidRPr="00941B94" w:rsidRDefault="002C2FA4" w:rsidP="00FB235B">
            <w:pPr>
              <w:jc w:val="center"/>
              <w:rPr>
                <w:rFonts w:eastAsia="Times New Roman"/>
                <w:sz w:val="18"/>
                <w:szCs w:val="18"/>
              </w:rPr>
            </w:pPr>
          </w:p>
        </w:tc>
      </w:tr>
      <w:tr w:rsidR="0093295E" w:rsidRPr="00941B94" w14:paraId="7F744023" w14:textId="77777777" w:rsidTr="00FB23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379" w:type="dxa"/>
            <w:shd w:val="clear" w:color="auto" w:fill="E3B77B"/>
            <w:vAlign w:val="center"/>
            <w:hideMark/>
          </w:tcPr>
          <w:p w14:paraId="60BE908A" w14:textId="77777777" w:rsidR="002C2FA4" w:rsidRPr="00941B94" w:rsidRDefault="002C2FA4" w:rsidP="00FB235B">
            <w:pPr>
              <w:pStyle w:val="NormalWeb"/>
              <w:jc w:val="center"/>
              <w:rPr>
                <w:b/>
                <w:bCs/>
                <w:sz w:val="18"/>
                <w:szCs w:val="18"/>
              </w:rPr>
            </w:pPr>
            <w:r w:rsidRPr="00941B94">
              <w:rPr>
                <w:b/>
                <w:bCs/>
                <w:sz w:val="18"/>
                <w:szCs w:val="18"/>
              </w:rPr>
              <w:t>Total reported</w:t>
            </w:r>
          </w:p>
        </w:tc>
        <w:tc>
          <w:tcPr>
            <w:tcW w:w="1843" w:type="dxa"/>
            <w:shd w:val="clear" w:color="auto" w:fill="E3B77B"/>
            <w:vAlign w:val="center"/>
            <w:hideMark/>
          </w:tcPr>
          <w:p w14:paraId="09BBD6B4" w14:textId="77777777" w:rsidR="002C2FA4" w:rsidRPr="00941B94" w:rsidRDefault="002C2FA4" w:rsidP="00FB235B">
            <w:pPr>
              <w:pStyle w:val="NormalWeb"/>
              <w:jc w:val="center"/>
              <w:rPr>
                <w:b/>
                <w:bCs/>
                <w:sz w:val="18"/>
                <w:szCs w:val="18"/>
              </w:rPr>
            </w:pPr>
            <w:r w:rsidRPr="00941B94">
              <w:rPr>
                <w:b/>
                <w:bCs/>
                <w:sz w:val="18"/>
                <w:szCs w:val="18"/>
                <w:lang w:val="en-US"/>
              </w:rPr>
              <w:t xml:space="preserve">33,095 </w:t>
            </w:r>
            <w:r w:rsidRPr="00941B94">
              <w:rPr>
                <w:b/>
                <w:bCs/>
                <w:sz w:val="18"/>
                <w:szCs w:val="18"/>
              </w:rPr>
              <w:t>(852 missing)</w:t>
            </w:r>
          </w:p>
        </w:tc>
        <w:tc>
          <w:tcPr>
            <w:tcW w:w="567" w:type="dxa"/>
            <w:shd w:val="clear" w:color="auto" w:fill="E3B77B"/>
            <w:vAlign w:val="center"/>
            <w:hideMark/>
          </w:tcPr>
          <w:p w14:paraId="06285F55" w14:textId="77777777" w:rsidR="002C2FA4" w:rsidRPr="00941B94" w:rsidRDefault="002C2FA4" w:rsidP="00FB235B">
            <w:pPr>
              <w:jc w:val="center"/>
              <w:rPr>
                <w:b/>
                <w:bCs/>
                <w:sz w:val="18"/>
                <w:szCs w:val="18"/>
              </w:rPr>
            </w:pPr>
          </w:p>
        </w:tc>
        <w:tc>
          <w:tcPr>
            <w:tcW w:w="1276" w:type="dxa"/>
            <w:shd w:val="clear" w:color="auto" w:fill="E3B77B"/>
            <w:vAlign w:val="center"/>
            <w:hideMark/>
          </w:tcPr>
          <w:p w14:paraId="55DDEC3C" w14:textId="77777777" w:rsidR="002C2FA4" w:rsidRPr="00941B94" w:rsidRDefault="002C2FA4" w:rsidP="00FB235B">
            <w:pPr>
              <w:pStyle w:val="NormalWeb"/>
              <w:jc w:val="center"/>
              <w:rPr>
                <w:b/>
                <w:bCs/>
                <w:sz w:val="18"/>
                <w:szCs w:val="18"/>
              </w:rPr>
            </w:pPr>
            <w:r w:rsidRPr="00941B94">
              <w:rPr>
                <w:b/>
                <w:bCs/>
                <w:sz w:val="18"/>
                <w:szCs w:val="18"/>
              </w:rPr>
              <w:t>134.5</w:t>
            </w:r>
          </w:p>
        </w:tc>
        <w:tc>
          <w:tcPr>
            <w:tcW w:w="1830" w:type="dxa"/>
            <w:shd w:val="clear" w:color="auto" w:fill="E3B77B"/>
            <w:vAlign w:val="center"/>
            <w:hideMark/>
          </w:tcPr>
          <w:p w14:paraId="3DBCA804" w14:textId="77777777" w:rsidR="002C2FA4" w:rsidRPr="00941B94" w:rsidRDefault="002C2FA4" w:rsidP="00FB235B">
            <w:pPr>
              <w:pStyle w:val="NormalWeb"/>
              <w:jc w:val="center"/>
              <w:rPr>
                <w:b/>
                <w:bCs/>
                <w:sz w:val="18"/>
                <w:szCs w:val="18"/>
              </w:rPr>
            </w:pPr>
            <w:r w:rsidRPr="00941B94">
              <w:rPr>
                <w:b/>
                <w:bCs/>
                <w:sz w:val="18"/>
                <w:szCs w:val="18"/>
              </w:rPr>
              <w:t>44,759 (773 missing)</w:t>
            </w:r>
          </w:p>
        </w:tc>
        <w:tc>
          <w:tcPr>
            <w:tcW w:w="438" w:type="dxa"/>
            <w:shd w:val="clear" w:color="auto" w:fill="E3B77B"/>
            <w:vAlign w:val="center"/>
            <w:hideMark/>
          </w:tcPr>
          <w:p w14:paraId="098682B7" w14:textId="77777777" w:rsidR="002C2FA4" w:rsidRPr="00941B94" w:rsidRDefault="002C2FA4" w:rsidP="00FB235B">
            <w:pPr>
              <w:jc w:val="center"/>
              <w:rPr>
                <w:b/>
                <w:bCs/>
                <w:sz w:val="18"/>
                <w:szCs w:val="18"/>
              </w:rPr>
            </w:pPr>
          </w:p>
        </w:tc>
        <w:tc>
          <w:tcPr>
            <w:tcW w:w="1417" w:type="dxa"/>
            <w:shd w:val="clear" w:color="auto" w:fill="E3B77B"/>
            <w:vAlign w:val="center"/>
            <w:hideMark/>
          </w:tcPr>
          <w:p w14:paraId="0851511E" w14:textId="77777777" w:rsidR="002C2FA4" w:rsidRPr="00941B94" w:rsidRDefault="002C2FA4" w:rsidP="00FB235B">
            <w:pPr>
              <w:jc w:val="center"/>
              <w:rPr>
                <w:rFonts w:eastAsia="Times New Roman"/>
                <w:b/>
                <w:bCs/>
                <w:sz w:val="18"/>
                <w:szCs w:val="18"/>
              </w:rPr>
            </w:pPr>
          </w:p>
        </w:tc>
        <w:tc>
          <w:tcPr>
            <w:tcW w:w="1234" w:type="dxa"/>
            <w:shd w:val="clear" w:color="auto" w:fill="E3B77B"/>
            <w:vAlign w:val="center"/>
            <w:hideMark/>
          </w:tcPr>
          <w:p w14:paraId="32A1ACF0" w14:textId="77777777" w:rsidR="002C2FA4" w:rsidRPr="00941B94" w:rsidRDefault="002C2FA4" w:rsidP="00FB235B">
            <w:pPr>
              <w:jc w:val="center"/>
              <w:rPr>
                <w:rFonts w:eastAsia="Times New Roman"/>
                <w:b/>
                <w:bCs/>
                <w:sz w:val="18"/>
                <w:szCs w:val="18"/>
              </w:rPr>
            </w:pPr>
          </w:p>
        </w:tc>
      </w:tr>
      <w:tr w:rsidR="002C2FA4" w:rsidRPr="00941B94" w14:paraId="48ED0D53" w14:textId="77777777" w:rsidTr="00FD184B">
        <w:tblPrEx>
          <w:tblCellMar>
            <w:top w:w="57" w:type="dxa"/>
            <w:left w:w="57" w:type="dxa"/>
            <w:bottom w:w="57" w:type="dxa"/>
            <w:right w:w="57" w:type="dxa"/>
          </w:tblCellMar>
        </w:tblPrEx>
        <w:tc>
          <w:tcPr>
            <w:tcW w:w="0" w:type="auto"/>
            <w:gridSpan w:val="8"/>
            <w:shd w:val="clear" w:color="auto" w:fill="595959" w:themeFill="text1" w:themeFillTint="A6"/>
            <w:vAlign w:val="center"/>
            <w:hideMark/>
          </w:tcPr>
          <w:p w14:paraId="29CD6D76" w14:textId="77777777" w:rsidR="002C2FA4" w:rsidRPr="00941B94" w:rsidRDefault="002C2FA4" w:rsidP="00FB235B">
            <w:pPr>
              <w:pStyle w:val="NormalWeb"/>
              <w:jc w:val="center"/>
              <w:rPr>
                <w:b/>
                <w:bCs/>
                <w:color w:val="FFFFFF" w:themeColor="background1"/>
                <w:sz w:val="18"/>
                <w:szCs w:val="18"/>
              </w:rPr>
            </w:pPr>
            <w:r w:rsidRPr="00941B94">
              <w:rPr>
                <w:b/>
                <w:bCs/>
                <w:color w:val="FFFFFF" w:themeColor="background1"/>
                <w:sz w:val="18"/>
                <w:szCs w:val="18"/>
              </w:rPr>
              <w:t>Highest level of education completed by participant</w:t>
            </w:r>
            <w:r w:rsidRPr="00941B94">
              <w:rPr>
                <w:b/>
                <w:bCs/>
                <w:color w:val="FFFFFF" w:themeColor="background1"/>
                <w:sz w:val="18"/>
                <w:szCs w:val="18"/>
                <w:vertAlign w:val="superscript"/>
              </w:rPr>
              <w:t>a</w:t>
            </w:r>
          </w:p>
        </w:tc>
      </w:tr>
      <w:tr w:rsidR="0093295E" w:rsidRPr="00941B94" w14:paraId="72324A80" w14:textId="77777777" w:rsidTr="00FB23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379" w:type="dxa"/>
            <w:tcBorders>
              <w:bottom w:val="single" w:sz="2" w:space="0" w:color="000000" w:themeColor="text1"/>
            </w:tcBorders>
            <w:shd w:val="clear" w:color="auto" w:fill="auto"/>
            <w:vAlign w:val="center"/>
            <w:hideMark/>
          </w:tcPr>
          <w:p w14:paraId="4925119A" w14:textId="77777777" w:rsidR="002C2FA4" w:rsidRPr="00941B94" w:rsidRDefault="002C2FA4" w:rsidP="00FB235B">
            <w:pPr>
              <w:pStyle w:val="NormalWeb"/>
              <w:jc w:val="center"/>
              <w:rPr>
                <w:sz w:val="18"/>
                <w:szCs w:val="18"/>
              </w:rPr>
            </w:pPr>
            <w:r w:rsidRPr="00941B94">
              <w:rPr>
                <w:sz w:val="18"/>
                <w:szCs w:val="18"/>
              </w:rPr>
              <w:t>Year 11 or below (or equiv) or Certificate I/II/III/IV</w:t>
            </w:r>
          </w:p>
        </w:tc>
        <w:tc>
          <w:tcPr>
            <w:tcW w:w="1843" w:type="dxa"/>
            <w:tcBorders>
              <w:bottom w:val="single" w:sz="2" w:space="0" w:color="000000" w:themeColor="text1"/>
            </w:tcBorders>
            <w:shd w:val="clear" w:color="auto" w:fill="auto"/>
            <w:vAlign w:val="center"/>
            <w:hideMark/>
          </w:tcPr>
          <w:p w14:paraId="2E2122BA" w14:textId="77777777" w:rsidR="002C2FA4" w:rsidRPr="00941B94" w:rsidRDefault="002C2FA4" w:rsidP="00FB235B">
            <w:pPr>
              <w:pStyle w:val="NormalWeb"/>
              <w:jc w:val="center"/>
              <w:rPr>
                <w:sz w:val="18"/>
                <w:szCs w:val="18"/>
              </w:rPr>
            </w:pPr>
            <w:r w:rsidRPr="00941B94">
              <w:rPr>
                <w:sz w:val="18"/>
                <w:szCs w:val="18"/>
              </w:rPr>
              <w:t>5,612</w:t>
            </w:r>
          </w:p>
        </w:tc>
        <w:tc>
          <w:tcPr>
            <w:tcW w:w="567" w:type="dxa"/>
            <w:tcBorders>
              <w:bottom w:val="single" w:sz="2" w:space="0" w:color="000000" w:themeColor="text1"/>
            </w:tcBorders>
            <w:shd w:val="clear" w:color="auto" w:fill="auto"/>
            <w:vAlign w:val="center"/>
            <w:hideMark/>
          </w:tcPr>
          <w:p w14:paraId="483E14FC" w14:textId="77777777" w:rsidR="002C2FA4" w:rsidRPr="00941B94" w:rsidRDefault="002C2FA4" w:rsidP="00FB235B">
            <w:pPr>
              <w:pStyle w:val="NormalWeb"/>
              <w:jc w:val="center"/>
              <w:rPr>
                <w:sz w:val="18"/>
                <w:szCs w:val="18"/>
              </w:rPr>
            </w:pPr>
            <w:r w:rsidRPr="00941B94">
              <w:rPr>
                <w:sz w:val="18"/>
                <w:szCs w:val="18"/>
              </w:rPr>
              <w:t>20.4</w:t>
            </w:r>
          </w:p>
        </w:tc>
        <w:tc>
          <w:tcPr>
            <w:tcW w:w="1276" w:type="dxa"/>
            <w:tcBorders>
              <w:bottom w:val="single" w:sz="2" w:space="0" w:color="000000" w:themeColor="text1"/>
            </w:tcBorders>
            <w:shd w:val="clear" w:color="auto" w:fill="auto"/>
            <w:vAlign w:val="center"/>
            <w:hideMark/>
          </w:tcPr>
          <w:p w14:paraId="10B7D21B" w14:textId="77777777" w:rsidR="002C2FA4" w:rsidRPr="00941B94" w:rsidRDefault="002C2FA4" w:rsidP="00FB235B">
            <w:pPr>
              <w:pStyle w:val="NormalWeb"/>
              <w:jc w:val="center"/>
              <w:rPr>
                <w:sz w:val="18"/>
                <w:szCs w:val="18"/>
              </w:rPr>
            </w:pPr>
            <w:r w:rsidRPr="00941B94">
              <w:rPr>
                <w:sz w:val="18"/>
                <w:szCs w:val="18"/>
                <w:lang w:val="en-US"/>
              </w:rPr>
              <w:t>73.1</w:t>
            </w:r>
          </w:p>
        </w:tc>
        <w:tc>
          <w:tcPr>
            <w:tcW w:w="1830" w:type="dxa"/>
            <w:tcBorders>
              <w:bottom w:val="single" w:sz="2" w:space="0" w:color="000000" w:themeColor="text1"/>
            </w:tcBorders>
            <w:shd w:val="clear" w:color="auto" w:fill="auto"/>
            <w:vAlign w:val="center"/>
            <w:hideMark/>
          </w:tcPr>
          <w:p w14:paraId="7703FF04" w14:textId="77777777" w:rsidR="002C2FA4" w:rsidRPr="00941B94" w:rsidRDefault="002C2FA4" w:rsidP="00FB235B">
            <w:pPr>
              <w:pStyle w:val="NormalWeb"/>
              <w:jc w:val="center"/>
              <w:rPr>
                <w:sz w:val="18"/>
                <w:szCs w:val="18"/>
              </w:rPr>
            </w:pPr>
            <w:r w:rsidRPr="00941B94">
              <w:rPr>
                <w:sz w:val="18"/>
                <w:szCs w:val="18"/>
              </w:rPr>
              <w:t>8,201</w:t>
            </w:r>
          </w:p>
        </w:tc>
        <w:tc>
          <w:tcPr>
            <w:tcW w:w="438" w:type="dxa"/>
            <w:tcBorders>
              <w:bottom w:val="single" w:sz="2" w:space="0" w:color="000000" w:themeColor="text1"/>
            </w:tcBorders>
            <w:shd w:val="clear" w:color="auto" w:fill="auto"/>
            <w:vAlign w:val="center"/>
            <w:hideMark/>
          </w:tcPr>
          <w:p w14:paraId="6F5B38E8" w14:textId="77777777" w:rsidR="002C2FA4" w:rsidRPr="00941B94" w:rsidRDefault="002C2FA4" w:rsidP="00FB235B">
            <w:pPr>
              <w:pStyle w:val="NormalWeb"/>
              <w:jc w:val="center"/>
              <w:rPr>
                <w:sz w:val="18"/>
                <w:szCs w:val="18"/>
              </w:rPr>
            </w:pPr>
            <w:r w:rsidRPr="00941B94">
              <w:rPr>
                <w:sz w:val="18"/>
                <w:szCs w:val="18"/>
              </w:rPr>
              <w:t>21.1</w:t>
            </w:r>
          </w:p>
        </w:tc>
        <w:tc>
          <w:tcPr>
            <w:tcW w:w="1417" w:type="dxa"/>
            <w:tcBorders>
              <w:bottom w:val="single" w:sz="2" w:space="0" w:color="000000" w:themeColor="text1"/>
            </w:tcBorders>
            <w:shd w:val="clear" w:color="auto" w:fill="auto"/>
            <w:vAlign w:val="center"/>
            <w:hideMark/>
          </w:tcPr>
          <w:p w14:paraId="19A3113F" w14:textId="77777777" w:rsidR="002C2FA4" w:rsidRPr="00941B94" w:rsidRDefault="002C2FA4" w:rsidP="00FB235B">
            <w:pPr>
              <w:pStyle w:val="NormalWeb"/>
              <w:jc w:val="center"/>
              <w:rPr>
                <w:sz w:val="18"/>
                <w:szCs w:val="18"/>
              </w:rPr>
            </w:pPr>
            <w:r w:rsidRPr="00941B94">
              <w:rPr>
                <w:sz w:val="18"/>
                <w:szCs w:val="18"/>
              </w:rPr>
              <w:t>106.8</w:t>
            </w:r>
          </w:p>
        </w:tc>
        <w:tc>
          <w:tcPr>
            <w:tcW w:w="1234" w:type="dxa"/>
            <w:tcBorders>
              <w:bottom w:val="single" w:sz="2" w:space="0" w:color="000000" w:themeColor="text1"/>
            </w:tcBorders>
            <w:shd w:val="clear" w:color="auto" w:fill="auto"/>
            <w:vAlign w:val="center"/>
            <w:hideMark/>
          </w:tcPr>
          <w:p w14:paraId="1FD96632" w14:textId="77777777" w:rsidR="002C2FA4" w:rsidRPr="00941B94" w:rsidRDefault="002C2FA4" w:rsidP="00FB235B">
            <w:pPr>
              <w:pStyle w:val="NormalWeb"/>
              <w:jc w:val="center"/>
              <w:rPr>
                <w:sz w:val="18"/>
                <w:szCs w:val="18"/>
              </w:rPr>
            </w:pPr>
            <w:r w:rsidRPr="00941B94">
              <w:rPr>
                <w:sz w:val="18"/>
                <w:szCs w:val="18"/>
              </w:rPr>
              <w:t>44.1</w:t>
            </w:r>
          </w:p>
        </w:tc>
      </w:tr>
      <w:tr w:rsidR="0093295E" w:rsidRPr="00941B94" w14:paraId="5C0B459C" w14:textId="77777777" w:rsidTr="00FB235B">
        <w:tblPrEx>
          <w:tblCellMar>
            <w:top w:w="57" w:type="dxa"/>
            <w:left w:w="57" w:type="dxa"/>
            <w:bottom w:w="57" w:type="dxa"/>
            <w:right w:w="57" w:type="dxa"/>
          </w:tblCellMar>
        </w:tblPrEx>
        <w:tc>
          <w:tcPr>
            <w:tcW w:w="6379" w:type="dxa"/>
            <w:tcBorders>
              <w:top w:val="single" w:sz="2" w:space="0" w:color="000000" w:themeColor="text1"/>
              <w:bottom w:val="single" w:sz="2" w:space="0" w:color="000000" w:themeColor="text1"/>
            </w:tcBorders>
            <w:shd w:val="clear" w:color="auto" w:fill="auto"/>
            <w:vAlign w:val="center"/>
            <w:hideMark/>
          </w:tcPr>
          <w:p w14:paraId="0E611580" w14:textId="77777777" w:rsidR="002C2FA4" w:rsidRPr="00941B94" w:rsidRDefault="002C2FA4" w:rsidP="00FB235B">
            <w:pPr>
              <w:pStyle w:val="NormalWeb"/>
              <w:jc w:val="center"/>
              <w:rPr>
                <w:sz w:val="18"/>
                <w:szCs w:val="18"/>
              </w:rPr>
            </w:pPr>
            <w:r w:rsidRPr="00941B94">
              <w:rPr>
                <w:sz w:val="18"/>
                <w:szCs w:val="18"/>
              </w:rPr>
              <w:t>Year 12 (or equivalent)</w:t>
            </w:r>
          </w:p>
        </w:tc>
        <w:tc>
          <w:tcPr>
            <w:tcW w:w="1843" w:type="dxa"/>
            <w:tcBorders>
              <w:top w:val="single" w:sz="2" w:space="0" w:color="000000" w:themeColor="text1"/>
              <w:bottom w:val="single" w:sz="2" w:space="0" w:color="000000" w:themeColor="text1"/>
            </w:tcBorders>
            <w:shd w:val="clear" w:color="auto" w:fill="auto"/>
            <w:vAlign w:val="center"/>
            <w:hideMark/>
          </w:tcPr>
          <w:p w14:paraId="3D8292DC" w14:textId="77777777" w:rsidR="002C2FA4" w:rsidRPr="00941B94" w:rsidRDefault="002C2FA4" w:rsidP="00FB235B">
            <w:pPr>
              <w:pStyle w:val="NormalWeb"/>
              <w:jc w:val="center"/>
              <w:rPr>
                <w:sz w:val="18"/>
                <w:szCs w:val="18"/>
              </w:rPr>
            </w:pPr>
            <w:r w:rsidRPr="00941B94">
              <w:rPr>
                <w:sz w:val="18"/>
                <w:szCs w:val="18"/>
              </w:rPr>
              <w:t>2,241</w:t>
            </w:r>
          </w:p>
        </w:tc>
        <w:tc>
          <w:tcPr>
            <w:tcW w:w="567" w:type="dxa"/>
            <w:tcBorders>
              <w:top w:val="single" w:sz="2" w:space="0" w:color="000000" w:themeColor="text1"/>
              <w:bottom w:val="single" w:sz="2" w:space="0" w:color="000000" w:themeColor="text1"/>
            </w:tcBorders>
            <w:shd w:val="clear" w:color="auto" w:fill="auto"/>
            <w:vAlign w:val="center"/>
            <w:hideMark/>
          </w:tcPr>
          <w:p w14:paraId="5548E713" w14:textId="77777777" w:rsidR="002C2FA4" w:rsidRPr="00941B94" w:rsidRDefault="002C2FA4" w:rsidP="00FB235B">
            <w:pPr>
              <w:pStyle w:val="NormalWeb"/>
              <w:jc w:val="center"/>
              <w:rPr>
                <w:sz w:val="18"/>
                <w:szCs w:val="18"/>
              </w:rPr>
            </w:pPr>
            <w:r w:rsidRPr="00941B94">
              <w:rPr>
                <w:sz w:val="18"/>
                <w:szCs w:val="18"/>
              </w:rPr>
              <w:t>8.1</w:t>
            </w:r>
          </w:p>
        </w:tc>
        <w:tc>
          <w:tcPr>
            <w:tcW w:w="1276" w:type="dxa"/>
            <w:tcBorders>
              <w:top w:val="single" w:sz="2" w:space="0" w:color="000000" w:themeColor="text1"/>
              <w:bottom w:val="single" w:sz="2" w:space="0" w:color="000000" w:themeColor="text1"/>
            </w:tcBorders>
            <w:shd w:val="clear" w:color="auto" w:fill="auto"/>
            <w:vAlign w:val="center"/>
            <w:hideMark/>
          </w:tcPr>
          <w:p w14:paraId="68D5A5FB" w14:textId="77777777" w:rsidR="002C2FA4" w:rsidRPr="00941B94" w:rsidRDefault="002C2FA4" w:rsidP="00FB235B">
            <w:pPr>
              <w:pStyle w:val="NormalWeb"/>
              <w:jc w:val="center"/>
              <w:rPr>
                <w:sz w:val="18"/>
                <w:szCs w:val="18"/>
              </w:rPr>
            </w:pPr>
            <w:r w:rsidRPr="00941B94">
              <w:rPr>
                <w:sz w:val="18"/>
                <w:szCs w:val="18"/>
                <w:lang w:val="en-US"/>
              </w:rPr>
              <w:t>74.8</w:t>
            </w:r>
          </w:p>
        </w:tc>
        <w:tc>
          <w:tcPr>
            <w:tcW w:w="1830" w:type="dxa"/>
            <w:tcBorders>
              <w:top w:val="single" w:sz="2" w:space="0" w:color="000000" w:themeColor="text1"/>
              <w:bottom w:val="single" w:sz="2" w:space="0" w:color="000000" w:themeColor="text1"/>
            </w:tcBorders>
            <w:shd w:val="clear" w:color="auto" w:fill="auto"/>
            <w:vAlign w:val="center"/>
            <w:hideMark/>
          </w:tcPr>
          <w:p w14:paraId="674D8578" w14:textId="77777777" w:rsidR="002C2FA4" w:rsidRPr="00941B94" w:rsidRDefault="002C2FA4" w:rsidP="00FB235B">
            <w:pPr>
              <w:pStyle w:val="NormalWeb"/>
              <w:jc w:val="center"/>
              <w:rPr>
                <w:sz w:val="18"/>
                <w:szCs w:val="18"/>
              </w:rPr>
            </w:pPr>
            <w:r w:rsidRPr="00941B94">
              <w:rPr>
                <w:sz w:val="18"/>
                <w:szCs w:val="18"/>
              </w:rPr>
              <w:t>3,165</w:t>
            </w:r>
          </w:p>
        </w:tc>
        <w:tc>
          <w:tcPr>
            <w:tcW w:w="438" w:type="dxa"/>
            <w:tcBorders>
              <w:top w:val="single" w:sz="2" w:space="0" w:color="000000" w:themeColor="text1"/>
              <w:bottom w:val="single" w:sz="2" w:space="0" w:color="000000" w:themeColor="text1"/>
            </w:tcBorders>
            <w:shd w:val="clear" w:color="auto" w:fill="auto"/>
            <w:vAlign w:val="center"/>
            <w:hideMark/>
          </w:tcPr>
          <w:p w14:paraId="24062D07" w14:textId="77777777" w:rsidR="002C2FA4" w:rsidRPr="00941B94" w:rsidRDefault="002C2FA4" w:rsidP="00FB235B">
            <w:pPr>
              <w:pStyle w:val="NormalWeb"/>
              <w:jc w:val="center"/>
              <w:rPr>
                <w:sz w:val="18"/>
                <w:szCs w:val="18"/>
              </w:rPr>
            </w:pPr>
            <w:r w:rsidRPr="00941B94">
              <w:rPr>
                <w:sz w:val="18"/>
                <w:szCs w:val="18"/>
              </w:rPr>
              <w:t>8.5</w:t>
            </w:r>
          </w:p>
        </w:tc>
        <w:tc>
          <w:tcPr>
            <w:tcW w:w="1417" w:type="dxa"/>
            <w:tcBorders>
              <w:top w:val="single" w:sz="2" w:space="0" w:color="000000" w:themeColor="text1"/>
              <w:bottom w:val="single" w:sz="2" w:space="0" w:color="000000" w:themeColor="text1"/>
            </w:tcBorders>
            <w:shd w:val="clear" w:color="auto" w:fill="auto"/>
            <w:vAlign w:val="center"/>
            <w:hideMark/>
          </w:tcPr>
          <w:p w14:paraId="1BFA369E" w14:textId="77777777" w:rsidR="002C2FA4" w:rsidRPr="00941B94" w:rsidRDefault="002C2FA4" w:rsidP="00FB235B">
            <w:pPr>
              <w:pStyle w:val="NormalWeb"/>
              <w:jc w:val="center"/>
              <w:rPr>
                <w:sz w:val="18"/>
                <w:szCs w:val="18"/>
              </w:rPr>
            </w:pPr>
            <w:r w:rsidRPr="00941B94">
              <w:rPr>
                <w:sz w:val="18"/>
                <w:szCs w:val="18"/>
              </w:rPr>
              <w:t>105.7</w:t>
            </w:r>
          </w:p>
        </w:tc>
        <w:tc>
          <w:tcPr>
            <w:tcW w:w="1234" w:type="dxa"/>
            <w:tcBorders>
              <w:top w:val="single" w:sz="2" w:space="0" w:color="000000" w:themeColor="text1"/>
              <w:bottom w:val="single" w:sz="2" w:space="0" w:color="000000" w:themeColor="text1"/>
            </w:tcBorders>
            <w:shd w:val="clear" w:color="auto" w:fill="auto"/>
            <w:vAlign w:val="center"/>
            <w:hideMark/>
          </w:tcPr>
          <w:p w14:paraId="690E1367" w14:textId="77777777" w:rsidR="002C2FA4" w:rsidRPr="00941B94" w:rsidRDefault="002C2FA4" w:rsidP="00FB235B">
            <w:pPr>
              <w:pStyle w:val="NormalWeb"/>
              <w:jc w:val="center"/>
              <w:rPr>
                <w:sz w:val="18"/>
                <w:szCs w:val="18"/>
              </w:rPr>
            </w:pPr>
            <w:r w:rsidRPr="00941B94">
              <w:rPr>
                <w:sz w:val="18"/>
                <w:szCs w:val="18"/>
              </w:rPr>
              <w:t>16.6</w:t>
            </w:r>
          </w:p>
        </w:tc>
      </w:tr>
      <w:tr w:rsidR="0093295E" w:rsidRPr="00941B94" w14:paraId="11C0D034" w14:textId="77777777" w:rsidTr="00FB23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379" w:type="dxa"/>
            <w:tcBorders>
              <w:top w:val="single" w:sz="2" w:space="0" w:color="000000" w:themeColor="text1"/>
              <w:bottom w:val="single" w:sz="2" w:space="0" w:color="000000" w:themeColor="text1"/>
            </w:tcBorders>
            <w:shd w:val="clear" w:color="auto" w:fill="auto"/>
            <w:vAlign w:val="center"/>
            <w:hideMark/>
          </w:tcPr>
          <w:p w14:paraId="377A60CB" w14:textId="77777777" w:rsidR="002C2FA4" w:rsidRPr="00941B94" w:rsidRDefault="002C2FA4" w:rsidP="00FB235B">
            <w:pPr>
              <w:pStyle w:val="NormalWeb"/>
              <w:jc w:val="center"/>
              <w:rPr>
                <w:sz w:val="18"/>
                <w:szCs w:val="18"/>
              </w:rPr>
            </w:pPr>
            <w:r w:rsidRPr="00941B94">
              <w:rPr>
                <w:sz w:val="18"/>
                <w:szCs w:val="18"/>
              </w:rPr>
              <w:t>Advanced Diploma/Diploma</w:t>
            </w:r>
          </w:p>
        </w:tc>
        <w:tc>
          <w:tcPr>
            <w:tcW w:w="1843" w:type="dxa"/>
            <w:tcBorders>
              <w:top w:val="single" w:sz="2" w:space="0" w:color="000000" w:themeColor="text1"/>
              <w:bottom w:val="single" w:sz="2" w:space="0" w:color="000000" w:themeColor="text1"/>
            </w:tcBorders>
            <w:shd w:val="clear" w:color="auto" w:fill="auto"/>
            <w:vAlign w:val="center"/>
            <w:hideMark/>
          </w:tcPr>
          <w:p w14:paraId="6CE00D88" w14:textId="77777777" w:rsidR="002C2FA4" w:rsidRPr="00941B94" w:rsidRDefault="002C2FA4" w:rsidP="00FB235B">
            <w:pPr>
              <w:pStyle w:val="NormalWeb"/>
              <w:jc w:val="center"/>
              <w:rPr>
                <w:sz w:val="18"/>
                <w:szCs w:val="18"/>
              </w:rPr>
            </w:pPr>
            <w:r w:rsidRPr="00941B94">
              <w:rPr>
                <w:sz w:val="18"/>
                <w:szCs w:val="18"/>
              </w:rPr>
              <w:t>2,544</w:t>
            </w:r>
          </w:p>
        </w:tc>
        <w:tc>
          <w:tcPr>
            <w:tcW w:w="567" w:type="dxa"/>
            <w:tcBorders>
              <w:top w:val="single" w:sz="2" w:space="0" w:color="000000" w:themeColor="text1"/>
              <w:bottom w:val="single" w:sz="2" w:space="0" w:color="000000" w:themeColor="text1"/>
            </w:tcBorders>
            <w:shd w:val="clear" w:color="auto" w:fill="auto"/>
            <w:vAlign w:val="center"/>
            <w:hideMark/>
          </w:tcPr>
          <w:p w14:paraId="6A7406AD" w14:textId="77777777" w:rsidR="002C2FA4" w:rsidRPr="00941B94" w:rsidRDefault="002C2FA4" w:rsidP="00FB235B">
            <w:pPr>
              <w:pStyle w:val="NormalWeb"/>
              <w:jc w:val="center"/>
              <w:rPr>
                <w:sz w:val="18"/>
                <w:szCs w:val="18"/>
              </w:rPr>
            </w:pPr>
            <w:r w:rsidRPr="00941B94">
              <w:rPr>
                <w:sz w:val="18"/>
                <w:szCs w:val="18"/>
              </w:rPr>
              <w:t>9.2</w:t>
            </w:r>
          </w:p>
        </w:tc>
        <w:tc>
          <w:tcPr>
            <w:tcW w:w="1276" w:type="dxa"/>
            <w:tcBorders>
              <w:top w:val="single" w:sz="2" w:space="0" w:color="000000" w:themeColor="text1"/>
              <w:bottom w:val="single" w:sz="2" w:space="0" w:color="000000" w:themeColor="text1"/>
            </w:tcBorders>
            <w:shd w:val="clear" w:color="auto" w:fill="auto"/>
            <w:vAlign w:val="center"/>
            <w:hideMark/>
          </w:tcPr>
          <w:p w14:paraId="003106D3" w14:textId="77777777" w:rsidR="002C2FA4" w:rsidRPr="00941B94" w:rsidRDefault="002C2FA4" w:rsidP="00FB235B">
            <w:pPr>
              <w:pStyle w:val="NormalWeb"/>
              <w:jc w:val="center"/>
              <w:rPr>
                <w:sz w:val="18"/>
                <w:szCs w:val="18"/>
              </w:rPr>
            </w:pPr>
            <w:r w:rsidRPr="00941B94">
              <w:rPr>
                <w:sz w:val="18"/>
                <w:szCs w:val="18"/>
                <w:lang w:val="en-US"/>
              </w:rPr>
              <w:t>150.7</w:t>
            </w:r>
          </w:p>
        </w:tc>
        <w:tc>
          <w:tcPr>
            <w:tcW w:w="1830" w:type="dxa"/>
            <w:tcBorders>
              <w:top w:val="single" w:sz="2" w:space="0" w:color="000000" w:themeColor="text1"/>
              <w:bottom w:val="single" w:sz="2" w:space="0" w:color="000000" w:themeColor="text1"/>
            </w:tcBorders>
            <w:shd w:val="clear" w:color="auto" w:fill="auto"/>
            <w:vAlign w:val="center"/>
            <w:hideMark/>
          </w:tcPr>
          <w:p w14:paraId="73DF764F" w14:textId="77777777" w:rsidR="002C2FA4" w:rsidRPr="00941B94" w:rsidRDefault="002C2FA4" w:rsidP="00FB235B">
            <w:pPr>
              <w:pStyle w:val="NormalWeb"/>
              <w:jc w:val="center"/>
              <w:rPr>
                <w:sz w:val="18"/>
                <w:szCs w:val="18"/>
              </w:rPr>
            </w:pPr>
            <w:r w:rsidRPr="00941B94">
              <w:rPr>
                <w:sz w:val="18"/>
                <w:szCs w:val="18"/>
              </w:rPr>
              <w:t>3,623</w:t>
            </w:r>
          </w:p>
        </w:tc>
        <w:tc>
          <w:tcPr>
            <w:tcW w:w="438" w:type="dxa"/>
            <w:tcBorders>
              <w:top w:val="single" w:sz="2" w:space="0" w:color="000000" w:themeColor="text1"/>
              <w:bottom w:val="single" w:sz="2" w:space="0" w:color="000000" w:themeColor="text1"/>
            </w:tcBorders>
            <w:shd w:val="clear" w:color="auto" w:fill="auto"/>
            <w:vAlign w:val="center"/>
            <w:hideMark/>
          </w:tcPr>
          <w:p w14:paraId="5ECAB49A" w14:textId="77777777" w:rsidR="002C2FA4" w:rsidRPr="00941B94" w:rsidRDefault="002C2FA4" w:rsidP="00FB235B">
            <w:pPr>
              <w:pStyle w:val="NormalWeb"/>
              <w:jc w:val="center"/>
              <w:rPr>
                <w:sz w:val="18"/>
                <w:szCs w:val="18"/>
              </w:rPr>
            </w:pPr>
            <w:r w:rsidRPr="00941B94">
              <w:rPr>
                <w:sz w:val="18"/>
                <w:szCs w:val="18"/>
              </w:rPr>
              <w:t>9.8</w:t>
            </w:r>
          </w:p>
        </w:tc>
        <w:tc>
          <w:tcPr>
            <w:tcW w:w="1417" w:type="dxa"/>
            <w:tcBorders>
              <w:top w:val="single" w:sz="2" w:space="0" w:color="000000" w:themeColor="text1"/>
              <w:bottom w:val="single" w:sz="2" w:space="0" w:color="000000" w:themeColor="text1"/>
            </w:tcBorders>
            <w:shd w:val="clear" w:color="auto" w:fill="auto"/>
            <w:vAlign w:val="center"/>
            <w:hideMark/>
          </w:tcPr>
          <w:p w14:paraId="217F6292" w14:textId="77777777" w:rsidR="002C2FA4" w:rsidRPr="00941B94" w:rsidRDefault="002C2FA4" w:rsidP="00FB235B">
            <w:pPr>
              <w:pStyle w:val="NormalWeb"/>
              <w:jc w:val="center"/>
              <w:rPr>
                <w:sz w:val="18"/>
                <w:szCs w:val="18"/>
              </w:rPr>
            </w:pPr>
            <w:r w:rsidRPr="00941B94">
              <w:rPr>
                <w:sz w:val="18"/>
                <w:szCs w:val="18"/>
              </w:rPr>
              <w:t>214.6</w:t>
            </w:r>
          </w:p>
        </w:tc>
        <w:tc>
          <w:tcPr>
            <w:tcW w:w="1234" w:type="dxa"/>
            <w:tcBorders>
              <w:top w:val="single" w:sz="2" w:space="0" w:color="000000" w:themeColor="text1"/>
              <w:bottom w:val="single" w:sz="2" w:space="0" w:color="000000" w:themeColor="text1"/>
            </w:tcBorders>
            <w:shd w:val="clear" w:color="auto" w:fill="auto"/>
            <w:vAlign w:val="center"/>
            <w:hideMark/>
          </w:tcPr>
          <w:p w14:paraId="2EF540B9" w14:textId="77777777" w:rsidR="002C2FA4" w:rsidRPr="00941B94" w:rsidRDefault="002C2FA4" w:rsidP="00FB235B">
            <w:pPr>
              <w:pStyle w:val="NormalWeb"/>
              <w:jc w:val="center"/>
              <w:rPr>
                <w:sz w:val="18"/>
                <w:szCs w:val="18"/>
              </w:rPr>
            </w:pPr>
            <w:r w:rsidRPr="00941B94">
              <w:rPr>
                <w:sz w:val="18"/>
                <w:szCs w:val="18"/>
              </w:rPr>
              <w:t>8.0</w:t>
            </w:r>
          </w:p>
        </w:tc>
      </w:tr>
      <w:tr w:rsidR="0093295E" w:rsidRPr="00941B94" w14:paraId="1B44AD49" w14:textId="77777777" w:rsidTr="00FB235B">
        <w:tblPrEx>
          <w:tblCellMar>
            <w:top w:w="57" w:type="dxa"/>
            <w:left w:w="57" w:type="dxa"/>
            <w:bottom w:w="57" w:type="dxa"/>
            <w:right w:w="57" w:type="dxa"/>
          </w:tblCellMar>
        </w:tblPrEx>
        <w:tc>
          <w:tcPr>
            <w:tcW w:w="6379" w:type="dxa"/>
            <w:tcBorders>
              <w:top w:val="single" w:sz="2" w:space="0" w:color="000000" w:themeColor="text1"/>
              <w:bottom w:val="single" w:sz="2" w:space="0" w:color="000000" w:themeColor="text1"/>
            </w:tcBorders>
            <w:shd w:val="clear" w:color="auto" w:fill="auto"/>
            <w:vAlign w:val="center"/>
            <w:hideMark/>
          </w:tcPr>
          <w:p w14:paraId="2D0009F2" w14:textId="77777777" w:rsidR="002C2FA4" w:rsidRPr="00941B94" w:rsidRDefault="002C2FA4" w:rsidP="00FB235B">
            <w:pPr>
              <w:pStyle w:val="NormalWeb"/>
              <w:jc w:val="center"/>
              <w:rPr>
                <w:sz w:val="18"/>
                <w:szCs w:val="18"/>
              </w:rPr>
            </w:pPr>
            <w:r w:rsidRPr="00941B94">
              <w:rPr>
                <w:sz w:val="18"/>
                <w:szCs w:val="18"/>
              </w:rPr>
              <w:t xml:space="preserve">Completed </w:t>
            </w:r>
            <w:proofErr w:type="gramStart"/>
            <w:r w:rsidRPr="00941B94">
              <w:rPr>
                <w:sz w:val="18"/>
                <w:szCs w:val="18"/>
              </w:rPr>
              <w:t>Bachelor Degree</w:t>
            </w:r>
            <w:proofErr w:type="gramEnd"/>
          </w:p>
        </w:tc>
        <w:tc>
          <w:tcPr>
            <w:tcW w:w="1843" w:type="dxa"/>
            <w:tcBorders>
              <w:top w:val="single" w:sz="2" w:space="0" w:color="000000" w:themeColor="text1"/>
              <w:bottom w:val="single" w:sz="2" w:space="0" w:color="000000" w:themeColor="text1"/>
            </w:tcBorders>
            <w:shd w:val="clear" w:color="auto" w:fill="auto"/>
            <w:vAlign w:val="center"/>
            <w:hideMark/>
          </w:tcPr>
          <w:p w14:paraId="758A6573" w14:textId="77777777" w:rsidR="002C2FA4" w:rsidRPr="00941B94" w:rsidRDefault="002C2FA4" w:rsidP="00FB235B">
            <w:pPr>
              <w:pStyle w:val="NormalWeb"/>
              <w:jc w:val="center"/>
              <w:rPr>
                <w:sz w:val="18"/>
                <w:szCs w:val="18"/>
              </w:rPr>
            </w:pPr>
            <w:r w:rsidRPr="00941B94">
              <w:rPr>
                <w:sz w:val="18"/>
                <w:szCs w:val="18"/>
              </w:rPr>
              <w:t>6,600</w:t>
            </w:r>
          </w:p>
        </w:tc>
        <w:tc>
          <w:tcPr>
            <w:tcW w:w="567" w:type="dxa"/>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5962D321" w14:textId="77777777" w:rsidR="002C2FA4" w:rsidRPr="00941B94" w:rsidRDefault="002C2FA4" w:rsidP="00FB235B">
            <w:pPr>
              <w:pStyle w:val="NormalWeb"/>
              <w:jc w:val="center"/>
              <w:rPr>
                <w:sz w:val="18"/>
                <w:szCs w:val="18"/>
              </w:rPr>
            </w:pPr>
            <w:r w:rsidRPr="00941B94">
              <w:rPr>
                <w:sz w:val="18"/>
                <w:szCs w:val="18"/>
              </w:rPr>
              <w:t>23.9</w:t>
            </w:r>
          </w:p>
        </w:tc>
        <w:tc>
          <w:tcPr>
            <w:tcW w:w="1276"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F4A77A0" w14:textId="77777777" w:rsidR="002C2FA4" w:rsidRPr="00941B94" w:rsidRDefault="002C2FA4" w:rsidP="00FB235B">
            <w:pPr>
              <w:pStyle w:val="NormalWeb"/>
              <w:jc w:val="center"/>
              <w:rPr>
                <w:sz w:val="18"/>
                <w:szCs w:val="18"/>
              </w:rPr>
            </w:pPr>
            <w:r w:rsidRPr="00941B94">
              <w:rPr>
                <w:sz w:val="18"/>
                <w:szCs w:val="18"/>
                <w:lang w:val="en-US"/>
              </w:rPr>
              <w:t>410.5</w:t>
            </w:r>
          </w:p>
        </w:tc>
        <w:tc>
          <w:tcPr>
            <w:tcW w:w="1830"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26DBF86A" w14:textId="77777777" w:rsidR="002C2FA4" w:rsidRPr="00941B94" w:rsidRDefault="002C2FA4" w:rsidP="00FB235B">
            <w:pPr>
              <w:pStyle w:val="NormalWeb"/>
              <w:jc w:val="center"/>
              <w:rPr>
                <w:sz w:val="18"/>
                <w:szCs w:val="18"/>
              </w:rPr>
            </w:pPr>
            <w:r w:rsidRPr="00941B94">
              <w:rPr>
                <w:sz w:val="18"/>
                <w:szCs w:val="18"/>
              </w:rPr>
              <w:t>8,796</w:t>
            </w:r>
          </w:p>
        </w:tc>
        <w:tc>
          <w:tcPr>
            <w:tcW w:w="438" w:type="dxa"/>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5FD5B254" w14:textId="77777777" w:rsidR="002C2FA4" w:rsidRPr="00941B94" w:rsidRDefault="002C2FA4" w:rsidP="00FB235B">
            <w:pPr>
              <w:pStyle w:val="NormalWeb"/>
              <w:jc w:val="center"/>
              <w:rPr>
                <w:sz w:val="18"/>
                <w:szCs w:val="18"/>
              </w:rPr>
            </w:pPr>
            <w:r w:rsidRPr="00941B94">
              <w:rPr>
                <w:sz w:val="18"/>
                <w:szCs w:val="18"/>
              </w:rPr>
              <w:t>23.7</w:t>
            </w:r>
          </w:p>
        </w:tc>
        <w:tc>
          <w:tcPr>
            <w:tcW w:w="1417"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42726B8" w14:textId="77777777" w:rsidR="002C2FA4" w:rsidRPr="00941B94" w:rsidRDefault="002C2FA4" w:rsidP="00FB235B">
            <w:pPr>
              <w:pStyle w:val="NormalWeb"/>
              <w:jc w:val="center"/>
              <w:rPr>
                <w:sz w:val="18"/>
                <w:szCs w:val="18"/>
              </w:rPr>
            </w:pPr>
            <w:r w:rsidRPr="00941B94">
              <w:rPr>
                <w:sz w:val="18"/>
                <w:szCs w:val="18"/>
              </w:rPr>
              <w:t>528.9</w:t>
            </w:r>
          </w:p>
        </w:tc>
        <w:tc>
          <w:tcPr>
            <w:tcW w:w="1234"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0D053165" w14:textId="77777777" w:rsidR="002C2FA4" w:rsidRPr="00941B94" w:rsidRDefault="002C2FA4" w:rsidP="00FB235B">
            <w:pPr>
              <w:pStyle w:val="NormalWeb"/>
              <w:jc w:val="center"/>
              <w:rPr>
                <w:sz w:val="18"/>
                <w:szCs w:val="18"/>
              </w:rPr>
            </w:pPr>
            <w:r w:rsidRPr="00941B94">
              <w:rPr>
                <w:sz w:val="18"/>
                <w:szCs w:val="18"/>
              </w:rPr>
              <w:t>13.5</w:t>
            </w:r>
          </w:p>
        </w:tc>
      </w:tr>
      <w:tr w:rsidR="0093295E" w:rsidRPr="00941B94" w14:paraId="4F2D8C0F" w14:textId="77777777" w:rsidTr="00FB23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379" w:type="dxa"/>
            <w:tcBorders>
              <w:top w:val="single" w:sz="2" w:space="0" w:color="000000" w:themeColor="text1"/>
              <w:bottom w:val="single" w:sz="2" w:space="0" w:color="000000" w:themeColor="text1"/>
            </w:tcBorders>
            <w:shd w:val="clear" w:color="auto" w:fill="auto"/>
            <w:vAlign w:val="center"/>
            <w:hideMark/>
          </w:tcPr>
          <w:p w14:paraId="34B888D6" w14:textId="77777777" w:rsidR="002C2FA4" w:rsidRPr="00941B94" w:rsidRDefault="002C2FA4" w:rsidP="00FB235B">
            <w:pPr>
              <w:pStyle w:val="NormalWeb"/>
              <w:jc w:val="center"/>
              <w:rPr>
                <w:sz w:val="18"/>
                <w:szCs w:val="18"/>
              </w:rPr>
            </w:pPr>
            <w:r w:rsidRPr="00941B94">
              <w:rPr>
                <w:sz w:val="18"/>
                <w:szCs w:val="18"/>
              </w:rPr>
              <w:t>Grad Diploma/Grad Certificate</w:t>
            </w:r>
          </w:p>
        </w:tc>
        <w:tc>
          <w:tcPr>
            <w:tcW w:w="1843" w:type="dxa"/>
            <w:tcBorders>
              <w:top w:val="single" w:sz="2" w:space="0" w:color="000000" w:themeColor="text1"/>
              <w:bottom w:val="single" w:sz="2" w:space="0" w:color="000000" w:themeColor="text1"/>
            </w:tcBorders>
            <w:shd w:val="clear" w:color="auto" w:fill="auto"/>
            <w:vAlign w:val="center"/>
            <w:hideMark/>
          </w:tcPr>
          <w:p w14:paraId="26663FE1" w14:textId="77777777" w:rsidR="002C2FA4" w:rsidRPr="00941B94" w:rsidRDefault="002C2FA4" w:rsidP="00FB235B">
            <w:pPr>
              <w:pStyle w:val="NormalWeb"/>
              <w:jc w:val="center"/>
              <w:rPr>
                <w:sz w:val="18"/>
                <w:szCs w:val="18"/>
              </w:rPr>
            </w:pPr>
            <w:r w:rsidRPr="00941B94">
              <w:rPr>
                <w:sz w:val="18"/>
                <w:szCs w:val="18"/>
              </w:rPr>
              <w:t>3,688</w:t>
            </w:r>
          </w:p>
        </w:tc>
        <w:tc>
          <w:tcPr>
            <w:tcW w:w="567" w:type="dxa"/>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3BAD4ED0" w14:textId="77777777" w:rsidR="002C2FA4" w:rsidRPr="00941B94" w:rsidRDefault="002C2FA4" w:rsidP="00FB235B">
            <w:pPr>
              <w:pStyle w:val="NormalWeb"/>
              <w:jc w:val="center"/>
              <w:rPr>
                <w:sz w:val="18"/>
                <w:szCs w:val="18"/>
              </w:rPr>
            </w:pPr>
            <w:r w:rsidRPr="00941B94">
              <w:rPr>
                <w:sz w:val="18"/>
                <w:szCs w:val="18"/>
              </w:rPr>
              <w:t>13.4</w:t>
            </w:r>
          </w:p>
        </w:tc>
        <w:tc>
          <w:tcPr>
            <w:tcW w:w="1276"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02B5649F" w14:textId="77777777" w:rsidR="002C2FA4" w:rsidRPr="00941B94" w:rsidRDefault="002C2FA4" w:rsidP="00FB235B">
            <w:pPr>
              <w:jc w:val="center"/>
              <w:rPr>
                <w:sz w:val="18"/>
                <w:szCs w:val="18"/>
              </w:rPr>
            </w:pPr>
          </w:p>
        </w:tc>
        <w:tc>
          <w:tcPr>
            <w:tcW w:w="1830"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03E1E030" w14:textId="77777777" w:rsidR="002C2FA4" w:rsidRPr="00941B94" w:rsidRDefault="002C2FA4" w:rsidP="00FB235B">
            <w:pPr>
              <w:pStyle w:val="NormalWeb"/>
              <w:jc w:val="center"/>
              <w:rPr>
                <w:sz w:val="18"/>
                <w:szCs w:val="18"/>
              </w:rPr>
            </w:pPr>
            <w:r w:rsidRPr="00941B94">
              <w:rPr>
                <w:sz w:val="18"/>
                <w:szCs w:val="18"/>
              </w:rPr>
              <w:t>4,611</w:t>
            </w:r>
          </w:p>
        </w:tc>
        <w:tc>
          <w:tcPr>
            <w:tcW w:w="438" w:type="dxa"/>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0B623C4D" w14:textId="77777777" w:rsidR="002C2FA4" w:rsidRPr="00941B94" w:rsidRDefault="002C2FA4" w:rsidP="00FB235B">
            <w:pPr>
              <w:pStyle w:val="NormalWeb"/>
              <w:jc w:val="center"/>
              <w:rPr>
                <w:sz w:val="18"/>
                <w:szCs w:val="18"/>
              </w:rPr>
            </w:pPr>
            <w:r w:rsidRPr="00941B94">
              <w:rPr>
                <w:sz w:val="18"/>
                <w:szCs w:val="18"/>
              </w:rPr>
              <w:t>12.4</w:t>
            </w:r>
          </w:p>
        </w:tc>
        <w:tc>
          <w:tcPr>
            <w:tcW w:w="1417"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52B01C8C" w14:textId="77777777" w:rsidR="002C2FA4" w:rsidRPr="00941B94" w:rsidRDefault="002C2FA4" w:rsidP="00FB235B">
            <w:pPr>
              <w:jc w:val="center"/>
              <w:rPr>
                <w:sz w:val="18"/>
                <w:szCs w:val="18"/>
              </w:rPr>
            </w:pPr>
          </w:p>
        </w:tc>
        <w:tc>
          <w:tcPr>
            <w:tcW w:w="1234"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4943F57D" w14:textId="77777777" w:rsidR="002C2FA4" w:rsidRPr="00941B94" w:rsidRDefault="002C2FA4" w:rsidP="00FB235B">
            <w:pPr>
              <w:pStyle w:val="NormalWeb"/>
              <w:jc w:val="center"/>
              <w:rPr>
                <w:sz w:val="18"/>
                <w:szCs w:val="18"/>
              </w:rPr>
            </w:pPr>
            <w:r w:rsidRPr="00941B94">
              <w:rPr>
                <w:sz w:val="18"/>
                <w:szCs w:val="18"/>
              </w:rPr>
              <w:t>1.7</w:t>
            </w:r>
          </w:p>
        </w:tc>
      </w:tr>
      <w:tr w:rsidR="0093295E" w:rsidRPr="00941B94" w14:paraId="472AB1AD" w14:textId="77777777" w:rsidTr="00FB235B">
        <w:tblPrEx>
          <w:tblCellMar>
            <w:top w:w="57" w:type="dxa"/>
            <w:left w:w="57" w:type="dxa"/>
            <w:bottom w:w="57" w:type="dxa"/>
            <w:right w:w="57" w:type="dxa"/>
          </w:tblCellMar>
        </w:tblPrEx>
        <w:tc>
          <w:tcPr>
            <w:tcW w:w="6379" w:type="dxa"/>
            <w:tcBorders>
              <w:top w:val="single" w:sz="2" w:space="0" w:color="000000" w:themeColor="text1"/>
              <w:bottom w:val="single" w:sz="2" w:space="0" w:color="000000" w:themeColor="text1"/>
            </w:tcBorders>
            <w:shd w:val="clear" w:color="auto" w:fill="auto"/>
            <w:vAlign w:val="center"/>
            <w:hideMark/>
          </w:tcPr>
          <w:p w14:paraId="2162F883" w14:textId="77777777" w:rsidR="002C2FA4" w:rsidRPr="00941B94" w:rsidRDefault="002C2FA4" w:rsidP="00FB235B">
            <w:pPr>
              <w:pStyle w:val="NormalWeb"/>
              <w:jc w:val="center"/>
              <w:rPr>
                <w:sz w:val="18"/>
                <w:szCs w:val="18"/>
              </w:rPr>
            </w:pPr>
            <w:r w:rsidRPr="00941B94">
              <w:rPr>
                <w:sz w:val="18"/>
                <w:szCs w:val="18"/>
              </w:rPr>
              <w:t>Postgraduate Degree</w:t>
            </w:r>
          </w:p>
        </w:tc>
        <w:tc>
          <w:tcPr>
            <w:tcW w:w="1843" w:type="dxa"/>
            <w:tcBorders>
              <w:top w:val="single" w:sz="2" w:space="0" w:color="000000" w:themeColor="text1"/>
              <w:bottom w:val="single" w:sz="2" w:space="0" w:color="000000" w:themeColor="text1"/>
            </w:tcBorders>
            <w:shd w:val="clear" w:color="auto" w:fill="auto"/>
            <w:vAlign w:val="center"/>
            <w:hideMark/>
          </w:tcPr>
          <w:p w14:paraId="6CE483FE" w14:textId="77777777" w:rsidR="002C2FA4" w:rsidRPr="00941B94" w:rsidRDefault="002C2FA4" w:rsidP="00FB235B">
            <w:pPr>
              <w:pStyle w:val="NormalWeb"/>
              <w:jc w:val="center"/>
              <w:rPr>
                <w:sz w:val="18"/>
                <w:szCs w:val="18"/>
              </w:rPr>
            </w:pPr>
            <w:r w:rsidRPr="00941B94">
              <w:rPr>
                <w:sz w:val="18"/>
                <w:szCs w:val="18"/>
              </w:rPr>
              <w:t>6,875</w:t>
            </w:r>
          </w:p>
        </w:tc>
        <w:tc>
          <w:tcPr>
            <w:tcW w:w="567" w:type="dxa"/>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15A88F47" w14:textId="77777777" w:rsidR="002C2FA4" w:rsidRPr="00941B94" w:rsidRDefault="002C2FA4" w:rsidP="00FB235B">
            <w:pPr>
              <w:pStyle w:val="NormalWeb"/>
              <w:jc w:val="center"/>
              <w:rPr>
                <w:sz w:val="18"/>
                <w:szCs w:val="18"/>
              </w:rPr>
            </w:pPr>
            <w:r w:rsidRPr="00941B94">
              <w:rPr>
                <w:sz w:val="18"/>
                <w:szCs w:val="18"/>
              </w:rPr>
              <w:t>24.9</w:t>
            </w:r>
          </w:p>
        </w:tc>
        <w:tc>
          <w:tcPr>
            <w:tcW w:w="1276"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E8D4EC3" w14:textId="77777777" w:rsidR="002C2FA4" w:rsidRPr="00941B94" w:rsidRDefault="002C2FA4" w:rsidP="00FB235B">
            <w:pPr>
              <w:jc w:val="center"/>
              <w:rPr>
                <w:sz w:val="18"/>
                <w:szCs w:val="18"/>
              </w:rPr>
            </w:pPr>
          </w:p>
        </w:tc>
        <w:tc>
          <w:tcPr>
            <w:tcW w:w="1830"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0E1382FB" w14:textId="77777777" w:rsidR="002C2FA4" w:rsidRPr="00941B94" w:rsidRDefault="002C2FA4" w:rsidP="00FB235B">
            <w:pPr>
              <w:pStyle w:val="NormalWeb"/>
              <w:jc w:val="center"/>
              <w:rPr>
                <w:sz w:val="18"/>
                <w:szCs w:val="18"/>
              </w:rPr>
            </w:pPr>
            <w:r w:rsidRPr="00941B94">
              <w:rPr>
                <w:sz w:val="18"/>
                <w:szCs w:val="18"/>
              </w:rPr>
              <w:t>8,708</w:t>
            </w:r>
          </w:p>
        </w:tc>
        <w:tc>
          <w:tcPr>
            <w:tcW w:w="438" w:type="dxa"/>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1D949FA4" w14:textId="77777777" w:rsidR="002C2FA4" w:rsidRPr="00941B94" w:rsidRDefault="002C2FA4" w:rsidP="00FB235B">
            <w:pPr>
              <w:pStyle w:val="NormalWeb"/>
              <w:jc w:val="center"/>
              <w:rPr>
                <w:sz w:val="18"/>
                <w:szCs w:val="18"/>
              </w:rPr>
            </w:pPr>
            <w:r w:rsidRPr="00941B94">
              <w:rPr>
                <w:sz w:val="18"/>
                <w:szCs w:val="18"/>
              </w:rPr>
              <w:t>22.5</w:t>
            </w:r>
          </w:p>
        </w:tc>
        <w:tc>
          <w:tcPr>
            <w:tcW w:w="1417"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9BD22DA" w14:textId="77777777" w:rsidR="002C2FA4" w:rsidRPr="00941B94" w:rsidRDefault="002C2FA4" w:rsidP="00FB235B">
            <w:pPr>
              <w:jc w:val="center"/>
              <w:rPr>
                <w:sz w:val="18"/>
                <w:szCs w:val="18"/>
              </w:rPr>
            </w:pPr>
          </w:p>
        </w:tc>
        <w:tc>
          <w:tcPr>
            <w:tcW w:w="1234"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17EF01F4" w14:textId="77777777" w:rsidR="002C2FA4" w:rsidRPr="00941B94" w:rsidRDefault="002C2FA4" w:rsidP="00FB235B">
            <w:pPr>
              <w:pStyle w:val="NormalWeb"/>
              <w:jc w:val="center"/>
              <w:rPr>
                <w:sz w:val="18"/>
                <w:szCs w:val="18"/>
              </w:rPr>
            </w:pPr>
            <w:r w:rsidRPr="00941B94">
              <w:rPr>
                <w:sz w:val="18"/>
                <w:szCs w:val="18"/>
              </w:rPr>
              <w:t>3.6</w:t>
            </w:r>
          </w:p>
        </w:tc>
      </w:tr>
      <w:tr w:rsidR="0093295E" w:rsidRPr="00941B94" w14:paraId="23225565" w14:textId="77777777" w:rsidTr="00FB23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379" w:type="dxa"/>
            <w:tcBorders>
              <w:top w:val="single" w:sz="2" w:space="0" w:color="000000" w:themeColor="text1"/>
            </w:tcBorders>
            <w:shd w:val="clear" w:color="auto" w:fill="auto"/>
            <w:vAlign w:val="center"/>
            <w:hideMark/>
          </w:tcPr>
          <w:p w14:paraId="4BEF10FD" w14:textId="77777777" w:rsidR="002C2FA4" w:rsidRPr="00941B94" w:rsidRDefault="002C2FA4" w:rsidP="00FB235B">
            <w:pPr>
              <w:pStyle w:val="NormalWeb"/>
              <w:jc w:val="center"/>
              <w:rPr>
                <w:sz w:val="18"/>
                <w:szCs w:val="18"/>
              </w:rPr>
            </w:pPr>
            <w:r w:rsidRPr="00941B94">
              <w:rPr>
                <w:sz w:val="18"/>
                <w:szCs w:val="18"/>
              </w:rPr>
              <w:t>Total who nominated an ABS equivalent education level (15 years and over only)</w:t>
            </w:r>
          </w:p>
        </w:tc>
        <w:tc>
          <w:tcPr>
            <w:tcW w:w="1843" w:type="dxa"/>
            <w:tcBorders>
              <w:top w:val="single" w:sz="2" w:space="0" w:color="000000" w:themeColor="text1"/>
            </w:tcBorders>
            <w:shd w:val="clear" w:color="auto" w:fill="auto"/>
            <w:vAlign w:val="center"/>
            <w:hideMark/>
          </w:tcPr>
          <w:p w14:paraId="2D6B9D44" w14:textId="77777777" w:rsidR="002C2FA4" w:rsidRPr="00941B94" w:rsidRDefault="002C2FA4" w:rsidP="00FB235B">
            <w:pPr>
              <w:pStyle w:val="NormalWeb"/>
              <w:jc w:val="center"/>
              <w:rPr>
                <w:sz w:val="18"/>
                <w:szCs w:val="18"/>
              </w:rPr>
            </w:pPr>
            <w:r w:rsidRPr="00941B94">
              <w:rPr>
                <w:sz w:val="18"/>
                <w:szCs w:val="18"/>
              </w:rPr>
              <w:t>27,560</w:t>
            </w:r>
          </w:p>
        </w:tc>
        <w:tc>
          <w:tcPr>
            <w:tcW w:w="567" w:type="dxa"/>
            <w:tcBorders>
              <w:top w:val="single" w:sz="2" w:space="0" w:color="000000" w:themeColor="text1"/>
            </w:tcBorders>
            <w:shd w:val="clear" w:color="auto" w:fill="auto"/>
            <w:vAlign w:val="center"/>
            <w:hideMark/>
          </w:tcPr>
          <w:p w14:paraId="147D0E00" w14:textId="77777777" w:rsidR="002C2FA4" w:rsidRPr="00941B94" w:rsidRDefault="002C2FA4" w:rsidP="00FB235B">
            <w:pPr>
              <w:jc w:val="center"/>
              <w:rPr>
                <w:sz w:val="18"/>
                <w:szCs w:val="18"/>
              </w:rPr>
            </w:pPr>
          </w:p>
        </w:tc>
        <w:tc>
          <w:tcPr>
            <w:tcW w:w="1276" w:type="dxa"/>
            <w:tcBorders>
              <w:top w:val="single" w:sz="2" w:space="0" w:color="000000" w:themeColor="text1"/>
            </w:tcBorders>
            <w:shd w:val="clear" w:color="auto" w:fill="auto"/>
            <w:vAlign w:val="center"/>
            <w:hideMark/>
          </w:tcPr>
          <w:p w14:paraId="1C8ED6BE" w14:textId="77777777" w:rsidR="002C2FA4" w:rsidRPr="00941B94" w:rsidRDefault="002C2FA4" w:rsidP="00FB235B">
            <w:pPr>
              <w:pStyle w:val="NormalWeb"/>
              <w:jc w:val="center"/>
              <w:rPr>
                <w:sz w:val="18"/>
                <w:szCs w:val="18"/>
              </w:rPr>
            </w:pPr>
            <w:r w:rsidRPr="00941B94">
              <w:rPr>
                <w:sz w:val="18"/>
                <w:szCs w:val="18"/>
              </w:rPr>
              <w:t>148.8</w:t>
            </w:r>
          </w:p>
        </w:tc>
        <w:tc>
          <w:tcPr>
            <w:tcW w:w="1830" w:type="dxa"/>
            <w:tcBorders>
              <w:top w:val="single" w:sz="2" w:space="0" w:color="000000" w:themeColor="text1"/>
            </w:tcBorders>
            <w:shd w:val="clear" w:color="auto" w:fill="auto"/>
            <w:vAlign w:val="center"/>
            <w:hideMark/>
          </w:tcPr>
          <w:p w14:paraId="2ED0E81A" w14:textId="77777777" w:rsidR="002C2FA4" w:rsidRPr="00941B94" w:rsidRDefault="002C2FA4" w:rsidP="00FB235B">
            <w:pPr>
              <w:pStyle w:val="NormalWeb"/>
              <w:jc w:val="center"/>
              <w:rPr>
                <w:sz w:val="18"/>
                <w:szCs w:val="18"/>
              </w:rPr>
            </w:pPr>
            <w:r w:rsidRPr="00941B94">
              <w:rPr>
                <w:sz w:val="18"/>
                <w:szCs w:val="18"/>
              </w:rPr>
              <w:t>37,104 (1,342 missing)</w:t>
            </w:r>
          </w:p>
        </w:tc>
        <w:tc>
          <w:tcPr>
            <w:tcW w:w="438" w:type="dxa"/>
            <w:tcBorders>
              <w:top w:val="single" w:sz="2" w:space="0" w:color="000000" w:themeColor="text1"/>
            </w:tcBorders>
            <w:shd w:val="clear" w:color="auto" w:fill="auto"/>
            <w:vAlign w:val="center"/>
            <w:hideMark/>
          </w:tcPr>
          <w:p w14:paraId="1F650650" w14:textId="77777777" w:rsidR="002C2FA4" w:rsidRPr="00941B94" w:rsidRDefault="002C2FA4" w:rsidP="00FB235B">
            <w:pPr>
              <w:jc w:val="center"/>
              <w:rPr>
                <w:sz w:val="18"/>
                <w:szCs w:val="18"/>
              </w:rPr>
            </w:pPr>
          </w:p>
        </w:tc>
        <w:tc>
          <w:tcPr>
            <w:tcW w:w="1417" w:type="dxa"/>
            <w:tcBorders>
              <w:top w:val="single" w:sz="2" w:space="0" w:color="000000" w:themeColor="text1"/>
            </w:tcBorders>
            <w:shd w:val="clear" w:color="auto" w:fill="auto"/>
            <w:vAlign w:val="center"/>
            <w:hideMark/>
          </w:tcPr>
          <w:p w14:paraId="01AFEEE0" w14:textId="77777777" w:rsidR="002C2FA4" w:rsidRPr="00941B94" w:rsidRDefault="002C2FA4" w:rsidP="00FB235B">
            <w:pPr>
              <w:pStyle w:val="NormalWeb"/>
              <w:jc w:val="center"/>
              <w:rPr>
                <w:sz w:val="18"/>
                <w:szCs w:val="18"/>
              </w:rPr>
            </w:pPr>
            <w:r w:rsidRPr="00941B94">
              <w:rPr>
                <w:sz w:val="18"/>
                <w:szCs w:val="18"/>
              </w:rPr>
              <w:t>207.9</w:t>
            </w:r>
          </w:p>
        </w:tc>
        <w:tc>
          <w:tcPr>
            <w:tcW w:w="1234" w:type="dxa"/>
            <w:tcBorders>
              <w:top w:val="single" w:sz="2" w:space="0" w:color="000000" w:themeColor="text1"/>
            </w:tcBorders>
            <w:shd w:val="clear" w:color="auto" w:fill="auto"/>
            <w:vAlign w:val="center"/>
            <w:hideMark/>
          </w:tcPr>
          <w:p w14:paraId="556BC99C" w14:textId="77777777" w:rsidR="002C2FA4" w:rsidRPr="00941B94" w:rsidRDefault="002C2FA4" w:rsidP="00FB235B">
            <w:pPr>
              <w:jc w:val="center"/>
              <w:rPr>
                <w:sz w:val="18"/>
                <w:szCs w:val="18"/>
              </w:rPr>
            </w:pPr>
          </w:p>
        </w:tc>
      </w:tr>
      <w:tr w:rsidR="002C2FA4" w:rsidRPr="00941B94" w14:paraId="721C6219" w14:textId="77777777" w:rsidTr="00FD184B">
        <w:tblPrEx>
          <w:tblCellMar>
            <w:top w:w="57" w:type="dxa"/>
            <w:left w:w="57" w:type="dxa"/>
            <w:bottom w:w="57" w:type="dxa"/>
            <w:right w:w="57" w:type="dxa"/>
          </w:tblCellMar>
        </w:tblPrEx>
        <w:tc>
          <w:tcPr>
            <w:tcW w:w="0" w:type="auto"/>
            <w:gridSpan w:val="8"/>
            <w:shd w:val="clear" w:color="auto" w:fill="595959" w:themeFill="text1" w:themeFillTint="A6"/>
            <w:vAlign w:val="center"/>
            <w:hideMark/>
          </w:tcPr>
          <w:p w14:paraId="7732C780" w14:textId="77777777" w:rsidR="002C2FA4" w:rsidRPr="00941B94" w:rsidRDefault="002C2FA4" w:rsidP="00FB235B">
            <w:pPr>
              <w:pStyle w:val="NormalWeb"/>
              <w:jc w:val="center"/>
              <w:rPr>
                <w:b/>
                <w:bCs/>
                <w:color w:val="FFFFFF" w:themeColor="background1"/>
                <w:sz w:val="18"/>
                <w:szCs w:val="18"/>
              </w:rPr>
            </w:pPr>
            <w:r w:rsidRPr="00941B94">
              <w:rPr>
                <w:b/>
                <w:bCs/>
                <w:color w:val="FFFFFF" w:themeColor="background1"/>
                <w:sz w:val="18"/>
                <w:szCs w:val="18"/>
              </w:rPr>
              <w:t>Aboriginal and/or Torres Strait Islander</w:t>
            </w:r>
          </w:p>
        </w:tc>
      </w:tr>
      <w:tr w:rsidR="0093295E" w:rsidRPr="00941B94" w14:paraId="08DBDBAC" w14:textId="77777777" w:rsidTr="00FB23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379" w:type="dxa"/>
            <w:tcBorders>
              <w:bottom w:val="single" w:sz="2" w:space="0" w:color="000000" w:themeColor="text1"/>
            </w:tcBorders>
            <w:shd w:val="clear" w:color="auto" w:fill="auto"/>
            <w:vAlign w:val="center"/>
            <w:hideMark/>
          </w:tcPr>
          <w:p w14:paraId="45EC48CD" w14:textId="77777777" w:rsidR="002C2FA4" w:rsidRPr="00941B94" w:rsidRDefault="002C2FA4" w:rsidP="00FB235B">
            <w:pPr>
              <w:pStyle w:val="NormalWeb"/>
              <w:jc w:val="center"/>
              <w:rPr>
                <w:sz w:val="18"/>
                <w:szCs w:val="18"/>
              </w:rPr>
            </w:pPr>
            <w:r w:rsidRPr="00941B94">
              <w:rPr>
                <w:sz w:val="18"/>
                <w:szCs w:val="18"/>
              </w:rPr>
              <w:t>Yes</w:t>
            </w:r>
          </w:p>
        </w:tc>
        <w:tc>
          <w:tcPr>
            <w:tcW w:w="1843" w:type="dxa"/>
            <w:tcBorders>
              <w:bottom w:val="single" w:sz="2" w:space="0" w:color="000000" w:themeColor="text1"/>
            </w:tcBorders>
            <w:shd w:val="clear" w:color="auto" w:fill="auto"/>
            <w:vAlign w:val="center"/>
            <w:hideMark/>
          </w:tcPr>
          <w:p w14:paraId="14B1B3B9" w14:textId="77777777" w:rsidR="002C2FA4" w:rsidRPr="00941B94" w:rsidRDefault="002C2FA4" w:rsidP="00FB235B">
            <w:pPr>
              <w:pStyle w:val="NormalWeb"/>
              <w:jc w:val="center"/>
              <w:rPr>
                <w:sz w:val="18"/>
                <w:szCs w:val="18"/>
              </w:rPr>
            </w:pPr>
            <w:r w:rsidRPr="00941B94">
              <w:rPr>
                <w:sz w:val="18"/>
                <w:szCs w:val="18"/>
              </w:rPr>
              <w:t>492</w:t>
            </w:r>
          </w:p>
        </w:tc>
        <w:tc>
          <w:tcPr>
            <w:tcW w:w="567" w:type="dxa"/>
            <w:tcBorders>
              <w:bottom w:val="single" w:sz="2" w:space="0" w:color="000000" w:themeColor="text1"/>
            </w:tcBorders>
            <w:shd w:val="clear" w:color="auto" w:fill="auto"/>
            <w:vAlign w:val="center"/>
            <w:hideMark/>
          </w:tcPr>
          <w:p w14:paraId="00486C1F" w14:textId="77777777" w:rsidR="002C2FA4" w:rsidRPr="00941B94" w:rsidRDefault="002C2FA4" w:rsidP="00FB235B">
            <w:pPr>
              <w:pStyle w:val="NormalWeb"/>
              <w:jc w:val="center"/>
              <w:rPr>
                <w:sz w:val="18"/>
                <w:szCs w:val="18"/>
              </w:rPr>
            </w:pPr>
            <w:r w:rsidRPr="00941B94">
              <w:rPr>
                <w:sz w:val="18"/>
                <w:szCs w:val="18"/>
              </w:rPr>
              <w:t>1.6</w:t>
            </w:r>
          </w:p>
        </w:tc>
        <w:tc>
          <w:tcPr>
            <w:tcW w:w="1276" w:type="dxa"/>
            <w:tcBorders>
              <w:bottom w:val="single" w:sz="2" w:space="0" w:color="000000" w:themeColor="text1"/>
            </w:tcBorders>
            <w:shd w:val="clear" w:color="auto" w:fill="auto"/>
            <w:vAlign w:val="center"/>
            <w:hideMark/>
          </w:tcPr>
          <w:p w14:paraId="75687F4E" w14:textId="77777777" w:rsidR="002C2FA4" w:rsidRPr="00941B94" w:rsidRDefault="002C2FA4" w:rsidP="00FB235B">
            <w:pPr>
              <w:pStyle w:val="NormalWeb"/>
              <w:jc w:val="center"/>
              <w:rPr>
                <w:sz w:val="18"/>
                <w:szCs w:val="18"/>
              </w:rPr>
            </w:pPr>
            <w:r w:rsidRPr="00941B94">
              <w:rPr>
                <w:sz w:val="18"/>
                <w:szCs w:val="18"/>
                <w:lang w:val="en-US"/>
              </w:rPr>
              <w:t>75.8</w:t>
            </w:r>
          </w:p>
        </w:tc>
        <w:tc>
          <w:tcPr>
            <w:tcW w:w="1830" w:type="dxa"/>
            <w:tcBorders>
              <w:bottom w:val="single" w:sz="2" w:space="0" w:color="000000" w:themeColor="text1"/>
            </w:tcBorders>
            <w:shd w:val="clear" w:color="auto" w:fill="auto"/>
            <w:vAlign w:val="center"/>
            <w:hideMark/>
          </w:tcPr>
          <w:p w14:paraId="44E8CD52" w14:textId="77777777" w:rsidR="002C2FA4" w:rsidRPr="00941B94" w:rsidRDefault="002C2FA4" w:rsidP="00FB235B">
            <w:pPr>
              <w:pStyle w:val="NormalWeb"/>
              <w:jc w:val="center"/>
              <w:rPr>
                <w:sz w:val="18"/>
                <w:szCs w:val="18"/>
              </w:rPr>
            </w:pPr>
            <w:r w:rsidRPr="00941B94">
              <w:rPr>
                <w:sz w:val="18"/>
                <w:szCs w:val="18"/>
              </w:rPr>
              <w:t>713</w:t>
            </w:r>
          </w:p>
        </w:tc>
        <w:tc>
          <w:tcPr>
            <w:tcW w:w="438" w:type="dxa"/>
            <w:tcBorders>
              <w:bottom w:val="single" w:sz="2" w:space="0" w:color="000000" w:themeColor="text1"/>
            </w:tcBorders>
            <w:shd w:val="clear" w:color="auto" w:fill="auto"/>
            <w:vAlign w:val="center"/>
            <w:hideMark/>
          </w:tcPr>
          <w:p w14:paraId="32199FED" w14:textId="77777777" w:rsidR="002C2FA4" w:rsidRPr="00941B94" w:rsidRDefault="002C2FA4" w:rsidP="00FB235B">
            <w:pPr>
              <w:pStyle w:val="NormalWeb"/>
              <w:jc w:val="center"/>
              <w:rPr>
                <w:sz w:val="18"/>
                <w:szCs w:val="18"/>
              </w:rPr>
            </w:pPr>
            <w:r w:rsidRPr="00941B94">
              <w:rPr>
                <w:sz w:val="18"/>
                <w:szCs w:val="18"/>
              </w:rPr>
              <w:t>1.6</w:t>
            </w:r>
          </w:p>
        </w:tc>
        <w:tc>
          <w:tcPr>
            <w:tcW w:w="1417" w:type="dxa"/>
            <w:tcBorders>
              <w:bottom w:val="single" w:sz="2" w:space="0" w:color="000000" w:themeColor="text1"/>
            </w:tcBorders>
            <w:shd w:val="clear" w:color="auto" w:fill="auto"/>
            <w:vAlign w:val="center"/>
            <w:hideMark/>
          </w:tcPr>
          <w:p w14:paraId="1C191879" w14:textId="77777777" w:rsidR="002C2FA4" w:rsidRPr="00941B94" w:rsidRDefault="002C2FA4" w:rsidP="00FB235B">
            <w:pPr>
              <w:pStyle w:val="NormalWeb"/>
              <w:jc w:val="center"/>
              <w:rPr>
                <w:sz w:val="18"/>
                <w:szCs w:val="18"/>
              </w:rPr>
            </w:pPr>
            <w:r w:rsidRPr="00941B94">
              <w:rPr>
                <w:sz w:val="18"/>
                <w:szCs w:val="18"/>
              </w:rPr>
              <w:t>109.8</w:t>
            </w:r>
          </w:p>
        </w:tc>
        <w:tc>
          <w:tcPr>
            <w:tcW w:w="1234" w:type="dxa"/>
            <w:tcBorders>
              <w:bottom w:val="single" w:sz="2" w:space="0" w:color="000000" w:themeColor="text1"/>
            </w:tcBorders>
            <w:shd w:val="clear" w:color="auto" w:fill="auto"/>
            <w:vAlign w:val="center"/>
            <w:hideMark/>
          </w:tcPr>
          <w:p w14:paraId="09CC977A" w14:textId="77777777" w:rsidR="002C2FA4" w:rsidRPr="00941B94" w:rsidRDefault="002C2FA4" w:rsidP="00FB235B">
            <w:pPr>
              <w:pStyle w:val="NormalWeb"/>
              <w:jc w:val="center"/>
              <w:rPr>
                <w:sz w:val="18"/>
                <w:szCs w:val="18"/>
              </w:rPr>
            </w:pPr>
            <w:r w:rsidRPr="00941B94">
              <w:rPr>
                <w:sz w:val="18"/>
                <w:szCs w:val="18"/>
              </w:rPr>
              <w:t>2.5</w:t>
            </w:r>
          </w:p>
        </w:tc>
      </w:tr>
      <w:tr w:rsidR="0093295E" w:rsidRPr="00941B94" w14:paraId="59BBC17F" w14:textId="77777777" w:rsidTr="00FB235B">
        <w:tblPrEx>
          <w:tblCellMar>
            <w:top w:w="57" w:type="dxa"/>
            <w:left w:w="57" w:type="dxa"/>
            <w:bottom w:w="57" w:type="dxa"/>
            <w:right w:w="57" w:type="dxa"/>
          </w:tblCellMar>
        </w:tblPrEx>
        <w:tc>
          <w:tcPr>
            <w:tcW w:w="6379" w:type="dxa"/>
            <w:tcBorders>
              <w:top w:val="single" w:sz="2" w:space="0" w:color="000000" w:themeColor="text1"/>
              <w:bottom w:val="single" w:sz="2" w:space="0" w:color="000000" w:themeColor="text1"/>
            </w:tcBorders>
            <w:shd w:val="clear" w:color="auto" w:fill="auto"/>
            <w:vAlign w:val="center"/>
            <w:hideMark/>
          </w:tcPr>
          <w:p w14:paraId="7586F95F" w14:textId="77777777" w:rsidR="002C2FA4" w:rsidRPr="00941B94" w:rsidRDefault="002C2FA4" w:rsidP="00FB235B">
            <w:pPr>
              <w:pStyle w:val="NormalWeb"/>
              <w:jc w:val="center"/>
              <w:rPr>
                <w:sz w:val="18"/>
                <w:szCs w:val="18"/>
              </w:rPr>
            </w:pPr>
            <w:r w:rsidRPr="00941B94">
              <w:rPr>
                <w:sz w:val="18"/>
                <w:szCs w:val="18"/>
              </w:rPr>
              <w:t>No</w:t>
            </w:r>
          </w:p>
        </w:tc>
        <w:tc>
          <w:tcPr>
            <w:tcW w:w="1843" w:type="dxa"/>
            <w:tcBorders>
              <w:top w:val="single" w:sz="2" w:space="0" w:color="000000" w:themeColor="text1"/>
              <w:bottom w:val="single" w:sz="2" w:space="0" w:color="000000" w:themeColor="text1"/>
            </w:tcBorders>
            <w:shd w:val="clear" w:color="auto" w:fill="auto"/>
            <w:vAlign w:val="center"/>
            <w:hideMark/>
          </w:tcPr>
          <w:p w14:paraId="5619B1F0" w14:textId="77777777" w:rsidR="002C2FA4" w:rsidRPr="00941B94" w:rsidRDefault="002C2FA4" w:rsidP="00FB235B">
            <w:pPr>
              <w:pStyle w:val="NormalWeb"/>
              <w:jc w:val="center"/>
              <w:rPr>
                <w:sz w:val="18"/>
                <w:szCs w:val="18"/>
              </w:rPr>
            </w:pPr>
            <w:r w:rsidRPr="00941B94">
              <w:rPr>
                <w:sz w:val="18"/>
                <w:szCs w:val="18"/>
              </w:rPr>
              <w:t>30,897</w:t>
            </w:r>
          </w:p>
        </w:tc>
        <w:tc>
          <w:tcPr>
            <w:tcW w:w="567" w:type="dxa"/>
            <w:tcBorders>
              <w:top w:val="single" w:sz="2" w:space="0" w:color="000000" w:themeColor="text1"/>
              <w:bottom w:val="single" w:sz="2" w:space="0" w:color="000000" w:themeColor="text1"/>
            </w:tcBorders>
            <w:shd w:val="clear" w:color="auto" w:fill="auto"/>
            <w:vAlign w:val="center"/>
            <w:hideMark/>
          </w:tcPr>
          <w:p w14:paraId="32CC2AEA" w14:textId="77777777" w:rsidR="002C2FA4" w:rsidRPr="00941B94" w:rsidRDefault="002C2FA4" w:rsidP="00FB235B">
            <w:pPr>
              <w:pStyle w:val="NormalWeb"/>
              <w:jc w:val="center"/>
              <w:rPr>
                <w:sz w:val="18"/>
                <w:szCs w:val="18"/>
              </w:rPr>
            </w:pPr>
            <w:r w:rsidRPr="00941B94">
              <w:rPr>
                <w:sz w:val="18"/>
                <w:szCs w:val="18"/>
              </w:rPr>
              <w:t>98.4</w:t>
            </w:r>
          </w:p>
        </w:tc>
        <w:tc>
          <w:tcPr>
            <w:tcW w:w="1276" w:type="dxa"/>
            <w:tcBorders>
              <w:top w:val="single" w:sz="2" w:space="0" w:color="000000" w:themeColor="text1"/>
              <w:bottom w:val="single" w:sz="2" w:space="0" w:color="000000" w:themeColor="text1"/>
            </w:tcBorders>
            <w:shd w:val="clear" w:color="auto" w:fill="auto"/>
            <w:vAlign w:val="center"/>
            <w:hideMark/>
          </w:tcPr>
          <w:p w14:paraId="5D972DF8" w14:textId="77777777" w:rsidR="002C2FA4" w:rsidRPr="00941B94" w:rsidRDefault="002C2FA4" w:rsidP="00FB235B">
            <w:pPr>
              <w:pStyle w:val="NormalWeb"/>
              <w:jc w:val="center"/>
              <w:rPr>
                <w:sz w:val="18"/>
                <w:szCs w:val="18"/>
              </w:rPr>
            </w:pPr>
            <w:r w:rsidRPr="00941B94">
              <w:rPr>
                <w:sz w:val="18"/>
                <w:szCs w:val="18"/>
                <w:lang w:val="en-US"/>
              </w:rPr>
              <w:t>135.8</w:t>
            </w:r>
          </w:p>
        </w:tc>
        <w:tc>
          <w:tcPr>
            <w:tcW w:w="1830" w:type="dxa"/>
            <w:tcBorders>
              <w:top w:val="single" w:sz="2" w:space="0" w:color="000000" w:themeColor="text1"/>
              <w:bottom w:val="single" w:sz="2" w:space="0" w:color="000000" w:themeColor="text1"/>
            </w:tcBorders>
            <w:shd w:val="clear" w:color="auto" w:fill="auto"/>
            <w:vAlign w:val="center"/>
            <w:hideMark/>
          </w:tcPr>
          <w:p w14:paraId="0BCB7091" w14:textId="77777777" w:rsidR="002C2FA4" w:rsidRPr="00941B94" w:rsidRDefault="002C2FA4" w:rsidP="00FB235B">
            <w:pPr>
              <w:pStyle w:val="NormalWeb"/>
              <w:jc w:val="center"/>
              <w:rPr>
                <w:sz w:val="18"/>
                <w:szCs w:val="18"/>
              </w:rPr>
            </w:pPr>
            <w:r w:rsidRPr="00941B94">
              <w:rPr>
                <w:sz w:val="18"/>
                <w:szCs w:val="18"/>
              </w:rPr>
              <w:t>42,377</w:t>
            </w:r>
          </w:p>
        </w:tc>
        <w:tc>
          <w:tcPr>
            <w:tcW w:w="438" w:type="dxa"/>
            <w:tcBorders>
              <w:top w:val="single" w:sz="2" w:space="0" w:color="000000" w:themeColor="text1"/>
              <w:bottom w:val="single" w:sz="2" w:space="0" w:color="000000" w:themeColor="text1"/>
            </w:tcBorders>
            <w:shd w:val="clear" w:color="auto" w:fill="auto"/>
            <w:vAlign w:val="center"/>
            <w:hideMark/>
          </w:tcPr>
          <w:p w14:paraId="16AA2C9E" w14:textId="77777777" w:rsidR="002C2FA4" w:rsidRPr="00941B94" w:rsidRDefault="002C2FA4" w:rsidP="00FB235B">
            <w:pPr>
              <w:pStyle w:val="NormalWeb"/>
              <w:jc w:val="center"/>
              <w:rPr>
                <w:sz w:val="18"/>
                <w:szCs w:val="18"/>
              </w:rPr>
            </w:pPr>
            <w:r w:rsidRPr="00941B94">
              <w:rPr>
                <w:sz w:val="18"/>
                <w:szCs w:val="18"/>
              </w:rPr>
              <w:t>98.3</w:t>
            </w:r>
          </w:p>
        </w:tc>
        <w:tc>
          <w:tcPr>
            <w:tcW w:w="1417" w:type="dxa"/>
            <w:tcBorders>
              <w:top w:val="single" w:sz="2" w:space="0" w:color="000000" w:themeColor="text1"/>
              <w:bottom w:val="single" w:sz="2" w:space="0" w:color="000000" w:themeColor="text1"/>
            </w:tcBorders>
            <w:shd w:val="clear" w:color="auto" w:fill="auto"/>
            <w:vAlign w:val="center"/>
            <w:hideMark/>
          </w:tcPr>
          <w:p w14:paraId="197E56E2" w14:textId="77777777" w:rsidR="002C2FA4" w:rsidRPr="00941B94" w:rsidRDefault="002C2FA4" w:rsidP="00FB235B">
            <w:pPr>
              <w:pStyle w:val="NormalWeb"/>
              <w:jc w:val="center"/>
              <w:rPr>
                <w:sz w:val="18"/>
                <w:szCs w:val="18"/>
              </w:rPr>
            </w:pPr>
            <w:r w:rsidRPr="00941B94">
              <w:rPr>
                <w:sz w:val="18"/>
                <w:szCs w:val="18"/>
              </w:rPr>
              <w:t>186.3</w:t>
            </w:r>
          </w:p>
        </w:tc>
        <w:tc>
          <w:tcPr>
            <w:tcW w:w="1234" w:type="dxa"/>
            <w:tcBorders>
              <w:top w:val="single" w:sz="2" w:space="0" w:color="000000" w:themeColor="text1"/>
              <w:bottom w:val="single" w:sz="2" w:space="0" w:color="000000" w:themeColor="text1"/>
            </w:tcBorders>
            <w:shd w:val="clear" w:color="auto" w:fill="auto"/>
            <w:vAlign w:val="center"/>
            <w:hideMark/>
          </w:tcPr>
          <w:p w14:paraId="1ED7D965" w14:textId="77777777" w:rsidR="002C2FA4" w:rsidRPr="00941B94" w:rsidRDefault="002C2FA4" w:rsidP="00FB235B">
            <w:pPr>
              <w:pStyle w:val="NormalWeb"/>
              <w:jc w:val="center"/>
              <w:rPr>
                <w:sz w:val="18"/>
                <w:szCs w:val="18"/>
              </w:rPr>
            </w:pPr>
            <w:r w:rsidRPr="00941B94">
              <w:rPr>
                <w:sz w:val="18"/>
                <w:szCs w:val="18"/>
              </w:rPr>
              <w:t>97.5</w:t>
            </w:r>
          </w:p>
        </w:tc>
      </w:tr>
      <w:tr w:rsidR="0093295E" w:rsidRPr="00941B94" w14:paraId="7857766B" w14:textId="77777777" w:rsidTr="00FB23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379" w:type="dxa"/>
            <w:tcBorders>
              <w:top w:val="single" w:sz="2" w:space="0" w:color="000000" w:themeColor="text1"/>
            </w:tcBorders>
            <w:shd w:val="clear" w:color="auto" w:fill="auto"/>
            <w:vAlign w:val="center"/>
            <w:hideMark/>
          </w:tcPr>
          <w:p w14:paraId="12FAFBC2" w14:textId="77777777" w:rsidR="002C2FA4" w:rsidRPr="00941B94" w:rsidRDefault="002C2FA4" w:rsidP="00FB235B">
            <w:pPr>
              <w:pStyle w:val="NormalWeb"/>
              <w:jc w:val="center"/>
              <w:rPr>
                <w:sz w:val="18"/>
                <w:szCs w:val="18"/>
              </w:rPr>
            </w:pPr>
            <w:r w:rsidRPr="00941B94">
              <w:rPr>
                <w:sz w:val="18"/>
                <w:szCs w:val="18"/>
              </w:rPr>
              <w:t>Prefer not to say</w:t>
            </w:r>
          </w:p>
        </w:tc>
        <w:tc>
          <w:tcPr>
            <w:tcW w:w="1843" w:type="dxa"/>
            <w:tcBorders>
              <w:top w:val="single" w:sz="2" w:space="0" w:color="000000" w:themeColor="text1"/>
            </w:tcBorders>
            <w:shd w:val="clear" w:color="auto" w:fill="auto"/>
            <w:vAlign w:val="center"/>
            <w:hideMark/>
          </w:tcPr>
          <w:p w14:paraId="4198F40E" w14:textId="77777777" w:rsidR="002C2FA4" w:rsidRPr="00941B94" w:rsidRDefault="002C2FA4" w:rsidP="00FB235B">
            <w:pPr>
              <w:pStyle w:val="NormalWeb"/>
              <w:jc w:val="center"/>
              <w:rPr>
                <w:sz w:val="18"/>
                <w:szCs w:val="18"/>
              </w:rPr>
            </w:pPr>
            <w:r w:rsidRPr="00941B94">
              <w:rPr>
                <w:sz w:val="18"/>
                <w:szCs w:val="18"/>
              </w:rPr>
              <w:t>129</w:t>
            </w:r>
          </w:p>
        </w:tc>
        <w:tc>
          <w:tcPr>
            <w:tcW w:w="567" w:type="dxa"/>
            <w:tcBorders>
              <w:top w:val="single" w:sz="2" w:space="0" w:color="000000" w:themeColor="text1"/>
            </w:tcBorders>
            <w:shd w:val="clear" w:color="auto" w:fill="auto"/>
            <w:vAlign w:val="center"/>
            <w:hideMark/>
          </w:tcPr>
          <w:p w14:paraId="23D787DE" w14:textId="77777777" w:rsidR="002C2FA4" w:rsidRPr="00941B94" w:rsidRDefault="002C2FA4" w:rsidP="00FB235B">
            <w:pPr>
              <w:jc w:val="center"/>
              <w:rPr>
                <w:sz w:val="18"/>
                <w:szCs w:val="18"/>
              </w:rPr>
            </w:pPr>
          </w:p>
        </w:tc>
        <w:tc>
          <w:tcPr>
            <w:tcW w:w="1276" w:type="dxa"/>
            <w:tcBorders>
              <w:top w:val="single" w:sz="2" w:space="0" w:color="000000" w:themeColor="text1"/>
            </w:tcBorders>
            <w:shd w:val="clear" w:color="auto" w:fill="auto"/>
            <w:vAlign w:val="center"/>
            <w:hideMark/>
          </w:tcPr>
          <w:p w14:paraId="1E840DC4" w14:textId="77777777" w:rsidR="002C2FA4" w:rsidRPr="00941B94" w:rsidRDefault="002C2FA4" w:rsidP="00FB235B">
            <w:pPr>
              <w:jc w:val="center"/>
              <w:rPr>
                <w:rFonts w:eastAsia="Times New Roman"/>
                <w:sz w:val="18"/>
                <w:szCs w:val="18"/>
              </w:rPr>
            </w:pPr>
          </w:p>
        </w:tc>
        <w:tc>
          <w:tcPr>
            <w:tcW w:w="1830" w:type="dxa"/>
            <w:tcBorders>
              <w:top w:val="single" w:sz="2" w:space="0" w:color="000000" w:themeColor="text1"/>
            </w:tcBorders>
            <w:shd w:val="clear" w:color="auto" w:fill="auto"/>
            <w:vAlign w:val="center"/>
            <w:hideMark/>
          </w:tcPr>
          <w:p w14:paraId="4B10E1EF" w14:textId="77777777" w:rsidR="002C2FA4" w:rsidRPr="00941B94" w:rsidRDefault="002C2FA4" w:rsidP="00FB235B">
            <w:pPr>
              <w:pStyle w:val="NormalWeb"/>
              <w:jc w:val="center"/>
              <w:rPr>
                <w:sz w:val="18"/>
                <w:szCs w:val="18"/>
              </w:rPr>
            </w:pPr>
            <w:r w:rsidRPr="00941B94">
              <w:rPr>
                <w:sz w:val="18"/>
                <w:szCs w:val="18"/>
              </w:rPr>
              <w:t>204</w:t>
            </w:r>
          </w:p>
        </w:tc>
        <w:tc>
          <w:tcPr>
            <w:tcW w:w="438" w:type="dxa"/>
            <w:tcBorders>
              <w:top w:val="single" w:sz="2" w:space="0" w:color="000000" w:themeColor="text1"/>
            </w:tcBorders>
            <w:shd w:val="clear" w:color="auto" w:fill="auto"/>
            <w:vAlign w:val="center"/>
            <w:hideMark/>
          </w:tcPr>
          <w:p w14:paraId="61B85D79" w14:textId="77777777" w:rsidR="002C2FA4" w:rsidRPr="00941B94" w:rsidRDefault="002C2FA4" w:rsidP="00FB235B">
            <w:pPr>
              <w:pStyle w:val="NormalWeb"/>
              <w:jc w:val="center"/>
              <w:rPr>
                <w:sz w:val="18"/>
                <w:szCs w:val="18"/>
              </w:rPr>
            </w:pPr>
            <w:r w:rsidRPr="00941B94">
              <w:rPr>
                <w:sz w:val="18"/>
                <w:szCs w:val="18"/>
              </w:rPr>
              <w:t>0.5</w:t>
            </w:r>
          </w:p>
        </w:tc>
        <w:tc>
          <w:tcPr>
            <w:tcW w:w="1417" w:type="dxa"/>
            <w:tcBorders>
              <w:top w:val="single" w:sz="2" w:space="0" w:color="000000" w:themeColor="text1"/>
            </w:tcBorders>
            <w:shd w:val="clear" w:color="auto" w:fill="auto"/>
            <w:vAlign w:val="center"/>
            <w:hideMark/>
          </w:tcPr>
          <w:p w14:paraId="78E6C804" w14:textId="77777777" w:rsidR="002C2FA4" w:rsidRPr="00941B94" w:rsidRDefault="002C2FA4" w:rsidP="00FB235B">
            <w:pPr>
              <w:jc w:val="center"/>
              <w:rPr>
                <w:sz w:val="18"/>
                <w:szCs w:val="18"/>
              </w:rPr>
            </w:pPr>
          </w:p>
        </w:tc>
        <w:tc>
          <w:tcPr>
            <w:tcW w:w="1234" w:type="dxa"/>
            <w:tcBorders>
              <w:top w:val="single" w:sz="2" w:space="0" w:color="000000" w:themeColor="text1"/>
            </w:tcBorders>
            <w:shd w:val="clear" w:color="auto" w:fill="auto"/>
            <w:vAlign w:val="center"/>
            <w:hideMark/>
          </w:tcPr>
          <w:p w14:paraId="48943238" w14:textId="77777777" w:rsidR="002C2FA4" w:rsidRPr="00941B94" w:rsidRDefault="002C2FA4" w:rsidP="00FB235B">
            <w:pPr>
              <w:jc w:val="center"/>
              <w:rPr>
                <w:rFonts w:eastAsia="Times New Roman"/>
                <w:sz w:val="18"/>
                <w:szCs w:val="18"/>
              </w:rPr>
            </w:pPr>
          </w:p>
        </w:tc>
      </w:tr>
      <w:tr w:rsidR="0093295E" w:rsidRPr="00941B94" w14:paraId="00426F6B" w14:textId="77777777" w:rsidTr="00FB235B">
        <w:tblPrEx>
          <w:tblCellMar>
            <w:top w:w="57" w:type="dxa"/>
            <w:left w:w="57" w:type="dxa"/>
            <w:bottom w:w="57" w:type="dxa"/>
            <w:right w:w="57" w:type="dxa"/>
          </w:tblCellMar>
        </w:tblPrEx>
        <w:tc>
          <w:tcPr>
            <w:tcW w:w="6379" w:type="dxa"/>
            <w:shd w:val="clear" w:color="auto" w:fill="E3B77B"/>
            <w:vAlign w:val="center"/>
            <w:hideMark/>
          </w:tcPr>
          <w:p w14:paraId="4E66CC2C" w14:textId="77777777" w:rsidR="002C2FA4" w:rsidRPr="00941B94" w:rsidRDefault="002C2FA4" w:rsidP="00FB235B">
            <w:pPr>
              <w:pStyle w:val="NormalWeb"/>
              <w:jc w:val="center"/>
              <w:rPr>
                <w:b/>
                <w:bCs/>
                <w:sz w:val="18"/>
                <w:szCs w:val="18"/>
              </w:rPr>
            </w:pPr>
            <w:r w:rsidRPr="00941B94">
              <w:rPr>
                <w:b/>
                <w:bCs/>
                <w:sz w:val="18"/>
                <w:szCs w:val="18"/>
              </w:rPr>
              <w:t>Total reported</w:t>
            </w:r>
          </w:p>
        </w:tc>
        <w:tc>
          <w:tcPr>
            <w:tcW w:w="1843" w:type="dxa"/>
            <w:shd w:val="clear" w:color="auto" w:fill="E3B77B"/>
            <w:vAlign w:val="center"/>
            <w:hideMark/>
          </w:tcPr>
          <w:p w14:paraId="58B3A400" w14:textId="77777777" w:rsidR="002C2FA4" w:rsidRPr="00941B94" w:rsidRDefault="002C2FA4" w:rsidP="00FB235B">
            <w:pPr>
              <w:pStyle w:val="NormalWeb"/>
              <w:jc w:val="center"/>
              <w:rPr>
                <w:b/>
                <w:bCs/>
                <w:sz w:val="18"/>
                <w:szCs w:val="18"/>
              </w:rPr>
            </w:pPr>
            <w:r w:rsidRPr="00941B94">
              <w:rPr>
                <w:b/>
                <w:bCs/>
                <w:sz w:val="18"/>
                <w:szCs w:val="18"/>
                <w:lang w:val="en-US"/>
              </w:rPr>
              <w:t xml:space="preserve">31,518 </w:t>
            </w:r>
            <w:r w:rsidRPr="00941B94">
              <w:rPr>
                <w:b/>
                <w:bCs/>
                <w:sz w:val="18"/>
                <w:szCs w:val="18"/>
              </w:rPr>
              <w:t>(missing 2,429)</w:t>
            </w:r>
          </w:p>
        </w:tc>
        <w:tc>
          <w:tcPr>
            <w:tcW w:w="567" w:type="dxa"/>
            <w:shd w:val="clear" w:color="auto" w:fill="E3B77B"/>
            <w:vAlign w:val="center"/>
            <w:hideMark/>
          </w:tcPr>
          <w:p w14:paraId="7EA7830A" w14:textId="77777777" w:rsidR="002C2FA4" w:rsidRPr="00941B94" w:rsidRDefault="002C2FA4" w:rsidP="00FB235B">
            <w:pPr>
              <w:jc w:val="center"/>
              <w:rPr>
                <w:b/>
                <w:bCs/>
                <w:sz w:val="18"/>
                <w:szCs w:val="18"/>
              </w:rPr>
            </w:pPr>
          </w:p>
        </w:tc>
        <w:tc>
          <w:tcPr>
            <w:tcW w:w="1276" w:type="dxa"/>
            <w:shd w:val="clear" w:color="auto" w:fill="E3B77B"/>
            <w:vAlign w:val="center"/>
            <w:hideMark/>
          </w:tcPr>
          <w:p w14:paraId="7B5B1E2D" w14:textId="77777777" w:rsidR="002C2FA4" w:rsidRPr="00941B94" w:rsidRDefault="002C2FA4" w:rsidP="00FB235B">
            <w:pPr>
              <w:pStyle w:val="NormalWeb"/>
              <w:jc w:val="center"/>
              <w:rPr>
                <w:b/>
                <w:bCs/>
                <w:sz w:val="18"/>
                <w:szCs w:val="18"/>
              </w:rPr>
            </w:pPr>
            <w:r w:rsidRPr="00941B94">
              <w:rPr>
                <w:b/>
                <w:bCs/>
                <w:sz w:val="18"/>
                <w:szCs w:val="18"/>
              </w:rPr>
              <w:t>134.7</w:t>
            </w:r>
          </w:p>
        </w:tc>
        <w:tc>
          <w:tcPr>
            <w:tcW w:w="1830" w:type="dxa"/>
            <w:shd w:val="clear" w:color="auto" w:fill="E3B77B"/>
            <w:vAlign w:val="center"/>
            <w:hideMark/>
          </w:tcPr>
          <w:p w14:paraId="71A194D0" w14:textId="77777777" w:rsidR="002C2FA4" w:rsidRPr="00941B94" w:rsidRDefault="002C2FA4" w:rsidP="00FB235B">
            <w:pPr>
              <w:pStyle w:val="NormalWeb"/>
              <w:jc w:val="center"/>
              <w:rPr>
                <w:b/>
                <w:bCs/>
                <w:sz w:val="18"/>
                <w:szCs w:val="18"/>
              </w:rPr>
            </w:pPr>
            <w:r w:rsidRPr="00941B94">
              <w:rPr>
                <w:b/>
                <w:bCs/>
                <w:sz w:val="18"/>
                <w:szCs w:val="18"/>
              </w:rPr>
              <w:t>43,294 (missing 2,238)</w:t>
            </w:r>
          </w:p>
        </w:tc>
        <w:tc>
          <w:tcPr>
            <w:tcW w:w="438" w:type="dxa"/>
            <w:shd w:val="clear" w:color="auto" w:fill="E3B77B"/>
            <w:vAlign w:val="center"/>
            <w:hideMark/>
          </w:tcPr>
          <w:p w14:paraId="5ED6E220" w14:textId="77777777" w:rsidR="002C2FA4" w:rsidRPr="00941B94" w:rsidRDefault="002C2FA4" w:rsidP="00FB235B">
            <w:pPr>
              <w:jc w:val="center"/>
              <w:rPr>
                <w:b/>
                <w:bCs/>
                <w:sz w:val="18"/>
                <w:szCs w:val="18"/>
              </w:rPr>
            </w:pPr>
          </w:p>
        </w:tc>
        <w:tc>
          <w:tcPr>
            <w:tcW w:w="1417" w:type="dxa"/>
            <w:shd w:val="clear" w:color="auto" w:fill="E3B77B"/>
            <w:vAlign w:val="center"/>
            <w:hideMark/>
          </w:tcPr>
          <w:p w14:paraId="74ADDB7C" w14:textId="77777777" w:rsidR="002C2FA4" w:rsidRPr="00941B94" w:rsidRDefault="002C2FA4" w:rsidP="00FB235B">
            <w:pPr>
              <w:pStyle w:val="NormalWeb"/>
              <w:jc w:val="center"/>
              <w:rPr>
                <w:b/>
                <w:bCs/>
                <w:sz w:val="18"/>
                <w:szCs w:val="18"/>
              </w:rPr>
            </w:pPr>
            <w:r w:rsidRPr="00941B94">
              <w:rPr>
                <w:b/>
                <w:bCs/>
                <w:sz w:val="18"/>
                <w:szCs w:val="18"/>
              </w:rPr>
              <w:t>185.0</w:t>
            </w:r>
          </w:p>
        </w:tc>
        <w:tc>
          <w:tcPr>
            <w:tcW w:w="1234" w:type="dxa"/>
            <w:shd w:val="clear" w:color="auto" w:fill="E3B77B"/>
            <w:vAlign w:val="center"/>
            <w:hideMark/>
          </w:tcPr>
          <w:p w14:paraId="4CCA1989" w14:textId="77777777" w:rsidR="002C2FA4" w:rsidRPr="00941B94" w:rsidRDefault="002C2FA4" w:rsidP="00FB235B">
            <w:pPr>
              <w:jc w:val="center"/>
              <w:rPr>
                <w:b/>
                <w:bCs/>
                <w:sz w:val="18"/>
                <w:szCs w:val="18"/>
              </w:rPr>
            </w:pPr>
          </w:p>
        </w:tc>
      </w:tr>
    </w:tbl>
    <w:p w14:paraId="0FB91CC3" w14:textId="77777777" w:rsidR="002C2FA4" w:rsidRDefault="002C2FA4" w:rsidP="002C2FA4">
      <w:pPr>
        <w:pStyle w:val="CDIfootnotes"/>
        <w:rPr>
          <w:sz w:val="24"/>
          <w:szCs w:val="24"/>
          <w:lang w:val="en-GB"/>
        </w:rPr>
      </w:pPr>
      <w:r>
        <w:rPr>
          <w:lang w:val="en-GB"/>
        </w:rPr>
        <w:lastRenderedPageBreak/>
        <w:t>a</w:t>
      </w:r>
      <w:r>
        <w:rPr>
          <w:lang w:val="en-GB"/>
        </w:rPr>
        <w:tab/>
        <w:t>Missing data points result from participants who joined prior to collecting a certain variable and who have not updated their records since.</w:t>
      </w:r>
    </w:p>
    <w:p w14:paraId="05C7CE4A" w14:textId="77777777" w:rsidR="00A01841" w:rsidRPr="005D10EE" w:rsidRDefault="00A01841" w:rsidP="00A01841">
      <w:pPr>
        <w:pStyle w:val="CDIFigures"/>
      </w:pPr>
      <w:r w:rsidRPr="005D10EE">
        <w:rPr>
          <w:rStyle w:val="Strong"/>
          <w:b/>
          <w:bCs w:val="0"/>
        </w:rPr>
        <w:t>Table A.3: Incidence of participants with influenza-like illness symptoms who completed a survey either in the national peak influenza-like illness week, or completed at least one survey in the national peak 4 weeks of influenza-like illness, Australia, 2016 to 2018</w:t>
      </w:r>
      <w:r w:rsidRPr="005D10EE">
        <w:t xml:space="preserve"> </w:t>
      </w:r>
    </w:p>
    <w:tbl>
      <w:tblPr>
        <w:tblStyle w:val="CDI-StandardTable"/>
        <w:tblW w:w="0" w:type="auto"/>
        <w:tblCellMar>
          <w:top w:w="170" w:type="dxa"/>
          <w:bottom w:w="170" w:type="dxa"/>
        </w:tblCellMar>
        <w:tblLook w:val="04A0" w:firstRow="1" w:lastRow="0" w:firstColumn="1" w:lastColumn="0" w:noHBand="0" w:noVBand="1"/>
        <w:tblDescription w:val="Appendix Table A.3 shows the percentage of participants with ILI symptoms who completed a survey either in the national peak ILI week, or completed at least one survey in the national peak four weeks of ILI.&#10;"/>
      </w:tblPr>
      <w:tblGrid>
        <w:gridCol w:w="2072"/>
        <w:gridCol w:w="1057"/>
        <w:gridCol w:w="1057"/>
        <w:gridCol w:w="1058"/>
        <w:gridCol w:w="1057"/>
        <w:gridCol w:w="1057"/>
        <w:gridCol w:w="722"/>
        <w:gridCol w:w="1393"/>
        <w:gridCol w:w="1057"/>
        <w:gridCol w:w="1058"/>
        <w:gridCol w:w="1057"/>
        <w:gridCol w:w="1057"/>
        <w:gridCol w:w="1238"/>
      </w:tblGrid>
      <w:tr w:rsidR="007F3162" w:rsidRPr="00941B94" w14:paraId="4D22DB63" w14:textId="77777777" w:rsidTr="00A4727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E0C198"/>
              <w:right w:val="single" w:sz="2" w:space="0" w:color="E0C198"/>
            </w:tcBorders>
            <w:hideMark/>
          </w:tcPr>
          <w:p w14:paraId="5D41A587" w14:textId="77777777" w:rsidR="00A01841" w:rsidRPr="00941B94" w:rsidRDefault="00A01841" w:rsidP="002B0D30">
            <w:pPr>
              <w:pStyle w:val="NormalWeb"/>
              <w:rPr>
                <w:color w:val="FFFFFF" w:themeColor="background1"/>
                <w:sz w:val="18"/>
                <w:szCs w:val="18"/>
              </w:rPr>
            </w:pPr>
            <w:r w:rsidRPr="00941B94">
              <w:rPr>
                <w:color w:val="FFFFFF" w:themeColor="background1"/>
                <w:sz w:val="18"/>
                <w:szCs w:val="18"/>
              </w:rPr>
              <w:t>ILI symptoms</w:t>
            </w:r>
          </w:p>
        </w:tc>
        <w:tc>
          <w:tcPr>
            <w:tcW w:w="6008" w:type="dxa"/>
            <w:gridSpan w:val="6"/>
            <w:tcBorders>
              <w:left w:val="single" w:sz="2" w:space="0" w:color="E0C198"/>
              <w:bottom w:val="single" w:sz="2" w:space="0" w:color="E0C198"/>
              <w:right w:val="single" w:sz="2" w:space="0" w:color="E0C198"/>
            </w:tcBorders>
            <w:hideMark/>
          </w:tcPr>
          <w:p w14:paraId="3A78122C"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Participants who completed a survey in the peak week of ILI nationally</w:t>
            </w:r>
          </w:p>
        </w:tc>
        <w:tc>
          <w:tcPr>
            <w:tcW w:w="6860" w:type="dxa"/>
            <w:gridSpan w:val="6"/>
            <w:tcBorders>
              <w:left w:val="single" w:sz="2" w:space="0" w:color="E0C198"/>
              <w:bottom w:val="single" w:sz="2" w:space="0" w:color="E0C198"/>
            </w:tcBorders>
            <w:hideMark/>
          </w:tcPr>
          <w:p w14:paraId="2B5DEB91"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Participants who completed at least one survey during the peak 4 weeks of ILI nationally</w:t>
            </w:r>
          </w:p>
        </w:tc>
      </w:tr>
      <w:tr w:rsidR="00A01841" w:rsidRPr="00941B94" w14:paraId="6E883FB0" w14:textId="77777777" w:rsidTr="00A4727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E0C198"/>
              <w:bottom w:val="single" w:sz="2" w:space="0" w:color="E0C198"/>
              <w:right w:val="single" w:sz="2" w:space="0" w:color="E0C198"/>
            </w:tcBorders>
            <w:hideMark/>
          </w:tcPr>
          <w:p w14:paraId="4D474A44" w14:textId="77777777" w:rsidR="00A01841" w:rsidRPr="00941B94" w:rsidRDefault="00A01841" w:rsidP="002B0D30">
            <w:pPr>
              <w:rPr>
                <w:color w:val="FFFFFF" w:themeColor="background1"/>
                <w:sz w:val="18"/>
                <w:szCs w:val="18"/>
              </w:rPr>
            </w:pPr>
          </w:p>
        </w:tc>
        <w:tc>
          <w:tcPr>
            <w:tcW w:w="2114" w:type="dxa"/>
            <w:gridSpan w:val="2"/>
            <w:tcBorders>
              <w:top w:val="single" w:sz="2" w:space="0" w:color="E0C198"/>
              <w:left w:val="single" w:sz="2" w:space="0" w:color="E0C198"/>
              <w:bottom w:val="single" w:sz="2" w:space="0" w:color="E0C198"/>
              <w:right w:val="single" w:sz="2" w:space="0" w:color="E0C198"/>
            </w:tcBorders>
            <w:hideMark/>
          </w:tcPr>
          <w:p w14:paraId="42F902B9"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2016</w:t>
            </w:r>
            <w:r w:rsidRPr="00941B94">
              <w:rPr>
                <w:color w:val="FFFFFF" w:themeColor="background1"/>
                <w:sz w:val="18"/>
                <w:szCs w:val="18"/>
                <w:vertAlign w:val="superscript"/>
              </w:rPr>
              <w:t>a</w:t>
            </w:r>
          </w:p>
        </w:tc>
        <w:tc>
          <w:tcPr>
            <w:tcW w:w="2115" w:type="dxa"/>
            <w:gridSpan w:val="2"/>
            <w:tcBorders>
              <w:top w:val="single" w:sz="2" w:space="0" w:color="E0C198"/>
              <w:left w:val="single" w:sz="2" w:space="0" w:color="E0C198"/>
              <w:bottom w:val="single" w:sz="2" w:space="0" w:color="E0C198"/>
              <w:right w:val="single" w:sz="2" w:space="0" w:color="E0C198"/>
            </w:tcBorders>
            <w:hideMark/>
          </w:tcPr>
          <w:p w14:paraId="65EA3BE3"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2017</w:t>
            </w:r>
            <w:r w:rsidRPr="00941B94">
              <w:rPr>
                <w:color w:val="FFFFFF" w:themeColor="background1"/>
                <w:sz w:val="18"/>
                <w:szCs w:val="18"/>
                <w:vertAlign w:val="superscript"/>
              </w:rPr>
              <w:t>b</w:t>
            </w:r>
          </w:p>
        </w:tc>
        <w:tc>
          <w:tcPr>
            <w:tcW w:w="1779" w:type="dxa"/>
            <w:gridSpan w:val="2"/>
            <w:tcBorders>
              <w:top w:val="single" w:sz="2" w:space="0" w:color="E0C198"/>
              <w:left w:val="single" w:sz="2" w:space="0" w:color="E0C198"/>
              <w:bottom w:val="single" w:sz="2" w:space="0" w:color="E0C198"/>
              <w:right w:val="single" w:sz="2" w:space="0" w:color="E0C198"/>
            </w:tcBorders>
            <w:hideMark/>
          </w:tcPr>
          <w:p w14:paraId="660854A5"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2018</w:t>
            </w:r>
            <w:r w:rsidRPr="00941B94">
              <w:rPr>
                <w:color w:val="FFFFFF" w:themeColor="background1"/>
                <w:sz w:val="18"/>
                <w:szCs w:val="18"/>
                <w:vertAlign w:val="superscript"/>
              </w:rPr>
              <w:t>c</w:t>
            </w:r>
          </w:p>
        </w:tc>
        <w:tc>
          <w:tcPr>
            <w:tcW w:w="2450" w:type="dxa"/>
            <w:gridSpan w:val="2"/>
            <w:tcBorders>
              <w:top w:val="single" w:sz="2" w:space="0" w:color="E0C198"/>
              <w:left w:val="single" w:sz="2" w:space="0" w:color="E0C198"/>
              <w:bottom w:val="single" w:sz="2" w:space="0" w:color="E0C198"/>
              <w:right w:val="single" w:sz="2" w:space="0" w:color="E0C198"/>
            </w:tcBorders>
            <w:hideMark/>
          </w:tcPr>
          <w:p w14:paraId="68A42E55"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2016</w:t>
            </w:r>
            <w:r w:rsidRPr="00941B94">
              <w:rPr>
                <w:color w:val="FFFFFF" w:themeColor="background1"/>
                <w:sz w:val="18"/>
                <w:szCs w:val="18"/>
                <w:vertAlign w:val="superscript"/>
              </w:rPr>
              <w:t>d</w:t>
            </w:r>
          </w:p>
        </w:tc>
        <w:tc>
          <w:tcPr>
            <w:tcW w:w="2115" w:type="dxa"/>
            <w:gridSpan w:val="2"/>
            <w:tcBorders>
              <w:top w:val="single" w:sz="2" w:space="0" w:color="E0C198"/>
              <w:left w:val="single" w:sz="2" w:space="0" w:color="E0C198"/>
              <w:bottom w:val="single" w:sz="2" w:space="0" w:color="E0C198"/>
              <w:right w:val="single" w:sz="2" w:space="0" w:color="E0C198"/>
            </w:tcBorders>
            <w:hideMark/>
          </w:tcPr>
          <w:p w14:paraId="7D925E66"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2017</w:t>
            </w:r>
            <w:r w:rsidRPr="00941B94">
              <w:rPr>
                <w:color w:val="FFFFFF" w:themeColor="background1"/>
                <w:sz w:val="18"/>
                <w:szCs w:val="18"/>
                <w:vertAlign w:val="superscript"/>
              </w:rPr>
              <w:t>e</w:t>
            </w:r>
          </w:p>
        </w:tc>
        <w:tc>
          <w:tcPr>
            <w:tcW w:w="2295" w:type="dxa"/>
            <w:gridSpan w:val="2"/>
            <w:tcBorders>
              <w:top w:val="single" w:sz="2" w:space="0" w:color="E0C198"/>
              <w:left w:val="single" w:sz="2" w:space="0" w:color="E0C198"/>
              <w:bottom w:val="single" w:sz="2" w:space="0" w:color="E0C198"/>
            </w:tcBorders>
            <w:hideMark/>
          </w:tcPr>
          <w:p w14:paraId="733C61FE"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2018</w:t>
            </w:r>
            <w:r w:rsidRPr="00941B94">
              <w:rPr>
                <w:color w:val="FFFFFF" w:themeColor="background1"/>
                <w:sz w:val="18"/>
                <w:szCs w:val="18"/>
                <w:vertAlign w:val="superscript"/>
              </w:rPr>
              <w:t>f</w:t>
            </w:r>
          </w:p>
        </w:tc>
      </w:tr>
      <w:tr w:rsidR="007F3162" w:rsidRPr="00941B94" w14:paraId="627851B8" w14:textId="77777777" w:rsidTr="00A4727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E0C198"/>
              <w:right w:val="single" w:sz="2" w:space="0" w:color="E0C198"/>
            </w:tcBorders>
            <w:hideMark/>
          </w:tcPr>
          <w:p w14:paraId="7C002ADC" w14:textId="77777777" w:rsidR="00A01841" w:rsidRPr="00941B94" w:rsidRDefault="00A01841" w:rsidP="002B0D30">
            <w:pPr>
              <w:rPr>
                <w:color w:val="FFFFFF" w:themeColor="background1"/>
                <w:sz w:val="18"/>
                <w:szCs w:val="18"/>
              </w:rPr>
            </w:pPr>
          </w:p>
        </w:tc>
        <w:tc>
          <w:tcPr>
            <w:tcW w:w="1057" w:type="dxa"/>
            <w:tcBorders>
              <w:top w:val="single" w:sz="2" w:space="0" w:color="E0C198"/>
              <w:left w:val="single" w:sz="2" w:space="0" w:color="E0C198"/>
              <w:right w:val="single" w:sz="2" w:space="0" w:color="E0C198"/>
            </w:tcBorders>
            <w:hideMark/>
          </w:tcPr>
          <w:p w14:paraId="2D7937BA"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n</w:t>
            </w:r>
          </w:p>
        </w:tc>
        <w:tc>
          <w:tcPr>
            <w:tcW w:w="1057" w:type="dxa"/>
            <w:tcBorders>
              <w:top w:val="single" w:sz="2" w:space="0" w:color="E0C198"/>
              <w:left w:val="single" w:sz="2" w:space="0" w:color="E0C198"/>
              <w:right w:val="single" w:sz="2" w:space="0" w:color="E0C198"/>
            </w:tcBorders>
            <w:hideMark/>
          </w:tcPr>
          <w:p w14:paraId="1E5BB383"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w:t>
            </w:r>
          </w:p>
        </w:tc>
        <w:tc>
          <w:tcPr>
            <w:tcW w:w="1058" w:type="dxa"/>
            <w:tcBorders>
              <w:top w:val="single" w:sz="2" w:space="0" w:color="E0C198"/>
              <w:left w:val="single" w:sz="2" w:space="0" w:color="E0C198"/>
              <w:right w:val="single" w:sz="2" w:space="0" w:color="E0C198"/>
            </w:tcBorders>
            <w:hideMark/>
          </w:tcPr>
          <w:p w14:paraId="3F02735E"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n</w:t>
            </w:r>
          </w:p>
        </w:tc>
        <w:tc>
          <w:tcPr>
            <w:tcW w:w="1057" w:type="dxa"/>
            <w:tcBorders>
              <w:top w:val="single" w:sz="2" w:space="0" w:color="E0C198"/>
              <w:left w:val="single" w:sz="2" w:space="0" w:color="E0C198"/>
              <w:right w:val="single" w:sz="2" w:space="0" w:color="E0C198"/>
            </w:tcBorders>
            <w:hideMark/>
          </w:tcPr>
          <w:p w14:paraId="5C10C1A0"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w:t>
            </w:r>
          </w:p>
        </w:tc>
        <w:tc>
          <w:tcPr>
            <w:tcW w:w="1057" w:type="dxa"/>
            <w:tcBorders>
              <w:top w:val="single" w:sz="2" w:space="0" w:color="E0C198"/>
              <w:left w:val="single" w:sz="2" w:space="0" w:color="E0C198"/>
              <w:right w:val="single" w:sz="2" w:space="0" w:color="E0C198"/>
            </w:tcBorders>
            <w:hideMark/>
          </w:tcPr>
          <w:p w14:paraId="09E10739"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n</w:t>
            </w:r>
          </w:p>
        </w:tc>
        <w:tc>
          <w:tcPr>
            <w:tcW w:w="722" w:type="dxa"/>
            <w:tcBorders>
              <w:top w:val="single" w:sz="2" w:space="0" w:color="E0C198"/>
              <w:left w:val="single" w:sz="2" w:space="0" w:color="E0C198"/>
              <w:right w:val="single" w:sz="2" w:space="0" w:color="E0C198"/>
            </w:tcBorders>
            <w:hideMark/>
          </w:tcPr>
          <w:p w14:paraId="18DEBEFF"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w:t>
            </w:r>
          </w:p>
        </w:tc>
        <w:tc>
          <w:tcPr>
            <w:tcW w:w="1393" w:type="dxa"/>
            <w:tcBorders>
              <w:top w:val="single" w:sz="2" w:space="0" w:color="E0C198"/>
              <w:left w:val="single" w:sz="2" w:space="0" w:color="E0C198"/>
              <w:right w:val="single" w:sz="2" w:space="0" w:color="E0C198"/>
            </w:tcBorders>
            <w:hideMark/>
          </w:tcPr>
          <w:p w14:paraId="3451F356"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n</w:t>
            </w:r>
          </w:p>
        </w:tc>
        <w:tc>
          <w:tcPr>
            <w:tcW w:w="1057" w:type="dxa"/>
            <w:tcBorders>
              <w:top w:val="single" w:sz="2" w:space="0" w:color="E0C198"/>
              <w:left w:val="single" w:sz="2" w:space="0" w:color="E0C198"/>
              <w:right w:val="single" w:sz="2" w:space="0" w:color="E0C198"/>
            </w:tcBorders>
            <w:hideMark/>
          </w:tcPr>
          <w:p w14:paraId="46F0F4A5"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w:t>
            </w:r>
          </w:p>
        </w:tc>
        <w:tc>
          <w:tcPr>
            <w:tcW w:w="1058" w:type="dxa"/>
            <w:tcBorders>
              <w:top w:val="single" w:sz="2" w:space="0" w:color="E0C198"/>
              <w:left w:val="single" w:sz="2" w:space="0" w:color="E0C198"/>
              <w:right w:val="single" w:sz="2" w:space="0" w:color="E0C198"/>
            </w:tcBorders>
            <w:hideMark/>
          </w:tcPr>
          <w:p w14:paraId="24E645F2"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n</w:t>
            </w:r>
          </w:p>
        </w:tc>
        <w:tc>
          <w:tcPr>
            <w:tcW w:w="1057" w:type="dxa"/>
            <w:tcBorders>
              <w:top w:val="single" w:sz="2" w:space="0" w:color="E0C198"/>
              <w:left w:val="single" w:sz="2" w:space="0" w:color="E0C198"/>
              <w:right w:val="single" w:sz="2" w:space="0" w:color="E0C198"/>
            </w:tcBorders>
            <w:hideMark/>
          </w:tcPr>
          <w:p w14:paraId="31160CE3"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w:t>
            </w:r>
          </w:p>
        </w:tc>
        <w:tc>
          <w:tcPr>
            <w:tcW w:w="1057" w:type="dxa"/>
            <w:tcBorders>
              <w:top w:val="single" w:sz="2" w:space="0" w:color="E0C198"/>
              <w:left w:val="single" w:sz="2" w:space="0" w:color="E0C198"/>
              <w:right w:val="single" w:sz="2" w:space="0" w:color="E0C198"/>
            </w:tcBorders>
            <w:hideMark/>
          </w:tcPr>
          <w:p w14:paraId="35F92E3E"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n</w:t>
            </w:r>
          </w:p>
        </w:tc>
        <w:tc>
          <w:tcPr>
            <w:tcW w:w="1238" w:type="dxa"/>
            <w:tcBorders>
              <w:top w:val="single" w:sz="2" w:space="0" w:color="E0C198"/>
              <w:left w:val="single" w:sz="2" w:space="0" w:color="E0C198"/>
            </w:tcBorders>
            <w:hideMark/>
          </w:tcPr>
          <w:p w14:paraId="336FC8D5" w14:textId="77777777" w:rsidR="00A01841" w:rsidRPr="00941B94" w:rsidRDefault="00A01841" w:rsidP="002B0D30">
            <w:pPr>
              <w:pStyle w:val="NormalWeb"/>
              <w:jc w:val="center"/>
              <w:rPr>
                <w:color w:val="FFFFFF" w:themeColor="background1"/>
                <w:sz w:val="18"/>
                <w:szCs w:val="18"/>
              </w:rPr>
            </w:pPr>
            <w:r w:rsidRPr="00941B94">
              <w:rPr>
                <w:color w:val="FFFFFF" w:themeColor="background1"/>
                <w:sz w:val="18"/>
                <w:szCs w:val="18"/>
              </w:rPr>
              <w:t>%</w:t>
            </w:r>
          </w:p>
        </w:tc>
      </w:tr>
      <w:tr w:rsidR="00A01841" w:rsidRPr="00941B94" w14:paraId="56723B4B" w14:textId="77777777" w:rsidTr="00A4727D">
        <w:tblPrEx>
          <w:tblCellMar>
            <w:left w:w="57" w:type="dxa"/>
            <w:right w:w="57" w:type="dxa"/>
          </w:tblCellMar>
        </w:tblPrEx>
        <w:tc>
          <w:tcPr>
            <w:tcW w:w="0" w:type="auto"/>
            <w:hideMark/>
          </w:tcPr>
          <w:p w14:paraId="3CE3DE7B" w14:textId="77777777" w:rsidR="00A01841" w:rsidRPr="00941B94" w:rsidRDefault="00A01841" w:rsidP="002B0D30">
            <w:pPr>
              <w:pStyle w:val="NormalWeb"/>
              <w:rPr>
                <w:sz w:val="18"/>
                <w:szCs w:val="18"/>
              </w:rPr>
            </w:pPr>
            <w:r w:rsidRPr="00941B94">
              <w:rPr>
                <w:sz w:val="18"/>
                <w:szCs w:val="18"/>
              </w:rPr>
              <w:t>Fever</w:t>
            </w:r>
          </w:p>
        </w:tc>
        <w:tc>
          <w:tcPr>
            <w:tcW w:w="1057" w:type="dxa"/>
            <w:hideMark/>
          </w:tcPr>
          <w:p w14:paraId="0CDAD7F9" w14:textId="77777777" w:rsidR="00A01841" w:rsidRPr="00941B94" w:rsidRDefault="00A01841" w:rsidP="002B0D30">
            <w:pPr>
              <w:pStyle w:val="NormalWeb"/>
              <w:jc w:val="center"/>
              <w:rPr>
                <w:sz w:val="18"/>
                <w:szCs w:val="18"/>
              </w:rPr>
            </w:pPr>
            <w:r w:rsidRPr="00941B94">
              <w:rPr>
                <w:sz w:val="18"/>
                <w:szCs w:val="18"/>
              </w:rPr>
              <w:t>889</w:t>
            </w:r>
          </w:p>
        </w:tc>
        <w:tc>
          <w:tcPr>
            <w:tcW w:w="1057" w:type="dxa"/>
            <w:hideMark/>
          </w:tcPr>
          <w:p w14:paraId="429C2347" w14:textId="77777777" w:rsidR="00A01841" w:rsidRPr="00941B94" w:rsidRDefault="00A01841" w:rsidP="002B0D30">
            <w:pPr>
              <w:pStyle w:val="NormalWeb"/>
              <w:jc w:val="center"/>
              <w:rPr>
                <w:sz w:val="18"/>
                <w:szCs w:val="18"/>
              </w:rPr>
            </w:pPr>
            <w:r w:rsidRPr="00941B94">
              <w:rPr>
                <w:sz w:val="18"/>
                <w:szCs w:val="18"/>
              </w:rPr>
              <w:t>3.4</w:t>
            </w:r>
          </w:p>
        </w:tc>
        <w:tc>
          <w:tcPr>
            <w:tcW w:w="1058" w:type="dxa"/>
            <w:hideMark/>
          </w:tcPr>
          <w:p w14:paraId="7B0240FE" w14:textId="77777777" w:rsidR="00A01841" w:rsidRPr="00941B94" w:rsidRDefault="00A01841" w:rsidP="002B0D30">
            <w:pPr>
              <w:pStyle w:val="NormalWeb"/>
              <w:jc w:val="center"/>
              <w:rPr>
                <w:sz w:val="18"/>
                <w:szCs w:val="18"/>
              </w:rPr>
            </w:pPr>
            <w:r w:rsidRPr="00941B94">
              <w:rPr>
                <w:sz w:val="18"/>
                <w:szCs w:val="18"/>
              </w:rPr>
              <w:t>1,222</w:t>
            </w:r>
          </w:p>
        </w:tc>
        <w:tc>
          <w:tcPr>
            <w:tcW w:w="1057" w:type="dxa"/>
            <w:hideMark/>
          </w:tcPr>
          <w:p w14:paraId="20844730" w14:textId="77777777" w:rsidR="00A01841" w:rsidRPr="00941B94" w:rsidRDefault="00A01841" w:rsidP="002B0D30">
            <w:pPr>
              <w:pStyle w:val="NormalWeb"/>
              <w:jc w:val="center"/>
              <w:rPr>
                <w:sz w:val="18"/>
                <w:szCs w:val="18"/>
              </w:rPr>
            </w:pPr>
            <w:r w:rsidRPr="00941B94">
              <w:rPr>
                <w:sz w:val="18"/>
                <w:szCs w:val="18"/>
              </w:rPr>
              <w:t>4.2</w:t>
            </w:r>
          </w:p>
        </w:tc>
        <w:tc>
          <w:tcPr>
            <w:tcW w:w="1057" w:type="dxa"/>
            <w:hideMark/>
          </w:tcPr>
          <w:p w14:paraId="0DABBA1B" w14:textId="77777777" w:rsidR="00A01841" w:rsidRPr="00941B94" w:rsidRDefault="00A01841" w:rsidP="002B0D30">
            <w:pPr>
              <w:pStyle w:val="NormalWeb"/>
              <w:jc w:val="center"/>
              <w:rPr>
                <w:sz w:val="18"/>
                <w:szCs w:val="18"/>
              </w:rPr>
            </w:pPr>
            <w:r w:rsidRPr="00941B94">
              <w:rPr>
                <w:sz w:val="18"/>
                <w:szCs w:val="18"/>
              </w:rPr>
              <w:t>987</w:t>
            </w:r>
          </w:p>
        </w:tc>
        <w:tc>
          <w:tcPr>
            <w:tcW w:w="722" w:type="dxa"/>
            <w:hideMark/>
          </w:tcPr>
          <w:p w14:paraId="100F6418" w14:textId="77777777" w:rsidR="00A01841" w:rsidRPr="00941B94" w:rsidRDefault="00A01841" w:rsidP="002B0D30">
            <w:pPr>
              <w:pStyle w:val="NormalWeb"/>
              <w:jc w:val="center"/>
              <w:rPr>
                <w:sz w:val="18"/>
                <w:szCs w:val="18"/>
              </w:rPr>
            </w:pPr>
            <w:r w:rsidRPr="00941B94">
              <w:rPr>
                <w:sz w:val="18"/>
                <w:szCs w:val="18"/>
              </w:rPr>
              <w:t>2.5</w:t>
            </w:r>
          </w:p>
        </w:tc>
        <w:tc>
          <w:tcPr>
            <w:tcW w:w="1393" w:type="dxa"/>
            <w:hideMark/>
          </w:tcPr>
          <w:p w14:paraId="397FAEBB" w14:textId="77777777" w:rsidR="00A01841" w:rsidRPr="00941B94" w:rsidRDefault="00A01841" w:rsidP="002B0D30">
            <w:pPr>
              <w:pStyle w:val="NormalWeb"/>
              <w:jc w:val="center"/>
              <w:rPr>
                <w:sz w:val="18"/>
                <w:szCs w:val="18"/>
              </w:rPr>
            </w:pPr>
            <w:r w:rsidRPr="00941B94">
              <w:rPr>
                <w:sz w:val="18"/>
                <w:szCs w:val="18"/>
              </w:rPr>
              <w:t>3,637</w:t>
            </w:r>
          </w:p>
        </w:tc>
        <w:tc>
          <w:tcPr>
            <w:tcW w:w="1057" w:type="dxa"/>
            <w:hideMark/>
          </w:tcPr>
          <w:p w14:paraId="725F16BE" w14:textId="77777777" w:rsidR="00A01841" w:rsidRPr="00941B94" w:rsidRDefault="00A01841" w:rsidP="002B0D30">
            <w:pPr>
              <w:pStyle w:val="NormalWeb"/>
              <w:jc w:val="center"/>
              <w:rPr>
                <w:sz w:val="18"/>
                <w:szCs w:val="18"/>
              </w:rPr>
            </w:pPr>
            <w:r w:rsidRPr="00941B94">
              <w:rPr>
                <w:sz w:val="18"/>
                <w:szCs w:val="18"/>
              </w:rPr>
              <w:t>13.1</w:t>
            </w:r>
          </w:p>
        </w:tc>
        <w:tc>
          <w:tcPr>
            <w:tcW w:w="1058" w:type="dxa"/>
            <w:hideMark/>
          </w:tcPr>
          <w:p w14:paraId="44F87CEC" w14:textId="77777777" w:rsidR="00A01841" w:rsidRPr="00941B94" w:rsidRDefault="00A01841" w:rsidP="002B0D30">
            <w:pPr>
              <w:pStyle w:val="NormalWeb"/>
              <w:jc w:val="center"/>
              <w:rPr>
                <w:sz w:val="18"/>
                <w:szCs w:val="18"/>
              </w:rPr>
            </w:pPr>
            <w:r w:rsidRPr="00941B94">
              <w:rPr>
                <w:sz w:val="18"/>
                <w:szCs w:val="18"/>
              </w:rPr>
              <w:t>4,954</w:t>
            </w:r>
          </w:p>
        </w:tc>
        <w:tc>
          <w:tcPr>
            <w:tcW w:w="1057" w:type="dxa"/>
            <w:hideMark/>
          </w:tcPr>
          <w:p w14:paraId="0BDD33FE" w14:textId="77777777" w:rsidR="00A01841" w:rsidRPr="00941B94" w:rsidRDefault="00A01841" w:rsidP="002B0D30">
            <w:pPr>
              <w:pStyle w:val="NormalWeb"/>
              <w:jc w:val="center"/>
              <w:rPr>
                <w:sz w:val="18"/>
                <w:szCs w:val="18"/>
              </w:rPr>
            </w:pPr>
            <w:r w:rsidRPr="00941B94">
              <w:rPr>
                <w:sz w:val="18"/>
                <w:szCs w:val="18"/>
              </w:rPr>
              <w:t>16.0</w:t>
            </w:r>
          </w:p>
        </w:tc>
        <w:tc>
          <w:tcPr>
            <w:tcW w:w="1057" w:type="dxa"/>
            <w:hideMark/>
          </w:tcPr>
          <w:p w14:paraId="40204AF9" w14:textId="77777777" w:rsidR="00A01841" w:rsidRPr="00941B94" w:rsidRDefault="00A01841" w:rsidP="002B0D30">
            <w:pPr>
              <w:pStyle w:val="NormalWeb"/>
              <w:jc w:val="center"/>
              <w:rPr>
                <w:sz w:val="18"/>
                <w:szCs w:val="18"/>
              </w:rPr>
            </w:pPr>
            <w:r w:rsidRPr="00941B94">
              <w:rPr>
                <w:sz w:val="18"/>
                <w:szCs w:val="18"/>
              </w:rPr>
              <w:t>3,676</w:t>
            </w:r>
          </w:p>
        </w:tc>
        <w:tc>
          <w:tcPr>
            <w:tcW w:w="1238" w:type="dxa"/>
            <w:hideMark/>
          </w:tcPr>
          <w:p w14:paraId="31E91909" w14:textId="77777777" w:rsidR="00A01841" w:rsidRPr="00941B94" w:rsidRDefault="00A01841" w:rsidP="002B0D30">
            <w:pPr>
              <w:pStyle w:val="NormalWeb"/>
              <w:jc w:val="center"/>
              <w:rPr>
                <w:sz w:val="18"/>
                <w:szCs w:val="18"/>
              </w:rPr>
            </w:pPr>
            <w:r w:rsidRPr="00941B94">
              <w:rPr>
                <w:sz w:val="18"/>
                <w:szCs w:val="18"/>
              </w:rPr>
              <w:t>9.0</w:t>
            </w:r>
          </w:p>
        </w:tc>
      </w:tr>
      <w:tr w:rsidR="00A01841" w:rsidRPr="00941B94" w14:paraId="51B681E7" w14:textId="77777777" w:rsidTr="00A4727D">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759A1F5" w14:textId="77777777" w:rsidR="00A01841" w:rsidRPr="00941B94" w:rsidRDefault="00A01841" w:rsidP="002B0D30">
            <w:pPr>
              <w:pStyle w:val="NormalWeb"/>
              <w:rPr>
                <w:sz w:val="18"/>
                <w:szCs w:val="18"/>
              </w:rPr>
            </w:pPr>
            <w:r w:rsidRPr="00941B94">
              <w:rPr>
                <w:sz w:val="18"/>
                <w:szCs w:val="18"/>
              </w:rPr>
              <w:t>Cough</w:t>
            </w:r>
          </w:p>
        </w:tc>
        <w:tc>
          <w:tcPr>
            <w:tcW w:w="1057" w:type="dxa"/>
            <w:hideMark/>
          </w:tcPr>
          <w:p w14:paraId="44A71B8E" w14:textId="77777777" w:rsidR="00A01841" w:rsidRPr="00941B94" w:rsidRDefault="00A01841" w:rsidP="002B0D30">
            <w:pPr>
              <w:pStyle w:val="NormalWeb"/>
              <w:jc w:val="center"/>
              <w:rPr>
                <w:sz w:val="18"/>
                <w:szCs w:val="18"/>
              </w:rPr>
            </w:pPr>
            <w:r w:rsidRPr="00941B94">
              <w:rPr>
                <w:sz w:val="18"/>
                <w:szCs w:val="18"/>
              </w:rPr>
              <w:t>1,674</w:t>
            </w:r>
          </w:p>
        </w:tc>
        <w:tc>
          <w:tcPr>
            <w:tcW w:w="1057" w:type="dxa"/>
            <w:hideMark/>
          </w:tcPr>
          <w:p w14:paraId="59D8F19F" w14:textId="77777777" w:rsidR="00A01841" w:rsidRPr="00941B94" w:rsidRDefault="00A01841" w:rsidP="002B0D30">
            <w:pPr>
              <w:pStyle w:val="NormalWeb"/>
              <w:jc w:val="center"/>
              <w:rPr>
                <w:sz w:val="18"/>
                <w:szCs w:val="18"/>
              </w:rPr>
            </w:pPr>
            <w:r w:rsidRPr="00941B94">
              <w:rPr>
                <w:sz w:val="18"/>
                <w:szCs w:val="18"/>
              </w:rPr>
              <w:t>6.4</w:t>
            </w:r>
          </w:p>
        </w:tc>
        <w:tc>
          <w:tcPr>
            <w:tcW w:w="1058" w:type="dxa"/>
            <w:hideMark/>
          </w:tcPr>
          <w:p w14:paraId="72BA5533" w14:textId="77777777" w:rsidR="00A01841" w:rsidRPr="00941B94" w:rsidRDefault="00A01841" w:rsidP="002B0D30">
            <w:pPr>
              <w:pStyle w:val="NormalWeb"/>
              <w:jc w:val="center"/>
              <w:rPr>
                <w:sz w:val="18"/>
                <w:szCs w:val="18"/>
              </w:rPr>
            </w:pPr>
            <w:r w:rsidRPr="00941B94">
              <w:rPr>
                <w:sz w:val="18"/>
                <w:szCs w:val="18"/>
              </w:rPr>
              <w:t>2,096</w:t>
            </w:r>
          </w:p>
        </w:tc>
        <w:tc>
          <w:tcPr>
            <w:tcW w:w="1057" w:type="dxa"/>
            <w:hideMark/>
          </w:tcPr>
          <w:p w14:paraId="716369B4" w14:textId="77777777" w:rsidR="00A01841" w:rsidRPr="00941B94" w:rsidRDefault="00A01841" w:rsidP="002B0D30">
            <w:pPr>
              <w:pStyle w:val="NormalWeb"/>
              <w:jc w:val="center"/>
              <w:rPr>
                <w:sz w:val="18"/>
                <w:szCs w:val="18"/>
              </w:rPr>
            </w:pPr>
            <w:r w:rsidRPr="00941B94">
              <w:rPr>
                <w:sz w:val="18"/>
                <w:szCs w:val="18"/>
              </w:rPr>
              <w:t>7.1</w:t>
            </w:r>
          </w:p>
        </w:tc>
        <w:tc>
          <w:tcPr>
            <w:tcW w:w="1057" w:type="dxa"/>
            <w:hideMark/>
          </w:tcPr>
          <w:p w14:paraId="0DDB190D" w14:textId="77777777" w:rsidR="00A01841" w:rsidRPr="00941B94" w:rsidRDefault="00A01841" w:rsidP="002B0D30">
            <w:pPr>
              <w:pStyle w:val="NormalWeb"/>
              <w:jc w:val="center"/>
              <w:rPr>
                <w:sz w:val="18"/>
                <w:szCs w:val="18"/>
              </w:rPr>
            </w:pPr>
            <w:r w:rsidRPr="00941B94">
              <w:rPr>
                <w:sz w:val="18"/>
                <w:szCs w:val="18"/>
              </w:rPr>
              <w:t>2,274</w:t>
            </w:r>
          </w:p>
        </w:tc>
        <w:tc>
          <w:tcPr>
            <w:tcW w:w="722" w:type="dxa"/>
            <w:hideMark/>
          </w:tcPr>
          <w:p w14:paraId="295CC88A" w14:textId="77777777" w:rsidR="00A01841" w:rsidRPr="00941B94" w:rsidRDefault="00A01841" w:rsidP="002B0D30">
            <w:pPr>
              <w:pStyle w:val="NormalWeb"/>
              <w:jc w:val="center"/>
              <w:rPr>
                <w:sz w:val="18"/>
                <w:szCs w:val="18"/>
              </w:rPr>
            </w:pPr>
            <w:r w:rsidRPr="00941B94">
              <w:rPr>
                <w:sz w:val="18"/>
                <w:szCs w:val="18"/>
              </w:rPr>
              <w:t>5.9</w:t>
            </w:r>
          </w:p>
        </w:tc>
        <w:tc>
          <w:tcPr>
            <w:tcW w:w="1393" w:type="dxa"/>
            <w:hideMark/>
          </w:tcPr>
          <w:p w14:paraId="67860E2D" w14:textId="77777777" w:rsidR="00A01841" w:rsidRPr="00941B94" w:rsidRDefault="00A01841" w:rsidP="002B0D30">
            <w:pPr>
              <w:pStyle w:val="NormalWeb"/>
              <w:jc w:val="center"/>
              <w:rPr>
                <w:sz w:val="18"/>
                <w:szCs w:val="18"/>
              </w:rPr>
            </w:pPr>
            <w:r w:rsidRPr="00941B94">
              <w:rPr>
                <w:sz w:val="18"/>
                <w:szCs w:val="18"/>
              </w:rPr>
              <w:t>8,267</w:t>
            </w:r>
          </w:p>
        </w:tc>
        <w:tc>
          <w:tcPr>
            <w:tcW w:w="1057" w:type="dxa"/>
            <w:hideMark/>
          </w:tcPr>
          <w:p w14:paraId="1CDACF75" w14:textId="77777777" w:rsidR="00A01841" w:rsidRPr="00941B94" w:rsidRDefault="00A01841" w:rsidP="002B0D30">
            <w:pPr>
              <w:pStyle w:val="NormalWeb"/>
              <w:jc w:val="center"/>
              <w:rPr>
                <w:sz w:val="18"/>
                <w:szCs w:val="18"/>
              </w:rPr>
            </w:pPr>
            <w:r w:rsidRPr="00941B94">
              <w:rPr>
                <w:sz w:val="18"/>
                <w:szCs w:val="18"/>
              </w:rPr>
              <w:t>29.8</w:t>
            </w:r>
          </w:p>
        </w:tc>
        <w:tc>
          <w:tcPr>
            <w:tcW w:w="1058" w:type="dxa"/>
            <w:hideMark/>
          </w:tcPr>
          <w:p w14:paraId="11557FB1" w14:textId="77777777" w:rsidR="00A01841" w:rsidRPr="00941B94" w:rsidRDefault="00A01841" w:rsidP="002B0D30">
            <w:pPr>
              <w:pStyle w:val="NormalWeb"/>
              <w:jc w:val="center"/>
              <w:rPr>
                <w:sz w:val="18"/>
                <w:szCs w:val="18"/>
              </w:rPr>
            </w:pPr>
            <w:r w:rsidRPr="00941B94">
              <w:rPr>
                <w:sz w:val="18"/>
                <w:szCs w:val="18"/>
              </w:rPr>
              <w:t>10,009</w:t>
            </w:r>
          </w:p>
        </w:tc>
        <w:tc>
          <w:tcPr>
            <w:tcW w:w="1057" w:type="dxa"/>
            <w:hideMark/>
          </w:tcPr>
          <w:p w14:paraId="18106805" w14:textId="77777777" w:rsidR="00A01841" w:rsidRPr="00941B94" w:rsidRDefault="00A01841" w:rsidP="002B0D30">
            <w:pPr>
              <w:pStyle w:val="NormalWeb"/>
              <w:jc w:val="center"/>
              <w:rPr>
                <w:sz w:val="18"/>
                <w:szCs w:val="18"/>
              </w:rPr>
            </w:pPr>
            <w:r w:rsidRPr="00941B94">
              <w:rPr>
                <w:sz w:val="18"/>
                <w:szCs w:val="18"/>
              </w:rPr>
              <w:t>32.3</w:t>
            </w:r>
          </w:p>
        </w:tc>
        <w:tc>
          <w:tcPr>
            <w:tcW w:w="1057" w:type="dxa"/>
            <w:hideMark/>
          </w:tcPr>
          <w:p w14:paraId="48733C91" w14:textId="77777777" w:rsidR="00A01841" w:rsidRPr="00941B94" w:rsidRDefault="00A01841" w:rsidP="002B0D30">
            <w:pPr>
              <w:pStyle w:val="NormalWeb"/>
              <w:jc w:val="center"/>
              <w:rPr>
                <w:sz w:val="18"/>
                <w:szCs w:val="18"/>
              </w:rPr>
            </w:pPr>
            <w:r w:rsidRPr="00941B94">
              <w:rPr>
                <w:sz w:val="18"/>
                <w:szCs w:val="18"/>
              </w:rPr>
              <w:t>8,088</w:t>
            </w:r>
          </w:p>
        </w:tc>
        <w:tc>
          <w:tcPr>
            <w:tcW w:w="1238" w:type="dxa"/>
            <w:hideMark/>
          </w:tcPr>
          <w:p w14:paraId="07E75BB9" w14:textId="77777777" w:rsidR="00A01841" w:rsidRPr="00941B94" w:rsidRDefault="00A01841" w:rsidP="002B0D30">
            <w:pPr>
              <w:pStyle w:val="NormalWeb"/>
              <w:jc w:val="center"/>
              <w:rPr>
                <w:sz w:val="18"/>
                <w:szCs w:val="18"/>
              </w:rPr>
            </w:pPr>
            <w:r w:rsidRPr="00941B94">
              <w:rPr>
                <w:sz w:val="18"/>
                <w:szCs w:val="18"/>
              </w:rPr>
              <w:t>19.9</w:t>
            </w:r>
          </w:p>
        </w:tc>
      </w:tr>
      <w:tr w:rsidR="00A01841" w:rsidRPr="00941B94" w14:paraId="12A8686E" w14:textId="77777777" w:rsidTr="00A4727D">
        <w:tblPrEx>
          <w:tblCellMar>
            <w:left w:w="57" w:type="dxa"/>
            <w:right w:w="57" w:type="dxa"/>
          </w:tblCellMar>
        </w:tblPrEx>
        <w:tc>
          <w:tcPr>
            <w:tcW w:w="0" w:type="auto"/>
            <w:hideMark/>
          </w:tcPr>
          <w:p w14:paraId="61A24F83" w14:textId="77777777" w:rsidR="00A01841" w:rsidRPr="00941B94" w:rsidRDefault="00A01841" w:rsidP="002B0D30">
            <w:pPr>
              <w:pStyle w:val="NormalWeb"/>
              <w:rPr>
                <w:sz w:val="18"/>
                <w:szCs w:val="18"/>
              </w:rPr>
            </w:pPr>
            <w:r w:rsidRPr="00941B94">
              <w:rPr>
                <w:sz w:val="18"/>
                <w:szCs w:val="18"/>
              </w:rPr>
              <w:t>Fever &amp; cough</w:t>
            </w:r>
          </w:p>
        </w:tc>
        <w:tc>
          <w:tcPr>
            <w:tcW w:w="1057" w:type="dxa"/>
            <w:hideMark/>
          </w:tcPr>
          <w:p w14:paraId="2AD13134" w14:textId="77777777" w:rsidR="00A01841" w:rsidRPr="00941B94" w:rsidRDefault="00A01841" w:rsidP="002B0D30">
            <w:pPr>
              <w:pStyle w:val="NormalWeb"/>
              <w:jc w:val="center"/>
              <w:rPr>
                <w:sz w:val="18"/>
                <w:szCs w:val="18"/>
              </w:rPr>
            </w:pPr>
            <w:r w:rsidRPr="00941B94">
              <w:rPr>
                <w:sz w:val="18"/>
                <w:szCs w:val="18"/>
              </w:rPr>
              <w:t>705</w:t>
            </w:r>
          </w:p>
        </w:tc>
        <w:tc>
          <w:tcPr>
            <w:tcW w:w="1057" w:type="dxa"/>
            <w:hideMark/>
          </w:tcPr>
          <w:p w14:paraId="36595ED9" w14:textId="77777777" w:rsidR="00A01841" w:rsidRPr="00941B94" w:rsidRDefault="00A01841" w:rsidP="002B0D30">
            <w:pPr>
              <w:pStyle w:val="NormalWeb"/>
              <w:jc w:val="center"/>
              <w:rPr>
                <w:sz w:val="18"/>
                <w:szCs w:val="18"/>
              </w:rPr>
            </w:pPr>
            <w:r w:rsidRPr="00941B94">
              <w:rPr>
                <w:sz w:val="18"/>
                <w:szCs w:val="18"/>
              </w:rPr>
              <w:t>2.7</w:t>
            </w:r>
          </w:p>
        </w:tc>
        <w:tc>
          <w:tcPr>
            <w:tcW w:w="1058" w:type="dxa"/>
            <w:hideMark/>
          </w:tcPr>
          <w:p w14:paraId="1D988533" w14:textId="77777777" w:rsidR="00A01841" w:rsidRPr="00941B94" w:rsidRDefault="00A01841" w:rsidP="002B0D30">
            <w:pPr>
              <w:pStyle w:val="NormalWeb"/>
              <w:jc w:val="center"/>
              <w:rPr>
                <w:sz w:val="18"/>
                <w:szCs w:val="18"/>
              </w:rPr>
            </w:pPr>
            <w:r w:rsidRPr="00941B94">
              <w:rPr>
                <w:sz w:val="18"/>
                <w:szCs w:val="18"/>
              </w:rPr>
              <w:t>1,008</w:t>
            </w:r>
          </w:p>
        </w:tc>
        <w:tc>
          <w:tcPr>
            <w:tcW w:w="1057" w:type="dxa"/>
            <w:hideMark/>
          </w:tcPr>
          <w:p w14:paraId="7F3AAB3F" w14:textId="77777777" w:rsidR="00A01841" w:rsidRPr="00941B94" w:rsidRDefault="00A01841" w:rsidP="002B0D30">
            <w:pPr>
              <w:pStyle w:val="NormalWeb"/>
              <w:jc w:val="center"/>
              <w:rPr>
                <w:sz w:val="18"/>
                <w:szCs w:val="18"/>
              </w:rPr>
            </w:pPr>
            <w:r w:rsidRPr="00941B94">
              <w:rPr>
                <w:sz w:val="18"/>
                <w:szCs w:val="18"/>
              </w:rPr>
              <w:t>3.4</w:t>
            </w:r>
          </w:p>
        </w:tc>
        <w:tc>
          <w:tcPr>
            <w:tcW w:w="1057" w:type="dxa"/>
            <w:hideMark/>
          </w:tcPr>
          <w:p w14:paraId="08C89929" w14:textId="77777777" w:rsidR="00A01841" w:rsidRPr="00941B94" w:rsidRDefault="00A01841" w:rsidP="002B0D30">
            <w:pPr>
              <w:pStyle w:val="NormalWeb"/>
              <w:jc w:val="center"/>
              <w:rPr>
                <w:sz w:val="18"/>
                <w:szCs w:val="18"/>
              </w:rPr>
            </w:pPr>
            <w:r w:rsidRPr="00941B94">
              <w:rPr>
                <w:sz w:val="18"/>
                <w:szCs w:val="18"/>
              </w:rPr>
              <w:t>752</w:t>
            </w:r>
          </w:p>
        </w:tc>
        <w:tc>
          <w:tcPr>
            <w:tcW w:w="722" w:type="dxa"/>
            <w:hideMark/>
          </w:tcPr>
          <w:p w14:paraId="12A86462" w14:textId="77777777" w:rsidR="00A01841" w:rsidRPr="00941B94" w:rsidRDefault="00A01841" w:rsidP="002B0D30">
            <w:pPr>
              <w:pStyle w:val="NormalWeb"/>
              <w:jc w:val="center"/>
              <w:rPr>
                <w:sz w:val="18"/>
                <w:szCs w:val="18"/>
              </w:rPr>
            </w:pPr>
            <w:r w:rsidRPr="00941B94">
              <w:rPr>
                <w:sz w:val="18"/>
                <w:szCs w:val="18"/>
              </w:rPr>
              <w:t>1.9</w:t>
            </w:r>
          </w:p>
        </w:tc>
        <w:tc>
          <w:tcPr>
            <w:tcW w:w="1393" w:type="dxa"/>
            <w:hideMark/>
          </w:tcPr>
          <w:p w14:paraId="611FB6B3" w14:textId="77777777" w:rsidR="00A01841" w:rsidRPr="00941B94" w:rsidRDefault="00A01841" w:rsidP="002B0D30">
            <w:pPr>
              <w:pStyle w:val="NormalWeb"/>
              <w:jc w:val="center"/>
              <w:rPr>
                <w:sz w:val="18"/>
                <w:szCs w:val="18"/>
              </w:rPr>
            </w:pPr>
            <w:r w:rsidRPr="00941B94">
              <w:rPr>
                <w:sz w:val="18"/>
                <w:szCs w:val="18"/>
              </w:rPr>
              <w:t>2,665</w:t>
            </w:r>
          </w:p>
        </w:tc>
        <w:tc>
          <w:tcPr>
            <w:tcW w:w="1057" w:type="dxa"/>
            <w:hideMark/>
          </w:tcPr>
          <w:p w14:paraId="18B0EC96" w14:textId="77777777" w:rsidR="00A01841" w:rsidRPr="00941B94" w:rsidRDefault="00A01841" w:rsidP="002B0D30">
            <w:pPr>
              <w:pStyle w:val="NormalWeb"/>
              <w:jc w:val="center"/>
              <w:rPr>
                <w:sz w:val="18"/>
                <w:szCs w:val="18"/>
              </w:rPr>
            </w:pPr>
            <w:r w:rsidRPr="00941B94">
              <w:rPr>
                <w:sz w:val="18"/>
                <w:szCs w:val="18"/>
              </w:rPr>
              <w:t>9.6</w:t>
            </w:r>
          </w:p>
        </w:tc>
        <w:tc>
          <w:tcPr>
            <w:tcW w:w="1058" w:type="dxa"/>
            <w:hideMark/>
          </w:tcPr>
          <w:p w14:paraId="5670FE1F" w14:textId="77777777" w:rsidR="00A01841" w:rsidRPr="00941B94" w:rsidRDefault="00A01841" w:rsidP="002B0D30">
            <w:pPr>
              <w:pStyle w:val="NormalWeb"/>
              <w:jc w:val="center"/>
              <w:rPr>
                <w:sz w:val="18"/>
                <w:szCs w:val="18"/>
              </w:rPr>
            </w:pPr>
            <w:r w:rsidRPr="00941B94">
              <w:rPr>
                <w:sz w:val="18"/>
                <w:szCs w:val="18"/>
              </w:rPr>
              <w:t>3,826</w:t>
            </w:r>
          </w:p>
        </w:tc>
        <w:tc>
          <w:tcPr>
            <w:tcW w:w="1057" w:type="dxa"/>
            <w:hideMark/>
          </w:tcPr>
          <w:p w14:paraId="47D1DDFA" w14:textId="77777777" w:rsidR="00A01841" w:rsidRPr="00941B94" w:rsidRDefault="00A01841" w:rsidP="002B0D30">
            <w:pPr>
              <w:pStyle w:val="NormalWeb"/>
              <w:jc w:val="center"/>
              <w:rPr>
                <w:sz w:val="18"/>
                <w:szCs w:val="18"/>
              </w:rPr>
            </w:pPr>
            <w:r w:rsidRPr="00941B94">
              <w:rPr>
                <w:sz w:val="18"/>
                <w:szCs w:val="18"/>
              </w:rPr>
              <w:t>12.3</w:t>
            </w:r>
          </w:p>
        </w:tc>
        <w:tc>
          <w:tcPr>
            <w:tcW w:w="1057" w:type="dxa"/>
            <w:hideMark/>
          </w:tcPr>
          <w:p w14:paraId="593D9D2E" w14:textId="77777777" w:rsidR="00A01841" w:rsidRPr="00941B94" w:rsidRDefault="00A01841" w:rsidP="002B0D30">
            <w:pPr>
              <w:pStyle w:val="NormalWeb"/>
              <w:jc w:val="center"/>
              <w:rPr>
                <w:sz w:val="18"/>
                <w:szCs w:val="18"/>
              </w:rPr>
            </w:pPr>
            <w:r w:rsidRPr="00941B94">
              <w:rPr>
                <w:sz w:val="18"/>
                <w:szCs w:val="18"/>
              </w:rPr>
              <w:t>2,772</w:t>
            </w:r>
          </w:p>
        </w:tc>
        <w:tc>
          <w:tcPr>
            <w:tcW w:w="1238" w:type="dxa"/>
            <w:hideMark/>
          </w:tcPr>
          <w:p w14:paraId="2BC3D3FD" w14:textId="77777777" w:rsidR="00A01841" w:rsidRPr="00941B94" w:rsidRDefault="00A01841" w:rsidP="002B0D30">
            <w:pPr>
              <w:pStyle w:val="NormalWeb"/>
              <w:jc w:val="center"/>
              <w:rPr>
                <w:sz w:val="18"/>
                <w:szCs w:val="18"/>
              </w:rPr>
            </w:pPr>
            <w:r w:rsidRPr="00941B94">
              <w:rPr>
                <w:sz w:val="18"/>
                <w:szCs w:val="18"/>
              </w:rPr>
              <w:t>6.8</w:t>
            </w:r>
          </w:p>
        </w:tc>
      </w:tr>
      <w:tr w:rsidR="00A01841" w:rsidRPr="00941B94" w14:paraId="70BE80D6" w14:textId="77777777" w:rsidTr="00A4727D">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1BAFD6E" w14:textId="77777777" w:rsidR="00A01841" w:rsidRPr="00941B94" w:rsidRDefault="00A01841" w:rsidP="002B0D30">
            <w:pPr>
              <w:pStyle w:val="NormalWeb"/>
              <w:rPr>
                <w:sz w:val="18"/>
                <w:szCs w:val="18"/>
              </w:rPr>
            </w:pPr>
            <w:r w:rsidRPr="00941B94">
              <w:rPr>
                <w:sz w:val="18"/>
                <w:szCs w:val="18"/>
              </w:rPr>
              <w:t>Fever, cough &amp; sore throat</w:t>
            </w:r>
          </w:p>
        </w:tc>
        <w:tc>
          <w:tcPr>
            <w:tcW w:w="1057" w:type="dxa"/>
            <w:hideMark/>
          </w:tcPr>
          <w:p w14:paraId="5D994B03" w14:textId="77777777" w:rsidR="00A01841" w:rsidRPr="00941B94" w:rsidRDefault="00A01841" w:rsidP="002B0D30">
            <w:pPr>
              <w:pStyle w:val="NormalWeb"/>
              <w:jc w:val="center"/>
              <w:rPr>
                <w:sz w:val="18"/>
                <w:szCs w:val="18"/>
              </w:rPr>
            </w:pPr>
            <w:r w:rsidRPr="00941B94">
              <w:rPr>
                <w:sz w:val="18"/>
                <w:szCs w:val="18"/>
              </w:rPr>
              <w:t>567</w:t>
            </w:r>
          </w:p>
        </w:tc>
        <w:tc>
          <w:tcPr>
            <w:tcW w:w="1057" w:type="dxa"/>
            <w:hideMark/>
          </w:tcPr>
          <w:p w14:paraId="5CDF9B10" w14:textId="77777777" w:rsidR="00A01841" w:rsidRPr="00941B94" w:rsidRDefault="00A01841" w:rsidP="002B0D30">
            <w:pPr>
              <w:pStyle w:val="NormalWeb"/>
              <w:jc w:val="center"/>
              <w:rPr>
                <w:sz w:val="18"/>
                <w:szCs w:val="18"/>
              </w:rPr>
            </w:pPr>
            <w:r w:rsidRPr="00941B94">
              <w:rPr>
                <w:sz w:val="18"/>
                <w:szCs w:val="18"/>
              </w:rPr>
              <w:t>2.2</w:t>
            </w:r>
          </w:p>
        </w:tc>
        <w:tc>
          <w:tcPr>
            <w:tcW w:w="1058" w:type="dxa"/>
            <w:hideMark/>
          </w:tcPr>
          <w:p w14:paraId="094CA103" w14:textId="77777777" w:rsidR="00A01841" w:rsidRPr="00941B94" w:rsidRDefault="00A01841" w:rsidP="002B0D30">
            <w:pPr>
              <w:pStyle w:val="NormalWeb"/>
              <w:jc w:val="center"/>
              <w:rPr>
                <w:sz w:val="18"/>
                <w:szCs w:val="18"/>
              </w:rPr>
            </w:pPr>
            <w:r w:rsidRPr="00941B94">
              <w:rPr>
                <w:sz w:val="18"/>
                <w:szCs w:val="18"/>
              </w:rPr>
              <w:t>766</w:t>
            </w:r>
          </w:p>
        </w:tc>
        <w:tc>
          <w:tcPr>
            <w:tcW w:w="1057" w:type="dxa"/>
            <w:hideMark/>
          </w:tcPr>
          <w:p w14:paraId="5BC9AEA7" w14:textId="77777777" w:rsidR="00A01841" w:rsidRPr="00941B94" w:rsidRDefault="00A01841" w:rsidP="002B0D30">
            <w:pPr>
              <w:pStyle w:val="NormalWeb"/>
              <w:jc w:val="center"/>
              <w:rPr>
                <w:sz w:val="18"/>
                <w:szCs w:val="18"/>
              </w:rPr>
            </w:pPr>
            <w:r w:rsidRPr="00941B94">
              <w:rPr>
                <w:sz w:val="18"/>
                <w:szCs w:val="18"/>
              </w:rPr>
              <w:t>2.6</w:t>
            </w:r>
          </w:p>
        </w:tc>
        <w:tc>
          <w:tcPr>
            <w:tcW w:w="1057" w:type="dxa"/>
            <w:hideMark/>
          </w:tcPr>
          <w:p w14:paraId="633E3035" w14:textId="77777777" w:rsidR="00A01841" w:rsidRPr="00941B94" w:rsidRDefault="00A01841" w:rsidP="002B0D30">
            <w:pPr>
              <w:pStyle w:val="NormalWeb"/>
              <w:jc w:val="center"/>
              <w:rPr>
                <w:sz w:val="18"/>
                <w:szCs w:val="18"/>
              </w:rPr>
            </w:pPr>
            <w:r w:rsidRPr="00941B94">
              <w:rPr>
                <w:sz w:val="18"/>
                <w:szCs w:val="18"/>
              </w:rPr>
              <w:t>559</w:t>
            </w:r>
          </w:p>
        </w:tc>
        <w:tc>
          <w:tcPr>
            <w:tcW w:w="722" w:type="dxa"/>
            <w:hideMark/>
          </w:tcPr>
          <w:p w14:paraId="63CC3E8A" w14:textId="77777777" w:rsidR="00A01841" w:rsidRPr="00941B94" w:rsidRDefault="00A01841" w:rsidP="002B0D30">
            <w:pPr>
              <w:pStyle w:val="NormalWeb"/>
              <w:jc w:val="center"/>
              <w:rPr>
                <w:sz w:val="18"/>
                <w:szCs w:val="18"/>
              </w:rPr>
            </w:pPr>
            <w:r w:rsidRPr="00941B94">
              <w:rPr>
                <w:sz w:val="18"/>
                <w:szCs w:val="18"/>
              </w:rPr>
              <w:t>1.4</w:t>
            </w:r>
          </w:p>
        </w:tc>
        <w:tc>
          <w:tcPr>
            <w:tcW w:w="1393" w:type="dxa"/>
            <w:hideMark/>
          </w:tcPr>
          <w:p w14:paraId="2D881371" w14:textId="77777777" w:rsidR="00A01841" w:rsidRPr="00941B94" w:rsidRDefault="00A01841" w:rsidP="002B0D30">
            <w:pPr>
              <w:pStyle w:val="NormalWeb"/>
              <w:jc w:val="center"/>
              <w:rPr>
                <w:sz w:val="18"/>
                <w:szCs w:val="18"/>
              </w:rPr>
            </w:pPr>
            <w:r w:rsidRPr="00941B94">
              <w:rPr>
                <w:sz w:val="18"/>
                <w:szCs w:val="18"/>
              </w:rPr>
              <w:t>2,128</w:t>
            </w:r>
          </w:p>
        </w:tc>
        <w:tc>
          <w:tcPr>
            <w:tcW w:w="1057" w:type="dxa"/>
            <w:hideMark/>
          </w:tcPr>
          <w:p w14:paraId="585EB1B0" w14:textId="77777777" w:rsidR="00A01841" w:rsidRPr="00941B94" w:rsidRDefault="00A01841" w:rsidP="002B0D30">
            <w:pPr>
              <w:pStyle w:val="NormalWeb"/>
              <w:jc w:val="center"/>
              <w:rPr>
                <w:sz w:val="18"/>
                <w:szCs w:val="18"/>
              </w:rPr>
            </w:pPr>
            <w:r w:rsidRPr="00941B94">
              <w:rPr>
                <w:sz w:val="18"/>
                <w:szCs w:val="18"/>
              </w:rPr>
              <w:t>7.7</w:t>
            </w:r>
          </w:p>
        </w:tc>
        <w:tc>
          <w:tcPr>
            <w:tcW w:w="1058" w:type="dxa"/>
            <w:hideMark/>
          </w:tcPr>
          <w:p w14:paraId="43D38C65" w14:textId="77777777" w:rsidR="00A01841" w:rsidRPr="00941B94" w:rsidRDefault="00A01841" w:rsidP="002B0D30">
            <w:pPr>
              <w:pStyle w:val="NormalWeb"/>
              <w:jc w:val="center"/>
              <w:rPr>
                <w:sz w:val="18"/>
                <w:szCs w:val="18"/>
              </w:rPr>
            </w:pPr>
            <w:r w:rsidRPr="00941B94">
              <w:rPr>
                <w:sz w:val="18"/>
                <w:szCs w:val="18"/>
              </w:rPr>
              <w:t>2,965</w:t>
            </w:r>
          </w:p>
        </w:tc>
        <w:tc>
          <w:tcPr>
            <w:tcW w:w="1057" w:type="dxa"/>
            <w:hideMark/>
          </w:tcPr>
          <w:p w14:paraId="25BDE844" w14:textId="77777777" w:rsidR="00A01841" w:rsidRPr="00941B94" w:rsidRDefault="00A01841" w:rsidP="002B0D30">
            <w:pPr>
              <w:pStyle w:val="NormalWeb"/>
              <w:jc w:val="center"/>
              <w:rPr>
                <w:sz w:val="18"/>
                <w:szCs w:val="18"/>
              </w:rPr>
            </w:pPr>
            <w:r w:rsidRPr="00941B94">
              <w:rPr>
                <w:sz w:val="18"/>
                <w:szCs w:val="18"/>
              </w:rPr>
              <w:t>9.6</w:t>
            </w:r>
          </w:p>
        </w:tc>
        <w:tc>
          <w:tcPr>
            <w:tcW w:w="1057" w:type="dxa"/>
            <w:hideMark/>
          </w:tcPr>
          <w:p w14:paraId="01844FEC" w14:textId="77777777" w:rsidR="00A01841" w:rsidRPr="00941B94" w:rsidRDefault="00A01841" w:rsidP="002B0D30">
            <w:pPr>
              <w:pStyle w:val="NormalWeb"/>
              <w:jc w:val="center"/>
              <w:rPr>
                <w:sz w:val="18"/>
                <w:szCs w:val="18"/>
              </w:rPr>
            </w:pPr>
            <w:r w:rsidRPr="00941B94">
              <w:rPr>
                <w:sz w:val="18"/>
                <w:szCs w:val="18"/>
              </w:rPr>
              <w:t>2,116</w:t>
            </w:r>
          </w:p>
        </w:tc>
        <w:tc>
          <w:tcPr>
            <w:tcW w:w="1238" w:type="dxa"/>
            <w:hideMark/>
          </w:tcPr>
          <w:p w14:paraId="4BFAD4B2" w14:textId="77777777" w:rsidR="00A01841" w:rsidRPr="00941B94" w:rsidRDefault="00A01841" w:rsidP="002B0D30">
            <w:pPr>
              <w:pStyle w:val="NormalWeb"/>
              <w:jc w:val="center"/>
              <w:rPr>
                <w:sz w:val="18"/>
                <w:szCs w:val="18"/>
              </w:rPr>
            </w:pPr>
            <w:r w:rsidRPr="00941B94">
              <w:rPr>
                <w:sz w:val="18"/>
                <w:szCs w:val="18"/>
              </w:rPr>
              <w:t>5.2</w:t>
            </w:r>
          </w:p>
        </w:tc>
      </w:tr>
    </w:tbl>
    <w:p w14:paraId="576184AE" w14:textId="77777777" w:rsidR="00A01841" w:rsidRDefault="00A01841" w:rsidP="00A01841">
      <w:pPr>
        <w:pStyle w:val="CDIfootnotes"/>
        <w:rPr>
          <w:lang w:val="en-GB"/>
        </w:rPr>
      </w:pPr>
      <w:r>
        <w:rPr>
          <w:lang w:val="en-GB"/>
        </w:rPr>
        <w:t>a</w:t>
      </w:r>
      <w:r>
        <w:rPr>
          <w:lang w:val="en-GB"/>
        </w:rPr>
        <w:tab/>
        <w:t>Week ending 28 August 2016; N = 26,117.</w:t>
      </w:r>
    </w:p>
    <w:p w14:paraId="532BF9A0" w14:textId="77777777" w:rsidR="00A01841" w:rsidRDefault="00A01841" w:rsidP="00A01841">
      <w:pPr>
        <w:pStyle w:val="CDIfootnotes"/>
        <w:rPr>
          <w:lang w:val="en-GB"/>
        </w:rPr>
      </w:pPr>
      <w:r>
        <w:rPr>
          <w:lang w:val="en-GB"/>
        </w:rPr>
        <w:t>b</w:t>
      </w:r>
      <w:r>
        <w:rPr>
          <w:lang w:val="en-GB"/>
        </w:rPr>
        <w:tab/>
        <w:t>Week ending 20 August 2017; N = 29,355.</w:t>
      </w:r>
    </w:p>
    <w:p w14:paraId="591456F9" w14:textId="77777777" w:rsidR="00A01841" w:rsidRDefault="00A01841" w:rsidP="00A01841">
      <w:pPr>
        <w:pStyle w:val="CDIfootnotes"/>
        <w:rPr>
          <w:lang w:val="en-GB"/>
        </w:rPr>
      </w:pPr>
      <w:r>
        <w:rPr>
          <w:lang w:val="en-GB"/>
        </w:rPr>
        <w:t>c</w:t>
      </w:r>
      <w:r>
        <w:rPr>
          <w:lang w:val="en-GB"/>
        </w:rPr>
        <w:tab/>
        <w:t>Week ending 19 August 2018; N = 38,803.</w:t>
      </w:r>
    </w:p>
    <w:p w14:paraId="7C598537" w14:textId="77777777" w:rsidR="00A01841" w:rsidRDefault="00A01841" w:rsidP="00A01841">
      <w:pPr>
        <w:pStyle w:val="CDIfootnotes"/>
        <w:rPr>
          <w:lang w:val="en-GB"/>
        </w:rPr>
      </w:pPr>
      <w:r>
        <w:rPr>
          <w:lang w:val="en-GB"/>
        </w:rPr>
        <w:t>d</w:t>
      </w:r>
      <w:r>
        <w:rPr>
          <w:lang w:val="en-GB"/>
        </w:rPr>
        <w:tab/>
        <w:t>Weeks ending 14 August to 4 September 2016; N = 27,765.</w:t>
      </w:r>
    </w:p>
    <w:p w14:paraId="11588B5D" w14:textId="77777777" w:rsidR="00A01841" w:rsidRDefault="00A01841" w:rsidP="00A01841">
      <w:pPr>
        <w:pStyle w:val="CDIfootnotes"/>
        <w:rPr>
          <w:lang w:val="en-GB"/>
        </w:rPr>
      </w:pPr>
      <w:r>
        <w:rPr>
          <w:lang w:val="en-GB"/>
        </w:rPr>
        <w:t>e</w:t>
      </w:r>
      <w:r>
        <w:rPr>
          <w:lang w:val="en-GB"/>
        </w:rPr>
        <w:tab/>
        <w:t>Weeks ending 6 August to 27 August 2017; N = 31,047.</w:t>
      </w:r>
    </w:p>
    <w:p w14:paraId="4B4DE144" w14:textId="5AB93BDF" w:rsidR="0093295E" w:rsidRDefault="00A01841" w:rsidP="00A01841">
      <w:pPr>
        <w:pStyle w:val="CDIfootnotes"/>
        <w:rPr>
          <w:rStyle w:val="Strong"/>
          <w:bCs w:val="0"/>
        </w:rPr>
        <w:sectPr w:rsidR="0093295E" w:rsidSect="0093295E">
          <w:pgSz w:w="16838" w:h="11906" w:orient="landscape"/>
          <w:pgMar w:top="720" w:right="720" w:bottom="720" w:left="1134" w:header="709" w:footer="284" w:gutter="0"/>
          <w:cols w:space="708"/>
          <w:titlePg/>
          <w:docGrid w:linePitch="360"/>
        </w:sectPr>
      </w:pPr>
      <w:r>
        <w:rPr>
          <w:lang w:val="en-GB"/>
        </w:rPr>
        <w:t>f</w:t>
      </w:r>
      <w:r>
        <w:rPr>
          <w:lang w:val="en-GB"/>
        </w:rPr>
        <w:tab/>
        <w:t>Weeks ending 12 August to 2 September 2018; N = 40,676.</w:t>
      </w:r>
    </w:p>
    <w:p w14:paraId="71D58AC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839808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103C615" w14:textId="77777777" w:rsidR="000A5F42" w:rsidRPr="000606CC" w:rsidRDefault="000A5F42" w:rsidP="000A5F42">
      <w:pPr>
        <w:pStyle w:val="NoSpacing"/>
        <w:rPr>
          <w:rStyle w:val="URI"/>
          <w:rFonts w:cstheme="minorHAnsi"/>
          <w:sz w:val="20"/>
          <w:szCs w:val="18"/>
        </w:rPr>
      </w:pPr>
    </w:p>
    <w:p w14:paraId="48D2D8B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BD0AA16" w14:textId="77777777" w:rsidR="000A5F42" w:rsidRPr="000606CC" w:rsidRDefault="000A5F42" w:rsidP="000A5F42">
      <w:pPr>
        <w:pStyle w:val="NoSpacing"/>
        <w:rPr>
          <w:rStyle w:val="Strong"/>
          <w:rFonts w:cstheme="minorHAnsi"/>
          <w:sz w:val="20"/>
          <w:szCs w:val="18"/>
        </w:rPr>
      </w:pPr>
    </w:p>
    <w:p w14:paraId="6F1A046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5426D6C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10A6C8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7F267E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9883838" w14:textId="77777777" w:rsidR="000A5F42" w:rsidRPr="000606CC" w:rsidRDefault="000A5F42" w:rsidP="000A5F42">
      <w:pPr>
        <w:pStyle w:val="NoSpacing"/>
        <w:rPr>
          <w:rStyle w:val="Strong"/>
          <w:rFonts w:cstheme="minorHAnsi"/>
          <w:sz w:val="20"/>
          <w:szCs w:val="18"/>
        </w:rPr>
      </w:pPr>
    </w:p>
    <w:p w14:paraId="29E1A47F" w14:textId="0803BD7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070620B" w14:textId="77777777" w:rsidR="000A5F42" w:rsidRPr="000606CC" w:rsidRDefault="000A5F42" w:rsidP="000A5F42">
      <w:pPr>
        <w:pStyle w:val="NoSpacing"/>
        <w:rPr>
          <w:rStyle w:val="Strong"/>
          <w:rFonts w:cstheme="minorHAnsi"/>
          <w:sz w:val="20"/>
          <w:szCs w:val="18"/>
        </w:rPr>
      </w:pPr>
    </w:p>
    <w:p w14:paraId="026E2BE6" w14:textId="4E7E8CAB"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 xml:space="preserve">Office of Health Protection and Response, </w:t>
      </w:r>
      <w:r w:rsidR="00B321E4">
        <w:rPr>
          <w:rFonts w:cstheme="minorHAnsi"/>
          <w:sz w:val="20"/>
          <w:szCs w:val="18"/>
        </w:rPr>
        <w:t>Australian Government Department of Health and Aged Care</w:t>
      </w:r>
      <w:r w:rsidR="00E54BBD" w:rsidRPr="00E54BBD">
        <w:rPr>
          <w:rFonts w:cstheme="minorHAnsi"/>
          <w:sz w:val="20"/>
          <w:szCs w:val="18"/>
        </w:rPr>
        <w:t>, GPO Box 9848, (MDP 6) CANBERRA ACT 2601</w:t>
      </w:r>
    </w:p>
    <w:p w14:paraId="5796B93F" w14:textId="77777777" w:rsidR="000A5F42" w:rsidRPr="000606CC" w:rsidRDefault="000A5F42" w:rsidP="000A5F42">
      <w:pPr>
        <w:pStyle w:val="NoSpacing"/>
        <w:rPr>
          <w:rStyle w:val="Strong"/>
          <w:rFonts w:cstheme="minorHAnsi"/>
          <w:sz w:val="20"/>
          <w:szCs w:val="18"/>
        </w:rPr>
      </w:pPr>
    </w:p>
    <w:p w14:paraId="4C4D838D" w14:textId="1C810C2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4BC84A6" w14:textId="77777777" w:rsidR="000A5F42" w:rsidRPr="000606CC" w:rsidRDefault="000A5F42" w:rsidP="000A5F42">
      <w:pPr>
        <w:pStyle w:val="NoSpacing"/>
        <w:rPr>
          <w:rStyle w:val="Strong"/>
          <w:rFonts w:cstheme="minorHAnsi"/>
          <w:sz w:val="20"/>
          <w:szCs w:val="18"/>
        </w:rPr>
      </w:pPr>
    </w:p>
    <w:p w14:paraId="5F39B8A2" w14:textId="4ADC930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46D0102" w14:textId="110D5A1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8" w:history="1">
        <w:r w:rsidRPr="000606CC">
          <w:rPr>
            <w:rStyle w:val="Hyperlink"/>
            <w:rFonts w:cstheme="minorHAnsi"/>
            <w:sz w:val="20"/>
            <w:szCs w:val="18"/>
          </w:rPr>
          <w:t>cdi.editor@health.gov.au</w:t>
        </w:r>
      </w:hyperlink>
      <w:r w:rsidRPr="000606CC">
        <w:rPr>
          <w:rFonts w:cstheme="minorHAnsi"/>
          <w:sz w:val="20"/>
          <w:szCs w:val="18"/>
        </w:rPr>
        <w:t>.</w:t>
      </w:r>
    </w:p>
    <w:p w14:paraId="24CC819F" w14:textId="77777777" w:rsidR="000A5F42" w:rsidRPr="000606CC" w:rsidRDefault="000A5F42" w:rsidP="000A5F42">
      <w:pPr>
        <w:pStyle w:val="NoSpacing"/>
        <w:pBdr>
          <w:bottom w:val="single" w:sz="6" w:space="1" w:color="auto"/>
        </w:pBdr>
        <w:rPr>
          <w:rStyle w:val="Strong"/>
          <w:rFonts w:cstheme="minorHAnsi"/>
          <w:sz w:val="12"/>
          <w:szCs w:val="18"/>
        </w:rPr>
      </w:pPr>
    </w:p>
    <w:p w14:paraId="549566B6" w14:textId="77777777" w:rsidR="000A5F42" w:rsidRPr="000606CC" w:rsidRDefault="000A5F42" w:rsidP="000A5F42">
      <w:pPr>
        <w:pStyle w:val="NoSpacing"/>
        <w:rPr>
          <w:rFonts w:cstheme="minorHAnsi"/>
          <w:sz w:val="20"/>
          <w:szCs w:val="18"/>
        </w:rPr>
      </w:pPr>
    </w:p>
    <w:p w14:paraId="02922591"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BB7F029" w14:textId="77777777" w:rsidR="000A5F42" w:rsidRPr="000606CC" w:rsidRDefault="000A5F42" w:rsidP="000A5F42">
      <w:pPr>
        <w:pStyle w:val="NoSpacing"/>
        <w:rPr>
          <w:rFonts w:cstheme="minorHAnsi"/>
          <w:sz w:val="20"/>
          <w:szCs w:val="18"/>
        </w:rPr>
      </w:pPr>
    </w:p>
    <w:p w14:paraId="1A852F7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027B89A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474798">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585DA5B0" w14:textId="617AF88C"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BAA23BD" w14:textId="77777777" w:rsidR="000A5F42" w:rsidRPr="000606CC" w:rsidRDefault="000A5F42" w:rsidP="000A5F42">
      <w:pPr>
        <w:pStyle w:val="NoSpacing"/>
        <w:rPr>
          <w:rFonts w:cstheme="minorHAnsi"/>
          <w:sz w:val="20"/>
          <w:szCs w:val="18"/>
        </w:rPr>
      </w:pPr>
    </w:p>
    <w:p w14:paraId="6929C91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315A4B3" w14:textId="39C3D9E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0"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705C12DC" w14:textId="3BC1003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2D1080">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174C65B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8E77F6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40EEB9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B716FB4" w14:textId="77777777" w:rsidR="000A5F42" w:rsidRPr="000606CC" w:rsidRDefault="000A5F42" w:rsidP="000A5F42">
      <w:pPr>
        <w:pStyle w:val="NoSpacing"/>
        <w:rPr>
          <w:rStyle w:val="Strong"/>
          <w:rFonts w:cstheme="minorHAnsi"/>
          <w:sz w:val="20"/>
          <w:szCs w:val="18"/>
        </w:rPr>
      </w:pPr>
    </w:p>
    <w:p w14:paraId="69D7106C" w14:textId="0203D1AE"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w:t>
      </w:r>
      <w:r w:rsidR="00B321E4">
        <w:rPr>
          <w:rFonts w:cstheme="minorHAnsi"/>
          <w:sz w:val="20"/>
          <w:szCs w:val="18"/>
        </w:rPr>
        <w:t xml:space="preserve">Australian Government </w:t>
      </w:r>
      <w:r w:rsidR="002D1080">
        <w:rPr>
          <w:rFonts w:cstheme="minorHAnsi"/>
          <w:sz w:val="20"/>
          <w:szCs w:val="18"/>
        </w:rPr>
        <w:t>Department of Health and Aged Care</w:t>
      </w:r>
      <w:r w:rsidR="00B321E4">
        <w:rPr>
          <w:rFonts w:cstheme="minorHAnsi"/>
          <w:sz w:val="20"/>
          <w:szCs w:val="18"/>
        </w:rPr>
        <w:t xml:space="preserve"> and Aged Care</w:t>
      </w:r>
      <w:r w:rsidRPr="000606CC">
        <w:rPr>
          <w:rFonts w:cstheme="minorHAnsi"/>
          <w:sz w:val="20"/>
          <w:szCs w:val="18"/>
        </w:rPr>
        <w:t xml:space="preserve"> or the Communicable Diseases Network Australia. Data may be subject to revision.</w:t>
      </w:r>
    </w:p>
    <w:p w14:paraId="7A9DFCBC" w14:textId="77777777" w:rsidR="000A5F42" w:rsidRPr="000606CC" w:rsidRDefault="000A5F42" w:rsidP="000A5F42">
      <w:pPr>
        <w:pStyle w:val="NoSpacing"/>
        <w:rPr>
          <w:rStyle w:val="Strong"/>
          <w:rFonts w:cstheme="minorHAnsi"/>
          <w:sz w:val="20"/>
          <w:szCs w:val="18"/>
        </w:rPr>
      </w:pPr>
    </w:p>
    <w:p w14:paraId="19F5C205" w14:textId="0DD9450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2D1080">
        <w:rPr>
          <w:rFonts w:cstheme="minorHAnsi"/>
          <w:sz w:val="20"/>
          <w:szCs w:val="18"/>
        </w:rPr>
        <w:t>Department of Health and Aged Care</w:t>
      </w:r>
      <w:r w:rsidRPr="000606CC">
        <w:rPr>
          <w:rFonts w:cstheme="minorHAnsi"/>
          <w:sz w:val="20"/>
          <w:szCs w:val="18"/>
        </w:rPr>
        <w:t xml:space="preserve">, GPO Box 9848, Canberra ACT 2601, or via e-mail to: </w:t>
      </w:r>
      <w:hyperlink r:id="rId3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420E7E7" w14:textId="77777777" w:rsidR="000A5F42" w:rsidRPr="000606CC" w:rsidRDefault="000A5F42" w:rsidP="000A5F42">
      <w:pPr>
        <w:pStyle w:val="NoSpacing"/>
        <w:rPr>
          <w:rStyle w:val="URI"/>
          <w:rFonts w:cstheme="minorHAnsi"/>
          <w:sz w:val="20"/>
          <w:szCs w:val="18"/>
        </w:rPr>
      </w:pPr>
    </w:p>
    <w:p w14:paraId="7D6D313A" w14:textId="1E79E74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2" w:tooltip="Communicable Diseases Network Australia website" w:history="1">
        <w:r w:rsidRPr="000606CC">
          <w:rPr>
            <w:rStyle w:val="Hyperlink"/>
            <w:rFonts w:cstheme="minorHAnsi"/>
            <w:sz w:val="20"/>
            <w:szCs w:val="18"/>
          </w:rPr>
          <w:t>http://www.health.gov.au/cdna</w:t>
        </w:r>
      </w:hyperlink>
    </w:p>
    <w:p w14:paraId="610673A2" w14:textId="77777777" w:rsidR="001B37B8" w:rsidRPr="00E92237" w:rsidRDefault="001B37B8" w:rsidP="001B37B8">
      <w:pPr>
        <w:rPr>
          <w:rFonts w:cs="Myriad Pro"/>
          <w:color w:val="211D1E"/>
          <w:sz w:val="20"/>
          <w:szCs w:val="20"/>
        </w:rPr>
      </w:pPr>
    </w:p>
    <w:sectPr w:rsidR="001B37B8" w:rsidRPr="00E92237" w:rsidSect="002B75A9">
      <w:headerReference w:type="default" r:id="rId3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97415" w14:textId="77777777" w:rsidR="002B0D30" w:rsidRDefault="002B0D30" w:rsidP="00E54DBA">
      <w:r>
        <w:separator/>
      </w:r>
    </w:p>
    <w:p w14:paraId="55370725" w14:textId="77777777" w:rsidR="002B0D30" w:rsidRDefault="002B0D30"/>
    <w:p w14:paraId="3B1A0C28" w14:textId="77777777" w:rsidR="002B0D30" w:rsidRDefault="002B0D30" w:rsidP="008714B0"/>
  </w:endnote>
  <w:endnote w:type="continuationSeparator" w:id="0">
    <w:p w14:paraId="4FA13CBB" w14:textId="77777777" w:rsidR="002B0D30" w:rsidRDefault="002B0D30" w:rsidP="00E54DBA">
      <w:r>
        <w:continuationSeparator/>
      </w:r>
    </w:p>
    <w:p w14:paraId="77A3B882" w14:textId="77777777" w:rsidR="002B0D30" w:rsidRDefault="002B0D30"/>
    <w:p w14:paraId="5EEA469D" w14:textId="77777777" w:rsidR="002B0D30" w:rsidRDefault="002B0D3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BD2D421-9661-4A47-81AD-659FCDCAF366}"/>
    <w:embedBold r:id="rId2" w:fontKey="{6A681C52-8A9B-4AF3-99C7-2D293281F42F}"/>
    <w:embedItalic r:id="rId3" w:fontKey="{01978925-3FF0-4E4E-A954-F948F483D6AF}"/>
    <w:embedBoldItalic r:id="rId4" w:fontKey="{0A0AB555-833B-4779-8AD1-20A8AE3F8509}"/>
  </w:font>
  <w:font w:name="Cambria">
    <w:panose1 w:val="02040503050406030204"/>
    <w:charset w:val="00"/>
    <w:family w:val="roman"/>
    <w:pitch w:val="variable"/>
    <w:sig w:usb0="E00006FF" w:usb1="420024FF" w:usb2="02000000" w:usb3="00000000" w:csb0="0000019F" w:csb1="00000000"/>
    <w:embedRegular r:id="rId5" w:fontKey="{7E5FFF2F-A4A0-4F30-B822-69CDA5C93D60}"/>
    <w:embedBold r:id="rId6" w:fontKey="{DF85BF07-4D87-49D5-B6C2-A0300D553A46}"/>
    <w:embedItalic r:id="rId7" w:fontKey="{1A5509BB-B760-413D-8230-CD1BC8C691E0}"/>
    <w:embedBoldItalic r:id="rId8" w:fontKey="{6235F461-EBCC-4DE9-A343-B31E7D019F3F}"/>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04FA01AC-110D-4708-B2A5-C9A05DC5E8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3D167" w14:textId="3DE2CA85" w:rsidR="002B0D30" w:rsidRPr="0042435E" w:rsidRDefault="002B0D30"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042C15">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60A4A">
      <w:rPr>
        <w:sz w:val="18"/>
      </w:rPr>
      <w:t>https://doi.org/10.33321/cdi.2022.46.41</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460A4A">
      <w:rPr>
        <w:sz w:val="18"/>
      </w:rPr>
      <w:t>21/7/2022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833A7" w14:textId="367663B6" w:rsidR="002B0D30" w:rsidRPr="00BB5378" w:rsidRDefault="002B0D30"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042C15">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60A4A">
      <w:rPr>
        <w:sz w:val="18"/>
      </w:rPr>
      <w:t>https://doi.org/10.33321/cdi.2022.46.41</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460A4A">
      <w:rPr>
        <w:sz w:val="18"/>
      </w:rPr>
      <w:t>21/7/2022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5833B" w14:textId="77777777" w:rsidR="002B0D30" w:rsidRPr="00B91FB5" w:rsidRDefault="002B0D30" w:rsidP="00B91FB5">
      <w:pPr>
        <w:spacing w:after="0" w:line="240" w:lineRule="auto"/>
        <w:rPr>
          <w:sz w:val="18"/>
          <w:szCs w:val="18"/>
        </w:rPr>
      </w:pPr>
      <w:r w:rsidRPr="00B91FB5">
        <w:rPr>
          <w:sz w:val="18"/>
          <w:szCs w:val="18"/>
        </w:rPr>
        <w:separator/>
      </w:r>
    </w:p>
  </w:footnote>
  <w:footnote w:type="continuationSeparator" w:id="0">
    <w:p w14:paraId="454469A7" w14:textId="77777777" w:rsidR="002B0D30" w:rsidRDefault="002B0D30" w:rsidP="00E54DBA">
      <w:r>
        <w:continuationSeparator/>
      </w:r>
    </w:p>
  </w:footnote>
  <w:footnote w:type="continuationNotice" w:id="1">
    <w:p w14:paraId="514FEA0E" w14:textId="77777777" w:rsidR="002B0D30" w:rsidRPr="00224EFF" w:rsidRDefault="002B0D3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188F1" w14:textId="34318ADD" w:rsidR="002B0D30" w:rsidRPr="00A153B6" w:rsidRDefault="007D71E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B0D30">
          <w:t>Annual report</w:t>
        </w:r>
      </w:sdtContent>
    </w:sdt>
    <w:r w:rsidR="002B0D30">
      <w:ptab w:relativeTo="margin" w:alignment="right" w:leader="none"/>
    </w:r>
    <w:r w:rsidR="002B0D30"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4F711" w14:textId="77777777" w:rsidR="002B0D30" w:rsidRPr="000A5F42" w:rsidRDefault="002B0D30" w:rsidP="00B321E4">
    <w:pPr>
      <w:pStyle w:val="Header"/>
      <w:spacing w:after="0" w:line="240" w:lineRule="auto"/>
      <w:jc w:val="center"/>
      <w:rPr>
        <w:b/>
      </w:rPr>
    </w:pPr>
    <w:r w:rsidRPr="00E810C5">
      <w:rPr>
        <w:rFonts w:cs="Myriad Pro"/>
        <w:noProof/>
        <w:color w:val="211D1E"/>
        <w:sz w:val="16"/>
      </w:rPr>
      <w:drawing>
        <wp:inline distT="0" distB="0" distL="0" distR="0" wp14:anchorId="0D355DE8" wp14:editId="486529F0">
          <wp:extent cx="2067697" cy="670780"/>
          <wp:effectExtent l="0" t="0" r="8890" b="0"/>
          <wp:docPr id="1" name="Picture 1" descr="Australian Government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Health and Aged Care"/>
                  <pic:cNvPicPr/>
                </pic:nvPicPr>
                <pic:blipFill rotWithShape="1">
                  <a:blip r:embed="rId1">
                    <a:extLst>
                      <a:ext uri="{28A0092B-C50C-407E-A947-70E740481C1C}">
                        <a14:useLocalDpi xmlns:a14="http://schemas.microsoft.com/office/drawing/2010/main" val="0"/>
                      </a:ext>
                    </a:extLst>
                  </a:blip>
                  <a:srcRect t="12694"/>
                  <a:stretch/>
                </pic:blipFill>
                <pic:spPr bwMode="auto">
                  <a:xfrm>
                    <a:off x="0" y="0"/>
                    <a:ext cx="2231661" cy="72397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77167"/>
    <w:multiLevelType w:val="hybridMultilevel"/>
    <w:tmpl w:val="AD52C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141B7B"/>
    <w:multiLevelType w:val="multilevel"/>
    <w:tmpl w:val="01F8F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C936A9"/>
    <w:multiLevelType w:val="multilevel"/>
    <w:tmpl w:val="476AF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5B3101"/>
    <w:multiLevelType w:val="hybridMultilevel"/>
    <w:tmpl w:val="62C0D7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07B5356"/>
    <w:multiLevelType w:val="multilevel"/>
    <w:tmpl w:val="A7086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000771"/>
    <w:multiLevelType w:val="multilevel"/>
    <w:tmpl w:val="45648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E77EBD"/>
    <w:multiLevelType w:val="hybridMultilevel"/>
    <w:tmpl w:val="FD6E0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8A6764"/>
    <w:multiLevelType w:val="hybridMultilevel"/>
    <w:tmpl w:val="60CE24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1"/>
  </w:num>
  <w:num w:numId="5">
    <w:abstractNumId w:val="10"/>
  </w:num>
  <w:num w:numId="6">
    <w:abstractNumId w:val="12"/>
  </w:num>
  <w:num w:numId="7">
    <w:abstractNumId w:val="8"/>
  </w:num>
  <w:num w:numId="8">
    <w:abstractNumId w:val="3"/>
  </w:num>
  <w:num w:numId="9">
    <w:abstractNumId w:val="4"/>
  </w:num>
  <w:num w:numId="10">
    <w:abstractNumId w:val="9"/>
  </w:num>
  <w:num w:numId="11">
    <w:abstractNumId w:val="13"/>
  </w:num>
  <w:num w:numId="12">
    <w:abstractNumId w:val="1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proofState w:grammar="clean"/>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798"/>
    <w:rsid w:val="00000B5B"/>
    <w:rsid w:val="00001611"/>
    <w:rsid w:val="00007016"/>
    <w:rsid w:val="000104A8"/>
    <w:rsid w:val="0001246E"/>
    <w:rsid w:val="000124B1"/>
    <w:rsid w:val="0001412F"/>
    <w:rsid w:val="00016FE6"/>
    <w:rsid w:val="00031064"/>
    <w:rsid w:val="00031692"/>
    <w:rsid w:val="00032531"/>
    <w:rsid w:val="000325A0"/>
    <w:rsid w:val="00042C15"/>
    <w:rsid w:val="000471BF"/>
    <w:rsid w:val="00047B68"/>
    <w:rsid w:val="00052600"/>
    <w:rsid w:val="0005643C"/>
    <w:rsid w:val="0006264A"/>
    <w:rsid w:val="00073D77"/>
    <w:rsid w:val="00081655"/>
    <w:rsid w:val="000864E0"/>
    <w:rsid w:val="000969B3"/>
    <w:rsid w:val="000A5F42"/>
    <w:rsid w:val="000C0E7A"/>
    <w:rsid w:val="000D4B4D"/>
    <w:rsid w:val="00113D58"/>
    <w:rsid w:val="001200CB"/>
    <w:rsid w:val="001378A3"/>
    <w:rsid w:val="00145206"/>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16A1"/>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9470A"/>
    <w:rsid w:val="002A3799"/>
    <w:rsid w:val="002A3BCC"/>
    <w:rsid w:val="002A4516"/>
    <w:rsid w:val="002A569F"/>
    <w:rsid w:val="002A7066"/>
    <w:rsid w:val="002B001E"/>
    <w:rsid w:val="002B09B7"/>
    <w:rsid w:val="002B0D30"/>
    <w:rsid w:val="002B75A9"/>
    <w:rsid w:val="002C21B0"/>
    <w:rsid w:val="002C2FA4"/>
    <w:rsid w:val="002D1080"/>
    <w:rsid w:val="002E2FB3"/>
    <w:rsid w:val="002F268D"/>
    <w:rsid w:val="002F327B"/>
    <w:rsid w:val="002F336B"/>
    <w:rsid w:val="00301626"/>
    <w:rsid w:val="003059EC"/>
    <w:rsid w:val="00316CCD"/>
    <w:rsid w:val="00324F7E"/>
    <w:rsid w:val="003323BC"/>
    <w:rsid w:val="00345EBA"/>
    <w:rsid w:val="00346D42"/>
    <w:rsid w:val="00346E11"/>
    <w:rsid w:val="003601C0"/>
    <w:rsid w:val="003635F5"/>
    <w:rsid w:val="00372A88"/>
    <w:rsid w:val="00376DC6"/>
    <w:rsid w:val="00381A0F"/>
    <w:rsid w:val="003A1B3A"/>
    <w:rsid w:val="003A40F5"/>
    <w:rsid w:val="003B5B8C"/>
    <w:rsid w:val="003D79B1"/>
    <w:rsid w:val="003E74EE"/>
    <w:rsid w:val="003F0552"/>
    <w:rsid w:val="003F3BC2"/>
    <w:rsid w:val="00401ED1"/>
    <w:rsid w:val="0040224C"/>
    <w:rsid w:val="00402782"/>
    <w:rsid w:val="00413EE1"/>
    <w:rsid w:val="004164BB"/>
    <w:rsid w:val="0042000E"/>
    <w:rsid w:val="00421ECE"/>
    <w:rsid w:val="00422FEB"/>
    <w:rsid w:val="0042435E"/>
    <w:rsid w:val="004315F5"/>
    <w:rsid w:val="00433456"/>
    <w:rsid w:val="00433DFA"/>
    <w:rsid w:val="00435D67"/>
    <w:rsid w:val="00460A4A"/>
    <w:rsid w:val="00462DC4"/>
    <w:rsid w:val="00464A58"/>
    <w:rsid w:val="00473D2D"/>
    <w:rsid w:val="00474798"/>
    <w:rsid w:val="004956FF"/>
    <w:rsid w:val="004A2125"/>
    <w:rsid w:val="004A38F6"/>
    <w:rsid w:val="004B4EB6"/>
    <w:rsid w:val="004C083C"/>
    <w:rsid w:val="004C67C6"/>
    <w:rsid w:val="004C77AC"/>
    <w:rsid w:val="004D29DE"/>
    <w:rsid w:val="00510EAC"/>
    <w:rsid w:val="00514602"/>
    <w:rsid w:val="00516B9E"/>
    <w:rsid w:val="0052298B"/>
    <w:rsid w:val="00542A57"/>
    <w:rsid w:val="00565974"/>
    <w:rsid w:val="005732C0"/>
    <w:rsid w:val="0057336D"/>
    <w:rsid w:val="0057489A"/>
    <w:rsid w:val="00574ACF"/>
    <w:rsid w:val="00581588"/>
    <w:rsid w:val="0058540B"/>
    <w:rsid w:val="00587C87"/>
    <w:rsid w:val="00590B80"/>
    <w:rsid w:val="005A214D"/>
    <w:rsid w:val="005B3134"/>
    <w:rsid w:val="005B4E61"/>
    <w:rsid w:val="005B595A"/>
    <w:rsid w:val="005B66C2"/>
    <w:rsid w:val="005C66A6"/>
    <w:rsid w:val="005D10EE"/>
    <w:rsid w:val="005D2465"/>
    <w:rsid w:val="005E33DD"/>
    <w:rsid w:val="005E4229"/>
    <w:rsid w:val="005E540E"/>
    <w:rsid w:val="005E55FB"/>
    <w:rsid w:val="005F16BB"/>
    <w:rsid w:val="005F78DA"/>
    <w:rsid w:val="00607115"/>
    <w:rsid w:val="00620768"/>
    <w:rsid w:val="006241D0"/>
    <w:rsid w:val="0062594B"/>
    <w:rsid w:val="00631406"/>
    <w:rsid w:val="006324FF"/>
    <w:rsid w:val="006351D6"/>
    <w:rsid w:val="00636E0D"/>
    <w:rsid w:val="0064142F"/>
    <w:rsid w:val="00643CB4"/>
    <w:rsid w:val="006544A7"/>
    <w:rsid w:val="00656427"/>
    <w:rsid w:val="00660255"/>
    <w:rsid w:val="00663EA5"/>
    <w:rsid w:val="006955E5"/>
    <w:rsid w:val="006971F3"/>
    <w:rsid w:val="006C2B0D"/>
    <w:rsid w:val="006C74A3"/>
    <w:rsid w:val="006D1381"/>
    <w:rsid w:val="006D31BC"/>
    <w:rsid w:val="006D5A2B"/>
    <w:rsid w:val="006E2F89"/>
    <w:rsid w:val="006E7943"/>
    <w:rsid w:val="006F24EA"/>
    <w:rsid w:val="00704CA9"/>
    <w:rsid w:val="0071048D"/>
    <w:rsid w:val="00710F86"/>
    <w:rsid w:val="007111A8"/>
    <w:rsid w:val="00731BC3"/>
    <w:rsid w:val="00741192"/>
    <w:rsid w:val="00743A33"/>
    <w:rsid w:val="00746080"/>
    <w:rsid w:val="0075144A"/>
    <w:rsid w:val="007642EB"/>
    <w:rsid w:val="00772D38"/>
    <w:rsid w:val="00786329"/>
    <w:rsid w:val="00792C7D"/>
    <w:rsid w:val="00794A4D"/>
    <w:rsid w:val="007A5234"/>
    <w:rsid w:val="007B7854"/>
    <w:rsid w:val="007C56A1"/>
    <w:rsid w:val="007C6454"/>
    <w:rsid w:val="007D71E3"/>
    <w:rsid w:val="007E01E0"/>
    <w:rsid w:val="007E5CA0"/>
    <w:rsid w:val="007F0B93"/>
    <w:rsid w:val="007F2ECA"/>
    <w:rsid w:val="007F3162"/>
    <w:rsid w:val="00811708"/>
    <w:rsid w:val="00816B90"/>
    <w:rsid w:val="00817799"/>
    <w:rsid w:val="00822F5F"/>
    <w:rsid w:val="00824FD3"/>
    <w:rsid w:val="00826589"/>
    <w:rsid w:val="00834BCC"/>
    <w:rsid w:val="00850D54"/>
    <w:rsid w:val="00852E2B"/>
    <w:rsid w:val="008714B0"/>
    <w:rsid w:val="00876331"/>
    <w:rsid w:val="00880726"/>
    <w:rsid w:val="008A3544"/>
    <w:rsid w:val="008A72BE"/>
    <w:rsid w:val="008B48B8"/>
    <w:rsid w:val="008B5348"/>
    <w:rsid w:val="008B58F8"/>
    <w:rsid w:val="008C0712"/>
    <w:rsid w:val="008C4520"/>
    <w:rsid w:val="008C5F09"/>
    <w:rsid w:val="008D470F"/>
    <w:rsid w:val="008E1F8F"/>
    <w:rsid w:val="008E4768"/>
    <w:rsid w:val="008E4CF2"/>
    <w:rsid w:val="008E761E"/>
    <w:rsid w:val="008F77B3"/>
    <w:rsid w:val="009008F5"/>
    <w:rsid w:val="00900DEB"/>
    <w:rsid w:val="00904CC1"/>
    <w:rsid w:val="009066AF"/>
    <w:rsid w:val="00912050"/>
    <w:rsid w:val="00912E48"/>
    <w:rsid w:val="0092746F"/>
    <w:rsid w:val="0093295E"/>
    <w:rsid w:val="00935DC9"/>
    <w:rsid w:val="00941B94"/>
    <w:rsid w:val="009446C0"/>
    <w:rsid w:val="0096082E"/>
    <w:rsid w:val="00961347"/>
    <w:rsid w:val="00967410"/>
    <w:rsid w:val="00967D73"/>
    <w:rsid w:val="0098119A"/>
    <w:rsid w:val="00984AAF"/>
    <w:rsid w:val="00991B09"/>
    <w:rsid w:val="00993CB2"/>
    <w:rsid w:val="009A5166"/>
    <w:rsid w:val="009A6F07"/>
    <w:rsid w:val="009A76F8"/>
    <w:rsid w:val="009B2B83"/>
    <w:rsid w:val="009C49F8"/>
    <w:rsid w:val="009D77CC"/>
    <w:rsid w:val="009E2423"/>
    <w:rsid w:val="009E55D7"/>
    <w:rsid w:val="009F4150"/>
    <w:rsid w:val="009F5665"/>
    <w:rsid w:val="009F5DAD"/>
    <w:rsid w:val="00A01841"/>
    <w:rsid w:val="00A01BCA"/>
    <w:rsid w:val="00A06A54"/>
    <w:rsid w:val="00A10458"/>
    <w:rsid w:val="00A153B6"/>
    <w:rsid w:val="00A164D5"/>
    <w:rsid w:val="00A273C3"/>
    <w:rsid w:val="00A30C37"/>
    <w:rsid w:val="00A36C65"/>
    <w:rsid w:val="00A41BBE"/>
    <w:rsid w:val="00A443E3"/>
    <w:rsid w:val="00A45BDD"/>
    <w:rsid w:val="00A46A0A"/>
    <w:rsid w:val="00A4727D"/>
    <w:rsid w:val="00A553F8"/>
    <w:rsid w:val="00A6708F"/>
    <w:rsid w:val="00A71BF6"/>
    <w:rsid w:val="00A72AF9"/>
    <w:rsid w:val="00A82F94"/>
    <w:rsid w:val="00A86F9A"/>
    <w:rsid w:val="00AA35E6"/>
    <w:rsid w:val="00AA50B6"/>
    <w:rsid w:val="00AB3472"/>
    <w:rsid w:val="00AD0762"/>
    <w:rsid w:val="00AE3DCF"/>
    <w:rsid w:val="00AE4452"/>
    <w:rsid w:val="00AE7C38"/>
    <w:rsid w:val="00B01F99"/>
    <w:rsid w:val="00B02B37"/>
    <w:rsid w:val="00B05276"/>
    <w:rsid w:val="00B10297"/>
    <w:rsid w:val="00B132DB"/>
    <w:rsid w:val="00B31427"/>
    <w:rsid w:val="00B321E4"/>
    <w:rsid w:val="00B33861"/>
    <w:rsid w:val="00B40DE2"/>
    <w:rsid w:val="00B50210"/>
    <w:rsid w:val="00B53955"/>
    <w:rsid w:val="00B61327"/>
    <w:rsid w:val="00B6408A"/>
    <w:rsid w:val="00B714B8"/>
    <w:rsid w:val="00B82C2C"/>
    <w:rsid w:val="00B8720B"/>
    <w:rsid w:val="00B876EF"/>
    <w:rsid w:val="00B8796C"/>
    <w:rsid w:val="00B91FB5"/>
    <w:rsid w:val="00BA4697"/>
    <w:rsid w:val="00BB5378"/>
    <w:rsid w:val="00BC0BD3"/>
    <w:rsid w:val="00BD0107"/>
    <w:rsid w:val="00BE0C33"/>
    <w:rsid w:val="00BE262C"/>
    <w:rsid w:val="00BE4C25"/>
    <w:rsid w:val="00BE6C3D"/>
    <w:rsid w:val="00BF6B76"/>
    <w:rsid w:val="00C07606"/>
    <w:rsid w:val="00C12542"/>
    <w:rsid w:val="00C24725"/>
    <w:rsid w:val="00C30BA9"/>
    <w:rsid w:val="00C3541E"/>
    <w:rsid w:val="00C362F1"/>
    <w:rsid w:val="00C36A8F"/>
    <w:rsid w:val="00C42834"/>
    <w:rsid w:val="00C42FFA"/>
    <w:rsid w:val="00C507D8"/>
    <w:rsid w:val="00C62EAC"/>
    <w:rsid w:val="00C63F9F"/>
    <w:rsid w:val="00C7444C"/>
    <w:rsid w:val="00C7723C"/>
    <w:rsid w:val="00C838F5"/>
    <w:rsid w:val="00C841C0"/>
    <w:rsid w:val="00C90266"/>
    <w:rsid w:val="00CA1AF4"/>
    <w:rsid w:val="00CA6068"/>
    <w:rsid w:val="00CB15E1"/>
    <w:rsid w:val="00CB38A0"/>
    <w:rsid w:val="00CB3D46"/>
    <w:rsid w:val="00CD1A87"/>
    <w:rsid w:val="00CD35F3"/>
    <w:rsid w:val="00CD5C93"/>
    <w:rsid w:val="00CE342B"/>
    <w:rsid w:val="00CF320C"/>
    <w:rsid w:val="00CF3A4B"/>
    <w:rsid w:val="00CF4001"/>
    <w:rsid w:val="00D05837"/>
    <w:rsid w:val="00D12D8A"/>
    <w:rsid w:val="00D13E0C"/>
    <w:rsid w:val="00D25896"/>
    <w:rsid w:val="00D373A1"/>
    <w:rsid w:val="00D37693"/>
    <w:rsid w:val="00D37C0F"/>
    <w:rsid w:val="00D45661"/>
    <w:rsid w:val="00D45943"/>
    <w:rsid w:val="00D47D22"/>
    <w:rsid w:val="00D51865"/>
    <w:rsid w:val="00D51D0C"/>
    <w:rsid w:val="00D631E3"/>
    <w:rsid w:val="00D74140"/>
    <w:rsid w:val="00DA6E56"/>
    <w:rsid w:val="00DC24E5"/>
    <w:rsid w:val="00DC6705"/>
    <w:rsid w:val="00DD2DE8"/>
    <w:rsid w:val="00DE37B8"/>
    <w:rsid w:val="00DE38B4"/>
    <w:rsid w:val="00DE5D02"/>
    <w:rsid w:val="00E005A9"/>
    <w:rsid w:val="00E06A7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B235B"/>
    <w:rsid w:val="00FC002E"/>
    <w:rsid w:val="00FC4C23"/>
    <w:rsid w:val="00FC642E"/>
    <w:rsid w:val="00FD184B"/>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E81FE9B"/>
  <w15:docId w15:val="{E71CF70F-F45D-47BF-99BC-99657B70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31093614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www.health.gov.au/cdi"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32"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hyperlink" Target="mailto:cdi.editor@health.gov.a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hyperlink" Target="http://health.gov.au/cdi" TargetMode="External"/><Relationship Id="rId30" Type="http://schemas.openxmlformats.org/officeDocument/2006/relationships/hyperlink" Target="http://www.itsanhonour.gov.au/" TargetMode="Externa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22</Pages>
  <Words>4865</Words>
  <Characters>28489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Communicable Diseases Intelligence 2022 - FluTracking: Weekly online community based surveillance of influenza-like illness in Australia, 2018 Annual Report</vt:lpstr>
    </vt:vector>
  </TitlesOfParts>
  <Company>Australian Government, Department of Health</Company>
  <LinksUpToDate>false</LinksUpToDate>
  <CharactersWithSpaces>33288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FluTracking: Weekly online community based surveillance of influenza-like illness in Australia, 2018 Annual Report</dc:title>
  <dc:subject>We present the findings of the Flutracking program for 2018; Australia’s community based influenza-like illness surveillance system. Overall, the rate of influenza-like illness (ILI) in 2018 was the lowest recorded since Flutracking began in 2007, across all age groups.</dc:subject>
  <dc:creator>Zachary L Howard; Sandra J Carlson; Sarah Moberley; Michelle Butler; Craig B Dalton</dc:creator>
  <cp:keywords>FluTracking; influenza; surveillance</cp:keywords>
  <dc:description>© Commonwealth of Australia CC BY-NC-ND ISSN: 2209-6051 (Online)</dc:description>
  <cp:lastModifiedBy>YOUSEFI, Kasra</cp:lastModifiedBy>
  <cp:revision>12</cp:revision>
  <cp:lastPrinted>2018-05-10T02:19:00Z</cp:lastPrinted>
  <dcterms:created xsi:type="dcterms:W3CDTF">2022-06-14T06:56:00Z</dcterms:created>
  <dcterms:modified xsi:type="dcterms:W3CDTF">2022-07-18T04:21:00Z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21/7/2022</vt:lpwstr>
  </property>
  <property fmtid="{D5CDD505-2E9C-101B-9397-08002B2CF9AE}" pid="5" name="DOI">
    <vt:lpwstr>https://doi.org/10.33321/cdi.2022.46.41</vt:lpwstr>
  </property>
</Properties>
</file>