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1889" w14:textId="77777777" w:rsidR="00B50D8D" w:rsidRPr="00B50D8D" w:rsidRDefault="00B50D8D" w:rsidP="00B50D8D">
      <w:pPr>
        <w:pStyle w:val="CDIfootnotes"/>
      </w:pPr>
      <w:r w:rsidRPr="00B50D8D">
        <w:rPr>
          <w:i/>
          <w:iCs/>
        </w:rPr>
        <w:t>Communicable Diseases Intelligence</w:t>
      </w:r>
      <w:r w:rsidRPr="00B50D8D">
        <w:t xml:space="preserve">, Year </w:t>
      </w:r>
      <w:r w:rsidR="00821D81">
        <w:fldChar w:fldCharType="begin"/>
      </w:r>
      <w:r w:rsidR="00821D81">
        <w:instrText xml:space="preserve"> DOCPROPERTY  Year  \* MERGEFORMAT </w:instrText>
      </w:r>
      <w:r w:rsidR="00821D81">
        <w:fldChar w:fldCharType="separate"/>
      </w:r>
      <w:r w:rsidR="00282A2C">
        <w:t>2023</w:t>
      </w:r>
      <w:r w:rsidR="00821D81">
        <w:fldChar w:fldCharType="end"/>
      </w:r>
      <w:r w:rsidRPr="00B50D8D">
        <w:t xml:space="preserve">, Volume </w:t>
      </w:r>
      <w:fldSimple w:instr=" DOCPROPERTY  Vol  \* MERGEFORMAT ">
        <w:r w:rsidR="00282A2C">
          <w:t>47</w:t>
        </w:r>
      </w:fldSimple>
    </w:p>
    <w:p w14:paraId="3D4F2586" w14:textId="557784FC" w:rsidR="00B50D8D" w:rsidRPr="00B50D8D" w:rsidRDefault="00821D81" w:rsidP="00B50D8D">
      <w:pPr>
        <w:pStyle w:val="CDIfootnotes"/>
      </w:pPr>
      <w:r>
        <w:fldChar w:fldCharType="begin"/>
      </w:r>
      <w:r>
        <w:instrText xml:space="preserve"> DOCPROPERTY  DOI  \* MERGEFORMAT </w:instrText>
      </w:r>
      <w:r>
        <w:fldChar w:fldCharType="separate"/>
      </w:r>
      <w:r>
        <w:t>https://doi.org/10.33321/cdi.2023.47.52</w:t>
      </w:r>
      <w:r>
        <w:fldChar w:fldCharType="end"/>
      </w:r>
    </w:p>
    <w:p w14:paraId="205F52C8" w14:textId="51DB22DD" w:rsidR="00B50D8D" w:rsidRPr="00B50D8D" w:rsidRDefault="00B50D8D" w:rsidP="00B50D8D">
      <w:pPr>
        <w:pStyle w:val="CDIfootnotes"/>
      </w:pPr>
      <w:r w:rsidRPr="00B50D8D">
        <w:t xml:space="preserve">Publication date: </w:t>
      </w:r>
      <w:r w:rsidR="00821D81">
        <w:fldChar w:fldCharType="begin"/>
      </w:r>
      <w:r w:rsidR="00821D81">
        <w:instrText xml:space="preserve"> DOCPROPERTY  ePubDate  \* MERGEFORMAT </w:instrText>
      </w:r>
      <w:r w:rsidR="00821D81">
        <w:fldChar w:fldCharType="separate"/>
      </w:r>
      <w:r w:rsidR="00821D81">
        <w:t>21/09/2023</w:t>
      </w:r>
      <w:r w:rsidR="00821D81">
        <w:fldChar w:fldCharType="end"/>
      </w:r>
    </w:p>
    <w:p w14:paraId="03F798FA" w14:textId="3405341D" w:rsidR="00B50D8D" w:rsidRPr="00B50D8D" w:rsidRDefault="00821D81" w:rsidP="00B50D8D">
      <w:pPr>
        <w:pStyle w:val="CDIfootnotes"/>
      </w:pPr>
      <w:hyperlink r:id="rId9" w:history="1">
        <w:r w:rsidR="00B50D8D" w:rsidRPr="00B50D8D">
          <w:rPr>
            <w:rStyle w:val="Hyperlink"/>
          </w:rPr>
          <w:t>http://health.gov.au/cdi</w:t>
        </w:r>
      </w:hyperlink>
      <w:r w:rsidR="00B50D8D" w:rsidRPr="00B50D8D">
        <w:t xml:space="preserve"> </w:t>
      </w:r>
    </w:p>
    <w:p w14:paraId="7EA679D4" w14:textId="77777777" w:rsidR="008F2D4F" w:rsidRDefault="008F2D4F" w:rsidP="008F2D4F">
      <w:pPr>
        <w:pStyle w:val="Title"/>
        <w:divId w:val="587736651"/>
        <w:rPr>
          <w:rFonts w:eastAsia="Times New Roman"/>
          <w:sz w:val="48"/>
          <w:szCs w:val="48"/>
        </w:rPr>
      </w:pPr>
      <w:r>
        <w:rPr>
          <w:rFonts w:eastAsia="Times New Roman"/>
        </w:rPr>
        <w:t xml:space="preserve">Group B streptococcus in the Northern Territory in 2023: clindamycin down but not out </w:t>
      </w:r>
    </w:p>
    <w:p w14:paraId="539CB63F" w14:textId="77777777" w:rsidR="008F2D4F" w:rsidRDefault="008F2D4F" w:rsidP="008F2D4F">
      <w:pPr>
        <w:divId w:val="587736651"/>
      </w:pPr>
      <w:r>
        <w:t xml:space="preserve">Kate </w:t>
      </w:r>
      <w:proofErr w:type="spellStart"/>
      <w:r>
        <w:t>Proudmore</w:t>
      </w:r>
      <w:proofErr w:type="spellEnd"/>
      <w:r>
        <w:t xml:space="preserve">, Ma Nu </w:t>
      </w:r>
      <w:proofErr w:type="spellStart"/>
      <w:r>
        <w:t>Nu</w:t>
      </w:r>
      <w:proofErr w:type="spellEnd"/>
      <w:r>
        <w:t xml:space="preserve"> </w:t>
      </w:r>
      <w:proofErr w:type="spellStart"/>
      <w:r>
        <w:t>Swe</w:t>
      </w:r>
      <w:proofErr w:type="spellEnd"/>
      <w:r>
        <w:t xml:space="preserve">, May Leitch, Kim Clayfield, Jann Hennessy, Rob Baird </w:t>
      </w:r>
    </w:p>
    <w:p w14:paraId="3E086F05" w14:textId="77777777" w:rsidR="008F2D4F" w:rsidRDefault="008F2D4F" w:rsidP="00B379AC">
      <w:pPr>
        <w:divId w:val="587736651"/>
      </w:pPr>
      <w:r w:rsidRPr="00B379AC">
        <w:rPr>
          <w:rStyle w:val="Emphasis"/>
          <w:b w:val="0"/>
          <w:bCs w:val="0"/>
        </w:rPr>
        <w:t>Streptococcus agalactiae</w:t>
      </w:r>
      <w:r>
        <w:t>, or group B streptococcus (GBS), is a significant cause of perinatal morbidity and mortality;</w:t>
      </w:r>
      <w:r>
        <w:rPr>
          <w:vertAlign w:val="superscript"/>
        </w:rPr>
        <w:t>1,2</w:t>
      </w:r>
      <w:r>
        <w:t xml:space="preserve"> however, prophylactic antibiotics can mitigate the risk of infection. The most important risk factor for neonatal GBS infection is maternal colonisation.</w:t>
      </w:r>
      <w:r>
        <w:rPr>
          <w:vertAlign w:val="superscript"/>
        </w:rPr>
        <w:t>1</w:t>
      </w:r>
      <w:r>
        <w:t xml:space="preserve"> In the Northern Territory (NT) of Australia, the incidence of neonatal early onset GBS is 0.36 per 1000 live births.</w:t>
      </w:r>
      <w:r>
        <w:rPr>
          <w:vertAlign w:val="superscript"/>
        </w:rPr>
        <w:t>2</w:t>
      </w:r>
      <w:r>
        <w:t xml:space="preserve"> The primary prophylactic agent for maternal administration to prevent neonatal GBS disease is penicillin, but for women who have a severe hypersensitivity to penicillin, recommendations include clindamycin as an alternative agent.</w:t>
      </w:r>
      <w:r>
        <w:rPr>
          <w:vertAlign w:val="superscript"/>
        </w:rPr>
        <w:t>3</w:t>
      </w:r>
      <w:r>
        <w:t xml:space="preserve"> </w:t>
      </w:r>
    </w:p>
    <w:p w14:paraId="6497EE60" w14:textId="77777777" w:rsidR="008F2D4F" w:rsidRDefault="008F2D4F" w:rsidP="00B379AC">
      <w:pPr>
        <w:divId w:val="587736651"/>
      </w:pPr>
      <w:r>
        <w:t>In the adult population, GBS can cause a wide range of infections and effects most body systems.</w:t>
      </w:r>
      <w:r>
        <w:rPr>
          <w:vertAlign w:val="superscript"/>
        </w:rPr>
        <w:t>1</w:t>
      </w:r>
      <w:r>
        <w:t xml:space="preserve"> More invasive disease like meningitis can occur in the immunosuppressed population. GBS is a notable but infrequent cause of infective endocarditis and is also associated with wound and urinary tract infections.</w:t>
      </w:r>
      <w:r>
        <w:rPr>
          <w:vertAlign w:val="superscript"/>
        </w:rPr>
        <w:t>1</w:t>
      </w:r>
      <w:r>
        <w:t xml:space="preserve"> </w:t>
      </w:r>
    </w:p>
    <w:p w14:paraId="33A0D7BB" w14:textId="77777777" w:rsidR="008F2D4F" w:rsidRDefault="008F2D4F" w:rsidP="00B379AC">
      <w:pPr>
        <w:divId w:val="587736651"/>
      </w:pPr>
      <w:r>
        <w:t>Group B streptococci are highly susceptible to penicillin, but there is emerging evidence of increasing resistance to erythromycin and clindamycin worldwide.</w:t>
      </w:r>
      <w:r>
        <w:rPr>
          <w:vertAlign w:val="superscript"/>
        </w:rPr>
        <w:t>4</w:t>
      </w:r>
      <w:r>
        <w:t xml:space="preserve"> The resistance patterns for macrolides stems from ribosomal modifications by methylation from encoded </w:t>
      </w:r>
      <w:r w:rsidRPr="00B379AC">
        <w:rPr>
          <w:rStyle w:val="Emphasis"/>
          <w:b w:val="0"/>
          <w:bCs w:val="0"/>
        </w:rPr>
        <w:t>erm</w:t>
      </w:r>
      <w:r>
        <w:t xml:space="preserve"> genes.</w:t>
      </w:r>
      <w:r>
        <w:rPr>
          <w:vertAlign w:val="superscript"/>
        </w:rPr>
        <w:t>5</w:t>
      </w:r>
      <w:r>
        <w:t xml:space="preserve"> Gene expression causing clindamycin resistance may be constitutive (c-MLSB phenotype) or induced by the presence of erythromycin (</w:t>
      </w:r>
      <w:proofErr w:type="spellStart"/>
      <w:r>
        <w:t>i</w:t>
      </w:r>
      <w:proofErr w:type="spellEnd"/>
      <w:r>
        <w:t>-MLSB phenotype).</w:t>
      </w:r>
      <w:r>
        <w:rPr>
          <w:vertAlign w:val="superscript"/>
        </w:rPr>
        <w:t>6</w:t>
      </w:r>
      <w:r>
        <w:t xml:space="preserve"> More rarely, isolates may express </w:t>
      </w:r>
      <w:proofErr w:type="spellStart"/>
      <w:r w:rsidRPr="00B379AC">
        <w:rPr>
          <w:rStyle w:val="Emphasis"/>
          <w:b w:val="0"/>
          <w:bCs w:val="0"/>
        </w:rPr>
        <w:t>lnu</w:t>
      </w:r>
      <w:proofErr w:type="spellEnd"/>
      <w:r>
        <w:t xml:space="preserve"> genes, resulting in susceptibility to erythromycin but resistance to clindamycin (L phenotype).</w:t>
      </w:r>
      <w:r>
        <w:rPr>
          <w:vertAlign w:val="superscript"/>
        </w:rPr>
        <w:t xml:space="preserve">5,6 </w:t>
      </w:r>
    </w:p>
    <w:p w14:paraId="3C80E844" w14:textId="77777777" w:rsidR="008F2D4F" w:rsidRDefault="008F2D4F" w:rsidP="00B379AC">
      <w:pPr>
        <w:divId w:val="587736651"/>
      </w:pPr>
      <w:r>
        <w:t>Clindamycin resistance rates among GBS vary widely depending on geographic region and local prescribing practices. An Australia-wide survey using data to 2006 showed low clindamycin resistance rates of 4.2%.</w:t>
      </w:r>
      <w:r>
        <w:rPr>
          <w:vertAlign w:val="superscript"/>
        </w:rPr>
        <w:t>4</w:t>
      </w:r>
      <w:r>
        <w:t xml:space="preserve"> However, a 2022 study from New South Wales showed a higher clindamycin resistance rate of 32%.</w:t>
      </w:r>
      <w:r>
        <w:rPr>
          <w:vertAlign w:val="superscript"/>
        </w:rPr>
        <w:t>7</w:t>
      </w:r>
      <w:r>
        <w:t xml:space="preserve"> In the United States of America, the overall prevalence of clindamycin-resistant isolates was reported to be approximately 40% in 2019.</w:t>
      </w:r>
      <w:r>
        <w:rPr>
          <w:vertAlign w:val="superscript"/>
        </w:rPr>
        <w:t>8</w:t>
      </w:r>
      <w:r>
        <w:t xml:space="preserve"> In Europe, clindamycin resistance rates among GBS vary by country, with reported rates ranging from less than 10% to over 36%.</w:t>
      </w:r>
      <w:r>
        <w:rPr>
          <w:vertAlign w:val="superscript"/>
        </w:rPr>
        <w:t>9</w:t>
      </w:r>
      <w:r>
        <w:t xml:space="preserve"> In Asia, clindamycin resistance rates among GBS also vary by country but overall are higher: for example, a study in South Korea reported a clindamycin resistance rate of 55.4% amongst GBS isolates, while a study in China reported a resistant rate of 73.3% to clindamycin.</w:t>
      </w:r>
      <w:r>
        <w:rPr>
          <w:vertAlign w:val="superscript"/>
        </w:rPr>
        <w:t>10,11</w:t>
      </w:r>
      <w:r>
        <w:t xml:space="preserve"> </w:t>
      </w:r>
    </w:p>
    <w:p w14:paraId="385B4F8C" w14:textId="77777777" w:rsidR="008F2D4F" w:rsidRDefault="008F2D4F" w:rsidP="00B379AC">
      <w:pPr>
        <w:divId w:val="587736651"/>
      </w:pPr>
      <w:r>
        <w:t>Current NT public laboratory practice does not include routine antimicrobial susceptibility testing for GBS detected on antenatal screening swabs. We have conducted a review of GBS resistance to clindamycin and erythromycin in the Top End (which encompasses the northernmost section of the NT, covering an area in excess of 500,000 km</w:t>
      </w:r>
      <w:r>
        <w:rPr>
          <w:vertAlign w:val="superscript"/>
        </w:rPr>
        <w:t>2</w:t>
      </w:r>
      <w:r>
        <w:t xml:space="preserve"> with a sparse population of 180,000 and a distinct tropical monsoonal season).</w:t>
      </w:r>
      <w:r>
        <w:rPr>
          <w:vertAlign w:val="superscript"/>
        </w:rPr>
        <w:t>12</w:t>
      </w:r>
      <w:r>
        <w:t xml:space="preserve"> This review was undertaken to determine whether the current resistance testing practice and intrapartum antibiotic selection should be amended. This was a prospective study, looking at 113 sequential isolates sent to the public reference laboratory in the NT over a three-month period from January to March 2023. The isolates </w:t>
      </w:r>
      <w:proofErr w:type="gramStart"/>
      <w:r>
        <w:t>comprised</w:t>
      </w:r>
      <w:proofErr w:type="gramEnd"/>
      <w:r>
        <w:t xml:space="preserve"> wound swabs from various sites (47%); antenatal screening swabs (45%); urine cultures (4%); and sterile sites including blood cultures and intraoperative tissue (4%). </w:t>
      </w:r>
    </w:p>
    <w:p w14:paraId="22077558" w14:textId="77777777" w:rsidR="008F2D4F" w:rsidRDefault="008F2D4F" w:rsidP="00B379AC">
      <w:pPr>
        <w:divId w:val="587736651"/>
      </w:pPr>
      <w:r>
        <w:t xml:space="preserve">GBS </w:t>
      </w:r>
      <w:proofErr w:type="gramStart"/>
      <w:r>
        <w:t>was isolated</w:t>
      </w:r>
      <w:proofErr w:type="gramEnd"/>
      <w:r>
        <w:t xml:space="preserve"> using a variety of selective and chromogenic agars: Columbia horse blood agar (</w:t>
      </w:r>
      <w:proofErr w:type="spellStart"/>
      <w:r>
        <w:t>Thermo</w:t>
      </w:r>
      <w:proofErr w:type="spellEnd"/>
      <w:r>
        <w:t xml:space="preserve"> Fisher Scientific, TFS) and Columbia horse blood agar with colistin and nalidixic acid (TFS) for wound swabs; Brilliance UTI Agar (TFS) for urine and vaginal swabs; and Granada agar (TFS) for antenatal screening swabs. GBS was </w:t>
      </w:r>
      <w:proofErr w:type="gramStart"/>
      <w:r>
        <w:t>identified</w:t>
      </w:r>
      <w:proofErr w:type="gramEnd"/>
      <w:r>
        <w:t xml:space="preserve"> </w:t>
      </w:r>
      <w:r>
        <w:lastRenderedPageBreak/>
        <w:t>from Granada agar (TFS) by the presence of orange colonies.</w:t>
      </w:r>
      <w:r>
        <w:rPr>
          <w:vertAlign w:val="superscript"/>
        </w:rPr>
        <w:t>13</w:t>
      </w:r>
      <w:r>
        <w:t xml:space="preserve"> For all other agars, identification of GBS was confirmed using a Lancefield Streptococcal antigen grouping kit (Oxoid) or by matrix-assisted laser desorption-ionization time of flight (MALDI-TOF, </w:t>
      </w:r>
      <w:proofErr w:type="spellStart"/>
      <w:r>
        <w:t>Biomérieux</w:t>
      </w:r>
      <w:proofErr w:type="spellEnd"/>
      <w:r>
        <w:t>) mass spectrometry. Antimicrobial susceptibility testing was performed according to the Clinical and Laboratory Standards Institute (CLSI), employing the double disc diffusion method using a 15 µg erythromycin disc and a 2 µg clindamycin disc placed at an edge-to-edge distance of 12 mm.</w:t>
      </w:r>
      <w:r>
        <w:rPr>
          <w:vertAlign w:val="superscript"/>
        </w:rPr>
        <w:t>1,13</w:t>
      </w:r>
      <w:r>
        <w:t xml:space="preserve"> Inducible clindamycin resistance was detected by a ‘D test’: a positive ‘D test’, indicated by flattening/blunting of the clindamycin zone closest to the erythromycin disk, giving the appearance of a ‘D’, is consistent with a </w:t>
      </w:r>
      <w:proofErr w:type="spellStart"/>
      <w:r>
        <w:t>i</w:t>
      </w:r>
      <w:proofErr w:type="spellEnd"/>
      <w:r>
        <w:t>-MLSB phenotype.</w:t>
      </w:r>
      <w:r>
        <w:rPr>
          <w:vertAlign w:val="superscript"/>
        </w:rPr>
        <w:t>1,13</w:t>
      </w:r>
      <w:r>
        <w:t xml:space="preserve"> </w:t>
      </w:r>
    </w:p>
    <w:p w14:paraId="132D6F63" w14:textId="77777777" w:rsidR="008F2D4F" w:rsidRDefault="008F2D4F" w:rsidP="00B379AC">
      <w:pPr>
        <w:divId w:val="587736651"/>
      </w:pPr>
      <w:r>
        <w:t xml:space="preserve">The results reveal that 30% of GBS isolates </w:t>
      </w:r>
      <w:proofErr w:type="gramStart"/>
      <w:r>
        <w:t>tested</w:t>
      </w:r>
      <w:proofErr w:type="gramEnd"/>
      <w:r>
        <w:t xml:space="preserve"> were resistant to clindamycin. The GBS isolates were </w:t>
      </w:r>
      <w:proofErr w:type="gramStart"/>
      <w:r>
        <w:t>allocated</w:t>
      </w:r>
      <w:proofErr w:type="gramEnd"/>
      <w:r>
        <w:t xml:space="preserve"> categories according to resistance phenotypes (Table 1).</w:t>
      </w:r>
      <w:r>
        <w:rPr>
          <w:vertAlign w:val="superscript"/>
        </w:rPr>
        <w:t>1,13</w:t>
      </w:r>
      <w:r>
        <w:t xml:space="preserve"> Of these 34 clindamycin-resistant isolates, 28/34 (82%) showed constitutive resistance of the c-MLSB phenotype (23/34; 68%) or the L phenotype (5/34; 15%). Inducible resistance, </w:t>
      </w:r>
      <w:proofErr w:type="spellStart"/>
      <w:r>
        <w:t>i</w:t>
      </w:r>
      <w:proofErr w:type="spellEnd"/>
      <w:r>
        <w:t xml:space="preserve">-MLSB phenotype, </w:t>
      </w:r>
      <w:proofErr w:type="gramStart"/>
      <w:r>
        <w:t>was found</w:t>
      </w:r>
      <w:proofErr w:type="gramEnd"/>
      <w:r>
        <w:t xml:space="preserve"> in 6/34 (18%) of the clindamycin-resistant isolates. </w:t>
      </w:r>
    </w:p>
    <w:p w14:paraId="54C22316" w14:textId="77777777" w:rsidR="005C3DEE" w:rsidRDefault="005C3DEE" w:rsidP="005C3DEE">
      <w:pPr>
        <w:pStyle w:val="CDIFigures"/>
        <w:divId w:val="587736651"/>
        <w:rPr>
          <w:sz w:val="24"/>
          <w:szCs w:val="24"/>
          <w:lang w:val="en-GB"/>
        </w:rPr>
      </w:pPr>
      <w:r>
        <w:rPr>
          <w:lang w:val="en-GB"/>
        </w:rPr>
        <w:t>Table 1: Group B Streptococcus antimicrobial susceptibility data, Top End NT, January–March 2023</w:t>
      </w:r>
    </w:p>
    <w:tbl>
      <w:tblPr>
        <w:tblStyle w:val="CDI-StandardTable"/>
        <w:tblW w:w="0" w:type="auto"/>
        <w:tblLook w:val="04A0" w:firstRow="1" w:lastRow="0" w:firstColumn="1" w:lastColumn="0" w:noHBand="0" w:noVBand="1"/>
        <w:tblDescription w:val="GBS resistance to clindamycin 30%; erythromycin resistance 40%; and with all isolates fully susceptible to penicillin and vancomycin."/>
      </w:tblPr>
      <w:tblGrid>
        <w:gridCol w:w="3119"/>
        <w:gridCol w:w="3660"/>
        <w:gridCol w:w="3661"/>
      </w:tblGrid>
      <w:tr w:rsidR="005C3DEE" w:rsidRPr="00A23A68" w14:paraId="7A5B4156" w14:textId="77777777" w:rsidTr="005C3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587736651"/>
          <w:tblHeader/>
        </w:trPr>
        <w:tc>
          <w:tcPr>
            <w:tcW w:w="3119" w:type="dxa"/>
            <w:vMerge w:val="restart"/>
            <w:hideMark/>
          </w:tcPr>
          <w:p w14:paraId="36C8EFDD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Antibiotic</w:t>
            </w:r>
          </w:p>
        </w:tc>
        <w:tc>
          <w:tcPr>
            <w:tcW w:w="7321" w:type="dxa"/>
            <w:gridSpan w:val="2"/>
            <w:hideMark/>
          </w:tcPr>
          <w:p w14:paraId="55A6C833" w14:textId="74A863BC" w:rsidR="005C3DEE" w:rsidRPr="00A23A68" w:rsidRDefault="00772698" w:rsidP="006D5D04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5C3DEE" w:rsidRPr="00A23A68">
              <w:rPr>
                <w:sz w:val="18"/>
                <w:szCs w:val="18"/>
              </w:rPr>
              <w:t>usceptibility of GBS isolates</w:t>
            </w:r>
          </w:p>
        </w:tc>
      </w:tr>
      <w:tr w:rsidR="005C3DEE" w:rsidRPr="00A23A68" w14:paraId="2AAA2410" w14:textId="77777777" w:rsidTr="005C3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587736651"/>
          <w:tblHeader/>
        </w:trPr>
        <w:tc>
          <w:tcPr>
            <w:tcW w:w="3119" w:type="dxa"/>
            <w:vMerge/>
            <w:hideMark/>
          </w:tcPr>
          <w:p w14:paraId="19E68744" w14:textId="77777777" w:rsidR="005C3DEE" w:rsidRPr="00A23A68" w:rsidRDefault="005C3DEE" w:rsidP="006D5D0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60" w:type="dxa"/>
            <w:hideMark/>
          </w:tcPr>
          <w:p w14:paraId="3BDFFB78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Susceptible, n (%)</w:t>
            </w:r>
          </w:p>
        </w:tc>
        <w:tc>
          <w:tcPr>
            <w:tcW w:w="3661" w:type="dxa"/>
            <w:hideMark/>
          </w:tcPr>
          <w:p w14:paraId="1ABEF42D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Resistant, n (%)</w:t>
            </w:r>
          </w:p>
        </w:tc>
      </w:tr>
      <w:tr w:rsidR="005C3DEE" w:rsidRPr="00A23A68" w14:paraId="3B37DD12" w14:textId="77777777" w:rsidTr="005C3DEE">
        <w:trPr>
          <w:divId w:val="587736651"/>
        </w:trPr>
        <w:tc>
          <w:tcPr>
            <w:tcW w:w="3119" w:type="dxa"/>
            <w:hideMark/>
          </w:tcPr>
          <w:p w14:paraId="5C3638C0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Penicillin</w:t>
            </w:r>
          </w:p>
        </w:tc>
        <w:tc>
          <w:tcPr>
            <w:tcW w:w="3660" w:type="dxa"/>
            <w:hideMark/>
          </w:tcPr>
          <w:p w14:paraId="272C0DC5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113 (100)</w:t>
            </w:r>
          </w:p>
        </w:tc>
        <w:tc>
          <w:tcPr>
            <w:tcW w:w="3661" w:type="dxa"/>
            <w:hideMark/>
          </w:tcPr>
          <w:p w14:paraId="6019073F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0</w:t>
            </w:r>
          </w:p>
        </w:tc>
      </w:tr>
      <w:tr w:rsidR="005C3DEE" w:rsidRPr="00A23A68" w14:paraId="7DBA13B5" w14:textId="77777777" w:rsidTr="005C3D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587736651"/>
        </w:trPr>
        <w:tc>
          <w:tcPr>
            <w:tcW w:w="3119" w:type="dxa"/>
            <w:hideMark/>
          </w:tcPr>
          <w:p w14:paraId="6928C591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Vancomycin</w:t>
            </w:r>
          </w:p>
        </w:tc>
        <w:tc>
          <w:tcPr>
            <w:tcW w:w="3660" w:type="dxa"/>
            <w:hideMark/>
          </w:tcPr>
          <w:p w14:paraId="5C303732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113 (100)</w:t>
            </w:r>
          </w:p>
        </w:tc>
        <w:tc>
          <w:tcPr>
            <w:tcW w:w="3661" w:type="dxa"/>
            <w:hideMark/>
          </w:tcPr>
          <w:p w14:paraId="40C26C1B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0</w:t>
            </w:r>
          </w:p>
        </w:tc>
      </w:tr>
      <w:tr w:rsidR="005C3DEE" w:rsidRPr="00A23A68" w14:paraId="6FB71696" w14:textId="77777777" w:rsidTr="005C3DEE">
        <w:trPr>
          <w:divId w:val="587736651"/>
        </w:trPr>
        <w:tc>
          <w:tcPr>
            <w:tcW w:w="3119" w:type="dxa"/>
            <w:hideMark/>
          </w:tcPr>
          <w:p w14:paraId="66930707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Erythromycin</w:t>
            </w:r>
          </w:p>
        </w:tc>
        <w:tc>
          <w:tcPr>
            <w:tcW w:w="3660" w:type="dxa"/>
            <w:hideMark/>
          </w:tcPr>
          <w:p w14:paraId="3181968C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68 (60)</w:t>
            </w:r>
          </w:p>
        </w:tc>
        <w:tc>
          <w:tcPr>
            <w:tcW w:w="3661" w:type="dxa"/>
            <w:hideMark/>
          </w:tcPr>
          <w:p w14:paraId="53794E20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45 (40)</w:t>
            </w:r>
          </w:p>
        </w:tc>
      </w:tr>
      <w:tr w:rsidR="005C3DEE" w:rsidRPr="00A23A68" w14:paraId="25B5076E" w14:textId="77777777" w:rsidTr="005C3D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587736651"/>
        </w:trPr>
        <w:tc>
          <w:tcPr>
            <w:tcW w:w="3119" w:type="dxa"/>
            <w:hideMark/>
          </w:tcPr>
          <w:p w14:paraId="5DEA6716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Clindamycin</w:t>
            </w:r>
          </w:p>
        </w:tc>
        <w:tc>
          <w:tcPr>
            <w:tcW w:w="3660" w:type="dxa"/>
            <w:hideMark/>
          </w:tcPr>
          <w:p w14:paraId="048194BB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79 (70)</w:t>
            </w:r>
          </w:p>
        </w:tc>
        <w:tc>
          <w:tcPr>
            <w:tcW w:w="3661" w:type="dxa"/>
            <w:hideMark/>
          </w:tcPr>
          <w:p w14:paraId="7A338653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34 (30)</w:t>
            </w:r>
          </w:p>
        </w:tc>
      </w:tr>
    </w:tbl>
    <w:p w14:paraId="64921F28" w14:textId="77777777" w:rsidR="005C3DEE" w:rsidRDefault="005C3DEE" w:rsidP="00B379AC">
      <w:pPr>
        <w:divId w:val="587736651"/>
      </w:pPr>
    </w:p>
    <w:p w14:paraId="5116E834" w14:textId="77777777" w:rsidR="008F2D4F" w:rsidRDefault="008F2D4F" w:rsidP="00B379AC">
      <w:pPr>
        <w:divId w:val="587736651"/>
      </w:pPr>
      <w:r>
        <w:t xml:space="preserve">Clindamycin therefore should only </w:t>
      </w:r>
      <w:proofErr w:type="gramStart"/>
      <w:r>
        <w:t>be used</w:t>
      </w:r>
      <w:proofErr w:type="gramEnd"/>
      <w:r>
        <w:t xml:space="preserve"> as an alternative to penicillin in colonised antenatal patients as prophylaxis where it has been proven susceptible, otherwise intravenous vancomycin is the suggested alternative.</w:t>
      </w:r>
      <w:r>
        <w:rPr>
          <w:vertAlign w:val="superscript"/>
        </w:rPr>
        <w:t xml:space="preserve">3 </w:t>
      </w:r>
    </w:p>
    <w:p w14:paraId="76D6F86A" w14:textId="77777777" w:rsidR="008F2D4F" w:rsidRDefault="008F2D4F" w:rsidP="00B379AC">
      <w:pPr>
        <w:divId w:val="587736651"/>
      </w:pPr>
      <w:r>
        <w:t xml:space="preserve">The Garland study of 2011 is still widely quoted, with their data </w:t>
      </w:r>
      <w:proofErr w:type="gramStart"/>
      <w:r>
        <w:t>demonstrating</w:t>
      </w:r>
      <w:proofErr w:type="gramEnd"/>
      <w:r>
        <w:t xml:space="preserve"> clindamycin resistance in 4.2% of GBS isolates.</w:t>
      </w:r>
      <w:r>
        <w:rPr>
          <w:vertAlign w:val="superscript"/>
        </w:rPr>
        <w:t>4</w:t>
      </w:r>
      <w:r>
        <w:t xml:space="preserve"> Our results concur with recent data revealing increasing clindamycin resistance around Australia (Table 2); however, not all jurisdictions have published their rates. </w:t>
      </w:r>
    </w:p>
    <w:p w14:paraId="18A6AA50" w14:textId="77777777" w:rsidR="005C3DEE" w:rsidRDefault="005C3DEE" w:rsidP="005C3DEE">
      <w:pPr>
        <w:pStyle w:val="CDIFigures"/>
        <w:divId w:val="587736651"/>
        <w:rPr>
          <w:lang w:val="en-GB"/>
        </w:rPr>
      </w:pPr>
      <w:r>
        <w:rPr>
          <w:lang w:val="en-GB"/>
        </w:rPr>
        <w:t xml:space="preserve">Table 2: Group B streptococcus clindamycin resistance rates within </w:t>
      </w:r>
      <w:proofErr w:type="spellStart"/>
      <w:r>
        <w:rPr>
          <w:lang w:val="en-GB"/>
        </w:rPr>
        <w:t>Australia</w:t>
      </w:r>
      <w:r w:rsidRPr="00580DF7">
        <w:rPr>
          <w:vertAlign w:val="superscript"/>
          <w:lang w:val="en-GB"/>
        </w:rPr>
        <w:t>a</w:t>
      </w:r>
      <w:proofErr w:type="spellEnd"/>
    </w:p>
    <w:tbl>
      <w:tblPr>
        <w:tblStyle w:val="CDI-StandardTable"/>
        <w:tblW w:w="0" w:type="auto"/>
        <w:tblLook w:val="04A0" w:firstRow="1" w:lastRow="0" w:firstColumn="1" w:lastColumn="0" w:noHBand="0" w:noVBand="1"/>
        <w:tblDescription w:val="National data from states with published GBS clindamycin resistance rates."/>
      </w:tblPr>
      <w:tblGrid>
        <w:gridCol w:w="1474"/>
        <w:gridCol w:w="2988"/>
        <w:gridCol w:w="2989"/>
        <w:gridCol w:w="2989"/>
      </w:tblGrid>
      <w:tr w:rsidR="000E4BF6" w:rsidRPr="00A23A68" w14:paraId="4A4E99E7" w14:textId="77777777" w:rsidTr="000E4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587736651"/>
          <w:tblHeader/>
        </w:trPr>
        <w:tc>
          <w:tcPr>
            <w:tcW w:w="0" w:type="auto"/>
            <w:hideMark/>
          </w:tcPr>
          <w:p w14:paraId="4CE08FAF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proofErr w:type="gramStart"/>
            <w:r w:rsidRPr="00A23A68">
              <w:rPr>
                <w:sz w:val="18"/>
                <w:szCs w:val="18"/>
              </w:rPr>
              <w:t>Jurisdiction</w:t>
            </w:r>
            <w:proofErr w:type="gramEnd"/>
          </w:p>
        </w:tc>
        <w:tc>
          <w:tcPr>
            <w:tcW w:w="2988" w:type="dxa"/>
            <w:hideMark/>
          </w:tcPr>
          <w:p w14:paraId="5DF5177F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Collection year</w:t>
            </w:r>
          </w:p>
        </w:tc>
        <w:tc>
          <w:tcPr>
            <w:tcW w:w="2989" w:type="dxa"/>
            <w:hideMark/>
          </w:tcPr>
          <w:p w14:paraId="1E9344B2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Clindamycin resistance rate (%)</w:t>
            </w:r>
          </w:p>
        </w:tc>
        <w:tc>
          <w:tcPr>
            <w:tcW w:w="2989" w:type="dxa"/>
            <w:hideMark/>
          </w:tcPr>
          <w:p w14:paraId="12BF272D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Reference</w:t>
            </w:r>
          </w:p>
        </w:tc>
      </w:tr>
      <w:tr w:rsidR="005C3DEE" w:rsidRPr="00A23A68" w14:paraId="0623E6FF" w14:textId="77777777" w:rsidTr="000E4BF6">
        <w:trPr>
          <w:divId w:val="587736651"/>
        </w:trPr>
        <w:tc>
          <w:tcPr>
            <w:tcW w:w="0" w:type="auto"/>
            <w:hideMark/>
          </w:tcPr>
          <w:p w14:paraId="4473015E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Australia</w:t>
            </w:r>
          </w:p>
        </w:tc>
        <w:tc>
          <w:tcPr>
            <w:tcW w:w="2988" w:type="dxa"/>
            <w:hideMark/>
          </w:tcPr>
          <w:p w14:paraId="0B0853CF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2006</w:t>
            </w:r>
          </w:p>
        </w:tc>
        <w:tc>
          <w:tcPr>
            <w:tcW w:w="2989" w:type="dxa"/>
            <w:hideMark/>
          </w:tcPr>
          <w:p w14:paraId="5983EBD0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4</w:t>
            </w:r>
          </w:p>
        </w:tc>
        <w:tc>
          <w:tcPr>
            <w:tcW w:w="2989" w:type="dxa"/>
            <w:hideMark/>
          </w:tcPr>
          <w:p w14:paraId="34FA6C92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4</w:t>
            </w:r>
          </w:p>
        </w:tc>
      </w:tr>
      <w:tr w:rsidR="000E4BF6" w:rsidRPr="00A23A68" w14:paraId="6F335723" w14:textId="77777777" w:rsidTr="000E4B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587736651"/>
        </w:trPr>
        <w:tc>
          <w:tcPr>
            <w:tcW w:w="0" w:type="auto"/>
            <w:hideMark/>
          </w:tcPr>
          <w:p w14:paraId="2A6182D4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Australia</w:t>
            </w:r>
          </w:p>
        </w:tc>
        <w:tc>
          <w:tcPr>
            <w:tcW w:w="2988" w:type="dxa"/>
            <w:hideMark/>
          </w:tcPr>
          <w:p w14:paraId="79E4CFB6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2019</w:t>
            </w:r>
          </w:p>
        </w:tc>
        <w:tc>
          <w:tcPr>
            <w:tcW w:w="2989" w:type="dxa"/>
            <w:hideMark/>
          </w:tcPr>
          <w:p w14:paraId="5A016B02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33</w:t>
            </w:r>
          </w:p>
        </w:tc>
        <w:tc>
          <w:tcPr>
            <w:tcW w:w="2989" w:type="dxa"/>
            <w:hideMark/>
          </w:tcPr>
          <w:p w14:paraId="0373092B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14</w:t>
            </w:r>
          </w:p>
        </w:tc>
      </w:tr>
      <w:tr w:rsidR="005C3DEE" w:rsidRPr="00A23A68" w14:paraId="7E19BB05" w14:textId="77777777" w:rsidTr="000E4BF6">
        <w:trPr>
          <w:divId w:val="587736651"/>
        </w:trPr>
        <w:tc>
          <w:tcPr>
            <w:tcW w:w="0" w:type="auto"/>
            <w:hideMark/>
          </w:tcPr>
          <w:p w14:paraId="1FA2D37A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New South Wales</w:t>
            </w:r>
          </w:p>
        </w:tc>
        <w:tc>
          <w:tcPr>
            <w:tcW w:w="2988" w:type="dxa"/>
            <w:hideMark/>
          </w:tcPr>
          <w:p w14:paraId="4497A93D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2020</w:t>
            </w:r>
          </w:p>
        </w:tc>
        <w:tc>
          <w:tcPr>
            <w:tcW w:w="2989" w:type="dxa"/>
            <w:hideMark/>
          </w:tcPr>
          <w:p w14:paraId="094472AA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12</w:t>
            </w:r>
          </w:p>
        </w:tc>
        <w:tc>
          <w:tcPr>
            <w:tcW w:w="2989" w:type="dxa"/>
            <w:hideMark/>
          </w:tcPr>
          <w:p w14:paraId="21EF8DA5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15</w:t>
            </w:r>
          </w:p>
        </w:tc>
      </w:tr>
      <w:tr w:rsidR="000E4BF6" w:rsidRPr="00A23A68" w14:paraId="0231C98B" w14:textId="77777777" w:rsidTr="000E4B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587736651"/>
        </w:trPr>
        <w:tc>
          <w:tcPr>
            <w:tcW w:w="0" w:type="auto"/>
            <w:hideMark/>
          </w:tcPr>
          <w:p w14:paraId="3C28A4FB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New South Wales</w:t>
            </w:r>
          </w:p>
        </w:tc>
        <w:tc>
          <w:tcPr>
            <w:tcW w:w="2988" w:type="dxa"/>
            <w:hideMark/>
          </w:tcPr>
          <w:p w14:paraId="7E4DF5E4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2022</w:t>
            </w:r>
          </w:p>
        </w:tc>
        <w:tc>
          <w:tcPr>
            <w:tcW w:w="2989" w:type="dxa"/>
            <w:hideMark/>
          </w:tcPr>
          <w:p w14:paraId="0FDF1B53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32</w:t>
            </w:r>
          </w:p>
        </w:tc>
        <w:tc>
          <w:tcPr>
            <w:tcW w:w="2989" w:type="dxa"/>
            <w:hideMark/>
          </w:tcPr>
          <w:p w14:paraId="7D27FD6A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7</w:t>
            </w:r>
          </w:p>
        </w:tc>
      </w:tr>
      <w:tr w:rsidR="005C3DEE" w:rsidRPr="00A23A68" w14:paraId="3AE04B62" w14:textId="77777777" w:rsidTr="000E4BF6">
        <w:trPr>
          <w:divId w:val="587736651"/>
        </w:trPr>
        <w:tc>
          <w:tcPr>
            <w:tcW w:w="0" w:type="auto"/>
            <w:hideMark/>
          </w:tcPr>
          <w:p w14:paraId="4B0D7AB0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Western Australia</w:t>
            </w:r>
          </w:p>
        </w:tc>
        <w:tc>
          <w:tcPr>
            <w:tcW w:w="2988" w:type="dxa"/>
            <w:hideMark/>
          </w:tcPr>
          <w:p w14:paraId="5F289DAF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2021</w:t>
            </w:r>
          </w:p>
        </w:tc>
        <w:tc>
          <w:tcPr>
            <w:tcW w:w="2989" w:type="dxa"/>
            <w:hideMark/>
          </w:tcPr>
          <w:p w14:paraId="34363B0F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40</w:t>
            </w:r>
          </w:p>
        </w:tc>
        <w:tc>
          <w:tcPr>
            <w:tcW w:w="2989" w:type="dxa"/>
            <w:hideMark/>
          </w:tcPr>
          <w:p w14:paraId="1F848B4A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16</w:t>
            </w:r>
          </w:p>
        </w:tc>
      </w:tr>
      <w:tr w:rsidR="000E4BF6" w:rsidRPr="00A23A68" w14:paraId="70307DA6" w14:textId="77777777" w:rsidTr="000E4B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587736651"/>
        </w:trPr>
        <w:tc>
          <w:tcPr>
            <w:tcW w:w="0" w:type="auto"/>
            <w:hideMark/>
          </w:tcPr>
          <w:p w14:paraId="49B8BC9A" w14:textId="77777777" w:rsidR="005C3DEE" w:rsidRPr="00A23A68" w:rsidRDefault="005C3DEE" w:rsidP="006D5D04">
            <w:pPr>
              <w:pStyle w:val="NormalWeb"/>
              <w:jc w:val="left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Northern Territory</w:t>
            </w:r>
          </w:p>
        </w:tc>
        <w:tc>
          <w:tcPr>
            <w:tcW w:w="2988" w:type="dxa"/>
            <w:hideMark/>
          </w:tcPr>
          <w:p w14:paraId="4F283D28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2023</w:t>
            </w:r>
          </w:p>
        </w:tc>
        <w:tc>
          <w:tcPr>
            <w:tcW w:w="2989" w:type="dxa"/>
            <w:hideMark/>
          </w:tcPr>
          <w:p w14:paraId="55BEFFDF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30</w:t>
            </w:r>
          </w:p>
        </w:tc>
        <w:tc>
          <w:tcPr>
            <w:tcW w:w="2989" w:type="dxa"/>
            <w:hideMark/>
          </w:tcPr>
          <w:p w14:paraId="1B6AEDC6" w14:textId="77777777" w:rsidR="005C3DEE" w:rsidRPr="00A23A68" w:rsidRDefault="005C3DEE" w:rsidP="006D5D04">
            <w:pPr>
              <w:pStyle w:val="NormalWeb"/>
              <w:rPr>
                <w:sz w:val="18"/>
                <w:szCs w:val="18"/>
              </w:rPr>
            </w:pPr>
            <w:r w:rsidRPr="00A23A68">
              <w:rPr>
                <w:sz w:val="18"/>
                <w:szCs w:val="18"/>
              </w:rPr>
              <w:t>(</w:t>
            </w:r>
            <w:proofErr w:type="gramStart"/>
            <w:r w:rsidRPr="00A23A68">
              <w:rPr>
                <w:sz w:val="18"/>
                <w:szCs w:val="18"/>
              </w:rPr>
              <w:t>this</w:t>
            </w:r>
            <w:proofErr w:type="gramEnd"/>
            <w:r w:rsidRPr="00A23A68">
              <w:rPr>
                <w:sz w:val="18"/>
                <w:szCs w:val="18"/>
              </w:rPr>
              <w:t xml:space="preserve"> work)</w:t>
            </w:r>
          </w:p>
        </w:tc>
      </w:tr>
    </w:tbl>
    <w:p w14:paraId="063ACBBC" w14:textId="0F513667" w:rsidR="005C3DEE" w:rsidRDefault="005C3DEE" w:rsidP="005C3DEE">
      <w:pPr>
        <w:pStyle w:val="CDIfootnotes"/>
        <w:divId w:val="587736651"/>
      </w:pPr>
      <w:r>
        <w:rPr>
          <w:lang w:val="en-GB"/>
        </w:rPr>
        <w:t>a</w:t>
      </w:r>
      <w:r>
        <w:rPr>
          <w:lang w:val="en-GB"/>
        </w:rPr>
        <w:tab/>
        <w:t>No local published data was found for the Australian Capital Territory, Queensland, South Australia, Tasmania, or Victoria.</w:t>
      </w:r>
    </w:p>
    <w:p w14:paraId="3004FF6F" w14:textId="77777777" w:rsidR="008F2D4F" w:rsidRDefault="008F2D4F" w:rsidP="00B379AC">
      <w:pPr>
        <w:divId w:val="587736651"/>
      </w:pPr>
      <w:r>
        <w:t>Within the Northern Territory, we found a resistance rate of 30% to clindamycin in our GBS isolates. The therapeutic guidelines, for GBS-positive antenatal patients with a severe (immediate or delayed) hypersensitivity to penicillin, recommend vancomycin.</w:t>
      </w:r>
      <w:r>
        <w:rPr>
          <w:vertAlign w:val="superscript"/>
        </w:rPr>
        <w:t>3</w:t>
      </w:r>
      <w:r>
        <w:t xml:space="preserve"> This sentence reads awkwardly. Is it that the authors make this recommendation </w:t>
      </w:r>
      <w:proofErr w:type="gramStart"/>
      <w:r>
        <w:t>on the basis of</w:t>
      </w:r>
      <w:proofErr w:type="gramEnd"/>
      <w:r>
        <w:t xml:space="preserve"> this study? If so, this might more clearly be expressed as ‘On the basis of our study, we recommend that </w:t>
      </w:r>
      <w:r>
        <w:lastRenderedPageBreak/>
        <w:t xml:space="preserve">antimicrobial susceptibility testing should be performed on all positive antenatal GBS screening swabs in the NT, in particular for patients with a severe (immediate or delayed) hypersensitivity to </w:t>
      </w:r>
      <w:proofErr w:type="gramStart"/>
      <w:r>
        <w:t>penicillin..</w:t>
      </w:r>
      <w:proofErr w:type="gramEnd"/>
      <w:r>
        <w:t xml:space="preserve"> In addition, we should move away from clindamycin and consider vancomycin as first line for this cohort of patients whilst awaiting clindamycin susceptibility results. This has strong public health implications for the at-risk obstetric population within the NT. As a result of this research, we would suggest that other </w:t>
      </w:r>
      <w:proofErr w:type="gramStart"/>
      <w:r>
        <w:t>jurisdictions</w:t>
      </w:r>
      <w:proofErr w:type="gramEnd"/>
      <w:r>
        <w:t xml:space="preserve"> which have areas of a similar demographic population should undertake similar studies.</w:t>
      </w:r>
    </w:p>
    <w:p w14:paraId="4AC801CB" w14:textId="77777777" w:rsidR="008F2D4F" w:rsidRPr="00B379AC" w:rsidRDefault="008F2D4F" w:rsidP="00B379AC">
      <w:pPr>
        <w:pStyle w:val="Heading1"/>
        <w:divId w:val="587736651"/>
      </w:pPr>
      <w:r w:rsidRPr="00B379AC">
        <w:t xml:space="preserve">Author details </w:t>
      </w:r>
    </w:p>
    <w:p w14:paraId="75F9929F" w14:textId="77777777" w:rsidR="008F2D4F" w:rsidRDefault="008F2D4F" w:rsidP="00B379AC">
      <w:pPr>
        <w:divId w:val="587736651"/>
      </w:pPr>
      <w:r>
        <w:t>Dr Kate E Proudmore,</w:t>
      </w:r>
      <w:r>
        <w:rPr>
          <w:vertAlign w:val="superscript"/>
        </w:rPr>
        <w:t>1,2,3</w:t>
      </w:r>
      <w:r>
        <w:t xml:space="preserve"> </w:t>
      </w:r>
    </w:p>
    <w:p w14:paraId="027AE1B7" w14:textId="77777777" w:rsidR="008F2D4F" w:rsidRDefault="008F2D4F" w:rsidP="00B379AC">
      <w:pPr>
        <w:divId w:val="587736651"/>
      </w:pPr>
      <w:r>
        <w:t xml:space="preserve">Mrs Ma Nu </w:t>
      </w:r>
      <w:proofErr w:type="spellStart"/>
      <w:r>
        <w:t>Nu</w:t>
      </w:r>
      <w:proofErr w:type="spellEnd"/>
      <w:r>
        <w:t xml:space="preserve"> Swe,</w:t>
      </w:r>
      <w:r>
        <w:rPr>
          <w:vertAlign w:val="superscript"/>
        </w:rPr>
        <w:t xml:space="preserve">2,3 </w:t>
      </w:r>
    </w:p>
    <w:p w14:paraId="3F31D803" w14:textId="77777777" w:rsidR="008F2D4F" w:rsidRDefault="008F2D4F" w:rsidP="00B379AC">
      <w:pPr>
        <w:divId w:val="587736651"/>
      </w:pPr>
      <w:r>
        <w:t>Ms May Leitch,</w:t>
      </w:r>
      <w:r>
        <w:rPr>
          <w:vertAlign w:val="superscript"/>
        </w:rPr>
        <w:t xml:space="preserve">2,3 </w:t>
      </w:r>
    </w:p>
    <w:p w14:paraId="7638BD36" w14:textId="77777777" w:rsidR="008F2D4F" w:rsidRDefault="008F2D4F" w:rsidP="00B379AC">
      <w:pPr>
        <w:divId w:val="587736651"/>
      </w:pPr>
      <w:proofErr w:type="gramStart"/>
      <w:r>
        <w:t>Mrs</w:t>
      </w:r>
      <w:proofErr w:type="gramEnd"/>
      <w:r>
        <w:t xml:space="preserve"> Kim Clayfield,</w:t>
      </w:r>
      <w:r>
        <w:rPr>
          <w:vertAlign w:val="superscript"/>
        </w:rPr>
        <w:t xml:space="preserve">2,3 </w:t>
      </w:r>
    </w:p>
    <w:p w14:paraId="79BFB474" w14:textId="77777777" w:rsidR="008F2D4F" w:rsidRDefault="008F2D4F" w:rsidP="00B379AC">
      <w:pPr>
        <w:divId w:val="587736651"/>
      </w:pPr>
      <w:r>
        <w:t>Ms Jann Hennessy,</w:t>
      </w:r>
      <w:r>
        <w:rPr>
          <w:vertAlign w:val="superscript"/>
        </w:rPr>
        <w:t xml:space="preserve">2,3 </w:t>
      </w:r>
    </w:p>
    <w:p w14:paraId="4A7ABF73" w14:textId="77777777" w:rsidR="008F2D4F" w:rsidRDefault="008F2D4F" w:rsidP="00B379AC">
      <w:pPr>
        <w:divId w:val="587736651"/>
      </w:pPr>
      <w:r>
        <w:t>A/Prof. Rob W Baird,</w:t>
      </w:r>
      <w:r>
        <w:rPr>
          <w:vertAlign w:val="superscript"/>
        </w:rPr>
        <w:t>2,4</w:t>
      </w:r>
      <w:r>
        <w:t xml:space="preserve"> </w:t>
      </w:r>
    </w:p>
    <w:p w14:paraId="620F7B9D" w14:textId="77777777" w:rsidR="008F2D4F" w:rsidRPr="00B379AC" w:rsidRDefault="008F2D4F" w:rsidP="00B379AC">
      <w:pPr>
        <w:pStyle w:val="ListParagraph"/>
        <w:numPr>
          <w:ilvl w:val="0"/>
          <w:numId w:val="9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Advanced Trainee Infectious Diseases and Acute and General Care Medicine. </w:t>
      </w:r>
    </w:p>
    <w:p w14:paraId="070611E7" w14:textId="77777777" w:rsidR="008F2D4F" w:rsidRPr="00B379AC" w:rsidRDefault="008F2D4F" w:rsidP="00B379AC">
      <w:pPr>
        <w:pStyle w:val="ListParagraph"/>
        <w:numPr>
          <w:ilvl w:val="0"/>
          <w:numId w:val="9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Territory Pathology, Royal Darwin Hospital, Rocklands Drive TIWI NT 0810 Australia. </w:t>
      </w:r>
    </w:p>
    <w:p w14:paraId="0EE9728F" w14:textId="77777777" w:rsidR="008F2D4F" w:rsidRPr="00B379AC" w:rsidRDefault="008F2D4F" w:rsidP="00B379AC">
      <w:pPr>
        <w:pStyle w:val="ListParagraph"/>
        <w:numPr>
          <w:ilvl w:val="0"/>
          <w:numId w:val="9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Department of Microbiology, Royal Darwin Hospital, Rocklands Drive TIWI NT 0810 Australia. </w:t>
      </w:r>
    </w:p>
    <w:p w14:paraId="2CDC8ECC" w14:textId="77777777" w:rsidR="008F2D4F" w:rsidRPr="00B379AC" w:rsidRDefault="008F2D4F" w:rsidP="00B379AC">
      <w:pPr>
        <w:pStyle w:val="ListParagraph"/>
        <w:numPr>
          <w:ilvl w:val="0"/>
          <w:numId w:val="9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Clinical Microbiologist and Director of Pathology, Territory Pathology, Royal Darwin Hospital, Rocklands Drive TIWI NT 0810 Australia. </w:t>
      </w:r>
    </w:p>
    <w:p w14:paraId="245F0074" w14:textId="77777777" w:rsidR="008F2D4F" w:rsidRPr="00B379AC" w:rsidRDefault="008F2D4F" w:rsidP="00C92FCB">
      <w:pPr>
        <w:pStyle w:val="Heading2"/>
        <w:spacing w:after="200"/>
        <w:divId w:val="587736651"/>
      </w:pPr>
      <w:r w:rsidRPr="00B379AC">
        <w:t xml:space="preserve">Corresponding author </w:t>
      </w:r>
    </w:p>
    <w:p w14:paraId="6BA11B89" w14:textId="77777777" w:rsidR="008F2D4F" w:rsidRDefault="008F2D4F" w:rsidP="00B379AC">
      <w:pPr>
        <w:divId w:val="587736651"/>
      </w:pPr>
      <w:r>
        <w:t xml:space="preserve">Dr Kate E </w:t>
      </w:r>
      <w:proofErr w:type="spellStart"/>
      <w:r>
        <w:t>Proudmore</w:t>
      </w:r>
      <w:proofErr w:type="spellEnd"/>
      <w:r>
        <w:t xml:space="preserve"> </w:t>
      </w:r>
    </w:p>
    <w:p w14:paraId="1EAA35DB" w14:textId="77777777" w:rsidR="008F2D4F" w:rsidRDefault="008F2D4F" w:rsidP="00B379AC">
      <w:pPr>
        <w:divId w:val="587736651"/>
      </w:pPr>
      <w:r>
        <w:t xml:space="preserve">Address: Royal Darwin Hospital, Rocklands Drive TIWI NT 0810 Australia </w:t>
      </w:r>
    </w:p>
    <w:p w14:paraId="02E0D95F" w14:textId="77777777" w:rsidR="008F2D4F" w:rsidRDefault="008F2D4F" w:rsidP="00B379AC">
      <w:pPr>
        <w:divId w:val="587736651"/>
      </w:pPr>
      <w:r>
        <w:t xml:space="preserve">Phone: 0409 115 600 </w:t>
      </w:r>
    </w:p>
    <w:p w14:paraId="06FFB794" w14:textId="77777777" w:rsidR="008F2D4F" w:rsidRDefault="008F2D4F" w:rsidP="00B379AC">
      <w:pPr>
        <w:divId w:val="587736651"/>
      </w:pPr>
      <w:r>
        <w:t>Email: kate.proudmore@nt.gov.au</w:t>
      </w:r>
    </w:p>
    <w:p w14:paraId="1B3266BC" w14:textId="77777777" w:rsidR="008F2D4F" w:rsidRPr="00B379AC" w:rsidRDefault="008F2D4F" w:rsidP="00B379AC">
      <w:pPr>
        <w:pStyle w:val="Heading1"/>
        <w:divId w:val="587736651"/>
      </w:pPr>
      <w:r w:rsidRPr="00B379AC">
        <w:t xml:space="preserve">References </w:t>
      </w:r>
    </w:p>
    <w:p w14:paraId="779C0D15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proofErr w:type="spellStart"/>
      <w:r w:rsidRPr="00B379AC">
        <w:rPr>
          <w:rFonts w:eastAsia="Times New Roman"/>
        </w:rPr>
        <w:t>Spellerberg</w:t>
      </w:r>
      <w:proofErr w:type="spellEnd"/>
      <w:r w:rsidRPr="00B379AC">
        <w:rPr>
          <w:rFonts w:eastAsia="Times New Roman"/>
        </w:rPr>
        <w:t xml:space="preserve"> P, Brandt C. Streptococcus. In </w:t>
      </w:r>
      <w:proofErr w:type="spellStart"/>
      <w:r w:rsidRPr="00B379AC">
        <w:rPr>
          <w:rFonts w:eastAsia="Times New Roman"/>
        </w:rPr>
        <w:t>Versalovich</w:t>
      </w:r>
      <w:proofErr w:type="spellEnd"/>
      <w:r w:rsidRPr="00B379AC">
        <w:rPr>
          <w:rFonts w:eastAsia="Times New Roman"/>
        </w:rPr>
        <w:t xml:space="preserve"> J, Carroll KC, Funke G, Jorgensen JH, Landry ML, Warnock DW, eds. </w:t>
      </w:r>
      <w:r w:rsidRPr="00B379AC">
        <w:rPr>
          <w:rStyle w:val="Emphasis"/>
          <w:rFonts w:eastAsia="Times New Roman"/>
          <w:b w:val="0"/>
          <w:bCs w:val="0"/>
        </w:rPr>
        <w:t>Manual of Clinical Microbiology</w:t>
      </w:r>
      <w:r w:rsidRPr="00B379AC">
        <w:rPr>
          <w:rFonts w:eastAsia="Times New Roman"/>
        </w:rPr>
        <w:t xml:space="preserve"> (10th Edition). Washington DC: American Society for Microbiology Press, 2011; 331–49. </w:t>
      </w:r>
      <w:proofErr w:type="spellStart"/>
      <w:r w:rsidRPr="00B379AC">
        <w:rPr>
          <w:rFonts w:eastAsia="Times New Roman"/>
        </w:rPr>
        <w:t>doi</w:t>
      </w:r>
      <w:proofErr w:type="spellEnd"/>
      <w:r w:rsidRPr="00B379AC">
        <w:rPr>
          <w:rFonts w:eastAsia="Times New Roman"/>
        </w:rPr>
        <w:t xml:space="preserve">: https://doi.org/10.1128/9781555816728.ch20. </w:t>
      </w:r>
    </w:p>
    <w:p w14:paraId="38AEC492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Yanni M, Stark M, Francis L, Francis JR, McMillan M, Baird R et al. Neonatal group B streptococcal infection in Australia: a case-control study. </w:t>
      </w:r>
      <w:proofErr w:type="spellStart"/>
      <w:r w:rsidRPr="00B379AC">
        <w:rPr>
          <w:rStyle w:val="Emphasis"/>
          <w:rFonts w:eastAsia="Times New Roman"/>
          <w:b w:val="0"/>
          <w:bCs w:val="0"/>
        </w:rPr>
        <w:t>Pediatr</w:t>
      </w:r>
      <w:proofErr w:type="spellEnd"/>
      <w:r w:rsidRPr="00B379AC">
        <w:rPr>
          <w:rStyle w:val="Emphasis"/>
          <w:rFonts w:eastAsia="Times New Roman"/>
          <w:b w:val="0"/>
          <w:bCs w:val="0"/>
        </w:rPr>
        <w:t xml:space="preserve"> Infect Dis J</w:t>
      </w:r>
      <w:r w:rsidRPr="00B379AC">
        <w:rPr>
          <w:rFonts w:eastAsia="Times New Roman"/>
        </w:rPr>
        <w:t xml:space="preserve">. 2023;42(5):429–35. </w:t>
      </w:r>
      <w:proofErr w:type="spellStart"/>
      <w:r w:rsidRPr="00B379AC">
        <w:rPr>
          <w:rFonts w:eastAsia="Times New Roman"/>
        </w:rPr>
        <w:t>doi</w:t>
      </w:r>
      <w:proofErr w:type="spellEnd"/>
      <w:r w:rsidRPr="00B379AC">
        <w:rPr>
          <w:rFonts w:eastAsia="Times New Roman"/>
        </w:rPr>
        <w:t xml:space="preserve">: https://doi.org/10.1097/INF.0000000000003881. </w:t>
      </w:r>
    </w:p>
    <w:p w14:paraId="23B7E07E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Therapeutic Guidelines. Prevention of neonatal </w:t>
      </w:r>
      <w:r w:rsidRPr="00B379AC">
        <w:rPr>
          <w:rStyle w:val="Emphasis"/>
          <w:rFonts w:eastAsia="Times New Roman"/>
          <w:b w:val="0"/>
          <w:bCs w:val="0"/>
        </w:rPr>
        <w:t>Streptococcus agalactiae</w:t>
      </w:r>
      <w:r w:rsidRPr="00B379AC">
        <w:rPr>
          <w:rFonts w:eastAsia="Times New Roman"/>
        </w:rPr>
        <w:t xml:space="preserve"> (group B streptococcus) disease. [Internet.] Melbourne: Therapeutic Guidelines Limited; April 2019. [Accessed on 5 May 2023.] Available from: www.tg.org.au. </w:t>
      </w:r>
    </w:p>
    <w:p w14:paraId="602C183D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lastRenderedPageBreak/>
        <w:t xml:space="preserve">Garland SM, </w:t>
      </w:r>
      <w:proofErr w:type="spellStart"/>
      <w:r w:rsidRPr="00B379AC">
        <w:rPr>
          <w:rFonts w:eastAsia="Times New Roman"/>
        </w:rPr>
        <w:t>Cottrill</w:t>
      </w:r>
      <w:proofErr w:type="spellEnd"/>
      <w:r w:rsidRPr="00B379AC">
        <w:rPr>
          <w:rFonts w:eastAsia="Times New Roman"/>
        </w:rPr>
        <w:t xml:space="preserve"> E, </w:t>
      </w:r>
      <w:proofErr w:type="spellStart"/>
      <w:r w:rsidRPr="00B379AC">
        <w:rPr>
          <w:rFonts w:eastAsia="Times New Roman"/>
        </w:rPr>
        <w:t>Markowski</w:t>
      </w:r>
      <w:proofErr w:type="spellEnd"/>
      <w:r w:rsidRPr="00B379AC">
        <w:rPr>
          <w:rFonts w:eastAsia="Times New Roman"/>
        </w:rPr>
        <w:t xml:space="preserve"> L, Pearce C, Clifford V, </w:t>
      </w:r>
      <w:proofErr w:type="spellStart"/>
      <w:r w:rsidRPr="00B379AC">
        <w:rPr>
          <w:rFonts w:eastAsia="Times New Roman"/>
        </w:rPr>
        <w:t>Ndisang</w:t>
      </w:r>
      <w:proofErr w:type="spellEnd"/>
      <w:r w:rsidRPr="00B379AC">
        <w:rPr>
          <w:rFonts w:eastAsia="Times New Roman"/>
        </w:rPr>
        <w:t xml:space="preserve"> D et al. </w:t>
      </w:r>
      <w:proofErr w:type="gramStart"/>
      <w:r w:rsidRPr="00B379AC">
        <w:rPr>
          <w:rFonts w:eastAsia="Times New Roman"/>
        </w:rPr>
        <w:t>Antimicrobial</w:t>
      </w:r>
      <w:proofErr w:type="gramEnd"/>
      <w:r w:rsidRPr="00B379AC">
        <w:rPr>
          <w:rFonts w:eastAsia="Times New Roman"/>
        </w:rPr>
        <w:t xml:space="preserve"> resistance in group B streptococcus: the Australian experience. </w:t>
      </w:r>
      <w:r w:rsidRPr="00B379AC">
        <w:rPr>
          <w:rStyle w:val="Emphasis"/>
          <w:rFonts w:eastAsia="Times New Roman"/>
          <w:b w:val="0"/>
          <w:bCs w:val="0"/>
        </w:rPr>
        <w:t xml:space="preserve">J Med </w:t>
      </w:r>
      <w:proofErr w:type="spellStart"/>
      <w:r w:rsidRPr="00B379AC">
        <w:rPr>
          <w:rStyle w:val="Emphasis"/>
          <w:rFonts w:eastAsia="Times New Roman"/>
          <w:b w:val="0"/>
          <w:bCs w:val="0"/>
        </w:rPr>
        <w:t>Microbiol</w:t>
      </w:r>
      <w:proofErr w:type="spellEnd"/>
      <w:r w:rsidRPr="00B379AC">
        <w:rPr>
          <w:rFonts w:eastAsia="Times New Roman"/>
        </w:rPr>
        <w:t xml:space="preserve">. 2011;60(Pt 2):230–5. </w:t>
      </w:r>
      <w:proofErr w:type="spellStart"/>
      <w:r w:rsidRPr="00B379AC">
        <w:rPr>
          <w:rFonts w:eastAsia="Times New Roman"/>
        </w:rPr>
        <w:t>doi</w:t>
      </w:r>
      <w:proofErr w:type="spellEnd"/>
      <w:r w:rsidRPr="00B379AC">
        <w:rPr>
          <w:rFonts w:eastAsia="Times New Roman"/>
        </w:rPr>
        <w:t xml:space="preserve">: https://doi.org/10.1099/jmm.0.022616-0. </w:t>
      </w:r>
    </w:p>
    <w:p w14:paraId="16AACD88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Hayes K, Cotter L, Barry L, O’Halloran F. Emergence of the L phenotype in Group B Streptococci in the South of Ireland. </w:t>
      </w:r>
      <w:r w:rsidRPr="00B379AC">
        <w:rPr>
          <w:rStyle w:val="Emphasis"/>
          <w:rFonts w:eastAsia="Times New Roman"/>
          <w:b w:val="0"/>
          <w:bCs w:val="0"/>
        </w:rPr>
        <w:t>Epidemiol Infect</w:t>
      </w:r>
      <w:r w:rsidRPr="00B379AC">
        <w:rPr>
          <w:rFonts w:eastAsia="Times New Roman"/>
        </w:rPr>
        <w:t xml:space="preserve">. 2017;145(16):3535–42. </w:t>
      </w:r>
      <w:proofErr w:type="spellStart"/>
      <w:r w:rsidRPr="00B379AC">
        <w:rPr>
          <w:rFonts w:eastAsia="Times New Roman"/>
        </w:rPr>
        <w:t>doi</w:t>
      </w:r>
      <w:proofErr w:type="spellEnd"/>
      <w:r w:rsidRPr="00B379AC">
        <w:rPr>
          <w:rFonts w:eastAsia="Times New Roman"/>
        </w:rPr>
        <w:t xml:space="preserve">: https://doi.org/10.1017/S0950268817002461. </w:t>
      </w:r>
    </w:p>
    <w:p w14:paraId="319B8711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proofErr w:type="spellStart"/>
      <w:r w:rsidRPr="00B379AC">
        <w:rPr>
          <w:rFonts w:eastAsia="Times New Roman"/>
        </w:rPr>
        <w:t>Gygax</w:t>
      </w:r>
      <w:proofErr w:type="spellEnd"/>
      <w:r w:rsidRPr="00B379AC">
        <w:rPr>
          <w:rFonts w:eastAsia="Times New Roman"/>
        </w:rPr>
        <w:t xml:space="preserve"> SE, Schuyler JA, Kimmel LE, </w:t>
      </w:r>
      <w:proofErr w:type="spellStart"/>
      <w:r w:rsidRPr="00B379AC">
        <w:rPr>
          <w:rFonts w:eastAsia="Times New Roman"/>
        </w:rPr>
        <w:t>Trama</w:t>
      </w:r>
      <w:proofErr w:type="spellEnd"/>
      <w:r w:rsidRPr="00B379AC">
        <w:rPr>
          <w:rFonts w:eastAsia="Times New Roman"/>
        </w:rPr>
        <w:t xml:space="preserve"> JP, Mordechai E, Adelson ME. </w:t>
      </w:r>
      <w:proofErr w:type="gramStart"/>
      <w:r w:rsidRPr="00B379AC">
        <w:rPr>
          <w:rFonts w:eastAsia="Times New Roman"/>
        </w:rPr>
        <w:t>Erythromycin</w:t>
      </w:r>
      <w:proofErr w:type="gramEnd"/>
      <w:r w:rsidRPr="00B379AC">
        <w:rPr>
          <w:rFonts w:eastAsia="Times New Roman"/>
        </w:rPr>
        <w:t xml:space="preserve"> and clindamycin resistance in group B streptococcal clinical isolates. </w:t>
      </w:r>
      <w:proofErr w:type="spellStart"/>
      <w:r w:rsidRPr="00B379AC">
        <w:rPr>
          <w:rStyle w:val="Emphasis"/>
          <w:rFonts w:eastAsia="Times New Roman"/>
          <w:b w:val="0"/>
          <w:bCs w:val="0"/>
        </w:rPr>
        <w:t>Antimicrob</w:t>
      </w:r>
      <w:proofErr w:type="spellEnd"/>
      <w:r w:rsidRPr="00B379AC">
        <w:rPr>
          <w:rStyle w:val="Emphasis"/>
          <w:rFonts w:eastAsia="Times New Roman"/>
          <w:b w:val="0"/>
          <w:bCs w:val="0"/>
        </w:rPr>
        <w:t xml:space="preserve"> Agents </w:t>
      </w:r>
      <w:proofErr w:type="spellStart"/>
      <w:r w:rsidRPr="00B379AC">
        <w:rPr>
          <w:rStyle w:val="Emphasis"/>
          <w:rFonts w:eastAsia="Times New Roman"/>
          <w:b w:val="0"/>
          <w:bCs w:val="0"/>
        </w:rPr>
        <w:t>Chemother</w:t>
      </w:r>
      <w:proofErr w:type="spellEnd"/>
      <w:r w:rsidRPr="00B379AC">
        <w:rPr>
          <w:rFonts w:eastAsia="Times New Roman"/>
        </w:rPr>
        <w:t xml:space="preserve">. 2006;50(5):1875–7. </w:t>
      </w:r>
      <w:proofErr w:type="spellStart"/>
      <w:r w:rsidRPr="00B379AC">
        <w:rPr>
          <w:rFonts w:eastAsia="Times New Roman"/>
        </w:rPr>
        <w:t>doi</w:t>
      </w:r>
      <w:proofErr w:type="spellEnd"/>
      <w:r w:rsidRPr="00B379AC">
        <w:rPr>
          <w:rFonts w:eastAsia="Times New Roman"/>
        </w:rPr>
        <w:t xml:space="preserve">: https://doi.org/10.1128/AAC.50.5.1875-1877.2006. </w:t>
      </w:r>
    </w:p>
    <w:p w14:paraId="3699548B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Jones S, Newton P, Payne M, </w:t>
      </w:r>
      <w:proofErr w:type="spellStart"/>
      <w:r w:rsidRPr="00B379AC">
        <w:rPr>
          <w:rFonts w:eastAsia="Times New Roman"/>
        </w:rPr>
        <w:t>Furfaro</w:t>
      </w:r>
      <w:proofErr w:type="spellEnd"/>
      <w:r w:rsidRPr="00B379AC">
        <w:rPr>
          <w:rFonts w:eastAsia="Times New Roman"/>
        </w:rPr>
        <w:t xml:space="preserve"> L. Epidemiology, antimicrobial resistance, and virulence determinants of group B streptococcus in an Australian setting. </w:t>
      </w:r>
      <w:r w:rsidRPr="00B379AC">
        <w:rPr>
          <w:rStyle w:val="Emphasis"/>
          <w:rFonts w:eastAsia="Times New Roman"/>
          <w:b w:val="0"/>
          <w:bCs w:val="0"/>
        </w:rPr>
        <w:t xml:space="preserve">Front </w:t>
      </w:r>
      <w:proofErr w:type="spellStart"/>
      <w:r w:rsidRPr="00B379AC">
        <w:rPr>
          <w:rStyle w:val="Emphasis"/>
          <w:rFonts w:eastAsia="Times New Roman"/>
          <w:b w:val="0"/>
          <w:bCs w:val="0"/>
        </w:rPr>
        <w:t>Microbiol</w:t>
      </w:r>
      <w:proofErr w:type="spellEnd"/>
      <w:r w:rsidRPr="00B379AC">
        <w:rPr>
          <w:rFonts w:eastAsia="Times New Roman"/>
        </w:rPr>
        <w:t xml:space="preserve">. </w:t>
      </w:r>
      <w:proofErr w:type="gramStart"/>
      <w:r w:rsidRPr="00B379AC">
        <w:rPr>
          <w:rFonts w:eastAsia="Times New Roman"/>
        </w:rPr>
        <w:t>2022;13:839079</w:t>
      </w:r>
      <w:proofErr w:type="gramEnd"/>
      <w:r w:rsidRPr="00B379AC">
        <w:rPr>
          <w:rFonts w:eastAsia="Times New Roman"/>
        </w:rPr>
        <w:t xml:space="preserve">. </w:t>
      </w:r>
      <w:proofErr w:type="spellStart"/>
      <w:r w:rsidRPr="00B379AC">
        <w:rPr>
          <w:rFonts w:eastAsia="Times New Roman"/>
        </w:rPr>
        <w:t>doi</w:t>
      </w:r>
      <w:proofErr w:type="spellEnd"/>
      <w:r w:rsidRPr="00B379AC">
        <w:rPr>
          <w:rFonts w:eastAsia="Times New Roman"/>
        </w:rPr>
        <w:t xml:space="preserve">: https://doi.org/10.3389/fmicb.2022.839079. </w:t>
      </w:r>
    </w:p>
    <w:p w14:paraId="334D2945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Kadri SS. Key takeaways from the U.S. CDC’s 2019 Antibiotic Resistance Threats Report for frontline providers. </w:t>
      </w:r>
      <w:r w:rsidRPr="00B379AC">
        <w:rPr>
          <w:rStyle w:val="Emphasis"/>
          <w:rFonts w:eastAsia="Times New Roman"/>
          <w:b w:val="0"/>
          <w:bCs w:val="0"/>
        </w:rPr>
        <w:t>Crit Care Med</w:t>
      </w:r>
      <w:r w:rsidRPr="00B379AC">
        <w:rPr>
          <w:rFonts w:eastAsia="Times New Roman"/>
        </w:rPr>
        <w:t xml:space="preserve">. 2020;48(7):939–45. </w:t>
      </w:r>
      <w:proofErr w:type="spellStart"/>
      <w:r w:rsidRPr="00B379AC">
        <w:rPr>
          <w:rFonts w:eastAsia="Times New Roman"/>
        </w:rPr>
        <w:t>doi</w:t>
      </w:r>
      <w:proofErr w:type="spellEnd"/>
      <w:r w:rsidRPr="00B379AC">
        <w:rPr>
          <w:rFonts w:eastAsia="Times New Roman"/>
        </w:rPr>
        <w:t xml:space="preserve">: https://doi.org/10.1097/CCM.0000000000004371. </w:t>
      </w:r>
    </w:p>
    <w:p w14:paraId="32350E90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proofErr w:type="spellStart"/>
      <w:r w:rsidRPr="00B379AC">
        <w:rPr>
          <w:rFonts w:eastAsia="Times New Roman"/>
        </w:rPr>
        <w:t>Barcaite</w:t>
      </w:r>
      <w:proofErr w:type="spellEnd"/>
      <w:r w:rsidRPr="00B379AC">
        <w:rPr>
          <w:rFonts w:eastAsia="Times New Roman"/>
        </w:rPr>
        <w:t xml:space="preserve"> E, </w:t>
      </w:r>
      <w:proofErr w:type="spellStart"/>
      <w:r w:rsidRPr="00B379AC">
        <w:rPr>
          <w:rFonts w:eastAsia="Times New Roman"/>
        </w:rPr>
        <w:t>Bartusevicius</w:t>
      </w:r>
      <w:proofErr w:type="spellEnd"/>
      <w:r w:rsidRPr="00B379AC">
        <w:rPr>
          <w:rFonts w:eastAsia="Times New Roman"/>
        </w:rPr>
        <w:t xml:space="preserve"> A, </w:t>
      </w:r>
      <w:proofErr w:type="spellStart"/>
      <w:r w:rsidRPr="00B379AC">
        <w:rPr>
          <w:rFonts w:eastAsia="Times New Roman"/>
        </w:rPr>
        <w:t>Tameliene</w:t>
      </w:r>
      <w:proofErr w:type="spellEnd"/>
      <w:r w:rsidRPr="00B379AC">
        <w:rPr>
          <w:rFonts w:eastAsia="Times New Roman"/>
        </w:rPr>
        <w:t xml:space="preserve"> R, </w:t>
      </w:r>
      <w:proofErr w:type="spellStart"/>
      <w:r w:rsidRPr="00B379AC">
        <w:rPr>
          <w:rFonts w:eastAsia="Times New Roman"/>
        </w:rPr>
        <w:t>Kliucinskas</w:t>
      </w:r>
      <w:proofErr w:type="spellEnd"/>
      <w:r w:rsidRPr="00B379AC">
        <w:rPr>
          <w:rFonts w:eastAsia="Times New Roman"/>
        </w:rPr>
        <w:t xml:space="preserve"> M, </w:t>
      </w:r>
      <w:proofErr w:type="spellStart"/>
      <w:r w:rsidRPr="00B379AC">
        <w:rPr>
          <w:rFonts w:eastAsia="Times New Roman"/>
        </w:rPr>
        <w:t>Maleckiene</w:t>
      </w:r>
      <w:proofErr w:type="spellEnd"/>
      <w:r w:rsidRPr="00B379AC">
        <w:rPr>
          <w:rFonts w:eastAsia="Times New Roman"/>
        </w:rPr>
        <w:t xml:space="preserve"> L, </w:t>
      </w:r>
      <w:proofErr w:type="spellStart"/>
      <w:r w:rsidRPr="00B379AC">
        <w:rPr>
          <w:rFonts w:eastAsia="Times New Roman"/>
        </w:rPr>
        <w:t>Nadisauskiene</w:t>
      </w:r>
      <w:proofErr w:type="spellEnd"/>
      <w:r w:rsidRPr="00B379AC">
        <w:rPr>
          <w:rFonts w:eastAsia="Times New Roman"/>
        </w:rPr>
        <w:t xml:space="preserve"> R. Prevalence of maternal group B streptococcal colonisation in European countries. </w:t>
      </w:r>
      <w:r w:rsidRPr="00B379AC">
        <w:rPr>
          <w:rStyle w:val="Emphasis"/>
          <w:rFonts w:eastAsia="Times New Roman"/>
          <w:b w:val="0"/>
          <w:bCs w:val="0"/>
        </w:rPr>
        <w:t xml:space="preserve">Acta </w:t>
      </w:r>
      <w:proofErr w:type="spellStart"/>
      <w:r w:rsidRPr="00B379AC">
        <w:rPr>
          <w:rStyle w:val="Emphasis"/>
          <w:rFonts w:eastAsia="Times New Roman"/>
          <w:b w:val="0"/>
          <w:bCs w:val="0"/>
        </w:rPr>
        <w:t>Obstet</w:t>
      </w:r>
      <w:proofErr w:type="spellEnd"/>
      <w:r w:rsidRPr="00B379AC">
        <w:rPr>
          <w:rStyle w:val="Emphasis"/>
          <w:rFonts w:eastAsia="Times New Roman"/>
          <w:b w:val="0"/>
          <w:bCs w:val="0"/>
        </w:rPr>
        <w:t xml:space="preserve"> </w:t>
      </w:r>
      <w:proofErr w:type="spellStart"/>
      <w:r w:rsidRPr="00B379AC">
        <w:rPr>
          <w:rStyle w:val="Emphasis"/>
          <w:rFonts w:eastAsia="Times New Roman"/>
          <w:b w:val="0"/>
          <w:bCs w:val="0"/>
        </w:rPr>
        <w:t>Gynecol</w:t>
      </w:r>
      <w:proofErr w:type="spellEnd"/>
      <w:r w:rsidRPr="00B379AC">
        <w:rPr>
          <w:rStyle w:val="Emphasis"/>
          <w:rFonts w:eastAsia="Times New Roman"/>
          <w:b w:val="0"/>
          <w:bCs w:val="0"/>
        </w:rPr>
        <w:t xml:space="preserve"> Scand</w:t>
      </w:r>
      <w:r w:rsidRPr="00B379AC">
        <w:rPr>
          <w:rFonts w:eastAsia="Times New Roman"/>
        </w:rPr>
        <w:t xml:space="preserve">. 2008;87(3):260–71. </w:t>
      </w:r>
      <w:proofErr w:type="spellStart"/>
      <w:r w:rsidRPr="00B379AC">
        <w:rPr>
          <w:rFonts w:eastAsia="Times New Roman"/>
        </w:rPr>
        <w:t>doi</w:t>
      </w:r>
      <w:proofErr w:type="spellEnd"/>
      <w:r w:rsidRPr="00B379AC">
        <w:rPr>
          <w:rFonts w:eastAsia="Times New Roman"/>
        </w:rPr>
        <w:t xml:space="preserve">: https://doi.org/10.1080/00016340801908759. </w:t>
      </w:r>
    </w:p>
    <w:p w14:paraId="387C83A1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proofErr w:type="spellStart"/>
      <w:r w:rsidRPr="00B379AC">
        <w:rPr>
          <w:rFonts w:eastAsia="Times New Roman"/>
        </w:rPr>
        <w:t>Janapatla</w:t>
      </w:r>
      <w:proofErr w:type="spellEnd"/>
      <w:r w:rsidRPr="00B379AC">
        <w:rPr>
          <w:rFonts w:eastAsia="Times New Roman"/>
        </w:rPr>
        <w:t xml:space="preserve"> RP, Ho YR, Yan JJ, Wu HM, Wu JJ. The prevalence of erythromycin resistance in group B streptococcal isolates at a University Hospital in Taiwan. </w:t>
      </w:r>
      <w:proofErr w:type="spellStart"/>
      <w:r w:rsidRPr="00B379AC">
        <w:rPr>
          <w:rStyle w:val="Emphasis"/>
          <w:rFonts w:eastAsia="Times New Roman"/>
          <w:b w:val="0"/>
          <w:bCs w:val="0"/>
        </w:rPr>
        <w:t>Microb</w:t>
      </w:r>
      <w:proofErr w:type="spellEnd"/>
      <w:r w:rsidRPr="00B379AC">
        <w:rPr>
          <w:rStyle w:val="Emphasis"/>
          <w:rFonts w:eastAsia="Times New Roman"/>
          <w:b w:val="0"/>
          <w:bCs w:val="0"/>
        </w:rPr>
        <w:t xml:space="preserve"> Drug Resist</w:t>
      </w:r>
      <w:r w:rsidRPr="00B379AC">
        <w:rPr>
          <w:rFonts w:eastAsia="Times New Roman"/>
        </w:rPr>
        <w:t xml:space="preserve">. 2008;14(4):293–7. </w:t>
      </w:r>
      <w:proofErr w:type="spellStart"/>
      <w:r w:rsidRPr="00B379AC">
        <w:rPr>
          <w:rFonts w:eastAsia="Times New Roman"/>
        </w:rPr>
        <w:t>doi</w:t>
      </w:r>
      <w:proofErr w:type="spellEnd"/>
      <w:r w:rsidRPr="00B379AC">
        <w:rPr>
          <w:rFonts w:eastAsia="Times New Roman"/>
        </w:rPr>
        <w:t xml:space="preserve">: https://doi.org/10.1089/mdr.2008.0853. </w:t>
      </w:r>
    </w:p>
    <w:p w14:paraId="1BD27EBF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Ding Y, Wang Y, Hsia Y, Russell N, Heath PT. Systematic </w:t>
      </w:r>
      <w:proofErr w:type="gramStart"/>
      <w:r w:rsidRPr="00B379AC">
        <w:rPr>
          <w:rFonts w:eastAsia="Times New Roman"/>
        </w:rPr>
        <w:t>review</w:t>
      </w:r>
      <w:proofErr w:type="gramEnd"/>
      <w:r w:rsidRPr="00B379AC">
        <w:rPr>
          <w:rFonts w:eastAsia="Times New Roman"/>
        </w:rPr>
        <w:t xml:space="preserve"> and meta-analyses of incidence for group B streptococcus disease in infants and antimicrobial resistance, China. </w:t>
      </w:r>
      <w:proofErr w:type="spellStart"/>
      <w:r w:rsidRPr="00B379AC">
        <w:rPr>
          <w:rStyle w:val="Emphasis"/>
          <w:rFonts w:eastAsia="Times New Roman"/>
          <w:b w:val="0"/>
          <w:bCs w:val="0"/>
        </w:rPr>
        <w:t>Emerg</w:t>
      </w:r>
      <w:proofErr w:type="spellEnd"/>
      <w:r w:rsidRPr="00B379AC">
        <w:rPr>
          <w:rStyle w:val="Emphasis"/>
          <w:rFonts w:eastAsia="Times New Roman"/>
          <w:b w:val="0"/>
          <w:bCs w:val="0"/>
        </w:rPr>
        <w:t xml:space="preserve"> Infect Dis</w:t>
      </w:r>
      <w:r w:rsidRPr="00B379AC">
        <w:rPr>
          <w:rFonts w:eastAsia="Times New Roman"/>
        </w:rPr>
        <w:t xml:space="preserve">. 2020;26(11):2651–9. </w:t>
      </w:r>
      <w:proofErr w:type="spellStart"/>
      <w:r w:rsidRPr="00B379AC">
        <w:rPr>
          <w:rFonts w:eastAsia="Times New Roman"/>
        </w:rPr>
        <w:t>doi</w:t>
      </w:r>
      <w:proofErr w:type="spellEnd"/>
      <w:r w:rsidRPr="00B379AC">
        <w:rPr>
          <w:rFonts w:eastAsia="Times New Roman"/>
        </w:rPr>
        <w:t xml:space="preserve">: https://doi.org/10.3201/eid2611.181414. </w:t>
      </w:r>
    </w:p>
    <w:p w14:paraId="75553542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Australian Bureau of Statistics. Snapshot of Northern Territory. </w:t>
      </w:r>
      <w:proofErr w:type="spellStart"/>
      <w:r w:rsidRPr="00B379AC">
        <w:rPr>
          <w:rFonts w:eastAsia="Times New Roman"/>
        </w:rPr>
        <w:t>Highlevel</w:t>
      </w:r>
      <w:proofErr w:type="spellEnd"/>
      <w:r w:rsidRPr="00B379AC">
        <w:rPr>
          <w:rFonts w:eastAsia="Times New Roman"/>
        </w:rPr>
        <w:t xml:space="preserve"> summary data for Northern Territory in 2021. [Webpage.] Canberra: Australian Bureau of Standards; 28 June 2022. Available from: https://www.abs.gov.au/articles/snapshot-nt-2021. </w:t>
      </w:r>
    </w:p>
    <w:p w14:paraId="60E916F1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Clinical and Laboratory Standards Institute (CLSI). </w:t>
      </w:r>
      <w:r w:rsidRPr="00B379AC">
        <w:rPr>
          <w:rStyle w:val="Emphasis"/>
          <w:rFonts w:eastAsia="Times New Roman"/>
          <w:b w:val="0"/>
          <w:bCs w:val="0"/>
        </w:rPr>
        <w:t>Performance standards for antimicrobial susceptibility testing</w:t>
      </w:r>
      <w:r w:rsidRPr="00B379AC">
        <w:rPr>
          <w:rFonts w:eastAsia="Times New Roman"/>
        </w:rPr>
        <w:t xml:space="preserve">. 32nd ed. CLSI supplement M100. Wayne, PA: CLSI; 2022. </w:t>
      </w:r>
    </w:p>
    <w:p w14:paraId="69220007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The Antimicrobial Use and Resistance in Australia (AURA) Surveillance System. </w:t>
      </w:r>
      <w:r w:rsidRPr="00B379AC">
        <w:rPr>
          <w:rStyle w:val="Emphasis"/>
          <w:rFonts w:eastAsia="Times New Roman"/>
          <w:b w:val="0"/>
          <w:bCs w:val="0"/>
        </w:rPr>
        <w:t>AURA 2021. Fourth Australian report on antimicrobial use and resistance in human health</w:t>
      </w:r>
      <w:r w:rsidRPr="00B379AC">
        <w:rPr>
          <w:rFonts w:eastAsia="Times New Roman"/>
        </w:rPr>
        <w:t xml:space="preserve">. Sydney: Australian Commission on Safety and Quality in Health Care; 2021. [Accessed on 17 May 2023.] Available from: https://www.safetyandquality.gov.au/sites/default/files/2021-08/AURA_2021_Fourth_Australian_report_on_antimicrobial_use_and_resistance_in_human_health.pdf. </w:t>
      </w:r>
    </w:p>
    <w:p w14:paraId="5867FCA2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The Royal Hospital for Women. </w:t>
      </w:r>
      <w:r w:rsidRPr="00B379AC">
        <w:rPr>
          <w:rStyle w:val="Emphasis"/>
          <w:rFonts w:eastAsia="Times New Roman"/>
          <w:b w:val="0"/>
          <w:bCs w:val="0"/>
        </w:rPr>
        <w:t xml:space="preserve">Local operating procedure – clinical. Group B Streptococcus (GBS) Screening </w:t>
      </w:r>
      <w:proofErr w:type="gramStart"/>
      <w:r w:rsidRPr="00B379AC">
        <w:rPr>
          <w:rStyle w:val="Emphasis"/>
          <w:rFonts w:eastAsia="Times New Roman"/>
          <w:b w:val="0"/>
          <w:bCs w:val="0"/>
        </w:rPr>
        <w:t>And</w:t>
      </w:r>
      <w:proofErr w:type="gramEnd"/>
      <w:r w:rsidRPr="00B379AC">
        <w:rPr>
          <w:rStyle w:val="Emphasis"/>
          <w:rFonts w:eastAsia="Times New Roman"/>
          <w:b w:val="0"/>
          <w:bCs w:val="0"/>
        </w:rPr>
        <w:t xml:space="preserve"> Prophylaxis</w:t>
      </w:r>
      <w:r w:rsidRPr="00B379AC">
        <w:rPr>
          <w:rFonts w:eastAsia="Times New Roman"/>
        </w:rPr>
        <w:t xml:space="preserve">. Sydney: </w:t>
      </w:r>
      <w:proofErr w:type="gramStart"/>
      <w:r w:rsidRPr="00B379AC">
        <w:rPr>
          <w:rFonts w:eastAsia="Times New Roman"/>
        </w:rPr>
        <w:t>South Eastern</w:t>
      </w:r>
      <w:proofErr w:type="gramEnd"/>
      <w:r w:rsidRPr="00B379AC">
        <w:rPr>
          <w:rFonts w:eastAsia="Times New Roman"/>
        </w:rPr>
        <w:t xml:space="preserve"> Sydney Local Health District, the Royal Hospital for Women; June 2022. [Accessed on 17 May 2023.] Available from: https://www.seslhd.health.nsw.gov.au/sites/default/files/documents/GBSprophylaxis%202020.pdf. </w:t>
      </w:r>
    </w:p>
    <w:p w14:paraId="2853C8DE" w14:textId="77777777" w:rsidR="008F2D4F" w:rsidRPr="00B379AC" w:rsidRDefault="008F2D4F" w:rsidP="00B379AC">
      <w:pPr>
        <w:pStyle w:val="ListParagraph"/>
        <w:numPr>
          <w:ilvl w:val="0"/>
          <w:numId w:val="10"/>
        </w:numPr>
        <w:divId w:val="587736651"/>
        <w:rPr>
          <w:rFonts w:eastAsia="Times New Roman"/>
        </w:rPr>
      </w:pPr>
      <w:r w:rsidRPr="00B379AC">
        <w:rPr>
          <w:rFonts w:eastAsia="Times New Roman"/>
        </w:rPr>
        <w:t xml:space="preserve">Government of Western Australia North Metropolitan Health Service (NMHS). </w:t>
      </w:r>
      <w:r w:rsidRPr="00B379AC">
        <w:rPr>
          <w:rStyle w:val="Emphasis"/>
          <w:rFonts w:eastAsia="Times New Roman"/>
          <w:b w:val="0"/>
          <w:bCs w:val="0"/>
        </w:rPr>
        <w:t>Obstetrics And Gynaecology Clinical Practice Guideline. Group B streptococcal disease</w:t>
      </w:r>
      <w:r w:rsidRPr="00B379AC">
        <w:rPr>
          <w:rFonts w:eastAsia="Times New Roman"/>
        </w:rPr>
        <w:t>. Perth: NMHS; 2021. [Accessed on 17 May 2023.] Available from: https://www.kemh.health.wa.gov.au/~/media/HSPs/NMHS/Hospitals/WNHS/Documents/Clinical-guidelines/Obs-Gyn-Guidelines/Group-B-Streptococcal-Disease.pdf.</w:t>
      </w:r>
    </w:p>
    <w:p w14:paraId="72E8646C" w14:textId="77777777" w:rsidR="008B5348" w:rsidRDefault="008B5348">
      <w:pPr>
        <w:rPr>
          <w:rStyle w:val="A10"/>
        </w:rPr>
      </w:pPr>
    </w:p>
    <w:p w14:paraId="107DC1A6" w14:textId="31AD593A" w:rsidR="003C50A9" w:rsidRDefault="003C50A9" w:rsidP="00712554">
      <w:pPr>
        <w:pStyle w:val="CDIfootnotes"/>
        <w:divId w:val="1630428596"/>
        <w:rPr>
          <w:lang w:val="en-GB"/>
        </w:rPr>
      </w:pPr>
    </w:p>
    <w:p w14:paraId="31F0C88D" w14:textId="1E1DA8FB" w:rsidR="003C50A9" w:rsidRDefault="003C50A9">
      <w:pPr>
        <w:rPr>
          <w:rStyle w:val="A10"/>
        </w:rPr>
        <w:sectPr w:rsidR="003C50A9" w:rsidSect="00A30C37">
          <w:headerReference w:type="default" r:id="rId10"/>
          <w:footerReference w:type="default" r:id="rId11"/>
          <w:footerReference w:type="first" r:id="rId12"/>
          <w:pgSz w:w="11906" w:h="16838"/>
          <w:pgMar w:top="720" w:right="720" w:bottom="1134" w:left="720" w:header="709" w:footer="284" w:gutter="0"/>
          <w:cols w:space="708"/>
          <w:titlePg/>
          <w:docGrid w:linePitch="360"/>
        </w:sectPr>
      </w:pPr>
    </w:p>
    <w:p w14:paraId="7D4AA109" w14:textId="77777777" w:rsidR="000A5F42" w:rsidRPr="000606CC" w:rsidRDefault="000A5F42" w:rsidP="000A5F42">
      <w:pPr>
        <w:pStyle w:val="NoSpacing"/>
        <w:rPr>
          <w:rFonts w:cstheme="minorHAnsi"/>
          <w:sz w:val="18"/>
          <w:szCs w:val="18"/>
        </w:rPr>
      </w:pPr>
      <w:r w:rsidRPr="000606CC">
        <w:rPr>
          <w:rStyle w:val="Strong"/>
          <w:bCs w:val="0"/>
          <w:sz w:val="20"/>
        </w:rPr>
        <w:lastRenderedPageBreak/>
        <w:t>Communicable Diseases Intelligence</w:t>
      </w:r>
    </w:p>
    <w:p w14:paraId="3310D1FA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ISSN: 2209-6051 Online</w:t>
      </w:r>
    </w:p>
    <w:p w14:paraId="27543977" w14:textId="7777777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</w:p>
    <w:p w14:paraId="652D554F" w14:textId="77777777" w:rsidR="000A5F42" w:rsidRPr="000606CC" w:rsidRDefault="000A5F42" w:rsidP="000A5F42">
      <w:pPr>
        <w:pStyle w:val="NoSpacing"/>
        <w:rPr>
          <w:rStyle w:val="Strong"/>
          <w:rFonts w:cs="Calibri"/>
          <w:sz w:val="20"/>
          <w:szCs w:val="18"/>
        </w:rPr>
      </w:pPr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Communicable Diseases Intelligence (CDI) is a peer-reviewed scientific journal published by the Office of Health Protection, </w:t>
      </w:r>
      <w:r w:rsidR="001723AC">
        <w:rPr>
          <w:rStyle w:val="Strong"/>
          <w:rFonts w:cs="Calibri"/>
          <w:b w:val="0"/>
          <w:bCs w:val="0"/>
          <w:sz w:val="20"/>
          <w:szCs w:val="18"/>
        </w:rPr>
        <w:t xml:space="preserve">Department of </w:t>
      </w:r>
      <w:proofErr w:type="gramStart"/>
      <w:r w:rsidR="001723AC">
        <w:rPr>
          <w:rStyle w:val="Strong"/>
          <w:rFonts w:cs="Calibri"/>
          <w:b w:val="0"/>
          <w:bCs w:val="0"/>
          <w:sz w:val="20"/>
          <w:szCs w:val="18"/>
        </w:rPr>
        <w:t>Health</w:t>
      </w:r>
      <w:proofErr w:type="gramEnd"/>
      <w:r w:rsidR="001723AC">
        <w:rPr>
          <w:rStyle w:val="Strong"/>
          <w:rFonts w:cs="Calibri"/>
          <w:b w:val="0"/>
          <w:bCs w:val="0"/>
          <w:sz w:val="20"/>
          <w:szCs w:val="18"/>
        </w:rPr>
        <w:t xml:space="preserve"> and Aged Care</w:t>
      </w:r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. The journal aims to </w:t>
      </w:r>
      <w:proofErr w:type="gramStart"/>
      <w:r w:rsidRPr="000606CC">
        <w:rPr>
          <w:rStyle w:val="Strong"/>
          <w:rFonts w:cs="Calibri"/>
          <w:b w:val="0"/>
          <w:bCs w:val="0"/>
          <w:sz w:val="20"/>
          <w:szCs w:val="18"/>
        </w:rPr>
        <w:t>disseminate</w:t>
      </w:r>
      <w:proofErr w:type="gramEnd"/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 information on the epidemiology, surveillance, prevention and control of communicable diseases of relevance to Australia.</w:t>
      </w:r>
    </w:p>
    <w:p w14:paraId="172E91B1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7097EC8B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Editor: </w:t>
      </w:r>
      <w:r w:rsidR="008B62FF">
        <w:rPr>
          <w:rFonts w:cstheme="minorHAnsi"/>
          <w:sz w:val="20"/>
          <w:szCs w:val="18"/>
        </w:rPr>
        <w:t>Christina Bareja</w:t>
      </w:r>
    </w:p>
    <w:p w14:paraId="0F5A8803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Deputy Editor: </w:t>
      </w:r>
      <w:r w:rsidR="00C838F5" w:rsidRPr="00C838F5">
        <w:rPr>
          <w:rFonts w:cstheme="minorHAnsi"/>
          <w:sz w:val="20"/>
          <w:szCs w:val="18"/>
        </w:rPr>
        <w:t>Simon Petrie</w:t>
      </w:r>
    </w:p>
    <w:p w14:paraId="1F2083C7" w14:textId="77777777" w:rsidR="000A5F42" w:rsidRPr="000606CC" w:rsidRDefault="00967410" w:rsidP="000A5F42">
      <w:pPr>
        <w:pStyle w:val="NoSpacing"/>
        <w:rPr>
          <w:rFonts w:cstheme="minorHAnsi"/>
          <w:sz w:val="20"/>
          <w:szCs w:val="18"/>
        </w:rPr>
      </w:pPr>
      <w:r>
        <w:rPr>
          <w:rStyle w:val="Strong"/>
          <w:rFonts w:cstheme="minorHAnsi"/>
          <w:sz w:val="20"/>
          <w:szCs w:val="18"/>
        </w:rPr>
        <w:t>Design</w:t>
      </w:r>
      <w:r w:rsidR="000A5F42" w:rsidRPr="000606CC">
        <w:rPr>
          <w:rStyle w:val="Strong"/>
          <w:rFonts w:cstheme="minorHAnsi"/>
          <w:sz w:val="20"/>
          <w:szCs w:val="18"/>
        </w:rPr>
        <w:t xml:space="preserve"> and Production: </w:t>
      </w:r>
      <w:r w:rsidR="000A5F42" w:rsidRPr="000606CC">
        <w:rPr>
          <w:rFonts w:cstheme="minorHAnsi"/>
          <w:sz w:val="20"/>
          <w:szCs w:val="18"/>
        </w:rPr>
        <w:t>Kasra Yousefi</w:t>
      </w:r>
    </w:p>
    <w:p w14:paraId="3D6C34F9" w14:textId="77777777" w:rsidR="000A5F42" w:rsidRPr="000606CC" w:rsidRDefault="000A5F42" w:rsidP="000A5F42">
      <w:pPr>
        <w:pStyle w:val="NoSpacing"/>
        <w:rPr>
          <w:rFonts w:cstheme="minorHAnsi"/>
          <w:b/>
          <w:bCs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Editorial Advisory Board: </w:t>
      </w:r>
      <w:r w:rsidR="00CF75DF" w:rsidRPr="00CF75DF">
        <w:rPr>
          <w:rFonts w:cstheme="minorHAnsi"/>
          <w:sz w:val="20"/>
          <w:szCs w:val="18"/>
        </w:rPr>
        <w:t xml:space="preserve">David </w:t>
      </w:r>
      <w:proofErr w:type="spellStart"/>
      <w:r w:rsidR="00CF75DF" w:rsidRPr="00CF75DF">
        <w:rPr>
          <w:rFonts w:cstheme="minorHAnsi"/>
          <w:sz w:val="20"/>
          <w:szCs w:val="18"/>
        </w:rPr>
        <w:t>Durrheim</w:t>
      </w:r>
      <w:proofErr w:type="spellEnd"/>
      <w:r w:rsidR="00CF75DF" w:rsidRPr="00CF75DF">
        <w:rPr>
          <w:rFonts w:cstheme="minorHAnsi"/>
          <w:sz w:val="20"/>
          <w:szCs w:val="18"/>
        </w:rPr>
        <w:t xml:space="preserve">, Mark Ferson, Clare Huppatz, John Kaldor, Martyn Kirk, Meru </w:t>
      </w:r>
      <w:proofErr w:type="gramStart"/>
      <w:r w:rsidR="00CF75DF" w:rsidRPr="00CF75DF">
        <w:rPr>
          <w:rFonts w:cstheme="minorHAnsi"/>
          <w:sz w:val="20"/>
          <w:szCs w:val="18"/>
        </w:rPr>
        <w:t>Sheel</w:t>
      </w:r>
      <w:proofErr w:type="gramEnd"/>
      <w:r w:rsidR="00CF75DF" w:rsidRPr="00CF75DF">
        <w:rPr>
          <w:rFonts w:cstheme="minorHAnsi"/>
          <w:sz w:val="20"/>
          <w:szCs w:val="18"/>
        </w:rPr>
        <w:t xml:space="preserve"> and Steph</w:t>
      </w:r>
      <w:r w:rsidR="00CF75DF">
        <w:rPr>
          <w:rFonts w:cstheme="minorHAnsi"/>
          <w:sz w:val="20"/>
          <w:szCs w:val="18"/>
        </w:rPr>
        <w:t> </w:t>
      </w:r>
      <w:r w:rsidR="00CF75DF" w:rsidRPr="00CF75DF">
        <w:rPr>
          <w:rFonts w:cstheme="minorHAnsi"/>
          <w:sz w:val="20"/>
          <w:szCs w:val="18"/>
        </w:rPr>
        <w:t>Williams</w:t>
      </w:r>
    </w:p>
    <w:p w14:paraId="7B38F976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53C72F3C" w14:textId="2995B5BE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Website</w:t>
      </w:r>
      <w:r w:rsidRPr="000606CC">
        <w:rPr>
          <w:rFonts w:cstheme="minorHAnsi"/>
          <w:sz w:val="20"/>
          <w:szCs w:val="18"/>
        </w:rPr>
        <w:t xml:space="preserve">: </w:t>
      </w:r>
      <w:hyperlink r:id="rId13" w:tooltip="CDI website" w:history="1">
        <w:r w:rsidRPr="000606CC">
          <w:rPr>
            <w:rStyle w:val="Hyperlink"/>
            <w:rFonts w:cstheme="minorHAnsi"/>
            <w:sz w:val="20"/>
            <w:szCs w:val="18"/>
          </w:rPr>
          <w:t>http://www.health.gov.au/cdi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1B6BE4F2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153ACAB8" w14:textId="77777777" w:rsidR="000A5F42" w:rsidRPr="000606CC" w:rsidRDefault="000A5F42" w:rsidP="00E54BBD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Contacts</w:t>
      </w:r>
      <w:r w:rsidRPr="000606CC">
        <w:rPr>
          <w:rStyle w:val="Strong"/>
          <w:rFonts w:cstheme="minorHAnsi"/>
          <w:sz w:val="20"/>
          <w:szCs w:val="18"/>
        </w:rPr>
        <w:br/>
      </w:r>
      <w:r w:rsidR="00E54BBD">
        <w:rPr>
          <w:rFonts w:cstheme="minorHAnsi"/>
          <w:sz w:val="20"/>
          <w:szCs w:val="18"/>
        </w:rPr>
        <w:t xml:space="preserve">CDI </w:t>
      </w:r>
      <w:proofErr w:type="gramStart"/>
      <w:r w:rsidR="00E54BBD">
        <w:rPr>
          <w:rFonts w:cstheme="minorHAnsi"/>
          <w:sz w:val="20"/>
          <w:szCs w:val="18"/>
        </w:rPr>
        <w:t>is produced</w:t>
      </w:r>
      <w:proofErr w:type="gramEnd"/>
      <w:r w:rsidR="00E54BBD">
        <w:rPr>
          <w:rFonts w:cstheme="minorHAnsi"/>
          <w:sz w:val="20"/>
          <w:szCs w:val="18"/>
        </w:rPr>
        <w:t xml:space="preserve"> by</w:t>
      </w:r>
      <w:r w:rsidR="00F74958">
        <w:rPr>
          <w:rFonts w:cstheme="minorHAnsi"/>
          <w:sz w:val="20"/>
          <w:szCs w:val="18"/>
        </w:rPr>
        <w:t xml:space="preserve"> the</w:t>
      </w:r>
      <w:r w:rsidR="00E54BBD">
        <w:rPr>
          <w:rFonts w:cstheme="minorHAnsi"/>
          <w:sz w:val="20"/>
          <w:szCs w:val="18"/>
        </w:rPr>
        <w:t xml:space="preserve"> </w:t>
      </w:r>
      <w:r w:rsidR="00E54BBD" w:rsidRPr="00E54BBD">
        <w:rPr>
          <w:rFonts w:cstheme="minorHAnsi"/>
          <w:sz w:val="20"/>
          <w:szCs w:val="18"/>
        </w:rPr>
        <w:t>Office of Health Protection, Australian Government Department of Health</w:t>
      </w:r>
      <w:r w:rsidR="00AE0209">
        <w:rPr>
          <w:rFonts w:cstheme="minorHAnsi"/>
          <w:sz w:val="20"/>
          <w:szCs w:val="18"/>
        </w:rPr>
        <w:t xml:space="preserve"> and Aged Care</w:t>
      </w:r>
      <w:r w:rsidR="00E54BBD" w:rsidRPr="00E54BBD">
        <w:rPr>
          <w:rFonts w:cstheme="minorHAnsi"/>
          <w:sz w:val="20"/>
          <w:szCs w:val="18"/>
        </w:rPr>
        <w:t>, GPO Box 9848, (MDP 6) CANBERRA ACT 2601</w:t>
      </w:r>
    </w:p>
    <w:p w14:paraId="0B7FAE2B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3C495960" w14:textId="45D7D880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Email: </w:t>
      </w:r>
      <w:hyperlink r:id="rId14" w:history="1">
        <w:r w:rsidRPr="000606CC">
          <w:rPr>
            <w:rStyle w:val="Hyperlink"/>
            <w:rFonts w:cstheme="minorHAnsi"/>
            <w:sz w:val="20"/>
            <w:szCs w:val="18"/>
          </w:rPr>
          <w:t>cdi.editor@health.gov.au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64F682BA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60020504" w14:textId="035A1603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Submit an </w:t>
      </w:r>
      <w:proofErr w:type="gramStart"/>
      <w:r w:rsidRPr="000606CC">
        <w:rPr>
          <w:rStyle w:val="Strong"/>
          <w:rFonts w:cstheme="minorHAnsi"/>
          <w:sz w:val="20"/>
          <w:szCs w:val="18"/>
        </w:rPr>
        <w:t>Article</w:t>
      </w:r>
      <w:proofErr w:type="gramEnd"/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You are invited to submit your next communicable disease related article to the Communicable Diseases Intelligence (CDI) for consideration. More information </w:t>
      </w:r>
      <w:proofErr w:type="gramStart"/>
      <w:r w:rsidRPr="000606CC">
        <w:rPr>
          <w:rFonts w:cstheme="minorHAnsi"/>
          <w:sz w:val="20"/>
          <w:szCs w:val="18"/>
        </w:rPr>
        <w:t>regarding</w:t>
      </w:r>
      <w:proofErr w:type="gramEnd"/>
      <w:r w:rsidRPr="000606CC">
        <w:rPr>
          <w:rFonts w:cstheme="minorHAnsi"/>
          <w:sz w:val="20"/>
          <w:szCs w:val="18"/>
        </w:rPr>
        <w:t xml:space="preserve"> CDI can be found at: </w:t>
      </w:r>
      <w:hyperlink r:id="rId15" w:tooltip="CDI Website" w:history="1">
        <w:r w:rsidRPr="000606CC">
          <w:rPr>
            <w:rStyle w:val="Hyperlink"/>
            <w:rFonts w:cstheme="minorHAnsi"/>
            <w:sz w:val="20"/>
            <w:szCs w:val="18"/>
          </w:rPr>
          <w:t>http://health.gov.au/cdi</w:t>
        </w:r>
      </w:hyperlink>
      <w:r w:rsidRPr="000606CC">
        <w:rPr>
          <w:rFonts w:cstheme="minorHAnsi"/>
          <w:sz w:val="20"/>
          <w:szCs w:val="18"/>
        </w:rPr>
        <w:t xml:space="preserve">. </w:t>
      </w:r>
    </w:p>
    <w:p w14:paraId="4887566D" w14:textId="7D9AE868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Further enquiries should </w:t>
      </w:r>
      <w:proofErr w:type="gramStart"/>
      <w:r w:rsidRPr="000606CC">
        <w:rPr>
          <w:rFonts w:cstheme="minorHAnsi"/>
          <w:sz w:val="20"/>
          <w:szCs w:val="18"/>
        </w:rPr>
        <w:t>be directed</w:t>
      </w:r>
      <w:proofErr w:type="gramEnd"/>
      <w:r w:rsidRPr="000606CC">
        <w:rPr>
          <w:rFonts w:cstheme="minorHAnsi"/>
          <w:sz w:val="20"/>
          <w:szCs w:val="18"/>
        </w:rPr>
        <w:t xml:space="preserve"> to: </w:t>
      </w:r>
      <w:hyperlink r:id="rId16" w:history="1">
        <w:r w:rsidRPr="000606CC">
          <w:rPr>
            <w:rStyle w:val="Hyperlink"/>
            <w:rFonts w:cstheme="minorHAnsi"/>
            <w:sz w:val="20"/>
            <w:szCs w:val="18"/>
          </w:rPr>
          <w:t>cdi.editor@health.gov.au</w:t>
        </w:r>
      </w:hyperlink>
      <w:r w:rsidRPr="000606CC">
        <w:rPr>
          <w:rFonts w:cstheme="minorHAnsi"/>
          <w:sz w:val="20"/>
          <w:szCs w:val="18"/>
        </w:rPr>
        <w:t>.</w:t>
      </w:r>
    </w:p>
    <w:p w14:paraId="0B0B63A0" w14:textId="77777777" w:rsidR="000A5F42" w:rsidRPr="000606CC" w:rsidRDefault="000A5F42" w:rsidP="000A5F42">
      <w:pPr>
        <w:pStyle w:val="NoSpacing"/>
        <w:pBdr>
          <w:bottom w:val="single" w:sz="6" w:space="1" w:color="auto"/>
        </w:pBdr>
        <w:rPr>
          <w:rStyle w:val="Strong"/>
          <w:rFonts w:cstheme="minorHAnsi"/>
          <w:sz w:val="12"/>
          <w:szCs w:val="18"/>
        </w:rPr>
      </w:pPr>
    </w:p>
    <w:p w14:paraId="4EF9A44D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5A20FA22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This journal </w:t>
      </w:r>
      <w:proofErr w:type="gramStart"/>
      <w:r w:rsidRPr="000606CC">
        <w:rPr>
          <w:rFonts w:cstheme="minorHAnsi"/>
          <w:sz w:val="20"/>
          <w:szCs w:val="18"/>
        </w:rPr>
        <w:t>is indexed</w:t>
      </w:r>
      <w:proofErr w:type="gramEnd"/>
      <w:r w:rsidRPr="000606CC">
        <w:rPr>
          <w:rFonts w:cstheme="minorHAnsi"/>
          <w:sz w:val="20"/>
          <w:szCs w:val="18"/>
        </w:rPr>
        <w:t xml:space="preserve"> by Index </w:t>
      </w:r>
      <w:proofErr w:type="spellStart"/>
      <w:r w:rsidRPr="000606CC">
        <w:rPr>
          <w:rFonts w:cstheme="minorHAnsi"/>
          <w:sz w:val="20"/>
          <w:szCs w:val="18"/>
        </w:rPr>
        <w:t>Medicus</w:t>
      </w:r>
      <w:proofErr w:type="spellEnd"/>
      <w:r w:rsidRPr="000606CC">
        <w:rPr>
          <w:rFonts w:cstheme="minorHAnsi"/>
          <w:sz w:val="20"/>
          <w:szCs w:val="18"/>
        </w:rPr>
        <w:t xml:space="preserve"> and Medline.</w:t>
      </w:r>
    </w:p>
    <w:p w14:paraId="3E28D43A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3F6281CC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Creative Commons Licence - Attribution-</w:t>
      </w:r>
      <w:proofErr w:type="spellStart"/>
      <w:r w:rsidRPr="000606CC">
        <w:rPr>
          <w:rFonts w:cstheme="minorHAnsi"/>
          <w:sz w:val="20"/>
          <w:szCs w:val="18"/>
        </w:rPr>
        <w:t>NonCommercial</w:t>
      </w:r>
      <w:proofErr w:type="spellEnd"/>
      <w:r w:rsidRPr="000606CC">
        <w:rPr>
          <w:rFonts w:cstheme="minorHAnsi"/>
          <w:sz w:val="20"/>
          <w:szCs w:val="18"/>
        </w:rPr>
        <w:t>-</w:t>
      </w:r>
      <w:proofErr w:type="spellStart"/>
      <w:r w:rsidRPr="000606CC">
        <w:rPr>
          <w:rFonts w:cstheme="minorHAnsi"/>
          <w:sz w:val="20"/>
          <w:szCs w:val="18"/>
        </w:rPr>
        <w:t>NoDerivatives</w:t>
      </w:r>
      <w:proofErr w:type="spellEnd"/>
      <w:r w:rsidRPr="000606CC">
        <w:rPr>
          <w:rFonts w:cstheme="minorHAnsi"/>
          <w:sz w:val="20"/>
          <w:szCs w:val="18"/>
        </w:rPr>
        <w:t xml:space="preserve"> CC BY-NC-ND</w:t>
      </w:r>
    </w:p>
    <w:p w14:paraId="411A48F3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© </w:t>
      </w:r>
      <w:r w:rsidR="00852E2B">
        <w:rPr>
          <w:rFonts w:cstheme="minorHAnsi"/>
          <w:sz w:val="20"/>
          <w:szCs w:val="18"/>
        </w:rPr>
        <w:fldChar w:fldCharType="begin"/>
      </w:r>
      <w:r w:rsidR="00852E2B">
        <w:rPr>
          <w:rFonts w:cstheme="minorHAnsi"/>
          <w:sz w:val="20"/>
          <w:szCs w:val="18"/>
        </w:rPr>
        <w:instrText xml:space="preserve"> DOCPROPERTY  Year  \* MERGEFORMAT </w:instrText>
      </w:r>
      <w:r w:rsidR="00852E2B">
        <w:rPr>
          <w:rFonts w:cstheme="minorHAnsi"/>
          <w:sz w:val="20"/>
          <w:szCs w:val="18"/>
        </w:rPr>
        <w:fldChar w:fldCharType="separate"/>
      </w:r>
      <w:r w:rsidR="00282A2C">
        <w:rPr>
          <w:rFonts w:cstheme="minorHAnsi"/>
          <w:sz w:val="20"/>
          <w:szCs w:val="18"/>
        </w:rPr>
        <w:t>2023</w:t>
      </w:r>
      <w:r w:rsidR="00852E2B">
        <w:rPr>
          <w:rFonts w:cstheme="minorHAnsi"/>
          <w:sz w:val="20"/>
          <w:szCs w:val="18"/>
        </w:rPr>
        <w:fldChar w:fldCharType="end"/>
      </w:r>
      <w:r w:rsidR="00852E2B">
        <w:rPr>
          <w:rFonts w:cstheme="minorHAnsi"/>
          <w:sz w:val="20"/>
          <w:szCs w:val="18"/>
        </w:rPr>
        <w:t xml:space="preserve"> </w:t>
      </w:r>
      <w:r w:rsidRPr="000606CC">
        <w:rPr>
          <w:rFonts w:cstheme="minorHAnsi"/>
          <w:sz w:val="20"/>
          <w:szCs w:val="18"/>
        </w:rPr>
        <w:t xml:space="preserve">Commonwealth of Australia as represented by the </w:t>
      </w:r>
      <w:r w:rsidR="001723AC">
        <w:rPr>
          <w:rFonts w:cstheme="minorHAnsi"/>
          <w:sz w:val="20"/>
          <w:szCs w:val="18"/>
        </w:rPr>
        <w:t>Department of Health and Aged Care</w:t>
      </w:r>
    </w:p>
    <w:p w14:paraId="286D63F3" w14:textId="037CD1F3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This publication is licensed under a Creative Commons Attribution-</w:t>
      </w:r>
      <w:proofErr w:type="spellStart"/>
      <w:r w:rsidRPr="000606CC">
        <w:rPr>
          <w:rFonts w:cstheme="minorHAnsi"/>
          <w:sz w:val="20"/>
          <w:szCs w:val="18"/>
        </w:rPr>
        <w:t>NonCommercial</w:t>
      </w:r>
      <w:proofErr w:type="spellEnd"/>
      <w:r w:rsidRPr="000606CC">
        <w:rPr>
          <w:rFonts w:cstheme="minorHAnsi"/>
          <w:sz w:val="20"/>
          <w:szCs w:val="18"/>
        </w:rPr>
        <w:t>-</w:t>
      </w:r>
      <w:proofErr w:type="spellStart"/>
      <w:r w:rsidRPr="000606CC">
        <w:rPr>
          <w:rFonts w:cstheme="minorHAnsi"/>
          <w:sz w:val="20"/>
          <w:szCs w:val="18"/>
        </w:rPr>
        <w:t>NoDerivatives</w:t>
      </w:r>
      <w:proofErr w:type="spellEnd"/>
      <w:r w:rsidRPr="000606CC">
        <w:rPr>
          <w:rFonts w:cstheme="minorHAnsi"/>
          <w:sz w:val="20"/>
          <w:szCs w:val="18"/>
        </w:rPr>
        <w:t xml:space="preserve"> 4.0 International Licence from </w:t>
      </w:r>
      <w:hyperlink r:id="rId17" w:tooltip="Creative Commons licence" w:history="1">
        <w:r w:rsidRPr="000606CC">
          <w:rPr>
            <w:rStyle w:val="Hyperlink"/>
            <w:rFonts w:cstheme="minorHAnsi"/>
            <w:sz w:val="20"/>
            <w:szCs w:val="18"/>
          </w:rPr>
          <w:t>https://creativecommons.org/licenses/by-nc-nd/4.0/legalcode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  <w:r w:rsidRPr="000606CC">
        <w:rPr>
          <w:rFonts w:cstheme="minorHAnsi"/>
          <w:sz w:val="20"/>
          <w:szCs w:val="18"/>
        </w:rPr>
        <w:t>(Licence). You must read and understand the Licence before using any material from this publication.</w:t>
      </w:r>
    </w:p>
    <w:p w14:paraId="07A03AAC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28F78059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Restrictions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>The Licence does not cover, and there is no permission given for, use of any of the following material found in this publication (if</w:t>
      </w:r>
      <w:r w:rsidR="001378A3">
        <w:rPr>
          <w:rFonts w:cstheme="minorHAnsi"/>
          <w:sz w:val="20"/>
          <w:szCs w:val="18"/>
        </w:rPr>
        <w:t> </w:t>
      </w:r>
      <w:r w:rsidRPr="000606CC">
        <w:rPr>
          <w:rFonts w:cstheme="minorHAnsi"/>
          <w:sz w:val="20"/>
          <w:szCs w:val="18"/>
        </w:rPr>
        <w:t xml:space="preserve">any): </w:t>
      </w:r>
    </w:p>
    <w:p w14:paraId="3A03A216" w14:textId="2154FE9D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the Commonwealth Coat of Arms (by way of information, the terms under which the Coat of Arms may be used can be found at </w:t>
      </w:r>
      <w:hyperlink r:id="rId18" w:tooltip="Australian Honours system website" w:history="1">
        <w:r w:rsidRPr="000606CC">
          <w:rPr>
            <w:rStyle w:val="Hyperlink"/>
            <w:rFonts w:cstheme="minorHAnsi"/>
            <w:sz w:val="20"/>
            <w:szCs w:val="18"/>
          </w:rPr>
          <w:t>www.itsanhonour.gov.au</w:t>
        </w:r>
      </w:hyperlink>
      <w:r w:rsidRPr="000606CC">
        <w:rPr>
          <w:rStyle w:val="URI"/>
          <w:rFonts w:cstheme="minorHAnsi"/>
          <w:sz w:val="20"/>
          <w:szCs w:val="18"/>
          <w:u w:val="none"/>
        </w:rPr>
        <w:t>)</w:t>
      </w:r>
      <w:r w:rsidRPr="000606CC">
        <w:rPr>
          <w:rFonts w:cstheme="minorHAnsi"/>
          <w:sz w:val="20"/>
          <w:szCs w:val="18"/>
        </w:rPr>
        <w:t xml:space="preserve">;  </w:t>
      </w:r>
    </w:p>
    <w:p w14:paraId="386DF1F8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logos (including the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’s logo) and </w:t>
      </w:r>
      <w:proofErr w:type="gramStart"/>
      <w:r w:rsidRPr="000606CC">
        <w:rPr>
          <w:rFonts w:cstheme="minorHAnsi"/>
          <w:sz w:val="20"/>
          <w:szCs w:val="18"/>
        </w:rPr>
        <w:t>trademarks;</w:t>
      </w:r>
      <w:proofErr w:type="gramEnd"/>
    </w:p>
    <w:p w14:paraId="6CE897F9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photographs and </w:t>
      </w:r>
      <w:proofErr w:type="gramStart"/>
      <w:r w:rsidRPr="000606CC">
        <w:rPr>
          <w:rFonts w:cstheme="minorHAnsi"/>
          <w:sz w:val="20"/>
          <w:szCs w:val="18"/>
        </w:rPr>
        <w:t>images;</w:t>
      </w:r>
      <w:proofErr w:type="gramEnd"/>
      <w:r w:rsidRPr="000606CC">
        <w:rPr>
          <w:rFonts w:cstheme="minorHAnsi"/>
          <w:sz w:val="20"/>
          <w:szCs w:val="18"/>
        </w:rPr>
        <w:t xml:space="preserve"> </w:t>
      </w:r>
    </w:p>
    <w:p w14:paraId="321B2657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any signatures; and</w:t>
      </w:r>
    </w:p>
    <w:p w14:paraId="569AAD3F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material belonging to third parties. </w:t>
      </w:r>
    </w:p>
    <w:p w14:paraId="06F53B55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08F1DF82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Disclaimer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Opinions expressed in Communicable Diseases Intelligence are those of the authors and not necessarily those of the Australian Government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 or the Communicable Diseases Network Australia. Data may be subject to revision.</w:t>
      </w:r>
    </w:p>
    <w:p w14:paraId="42183779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3614EE1B" w14:textId="3C9AC319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Enquiries</w:t>
      </w:r>
      <w:r w:rsidRPr="000606CC">
        <w:rPr>
          <w:rStyle w:val="Strong"/>
          <w:rFonts w:cstheme="minorHAnsi"/>
          <w:sz w:val="20"/>
          <w:szCs w:val="18"/>
        </w:rPr>
        <w:br/>
      </w:r>
      <w:proofErr w:type="spellStart"/>
      <w:r w:rsidRPr="000606CC">
        <w:rPr>
          <w:rFonts w:cstheme="minorHAnsi"/>
          <w:sz w:val="20"/>
          <w:szCs w:val="18"/>
        </w:rPr>
        <w:t>Enquiries</w:t>
      </w:r>
      <w:proofErr w:type="spellEnd"/>
      <w:r w:rsidRPr="000606CC">
        <w:rPr>
          <w:rFonts w:cstheme="minorHAnsi"/>
          <w:sz w:val="20"/>
          <w:szCs w:val="18"/>
        </w:rPr>
        <w:t xml:space="preserve"> regarding any other use of this publication should be addressed to the Communication Branch,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, GPO Box 9848, Canberra ACT 2601, or via e-mail to: </w:t>
      </w:r>
      <w:hyperlink r:id="rId19" w:history="1">
        <w:r w:rsidRPr="000606CC">
          <w:rPr>
            <w:rStyle w:val="Hyperlink"/>
            <w:rFonts w:cstheme="minorHAnsi"/>
            <w:sz w:val="20"/>
            <w:szCs w:val="18"/>
          </w:rPr>
          <w:t>copyright@health.gov.au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5BFF50C8" w14:textId="7777777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</w:p>
    <w:p w14:paraId="6CCAF3BA" w14:textId="28685AE6" w:rsidR="000A5F42" w:rsidRPr="000606CC" w:rsidRDefault="000A5F42" w:rsidP="000A5F42">
      <w:pPr>
        <w:pStyle w:val="NoSpacing"/>
        <w:rPr>
          <w:rStyle w:val="Strong"/>
          <w:rFonts w:cstheme="minorHAnsi"/>
          <w:b w:val="0"/>
          <w:bCs w:val="0"/>
          <w:color w:val="000000"/>
          <w:sz w:val="20"/>
          <w:szCs w:val="18"/>
          <w:u w:val="thick"/>
        </w:rPr>
      </w:pPr>
      <w:r w:rsidRPr="000606CC">
        <w:rPr>
          <w:rStyle w:val="Strong"/>
          <w:rFonts w:cstheme="minorHAnsi"/>
          <w:sz w:val="20"/>
          <w:szCs w:val="18"/>
        </w:rPr>
        <w:t>Communicable Diseases Network Australia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>Communicable Diseases Intelligence contributes to the work of the Communicable Diseases Network Australia.</w:t>
      </w:r>
      <w:r w:rsidRPr="000606CC">
        <w:rPr>
          <w:rFonts w:cstheme="minorHAnsi"/>
          <w:sz w:val="20"/>
          <w:szCs w:val="18"/>
        </w:rPr>
        <w:br/>
      </w:r>
      <w:hyperlink r:id="rId20" w:tooltip="Communicable Diseases Network Australia website" w:history="1">
        <w:r w:rsidRPr="000606CC">
          <w:rPr>
            <w:rStyle w:val="Hyperlink"/>
            <w:rFonts w:cstheme="minorHAnsi"/>
            <w:sz w:val="20"/>
            <w:szCs w:val="18"/>
          </w:rPr>
          <w:t>http://www.health.gov.au/cdna</w:t>
        </w:r>
      </w:hyperlink>
    </w:p>
    <w:sectPr w:rsidR="000A5F42" w:rsidRPr="000606CC" w:rsidSect="002B75A9">
      <w:headerReference w:type="default" r:id="rId21"/>
      <w:pgSz w:w="11906" w:h="16838"/>
      <w:pgMar w:top="720" w:right="720" w:bottom="1134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4F23" w14:textId="77777777" w:rsidR="00282A2C" w:rsidRDefault="00282A2C" w:rsidP="00E54DBA">
      <w:r>
        <w:separator/>
      </w:r>
    </w:p>
    <w:p w14:paraId="0B5BD3CD" w14:textId="77777777" w:rsidR="00282A2C" w:rsidRDefault="00282A2C"/>
    <w:p w14:paraId="5CD90A08" w14:textId="77777777" w:rsidR="00282A2C" w:rsidRDefault="00282A2C" w:rsidP="008714B0"/>
  </w:endnote>
  <w:endnote w:type="continuationSeparator" w:id="0">
    <w:p w14:paraId="1ED39BAE" w14:textId="77777777" w:rsidR="00282A2C" w:rsidRDefault="00282A2C" w:rsidP="00E54DBA">
      <w:r>
        <w:continuationSeparator/>
      </w:r>
    </w:p>
    <w:p w14:paraId="37082A38" w14:textId="77777777" w:rsidR="00282A2C" w:rsidRDefault="00282A2C"/>
    <w:p w14:paraId="4F486F2C" w14:textId="77777777" w:rsidR="00282A2C" w:rsidRDefault="00282A2C" w:rsidP="00871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 Cond">
    <w:altName w:val="Corbel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E54F" w14:textId="716F4FB4" w:rsidR="00401ED1" w:rsidRPr="0042435E" w:rsidRDefault="0042435E" w:rsidP="00252C9A">
    <w:pPr>
      <w:pStyle w:val="Footer"/>
      <w:pBdr>
        <w:top w:val="single" w:sz="2" w:space="1" w:color="auto"/>
      </w:pBdr>
      <w:rPr>
        <w:sz w:val="18"/>
      </w:rPr>
    </w:pPr>
    <w:r w:rsidRPr="00BE6C3D">
      <w:rPr>
        <w:sz w:val="18"/>
      </w:rPr>
      <w:fldChar w:fldCharType="begin"/>
    </w:r>
    <w:r w:rsidRPr="00BE6C3D">
      <w:rPr>
        <w:sz w:val="18"/>
      </w:rPr>
      <w:instrText xml:space="preserve"> PAGE   \* MERGEFORMAT </w:instrText>
    </w:r>
    <w:r w:rsidRPr="00BE6C3D">
      <w:rPr>
        <w:sz w:val="18"/>
      </w:rPr>
      <w:fldChar w:fldCharType="separate"/>
    </w:r>
    <w:r w:rsidR="00A443E3">
      <w:rPr>
        <w:noProof/>
        <w:sz w:val="18"/>
      </w:rPr>
      <w:t>3</w:t>
    </w:r>
    <w:r w:rsidRPr="00BE6C3D">
      <w:rPr>
        <w:noProof/>
        <w:sz w:val="18"/>
      </w:rPr>
      <w:fldChar w:fldCharType="end"/>
    </w:r>
    <w:r>
      <w:rPr>
        <w:noProof/>
        <w:sz w:val="18"/>
      </w:rPr>
      <w:t xml:space="preserve"> of </w:t>
    </w:r>
    <w:r w:rsidR="007C6454">
      <w:rPr>
        <w:noProof/>
        <w:sz w:val="18"/>
      </w:rPr>
      <w:fldChar w:fldCharType="begin"/>
    </w:r>
    <w:r w:rsidR="007C6454">
      <w:rPr>
        <w:noProof/>
        <w:sz w:val="18"/>
      </w:rPr>
      <w:instrText xml:space="preserve"> NUMPAGES \* MERGEFORMAT </w:instrText>
    </w:r>
    <w:r w:rsidR="007C6454">
      <w:rPr>
        <w:noProof/>
        <w:sz w:val="18"/>
      </w:rPr>
      <w:fldChar w:fldCharType="separate"/>
    </w:r>
    <w:r w:rsidR="00A443E3">
      <w:rPr>
        <w:noProof/>
        <w:sz w:val="18"/>
      </w:rPr>
      <w:t>3</w:t>
    </w:r>
    <w:r w:rsidR="007C6454">
      <w:rPr>
        <w:noProof/>
        <w:sz w:val="18"/>
      </w:rPr>
      <w:fldChar w:fldCharType="end"/>
    </w:r>
    <w:r>
      <w:rPr>
        <w:noProof/>
        <w:sz w:val="18"/>
      </w:rPr>
      <w:t xml:space="preserve"> </w:t>
    </w:r>
    <w:r w:rsidRPr="004315F5">
      <w:rPr>
        <w:sz w:val="18"/>
      </w:rPr>
      <w:t xml:space="preserve"> </w:t>
    </w:r>
    <w:r w:rsidR="00231046">
      <w:rPr>
        <w:noProof/>
        <w:sz w:val="18"/>
      </w:rPr>
      <w:ptab w:relativeTo="margin" w:alignment="center" w:leader="none"/>
    </w:r>
    <w:r w:rsidR="00231046" w:rsidRPr="004315F5">
      <w:rPr>
        <w:sz w:val="18"/>
      </w:rPr>
      <w:t xml:space="preserve"> </w:t>
    </w:r>
    <w:proofErr w:type="spellStart"/>
    <w:r w:rsidR="00CE342B" w:rsidRPr="00B379AC">
      <w:rPr>
        <w:i/>
        <w:sz w:val="18"/>
      </w:rPr>
      <w:t>Commun</w:t>
    </w:r>
    <w:proofErr w:type="spellEnd"/>
    <w:r w:rsidR="00CE342B" w:rsidRPr="00B379AC">
      <w:rPr>
        <w:i/>
        <w:sz w:val="18"/>
      </w:rPr>
      <w:t xml:space="preserve"> Dis </w:t>
    </w:r>
    <w:proofErr w:type="spellStart"/>
    <w:r w:rsidR="00CE342B" w:rsidRPr="00B379AC">
      <w:rPr>
        <w:i/>
        <w:sz w:val="18"/>
      </w:rPr>
      <w:t>Intell</w:t>
    </w:r>
    <w:proofErr w:type="spellEnd"/>
    <w:r w:rsidR="00CE342B" w:rsidRPr="00B379AC">
      <w:rPr>
        <w:i/>
        <w:sz w:val="18"/>
      </w:rPr>
      <w:t xml:space="preserve"> (2018)</w:t>
    </w:r>
    <w:r w:rsidR="00CE342B">
      <w:rPr>
        <w:sz w:val="18"/>
      </w:rPr>
      <w:t xml:space="preserve"> </w:t>
    </w:r>
    <w:r w:rsidR="00231046">
      <w:rPr>
        <w:sz w:val="18"/>
      </w:rPr>
      <w:fldChar w:fldCharType="begin"/>
    </w:r>
    <w:r w:rsidR="00231046">
      <w:rPr>
        <w:sz w:val="18"/>
      </w:rPr>
      <w:instrText xml:space="preserve"> DOCPROPERTY  Year  \* MERGEFORMAT </w:instrText>
    </w:r>
    <w:r w:rsidR="00231046">
      <w:rPr>
        <w:sz w:val="18"/>
      </w:rPr>
      <w:fldChar w:fldCharType="separate"/>
    </w:r>
    <w:r w:rsidR="00282A2C">
      <w:rPr>
        <w:sz w:val="18"/>
      </w:rPr>
      <w:t>2023</w:t>
    </w:r>
    <w:r w:rsidR="00231046">
      <w:rPr>
        <w:sz w:val="18"/>
      </w:rPr>
      <w:fldChar w:fldCharType="end"/>
    </w:r>
    <w:r w:rsidR="00231046">
      <w:rPr>
        <w:sz w:val="18"/>
      </w:rPr>
      <w:t xml:space="preserve"> </w:t>
    </w:r>
    <w:r w:rsidR="00231046">
      <w:rPr>
        <w:sz w:val="18"/>
      </w:rPr>
      <w:fldChar w:fldCharType="begin"/>
    </w:r>
    <w:r w:rsidR="00231046">
      <w:rPr>
        <w:sz w:val="18"/>
      </w:rPr>
      <w:instrText xml:space="preserve"> DOCPROPERTY  Vol  \* MERGEFORMAT </w:instrText>
    </w:r>
    <w:r w:rsidR="00231046">
      <w:rPr>
        <w:sz w:val="18"/>
      </w:rPr>
      <w:fldChar w:fldCharType="separate"/>
    </w:r>
    <w:r w:rsidR="00282A2C">
      <w:rPr>
        <w:sz w:val="18"/>
      </w:rPr>
      <w:t>47</w:t>
    </w:r>
    <w:r w:rsidR="00231046">
      <w:rPr>
        <w:sz w:val="18"/>
      </w:rPr>
      <w:fldChar w:fldCharType="end"/>
    </w:r>
    <w:r w:rsidR="00CE342B">
      <w:rPr>
        <w:sz w:val="18"/>
      </w:rPr>
      <w:t xml:space="preserve"> </w:t>
    </w:r>
    <w:r w:rsidR="00CE342B">
      <w:rPr>
        <w:sz w:val="18"/>
      </w:rPr>
      <w:fldChar w:fldCharType="begin"/>
    </w:r>
    <w:r w:rsidR="00CE342B">
      <w:rPr>
        <w:sz w:val="18"/>
      </w:rPr>
      <w:instrText xml:space="preserve"> DOCPROPERTY  DOI  \* MERGEFORMAT </w:instrText>
    </w:r>
    <w:r w:rsidR="00CE342B">
      <w:rPr>
        <w:sz w:val="18"/>
      </w:rPr>
      <w:fldChar w:fldCharType="separate"/>
    </w:r>
    <w:r w:rsidR="00821D81">
      <w:rPr>
        <w:sz w:val="18"/>
      </w:rPr>
      <w:t>https://doi.org/10.33321/cdi.2023.47.52</w:t>
    </w:r>
    <w:r w:rsidR="00CE342B">
      <w:rPr>
        <w:sz w:val="18"/>
      </w:rPr>
      <w:fldChar w:fldCharType="end"/>
    </w:r>
    <w:r w:rsidR="00231046">
      <w:rPr>
        <w:sz w:val="18"/>
      </w:rPr>
      <w:t xml:space="preserve"> </w:t>
    </w:r>
    <w:proofErr w:type="spellStart"/>
    <w:r w:rsidR="00231046" w:rsidRPr="00155582">
      <w:rPr>
        <w:sz w:val="18"/>
      </w:rPr>
      <w:t>Epub</w:t>
    </w:r>
    <w:proofErr w:type="spellEnd"/>
    <w:r w:rsidR="00CE342B">
      <w:rPr>
        <w:sz w:val="18"/>
      </w:rPr>
      <w:t xml:space="preserve"> </w:t>
    </w:r>
    <w:r w:rsidR="00CE342B">
      <w:rPr>
        <w:sz w:val="18"/>
      </w:rPr>
      <w:fldChar w:fldCharType="begin"/>
    </w:r>
    <w:r w:rsidR="00CE342B">
      <w:rPr>
        <w:sz w:val="18"/>
      </w:rPr>
      <w:instrText xml:space="preserve"> DOCPROPERTY  ePubDate  \* MERGEFORMAT </w:instrText>
    </w:r>
    <w:r w:rsidR="00CE342B">
      <w:rPr>
        <w:sz w:val="18"/>
      </w:rPr>
      <w:fldChar w:fldCharType="separate"/>
    </w:r>
    <w:r w:rsidR="00821D81">
      <w:rPr>
        <w:sz w:val="18"/>
      </w:rPr>
      <w:t>21/09/2023</w:t>
    </w:r>
    <w:r w:rsidR="00CE342B">
      <w:rPr>
        <w:sz w:val="18"/>
      </w:rPr>
      <w:fldChar w:fldCharType="end"/>
    </w:r>
    <w:r>
      <w:rPr>
        <w:sz w:val="18"/>
      </w:rPr>
      <w:ptab w:relativeTo="margin" w:alignment="right" w:leader="none"/>
    </w:r>
    <w:r w:rsidRPr="00155582">
      <w:rPr>
        <w:sz w:val="18"/>
      </w:rPr>
      <w:t>health.gov.au/cdi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59C6" w14:textId="43056E2D" w:rsidR="00BB5378" w:rsidRPr="00BB5378" w:rsidRDefault="00BB5378" w:rsidP="00E538CC">
    <w:pPr>
      <w:pStyle w:val="Footer"/>
      <w:pBdr>
        <w:top w:val="single" w:sz="4" w:space="1" w:color="auto"/>
      </w:pBdr>
      <w:rPr>
        <w:sz w:val="18"/>
      </w:rPr>
    </w:pPr>
    <w:r w:rsidRPr="00BE6C3D">
      <w:rPr>
        <w:sz w:val="18"/>
      </w:rPr>
      <w:fldChar w:fldCharType="begin"/>
    </w:r>
    <w:r w:rsidRPr="00BE6C3D">
      <w:rPr>
        <w:sz w:val="18"/>
      </w:rPr>
      <w:instrText xml:space="preserve"> PAGE   \* MERGEFORMAT </w:instrText>
    </w:r>
    <w:r w:rsidRPr="00BE6C3D">
      <w:rPr>
        <w:sz w:val="18"/>
      </w:rPr>
      <w:fldChar w:fldCharType="separate"/>
    </w:r>
    <w:r w:rsidR="00A443E3">
      <w:rPr>
        <w:noProof/>
        <w:sz w:val="18"/>
      </w:rPr>
      <w:t>1</w:t>
    </w:r>
    <w:r w:rsidRPr="00BE6C3D">
      <w:rPr>
        <w:noProof/>
        <w:sz w:val="18"/>
      </w:rPr>
      <w:fldChar w:fldCharType="end"/>
    </w:r>
    <w:r>
      <w:rPr>
        <w:noProof/>
        <w:sz w:val="18"/>
      </w:rPr>
      <w:t xml:space="preserve"> of </w:t>
    </w:r>
    <w:r w:rsidR="00B132DB">
      <w:rPr>
        <w:noProof/>
        <w:sz w:val="18"/>
      </w:rPr>
      <w:fldChar w:fldCharType="begin"/>
    </w:r>
    <w:r w:rsidR="00B132DB">
      <w:rPr>
        <w:noProof/>
        <w:sz w:val="18"/>
      </w:rPr>
      <w:instrText xml:space="preserve"> NUMPAGES \* MERGEFORMAT </w:instrText>
    </w:r>
    <w:r w:rsidR="00B132DB">
      <w:rPr>
        <w:noProof/>
        <w:sz w:val="18"/>
      </w:rPr>
      <w:fldChar w:fldCharType="separate"/>
    </w:r>
    <w:r w:rsidR="00A443E3">
      <w:rPr>
        <w:noProof/>
        <w:sz w:val="18"/>
      </w:rPr>
      <w:t>3</w:t>
    </w:r>
    <w:r w:rsidR="00B132DB">
      <w:rPr>
        <w:noProof/>
        <w:sz w:val="18"/>
      </w:rPr>
      <w:fldChar w:fldCharType="end"/>
    </w:r>
    <w:r>
      <w:rPr>
        <w:noProof/>
        <w:sz w:val="18"/>
      </w:rPr>
      <w:t xml:space="preserve"> </w:t>
    </w:r>
    <w:r>
      <w:rPr>
        <w:noProof/>
        <w:sz w:val="18"/>
      </w:rPr>
      <w:ptab w:relativeTo="margin" w:alignment="center" w:leader="none"/>
    </w:r>
    <w:r w:rsidRPr="004315F5">
      <w:rPr>
        <w:sz w:val="18"/>
      </w:rPr>
      <w:t xml:space="preserve"> </w:t>
    </w:r>
    <w:proofErr w:type="spellStart"/>
    <w:r w:rsidR="00A164D5" w:rsidRPr="00B379AC">
      <w:rPr>
        <w:i/>
        <w:sz w:val="18"/>
      </w:rPr>
      <w:t>Commun</w:t>
    </w:r>
    <w:proofErr w:type="spellEnd"/>
    <w:r w:rsidR="00A164D5" w:rsidRPr="00B379AC">
      <w:rPr>
        <w:i/>
        <w:sz w:val="18"/>
      </w:rPr>
      <w:t xml:space="preserve"> Dis </w:t>
    </w:r>
    <w:proofErr w:type="spellStart"/>
    <w:r w:rsidR="00A164D5" w:rsidRPr="00B379AC">
      <w:rPr>
        <w:i/>
        <w:sz w:val="18"/>
      </w:rPr>
      <w:t>Intell</w:t>
    </w:r>
    <w:proofErr w:type="spellEnd"/>
    <w:r w:rsidR="00A164D5" w:rsidRPr="00B379AC">
      <w:rPr>
        <w:i/>
        <w:sz w:val="18"/>
      </w:rPr>
      <w:t xml:space="preserve"> (2018)</w:t>
    </w:r>
    <w:r w:rsidR="00A164D5">
      <w:rPr>
        <w:sz w:val="18"/>
      </w:rPr>
      <w:t xml:space="preserve"> </w:t>
    </w:r>
    <w:r w:rsidR="005E4229">
      <w:rPr>
        <w:sz w:val="18"/>
      </w:rPr>
      <w:fldChar w:fldCharType="begin"/>
    </w:r>
    <w:r w:rsidR="005E4229">
      <w:rPr>
        <w:sz w:val="18"/>
      </w:rPr>
      <w:instrText xml:space="preserve"> DOCPROPERTY  Year  \* MERGEFORMAT </w:instrText>
    </w:r>
    <w:r w:rsidR="005E4229">
      <w:rPr>
        <w:sz w:val="18"/>
      </w:rPr>
      <w:fldChar w:fldCharType="separate"/>
    </w:r>
    <w:r w:rsidR="00282A2C">
      <w:rPr>
        <w:sz w:val="18"/>
      </w:rPr>
      <w:t>2023</w:t>
    </w:r>
    <w:r w:rsidR="005E4229">
      <w:rPr>
        <w:sz w:val="18"/>
      </w:rPr>
      <w:fldChar w:fldCharType="end"/>
    </w:r>
    <w:r w:rsidR="005E4229">
      <w:rPr>
        <w:sz w:val="18"/>
      </w:rPr>
      <w:t xml:space="preserve"> </w:t>
    </w:r>
    <w:r w:rsidR="00581588">
      <w:rPr>
        <w:sz w:val="18"/>
      </w:rPr>
      <w:fldChar w:fldCharType="begin"/>
    </w:r>
    <w:r w:rsidR="00581588">
      <w:rPr>
        <w:sz w:val="18"/>
      </w:rPr>
      <w:instrText xml:space="preserve"> DOCPROPERTY  Vol  \* MERGEFORMAT </w:instrText>
    </w:r>
    <w:r w:rsidR="00581588">
      <w:rPr>
        <w:sz w:val="18"/>
      </w:rPr>
      <w:fldChar w:fldCharType="separate"/>
    </w:r>
    <w:r w:rsidR="00282A2C">
      <w:rPr>
        <w:sz w:val="18"/>
      </w:rPr>
      <w:t>47</w:t>
    </w:r>
    <w:r w:rsidR="00581588">
      <w:rPr>
        <w:sz w:val="18"/>
      </w:rPr>
      <w:fldChar w:fldCharType="end"/>
    </w:r>
    <w:r w:rsidR="00047B68">
      <w:rPr>
        <w:sz w:val="18"/>
      </w:rPr>
      <w:t xml:space="preserve"> </w:t>
    </w:r>
    <w:r w:rsidR="00047B68">
      <w:rPr>
        <w:sz w:val="18"/>
      </w:rPr>
      <w:fldChar w:fldCharType="begin"/>
    </w:r>
    <w:r w:rsidR="00047B68">
      <w:rPr>
        <w:sz w:val="18"/>
      </w:rPr>
      <w:instrText xml:space="preserve"> DOCPROPERTY  DOI  \* MERGEFORMAT </w:instrText>
    </w:r>
    <w:r w:rsidR="00047B68">
      <w:rPr>
        <w:sz w:val="18"/>
      </w:rPr>
      <w:fldChar w:fldCharType="separate"/>
    </w:r>
    <w:r w:rsidR="00821D81">
      <w:rPr>
        <w:sz w:val="18"/>
      </w:rPr>
      <w:t>https://doi.org/10.33321/cdi.2023.47.52</w:t>
    </w:r>
    <w:r w:rsidR="00047B68">
      <w:rPr>
        <w:sz w:val="18"/>
      </w:rPr>
      <w:fldChar w:fldCharType="end"/>
    </w:r>
    <w:r w:rsidR="00C24725">
      <w:rPr>
        <w:sz w:val="18"/>
      </w:rPr>
      <w:t xml:space="preserve"> </w:t>
    </w:r>
    <w:proofErr w:type="spellStart"/>
    <w:r w:rsidRPr="00155582">
      <w:rPr>
        <w:sz w:val="18"/>
      </w:rPr>
      <w:t>Epub</w:t>
    </w:r>
    <w:proofErr w:type="spellEnd"/>
    <w:r w:rsidRPr="00155582">
      <w:rPr>
        <w:sz w:val="18"/>
      </w:rPr>
      <w:t xml:space="preserve"> </w:t>
    </w:r>
    <w:r w:rsidR="00422FEB">
      <w:rPr>
        <w:sz w:val="18"/>
      </w:rPr>
      <w:fldChar w:fldCharType="begin"/>
    </w:r>
    <w:r w:rsidR="00422FEB">
      <w:rPr>
        <w:sz w:val="18"/>
      </w:rPr>
      <w:instrText xml:space="preserve"> DOCPROPERTY  ePubDate  \* MERGEFORMAT </w:instrText>
    </w:r>
    <w:r w:rsidR="00422FEB">
      <w:rPr>
        <w:sz w:val="18"/>
      </w:rPr>
      <w:fldChar w:fldCharType="separate"/>
    </w:r>
    <w:r w:rsidR="00821D81">
      <w:rPr>
        <w:sz w:val="18"/>
      </w:rPr>
      <w:t>21/09/2023</w:t>
    </w:r>
    <w:r w:rsidR="00422FEB">
      <w:rPr>
        <w:sz w:val="18"/>
      </w:rPr>
      <w:fldChar w:fldCharType="end"/>
    </w:r>
    <w:r>
      <w:rPr>
        <w:sz w:val="18"/>
      </w:rPr>
      <w:ptab w:relativeTo="margin" w:alignment="right" w:leader="none"/>
    </w:r>
    <w:r w:rsidRPr="00155582">
      <w:rPr>
        <w:sz w:val="18"/>
      </w:rPr>
      <w:t>health.gov.au/cdi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51610" w14:textId="77777777" w:rsidR="00282A2C" w:rsidRPr="00B91FB5" w:rsidRDefault="00282A2C" w:rsidP="00B91FB5">
      <w:pPr>
        <w:spacing w:after="0" w:line="240" w:lineRule="auto"/>
        <w:rPr>
          <w:sz w:val="18"/>
          <w:szCs w:val="18"/>
        </w:rPr>
      </w:pPr>
      <w:r w:rsidRPr="00B91FB5">
        <w:rPr>
          <w:sz w:val="18"/>
          <w:szCs w:val="18"/>
        </w:rPr>
        <w:separator/>
      </w:r>
    </w:p>
  </w:footnote>
  <w:footnote w:type="continuationSeparator" w:id="0">
    <w:p w14:paraId="1053EEB8" w14:textId="77777777" w:rsidR="00282A2C" w:rsidRDefault="00282A2C" w:rsidP="00E54DBA">
      <w:r>
        <w:continuationSeparator/>
      </w:r>
    </w:p>
  </w:footnote>
  <w:footnote w:type="continuationNotice" w:id="1">
    <w:p w14:paraId="50B7050F" w14:textId="77777777" w:rsidR="00282A2C" w:rsidRPr="00224EFF" w:rsidRDefault="00282A2C" w:rsidP="00224EF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FF98" w14:textId="334C2E43" w:rsidR="00257484" w:rsidRPr="00A153B6" w:rsidRDefault="00821D81" w:rsidP="00A153B6">
    <w:pPr>
      <w:pStyle w:val="Header"/>
      <w:pBdr>
        <w:bottom w:val="single" w:sz="6" w:space="1" w:color="auto"/>
      </w:pBdr>
    </w:pPr>
    <w:sdt>
      <w:sdtPr>
        <w:alias w:val="Category"/>
        <w:tag w:val=""/>
        <w:id w:val="-86243805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9676E">
          <w:t>Short report</w:t>
        </w:r>
      </w:sdtContent>
    </w:sdt>
    <w:r w:rsidR="00A153B6">
      <w:ptab w:relativeTo="margin" w:alignment="right" w:leader="none"/>
    </w:r>
    <w:r w:rsidR="00A153B6" w:rsidRPr="00BB5378">
      <w:t>Communicable Diseases Intelligence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45E1" w14:textId="77777777" w:rsidR="008B5348" w:rsidRPr="000A5F42" w:rsidRDefault="008B5348" w:rsidP="009D797A">
    <w:pPr>
      <w:pStyle w:val="Header"/>
      <w:spacing w:after="0" w:line="240" w:lineRule="auto"/>
      <w:jc w:val="center"/>
      <w:rPr>
        <w:b/>
      </w:rPr>
    </w:pPr>
    <w:r w:rsidRPr="00E810C5">
      <w:rPr>
        <w:rFonts w:cs="Myriad Pro"/>
        <w:noProof/>
        <w:color w:val="211D1E"/>
        <w:sz w:val="16"/>
      </w:rPr>
      <w:drawing>
        <wp:inline distT="0" distB="0" distL="0" distR="0" wp14:anchorId="50AC0C1F" wp14:editId="7359F4F3">
          <wp:extent cx="1971924" cy="593062"/>
          <wp:effectExtent l="0" t="0" r="0" b="0"/>
          <wp:docPr id="1" name="Picture 1" descr="Australian Government - Department of Health and Aged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- Department of Health and Aged Car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0" b="7160"/>
                  <a:stretch/>
                </pic:blipFill>
                <pic:spPr bwMode="auto">
                  <a:xfrm>
                    <a:off x="0" y="0"/>
                    <a:ext cx="2009585" cy="60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06D5"/>
    <w:multiLevelType w:val="hybridMultilevel"/>
    <w:tmpl w:val="A1000C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CE4"/>
    <w:multiLevelType w:val="multilevel"/>
    <w:tmpl w:val="0550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F04BA"/>
    <w:multiLevelType w:val="hybridMultilevel"/>
    <w:tmpl w:val="06902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0294E"/>
    <w:multiLevelType w:val="hybridMultilevel"/>
    <w:tmpl w:val="90D255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6245C"/>
    <w:multiLevelType w:val="hybridMultilevel"/>
    <w:tmpl w:val="A15CD27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D582C"/>
    <w:multiLevelType w:val="hybridMultilevel"/>
    <w:tmpl w:val="B3788E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C45B7"/>
    <w:multiLevelType w:val="multilevel"/>
    <w:tmpl w:val="6528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0E46D1"/>
    <w:multiLevelType w:val="multilevel"/>
    <w:tmpl w:val="EA3A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AE1AD5"/>
    <w:multiLevelType w:val="multilevel"/>
    <w:tmpl w:val="3616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C43C3F"/>
    <w:multiLevelType w:val="hybridMultilevel"/>
    <w:tmpl w:val="DB167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121115">
    <w:abstractNumId w:val="2"/>
  </w:num>
  <w:num w:numId="2" w16cid:durableId="1553421252">
    <w:abstractNumId w:val="4"/>
  </w:num>
  <w:num w:numId="3" w16cid:durableId="1444424010">
    <w:abstractNumId w:val="5"/>
  </w:num>
  <w:num w:numId="4" w16cid:durableId="444422744">
    <w:abstractNumId w:val="1"/>
  </w:num>
  <w:num w:numId="5" w16cid:durableId="932857026">
    <w:abstractNumId w:val="6"/>
  </w:num>
  <w:num w:numId="6" w16cid:durableId="854618497">
    <w:abstractNumId w:val="9"/>
  </w:num>
  <w:num w:numId="7" w16cid:durableId="1928810833">
    <w:abstractNumId w:val="7"/>
  </w:num>
  <w:num w:numId="8" w16cid:durableId="1698893867">
    <w:abstractNumId w:val="8"/>
  </w:num>
  <w:num w:numId="9" w16cid:durableId="1672835830">
    <w:abstractNumId w:val="0"/>
  </w:num>
  <w:num w:numId="10" w16cid:durableId="1536697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2C"/>
    <w:rsid w:val="00000B5B"/>
    <w:rsid w:val="00001611"/>
    <w:rsid w:val="000104A8"/>
    <w:rsid w:val="0001246E"/>
    <w:rsid w:val="000124B1"/>
    <w:rsid w:val="00016FE6"/>
    <w:rsid w:val="00031064"/>
    <w:rsid w:val="00031692"/>
    <w:rsid w:val="00032531"/>
    <w:rsid w:val="000325A0"/>
    <w:rsid w:val="000471BF"/>
    <w:rsid w:val="00047B68"/>
    <w:rsid w:val="00052600"/>
    <w:rsid w:val="0005643C"/>
    <w:rsid w:val="0006264A"/>
    <w:rsid w:val="00073D77"/>
    <w:rsid w:val="00081655"/>
    <w:rsid w:val="000864E0"/>
    <w:rsid w:val="0009676E"/>
    <w:rsid w:val="000969B3"/>
    <w:rsid w:val="000A5F42"/>
    <w:rsid w:val="000D4B4D"/>
    <w:rsid w:val="000E4BF6"/>
    <w:rsid w:val="00113D58"/>
    <w:rsid w:val="001200CB"/>
    <w:rsid w:val="001378A3"/>
    <w:rsid w:val="00155582"/>
    <w:rsid w:val="00161590"/>
    <w:rsid w:val="00171CC0"/>
    <w:rsid w:val="001723AC"/>
    <w:rsid w:val="00175494"/>
    <w:rsid w:val="00175629"/>
    <w:rsid w:val="001830EC"/>
    <w:rsid w:val="00183534"/>
    <w:rsid w:val="001872F9"/>
    <w:rsid w:val="0018758E"/>
    <w:rsid w:val="001A4A96"/>
    <w:rsid w:val="001A5D05"/>
    <w:rsid w:val="001A796C"/>
    <w:rsid w:val="001B2614"/>
    <w:rsid w:val="001B37B8"/>
    <w:rsid w:val="001B552F"/>
    <w:rsid w:val="001C0893"/>
    <w:rsid w:val="001C1303"/>
    <w:rsid w:val="001C70B2"/>
    <w:rsid w:val="001D37C7"/>
    <w:rsid w:val="001D6888"/>
    <w:rsid w:val="001E4E1D"/>
    <w:rsid w:val="00224EFF"/>
    <w:rsid w:val="002276DC"/>
    <w:rsid w:val="00227E00"/>
    <w:rsid w:val="002307CB"/>
    <w:rsid w:val="00231046"/>
    <w:rsid w:val="00234F21"/>
    <w:rsid w:val="00242659"/>
    <w:rsid w:val="002428F7"/>
    <w:rsid w:val="0024315F"/>
    <w:rsid w:val="0024631C"/>
    <w:rsid w:val="00252C9A"/>
    <w:rsid w:val="00256309"/>
    <w:rsid w:val="00257484"/>
    <w:rsid w:val="00260636"/>
    <w:rsid w:val="00275C5C"/>
    <w:rsid w:val="00275C78"/>
    <w:rsid w:val="00280594"/>
    <w:rsid w:val="00281EE3"/>
    <w:rsid w:val="00282A2C"/>
    <w:rsid w:val="00284E4A"/>
    <w:rsid w:val="002A3799"/>
    <w:rsid w:val="002A3BCC"/>
    <w:rsid w:val="002A4516"/>
    <w:rsid w:val="002A569F"/>
    <w:rsid w:val="002A7066"/>
    <w:rsid w:val="002B001E"/>
    <w:rsid w:val="002B09B7"/>
    <w:rsid w:val="002B75A9"/>
    <w:rsid w:val="002C21B0"/>
    <w:rsid w:val="002E2FB3"/>
    <w:rsid w:val="002F327B"/>
    <w:rsid w:val="00301626"/>
    <w:rsid w:val="003059EC"/>
    <w:rsid w:val="00316CCD"/>
    <w:rsid w:val="00324F7E"/>
    <w:rsid w:val="003323BC"/>
    <w:rsid w:val="00346D42"/>
    <w:rsid w:val="00346E11"/>
    <w:rsid w:val="003601C0"/>
    <w:rsid w:val="003635F5"/>
    <w:rsid w:val="003673B1"/>
    <w:rsid w:val="00372A88"/>
    <w:rsid w:val="00381A0F"/>
    <w:rsid w:val="003A1B3A"/>
    <w:rsid w:val="003A40F5"/>
    <w:rsid w:val="003B5B8C"/>
    <w:rsid w:val="003C50A9"/>
    <w:rsid w:val="003C7841"/>
    <w:rsid w:val="003D79B1"/>
    <w:rsid w:val="003E74EE"/>
    <w:rsid w:val="003F0552"/>
    <w:rsid w:val="003F3BC2"/>
    <w:rsid w:val="003F725B"/>
    <w:rsid w:val="003F77A5"/>
    <w:rsid w:val="00401ED1"/>
    <w:rsid w:val="0040224C"/>
    <w:rsid w:val="00413EE1"/>
    <w:rsid w:val="004164BB"/>
    <w:rsid w:val="0042000E"/>
    <w:rsid w:val="00421ECE"/>
    <w:rsid w:val="00422FEB"/>
    <w:rsid w:val="0042435E"/>
    <w:rsid w:val="004315F5"/>
    <w:rsid w:val="00433456"/>
    <w:rsid w:val="00433DFA"/>
    <w:rsid w:val="00435D67"/>
    <w:rsid w:val="00464A58"/>
    <w:rsid w:val="00473D2D"/>
    <w:rsid w:val="004A2125"/>
    <w:rsid w:val="004A38F6"/>
    <w:rsid w:val="004B4EB6"/>
    <w:rsid w:val="004C083C"/>
    <w:rsid w:val="004C67C6"/>
    <w:rsid w:val="004D29DE"/>
    <w:rsid w:val="00510EAC"/>
    <w:rsid w:val="00542A57"/>
    <w:rsid w:val="00565974"/>
    <w:rsid w:val="005732C0"/>
    <w:rsid w:val="0057336D"/>
    <w:rsid w:val="0057489A"/>
    <w:rsid w:val="00574ACF"/>
    <w:rsid w:val="00580DF7"/>
    <w:rsid w:val="00581588"/>
    <w:rsid w:val="0058540B"/>
    <w:rsid w:val="00587C87"/>
    <w:rsid w:val="00590B80"/>
    <w:rsid w:val="005B3134"/>
    <w:rsid w:val="005B4E61"/>
    <w:rsid w:val="005B595A"/>
    <w:rsid w:val="005B66C2"/>
    <w:rsid w:val="005C3DEE"/>
    <w:rsid w:val="005C66A6"/>
    <w:rsid w:val="005D2465"/>
    <w:rsid w:val="005E33DD"/>
    <w:rsid w:val="005E4229"/>
    <w:rsid w:val="005E5181"/>
    <w:rsid w:val="005E540E"/>
    <w:rsid w:val="005E55FB"/>
    <w:rsid w:val="005F16BB"/>
    <w:rsid w:val="00607115"/>
    <w:rsid w:val="00620768"/>
    <w:rsid w:val="0062594B"/>
    <w:rsid w:val="00631406"/>
    <w:rsid w:val="006324FF"/>
    <w:rsid w:val="006351D6"/>
    <w:rsid w:val="00636E0D"/>
    <w:rsid w:val="0064142F"/>
    <w:rsid w:val="00643CB4"/>
    <w:rsid w:val="00656427"/>
    <w:rsid w:val="00660255"/>
    <w:rsid w:val="00663EA5"/>
    <w:rsid w:val="006971F3"/>
    <w:rsid w:val="006C74A3"/>
    <w:rsid w:val="006D1381"/>
    <w:rsid w:val="006D31BC"/>
    <w:rsid w:val="006E7943"/>
    <w:rsid w:val="006F24EA"/>
    <w:rsid w:val="0070274D"/>
    <w:rsid w:val="00704CA9"/>
    <w:rsid w:val="0071048D"/>
    <w:rsid w:val="00710F86"/>
    <w:rsid w:val="007111A8"/>
    <w:rsid w:val="00712554"/>
    <w:rsid w:val="00723B5F"/>
    <w:rsid w:val="00731BC3"/>
    <w:rsid w:val="00741192"/>
    <w:rsid w:val="00743A33"/>
    <w:rsid w:val="00746080"/>
    <w:rsid w:val="0075144A"/>
    <w:rsid w:val="00772698"/>
    <w:rsid w:val="00786329"/>
    <w:rsid w:val="00792C7D"/>
    <w:rsid w:val="00794A4D"/>
    <w:rsid w:val="007A5234"/>
    <w:rsid w:val="007B7854"/>
    <w:rsid w:val="007C56A1"/>
    <w:rsid w:val="007C6454"/>
    <w:rsid w:val="007E01E0"/>
    <w:rsid w:val="007E5CA0"/>
    <w:rsid w:val="007F0B93"/>
    <w:rsid w:val="007F2ECA"/>
    <w:rsid w:val="00802960"/>
    <w:rsid w:val="00811708"/>
    <w:rsid w:val="00816B90"/>
    <w:rsid w:val="00817799"/>
    <w:rsid w:val="00821D81"/>
    <w:rsid w:val="00822F5F"/>
    <w:rsid w:val="00824FD3"/>
    <w:rsid w:val="00826589"/>
    <w:rsid w:val="00834BCC"/>
    <w:rsid w:val="00850D54"/>
    <w:rsid w:val="00852E2B"/>
    <w:rsid w:val="008714B0"/>
    <w:rsid w:val="00876331"/>
    <w:rsid w:val="00880726"/>
    <w:rsid w:val="008A3544"/>
    <w:rsid w:val="008B48B8"/>
    <w:rsid w:val="008B5348"/>
    <w:rsid w:val="008B58F8"/>
    <w:rsid w:val="008B62FF"/>
    <w:rsid w:val="008C0712"/>
    <w:rsid w:val="008C4520"/>
    <w:rsid w:val="008C5F09"/>
    <w:rsid w:val="008D470F"/>
    <w:rsid w:val="008E1F8F"/>
    <w:rsid w:val="008E4768"/>
    <w:rsid w:val="008E4D3D"/>
    <w:rsid w:val="008E761E"/>
    <w:rsid w:val="008F2D4F"/>
    <w:rsid w:val="008F77B3"/>
    <w:rsid w:val="009008F5"/>
    <w:rsid w:val="00904CC1"/>
    <w:rsid w:val="009066AF"/>
    <w:rsid w:val="00912050"/>
    <w:rsid w:val="00912E48"/>
    <w:rsid w:val="00912E68"/>
    <w:rsid w:val="00923B3D"/>
    <w:rsid w:val="0092746F"/>
    <w:rsid w:val="00934489"/>
    <w:rsid w:val="00935DC9"/>
    <w:rsid w:val="009446C0"/>
    <w:rsid w:val="0096082E"/>
    <w:rsid w:val="00961347"/>
    <w:rsid w:val="00967410"/>
    <w:rsid w:val="00967D73"/>
    <w:rsid w:val="0098119A"/>
    <w:rsid w:val="00984AAF"/>
    <w:rsid w:val="00991B09"/>
    <w:rsid w:val="00993CB2"/>
    <w:rsid w:val="009A5166"/>
    <w:rsid w:val="009A76F8"/>
    <w:rsid w:val="009B2B83"/>
    <w:rsid w:val="009C49F8"/>
    <w:rsid w:val="009D77CC"/>
    <w:rsid w:val="009D797A"/>
    <w:rsid w:val="009E2423"/>
    <w:rsid w:val="009E55D7"/>
    <w:rsid w:val="009F4150"/>
    <w:rsid w:val="009F5665"/>
    <w:rsid w:val="009F5DAD"/>
    <w:rsid w:val="00A01BCA"/>
    <w:rsid w:val="00A10458"/>
    <w:rsid w:val="00A153B6"/>
    <w:rsid w:val="00A164D5"/>
    <w:rsid w:val="00A23A68"/>
    <w:rsid w:val="00A273C3"/>
    <w:rsid w:val="00A30C37"/>
    <w:rsid w:val="00A36C65"/>
    <w:rsid w:val="00A41BBE"/>
    <w:rsid w:val="00A443E3"/>
    <w:rsid w:val="00A45BDD"/>
    <w:rsid w:val="00A46A0A"/>
    <w:rsid w:val="00A553F8"/>
    <w:rsid w:val="00A6708F"/>
    <w:rsid w:val="00A71BF6"/>
    <w:rsid w:val="00A72AF9"/>
    <w:rsid w:val="00A86F9A"/>
    <w:rsid w:val="00AA35E6"/>
    <w:rsid w:val="00AA50B6"/>
    <w:rsid w:val="00AB3472"/>
    <w:rsid w:val="00AD0762"/>
    <w:rsid w:val="00AE0209"/>
    <w:rsid w:val="00AE3DCF"/>
    <w:rsid w:val="00AE4452"/>
    <w:rsid w:val="00AE7C38"/>
    <w:rsid w:val="00B01F99"/>
    <w:rsid w:val="00B02B37"/>
    <w:rsid w:val="00B05276"/>
    <w:rsid w:val="00B132DB"/>
    <w:rsid w:val="00B31427"/>
    <w:rsid w:val="00B33861"/>
    <w:rsid w:val="00B379AC"/>
    <w:rsid w:val="00B40DE2"/>
    <w:rsid w:val="00B50210"/>
    <w:rsid w:val="00B50D8D"/>
    <w:rsid w:val="00B53955"/>
    <w:rsid w:val="00B53BFC"/>
    <w:rsid w:val="00B63C79"/>
    <w:rsid w:val="00B6408A"/>
    <w:rsid w:val="00B6478A"/>
    <w:rsid w:val="00B714B8"/>
    <w:rsid w:val="00B82C2C"/>
    <w:rsid w:val="00B8720B"/>
    <w:rsid w:val="00B876EF"/>
    <w:rsid w:val="00B91FB5"/>
    <w:rsid w:val="00BA4697"/>
    <w:rsid w:val="00BB5378"/>
    <w:rsid w:val="00BC0BD3"/>
    <w:rsid w:val="00BD0107"/>
    <w:rsid w:val="00BE0C33"/>
    <w:rsid w:val="00BE262C"/>
    <w:rsid w:val="00BE4C25"/>
    <w:rsid w:val="00BE6C3D"/>
    <w:rsid w:val="00C07606"/>
    <w:rsid w:val="00C12542"/>
    <w:rsid w:val="00C130EE"/>
    <w:rsid w:val="00C24725"/>
    <w:rsid w:val="00C30BA9"/>
    <w:rsid w:val="00C3541E"/>
    <w:rsid w:val="00C36A8F"/>
    <w:rsid w:val="00C42834"/>
    <w:rsid w:val="00C42FFA"/>
    <w:rsid w:val="00C507D8"/>
    <w:rsid w:val="00C51F5A"/>
    <w:rsid w:val="00C57018"/>
    <w:rsid w:val="00C62EAC"/>
    <w:rsid w:val="00C63F9F"/>
    <w:rsid w:val="00C7723C"/>
    <w:rsid w:val="00C838F5"/>
    <w:rsid w:val="00C841C0"/>
    <w:rsid w:val="00C92FCB"/>
    <w:rsid w:val="00CA1AF4"/>
    <w:rsid w:val="00CA6068"/>
    <w:rsid w:val="00CB15E1"/>
    <w:rsid w:val="00CB3D46"/>
    <w:rsid w:val="00CD1A87"/>
    <w:rsid w:val="00CD35F3"/>
    <w:rsid w:val="00CD5C93"/>
    <w:rsid w:val="00CE342B"/>
    <w:rsid w:val="00CF320C"/>
    <w:rsid w:val="00CF3A4B"/>
    <w:rsid w:val="00CF4001"/>
    <w:rsid w:val="00CF75DF"/>
    <w:rsid w:val="00D05837"/>
    <w:rsid w:val="00D12D8A"/>
    <w:rsid w:val="00D13E0C"/>
    <w:rsid w:val="00D25896"/>
    <w:rsid w:val="00D373A1"/>
    <w:rsid w:val="00D37C0F"/>
    <w:rsid w:val="00D45661"/>
    <w:rsid w:val="00D45943"/>
    <w:rsid w:val="00D47D22"/>
    <w:rsid w:val="00D51865"/>
    <w:rsid w:val="00D51D0C"/>
    <w:rsid w:val="00D74140"/>
    <w:rsid w:val="00DA6E56"/>
    <w:rsid w:val="00DA78DD"/>
    <w:rsid w:val="00DB1C65"/>
    <w:rsid w:val="00DC24E5"/>
    <w:rsid w:val="00DC6705"/>
    <w:rsid w:val="00DD2DE8"/>
    <w:rsid w:val="00DE38B4"/>
    <w:rsid w:val="00DE5D02"/>
    <w:rsid w:val="00DF2102"/>
    <w:rsid w:val="00E005A9"/>
    <w:rsid w:val="00E065BA"/>
    <w:rsid w:val="00E1166E"/>
    <w:rsid w:val="00E24DC0"/>
    <w:rsid w:val="00E2519C"/>
    <w:rsid w:val="00E25F2A"/>
    <w:rsid w:val="00E41455"/>
    <w:rsid w:val="00E42AD2"/>
    <w:rsid w:val="00E50856"/>
    <w:rsid w:val="00E538CC"/>
    <w:rsid w:val="00E54BBD"/>
    <w:rsid w:val="00E54DBA"/>
    <w:rsid w:val="00E63D7C"/>
    <w:rsid w:val="00E640D5"/>
    <w:rsid w:val="00E66E2E"/>
    <w:rsid w:val="00E67691"/>
    <w:rsid w:val="00E92237"/>
    <w:rsid w:val="00E951EF"/>
    <w:rsid w:val="00EA3D54"/>
    <w:rsid w:val="00EA56D9"/>
    <w:rsid w:val="00EA5CE3"/>
    <w:rsid w:val="00EB51C1"/>
    <w:rsid w:val="00EB5AE1"/>
    <w:rsid w:val="00EB5E0B"/>
    <w:rsid w:val="00EC2171"/>
    <w:rsid w:val="00ED442D"/>
    <w:rsid w:val="00ED70C2"/>
    <w:rsid w:val="00EE18FF"/>
    <w:rsid w:val="00EE3E29"/>
    <w:rsid w:val="00EE489F"/>
    <w:rsid w:val="00F0647F"/>
    <w:rsid w:val="00F10CE3"/>
    <w:rsid w:val="00F12006"/>
    <w:rsid w:val="00F13443"/>
    <w:rsid w:val="00F14F3B"/>
    <w:rsid w:val="00F16362"/>
    <w:rsid w:val="00F207C7"/>
    <w:rsid w:val="00F36B6D"/>
    <w:rsid w:val="00F43FA3"/>
    <w:rsid w:val="00F55648"/>
    <w:rsid w:val="00F70046"/>
    <w:rsid w:val="00F748C2"/>
    <w:rsid w:val="00F74958"/>
    <w:rsid w:val="00F76C5C"/>
    <w:rsid w:val="00F81EF3"/>
    <w:rsid w:val="00F84496"/>
    <w:rsid w:val="00F85DCB"/>
    <w:rsid w:val="00F86F9C"/>
    <w:rsid w:val="00F90D76"/>
    <w:rsid w:val="00FC002E"/>
    <w:rsid w:val="00FC4C23"/>
    <w:rsid w:val="00FC642E"/>
    <w:rsid w:val="00FE2AE4"/>
    <w:rsid w:val="00FE689F"/>
    <w:rsid w:val="00FE7809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E7AA4"/>
  <w15:docId w15:val="{18AEE5B1-2A51-4AD8-94EE-B837EA91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2"/>
  </w:style>
  <w:style w:type="paragraph" w:styleId="Heading1">
    <w:name w:val="heading 1"/>
    <w:basedOn w:val="Normal"/>
    <w:next w:val="Normal"/>
    <w:link w:val="Heading1Char"/>
    <w:uiPriority w:val="9"/>
    <w:qFormat/>
    <w:rsid w:val="00DD2DE8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19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19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19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19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119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9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9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9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DE8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7411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411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Emphasis">
    <w:name w:val="Emphasis"/>
    <w:uiPriority w:val="20"/>
    <w:qFormat/>
    <w:rsid w:val="0074119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table-text">
    <w:name w:val="table-text"/>
    <w:basedOn w:val="Normal"/>
    <w:rsid w:val="00822F5F"/>
    <w:rPr>
      <w:rFonts w:ascii="Myriad Pro" w:hAnsi="Myriad Pro"/>
      <w:color w:val="231F20"/>
      <w:sz w:val="14"/>
      <w:szCs w:val="14"/>
    </w:rPr>
  </w:style>
  <w:style w:type="paragraph" w:customStyle="1" w:styleId="table-h1">
    <w:name w:val="table-h1"/>
    <w:basedOn w:val="Normal"/>
    <w:rsid w:val="00822F5F"/>
    <w:rPr>
      <w:rFonts w:ascii="Myriad Pro" w:hAnsi="Myriad Pro"/>
      <w:b/>
      <w:bCs/>
      <w:color w:val="FFFFFF"/>
      <w:sz w:val="14"/>
      <w:szCs w:val="14"/>
    </w:rPr>
  </w:style>
  <w:style w:type="character" w:customStyle="1" w:styleId="Strong1">
    <w:name w:val="Strong1"/>
    <w:basedOn w:val="DefaultParagraphFont"/>
    <w:rsid w:val="00822F5F"/>
    <w:rPr>
      <w:b/>
      <w:bCs/>
      <w:i w:val="0"/>
      <w:iCs w:val="0"/>
    </w:rPr>
  </w:style>
  <w:style w:type="character" w:customStyle="1" w:styleId="superscript">
    <w:name w:val="superscript"/>
    <w:basedOn w:val="DefaultParagraphFont"/>
    <w:rsid w:val="00822F5F"/>
    <w:rPr>
      <w:vertAlign w:val="superscript"/>
    </w:rPr>
  </w:style>
  <w:style w:type="paragraph" w:customStyle="1" w:styleId="footnote">
    <w:name w:val="footnote"/>
    <w:basedOn w:val="Normal"/>
    <w:rsid w:val="008B48B8"/>
    <w:rPr>
      <w:rFonts w:ascii="Myriad Pro" w:hAnsi="Myriad Pro"/>
      <w:color w:val="231F20"/>
      <w:sz w:val="12"/>
      <w:szCs w:val="12"/>
    </w:rPr>
  </w:style>
  <w:style w:type="paragraph" w:customStyle="1" w:styleId="figure-table-title">
    <w:name w:val="figure-table-title"/>
    <w:basedOn w:val="Normal"/>
    <w:rsid w:val="008B48B8"/>
    <w:pPr>
      <w:spacing w:after="180"/>
    </w:pPr>
    <w:rPr>
      <w:rFonts w:ascii="Minion Pro SmBd" w:hAnsi="Minion Pro SmBd"/>
      <w:b/>
      <w:bCs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DB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DBA"/>
    <w:rPr>
      <w:rFonts w:eastAsiaTheme="minorEastAsia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84AAF"/>
    <w:pPr>
      <w:spacing w:line="240" w:lineRule="auto"/>
      <w:contextualSpacing/>
    </w:pPr>
    <w:rPr>
      <w:rFonts w:ascii="Myriad Pro Cond" w:eastAsiaTheme="majorEastAsia" w:hAnsi="Myriad Pro Cond" w:cstheme="majorBidi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AAF"/>
    <w:rPr>
      <w:rFonts w:ascii="Myriad Pro Cond" w:eastAsiaTheme="majorEastAsia" w:hAnsi="Myriad Pro Cond" w:cstheme="majorBidi"/>
      <w:b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411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4119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4119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74119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19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119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7411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119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119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19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192"/>
    <w:rPr>
      <w:b/>
      <w:bCs/>
      <w:i/>
      <w:iCs/>
    </w:rPr>
  </w:style>
  <w:style w:type="character" w:styleId="SubtleEmphasis">
    <w:name w:val="Subtle Emphasis"/>
    <w:uiPriority w:val="19"/>
    <w:qFormat/>
    <w:rsid w:val="00741192"/>
    <w:rPr>
      <w:i/>
      <w:iCs/>
    </w:rPr>
  </w:style>
  <w:style w:type="character" w:styleId="IntenseEmphasis">
    <w:name w:val="Intense Emphasis"/>
    <w:uiPriority w:val="21"/>
    <w:qFormat/>
    <w:rsid w:val="00741192"/>
    <w:rPr>
      <w:b/>
      <w:bCs/>
    </w:rPr>
  </w:style>
  <w:style w:type="character" w:styleId="SubtleReference">
    <w:name w:val="Subtle Reference"/>
    <w:uiPriority w:val="31"/>
    <w:qFormat/>
    <w:rsid w:val="00741192"/>
    <w:rPr>
      <w:smallCaps/>
    </w:rPr>
  </w:style>
  <w:style w:type="character" w:styleId="IntenseReference">
    <w:name w:val="Intense Reference"/>
    <w:uiPriority w:val="32"/>
    <w:qFormat/>
    <w:rsid w:val="00741192"/>
    <w:rPr>
      <w:smallCaps/>
      <w:spacing w:val="5"/>
      <w:u w:val="single"/>
    </w:rPr>
  </w:style>
  <w:style w:type="character" w:styleId="BookTitle">
    <w:name w:val="Book Title"/>
    <w:uiPriority w:val="33"/>
    <w:qFormat/>
    <w:rsid w:val="00741192"/>
    <w:rPr>
      <w:i/>
      <w:iCs/>
      <w:smallCap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9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9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9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119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3DFA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7B7854"/>
  </w:style>
  <w:style w:type="paragraph" w:customStyle="1" w:styleId="Pa1">
    <w:name w:val="Pa1"/>
    <w:basedOn w:val="Normal"/>
    <w:next w:val="Normal"/>
    <w:uiPriority w:val="99"/>
    <w:rsid w:val="00D47D22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10">
    <w:name w:val="A10"/>
    <w:uiPriority w:val="99"/>
    <w:rsid w:val="00D47D22"/>
    <w:rPr>
      <w:rFonts w:cs="Myriad Pro"/>
      <w:color w:val="211D1E"/>
      <w:sz w:val="22"/>
      <w:szCs w:val="22"/>
    </w:rPr>
  </w:style>
  <w:style w:type="character" w:customStyle="1" w:styleId="A11">
    <w:name w:val="A11"/>
    <w:uiPriority w:val="99"/>
    <w:rsid w:val="00D47D22"/>
    <w:rPr>
      <w:rFonts w:cs="Myriad Pro"/>
      <w:color w:val="211D1E"/>
      <w:sz w:val="22"/>
      <w:szCs w:val="22"/>
      <w:u w:val="single"/>
    </w:rPr>
  </w:style>
  <w:style w:type="character" w:customStyle="1" w:styleId="A12">
    <w:name w:val="A12"/>
    <w:uiPriority w:val="99"/>
    <w:rsid w:val="00D47D22"/>
    <w:rPr>
      <w:rFonts w:cs="Myriad Pro"/>
      <w:color w:val="211D1E"/>
      <w:u w:val="single"/>
    </w:rPr>
  </w:style>
  <w:style w:type="character" w:styleId="Hyperlink">
    <w:name w:val="Hyperlink"/>
    <w:basedOn w:val="DefaultParagraphFont"/>
    <w:uiPriority w:val="99"/>
    <w:unhideWhenUsed/>
    <w:rsid w:val="001B37B8"/>
    <w:rPr>
      <w:color w:val="0000FF" w:themeColor="hyperlink"/>
      <w:u w:val="single"/>
    </w:rPr>
  </w:style>
  <w:style w:type="table" w:customStyle="1" w:styleId="CDI-StandardTable">
    <w:name w:val="CDI - Standard Table"/>
    <w:basedOn w:val="TableNormal"/>
    <w:uiPriority w:val="99"/>
    <w:rsid w:val="005E5181"/>
    <w:pPr>
      <w:spacing w:after="0" w:line="240" w:lineRule="auto"/>
      <w:jc w:val="center"/>
    </w:pPr>
    <w:rPr>
      <w:rFonts w:ascii="Calibri" w:hAnsi="Calibri"/>
      <w:color w:val="000000" w:themeColor="text1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insideH w:val="single" w:sz="4" w:space="0" w:color="F7ECDD"/>
          <w:insideV w:val="single" w:sz="4" w:space="0" w:color="F7ECDD"/>
        </w:tcBorders>
        <w:shd w:val="clear" w:color="auto" w:fill="404040" w:themeFill="text1" w:themeFillTint="BF"/>
      </w:tcPr>
    </w:tblStylePr>
    <w:tblStylePr w:type="lastRow">
      <w:rPr>
        <w:b/>
      </w:rPr>
      <w:tblPr/>
      <w:tcPr>
        <w:shd w:val="clear" w:color="auto" w:fill="F7ECDD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DIfootnotes">
    <w:name w:val="CDI_footnotes"/>
    <w:basedOn w:val="NormalWeb"/>
    <w:link w:val="CDIfootnotesChar"/>
    <w:qFormat/>
    <w:rsid w:val="00DC24E5"/>
    <w:pPr>
      <w:spacing w:line="240" w:lineRule="auto"/>
      <w:ind w:left="720" w:hanging="720"/>
      <w:contextualSpacing/>
    </w:pPr>
    <w:rPr>
      <w:sz w:val="18"/>
    </w:rPr>
  </w:style>
  <w:style w:type="table" w:styleId="LightList">
    <w:name w:val="Light List"/>
    <w:basedOn w:val="TableNormal"/>
    <w:uiPriority w:val="61"/>
    <w:rsid w:val="00433456"/>
    <w:pPr>
      <w:spacing w:after="0" w:line="240" w:lineRule="auto"/>
    </w:p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43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IFigures">
    <w:name w:val="CDI_Figures"/>
    <w:basedOn w:val="NormalWeb"/>
    <w:link w:val="CDIFiguresChar"/>
    <w:qFormat/>
    <w:rsid w:val="00C30BA9"/>
    <w:rPr>
      <w:b/>
    </w:rPr>
  </w:style>
  <w:style w:type="character" w:customStyle="1" w:styleId="NormalWebChar">
    <w:name w:val="Normal (Web) Char"/>
    <w:basedOn w:val="DefaultParagraphFont"/>
    <w:link w:val="NormalWeb"/>
    <w:uiPriority w:val="99"/>
    <w:rsid w:val="00DE5D02"/>
  </w:style>
  <w:style w:type="character" w:customStyle="1" w:styleId="CDIfootnotesChar">
    <w:name w:val="CDI_footnotes Char"/>
    <w:basedOn w:val="NormalWebChar"/>
    <w:link w:val="CDIfootnotes"/>
    <w:rsid w:val="00DC24E5"/>
    <w:rPr>
      <w:sz w:val="18"/>
    </w:rPr>
  </w:style>
  <w:style w:type="character" w:customStyle="1" w:styleId="CDIFiguresChar">
    <w:name w:val="CDI_Figures Char"/>
    <w:basedOn w:val="NormalWebChar"/>
    <w:link w:val="CDIFigures"/>
    <w:rsid w:val="00C30BA9"/>
    <w:rPr>
      <w:b/>
    </w:rPr>
  </w:style>
  <w:style w:type="character" w:customStyle="1" w:styleId="URI">
    <w:name w:val="URI"/>
    <w:uiPriority w:val="99"/>
    <w:rsid w:val="000A5F42"/>
    <w:rPr>
      <w:color w:val="000000"/>
      <w:u w:val="thick"/>
    </w:rPr>
  </w:style>
  <w:style w:type="character" w:customStyle="1" w:styleId="nobreak">
    <w:name w:val="no break"/>
    <w:uiPriority w:val="99"/>
    <w:rsid w:val="000A5F42"/>
    <w:rPr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E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EF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0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ealth.gov.au/cdi" TargetMode="External"/><Relationship Id="rId18" Type="http://schemas.openxmlformats.org/officeDocument/2006/relationships/hyperlink" Target="http://www.itsanhonour.gov.au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creativecommons.org/licenses/by-nc-nd/4.0/legalco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di.editor@health.gov.au" TargetMode="External"/><Relationship Id="rId20" Type="http://schemas.openxmlformats.org/officeDocument/2006/relationships/hyperlink" Target="http://www.health.gov.au/cdn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health.gov.au/cdi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copyright@health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://health.gov.au/cdi" TargetMode="External"/><Relationship Id="rId14" Type="http://schemas.openxmlformats.org/officeDocument/2006/relationships/hyperlink" Target="mailto:cdi.editor@health.gov.a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sek\OneDrive%20-%20Department%20of%20Health\Desktop\T%202023\template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3CEDF-0107-42E3-93CC-370A8D39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template-2023.dotx</Template>
  <TotalTime>4</TotalTime>
  <Pages>5</Pages>
  <Words>2067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Communicable Diseases Intelligence - Group B streptococcus in the Northern Territory in 2023: clindamycin down but not out</vt:lpstr>
    </vt:vector>
  </TitlesOfParts>
  <Company>Australian Government, Department of Health</Company>
  <LinksUpToDate>false</LinksUpToDate>
  <CharactersWithSpaces>16026</CharactersWithSpaces>
  <SharedDoc>false</SharedDoc>
  <HyperlinkBase>http://www.health.gov.au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Intelligence - Group B streptococcus in the Northern Territory in 2023: clindamycin down but not out</dc:title>
  <dc:subject>Group B streptococcus isolates in the Northern Territory of Australia have a 30% resistance rate towards clindamycin.</dc:subject>
  <dc:creator>Kate Proudmore; Ma Nu Nu Swe; May Leitch; Kim Clayfield; Jann Hennessy; Rob Baird</dc:creator>
  <dc:description>© Commonwealth of Australia CC BY-NC-ND ISSN: 2209-6051 (Online)</dc:description>
  <cp:lastModifiedBy>YOUSEFI, Kasra</cp:lastModifiedBy>
  <cp:revision>4</cp:revision>
  <cp:lastPrinted>2018-05-10T02:19:00Z</cp:lastPrinted>
  <dcterms:created xsi:type="dcterms:W3CDTF">2023-09-06T05:10:00Z</dcterms:created>
  <dcterms:modified xsi:type="dcterms:W3CDTF">2023-09-07T06:57:00Z</dcterms:modified>
  <cp:category>Short report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2023</vt:lpwstr>
  </property>
  <property fmtid="{D5CDD505-2E9C-101B-9397-08002B2CF9AE}" pid="3" name="Vol">
    <vt:i4>47</vt:i4>
  </property>
  <property fmtid="{D5CDD505-2E9C-101B-9397-08002B2CF9AE}" pid="4" name="ePubDate">
    <vt:lpwstr>21/09/2023</vt:lpwstr>
  </property>
  <property fmtid="{D5CDD505-2E9C-101B-9397-08002B2CF9AE}" pid="5" name="DOI">
    <vt:lpwstr>https://doi.org/10.33321/cdi.2023.47.52</vt:lpwstr>
  </property>
</Properties>
</file>