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2F2C0" w14:textId="77777777" w:rsidR="00BE610E" w:rsidRPr="00DF013B" w:rsidRDefault="00BE610E" w:rsidP="00DF013B">
      <w:pPr>
        <w:pStyle w:val="Title"/>
      </w:pPr>
      <w:r w:rsidRPr="00DF013B">
        <w:t xml:space="preserve">ATAGI 2022 Annual Statement on Immunisation </w:t>
      </w:r>
    </w:p>
    <w:p w14:paraId="63377821" w14:textId="6353074E" w:rsidR="00BE610E" w:rsidRDefault="00BE610E" w:rsidP="0042750A">
      <w:r>
        <w:t>Catherine T Tran, Madeline Valeri, Clayton Chiu, Michelle L Giles, Allen C Cheng, Kristine K Macartney, Christopher</w:t>
      </w:r>
      <w:r w:rsidR="00681182">
        <w:t> </w:t>
      </w:r>
      <w:r>
        <w:t>C</w:t>
      </w:r>
      <w:r w:rsidR="00681182">
        <w:t> </w:t>
      </w:r>
      <w:r>
        <w:t xml:space="preserve">Blyth, Nigel W Crawford on behalf of the Australian Technical Advisory Group on Immunisation </w:t>
      </w:r>
    </w:p>
    <w:p w14:paraId="034C1601" w14:textId="360BEB5D" w:rsidR="0042750A" w:rsidRDefault="00615BFA" w:rsidP="0042750A">
      <w:r>
        <w:rPr>
          <w:noProof/>
        </w:rPr>
        <mc:AlternateContent>
          <mc:Choice Requires="wps">
            <w:drawing>
              <wp:inline distT="0" distB="0" distL="0" distR="0" wp14:anchorId="02511273" wp14:editId="69BF733E">
                <wp:extent cx="6625424"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60DB989F" w14:textId="77777777" w:rsidR="00B01FF0" w:rsidRPr="001554A7" w:rsidRDefault="00B01FF0" w:rsidP="00721C46">
                            <w:pPr>
                              <w:spacing w:after="0"/>
                              <w:rPr>
                                <w:i/>
                                <w:iCs/>
                              </w:rPr>
                            </w:pPr>
                            <w:r w:rsidRPr="001554A7">
                              <w:rPr>
                                <w:i/>
                                <w:iCs/>
                              </w:rPr>
                              <w:t xml:space="preserve">The Australian Technical Advisory Group on Immunisation (ATAGI) 2022 Annual Statement on Immunisation is the second publication in this series. It highlights the key successes, </w:t>
                            </w:r>
                            <w:proofErr w:type="gramStart"/>
                            <w:r w:rsidRPr="001554A7">
                              <w:rPr>
                                <w:i/>
                                <w:iCs/>
                              </w:rPr>
                              <w:t>trends</w:t>
                            </w:r>
                            <w:proofErr w:type="gramEnd"/>
                            <w:r w:rsidRPr="001554A7">
                              <w:rPr>
                                <w:i/>
                                <w:iCs/>
                              </w:rPr>
                              <w:t xml:space="preserve"> and challenges in the use of vaccines and control of vaccine preventable diseases (VPDs) in Australia in 2021. It also signals ATAGI’s priority actions for addressing key issues for 2022 and beyond. </w:t>
                            </w:r>
                          </w:p>
                          <w:p w14:paraId="637AFBED" w14:textId="77777777" w:rsidR="00B01FF0" w:rsidRPr="007A1CAC" w:rsidRDefault="00B01FF0" w:rsidP="00721C46">
                            <w:pPr>
                              <w:pStyle w:val="Heading1"/>
                              <w:spacing w:before="240"/>
                            </w:pPr>
                            <w:r w:rsidRPr="007A1CAC">
                              <w:t xml:space="preserve">Summary </w:t>
                            </w:r>
                          </w:p>
                          <w:p w14:paraId="001FB015" w14:textId="77777777" w:rsidR="00B01FF0" w:rsidRDefault="00B01FF0" w:rsidP="00B01FF0">
                            <w:r>
                              <w:t xml:space="preserve">In 2021, immunisation issues in Australia </w:t>
                            </w:r>
                            <w:proofErr w:type="gramStart"/>
                            <w:r>
                              <w:t>were dominated</w:t>
                            </w:r>
                            <w:proofErr w:type="gramEnd"/>
                            <w:r>
                              <w:t xml:space="preserve"> by the coronavirus disease 2019 (COVID-19) vaccine roll-out. COVID-19 control measures continued to contribute to lower rates of </w:t>
                            </w:r>
                            <w:proofErr w:type="gramStart"/>
                            <w:r>
                              <w:t>many</w:t>
                            </w:r>
                            <w:proofErr w:type="gramEnd"/>
                            <w:r>
                              <w:t xml:space="preserve"> vaccine-preventable diseases (VPDs) in Australia. </w:t>
                            </w:r>
                          </w:p>
                          <w:p w14:paraId="5AB2C834" w14:textId="77777777" w:rsidR="00B01FF0" w:rsidRPr="007A1CAC" w:rsidRDefault="00B01FF0" w:rsidP="00B01FF0">
                            <w:pPr>
                              <w:pStyle w:val="Heading2"/>
                            </w:pPr>
                            <w:r w:rsidRPr="007A1CAC">
                              <w:t xml:space="preserve">Key successes in immunisation in 2021: </w:t>
                            </w:r>
                          </w:p>
                          <w:p w14:paraId="17B76409"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Australia’s COVID-19 immunisation program started in February 2021. Multiple safe and effective vaccines for adults and adolescents </w:t>
                            </w:r>
                            <w:proofErr w:type="gramStart"/>
                            <w:r w:rsidRPr="007A1CAC">
                              <w:rPr>
                                <w:rFonts w:eastAsia="Times New Roman"/>
                              </w:rPr>
                              <w:t>were delivered</w:t>
                            </w:r>
                            <w:proofErr w:type="gramEnd"/>
                            <w:r w:rsidRPr="007A1CAC">
                              <w:rPr>
                                <w:rFonts w:eastAsia="Times New Roman"/>
                              </w:rPr>
                              <w:t xml:space="preserve"> by a range of immunisation providers in different settings. More than 42.7 million doses of COVID-19 vaccine </w:t>
                            </w:r>
                            <w:proofErr w:type="gramStart"/>
                            <w:r w:rsidRPr="007A1CAC">
                              <w:rPr>
                                <w:rFonts w:eastAsia="Times New Roman"/>
                              </w:rPr>
                              <w:t>were administered</w:t>
                            </w:r>
                            <w:proofErr w:type="gramEnd"/>
                            <w:r w:rsidRPr="007A1CAC">
                              <w:rPr>
                                <w:rFonts w:eastAsia="Times New Roman"/>
                              </w:rPr>
                              <w:t xml:space="preserve"> across Australia in 2021. </w:t>
                            </w:r>
                          </w:p>
                          <w:p w14:paraId="718579C5"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ATAGI and other groups responded rapidly to </w:t>
                            </w:r>
                            <w:proofErr w:type="gramStart"/>
                            <w:r w:rsidRPr="007A1CAC">
                              <w:rPr>
                                <w:rFonts w:eastAsia="Times New Roman"/>
                              </w:rPr>
                              <w:t>emerging</w:t>
                            </w:r>
                            <w:proofErr w:type="gramEnd"/>
                            <w:r w:rsidRPr="007A1CAC">
                              <w:rPr>
                                <w:rFonts w:eastAsia="Times New Roman"/>
                              </w:rPr>
                              <w:t xml:space="preserve"> evidence on COVID-19 vaccine safety and effectiveness. Recommendations </w:t>
                            </w:r>
                            <w:proofErr w:type="gramStart"/>
                            <w:r w:rsidRPr="007A1CAC">
                              <w:rPr>
                                <w:rFonts w:eastAsia="Times New Roman"/>
                              </w:rPr>
                              <w:t>were revised</w:t>
                            </w:r>
                            <w:proofErr w:type="gramEnd"/>
                            <w:r w:rsidRPr="007A1CAC">
                              <w:rPr>
                                <w:rFonts w:eastAsia="Times New Roman"/>
                              </w:rPr>
                              <w:t xml:space="preserve"> in line with the latest local and international evidence to ensure the ongoing safe and effective use of these vaccines in Australia. </w:t>
                            </w:r>
                          </w:p>
                          <w:p w14:paraId="289D65DE"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First Nations communities responded quickly and effectively to the COVID-19 pandemic. First Nations health leaders and </w:t>
                            </w:r>
                            <w:proofErr w:type="gramStart"/>
                            <w:r w:rsidRPr="007A1CAC">
                              <w:rPr>
                                <w:rFonts w:eastAsia="Times New Roman"/>
                              </w:rPr>
                              <w:t>community controlled</w:t>
                            </w:r>
                            <w:proofErr w:type="gramEnd"/>
                            <w:r w:rsidRPr="007A1CAC">
                              <w:rPr>
                                <w:rFonts w:eastAsia="Times New Roman"/>
                              </w:rPr>
                              <w:t xml:space="preserve"> health organisations worked in partnership with government and non-government organisations to implement culturally appropriate measures on disease prevention, health promotion and health risk communication. This helped First Nations communities avoid severe illness and death from COVID-19. </w:t>
                            </w:r>
                          </w:p>
                          <w:p w14:paraId="3959AD52"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The rates of </w:t>
                            </w:r>
                            <w:proofErr w:type="gramStart"/>
                            <w:r w:rsidRPr="007A1CAC">
                              <w:rPr>
                                <w:rFonts w:eastAsia="Times New Roman"/>
                              </w:rPr>
                              <w:t>many</w:t>
                            </w:r>
                            <w:proofErr w:type="gramEnd"/>
                            <w:r w:rsidRPr="007A1CAC">
                              <w:rPr>
                                <w:rFonts w:eastAsia="Times New Roman"/>
                              </w:rPr>
                              <w:t xml:space="preserve"> VPDs were much lower than in pre-COVID-19 pandemic years. This included influenza, measles, meningococcal </w:t>
                            </w:r>
                            <w:proofErr w:type="gramStart"/>
                            <w:r w:rsidRPr="007A1CAC">
                              <w:rPr>
                                <w:rFonts w:eastAsia="Times New Roman"/>
                              </w:rPr>
                              <w:t>disease</w:t>
                            </w:r>
                            <w:proofErr w:type="gramEnd"/>
                            <w:r w:rsidRPr="007A1CAC">
                              <w:rPr>
                                <w:rFonts w:eastAsia="Times New Roman"/>
                              </w:rPr>
                              <w:t xml:space="preserve"> and pertussis. Control measures for COVID-19 (such as border closures, physical </w:t>
                            </w:r>
                            <w:proofErr w:type="gramStart"/>
                            <w:r w:rsidRPr="007A1CAC">
                              <w:rPr>
                                <w:rFonts w:eastAsia="Times New Roman"/>
                              </w:rPr>
                              <w:t>distancing</w:t>
                            </w:r>
                            <w:proofErr w:type="gramEnd"/>
                            <w:r w:rsidRPr="007A1CAC">
                              <w:rPr>
                                <w:rFonts w:eastAsia="Times New Roman"/>
                              </w:rPr>
                              <w:t xml:space="preserve"> and hand hygiene) have likely contributed to this. </w:t>
                            </w:r>
                          </w:p>
                          <w:p w14:paraId="405AFB0E"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COVID-19 did not have a major impact on the National Immunisation Program (NIP). Immunisation uptake in young children remained high, even during COVID-19 restrictions. </w:t>
                            </w:r>
                          </w:p>
                          <w:p w14:paraId="7D5E20DF"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Australia’s vaccination data systems </w:t>
                            </w:r>
                            <w:proofErr w:type="gramStart"/>
                            <w:r w:rsidRPr="007A1CAC">
                              <w:rPr>
                                <w:rFonts w:eastAsia="Times New Roman"/>
                              </w:rPr>
                              <w:t>were strengthened</w:t>
                            </w:r>
                            <w:proofErr w:type="gramEnd"/>
                            <w:r w:rsidRPr="007A1CAC">
                              <w:rPr>
                                <w:rFonts w:eastAsia="Times New Roman"/>
                              </w:rPr>
                              <w:t xml:space="preserve">. Mandatory reporting to the Australian Immunisation Register (AIR) </w:t>
                            </w:r>
                            <w:proofErr w:type="gramStart"/>
                            <w:r w:rsidRPr="007A1CAC">
                              <w:rPr>
                                <w:rFonts w:eastAsia="Times New Roman"/>
                              </w:rPr>
                              <w:t>was introduced</w:t>
                            </w:r>
                            <w:proofErr w:type="gramEnd"/>
                            <w:r w:rsidRPr="007A1CAC">
                              <w:rPr>
                                <w:rFonts w:eastAsia="Times New Roman"/>
                              </w:rPr>
                              <w:t xml:space="preserve"> in 2021 for all NIP vaccines, influenza vaccines and COVID-19 vaccines. </w:t>
                            </w:r>
                          </w:p>
                          <w:p w14:paraId="1F201495" w14:textId="77777777" w:rsidR="00B01FF0" w:rsidRPr="007A1CAC" w:rsidRDefault="00B01FF0" w:rsidP="00B01FF0">
                            <w:pPr>
                              <w:pStyle w:val="Heading2"/>
                            </w:pPr>
                            <w:r w:rsidRPr="007A1CAC">
                              <w:t xml:space="preserve">Key challenges and priorities for immunisation in Australia in 2022 and beyond </w:t>
                            </w:r>
                          </w:p>
                          <w:p w14:paraId="2CC25E7D" w14:textId="77777777" w:rsidR="00B01FF0" w:rsidRPr="007A1CAC" w:rsidRDefault="00B01FF0" w:rsidP="00B01FF0">
                            <w:pPr>
                              <w:pStyle w:val="Heading3"/>
                            </w:pPr>
                            <w:r w:rsidRPr="007A1CAC">
                              <w:t xml:space="preserve">For COVID-19: </w:t>
                            </w:r>
                          </w:p>
                          <w:p w14:paraId="37AFAA64" w14:textId="77777777" w:rsidR="00B01FF0" w:rsidRPr="007A1CAC" w:rsidRDefault="00B01FF0" w:rsidP="00B01FF0">
                            <w:pPr>
                              <w:pStyle w:val="ListParagraph"/>
                              <w:numPr>
                                <w:ilvl w:val="0"/>
                                <w:numId w:val="23"/>
                              </w:numPr>
                              <w:rPr>
                                <w:rFonts w:eastAsia="Times New Roman"/>
                              </w:rPr>
                            </w:pPr>
                            <w:r w:rsidRPr="007A1CAC">
                              <w:rPr>
                                <w:rFonts w:eastAsia="Times New Roman"/>
                              </w:rPr>
                              <w:t xml:space="preserve">Maintaining community confidence in the national COVID-19 immunisation program, including among First Nations communities. </w:t>
                            </w:r>
                          </w:p>
                          <w:p w14:paraId="69289505" w14:textId="77777777" w:rsidR="00B01FF0" w:rsidRPr="007A1CAC" w:rsidRDefault="00B01FF0" w:rsidP="00B01FF0">
                            <w:pPr>
                              <w:pStyle w:val="ListParagraph"/>
                              <w:numPr>
                                <w:ilvl w:val="0"/>
                                <w:numId w:val="23"/>
                              </w:numPr>
                              <w:rPr>
                                <w:rFonts w:eastAsia="Times New Roman"/>
                              </w:rPr>
                            </w:pPr>
                            <w:r w:rsidRPr="007A1CAC">
                              <w:rPr>
                                <w:rFonts w:eastAsia="Times New Roman"/>
                              </w:rPr>
                              <w:t xml:space="preserve">Monitoring safety and effectiveness of COVID-19 vaccines, including booster doses, use in children and effectiveness against new variants of concern. </w:t>
                            </w:r>
                          </w:p>
                          <w:p w14:paraId="295CE009" w14:textId="36C18D16" w:rsidR="00615BFA" w:rsidRPr="00B01FF0" w:rsidRDefault="00B01FF0" w:rsidP="00B01FF0">
                            <w:pPr>
                              <w:pStyle w:val="ListParagraph"/>
                              <w:numPr>
                                <w:ilvl w:val="0"/>
                                <w:numId w:val="23"/>
                              </w:numPr>
                              <w:rPr>
                                <w:rFonts w:eastAsia="Times New Roman"/>
                              </w:rPr>
                            </w:pPr>
                            <w:r w:rsidRPr="007A1CAC">
                              <w:rPr>
                                <w:rFonts w:eastAsia="Times New Roman"/>
                              </w:rPr>
                              <w:t xml:space="preserve">Evaluating the COVID-19 immunisation program. </w:t>
                            </w:r>
                          </w:p>
                        </w:txbxContent>
                      </wps:txbx>
                      <wps:bodyPr rot="0" vert="horz" wrap="square" lIns="91440" tIns="45720" rIns="91440" bIns="45720" anchor="t" anchorCtr="0">
                        <a:spAutoFit/>
                      </wps:bodyPr>
                    </wps:wsp>
                  </a:graphicData>
                </a:graphic>
              </wp:inline>
            </w:drawing>
          </mc:Choice>
          <mc:Fallback>
            <w:pict>
              <v:shapetype w14:anchorId="02511273"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" fillcolor="#f7ecdd" stroked="f">
                <v:textbox style="mso-fit-shape-to-text:t">
                  <w:txbxContent>
                    <w:p w14:paraId="60DB989F" w14:textId="77777777" w:rsidR="00B01FF0" w:rsidRPr="001554A7" w:rsidRDefault="00B01FF0" w:rsidP="00721C46">
                      <w:pPr>
                        <w:spacing w:after="0"/>
                        <w:rPr>
                          <w:i/>
                          <w:iCs/>
                        </w:rPr>
                      </w:pPr>
                      <w:r w:rsidRPr="001554A7">
                        <w:rPr>
                          <w:i/>
                          <w:iCs/>
                        </w:rPr>
                        <w:t xml:space="preserve">The Australian Technical Advisory Group on Immunisation (ATAGI) 2022 Annual Statement on Immunisation is the second publication in this series. It highlights the key successes, </w:t>
                      </w:r>
                      <w:proofErr w:type="gramStart"/>
                      <w:r w:rsidRPr="001554A7">
                        <w:rPr>
                          <w:i/>
                          <w:iCs/>
                        </w:rPr>
                        <w:t>trends</w:t>
                      </w:r>
                      <w:proofErr w:type="gramEnd"/>
                      <w:r w:rsidRPr="001554A7">
                        <w:rPr>
                          <w:i/>
                          <w:iCs/>
                        </w:rPr>
                        <w:t xml:space="preserve"> and challenges in the use of vaccines and control of vaccine preventable diseases (VPDs) in Australia in 2021. It also signals ATAGI’s priority actions for addressing key issues for 2022 and beyond. </w:t>
                      </w:r>
                    </w:p>
                    <w:p w14:paraId="637AFBED" w14:textId="77777777" w:rsidR="00B01FF0" w:rsidRPr="007A1CAC" w:rsidRDefault="00B01FF0" w:rsidP="00721C46">
                      <w:pPr>
                        <w:pStyle w:val="Heading1"/>
                        <w:spacing w:before="240"/>
                      </w:pPr>
                      <w:r w:rsidRPr="007A1CAC">
                        <w:t xml:space="preserve">Summary </w:t>
                      </w:r>
                    </w:p>
                    <w:p w14:paraId="001FB015" w14:textId="77777777" w:rsidR="00B01FF0" w:rsidRDefault="00B01FF0" w:rsidP="00B01FF0">
                      <w:r>
                        <w:t xml:space="preserve">In 2021, immunisation issues in Australia </w:t>
                      </w:r>
                      <w:proofErr w:type="gramStart"/>
                      <w:r>
                        <w:t>were dominated</w:t>
                      </w:r>
                      <w:proofErr w:type="gramEnd"/>
                      <w:r>
                        <w:t xml:space="preserve"> by the coronavirus disease 2019 (COVID-19) vaccine roll-out. COVID-19 control measures continued to contribute to lower rates of </w:t>
                      </w:r>
                      <w:proofErr w:type="gramStart"/>
                      <w:r>
                        <w:t>many</w:t>
                      </w:r>
                      <w:proofErr w:type="gramEnd"/>
                      <w:r>
                        <w:t xml:space="preserve"> vaccine-preventable diseases (VPDs) in Australia. </w:t>
                      </w:r>
                    </w:p>
                    <w:p w14:paraId="5AB2C834" w14:textId="77777777" w:rsidR="00B01FF0" w:rsidRPr="007A1CAC" w:rsidRDefault="00B01FF0" w:rsidP="00B01FF0">
                      <w:pPr>
                        <w:pStyle w:val="Heading2"/>
                      </w:pPr>
                      <w:r w:rsidRPr="007A1CAC">
                        <w:t xml:space="preserve">Key successes in immunisation in 2021: </w:t>
                      </w:r>
                    </w:p>
                    <w:p w14:paraId="17B76409"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Australia’s COVID-19 immunisation program started in February 2021. Multiple safe and effective vaccines for adults and adolescents </w:t>
                      </w:r>
                      <w:proofErr w:type="gramStart"/>
                      <w:r w:rsidRPr="007A1CAC">
                        <w:rPr>
                          <w:rFonts w:eastAsia="Times New Roman"/>
                        </w:rPr>
                        <w:t>were delivered</w:t>
                      </w:r>
                      <w:proofErr w:type="gramEnd"/>
                      <w:r w:rsidRPr="007A1CAC">
                        <w:rPr>
                          <w:rFonts w:eastAsia="Times New Roman"/>
                        </w:rPr>
                        <w:t xml:space="preserve"> by a range of immunisation providers in different settings. More than 42.7 million doses of COVID-19 vaccine </w:t>
                      </w:r>
                      <w:proofErr w:type="gramStart"/>
                      <w:r w:rsidRPr="007A1CAC">
                        <w:rPr>
                          <w:rFonts w:eastAsia="Times New Roman"/>
                        </w:rPr>
                        <w:t>were administered</w:t>
                      </w:r>
                      <w:proofErr w:type="gramEnd"/>
                      <w:r w:rsidRPr="007A1CAC">
                        <w:rPr>
                          <w:rFonts w:eastAsia="Times New Roman"/>
                        </w:rPr>
                        <w:t xml:space="preserve"> across Australia in 2021. </w:t>
                      </w:r>
                    </w:p>
                    <w:p w14:paraId="718579C5"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ATAGI and other groups responded rapidly to </w:t>
                      </w:r>
                      <w:proofErr w:type="gramStart"/>
                      <w:r w:rsidRPr="007A1CAC">
                        <w:rPr>
                          <w:rFonts w:eastAsia="Times New Roman"/>
                        </w:rPr>
                        <w:t>emerging</w:t>
                      </w:r>
                      <w:proofErr w:type="gramEnd"/>
                      <w:r w:rsidRPr="007A1CAC">
                        <w:rPr>
                          <w:rFonts w:eastAsia="Times New Roman"/>
                        </w:rPr>
                        <w:t xml:space="preserve"> evidence on COVID-19 vaccine safety and effectiveness. Recommendations </w:t>
                      </w:r>
                      <w:proofErr w:type="gramStart"/>
                      <w:r w:rsidRPr="007A1CAC">
                        <w:rPr>
                          <w:rFonts w:eastAsia="Times New Roman"/>
                        </w:rPr>
                        <w:t>were revised</w:t>
                      </w:r>
                      <w:proofErr w:type="gramEnd"/>
                      <w:r w:rsidRPr="007A1CAC">
                        <w:rPr>
                          <w:rFonts w:eastAsia="Times New Roman"/>
                        </w:rPr>
                        <w:t xml:space="preserve"> in line with the latest local and international evidence to ensure the ongoing safe and effective use of these vaccines in Australia. </w:t>
                      </w:r>
                    </w:p>
                    <w:p w14:paraId="289D65DE"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First Nations communities responded quickly and effectively to the COVID-19 pandemic. First Nations health leaders and </w:t>
                      </w:r>
                      <w:proofErr w:type="gramStart"/>
                      <w:r w:rsidRPr="007A1CAC">
                        <w:rPr>
                          <w:rFonts w:eastAsia="Times New Roman"/>
                        </w:rPr>
                        <w:t>community controlled</w:t>
                      </w:r>
                      <w:proofErr w:type="gramEnd"/>
                      <w:r w:rsidRPr="007A1CAC">
                        <w:rPr>
                          <w:rFonts w:eastAsia="Times New Roman"/>
                        </w:rPr>
                        <w:t xml:space="preserve"> health organisations worked in partnership with government and non-government organisations to implement culturally appropriate measures on disease prevention, health promotion and health risk communication. This helped First Nations communities avoid severe illness and death from COVID-19. </w:t>
                      </w:r>
                    </w:p>
                    <w:p w14:paraId="3959AD52"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The rates of </w:t>
                      </w:r>
                      <w:proofErr w:type="gramStart"/>
                      <w:r w:rsidRPr="007A1CAC">
                        <w:rPr>
                          <w:rFonts w:eastAsia="Times New Roman"/>
                        </w:rPr>
                        <w:t>many</w:t>
                      </w:r>
                      <w:proofErr w:type="gramEnd"/>
                      <w:r w:rsidRPr="007A1CAC">
                        <w:rPr>
                          <w:rFonts w:eastAsia="Times New Roman"/>
                        </w:rPr>
                        <w:t xml:space="preserve"> VPDs were much lower than in pre-COVID-19 pandemic years. This included influenza, measles, meningococcal </w:t>
                      </w:r>
                      <w:proofErr w:type="gramStart"/>
                      <w:r w:rsidRPr="007A1CAC">
                        <w:rPr>
                          <w:rFonts w:eastAsia="Times New Roman"/>
                        </w:rPr>
                        <w:t>disease</w:t>
                      </w:r>
                      <w:proofErr w:type="gramEnd"/>
                      <w:r w:rsidRPr="007A1CAC">
                        <w:rPr>
                          <w:rFonts w:eastAsia="Times New Roman"/>
                        </w:rPr>
                        <w:t xml:space="preserve"> and pertussis. Control measures for COVID-19 (such as border closures, physical </w:t>
                      </w:r>
                      <w:proofErr w:type="gramStart"/>
                      <w:r w:rsidRPr="007A1CAC">
                        <w:rPr>
                          <w:rFonts w:eastAsia="Times New Roman"/>
                        </w:rPr>
                        <w:t>distancing</w:t>
                      </w:r>
                      <w:proofErr w:type="gramEnd"/>
                      <w:r w:rsidRPr="007A1CAC">
                        <w:rPr>
                          <w:rFonts w:eastAsia="Times New Roman"/>
                        </w:rPr>
                        <w:t xml:space="preserve"> and hand hygiene) have likely contributed to this. </w:t>
                      </w:r>
                    </w:p>
                    <w:p w14:paraId="405AFB0E"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COVID-19 did not have a major impact on the National Immunisation Program (NIP). Immunisation uptake in young children remained high, even during COVID-19 restrictions. </w:t>
                      </w:r>
                    </w:p>
                    <w:p w14:paraId="7D5E20DF" w14:textId="77777777" w:rsidR="00B01FF0" w:rsidRPr="007A1CAC" w:rsidRDefault="00B01FF0" w:rsidP="00B01FF0">
                      <w:pPr>
                        <w:pStyle w:val="ListParagraph"/>
                        <w:numPr>
                          <w:ilvl w:val="0"/>
                          <w:numId w:val="22"/>
                        </w:numPr>
                        <w:rPr>
                          <w:rFonts w:eastAsia="Times New Roman"/>
                        </w:rPr>
                      </w:pPr>
                      <w:r w:rsidRPr="007A1CAC">
                        <w:rPr>
                          <w:rFonts w:eastAsia="Times New Roman"/>
                        </w:rPr>
                        <w:t xml:space="preserve">Australia’s vaccination data systems </w:t>
                      </w:r>
                      <w:proofErr w:type="gramStart"/>
                      <w:r w:rsidRPr="007A1CAC">
                        <w:rPr>
                          <w:rFonts w:eastAsia="Times New Roman"/>
                        </w:rPr>
                        <w:t>were strengthened</w:t>
                      </w:r>
                      <w:proofErr w:type="gramEnd"/>
                      <w:r w:rsidRPr="007A1CAC">
                        <w:rPr>
                          <w:rFonts w:eastAsia="Times New Roman"/>
                        </w:rPr>
                        <w:t xml:space="preserve">. Mandatory reporting to the Australian Immunisation Register (AIR) </w:t>
                      </w:r>
                      <w:proofErr w:type="gramStart"/>
                      <w:r w:rsidRPr="007A1CAC">
                        <w:rPr>
                          <w:rFonts w:eastAsia="Times New Roman"/>
                        </w:rPr>
                        <w:t>was introduced</w:t>
                      </w:r>
                      <w:proofErr w:type="gramEnd"/>
                      <w:r w:rsidRPr="007A1CAC">
                        <w:rPr>
                          <w:rFonts w:eastAsia="Times New Roman"/>
                        </w:rPr>
                        <w:t xml:space="preserve"> in 2021 for all NIP vaccines, influenza vaccines and COVID-19 vaccines. </w:t>
                      </w:r>
                    </w:p>
                    <w:p w14:paraId="1F201495" w14:textId="77777777" w:rsidR="00B01FF0" w:rsidRPr="007A1CAC" w:rsidRDefault="00B01FF0" w:rsidP="00B01FF0">
                      <w:pPr>
                        <w:pStyle w:val="Heading2"/>
                      </w:pPr>
                      <w:r w:rsidRPr="007A1CAC">
                        <w:t xml:space="preserve">Key challenges and priorities for immunisation in Australia in 2022 and beyond </w:t>
                      </w:r>
                    </w:p>
                    <w:p w14:paraId="2CC25E7D" w14:textId="77777777" w:rsidR="00B01FF0" w:rsidRPr="007A1CAC" w:rsidRDefault="00B01FF0" w:rsidP="00B01FF0">
                      <w:pPr>
                        <w:pStyle w:val="Heading3"/>
                      </w:pPr>
                      <w:r w:rsidRPr="007A1CAC">
                        <w:t xml:space="preserve">For COVID-19: </w:t>
                      </w:r>
                    </w:p>
                    <w:p w14:paraId="37AFAA64" w14:textId="77777777" w:rsidR="00B01FF0" w:rsidRPr="007A1CAC" w:rsidRDefault="00B01FF0" w:rsidP="00B01FF0">
                      <w:pPr>
                        <w:pStyle w:val="ListParagraph"/>
                        <w:numPr>
                          <w:ilvl w:val="0"/>
                          <w:numId w:val="23"/>
                        </w:numPr>
                        <w:rPr>
                          <w:rFonts w:eastAsia="Times New Roman"/>
                        </w:rPr>
                      </w:pPr>
                      <w:r w:rsidRPr="007A1CAC">
                        <w:rPr>
                          <w:rFonts w:eastAsia="Times New Roman"/>
                        </w:rPr>
                        <w:t xml:space="preserve">Maintaining community confidence in the national COVID-19 immunisation program, including among First Nations communities. </w:t>
                      </w:r>
                    </w:p>
                    <w:p w14:paraId="69289505" w14:textId="77777777" w:rsidR="00B01FF0" w:rsidRPr="007A1CAC" w:rsidRDefault="00B01FF0" w:rsidP="00B01FF0">
                      <w:pPr>
                        <w:pStyle w:val="ListParagraph"/>
                        <w:numPr>
                          <w:ilvl w:val="0"/>
                          <w:numId w:val="23"/>
                        </w:numPr>
                        <w:rPr>
                          <w:rFonts w:eastAsia="Times New Roman"/>
                        </w:rPr>
                      </w:pPr>
                      <w:r w:rsidRPr="007A1CAC">
                        <w:rPr>
                          <w:rFonts w:eastAsia="Times New Roman"/>
                        </w:rPr>
                        <w:t xml:space="preserve">Monitoring safety and effectiveness of COVID-19 vaccines, including booster doses, use in children and effectiveness against new variants of concern. </w:t>
                      </w:r>
                    </w:p>
                    <w:p w14:paraId="295CE009" w14:textId="36C18D16" w:rsidR="00615BFA" w:rsidRPr="00B01FF0" w:rsidRDefault="00B01FF0" w:rsidP="00B01FF0">
                      <w:pPr>
                        <w:pStyle w:val="ListParagraph"/>
                        <w:numPr>
                          <w:ilvl w:val="0"/>
                          <w:numId w:val="23"/>
                        </w:numPr>
                        <w:rPr>
                          <w:rFonts w:eastAsia="Times New Roman"/>
                        </w:rPr>
                      </w:pPr>
                      <w:r w:rsidRPr="007A1CAC">
                        <w:rPr>
                          <w:rFonts w:eastAsia="Times New Roman"/>
                        </w:rPr>
                        <w:t xml:space="preserve">Evaluating the COVID-19 immunisation program. </w:t>
                      </w:r>
                    </w:p>
                  </w:txbxContent>
                </v:textbox>
                <w10:anchorlock/>
              </v:shape>
            </w:pict>
          </mc:Fallback>
        </mc:AlternateContent>
      </w:r>
    </w:p>
    <w:p w14:paraId="620875A9" w14:textId="6F2DCE3A" w:rsidR="00BE610E" w:rsidRPr="008524FB" w:rsidRDefault="00B01FF0" w:rsidP="008524FB">
      <w:pPr>
        <w:pStyle w:val="Heading1"/>
      </w:pPr>
      <w:r>
        <w:rPr>
          <w:noProof/>
        </w:rPr>
        <w:lastRenderedPageBreak/>
        <mc:AlternateContent>
          <mc:Choice Requires="wps">
            <w:drawing>
              <wp:inline distT="0" distB="0" distL="0" distR="0" wp14:anchorId="4B4D8CF8" wp14:editId="310AA574">
                <wp:extent cx="6625424" cy="1404620"/>
                <wp:effectExtent l="0" t="0" r="4445" b="12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3A4E582A" w14:textId="77777777" w:rsidR="00B01FF0" w:rsidRPr="007A1CAC" w:rsidRDefault="00B01FF0" w:rsidP="00B01FF0">
                            <w:pPr>
                              <w:pStyle w:val="Heading3"/>
                            </w:pPr>
                            <w:r w:rsidRPr="007A1CAC">
                              <w:t xml:space="preserve">For other vaccine-preventable diseases: </w:t>
                            </w:r>
                          </w:p>
                          <w:p w14:paraId="6A990E8F" w14:textId="77777777" w:rsidR="00B01FF0" w:rsidRPr="007A1CAC" w:rsidRDefault="00B01FF0" w:rsidP="00B01FF0">
                            <w:pPr>
                              <w:pStyle w:val="ListParagraph"/>
                              <w:numPr>
                                <w:ilvl w:val="0"/>
                                <w:numId w:val="24"/>
                              </w:numPr>
                              <w:rPr>
                                <w:rFonts w:eastAsia="Times New Roman"/>
                              </w:rPr>
                            </w:pPr>
                            <w:r w:rsidRPr="007A1CAC">
                              <w:rPr>
                                <w:rFonts w:eastAsia="Times New Roman"/>
                              </w:rPr>
                              <w:t xml:space="preserve">Maintaining community confidence in the NIP and </w:t>
                            </w:r>
                            <w:proofErr w:type="gramStart"/>
                            <w:r w:rsidRPr="007A1CAC">
                              <w:rPr>
                                <w:rFonts w:eastAsia="Times New Roman"/>
                              </w:rPr>
                              <w:t>maintaining</w:t>
                            </w:r>
                            <w:proofErr w:type="gramEnd"/>
                            <w:r w:rsidRPr="007A1CAC">
                              <w:rPr>
                                <w:rFonts w:eastAsia="Times New Roman"/>
                              </w:rPr>
                              <w:t xml:space="preserve"> high coverage of routine vaccinations to protect against VPDs – including influenza – both during and after the COVID-19 pandemic. </w:t>
                            </w:r>
                          </w:p>
                          <w:p w14:paraId="0CD072D9" w14:textId="77777777" w:rsidR="00B01FF0" w:rsidRPr="007A1CAC" w:rsidRDefault="00B01FF0" w:rsidP="00B01FF0">
                            <w:pPr>
                              <w:pStyle w:val="ListParagraph"/>
                              <w:numPr>
                                <w:ilvl w:val="0"/>
                                <w:numId w:val="24"/>
                              </w:numPr>
                              <w:rPr>
                                <w:rFonts w:eastAsia="Times New Roman"/>
                              </w:rPr>
                            </w:pPr>
                            <w:r w:rsidRPr="007A1CAC">
                              <w:rPr>
                                <w:rFonts w:eastAsia="Times New Roman"/>
                              </w:rPr>
                              <w:t xml:space="preserve">Maintaining successful control or elimination of </w:t>
                            </w:r>
                            <w:proofErr w:type="gramStart"/>
                            <w:r w:rsidRPr="007A1CAC">
                              <w:rPr>
                                <w:rFonts w:eastAsia="Times New Roman"/>
                              </w:rPr>
                              <w:t>some</w:t>
                            </w:r>
                            <w:proofErr w:type="gramEnd"/>
                            <w:r w:rsidRPr="007A1CAC">
                              <w:rPr>
                                <w:rFonts w:eastAsia="Times New Roman"/>
                              </w:rPr>
                              <w:t xml:space="preserve"> VPDs, especially as international travel restrictions are lifted. </w:t>
                            </w:r>
                          </w:p>
                          <w:p w14:paraId="33D29BB7" w14:textId="77777777" w:rsidR="00B01FF0" w:rsidRPr="007A1CAC" w:rsidRDefault="00B01FF0" w:rsidP="00B01FF0">
                            <w:pPr>
                              <w:pStyle w:val="ListParagraph"/>
                              <w:numPr>
                                <w:ilvl w:val="0"/>
                                <w:numId w:val="24"/>
                              </w:numPr>
                              <w:rPr>
                                <w:rFonts w:eastAsia="Times New Roman"/>
                              </w:rPr>
                            </w:pPr>
                            <w:r w:rsidRPr="007A1CAC">
                              <w:rPr>
                                <w:rFonts w:eastAsia="Times New Roman"/>
                              </w:rPr>
                              <w:t xml:space="preserve">Ensuring the safe use of all vaccines, especially live vaccines such as Zostavax (shingles vaccine). </w:t>
                            </w:r>
                          </w:p>
                          <w:p w14:paraId="25826DB4" w14:textId="72A12BA3" w:rsidR="00B01FF0" w:rsidRPr="00B01FF0" w:rsidRDefault="00B01FF0" w:rsidP="00B01FF0">
                            <w:pPr>
                              <w:pStyle w:val="ListParagraph"/>
                              <w:numPr>
                                <w:ilvl w:val="0"/>
                                <w:numId w:val="24"/>
                              </w:numPr>
                              <w:rPr>
                                <w:rFonts w:eastAsia="Times New Roman"/>
                              </w:rPr>
                            </w:pPr>
                            <w:r w:rsidRPr="007A1CAC">
                              <w:rPr>
                                <w:rFonts w:eastAsia="Times New Roman"/>
                              </w:rPr>
                              <w:t xml:space="preserve">Ensuring </w:t>
                            </w:r>
                            <w:proofErr w:type="gramStart"/>
                            <w:r w:rsidRPr="007A1CAC">
                              <w:rPr>
                                <w:rFonts w:eastAsia="Times New Roman"/>
                              </w:rPr>
                              <w:t>equitable</w:t>
                            </w:r>
                            <w:proofErr w:type="gramEnd"/>
                            <w:r w:rsidRPr="007A1CAC">
                              <w:rPr>
                                <w:rFonts w:eastAsia="Times New Roman"/>
                              </w:rPr>
                              <w:t xml:space="preserve"> access to NIP-funded vaccines for First Nations communities and people at increased risk of disease.</w:t>
                            </w:r>
                          </w:p>
                        </w:txbxContent>
                      </wps:txbx>
                      <wps:bodyPr rot="0" vert="horz" wrap="square" lIns="91440" tIns="45720" rIns="91440" bIns="45720" anchor="t" anchorCtr="0">
                        <a:spAutoFit/>
                      </wps:bodyPr>
                    </wps:wsp>
                  </a:graphicData>
                </a:graphic>
              </wp:inline>
            </w:drawing>
          </mc:Choice>
          <mc:Fallback>
            <w:pict>
              <v:shape w14:anchorId="4B4D8CF8" id="_x0000_s102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" fillcolor="#f7ecdd" stroked="f">
                <v:textbox style="mso-fit-shape-to-text:t">
                  <w:txbxContent>
                    <w:p w14:paraId="3A4E582A" w14:textId="77777777" w:rsidR="00B01FF0" w:rsidRPr="007A1CAC" w:rsidRDefault="00B01FF0" w:rsidP="00B01FF0">
                      <w:pPr>
                        <w:pStyle w:val="Heading3"/>
                      </w:pPr>
                      <w:r w:rsidRPr="007A1CAC">
                        <w:t xml:space="preserve">For other vaccine-preventable diseases: </w:t>
                      </w:r>
                    </w:p>
                    <w:p w14:paraId="6A990E8F" w14:textId="77777777" w:rsidR="00B01FF0" w:rsidRPr="007A1CAC" w:rsidRDefault="00B01FF0" w:rsidP="00B01FF0">
                      <w:pPr>
                        <w:pStyle w:val="ListParagraph"/>
                        <w:numPr>
                          <w:ilvl w:val="0"/>
                          <w:numId w:val="24"/>
                        </w:numPr>
                        <w:rPr>
                          <w:rFonts w:eastAsia="Times New Roman"/>
                        </w:rPr>
                      </w:pPr>
                      <w:r w:rsidRPr="007A1CAC">
                        <w:rPr>
                          <w:rFonts w:eastAsia="Times New Roman"/>
                        </w:rPr>
                        <w:t xml:space="preserve">Maintaining community confidence in the NIP and </w:t>
                      </w:r>
                      <w:proofErr w:type="gramStart"/>
                      <w:r w:rsidRPr="007A1CAC">
                        <w:rPr>
                          <w:rFonts w:eastAsia="Times New Roman"/>
                        </w:rPr>
                        <w:t>maintaining</w:t>
                      </w:r>
                      <w:proofErr w:type="gramEnd"/>
                      <w:r w:rsidRPr="007A1CAC">
                        <w:rPr>
                          <w:rFonts w:eastAsia="Times New Roman"/>
                        </w:rPr>
                        <w:t xml:space="preserve"> high coverage of routine vaccinations to protect against VPDs – including influenza – both during and after the COVID-19 pandemic. </w:t>
                      </w:r>
                    </w:p>
                    <w:p w14:paraId="0CD072D9" w14:textId="77777777" w:rsidR="00B01FF0" w:rsidRPr="007A1CAC" w:rsidRDefault="00B01FF0" w:rsidP="00B01FF0">
                      <w:pPr>
                        <w:pStyle w:val="ListParagraph"/>
                        <w:numPr>
                          <w:ilvl w:val="0"/>
                          <w:numId w:val="24"/>
                        </w:numPr>
                        <w:rPr>
                          <w:rFonts w:eastAsia="Times New Roman"/>
                        </w:rPr>
                      </w:pPr>
                      <w:r w:rsidRPr="007A1CAC">
                        <w:rPr>
                          <w:rFonts w:eastAsia="Times New Roman"/>
                        </w:rPr>
                        <w:t xml:space="preserve">Maintaining successful control or elimination of </w:t>
                      </w:r>
                      <w:proofErr w:type="gramStart"/>
                      <w:r w:rsidRPr="007A1CAC">
                        <w:rPr>
                          <w:rFonts w:eastAsia="Times New Roman"/>
                        </w:rPr>
                        <w:t>some</w:t>
                      </w:r>
                      <w:proofErr w:type="gramEnd"/>
                      <w:r w:rsidRPr="007A1CAC">
                        <w:rPr>
                          <w:rFonts w:eastAsia="Times New Roman"/>
                        </w:rPr>
                        <w:t xml:space="preserve"> VPDs, especially as international travel restrictions are lifted. </w:t>
                      </w:r>
                    </w:p>
                    <w:p w14:paraId="33D29BB7" w14:textId="77777777" w:rsidR="00B01FF0" w:rsidRPr="007A1CAC" w:rsidRDefault="00B01FF0" w:rsidP="00B01FF0">
                      <w:pPr>
                        <w:pStyle w:val="ListParagraph"/>
                        <w:numPr>
                          <w:ilvl w:val="0"/>
                          <w:numId w:val="24"/>
                        </w:numPr>
                        <w:rPr>
                          <w:rFonts w:eastAsia="Times New Roman"/>
                        </w:rPr>
                      </w:pPr>
                      <w:r w:rsidRPr="007A1CAC">
                        <w:rPr>
                          <w:rFonts w:eastAsia="Times New Roman"/>
                        </w:rPr>
                        <w:t xml:space="preserve">Ensuring the safe use of all vaccines, especially live vaccines such as Zostavax (shingles vaccine). </w:t>
                      </w:r>
                    </w:p>
                    <w:p w14:paraId="25826DB4" w14:textId="72A12BA3" w:rsidR="00B01FF0" w:rsidRPr="00B01FF0" w:rsidRDefault="00B01FF0" w:rsidP="00B01FF0">
                      <w:pPr>
                        <w:pStyle w:val="ListParagraph"/>
                        <w:numPr>
                          <w:ilvl w:val="0"/>
                          <w:numId w:val="24"/>
                        </w:numPr>
                        <w:rPr>
                          <w:rFonts w:eastAsia="Times New Roman"/>
                        </w:rPr>
                      </w:pPr>
                      <w:r w:rsidRPr="007A1CAC">
                        <w:rPr>
                          <w:rFonts w:eastAsia="Times New Roman"/>
                        </w:rPr>
                        <w:t xml:space="preserve">Ensuring </w:t>
                      </w:r>
                      <w:proofErr w:type="gramStart"/>
                      <w:r w:rsidRPr="007A1CAC">
                        <w:rPr>
                          <w:rFonts w:eastAsia="Times New Roman"/>
                        </w:rPr>
                        <w:t>equitable</w:t>
                      </w:r>
                      <w:proofErr w:type="gramEnd"/>
                      <w:r w:rsidRPr="007A1CAC">
                        <w:rPr>
                          <w:rFonts w:eastAsia="Times New Roman"/>
                        </w:rPr>
                        <w:t xml:space="preserve"> access to NIP-funded vaccines for First Nations communities and people at increased risk of disease.</w:t>
                      </w:r>
                    </w:p>
                  </w:txbxContent>
                </v:textbox>
                <w10:anchorlock/>
              </v:shape>
            </w:pict>
          </mc:Fallback>
        </mc:AlternateContent>
      </w:r>
      <w:r w:rsidR="00BE610E" w:rsidRPr="008524FB">
        <w:t xml:space="preserve">Immunisation issues in Australia in 2021 </w:t>
      </w:r>
    </w:p>
    <w:p w14:paraId="7996AEE8" w14:textId="77777777" w:rsidR="00BE610E" w:rsidRPr="008524FB" w:rsidRDefault="00BE610E" w:rsidP="008524FB">
      <w:pPr>
        <w:pStyle w:val="Heading2"/>
      </w:pPr>
      <w:r w:rsidRPr="008524FB">
        <w:t xml:space="preserve">COVID-19 vaccination </w:t>
      </w:r>
    </w:p>
    <w:p w14:paraId="24C0E44F" w14:textId="77777777" w:rsidR="00BE610E" w:rsidRDefault="00BE610E" w:rsidP="008524FB">
      <w:r>
        <w:t>During 2021, ATAGI developed clinical guidance for COVID-19 vaccine providers,</w:t>
      </w:r>
      <w:r>
        <w:rPr>
          <w:vertAlign w:val="superscript"/>
        </w:rPr>
        <w:t>1</w:t>
      </w:r>
      <w:r>
        <w:t xml:space="preserve"> resources for immunisation providers,</w:t>
      </w:r>
      <w:r>
        <w:rPr>
          <w:vertAlign w:val="superscript"/>
        </w:rPr>
        <w:t>2</w:t>
      </w:r>
      <w:r>
        <w:t xml:space="preserve"> and resources for consumers.</w:t>
      </w:r>
      <w:r>
        <w:rPr>
          <w:vertAlign w:val="superscript"/>
        </w:rPr>
        <w:t>3</w:t>
      </w:r>
      <w:r>
        <w:t xml:space="preserve"> These resources were frequently updated as more vaccines were registered and their use was extended to include more age groups, as new evidence on vaccine handling, efficacy, effectiveness and safety became available, and with updates of ATAGI’s recommendations of vaccine uses in response to evolving epidemiology of COVID-19. ATAGI’s key actions and recommendations on COVID-19 vaccination in 2021 </w:t>
      </w:r>
      <w:proofErr w:type="gramStart"/>
      <w:r>
        <w:t>are presented</w:t>
      </w:r>
      <w:proofErr w:type="gramEnd"/>
      <w:r>
        <w:t xml:space="preserve"> in Table 1. </w:t>
      </w:r>
    </w:p>
    <w:p w14:paraId="17035F14" w14:textId="77777777" w:rsidR="00BE610E" w:rsidRDefault="00BE610E" w:rsidP="008524FB">
      <w:proofErr w:type="gramStart"/>
      <w:r>
        <w:t>Culturally-appropriate</w:t>
      </w:r>
      <w:proofErr w:type="gramEnd"/>
      <w:r>
        <w:t xml:space="preserve"> resources for the national COVID-19 vaccination program were also developed for First Nations communities</w:t>
      </w:r>
      <w:r>
        <w:rPr>
          <w:vertAlign w:val="superscript"/>
        </w:rPr>
        <w:t>4</w:t>
      </w:r>
      <w:r>
        <w:t xml:space="preserve"> and for culturally and linguistically diverse communities. </w:t>
      </w:r>
    </w:p>
    <w:p w14:paraId="77633477" w14:textId="77777777" w:rsidR="00BE610E" w:rsidRDefault="00BE610E" w:rsidP="008524FB">
      <w:r>
        <w:t xml:space="preserve">By the end of December 2021, more than 42.7 million doses of COVID-19 vaccines had been administered across Australia; more than </w:t>
      </w:r>
      <w:proofErr w:type="gramStart"/>
      <w:r>
        <w:t>19</w:t>
      </w:r>
      <w:proofErr w:type="gramEnd"/>
      <w:r>
        <w:t xml:space="preserve"> million people had received at least one dose (94.4% of people over the age of 16 years); and more than 18 million people had received two doses (91.4% of people over the age of 16 years). </w:t>
      </w:r>
    </w:p>
    <w:p w14:paraId="33E0ADE5" w14:textId="77777777" w:rsidR="00BE610E" w:rsidRPr="008524FB" w:rsidRDefault="00BE610E" w:rsidP="008524FB">
      <w:pPr>
        <w:pStyle w:val="Heading3"/>
      </w:pPr>
      <w:r w:rsidRPr="008524FB">
        <w:t xml:space="preserve">New COVID-19 vaccines in 2021 </w:t>
      </w:r>
    </w:p>
    <w:p w14:paraId="4D7BFCFD" w14:textId="77777777" w:rsidR="00BE610E" w:rsidRDefault="00BE610E" w:rsidP="008524FB">
      <w:r>
        <w:t>The Therapeutic Goods Administration (TGA) provisionally registered four COVID-19 vaccines for use in Australia in 2021 (Table 2).</w:t>
      </w:r>
      <w:r>
        <w:rPr>
          <w:vertAlign w:val="superscript"/>
        </w:rPr>
        <w:t xml:space="preserve">14 </w:t>
      </w:r>
    </w:p>
    <w:p w14:paraId="28A544BD" w14:textId="77777777" w:rsidR="00BE610E" w:rsidRDefault="00BE610E" w:rsidP="008524FB">
      <w:r>
        <w:t xml:space="preserve">These vaccines </w:t>
      </w:r>
      <w:proofErr w:type="gramStart"/>
      <w:r>
        <w:t>were rigorously evaluated</w:t>
      </w:r>
      <w:proofErr w:type="gramEnd"/>
      <w:r>
        <w:t xml:space="preserve"> for safety and effectiveness before they were provisionally registered and provided to Australians for free through the national COVID-19 vaccination program. This listing process of COVID-19 vaccines was different to the usual process for listing vaccines on the NIP.</w:t>
      </w:r>
      <w:r>
        <w:rPr>
          <w:vertAlign w:val="superscript"/>
        </w:rPr>
        <w:t xml:space="preserve">15 </w:t>
      </w:r>
    </w:p>
    <w:p w14:paraId="674ABD6E" w14:textId="77777777" w:rsidR="00BE610E" w:rsidRDefault="00BE610E" w:rsidP="008524FB">
      <w:r>
        <w:t xml:space="preserve">Other COVID-19 vaccines </w:t>
      </w:r>
      <w:proofErr w:type="gramStart"/>
      <w:r>
        <w:t>are used</w:t>
      </w:r>
      <w:proofErr w:type="gramEnd"/>
      <w:r>
        <w:t xml:space="preserve"> in other countries. Some of these vaccines are recognised by the TGA for the purpose of travel to Australia.</w:t>
      </w:r>
      <w:r>
        <w:rPr>
          <w:vertAlign w:val="superscript"/>
        </w:rPr>
        <w:t xml:space="preserve">16 </w:t>
      </w:r>
      <w:r>
        <w:t xml:space="preserve">(It is of note that from 6 July 2022, travellers no longer need to </w:t>
      </w:r>
      <w:proofErr w:type="gramStart"/>
      <w:r>
        <w:t>provide</w:t>
      </w:r>
      <w:proofErr w:type="gramEnd"/>
      <w:r>
        <w:t xml:space="preserve"> a proof of COVID-19 vaccination to travel to and from Australia.) </w:t>
      </w:r>
    </w:p>
    <w:p w14:paraId="39521CB2" w14:textId="77777777" w:rsidR="00BE610E" w:rsidRPr="008524FB" w:rsidRDefault="00BE610E" w:rsidP="008524FB">
      <w:pPr>
        <w:pStyle w:val="Heading3"/>
      </w:pPr>
      <w:r w:rsidRPr="008524FB">
        <w:t xml:space="preserve">COVID-19 vaccine safety </w:t>
      </w:r>
    </w:p>
    <w:p w14:paraId="1E23BC8C" w14:textId="77777777" w:rsidR="00BE610E" w:rsidRDefault="00BE610E" w:rsidP="008524FB">
      <w:r>
        <w:t xml:space="preserve">The TGA has overall responsibility for the safety of vaccines on the Australian Register of Therapeutic Goods (ARTG) in Australia, which include COVID-19 vaccines. ATAGI also closely monitors COVID-19 vaccine safety issues, and carefully assesses the benefits against the potential risks, from a program perspective. </w:t>
      </w:r>
    </w:p>
    <w:p w14:paraId="5C04FF34" w14:textId="77777777" w:rsidR="00BE610E" w:rsidRDefault="00BE610E" w:rsidP="008524FB">
      <w:r>
        <w:t>Prior to the roll-out of COVID-19 vaccines in Australia, the TGA made enhancements to Australia’s vaccine safety monitoring process.</w:t>
      </w:r>
      <w:r>
        <w:rPr>
          <w:vertAlign w:val="superscript"/>
        </w:rPr>
        <w:t>17</w:t>
      </w:r>
      <w:r>
        <w:t xml:space="preserve"> These </w:t>
      </w:r>
      <w:proofErr w:type="gramStart"/>
      <w:r>
        <w:t>are described</w:t>
      </w:r>
      <w:proofErr w:type="gramEnd"/>
      <w:r>
        <w:t xml:space="preserve"> in the COVID-19 vaccine safety monitoring plan of the TGA.</w:t>
      </w:r>
      <w:r>
        <w:rPr>
          <w:vertAlign w:val="superscript"/>
        </w:rPr>
        <w:t xml:space="preserve">18 </w:t>
      </w:r>
    </w:p>
    <w:p w14:paraId="46BF5E82" w14:textId="77777777" w:rsidR="00BE610E" w:rsidRDefault="00BE610E" w:rsidP="008524FB">
      <w:r>
        <w:t>The TGA published updates on its safety monitoring process throughout 2021 in COVID-19 vaccine weekly safety reports.</w:t>
      </w:r>
      <w:r>
        <w:rPr>
          <w:vertAlign w:val="superscript"/>
        </w:rPr>
        <w:t>19</w:t>
      </w:r>
      <w:r>
        <w:t xml:space="preserve"> The TGA also met with state and territory vaccine safety teams weekly throughout 2021, as well as </w:t>
      </w:r>
      <w:r>
        <w:lastRenderedPageBreak/>
        <w:t xml:space="preserve">chairing the International Coalition of Medicines Regulatory Authorities (ICMRA) COVID-19 Vaccine Pharmacovigilance Network every fortnight, to ensure close national and international collaboration on emerging vaccine safety issues. </w:t>
      </w:r>
    </w:p>
    <w:p w14:paraId="36997B4B" w14:textId="77777777" w:rsidR="00BE610E" w:rsidRDefault="00BE610E" w:rsidP="008524FB">
      <w:r>
        <w:t xml:space="preserve">The TGA met with state and territory vaccine safety teams weekly throughout 2021. They evaluated reports of serious adverse events after COVID-19 vaccination, which </w:t>
      </w:r>
      <w:proofErr w:type="gramStart"/>
      <w:r>
        <w:t>were published</w:t>
      </w:r>
      <w:proofErr w:type="gramEnd"/>
      <w:r>
        <w:t xml:space="preserve"> in COVID-19 vaccine weekly safety reports.</w:t>
      </w:r>
      <w:r>
        <w:rPr>
          <w:vertAlign w:val="superscript"/>
        </w:rPr>
        <w:t xml:space="preserve">19 </w:t>
      </w:r>
    </w:p>
    <w:p w14:paraId="391BAC76" w14:textId="77777777" w:rsidR="00BE610E" w:rsidRDefault="00BE610E" w:rsidP="008524FB">
      <w:r>
        <w:t>A special subgroup of the ATAGI COVID-19 Working Group met regularly throughout 2021 to discuss vaccine safety issues.</w:t>
      </w:r>
      <w:r>
        <w:rPr>
          <w:vertAlign w:val="superscript"/>
        </w:rPr>
        <w:t>20</w:t>
      </w:r>
      <w:r>
        <w:t xml:space="preserve"> From May 2021, ATAGI met every week to </w:t>
      </w:r>
      <w:proofErr w:type="gramStart"/>
      <w:r>
        <w:t>monitor</w:t>
      </w:r>
      <w:proofErr w:type="gramEnd"/>
      <w:r>
        <w:t xml:space="preserve"> vaccine safety and to provide advice in response to new information. </w:t>
      </w:r>
    </w:p>
    <w:p w14:paraId="3762CE80" w14:textId="77777777" w:rsidR="00CB4C3D" w:rsidRPr="00E34660" w:rsidRDefault="00CB4C3D" w:rsidP="00CB4C3D">
      <w:pPr>
        <w:pStyle w:val="CDIFigures"/>
      </w:pPr>
      <w:r w:rsidRPr="00E34660">
        <w:rPr>
          <w:rStyle w:val="Strong"/>
          <w:b/>
          <w:bCs w:val="0"/>
        </w:rPr>
        <w:t xml:space="preserve">Table 1: ATAGI key actions and recommendations on COVID-19 vaccination in 2021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his table lists, by month, the ATAGI  key actions and recommendations on COVID-19 vaccination in 2021."/>
      </w:tblPr>
      <w:tblGrid>
        <w:gridCol w:w="1701"/>
        <w:gridCol w:w="8765"/>
      </w:tblGrid>
      <w:tr w:rsidR="00CB4C3D" w:rsidRPr="00CB4C3D" w14:paraId="429F07A7" w14:textId="77777777" w:rsidTr="00DE718D">
        <w:trPr>
          <w:cnfStyle w:val="100000000000" w:firstRow="1" w:lastRow="0" w:firstColumn="0" w:lastColumn="0" w:oddVBand="0" w:evenVBand="0" w:oddHBand="0" w:evenHBand="0" w:firstRowFirstColumn="0" w:firstRowLastColumn="0" w:lastRowFirstColumn="0" w:lastRowLastColumn="0"/>
        </w:trPr>
        <w:tc>
          <w:tcPr>
            <w:tcW w:w="1701" w:type="dxa"/>
            <w:hideMark/>
          </w:tcPr>
          <w:p w14:paraId="6498C34A" w14:textId="77777777" w:rsidR="00CB4C3D" w:rsidRPr="00CB4C3D" w:rsidRDefault="00CB4C3D" w:rsidP="00CB4C3D">
            <w:pPr>
              <w:pStyle w:val="NormalWeb"/>
              <w:jc w:val="left"/>
              <w:rPr>
                <w:sz w:val="18"/>
                <w:szCs w:val="18"/>
              </w:rPr>
            </w:pPr>
            <w:r w:rsidRPr="00CB4C3D">
              <w:rPr>
                <w:sz w:val="18"/>
                <w:szCs w:val="18"/>
              </w:rPr>
              <w:t>Month</w:t>
            </w:r>
          </w:p>
        </w:tc>
        <w:tc>
          <w:tcPr>
            <w:tcW w:w="8765" w:type="dxa"/>
            <w:hideMark/>
          </w:tcPr>
          <w:p w14:paraId="5388CFF7" w14:textId="77777777" w:rsidR="00CB4C3D" w:rsidRPr="00CB4C3D" w:rsidRDefault="00CB4C3D" w:rsidP="00CB4C3D">
            <w:pPr>
              <w:pStyle w:val="NormalWeb"/>
              <w:jc w:val="left"/>
              <w:rPr>
                <w:sz w:val="18"/>
                <w:szCs w:val="18"/>
              </w:rPr>
            </w:pPr>
            <w:r w:rsidRPr="00CB4C3D">
              <w:rPr>
                <w:sz w:val="18"/>
                <w:szCs w:val="18"/>
              </w:rPr>
              <w:t>Action</w:t>
            </w:r>
          </w:p>
        </w:tc>
      </w:tr>
      <w:tr w:rsidR="00CB4C3D" w:rsidRPr="00CB4C3D" w14:paraId="60175652" w14:textId="77777777" w:rsidTr="00DE718D">
        <w:tc>
          <w:tcPr>
            <w:tcW w:w="1701" w:type="dxa"/>
            <w:hideMark/>
          </w:tcPr>
          <w:p w14:paraId="69F57219" w14:textId="77777777" w:rsidR="00CB4C3D" w:rsidRPr="00CB4C3D" w:rsidRDefault="00CB4C3D" w:rsidP="00CB4C3D">
            <w:pPr>
              <w:pStyle w:val="NormalWeb"/>
              <w:jc w:val="left"/>
              <w:rPr>
                <w:sz w:val="18"/>
                <w:szCs w:val="18"/>
              </w:rPr>
            </w:pPr>
            <w:r w:rsidRPr="00CB4C3D">
              <w:rPr>
                <w:sz w:val="18"/>
                <w:szCs w:val="18"/>
              </w:rPr>
              <w:t>January–December</w:t>
            </w:r>
          </w:p>
        </w:tc>
        <w:tc>
          <w:tcPr>
            <w:tcW w:w="8765" w:type="dxa"/>
            <w:hideMark/>
          </w:tcPr>
          <w:p w14:paraId="08272085" w14:textId="77777777" w:rsidR="00CB4C3D" w:rsidRPr="00CB4C3D" w:rsidRDefault="00CB4C3D" w:rsidP="00CB4C3D">
            <w:pPr>
              <w:pStyle w:val="NormalWeb"/>
              <w:jc w:val="left"/>
              <w:rPr>
                <w:sz w:val="18"/>
                <w:szCs w:val="18"/>
              </w:rPr>
            </w:pPr>
            <w:r w:rsidRPr="00CB4C3D">
              <w:rPr>
                <w:sz w:val="18"/>
                <w:szCs w:val="18"/>
              </w:rPr>
              <w:t xml:space="preserve">ATAGI met </w:t>
            </w:r>
            <w:proofErr w:type="gramStart"/>
            <w:r w:rsidRPr="00CB4C3D">
              <w:rPr>
                <w:sz w:val="18"/>
                <w:szCs w:val="18"/>
              </w:rPr>
              <w:t>frequently</w:t>
            </w:r>
            <w:proofErr w:type="gramEnd"/>
            <w:r w:rsidRPr="00CB4C3D">
              <w:rPr>
                <w:sz w:val="18"/>
                <w:szCs w:val="18"/>
              </w:rPr>
              <w:t xml:space="preserve"> throughout 2021 to monitor and advise on COVID-19 vaccine safety, effectiveness and program implementation.</w:t>
            </w:r>
            <w:r w:rsidRPr="000A0F7A">
              <w:rPr>
                <w:sz w:val="18"/>
                <w:szCs w:val="18"/>
                <w:vertAlign w:val="superscript"/>
              </w:rPr>
              <w:t>5</w:t>
            </w:r>
          </w:p>
        </w:tc>
      </w:tr>
      <w:tr w:rsidR="00CB4C3D" w:rsidRPr="00CB4C3D" w14:paraId="15E8F832" w14:textId="77777777" w:rsidTr="00DE718D">
        <w:trPr>
          <w:cnfStyle w:val="000000010000" w:firstRow="0" w:lastRow="0" w:firstColumn="0" w:lastColumn="0" w:oddVBand="0" w:evenVBand="0" w:oddHBand="0" w:evenHBand="1" w:firstRowFirstColumn="0" w:firstRowLastColumn="0" w:lastRowFirstColumn="0" w:lastRowLastColumn="0"/>
        </w:trPr>
        <w:tc>
          <w:tcPr>
            <w:tcW w:w="1701" w:type="dxa"/>
            <w:hideMark/>
          </w:tcPr>
          <w:p w14:paraId="7A5776FB" w14:textId="77777777" w:rsidR="00CB4C3D" w:rsidRPr="00CB4C3D" w:rsidRDefault="00CB4C3D" w:rsidP="00CB4C3D">
            <w:pPr>
              <w:pStyle w:val="NormalWeb"/>
              <w:jc w:val="left"/>
              <w:rPr>
                <w:sz w:val="18"/>
                <w:szCs w:val="18"/>
              </w:rPr>
            </w:pPr>
            <w:r w:rsidRPr="00CB4C3D">
              <w:rPr>
                <w:sz w:val="18"/>
                <w:szCs w:val="18"/>
              </w:rPr>
              <w:t>February</w:t>
            </w:r>
          </w:p>
        </w:tc>
        <w:tc>
          <w:tcPr>
            <w:tcW w:w="8765" w:type="dxa"/>
            <w:hideMark/>
          </w:tcPr>
          <w:p w14:paraId="087C6A4E" w14:textId="77777777" w:rsidR="00CB4C3D" w:rsidRPr="00CB4C3D" w:rsidRDefault="00CB4C3D" w:rsidP="00CB4C3D">
            <w:pPr>
              <w:pStyle w:val="NormalWeb"/>
              <w:jc w:val="left"/>
              <w:rPr>
                <w:sz w:val="18"/>
                <w:szCs w:val="18"/>
              </w:rPr>
            </w:pPr>
            <w:r w:rsidRPr="00CB4C3D">
              <w:rPr>
                <w:sz w:val="18"/>
                <w:szCs w:val="18"/>
              </w:rPr>
              <w:t>Australia’s national COVID-19 vaccination program started, guided by the Australian COVID-19 Vaccination Policy</w:t>
            </w:r>
            <w:r w:rsidRPr="006150D5">
              <w:rPr>
                <w:sz w:val="18"/>
                <w:szCs w:val="18"/>
                <w:vertAlign w:val="superscript"/>
              </w:rPr>
              <w:t>6</w:t>
            </w:r>
            <w:r w:rsidRPr="00CB4C3D">
              <w:rPr>
                <w:sz w:val="18"/>
                <w:szCs w:val="18"/>
              </w:rPr>
              <w:t xml:space="preserve"> and the COVID-19 vaccine national roll-out strategy.</w:t>
            </w:r>
            <w:r w:rsidRPr="000A0F7A">
              <w:rPr>
                <w:sz w:val="18"/>
                <w:szCs w:val="18"/>
                <w:vertAlign w:val="superscript"/>
              </w:rPr>
              <w:t>7</w:t>
            </w:r>
          </w:p>
          <w:p w14:paraId="2806F433" w14:textId="77777777" w:rsidR="00CB4C3D" w:rsidRPr="00CB4C3D" w:rsidRDefault="00CB4C3D" w:rsidP="00CB4C3D">
            <w:pPr>
              <w:pStyle w:val="NormalWeb"/>
              <w:jc w:val="left"/>
              <w:rPr>
                <w:sz w:val="18"/>
                <w:szCs w:val="18"/>
              </w:rPr>
            </w:pPr>
            <w:r w:rsidRPr="00CB4C3D">
              <w:rPr>
                <w:sz w:val="18"/>
                <w:szCs w:val="18"/>
              </w:rPr>
              <w:t xml:space="preserve">The first doses of COVID-19 vaccines </w:t>
            </w:r>
            <w:proofErr w:type="gramStart"/>
            <w:r w:rsidRPr="00CB4C3D">
              <w:rPr>
                <w:sz w:val="18"/>
                <w:szCs w:val="18"/>
              </w:rPr>
              <w:t>were made</w:t>
            </w:r>
            <w:proofErr w:type="gramEnd"/>
            <w:r w:rsidRPr="00CB4C3D">
              <w:rPr>
                <w:sz w:val="18"/>
                <w:szCs w:val="18"/>
              </w:rPr>
              <w:t xml:space="preserve"> available for frontline health care workers, quarantine and border workers, and aged care and disability care residents and workers.</w:t>
            </w:r>
          </w:p>
          <w:p w14:paraId="2DD31568" w14:textId="77777777" w:rsidR="00CB4C3D" w:rsidRPr="00CB4C3D" w:rsidRDefault="00CB4C3D" w:rsidP="00CB4C3D">
            <w:pPr>
              <w:pStyle w:val="NormalWeb"/>
              <w:jc w:val="left"/>
              <w:rPr>
                <w:sz w:val="18"/>
                <w:szCs w:val="18"/>
              </w:rPr>
            </w:pPr>
            <w:r w:rsidRPr="00CB4C3D">
              <w:rPr>
                <w:sz w:val="18"/>
                <w:szCs w:val="18"/>
              </w:rPr>
              <w:t xml:space="preserve">As more vaccines </w:t>
            </w:r>
            <w:proofErr w:type="gramStart"/>
            <w:r w:rsidRPr="00CB4C3D">
              <w:rPr>
                <w:sz w:val="18"/>
                <w:szCs w:val="18"/>
              </w:rPr>
              <w:t>were supplied</w:t>
            </w:r>
            <w:proofErr w:type="gramEnd"/>
            <w:r w:rsidRPr="00CB4C3D">
              <w:rPr>
                <w:sz w:val="18"/>
                <w:szCs w:val="18"/>
              </w:rPr>
              <w:t xml:space="preserve"> to Australia, the program expanded to include more groups of people.</w:t>
            </w:r>
          </w:p>
        </w:tc>
      </w:tr>
      <w:tr w:rsidR="00CB4C3D" w:rsidRPr="00CB4C3D" w14:paraId="4C95A49A" w14:textId="77777777" w:rsidTr="00DE718D">
        <w:tc>
          <w:tcPr>
            <w:tcW w:w="1701" w:type="dxa"/>
            <w:hideMark/>
          </w:tcPr>
          <w:p w14:paraId="25865F99" w14:textId="77777777" w:rsidR="00CB4C3D" w:rsidRPr="00CB4C3D" w:rsidRDefault="00CB4C3D" w:rsidP="00CB4C3D">
            <w:pPr>
              <w:pStyle w:val="NormalWeb"/>
              <w:jc w:val="left"/>
              <w:rPr>
                <w:sz w:val="18"/>
                <w:szCs w:val="18"/>
              </w:rPr>
            </w:pPr>
            <w:r w:rsidRPr="00CB4C3D">
              <w:rPr>
                <w:sz w:val="18"/>
                <w:szCs w:val="18"/>
              </w:rPr>
              <w:t>April</w:t>
            </w:r>
          </w:p>
        </w:tc>
        <w:tc>
          <w:tcPr>
            <w:tcW w:w="8765" w:type="dxa"/>
            <w:hideMark/>
          </w:tcPr>
          <w:p w14:paraId="2F0E245C" w14:textId="77777777" w:rsidR="00CB4C3D" w:rsidRPr="00CB4C3D" w:rsidRDefault="00CB4C3D" w:rsidP="00CB4C3D">
            <w:pPr>
              <w:pStyle w:val="NormalWeb"/>
              <w:jc w:val="left"/>
              <w:rPr>
                <w:sz w:val="18"/>
                <w:szCs w:val="18"/>
              </w:rPr>
            </w:pPr>
            <w:r w:rsidRPr="00CB4C3D">
              <w:rPr>
                <w:sz w:val="18"/>
                <w:szCs w:val="18"/>
              </w:rPr>
              <w:t xml:space="preserve">ATAGI closely monitored the risk of blood clots and low platelet count after AstraZeneca </w:t>
            </w:r>
            <w:proofErr w:type="gramStart"/>
            <w:r w:rsidRPr="00CB4C3D">
              <w:rPr>
                <w:sz w:val="18"/>
                <w:szCs w:val="18"/>
              </w:rPr>
              <w:t>vaccine, and</w:t>
            </w:r>
            <w:proofErr w:type="gramEnd"/>
            <w:r w:rsidRPr="00CB4C3D">
              <w:rPr>
                <w:sz w:val="18"/>
                <w:szCs w:val="18"/>
              </w:rPr>
              <w:t xml:space="preserve"> recommended that Pfizer was preferred over AstraZeneca in people aged under 50 years.</w:t>
            </w:r>
            <w:r w:rsidRPr="000A0F7A">
              <w:rPr>
                <w:sz w:val="18"/>
                <w:szCs w:val="18"/>
                <w:vertAlign w:val="superscript"/>
              </w:rPr>
              <w:t>8</w:t>
            </w:r>
          </w:p>
        </w:tc>
      </w:tr>
      <w:tr w:rsidR="00CB4C3D" w:rsidRPr="00CB4C3D" w14:paraId="4745256B" w14:textId="77777777" w:rsidTr="00DE718D">
        <w:trPr>
          <w:cnfStyle w:val="000000010000" w:firstRow="0" w:lastRow="0" w:firstColumn="0" w:lastColumn="0" w:oddVBand="0" w:evenVBand="0" w:oddHBand="0" w:evenHBand="1" w:firstRowFirstColumn="0" w:firstRowLastColumn="0" w:lastRowFirstColumn="0" w:lastRowLastColumn="0"/>
        </w:trPr>
        <w:tc>
          <w:tcPr>
            <w:tcW w:w="1701" w:type="dxa"/>
            <w:hideMark/>
          </w:tcPr>
          <w:p w14:paraId="23D89737" w14:textId="77777777" w:rsidR="00CB4C3D" w:rsidRPr="00CB4C3D" w:rsidRDefault="00CB4C3D" w:rsidP="00CB4C3D">
            <w:pPr>
              <w:pStyle w:val="NormalWeb"/>
              <w:jc w:val="left"/>
              <w:rPr>
                <w:sz w:val="18"/>
                <w:szCs w:val="18"/>
              </w:rPr>
            </w:pPr>
            <w:r w:rsidRPr="00CB4C3D">
              <w:rPr>
                <w:sz w:val="18"/>
                <w:szCs w:val="18"/>
              </w:rPr>
              <w:t>June</w:t>
            </w:r>
          </w:p>
        </w:tc>
        <w:tc>
          <w:tcPr>
            <w:tcW w:w="8765" w:type="dxa"/>
            <w:hideMark/>
          </w:tcPr>
          <w:p w14:paraId="472DE8B4" w14:textId="77777777" w:rsidR="00CB4C3D" w:rsidRPr="00CB4C3D" w:rsidRDefault="00CB4C3D" w:rsidP="00CB4C3D">
            <w:pPr>
              <w:pStyle w:val="NormalWeb"/>
              <w:jc w:val="left"/>
              <w:rPr>
                <w:sz w:val="18"/>
                <w:szCs w:val="18"/>
              </w:rPr>
            </w:pPr>
            <w:r w:rsidRPr="00CB4C3D">
              <w:rPr>
                <w:sz w:val="18"/>
                <w:szCs w:val="18"/>
              </w:rPr>
              <w:t xml:space="preserve">ATAGI continued to monitor the risk of blood clots and low platelet count after AstraZeneca </w:t>
            </w:r>
            <w:proofErr w:type="gramStart"/>
            <w:r w:rsidRPr="00CB4C3D">
              <w:rPr>
                <w:sz w:val="18"/>
                <w:szCs w:val="18"/>
              </w:rPr>
              <w:t>vaccine, and</w:t>
            </w:r>
            <w:proofErr w:type="gramEnd"/>
            <w:r w:rsidRPr="00CB4C3D">
              <w:rPr>
                <w:sz w:val="18"/>
                <w:szCs w:val="18"/>
              </w:rPr>
              <w:t xml:space="preserve"> recommended that Pfizer was preferred over AstraZeneca in people aged under 60 years,</w:t>
            </w:r>
            <w:r w:rsidRPr="006150D5">
              <w:rPr>
                <w:sz w:val="18"/>
                <w:szCs w:val="18"/>
                <w:vertAlign w:val="superscript"/>
              </w:rPr>
              <w:t>9</w:t>
            </w:r>
            <w:r w:rsidRPr="00CB4C3D">
              <w:rPr>
                <w:sz w:val="18"/>
                <w:szCs w:val="18"/>
              </w:rPr>
              <w:t xml:space="preserve"> based on an individual risk-benefit assessment (including considering the impact of the Delta variant).</w:t>
            </w:r>
          </w:p>
        </w:tc>
      </w:tr>
      <w:tr w:rsidR="00CB4C3D" w:rsidRPr="00CB4C3D" w14:paraId="2DF87755" w14:textId="77777777" w:rsidTr="00DE718D">
        <w:tc>
          <w:tcPr>
            <w:tcW w:w="1701" w:type="dxa"/>
            <w:hideMark/>
          </w:tcPr>
          <w:p w14:paraId="42B96684" w14:textId="77777777" w:rsidR="00CB4C3D" w:rsidRPr="00CB4C3D" w:rsidRDefault="00CB4C3D" w:rsidP="00CB4C3D">
            <w:pPr>
              <w:pStyle w:val="NormalWeb"/>
              <w:jc w:val="left"/>
              <w:rPr>
                <w:sz w:val="18"/>
                <w:szCs w:val="18"/>
              </w:rPr>
            </w:pPr>
            <w:r w:rsidRPr="00CB4C3D">
              <w:rPr>
                <w:sz w:val="18"/>
                <w:szCs w:val="18"/>
              </w:rPr>
              <w:t>August</w:t>
            </w:r>
          </w:p>
        </w:tc>
        <w:tc>
          <w:tcPr>
            <w:tcW w:w="8765" w:type="dxa"/>
            <w:hideMark/>
          </w:tcPr>
          <w:p w14:paraId="5D9EBE54" w14:textId="77777777" w:rsidR="00CB4C3D" w:rsidRPr="00CB4C3D" w:rsidRDefault="00CB4C3D" w:rsidP="00CB4C3D">
            <w:pPr>
              <w:pStyle w:val="NormalWeb"/>
              <w:jc w:val="left"/>
              <w:rPr>
                <w:sz w:val="18"/>
                <w:szCs w:val="18"/>
              </w:rPr>
            </w:pPr>
            <w:r w:rsidRPr="00CB4C3D">
              <w:rPr>
                <w:sz w:val="18"/>
                <w:szCs w:val="18"/>
              </w:rPr>
              <w:t>ATAGI recommended that all Australians aged 12 years and over</w:t>
            </w:r>
            <w:r w:rsidRPr="006150D5">
              <w:rPr>
                <w:sz w:val="18"/>
                <w:szCs w:val="18"/>
                <w:vertAlign w:val="superscript"/>
              </w:rPr>
              <w:t>10</w:t>
            </w:r>
            <w:r w:rsidRPr="00CB4C3D">
              <w:rPr>
                <w:sz w:val="18"/>
                <w:szCs w:val="18"/>
              </w:rPr>
              <w:t xml:space="preserve"> should have a COVID-19 vaccine.</w:t>
            </w:r>
          </w:p>
        </w:tc>
      </w:tr>
      <w:tr w:rsidR="00CB4C3D" w:rsidRPr="00CB4C3D" w14:paraId="76D67BC9" w14:textId="77777777" w:rsidTr="00DE718D">
        <w:trPr>
          <w:cnfStyle w:val="000000010000" w:firstRow="0" w:lastRow="0" w:firstColumn="0" w:lastColumn="0" w:oddVBand="0" w:evenVBand="0" w:oddHBand="0" w:evenHBand="1" w:firstRowFirstColumn="0" w:firstRowLastColumn="0" w:lastRowFirstColumn="0" w:lastRowLastColumn="0"/>
        </w:trPr>
        <w:tc>
          <w:tcPr>
            <w:tcW w:w="1701" w:type="dxa"/>
            <w:hideMark/>
          </w:tcPr>
          <w:p w14:paraId="3006B10D" w14:textId="77777777" w:rsidR="00CB4C3D" w:rsidRPr="00CB4C3D" w:rsidRDefault="00CB4C3D" w:rsidP="00CB4C3D">
            <w:pPr>
              <w:pStyle w:val="NormalWeb"/>
              <w:jc w:val="left"/>
              <w:rPr>
                <w:sz w:val="18"/>
                <w:szCs w:val="18"/>
              </w:rPr>
            </w:pPr>
            <w:r w:rsidRPr="00CB4C3D">
              <w:rPr>
                <w:sz w:val="18"/>
                <w:szCs w:val="18"/>
              </w:rPr>
              <w:t>October</w:t>
            </w:r>
          </w:p>
        </w:tc>
        <w:tc>
          <w:tcPr>
            <w:tcW w:w="8765" w:type="dxa"/>
            <w:hideMark/>
          </w:tcPr>
          <w:p w14:paraId="0BC309E8" w14:textId="77777777" w:rsidR="00CB4C3D" w:rsidRPr="00CB4C3D" w:rsidRDefault="00CB4C3D" w:rsidP="00CB4C3D">
            <w:pPr>
              <w:pStyle w:val="NormalWeb"/>
              <w:jc w:val="left"/>
              <w:rPr>
                <w:sz w:val="18"/>
                <w:szCs w:val="18"/>
              </w:rPr>
            </w:pPr>
            <w:r w:rsidRPr="00CB4C3D">
              <w:rPr>
                <w:sz w:val="18"/>
                <w:szCs w:val="18"/>
              </w:rPr>
              <w:t>ATAGI recommended a third primary dose for people who are severely immunocompromised.</w:t>
            </w:r>
            <w:r w:rsidRPr="000A0F7A">
              <w:rPr>
                <w:sz w:val="18"/>
                <w:szCs w:val="18"/>
                <w:vertAlign w:val="superscript"/>
              </w:rPr>
              <w:t>11</w:t>
            </w:r>
          </w:p>
          <w:p w14:paraId="545FB603" w14:textId="77777777" w:rsidR="00CB4C3D" w:rsidRPr="00CB4C3D" w:rsidRDefault="00CB4C3D" w:rsidP="00CB4C3D">
            <w:pPr>
              <w:pStyle w:val="NormalWeb"/>
              <w:jc w:val="left"/>
              <w:rPr>
                <w:sz w:val="18"/>
                <w:szCs w:val="18"/>
              </w:rPr>
            </w:pPr>
            <w:r w:rsidRPr="00CB4C3D">
              <w:rPr>
                <w:sz w:val="18"/>
                <w:szCs w:val="18"/>
              </w:rPr>
              <w:t xml:space="preserve">ATAGI recommended a booster dose for all people aged </w:t>
            </w:r>
            <w:proofErr w:type="gramStart"/>
            <w:r w:rsidRPr="00CB4C3D">
              <w:rPr>
                <w:sz w:val="18"/>
                <w:szCs w:val="18"/>
              </w:rPr>
              <w:t>18</w:t>
            </w:r>
            <w:proofErr w:type="gramEnd"/>
            <w:r w:rsidRPr="00CB4C3D">
              <w:rPr>
                <w:sz w:val="18"/>
                <w:szCs w:val="18"/>
              </w:rPr>
              <w:t xml:space="preserve"> and over.</w:t>
            </w:r>
            <w:r w:rsidRPr="000A0F7A">
              <w:rPr>
                <w:sz w:val="18"/>
                <w:szCs w:val="18"/>
                <w:vertAlign w:val="superscript"/>
              </w:rPr>
              <w:t>12</w:t>
            </w:r>
          </w:p>
        </w:tc>
      </w:tr>
      <w:tr w:rsidR="00CB4C3D" w:rsidRPr="00CB4C3D" w14:paraId="5C269FBE" w14:textId="77777777" w:rsidTr="00DE718D">
        <w:tc>
          <w:tcPr>
            <w:tcW w:w="1701" w:type="dxa"/>
            <w:tcBorders>
              <w:bottom w:val="single" w:sz="4" w:space="0" w:color="auto"/>
            </w:tcBorders>
            <w:hideMark/>
          </w:tcPr>
          <w:p w14:paraId="1D57C109" w14:textId="77777777" w:rsidR="00CB4C3D" w:rsidRPr="00CB4C3D" w:rsidRDefault="00CB4C3D" w:rsidP="00CB4C3D">
            <w:pPr>
              <w:pStyle w:val="NormalWeb"/>
              <w:jc w:val="left"/>
              <w:rPr>
                <w:sz w:val="18"/>
                <w:szCs w:val="18"/>
              </w:rPr>
            </w:pPr>
            <w:r w:rsidRPr="00CB4C3D">
              <w:rPr>
                <w:sz w:val="18"/>
                <w:szCs w:val="18"/>
              </w:rPr>
              <w:t>December</w:t>
            </w:r>
          </w:p>
        </w:tc>
        <w:tc>
          <w:tcPr>
            <w:tcW w:w="8765" w:type="dxa"/>
            <w:tcBorders>
              <w:bottom w:val="single" w:sz="4" w:space="0" w:color="auto"/>
            </w:tcBorders>
            <w:hideMark/>
          </w:tcPr>
          <w:p w14:paraId="4A954937" w14:textId="77777777" w:rsidR="00CB4C3D" w:rsidRPr="00CB4C3D" w:rsidRDefault="00CB4C3D" w:rsidP="00CB4C3D">
            <w:pPr>
              <w:pStyle w:val="NormalWeb"/>
              <w:jc w:val="left"/>
              <w:rPr>
                <w:sz w:val="18"/>
                <w:szCs w:val="18"/>
              </w:rPr>
            </w:pPr>
            <w:r w:rsidRPr="00CB4C3D">
              <w:rPr>
                <w:sz w:val="18"/>
                <w:szCs w:val="18"/>
              </w:rPr>
              <w:t>ATAGI recommended that all Australians aged 5 years and over should have a COVID-19 vaccine.</w:t>
            </w:r>
            <w:r w:rsidRPr="000A0F7A">
              <w:rPr>
                <w:sz w:val="18"/>
                <w:szCs w:val="18"/>
                <w:vertAlign w:val="superscript"/>
              </w:rPr>
              <w:t>13</w:t>
            </w:r>
          </w:p>
        </w:tc>
      </w:tr>
    </w:tbl>
    <w:p w14:paraId="248C95BC" w14:textId="77777777" w:rsidR="00DE718D" w:rsidRDefault="00DE718D" w:rsidP="008524FB">
      <w:pPr>
        <w:pStyle w:val="Heading3"/>
      </w:pPr>
    </w:p>
    <w:p w14:paraId="32A79048" w14:textId="77777777" w:rsidR="00DE718D" w:rsidRDefault="00DE718D">
      <w:pPr>
        <w:rPr>
          <w:rFonts w:asciiTheme="majorHAnsi" w:eastAsiaTheme="majorEastAsia" w:hAnsiTheme="majorHAnsi" w:cstheme="majorBidi"/>
          <w:b/>
          <w:bCs/>
        </w:rPr>
      </w:pPr>
      <w:r>
        <w:br w:type="page"/>
      </w:r>
    </w:p>
    <w:p w14:paraId="6156F112" w14:textId="77777777" w:rsidR="00DE718D" w:rsidRPr="0074349D" w:rsidRDefault="00DE718D" w:rsidP="00DE718D">
      <w:pPr>
        <w:pStyle w:val="CDIFigures"/>
      </w:pPr>
      <w:r w:rsidRPr="0074349D">
        <w:rPr>
          <w:rStyle w:val="Strong"/>
          <w:b/>
          <w:bCs w:val="0"/>
        </w:rPr>
        <w:lastRenderedPageBreak/>
        <w:t xml:space="preserve">Table 2: TGA </w:t>
      </w:r>
      <w:proofErr w:type="gramStart"/>
      <w:r w:rsidRPr="0074349D">
        <w:rPr>
          <w:rStyle w:val="Strong"/>
          <w:b/>
          <w:bCs w:val="0"/>
        </w:rPr>
        <w:t>provisionally-registered</w:t>
      </w:r>
      <w:proofErr w:type="gramEnd"/>
      <w:r w:rsidRPr="0074349D">
        <w:rPr>
          <w:rStyle w:val="Strong"/>
          <w:b/>
          <w:bCs w:val="0"/>
        </w:rPr>
        <w:t xml:space="preserve"> COVID-19 vaccines in Australia 2021</w:t>
      </w:r>
      <w:r w:rsidRPr="0074349D">
        <w:t xml:space="preserve"> </w:t>
      </w:r>
    </w:p>
    <w:tbl>
      <w:tblPr>
        <w:tblStyle w:val="CDI-StandardTable"/>
        <w:tblW w:w="0" w:type="auto"/>
        <w:tblCellMar>
          <w:top w:w="113" w:type="dxa"/>
          <w:bottom w:w="113" w:type="dxa"/>
        </w:tblCellMar>
        <w:tblLook w:val="04A0" w:firstRow="1" w:lastRow="0" w:firstColumn="1" w:lastColumn="0" w:noHBand="0" w:noVBand="1"/>
        <w:tblDescription w:val="This table lists the vaccine descriptions, eligible age groups for vaccination, and dates of registration for the four TGA provisionally-registered COVID-19 vaccines in Australia 2021: Comirnaty (Pfizer), Vaxzevria (AstraZeneca), Spikevax (Moderna) and Janssen COVID-19 vaccine."/>
      </w:tblPr>
      <w:tblGrid>
        <w:gridCol w:w="2265"/>
        <w:gridCol w:w="2835"/>
        <w:gridCol w:w="1418"/>
        <w:gridCol w:w="3942"/>
      </w:tblGrid>
      <w:tr w:rsidR="00DE718D" w:rsidRPr="00DE718D" w14:paraId="64C8EABA" w14:textId="77777777" w:rsidTr="006B29B4">
        <w:trPr>
          <w:cnfStyle w:val="100000000000" w:firstRow="1" w:lastRow="0" w:firstColumn="0" w:lastColumn="0" w:oddVBand="0" w:evenVBand="0" w:oddHBand="0" w:evenHBand="0" w:firstRowFirstColumn="0" w:firstRowLastColumn="0" w:lastRowFirstColumn="0" w:lastRowLastColumn="0"/>
        </w:trPr>
        <w:tc>
          <w:tcPr>
            <w:tcW w:w="2265" w:type="dxa"/>
            <w:tcBorders>
              <w:top w:val="single" w:sz="2" w:space="0" w:color="000000" w:themeColor="text1"/>
              <w:left w:val="single" w:sz="2" w:space="0" w:color="000000" w:themeColor="text1"/>
              <w:bottom w:val="single" w:sz="2" w:space="0" w:color="auto"/>
            </w:tcBorders>
            <w:hideMark/>
          </w:tcPr>
          <w:p w14:paraId="5F6B345A" w14:textId="77777777" w:rsidR="00DE718D" w:rsidRPr="00DE718D" w:rsidRDefault="00DE718D" w:rsidP="004F46A8">
            <w:pPr>
              <w:pStyle w:val="NormalWeb"/>
              <w:rPr>
                <w:sz w:val="18"/>
                <w:szCs w:val="18"/>
              </w:rPr>
            </w:pPr>
            <w:r w:rsidRPr="00DE718D">
              <w:rPr>
                <w:sz w:val="18"/>
                <w:szCs w:val="18"/>
              </w:rPr>
              <w:t>Vaccine name</w:t>
            </w:r>
          </w:p>
        </w:tc>
        <w:tc>
          <w:tcPr>
            <w:tcW w:w="2835" w:type="dxa"/>
            <w:tcBorders>
              <w:top w:val="single" w:sz="2" w:space="0" w:color="000000" w:themeColor="text1"/>
              <w:bottom w:val="single" w:sz="2" w:space="0" w:color="auto"/>
            </w:tcBorders>
            <w:hideMark/>
          </w:tcPr>
          <w:p w14:paraId="2EC4415B" w14:textId="77777777" w:rsidR="00DE718D" w:rsidRPr="00DE718D" w:rsidRDefault="00DE718D" w:rsidP="00A8675D">
            <w:pPr>
              <w:pStyle w:val="NormalWeb"/>
              <w:jc w:val="left"/>
              <w:rPr>
                <w:sz w:val="18"/>
                <w:szCs w:val="18"/>
              </w:rPr>
            </w:pPr>
            <w:r w:rsidRPr="00DE718D">
              <w:rPr>
                <w:sz w:val="18"/>
                <w:szCs w:val="18"/>
              </w:rPr>
              <w:t>Description</w:t>
            </w:r>
          </w:p>
        </w:tc>
        <w:tc>
          <w:tcPr>
            <w:tcW w:w="1418" w:type="dxa"/>
            <w:tcBorders>
              <w:top w:val="single" w:sz="2" w:space="0" w:color="000000" w:themeColor="text1"/>
              <w:bottom w:val="single" w:sz="2" w:space="0" w:color="auto"/>
            </w:tcBorders>
            <w:hideMark/>
          </w:tcPr>
          <w:p w14:paraId="3A0BFFAC" w14:textId="77777777" w:rsidR="00DE718D" w:rsidRPr="00DE718D" w:rsidRDefault="00DE718D" w:rsidP="00A8675D">
            <w:pPr>
              <w:pStyle w:val="NormalWeb"/>
              <w:jc w:val="left"/>
              <w:rPr>
                <w:sz w:val="18"/>
                <w:szCs w:val="18"/>
              </w:rPr>
            </w:pPr>
            <w:r w:rsidRPr="00DE718D">
              <w:rPr>
                <w:sz w:val="18"/>
                <w:szCs w:val="18"/>
              </w:rPr>
              <w:t>For use in ages</w:t>
            </w:r>
          </w:p>
        </w:tc>
        <w:tc>
          <w:tcPr>
            <w:tcW w:w="3942" w:type="dxa"/>
            <w:tcBorders>
              <w:top w:val="single" w:sz="2" w:space="0" w:color="000000" w:themeColor="text1"/>
              <w:bottom w:val="single" w:sz="2" w:space="0" w:color="auto"/>
              <w:right w:val="single" w:sz="2" w:space="0" w:color="000000" w:themeColor="text1"/>
            </w:tcBorders>
            <w:hideMark/>
          </w:tcPr>
          <w:p w14:paraId="795C4B7D" w14:textId="77777777" w:rsidR="00DE718D" w:rsidRPr="00DE718D" w:rsidRDefault="00DE718D" w:rsidP="00A8675D">
            <w:pPr>
              <w:pStyle w:val="NormalWeb"/>
              <w:jc w:val="left"/>
              <w:rPr>
                <w:sz w:val="18"/>
                <w:szCs w:val="18"/>
              </w:rPr>
            </w:pPr>
            <w:r w:rsidRPr="00DE718D">
              <w:rPr>
                <w:sz w:val="18"/>
                <w:szCs w:val="18"/>
              </w:rPr>
              <w:t>Date of registration</w:t>
            </w:r>
          </w:p>
        </w:tc>
      </w:tr>
      <w:tr w:rsidR="00DE718D" w:rsidRPr="00DE718D" w14:paraId="091EB38F" w14:textId="77777777" w:rsidTr="006B29B4">
        <w:tc>
          <w:tcPr>
            <w:tcW w:w="2265" w:type="dxa"/>
            <w:vMerge w:val="restart"/>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0AE1C634" w14:textId="77777777" w:rsidR="00DE718D" w:rsidRPr="00DE718D" w:rsidRDefault="00DE718D" w:rsidP="00DE718D">
            <w:pPr>
              <w:pStyle w:val="NormalWeb"/>
              <w:jc w:val="left"/>
              <w:rPr>
                <w:sz w:val="18"/>
                <w:szCs w:val="18"/>
              </w:rPr>
            </w:pPr>
            <w:r w:rsidRPr="00DE718D">
              <w:rPr>
                <w:sz w:val="18"/>
                <w:szCs w:val="18"/>
              </w:rPr>
              <w:t>Comirnaty (Pfizer)</w:t>
            </w:r>
          </w:p>
        </w:tc>
        <w:tc>
          <w:tcPr>
            <w:tcW w:w="2835"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127D6A32" w14:textId="77777777" w:rsidR="00DE718D" w:rsidRPr="00DE718D" w:rsidRDefault="00DE718D" w:rsidP="00DE718D">
            <w:pPr>
              <w:pStyle w:val="NormalWeb"/>
              <w:jc w:val="left"/>
              <w:rPr>
                <w:sz w:val="18"/>
                <w:szCs w:val="18"/>
              </w:rPr>
            </w:pPr>
            <w:r w:rsidRPr="00DE718D">
              <w:rPr>
                <w:sz w:val="18"/>
                <w:szCs w:val="18"/>
              </w:rPr>
              <w:t>mRNA-based vaccine</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705FC791" w14:textId="77777777" w:rsidR="00DE718D" w:rsidRPr="00DE718D" w:rsidRDefault="00DE718D" w:rsidP="00DE718D">
            <w:pPr>
              <w:pStyle w:val="NormalWeb"/>
              <w:jc w:val="left"/>
              <w:rPr>
                <w:sz w:val="18"/>
                <w:szCs w:val="18"/>
              </w:rPr>
            </w:pPr>
            <w:r w:rsidRPr="00DE718D">
              <w:rPr>
                <w:sz w:val="18"/>
                <w:szCs w:val="18"/>
              </w:rPr>
              <w:t>≥ 16 years</w:t>
            </w:r>
          </w:p>
        </w:tc>
        <w:tc>
          <w:tcPr>
            <w:tcW w:w="3942"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257809DA" w14:textId="77777777" w:rsidR="00DE718D" w:rsidRPr="00DE718D" w:rsidRDefault="00DE718D" w:rsidP="00DE718D">
            <w:pPr>
              <w:pStyle w:val="NormalWeb"/>
              <w:jc w:val="left"/>
              <w:rPr>
                <w:sz w:val="18"/>
                <w:szCs w:val="18"/>
              </w:rPr>
            </w:pPr>
            <w:r w:rsidRPr="00DE718D">
              <w:rPr>
                <w:sz w:val="18"/>
                <w:szCs w:val="18"/>
              </w:rPr>
              <w:t>25 January 2021</w:t>
            </w:r>
          </w:p>
        </w:tc>
      </w:tr>
      <w:tr w:rsidR="00DE718D" w:rsidRPr="00DE718D" w14:paraId="1CC99D4C" w14:textId="77777777" w:rsidTr="006B29B4">
        <w:trPr>
          <w:cnfStyle w:val="000000010000" w:firstRow="0" w:lastRow="0" w:firstColumn="0" w:lastColumn="0" w:oddVBand="0" w:evenVBand="0" w:oddHBand="0" w:evenHBand="1" w:firstRowFirstColumn="0" w:firstRowLastColumn="0" w:lastRowFirstColumn="0" w:lastRowLastColumn="0"/>
        </w:trPr>
        <w:tc>
          <w:tcPr>
            <w:tcW w:w="2265" w:type="dxa"/>
            <w:vMerge/>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79DB33BC" w14:textId="77777777" w:rsidR="00DE718D" w:rsidRPr="00DE718D" w:rsidRDefault="00DE718D" w:rsidP="00DE718D">
            <w:pPr>
              <w:jc w:val="left"/>
              <w:rPr>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695CBBBD" w14:textId="77777777" w:rsidR="00DE718D" w:rsidRPr="00DE718D" w:rsidRDefault="00DE718D" w:rsidP="00DE718D">
            <w:pPr>
              <w:pStyle w:val="NormalWeb"/>
              <w:jc w:val="left"/>
              <w:rPr>
                <w:sz w:val="18"/>
                <w:szCs w:val="18"/>
              </w:rPr>
            </w:pPr>
            <w:r w:rsidRPr="00DE718D">
              <w:rPr>
                <w:sz w:val="18"/>
                <w:szCs w:val="18"/>
              </w:rPr>
              <w:t>mRNA-based vaccine</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259B3906" w14:textId="77777777" w:rsidR="00DE718D" w:rsidRPr="00DE718D" w:rsidRDefault="00DE718D" w:rsidP="00DE718D">
            <w:pPr>
              <w:pStyle w:val="NormalWeb"/>
              <w:jc w:val="left"/>
              <w:rPr>
                <w:sz w:val="18"/>
                <w:szCs w:val="18"/>
              </w:rPr>
            </w:pPr>
            <w:r w:rsidRPr="00DE718D">
              <w:rPr>
                <w:sz w:val="18"/>
                <w:szCs w:val="18"/>
              </w:rPr>
              <w:t>≥ 12 years</w:t>
            </w:r>
          </w:p>
        </w:tc>
        <w:tc>
          <w:tcPr>
            <w:tcW w:w="3942"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4EE75C38" w14:textId="77777777" w:rsidR="00DE718D" w:rsidRPr="00DE718D" w:rsidRDefault="00DE718D" w:rsidP="00DE718D">
            <w:pPr>
              <w:pStyle w:val="NormalWeb"/>
              <w:jc w:val="left"/>
              <w:rPr>
                <w:sz w:val="18"/>
                <w:szCs w:val="18"/>
              </w:rPr>
            </w:pPr>
            <w:r w:rsidRPr="00DE718D">
              <w:rPr>
                <w:sz w:val="18"/>
                <w:szCs w:val="18"/>
              </w:rPr>
              <w:t>22 July 2021</w:t>
            </w:r>
          </w:p>
        </w:tc>
      </w:tr>
      <w:tr w:rsidR="00DE718D" w:rsidRPr="00DE718D" w14:paraId="018C7C81" w14:textId="77777777" w:rsidTr="006B29B4">
        <w:tc>
          <w:tcPr>
            <w:tcW w:w="2265" w:type="dxa"/>
            <w:vMerge/>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7DA434FD" w14:textId="77777777" w:rsidR="00DE718D" w:rsidRPr="00DE718D" w:rsidRDefault="00DE718D" w:rsidP="00DE718D">
            <w:pPr>
              <w:jc w:val="left"/>
              <w:rPr>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1F91B996" w14:textId="77777777" w:rsidR="00DE718D" w:rsidRPr="00DE718D" w:rsidRDefault="00DE718D" w:rsidP="00DE718D">
            <w:pPr>
              <w:pStyle w:val="NormalWeb"/>
              <w:jc w:val="left"/>
              <w:rPr>
                <w:sz w:val="18"/>
                <w:szCs w:val="18"/>
              </w:rPr>
            </w:pPr>
            <w:r w:rsidRPr="00DE718D">
              <w:rPr>
                <w:sz w:val="18"/>
                <w:szCs w:val="18"/>
              </w:rPr>
              <w:t>mRNA-based vaccine booster dose</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348963B8" w14:textId="77777777" w:rsidR="00DE718D" w:rsidRPr="00DE718D" w:rsidRDefault="00DE718D" w:rsidP="00DE718D">
            <w:pPr>
              <w:pStyle w:val="NormalWeb"/>
              <w:jc w:val="left"/>
              <w:rPr>
                <w:sz w:val="18"/>
                <w:szCs w:val="18"/>
              </w:rPr>
            </w:pPr>
            <w:r w:rsidRPr="00DE718D">
              <w:rPr>
                <w:sz w:val="18"/>
                <w:szCs w:val="18"/>
              </w:rPr>
              <w:t>≥ 18 years</w:t>
            </w:r>
          </w:p>
        </w:tc>
        <w:tc>
          <w:tcPr>
            <w:tcW w:w="3942"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15C3547A" w14:textId="77777777" w:rsidR="00DE718D" w:rsidRPr="00DE718D" w:rsidRDefault="00DE718D" w:rsidP="00DE718D">
            <w:pPr>
              <w:pStyle w:val="NormalWeb"/>
              <w:jc w:val="left"/>
              <w:rPr>
                <w:sz w:val="18"/>
                <w:szCs w:val="18"/>
              </w:rPr>
            </w:pPr>
            <w:r w:rsidRPr="00DE718D">
              <w:rPr>
                <w:sz w:val="18"/>
                <w:szCs w:val="18"/>
              </w:rPr>
              <w:t>26 October 2021</w:t>
            </w:r>
          </w:p>
        </w:tc>
      </w:tr>
      <w:tr w:rsidR="00DE718D" w:rsidRPr="00DE718D" w14:paraId="49B022B7" w14:textId="77777777" w:rsidTr="006B29B4">
        <w:trPr>
          <w:cnfStyle w:val="000000010000" w:firstRow="0" w:lastRow="0" w:firstColumn="0" w:lastColumn="0" w:oddVBand="0" w:evenVBand="0" w:oddHBand="0" w:evenHBand="1" w:firstRowFirstColumn="0" w:firstRowLastColumn="0" w:lastRowFirstColumn="0" w:lastRowLastColumn="0"/>
        </w:trPr>
        <w:tc>
          <w:tcPr>
            <w:tcW w:w="2265" w:type="dxa"/>
            <w:vMerge/>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05910C7A" w14:textId="77777777" w:rsidR="00DE718D" w:rsidRPr="00DE718D" w:rsidRDefault="00DE718D" w:rsidP="00DE718D">
            <w:pPr>
              <w:jc w:val="left"/>
              <w:rPr>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28984CDC" w14:textId="77777777" w:rsidR="00DE718D" w:rsidRPr="00DE718D" w:rsidRDefault="00DE718D" w:rsidP="00DE718D">
            <w:pPr>
              <w:pStyle w:val="NormalWeb"/>
              <w:jc w:val="left"/>
              <w:rPr>
                <w:sz w:val="18"/>
                <w:szCs w:val="18"/>
              </w:rPr>
            </w:pPr>
            <w:r w:rsidRPr="00DE718D">
              <w:rPr>
                <w:sz w:val="18"/>
                <w:szCs w:val="18"/>
              </w:rPr>
              <w:t>mRNA-based vaccine paediatric formulation</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75C95D28" w14:textId="77777777" w:rsidR="00DE718D" w:rsidRPr="00DE718D" w:rsidRDefault="00DE718D" w:rsidP="00DE718D">
            <w:pPr>
              <w:pStyle w:val="NormalWeb"/>
              <w:jc w:val="left"/>
              <w:rPr>
                <w:sz w:val="18"/>
                <w:szCs w:val="18"/>
              </w:rPr>
            </w:pPr>
            <w:r w:rsidRPr="00DE718D">
              <w:rPr>
                <w:sz w:val="18"/>
                <w:szCs w:val="18"/>
              </w:rPr>
              <w:t>≥ 5 to ≤ 11 years</w:t>
            </w:r>
          </w:p>
        </w:tc>
        <w:tc>
          <w:tcPr>
            <w:tcW w:w="3942"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4907C227" w14:textId="77777777" w:rsidR="00DE718D" w:rsidRPr="00DE718D" w:rsidRDefault="00DE718D" w:rsidP="00DE718D">
            <w:pPr>
              <w:pStyle w:val="NormalWeb"/>
              <w:jc w:val="left"/>
              <w:rPr>
                <w:sz w:val="18"/>
                <w:szCs w:val="18"/>
              </w:rPr>
            </w:pPr>
            <w:r w:rsidRPr="00DE718D">
              <w:rPr>
                <w:sz w:val="18"/>
                <w:szCs w:val="18"/>
              </w:rPr>
              <w:t>3 December 2021</w:t>
            </w:r>
          </w:p>
        </w:tc>
      </w:tr>
      <w:tr w:rsidR="00DE718D" w:rsidRPr="00DE718D" w14:paraId="4F99C275" w14:textId="77777777" w:rsidTr="006B29B4">
        <w:tc>
          <w:tcPr>
            <w:tcW w:w="226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0530AA70" w14:textId="77777777" w:rsidR="00DE718D" w:rsidRPr="00DE718D" w:rsidRDefault="00DE718D" w:rsidP="00DE718D">
            <w:pPr>
              <w:pStyle w:val="NormalWeb"/>
              <w:jc w:val="left"/>
              <w:rPr>
                <w:sz w:val="18"/>
                <w:szCs w:val="18"/>
              </w:rPr>
            </w:pPr>
            <w:proofErr w:type="spellStart"/>
            <w:r w:rsidRPr="00DE718D">
              <w:rPr>
                <w:sz w:val="18"/>
                <w:szCs w:val="18"/>
              </w:rPr>
              <w:t>Vaxzevria</w:t>
            </w:r>
            <w:proofErr w:type="spellEnd"/>
            <w:r w:rsidRPr="00DE718D">
              <w:rPr>
                <w:sz w:val="18"/>
                <w:szCs w:val="18"/>
              </w:rPr>
              <w:t xml:space="preserve"> (AstraZeneca)</w:t>
            </w:r>
          </w:p>
        </w:tc>
        <w:tc>
          <w:tcPr>
            <w:tcW w:w="283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37074A01" w14:textId="77777777" w:rsidR="00DE718D" w:rsidRPr="00DE718D" w:rsidRDefault="00DE718D" w:rsidP="00DE718D">
            <w:pPr>
              <w:pStyle w:val="NormalWeb"/>
              <w:jc w:val="left"/>
              <w:rPr>
                <w:sz w:val="18"/>
                <w:szCs w:val="18"/>
              </w:rPr>
            </w:pPr>
            <w:r w:rsidRPr="00DE718D">
              <w:rPr>
                <w:sz w:val="18"/>
                <w:szCs w:val="18"/>
              </w:rPr>
              <w:t>Viral vector vaccine</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2DAECE7F" w14:textId="77777777" w:rsidR="00DE718D" w:rsidRPr="00DE718D" w:rsidRDefault="00DE718D" w:rsidP="00DE718D">
            <w:pPr>
              <w:pStyle w:val="NormalWeb"/>
              <w:jc w:val="left"/>
              <w:rPr>
                <w:sz w:val="18"/>
                <w:szCs w:val="18"/>
              </w:rPr>
            </w:pPr>
            <w:r w:rsidRPr="00DE718D">
              <w:rPr>
                <w:sz w:val="18"/>
                <w:szCs w:val="18"/>
              </w:rPr>
              <w:t>≥ 18 years</w:t>
            </w:r>
          </w:p>
        </w:tc>
        <w:tc>
          <w:tcPr>
            <w:tcW w:w="394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2634B894" w14:textId="77777777" w:rsidR="00DE718D" w:rsidRPr="00DE718D" w:rsidRDefault="00DE718D" w:rsidP="00DE718D">
            <w:pPr>
              <w:pStyle w:val="NormalWeb"/>
              <w:jc w:val="left"/>
              <w:rPr>
                <w:sz w:val="18"/>
                <w:szCs w:val="18"/>
              </w:rPr>
            </w:pPr>
            <w:r w:rsidRPr="00DE718D">
              <w:rPr>
                <w:sz w:val="18"/>
                <w:szCs w:val="18"/>
              </w:rPr>
              <w:t>15 February 2021</w:t>
            </w:r>
          </w:p>
        </w:tc>
      </w:tr>
      <w:tr w:rsidR="00DE718D" w:rsidRPr="00DE718D" w14:paraId="61FC20E5" w14:textId="77777777" w:rsidTr="006B29B4">
        <w:trPr>
          <w:cnfStyle w:val="000000010000" w:firstRow="0" w:lastRow="0" w:firstColumn="0" w:lastColumn="0" w:oddVBand="0" w:evenVBand="0" w:oddHBand="0" w:evenHBand="1" w:firstRowFirstColumn="0" w:firstRowLastColumn="0" w:lastRowFirstColumn="0" w:lastRowLastColumn="0"/>
        </w:trPr>
        <w:tc>
          <w:tcPr>
            <w:tcW w:w="2265" w:type="dxa"/>
            <w:vMerge w:val="restart"/>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58C5E149" w14:textId="77777777" w:rsidR="00DE718D" w:rsidRPr="00DE718D" w:rsidRDefault="00DE718D" w:rsidP="00DE718D">
            <w:pPr>
              <w:pStyle w:val="NormalWeb"/>
              <w:jc w:val="left"/>
              <w:rPr>
                <w:sz w:val="18"/>
                <w:szCs w:val="18"/>
              </w:rPr>
            </w:pPr>
            <w:proofErr w:type="spellStart"/>
            <w:r w:rsidRPr="00DE718D">
              <w:rPr>
                <w:sz w:val="18"/>
                <w:szCs w:val="18"/>
              </w:rPr>
              <w:t>Spikevax</w:t>
            </w:r>
            <w:proofErr w:type="spellEnd"/>
            <w:r w:rsidRPr="00DE718D">
              <w:rPr>
                <w:sz w:val="18"/>
                <w:szCs w:val="18"/>
              </w:rPr>
              <w:t xml:space="preserve"> (Moderna)</w:t>
            </w:r>
          </w:p>
        </w:tc>
        <w:tc>
          <w:tcPr>
            <w:tcW w:w="2835"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3A60A51B" w14:textId="77777777" w:rsidR="00DE718D" w:rsidRPr="00DE718D" w:rsidRDefault="00DE718D" w:rsidP="00DE718D">
            <w:pPr>
              <w:pStyle w:val="NormalWeb"/>
              <w:jc w:val="left"/>
              <w:rPr>
                <w:sz w:val="18"/>
                <w:szCs w:val="18"/>
              </w:rPr>
            </w:pPr>
            <w:r w:rsidRPr="00DE718D">
              <w:rPr>
                <w:sz w:val="18"/>
                <w:szCs w:val="18"/>
              </w:rPr>
              <w:t>mRNA-based vaccine</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28AAD2C1" w14:textId="77777777" w:rsidR="00DE718D" w:rsidRPr="00DE718D" w:rsidRDefault="00DE718D" w:rsidP="00DE718D">
            <w:pPr>
              <w:pStyle w:val="NormalWeb"/>
              <w:jc w:val="left"/>
              <w:rPr>
                <w:sz w:val="18"/>
                <w:szCs w:val="18"/>
              </w:rPr>
            </w:pPr>
            <w:r w:rsidRPr="00DE718D">
              <w:rPr>
                <w:sz w:val="18"/>
                <w:szCs w:val="18"/>
              </w:rPr>
              <w:t>≥ 18 years</w:t>
            </w:r>
          </w:p>
        </w:tc>
        <w:tc>
          <w:tcPr>
            <w:tcW w:w="3942"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3C63F6B4" w14:textId="77777777" w:rsidR="00DE718D" w:rsidRPr="00DE718D" w:rsidRDefault="00DE718D" w:rsidP="00DE718D">
            <w:pPr>
              <w:pStyle w:val="NormalWeb"/>
              <w:jc w:val="left"/>
              <w:rPr>
                <w:sz w:val="18"/>
                <w:szCs w:val="18"/>
              </w:rPr>
            </w:pPr>
            <w:r w:rsidRPr="00DE718D">
              <w:rPr>
                <w:sz w:val="18"/>
                <w:szCs w:val="18"/>
              </w:rPr>
              <w:t>9 August 2021</w:t>
            </w:r>
          </w:p>
        </w:tc>
      </w:tr>
      <w:tr w:rsidR="00DE718D" w:rsidRPr="00DE718D" w14:paraId="1207A2C4" w14:textId="77777777" w:rsidTr="006B29B4">
        <w:tc>
          <w:tcPr>
            <w:tcW w:w="2265" w:type="dxa"/>
            <w:vMerge/>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2086D24D" w14:textId="77777777" w:rsidR="00DE718D" w:rsidRPr="00DE718D" w:rsidRDefault="00DE718D" w:rsidP="00DE718D">
            <w:pPr>
              <w:jc w:val="left"/>
              <w:rPr>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6F3E9708" w14:textId="77777777" w:rsidR="00DE718D" w:rsidRPr="00DE718D" w:rsidRDefault="00DE718D" w:rsidP="00DE718D">
            <w:pPr>
              <w:pStyle w:val="NormalWeb"/>
              <w:jc w:val="left"/>
              <w:rPr>
                <w:sz w:val="18"/>
                <w:szCs w:val="18"/>
              </w:rPr>
            </w:pPr>
            <w:r w:rsidRPr="00DE718D">
              <w:rPr>
                <w:sz w:val="18"/>
                <w:szCs w:val="18"/>
              </w:rPr>
              <w:t>mRNA-based vaccine</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4F34FD8C" w14:textId="77777777" w:rsidR="00DE718D" w:rsidRPr="00DE718D" w:rsidRDefault="00DE718D" w:rsidP="00DE718D">
            <w:pPr>
              <w:pStyle w:val="NormalWeb"/>
              <w:jc w:val="left"/>
              <w:rPr>
                <w:sz w:val="18"/>
                <w:szCs w:val="18"/>
              </w:rPr>
            </w:pPr>
            <w:r w:rsidRPr="00DE718D">
              <w:rPr>
                <w:sz w:val="18"/>
                <w:szCs w:val="18"/>
              </w:rPr>
              <w:t>≥ 12 years</w:t>
            </w:r>
          </w:p>
        </w:tc>
        <w:tc>
          <w:tcPr>
            <w:tcW w:w="3942"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3EEFD693" w14:textId="77777777" w:rsidR="00DE718D" w:rsidRPr="00DE718D" w:rsidRDefault="00DE718D" w:rsidP="00DE718D">
            <w:pPr>
              <w:pStyle w:val="NormalWeb"/>
              <w:jc w:val="left"/>
              <w:rPr>
                <w:sz w:val="18"/>
                <w:szCs w:val="18"/>
              </w:rPr>
            </w:pPr>
            <w:r w:rsidRPr="00DE718D">
              <w:rPr>
                <w:sz w:val="18"/>
                <w:szCs w:val="18"/>
              </w:rPr>
              <w:t>3 September 2021</w:t>
            </w:r>
          </w:p>
        </w:tc>
      </w:tr>
      <w:tr w:rsidR="00DE718D" w:rsidRPr="00DE718D" w14:paraId="6C463201" w14:textId="77777777" w:rsidTr="006B29B4">
        <w:trPr>
          <w:cnfStyle w:val="000000010000" w:firstRow="0" w:lastRow="0" w:firstColumn="0" w:lastColumn="0" w:oddVBand="0" w:evenVBand="0" w:oddHBand="0" w:evenHBand="1" w:firstRowFirstColumn="0" w:firstRowLastColumn="0" w:lastRowFirstColumn="0" w:lastRowLastColumn="0"/>
        </w:trPr>
        <w:tc>
          <w:tcPr>
            <w:tcW w:w="2265" w:type="dxa"/>
            <w:vMerge/>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49FBF91E" w14:textId="77777777" w:rsidR="00DE718D" w:rsidRPr="00DE718D" w:rsidRDefault="00DE718D" w:rsidP="00DE718D">
            <w:pPr>
              <w:jc w:val="left"/>
              <w:rPr>
                <w:sz w:val="18"/>
                <w:szCs w:val="18"/>
              </w:rPr>
            </w:pPr>
          </w:p>
        </w:tc>
        <w:tc>
          <w:tcPr>
            <w:tcW w:w="2835"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6290CB6A" w14:textId="77777777" w:rsidR="00DE718D" w:rsidRPr="00DE718D" w:rsidRDefault="00DE718D" w:rsidP="00DE718D">
            <w:pPr>
              <w:pStyle w:val="NormalWeb"/>
              <w:jc w:val="left"/>
              <w:rPr>
                <w:sz w:val="18"/>
                <w:szCs w:val="18"/>
              </w:rPr>
            </w:pPr>
            <w:r w:rsidRPr="00DE718D">
              <w:rPr>
                <w:sz w:val="18"/>
                <w:szCs w:val="18"/>
              </w:rPr>
              <w:t>mRNA-based vaccine booster dose</w:t>
            </w:r>
          </w:p>
        </w:tc>
        <w:tc>
          <w:tcPr>
            <w:tcW w:w="1418"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67D88157" w14:textId="77777777" w:rsidR="00DE718D" w:rsidRPr="00DE718D" w:rsidRDefault="00DE718D" w:rsidP="00DE718D">
            <w:pPr>
              <w:pStyle w:val="NormalWeb"/>
              <w:jc w:val="left"/>
              <w:rPr>
                <w:sz w:val="18"/>
                <w:szCs w:val="18"/>
              </w:rPr>
            </w:pPr>
            <w:r w:rsidRPr="00DE718D">
              <w:rPr>
                <w:sz w:val="18"/>
                <w:szCs w:val="18"/>
              </w:rPr>
              <w:t>≥ 18 years</w:t>
            </w:r>
          </w:p>
        </w:tc>
        <w:tc>
          <w:tcPr>
            <w:tcW w:w="3942" w:type="dxa"/>
            <w:tcBorders>
              <w:top w:val="single" w:sz="2" w:space="0" w:color="auto"/>
              <w:left w:val="single" w:sz="2" w:space="0" w:color="auto"/>
              <w:bottom w:val="single" w:sz="2" w:space="0" w:color="auto"/>
              <w:right w:val="single" w:sz="2" w:space="0" w:color="auto"/>
            </w:tcBorders>
            <w:shd w:val="clear" w:color="auto" w:fill="FFFFFF" w:themeFill="background1"/>
            <w:vAlign w:val="top"/>
            <w:hideMark/>
          </w:tcPr>
          <w:p w14:paraId="77E6CCA8" w14:textId="77777777" w:rsidR="00DE718D" w:rsidRPr="00DE718D" w:rsidRDefault="00DE718D" w:rsidP="00DE718D">
            <w:pPr>
              <w:pStyle w:val="NormalWeb"/>
              <w:jc w:val="left"/>
              <w:rPr>
                <w:sz w:val="18"/>
                <w:szCs w:val="18"/>
              </w:rPr>
            </w:pPr>
            <w:r w:rsidRPr="00DE718D">
              <w:rPr>
                <w:sz w:val="18"/>
                <w:szCs w:val="18"/>
              </w:rPr>
              <w:t>7 December 2021</w:t>
            </w:r>
          </w:p>
        </w:tc>
      </w:tr>
      <w:tr w:rsidR="00DE718D" w:rsidRPr="00DE718D" w14:paraId="1915F434" w14:textId="77777777" w:rsidTr="006B29B4">
        <w:tc>
          <w:tcPr>
            <w:tcW w:w="226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5BF93CA2" w14:textId="77777777" w:rsidR="00DE718D" w:rsidRPr="00DE718D" w:rsidRDefault="00DE718D" w:rsidP="00DE718D">
            <w:pPr>
              <w:pStyle w:val="NormalWeb"/>
              <w:jc w:val="left"/>
              <w:rPr>
                <w:sz w:val="18"/>
                <w:szCs w:val="18"/>
              </w:rPr>
            </w:pPr>
            <w:r w:rsidRPr="00DE718D">
              <w:rPr>
                <w:sz w:val="18"/>
                <w:szCs w:val="18"/>
              </w:rPr>
              <w:t>Janssen COVID-19 Vaccine</w:t>
            </w:r>
          </w:p>
        </w:tc>
        <w:tc>
          <w:tcPr>
            <w:tcW w:w="283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0397FED4" w14:textId="77777777" w:rsidR="00DE718D" w:rsidRPr="00DE718D" w:rsidRDefault="00DE718D" w:rsidP="00DE718D">
            <w:pPr>
              <w:pStyle w:val="NormalWeb"/>
              <w:jc w:val="left"/>
              <w:rPr>
                <w:sz w:val="18"/>
                <w:szCs w:val="18"/>
              </w:rPr>
            </w:pPr>
            <w:r w:rsidRPr="00DE718D">
              <w:rPr>
                <w:sz w:val="18"/>
                <w:szCs w:val="18"/>
              </w:rPr>
              <w:t>Viral vector vaccine</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7917B4AC" w14:textId="77777777" w:rsidR="00DE718D" w:rsidRPr="00DE718D" w:rsidRDefault="00DE718D" w:rsidP="00DE718D">
            <w:pPr>
              <w:pStyle w:val="NormalWeb"/>
              <w:jc w:val="left"/>
              <w:rPr>
                <w:sz w:val="18"/>
                <w:szCs w:val="18"/>
              </w:rPr>
            </w:pPr>
            <w:r w:rsidRPr="00DE718D">
              <w:rPr>
                <w:sz w:val="18"/>
                <w:szCs w:val="18"/>
              </w:rPr>
              <w:t>≥ 18 years</w:t>
            </w:r>
          </w:p>
        </w:tc>
        <w:tc>
          <w:tcPr>
            <w:tcW w:w="394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top"/>
            <w:hideMark/>
          </w:tcPr>
          <w:p w14:paraId="1D7B2A64" w14:textId="77777777" w:rsidR="00DE718D" w:rsidRPr="00DE718D" w:rsidRDefault="00DE718D" w:rsidP="00DE718D">
            <w:pPr>
              <w:pStyle w:val="NormalWeb"/>
              <w:jc w:val="left"/>
              <w:rPr>
                <w:sz w:val="18"/>
                <w:szCs w:val="18"/>
              </w:rPr>
            </w:pPr>
            <w:r w:rsidRPr="00DE718D">
              <w:rPr>
                <w:sz w:val="18"/>
                <w:szCs w:val="18"/>
              </w:rPr>
              <w:t>25 June 2021 (registered but not used in Australia)</w:t>
            </w:r>
          </w:p>
        </w:tc>
      </w:tr>
    </w:tbl>
    <w:p w14:paraId="75B3F7E4" w14:textId="4059087E" w:rsidR="00BE610E" w:rsidRPr="008524FB" w:rsidRDefault="00BE610E" w:rsidP="008524FB">
      <w:pPr>
        <w:pStyle w:val="Heading3"/>
      </w:pPr>
      <w:r w:rsidRPr="008524FB">
        <w:t xml:space="preserve">Overall adverse events </w:t>
      </w:r>
    </w:p>
    <w:p w14:paraId="1439DB8B" w14:textId="77777777" w:rsidR="00BE610E" w:rsidRDefault="00BE610E" w:rsidP="008524FB">
      <w:r>
        <w:t xml:space="preserve">In 2021, </w:t>
      </w:r>
      <w:proofErr w:type="gramStart"/>
      <w:r>
        <w:t>almost five</w:t>
      </w:r>
      <w:proofErr w:type="gramEnd"/>
      <w:r>
        <w:t xml:space="preserve"> million people participated in the </w:t>
      </w:r>
      <w:proofErr w:type="spellStart"/>
      <w:r>
        <w:t>AusVaxSafety</w:t>
      </w:r>
      <w:proofErr w:type="spellEnd"/>
      <w:r>
        <w:t xml:space="preserve"> vaccine safety survey after their COVID-19 vaccinations.</w:t>
      </w:r>
      <w:r>
        <w:rPr>
          <w:vertAlign w:val="superscript"/>
        </w:rPr>
        <w:t>21</w:t>
      </w:r>
      <w:r>
        <w:t xml:space="preserve"> Of these people, 55.8% reported no adverse events; 44.2% reported at least one adverse event; and 1.0% reported visiting a doctor or emergency department. </w:t>
      </w:r>
    </w:p>
    <w:p w14:paraId="0AA824C3" w14:textId="77777777" w:rsidR="00BE610E" w:rsidRPr="00B01FF0" w:rsidRDefault="00BE610E" w:rsidP="008524FB">
      <w:pPr>
        <w:pStyle w:val="Heading4"/>
        <w:rPr>
          <w:b w:val="0"/>
          <w:bCs w:val="0"/>
        </w:rPr>
      </w:pPr>
      <w:r w:rsidRPr="00B01FF0">
        <w:rPr>
          <w:b w:val="0"/>
          <w:bCs w:val="0"/>
        </w:rPr>
        <w:t xml:space="preserve">Specific adverse events </w:t>
      </w:r>
    </w:p>
    <w:p w14:paraId="6F970855" w14:textId="77777777" w:rsidR="00BE610E" w:rsidRDefault="00BE610E" w:rsidP="008524FB">
      <w:r>
        <w:t xml:space="preserve">Thrombosis with thrombocytopenia syndrome (TTS) is </w:t>
      </w:r>
      <w:proofErr w:type="gramStart"/>
      <w:r>
        <w:t>a very rare</w:t>
      </w:r>
      <w:proofErr w:type="gramEnd"/>
      <w:r>
        <w:t xml:space="preserve"> but serious adverse event following the AstraZeneca vaccine. In 2021, ATAGI developed and updated recommendations on vaccine brand preferences for different age groups as more evidence on TTS became available. ATAGI worked with the Thrombosis and Haemostasis Society of Australia and New Zealand to develop strategies to minimise risks from TTS.</w:t>
      </w:r>
      <w:r>
        <w:rPr>
          <w:vertAlign w:val="superscript"/>
        </w:rPr>
        <w:t xml:space="preserve">22 </w:t>
      </w:r>
    </w:p>
    <w:p w14:paraId="10278743" w14:textId="77777777" w:rsidR="00BE610E" w:rsidRDefault="00BE610E" w:rsidP="008524FB">
      <w:r>
        <w:t>Myocarditis and pericarditis are adverse events of special interest initially noted following mRNA COVID-19 vaccines (Pfizer or Moderna). ATAGI developed clinical guidance</w:t>
      </w:r>
      <w:r>
        <w:rPr>
          <w:vertAlign w:val="superscript"/>
        </w:rPr>
        <w:t>23</w:t>
      </w:r>
      <w:r>
        <w:t xml:space="preserve"> in collaboration with subject matter </w:t>
      </w:r>
      <w:proofErr w:type="gramStart"/>
      <w:r>
        <w:t>experts, and</w:t>
      </w:r>
      <w:proofErr w:type="gramEnd"/>
      <w:r>
        <w:t xml:space="preserve"> continues to monitor the rates of these adverse events. </w:t>
      </w:r>
    </w:p>
    <w:p w14:paraId="577CDBD9" w14:textId="77777777" w:rsidR="00BE610E" w:rsidRPr="008524FB" w:rsidRDefault="00BE610E" w:rsidP="008524FB">
      <w:pPr>
        <w:pStyle w:val="Heading2"/>
      </w:pPr>
      <w:r w:rsidRPr="008524FB">
        <w:t xml:space="preserve">Prevention and control of other vaccine-preventable diseases </w:t>
      </w:r>
    </w:p>
    <w:p w14:paraId="6C0AEABF" w14:textId="77777777" w:rsidR="00BE610E" w:rsidRDefault="00BE610E" w:rsidP="008524FB">
      <w:r>
        <w:t xml:space="preserve">Rates of </w:t>
      </w:r>
      <w:proofErr w:type="gramStart"/>
      <w:r>
        <w:t>a number of</w:t>
      </w:r>
      <w:proofErr w:type="gramEnd"/>
      <w:r>
        <w:t xml:space="preserve"> VPDs were lower in 2021 than during pre-COVID-19 pandemic years. Measures for preventing the spread of COVID-19 (such as border closures, physical </w:t>
      </w:r>
      <w:proofErr w:type="gramStart"/>
      <w:r>
        <w:t>distancing</w:t>
      </w:r>
      <w:proofErr w:type="gramEnd"/>
      <w:r>
        <w:t xml:space="preserve"> and hand hygiene) likely contributed to this. Disruption to usual health care systems and practices may have also contributed to lower VPD identification and notifications. </w:t>
      </w:r>
    </w:p>
    <w:p w14:paraId="79DC9632" w14:textId="77777777" w:rsidR="00BE610E" w:rsidRPr="008524FB" w:rsidRDefault="00BE610E" w:rsidP="008524FB">
      <w:pPr>
        <w:pStyle w:val="Heading3"/>
      </w:pPr>
      <w:r w:rsidRPr="008524FB">
        <w:t xml:space="preserve">Influenza </w:t>
      </w:r>
    </w:p>
    <w:p w14:paraId="1E7B0343" w14:textId="77777777" w:rsidR="00BE610E" w:rsidRDefault="00BE610E" w:rsidP="008524FB">
      <w:r>
        <w:t xml:space="preserve">Influenza was extremely uncommon in 2021. Notification rates were 97% lower than in 2020, and 99% lower than the five-year mean. There was no notable increase in cases during the usual peak winter season. </w:t>
      </w:r>
    </w:p>
    <w:p w14:paraId="7038E7FF" w14:textId="77777777" w:rsidR="00BE610E" w:rsidRDefault="00BE610E" w:rsidP="008524FB">
      <w:r>
        <w:t xml:space="preserve">Low notifications made it difficult to assess the effectiveness of influenza vaccines. This will be closely </w:t>
      </w:r>
      <w:proofErr w:type="gramStart"/>
      <w:r>
        <w:t>monitored</w:t>
      </w:r>
      <w:proofErr w:type="gramEnd"/>
      <w:r>
        <w:t xml:space="preserve"> as international borders open. More details are in the national 2021 influenza season summary.</w:t>
      </w:r>
      <w:r>
        <w:rPr>
          <w:vertAlign w:val="superscript"/>
        </w:rPr>
        <w:t xml:space="preserve">24 </w:t>
      </w:r>
    </w:p>
    <w:p w14:paraId="5229067D" w14:textId="77777777" w:rsidR="00BE610E" w:rsidRPr="008524FB" w:rsidRDefault="00BE610E" w:rsidP="008524FB">
      <w:pPr>
        <w:pStyle w:val="Heading3"/>
      </w:pPr>
      <w:r w:rsidRPr="008524FB">
        <w:t xml:space="preserve">Measles </w:t>
      </w:r>
    </w:p>
    <w:p w14:paraId="0AEAD622" w14:textId="77777777" w:rsidR="00BE610E" w:rsidRDefault="00BE610E" w:rsidP="008524FB">
      <w:r>
        <w:t xml:space="preserve">No cases of measles have </w:t>
      </w:r>
      <w:proofErr w:type="gramStart"/>
      <w:r>
        <w:t>been notified</w:t>
      </w:r>
      <w:proofErr w:type="gramEnd"/>
      <w:r>
        <w:t xml:space="preserve"> since March 2020. Measles has </w:t>
      </w:r>
      <w:proofErr w:type="gramStart"/>
      <w:r>
        <w:t>been eliminated</w:t>
      </w:r>
      <w:proofErr w:type="gramEnd"/>
      <w:r>
        <w:t xml:space="preserve"> in Australia. This means that cases of measles in Australia have been either </w:t>
      </w:r>
      <w:proofErr w:type="gramStart"/>
      <w:r>
        <w:t>acquired</w:t>
      </w:r>
      <w:proofErr w:type="gramEnd"/>
      <w:r>
        <w:t xml:space="preserve"> overseas or linked to overseas travel, and there is no </w:t>
      </w:r>
      <w:r>
        <w:lastRenderedPageBreak/>
        <w:t xml:space="preserve">ongoing transmission. Elimination is the result of high vaccination coverage leading to </w:t>
      </w:r>
      <w:proofErr w:type="gramStart"/>
      <w:r>
        <w:t>high levels</w:t>
      </w:r>
      <w:proofErr w:type="gramEnd"/>
      <w:r>
        <w:t xml:space="preserve"> of immunity in the community, as well as our well-performing surveillance and response systems. </w:t>
      </w:r>
    </w:p>
    <w:p w14:paraId="6E259F54" w14:textId="77777777" w:rsidR="00BE610E" w:rsidRDefault="00BE610E" w:rsidP="008524FB">
      <w:r>
        <w:t xml:space="preserve">The decrease in cases is the result of international border restrictions from March 2020. As international borders open, there is potential for measles cases to be brought </w:t>
      </w:r>
      <w:proofErr w:type="gramStart"/>
      <w:r>
        <w:t>in to</w:t>
      </w:r>
      <w:proofErr w:type="gramEnd"/>
      <w:r>
        <w:t xml:space="preserve"> Australia. </w:t>
      </w:r>
    </w:p>
    <w:p w14:paraId="345E5692" w14:textId="77777777" w:rsidR="00BE610E" w:rsidRPr="008524FB" w:rsidRDefault="00BE610E" w:rsidP="008524FB">
      <w:pPr>
        <w:pStyle w:val="Heading3"/>
      </w:pPr>
      <w:r w:rsidRPr="008524FB">
        <w:t xml:space="preserve">Meningococcal disease </w:t>
      </w:r>
    </w:p>
    <w:p w14:paraId="222BFF06" w14:textId="77777777" w:rsidR="00BE610E" w:rsidRDefault="00BE610E" w:rsidP="008524FB">
      <w:r>
        <w:t xml:space="preserve">In 2021, there were </w:t>
      </w:r>
      <w:proofErr w:type="gramStart"/>
      <w:r>
        <w:t>76</w:t>
      </w:r>
      <w:proofErr w:type="gramEnd"/>
      <w:r>
        <w:t xml:space="preserve"> notifications of invasive meningococcal disease reported in Australia. This was 16% lower than in 2020, and 69% lower than the five-year mean. </w:t>
      </w:r>
    </w:p>
    <w:p w14:paraId="0CE356CF" w14:textId="77777777" w:rsidR="00BE610E" w:rsidRDefault="00BE610E" w:rsidP="008524FB">
      <w:r>
        <w:t xml:space="preserve">Of the </w:t>
      </w:r>
      <w:proofErr w:type="gramStart"/>
      <w:r>
        <w:t>61</w:t>
      </w:r>
      <w:proofErr w:type="gramEnd"/>
      <w:r>
        <w:t xml:space="preserve"> cases where serogroup information was available, the most common serogroup in 2021 was serogroup B (35 cases), followed by serogroup W (14 cases) and serogroup Y (12 cases). Serogroup B and serogroups A, C, W and Y are preventable by different vaccines. </w:t>
      </w:r>
    </w:p>
    <w:p w14:paraId="0885FD92" w14:textId="77777777" w:rsidR="00BE610E" w:rsidRPr="008524FB" w:rsidRDefault="00BE610E" w:rsidP="008524FB">
      <w:pPr>
        <w:pStyle w:val="Heading3"/>
      </w:pPr>
      <w:r w:rsidRPr="008524FB">
        <w:t xml:space="preserve">Pertussis </w:t>
      </w:r>
    </w:p>
    <w:p w14:paraId="175D90A0" w14:textId="77777777" w:rsidR="00BE610E" w:rsidRDefault="00BE610E" w:rsidP="008524FB">
      <w:r>
        <w:t xml:space="preserve">Pertussis notifications were 84% lower in 2021 than in 2020, and 95% lower than the five-year mean. </w:t>
      </w:r>
    </w:p>
    <w:p w14:paraId="7B8201A5" w14:textId="77777777" w:rsidR="00BE610E" w:rsidRPr="008524FB" w:rsidRDefault="00BE610E" w:rsidP="008524FB">
      <w:pPr>
        <w:pStyle w:val="Heading3"/>
      </w:pPr>
      <w:r w:rsidRPr="008524FB">
        <w:t xml:space="preserve">Pneumococcal disease </w:t>
      </w:r>
    </w:p>
    <w:p w14:paraId="458607A2" w14:textId="77777777" w:rsidR="00BE610E" w:rsidRDefault="00BE610E" w:rsidP="008524FB">
      <w:r>
        <w:t xml:space="preserve">Notifications of invasive pneumococcal disease in 2021 were 21% higher than in 2020, but 25% lower than the five-year mean. Most cases were in children under 5 years of age and adults aged 65 years and older. </w:t>
      </w:r>
    </w:p>
    <w:p w14:paraId="41DFB2E2" w14:textId="77777777" w:rsidR="00BE610E" w:rsidRDefault="00BE610E" w:rsidP="008524FB">
      <w:r>
        <w:t xml:space="preserve">Serotype information was available for 80% of notified cases. The two most </w:t>
      </w:r>
      <w:proofErr w:type="gramStart"/>
      <w:r>
        <w:t>frequently</w:t>
      </w:r>
      <w:proofErr w:type="gramEnd"/>
      <w:r>
        <w:t xml:space="preserve"> reported serotypes were serotype 3 (10.3%) and serotype 19F (7.4%). These serotypes </w:t>
      </w:r>
      <w:proofErr w:type="gramStart"/>
      <w:r>
        <w:t>are covered</w:t>
      </w:r>
      <w:proofErr w:type="gramEnd"/>
      <w:r>
        <w:t xml:space="preserve"> by the available pneumococcal vaccines. Some of these cases were vaccine failures, and this issue will continue to be </w:t>
      </w:r>
      <w:proofErr w:type="gramStart"/>
      <w:r>
        <w:t>monitored</w:t>
      </w:r>
      <w:proofErr w:type="gramEnd"/>
      <w:r>
        <w:t xml:space="preserve">. </w:t>
      </w:r>
    </w:p>
    <w:p w14:paraId="3DDE6A8F" w14:textId="77777777" w:rsidR="00BE610E" w:rsidRPr="008524FB" w:rsidRDefault="00BE610E" w:rsidP="008524FB">
      <w:pPr>
        <w:pStyle w:val="Heading2"/>
      </w:pPr>
      <w:r w:rsidRPr="008524FB">
        <w:t xml:space="preserve">National immunisation policy and practice </w:t>
      </w:r>
    </w:p>
    <w:p w14:paraId="18AABD5A" w14:textId="77777777" w:rsidR="00BE610E" w:rsidRPr="008524FB" w:rsidRDefault="00BE610E" w:rsidP="008524FB">
      <w:pPr>
        <w:pStyle w:val="Heading3"/>
      </w:pPr>
      <w:r w:rsidRPr="008524FB">
        <w:t xml:space="preserve">Human papillomavirus vaccination program </w:t>
      </w:r>
    </w:p>
    <w:p w14:paraId="692EF185" w14:textId="77777777" w:rsidR="00BE610E" w:rsidRDefault="00BE610E" w:rsidP="008524FB">
      <w:r>
        <w:t xml:space="preserve">Australia has been a world leader in research and evaluation of the human papillomavirus (HPV) vaccine. This vaccine </w:t>
      </w:r>
      <w:proofErr w:type="gramStart"/>
      <w:r>
        <w:t>is given</w:t>
      </w:r>
      <w:proofErr w:type="gramEnd"/>
      <w:r>
        <w:t xml:space="preserve"> to adolescents through the NIP to prevent cervical cancer and some other cancers. </w:t>
      </w:r>
    </w:p>
    <w:p w14:paraId="48F474A0" w14:textId="77777777" w:rsidR="00BE610E" w:rsidRDefault="00BE610E" w:rsidP="008524FB">
      <w:r>
        <w:t xml:space="preserve">An evaluation of the impact of the national HPV vaccination program in 2021 found that vaccination coverage is high, adverse events are </w:t>
      </w:r>
      <w:proofErr w:type="gramStart"/>
      <w:r>
        <w:t>mainly mild</w:t>
      </w:r>
      <w:proofErr w:type="gramEnd"/>
      <w:r>
        <w:t xml:space="preserve"> and transient (temporary) and the burden of HPV-related disease in the Australian population has substantially reduced since the vaccine was introduced in Australia in 2007.</w:t>
      </w:r>
      <w:r>
        <w:rPr>
          <w:vertAlign w:val="superscript"/>
        </w:rPr>
        <w:t xml:space="preserve">25 </w:t>
      </w:r>
    </w:p>
    <w:p w14:paraId="652AFAE2" w14:textId="77777777" w:rsidR="00BE610E" w:rsidRDefault="00BE610E" w:rsidP="008524FB">
      <w:r>
        <w:t>For First Nations adolescents, the 2021 Cervical Cancer Elimination Progress Report found that 84% of adolescents had their first dose of HPV vaccine, but only 68.5% had completed the two-dose course.</w:t>
      </w:r>
      <w:r>
        <w:rPr>
          <w:vertAlign w:val="superscript"/>
        </w:rPr>
        <w:t>26</w:t>
      </w:r>
      <w:r>
        <w:t xml:space="preserve"> To help improve the completion rate, culturally appropriate resources were developed in partnership with First Nations communities.</w:t>
      </w:r>
      <w:r>
        <w:rPr>
          <w:vertAlign w:val="superscript"/>
        </w:rPr>
        <w:t>27</w:t>
      </w:r>
      <w:r>
        <w:t xml:space="preserve"> Projects such as Yarning about HPV Vaccination,</w:t>
      </w:r>
      <w:r>
        <w:rPr>
          <w:vertAlign w:val="superscript"/>
        </w:rPr>
        <w:t>28</w:t>
      </w:r>
      <w:r>
        <w:t xml:space="preserve"> and cross-cultural responses to the HPV vaccine,</w:t>
      </w:r>
      <w:r>
        <w:rPr>
          <w:vertAlign w:val="superscript"/>
        </w:rPr>
        <w:t>29</w:t>
      </w:r>
      <w:r>
        <w:t xml:space="preserve"> continue to inform a culturally appropriate approach. New relationships with cultural leadership in First Nations communities will help to ensure ongoing engagement, </w:t>
      </w:r>
      <w:proofErr w:type="gramStart"/>
      <w:r>
        <w:t>access</w:t>
      </w:r>
      <w:proofErr w:type="gramEnd"/>
      <w:r>
        <w:t xml:space="preserve"> and follow-up for HPV vaccination. </w:t>
      </w:r>
    </w:p>
    <w:p w14:paraId="3CE7AB5C" w14:textId="77777777" w:rsidR="00BE610E" w:rsidRPr="008524FB" w:rsidRDefault="00BE610E" w:rsidP="008524FB">
      <w:pPr>
        <w:pStyle w:val="Heading3"/>
      </w:pPr>
      <w:r w:rsidRPr="008524FB">
        <w:t xml:space="preserve">Meningococcal B vaccination program </w:t>
      </w:r>
    </w:p>
    <w:p w14:paraId="1EA5BA8C" w14:textId="77777777" w:rsidR="00BE610E" w:rsidRDefault="00BE610E" w:rsidP="008524FB">
      <w:r>
        <w:t>A study on the use of meningococcal B vaccination in adolescents was published in 2021.</w:t>
      </w:r>
      <w:r>
        <w:rPr>
          <w:vertAlign w:val="superscript"/>
        </w:rPr>
        <w:t>30</w:t>
      </w:r>
      <w:r>
        <w:t xml:space="preserve"> A state-funded vaccination program in South Australia </w:t>
      </w:r>
      <w:proofErr w:type="gramStart"/>
      <w:r>
        <w:t>commenced</w:t>
      </w:r>
      <w:proofErr w:type="gramEnd"/>
      <w:r>
        <w:t xml:space="preserve"> in infants and young children in 2018 and was extended to adolescents in 2019. </w:t>
      </w:r>
    </w:p>
    <w:p w14:paraId="56F24355" w14:textId="77777777" w:rsidR="00BE610E" w:rsidRDefault="00BE610E" w:rsidP="008524FB">
      <w:r>
        <w:t xml:space="preserve">The South Australian program contributed to informing the introduction of meningococcal B vaccination, for people at increased risk of invasive meningococcal disease and for First Nations infants, under the NIP in 2020. </w:t>
      </w:r>
    </w:p>
    <w:p w14:paraId="5F2827A1" w14:textId="77777777" w:rsidR="001849B7" w:rsidRDefault="001849B7">
      <w:pPr>
        <w:rPr>
          <w:rFonts w:asciiTheme="majorHAnsi" w:eastAsiaTheme="majorEastAsia" w:hAnsiTheme="majorHAnsi" w:cstheme="majorBidi"/>
          <w:b/>
          <w:bCs/>
          <w:sz w:val="26"/>
          <w:szCs w:val="26"/>
        </w:rPr>
      </w:pPr>
      <w:r>
        <w:br w:type="page"/>
      </w:r>
    </w:p>
    <w:p w14:paraId="270DEFBE" w14:textId="43C7B2EE" w:rsidR="00BE610E" w:rsidRPr="008524FB" w:rsidRDefault="00BE610E" w:rsidP="008524FB">
      <w:pPr>
        <w:pStyle w:val="Heading2"/>
      </w:pPr>
      <w:r w:rsidRPr="008524FB">
        <w:lastRenderedPageBreak/>
        <w:t xml:space="preserve">Changes to the National Immunisation Program </w:t>
      </w:r>
    </w:p>
    <w:p w14:paraId="5CB31A06" w14:textId="77777777" w:rsidR="00BE610E" w:rsidRDefault="00BE610E" w:rsidP="008524FB">
      <w:r>
        <w:t xml:space="preserve">There were no changes to the NIP in 2021. </w:t>
      </w:r>
    </w:p>
    <w:p w14:paraId="5DFA3564" w14:textId="77777777" w:rsidR="00BE610E" w:rsidRDefault="00BE610E" w:rsidP="008524FB">
      <w:r>
        <w:t xml:space="preserve">The shingles vaccination catch-up program </w:t>
      </w:r>
      <w:proofErr w:type="gramStart"/>
      <w:r>
        <w:t>was extended</w:t>
      </w:r>
      <w:proofErr w:type="gramEnd"/>
      <w:r>
        <w:t xml:space="preserve"> for a further two years.</w:t>
      </w:r>
      <w:r>
        <w:rPr>
          <w:vertAlign w:val="superscript"/>
        </w:rPr>
        <w:t>31</w:t>
      </w:r>
      <w:r>
        <w:t xml:space="preserve"> People aged 71–79 years can receive the Zostavax vaccine under the NIP until 31 October 2023.</w:t>
      </w:r>
    </w:p>
    <w:p w14:paraId="62DF15AB" w14:textId="77777777" w:rsidR="00BE610E" w:rsidRPr="008524FB" w:rsidRDefault="00BE610E" w:rsidP="008524FB">
      <w:pPr>
        <w:pStyle w:val="Heading1"/>
      </w:pPr>
      <w:r w:rsidRPr="008524FB">
        <w:t xml:space="preserve">Immunisation coverage </w:t>
      </w:r>
    </w:p>
    <w:p w14:paraId="234F20E2" w14:textId="77777777" w:rsidR="00BE610E" w:rsidRPr="008524FB" w:rsidRDefault="00BE610E" w:rsidP="008524FB">
      <w:pPr>
        <w:pStyle w:val="Heading2"/>
      </w:pPr>
      <w:r w:rsidRPr="008524FB">
        <w:t xml:space="preserve">Influenza vaccines </w:t>
      </w:r>
    </w:p>
    <w:p w14:paraId="2DAD36D3" w14:textId="77777777" w:rsidR="00BE610E" w:rsidRDefault="00BE610E" w:rsidP="008524FB">
      <w:r>
        <w:t xml:space="preserve">The number of influenza vaccine doses received in 2021 was notably lower than in 2020. In children aged 6 months to under 5 years, vaccination coverage decreased in all states and territories by up to 20%, including in First Nations children. All children in this age group can receive free influenza vaccines under the NIP. </w:t>
      </w:r>
    </w:p>
    <w:p w14:paraId="691D0362" w14:textId="77777777" w:rsidR="00BE610E" w:rsidRDefault="00BE610E" w:rsidP="008524FB">
      <w:r>
        <w:t xml:space="preserve">Uptake of influenza vaccines in 2021 was also lower in </w:t>
      </w:r>
      <w:proofErr w:type="gramStart"/>
      <w:r>
        <w:t>several</w:t>
      </w:r>
      <w:proofErr w:type="gramEnd"/>
      <w:r>
        <w:t xml:space="preserve"> other age groups than in 2020. This included First Nations people aged 5–14 years (17% lower) and 15–49 years (10% lower) – all of whom can receive funded influenza vaccines under the NIP – as well as other children aged 5–14 years (13% lower). </w:t>
      </w:r>
    </w:p>
    <w:p w14:paraId="1917B26D" w14:textId="77777777" w:rsidR="00BE610E" w:rsidRDefault="00BE610E" w:rsidP="008524FB">
      <w:r>
        <w:t xml:space="preserve">In late 2021, ATAGI </w:t>
      </w:r>
      <w:proofErr w:type="gramStart"/>
      <w:r>
        <w:t>anticipated</w:t>
      </w:r>
      <w:proofErr w:type="gramEnd"/>
      <w:r>
        <w:t xml:space="preserve"> that as international borders open, influenza may start to spread in Australia.</w:t>
      </w:r>
      <w:r>
        <w:rPr>
          <w:vertAlign w:val="superscript"/>
        </w:rPr>
        <w:t>32</w:t>
      </w:r>
      <w:r>
        <w:t xml:space="preserve"> Children under 5 years of age are especially vulnerable because they may never have been exposed to influenza and may not have received a vaccine. Immunisation services may see increased demand for influenza vaccines, particularly in young children. This is because children aged 6 months to under 5 years </w:t>
      </w:r>
      <w:proofErr w:type="gramStart"/>
      <w:r>
        <w:t>are strongly recommended</w:t>
      </w:r>
      <w:proofErr w:type="gramEnd"/>
      <w:r>
        <w:t xml:space="preserve"> to receive the fully funded NIP annual influenza vaccine, and children aged under 9 years continue to require two doses in their first influenza vaccination season. </w:t>
      </w:r>
    </w:p>
    <w:p w14:paraId="3D24C1AF" w14:textId="77777777" w:rsidR="00BE610E" w:rsidRPr="008524FB" w:rsidRDefault="00BE610E" w:rsidP="008524FB">
      <w:pPr>
        <w:pStyle w:val="Heading2"/>
      </w:pPr>
      <w:r w:rsidRPr="008524FB">
        <w:t xml:space="preserve">Childhood vaccines </w:t>
      </w:r>
    </w:p>
    <w:p w14:paraId="4627385B" w14:textId="77777777" w:rsidR="00BE610E" w:rsidRDefault="00BE610E" w:rsidP="008524FB">
      <w:r>
        <w:t>COVID-19 public health response measures (such as physical distancing and travel restrictions) did not have a significant impact on vaccine uptake in young children in 2021. In 2021, a total of 92.3% of children received their second dose of diphtheria-tetanus-acellular pertussis (</w:t>
      </w:r>
      <w:proofErr w:type="spellStart"/>
      <w:r>
        <w:t>DTPa</w:t>
      </w:r>
      <w:proofErr w:type="spellEnd"/>
      <w:r>
        <w:t xml:space="preserve">) vaccine within 2 months of reaching 4 months of age, compared with 93.6% in 2020 and 93.7% in 2019. Similarly, 87.6% of children received their first dose of measles-mumps-rubella (MMR) vaccine within 2 months of reaching 12 months of age in 2021, compared with 88.1% in 2020 and 88.7% in 2019. </w:t>
      </w:r>
    </w:p>
    <w:p w14:paraId="69A9D678" w14:textId="77777777" w:rsidR="00BE610E" w:rsidRDefault="00BE610E" w:rsidP="008524FB">
      <w:r>
        <w:t xml:space="preserve">Maintaining high uptake of childhood vaccination is important because there is likely to be an increase in VPDs such as measles with the easing of international border restrictions. </w:t>
      </w:r>
    </w:p>
    <w:p w14:paraId="3395AA83" w14:textId="77777777" w:rsidR="00BE610E" w:rsidRPr="008524FB" w:rsidRDefault="00BE610E" w:rsidP="008524FB">
      <w:pPr>
        <w:pStyle w:val="Heading2"/>
      </w:pPr>
      <w:r w:rsidRPr="008524FB">
        <w:t>Adolescent vaccines (</w:t>
      </w:r>
      <w:proofErr w:type="gramStart"/>
      <w:r w:rsidRPr="008524FB">
        <w:t>mainly delivered</w:t>
      </w:r>
      <w:proofErr w:type="gramEnd"/>
      <w:r w:rsidRPr="008524FB">
        <w:t xml:space="preserve"> through school immunisation programs) </w:t>
      </w:r>
    </w:p>
    <w:p w14:paraId="0FBB332B" w14:textId="77777777" w:rsidR="00BE610E" w:rsidRDefault="00BE610E" w:rsidP="008524FB">
      <w:r>
        <w:t xml:space="preserve">School-based immunisation programs </w:t>
      </w:r>
      <w:proofErr w:type="gramStart"/>
      <w:r>
        <w:t>were disrupted</w:t>
      </w:r>
      <w:proofErr w:type="gramEnd"/>
      <w:r>
        <w:t xml:space="preserve"> in 2021 due to COVID-19. As a result, vaccination uptake was lower in 2021 than in previous years: </w:t>
      </w:r>
    </w:p>
    <w:p w14:paraId="1BA6A85A" w14:textId="77777777" w:rsidR="00BE610E" w:rsidRPr="008524FB" w:rsidRDefault="00BE610E" w:rsidP="008524FB">
      <w:pPr>
        <w:pStyle w:val="ListParagraph"/>
        <w:numPr>
          <w:ilvl w:val="0"/>
          <w:numId w:val="19"/>
        </w:numPr>
        <w:rPr>
          <w:rFonts w:eastAsia="Times New Roman"/>
        </w:rPr>
      </w:pPr>
      <w:r w:rsidRPr="008524FB">
        <w:rPr>
          <w:rFonts w:eastAsia="Times New Roman"/>
        </w:rPr>
        <w:t xml:space="preserve">The two-dose course of HPV vaccination </w:t>
      </w:r>
      <w:proofErr w:type="gramStart"/>
      <w:r w:rsidRPr="008524FB">
        <w:rPr>
          <w:rFonts w:eastAsia="Times New Roman"/>
        </w:rPr>
        <w:t>was completed</w:t>
      </w:r>
      <w:proofErr w:type="gramEnd"/>
      <w:r w:rsidRPr="008524FB">
        <w:rPr>
          <w:rFonts w:eastAsia="Times New Roman"/>
        </w:rPr>
        <w:t xml:space="preserve"> within the same year by 58% of adolescents who started their course in 2021, compared with 73% in 2020 and 85% in 2019. For those who had their first dose in 2020 but not their second dose, 64% went on to complete the course in 2021 through catch-up vaccination, resulting in an overall completion rate of 90% for the 2020 cohort over 2 years. This shows the success of catch-up vaccination in 2021, despite disruptions to school programs. It </w:t>
      </w:r>
      <w:proofErr w:type="gramStart"/>
      <w:r w:rsidRPr="008524FB">
        <w:rPr>
          <w:rFonts w:eastAsia="Times New Roman"/>
        </w:rPr>
        <w:t>is expected</w:t>
      </w:r>
      <w:proofErr w:type="gramEnd"/>
      <w:r w:rsidRPr="008524FB">
        <w:rPr>
          <w:rFonts w:eastAsia="Times New Roman"/>
        </w:rPr>
        <w:t xml:space="preserve"> that a similar or higher proportion of adolescents who received their first dose in 2021 will finish their course in 2022. </w:t>
      </w:r>
    </w:p>
    <w:p w14:paraId="63955338" w14:textId="77777777" w:rsidR="00BE610E" w:rsidRPr="008524FB" w:rsidRDefault="00BE610E" w:rsidP="008524FB">
      <w:pPr>
        <w:pStyle w:val="ListParagraph"/>
        <w:numPr>
          <w:ilvl w:val="0"/>
          <w:numId w:val="19"/>
        </w:numPr>
        <w:rPr>
          <w:rFonts w:eastAsia="Times New Roman"/>
        </w:rPr>
      </w:pPr>
      <w:r w:rsidRPr="008524FB">
        <w:rPr>
          <w:rFonts w:eastAsia="Times New Roman"/>
        </w:rPr>
        <w:t xml:space="preserve">A total of 273,054 </w:t>
      </w:r>
      <w:proofErr w:type="spellStart"/>
      <w:r w:rsidRPr="008524FB">
        <w:rPr>
          <w:rFonts w:eastAsia="Times New Roman"/>
        </w:rPr>
        <w:t>dTpa</w:t>
      </w:r>
      <w:proofErr w:type="spellEnd"/>
      <w:r w:rsidRPr="008524FB">
        <w:rPr>
          <w:rFonts w:eastAsia="Times New Roman"/>
        </w:rPr>
        <w:t xml:space="preserve"> vaccine booster doses </w:t>
      </w:r>
      <w:proofErr w:type="gramStart"/>
      <w:r w:rsidRPr="008524FB">
        <w:rPr>
          <w:rFonts w:eastAsia="Times New Roman"/>
        </w:rPr>
        <w:t>were administered</w:t>
      </w:r>
      <w:proofErr w:type="gramEnd"/>
      <w:r w:rsidRPr="008524FB">
        <w:rPr>
          <w:rFonts w:eastAsia="Times New Roman"/>
        </w:rPr>
        <w:t xml:space="preserve"> to adolescents in 2021, which was 4% lower than in 2020 and 15% lower than in 2019. </w:t>
      </w:r>
    </w:p>
    <w:p w14:paraId="72A672F8" w14:textId="77777777" w:rsidR="00BE610E" w:rsidRPr="008524FB" w:rsidRDefault="00BE610E" w:rsidP="008524FB">
      <w:pPr>
        <w:pStyle w:val="ListParagraph"/>
        <w:numPr>
          <w:ilvl w:val="0"/>
          <w:numId w:val="19"/>
        </w:numPr>
        <w:rPr>
          <w:rFonts w:eastAsia="Times New Roman"/>
        </w:rPr>
      </w:pPr>
      <w:r w:rsidRPr="008524FB">
        <w:rPr>
          <w:rFonts w:eastAsia="Times New Roman"/>
        </w:rPr>
        <w:lastRenderedPageBreak/>
        <w:t xml:space="preserve">For the meningococcal ACWY vaccine, 226,862 doses </w:t>
      </w:r>
      <w:proofErr w:type="gramStart"/>
      <w:r w:rsidRPr="008524FB">
        <w:rPr>
          <w:rFonts w:eastAsia="Times New Roman"/>
        </w:rPr>
        <w:t>were administered</w:t>
      </w:r>
      <w:proofErr w:type="gramEnd"/>
      <w:r w:rsidRPr="008524FB">
        <w:rPr>
          <w:rFonts w:eastAsia="Times New Roman"/>
        </w:rPr>
        <w:t xml:space="preserve"> to adolescents during 2021, which was 7% lower than in 2020 and 9% lower than in 2019. </w:t>
      </w:r>
    </w:p>
    <w:p w14:paraId="769575F2" w14:textId="77777777" w:rsidR="00BE610E" w:rsidRPr="008524FB" w:rsidRDefault="00BE610E" w:rsidP="008524FB">
      <w:pPr>
        <w:pStyle w:val="Heading2"/>
      </w:pPr>
      <w:r w:rsidRPr="008524FB">
        <w:t xml:space="preserve">Zoster (herpes zoster) vaccine </w:t>
      </w:r>
    </w:p>
    <w:p w14:paraId="5EDACDCE" w14:textId="77777777" w:rsidR="00BE610E" w:rsidRDefault="00BE610E" w:rsidP="008524FB">
      <w:r>
        <w:t xml:space="preserve">Older Australians are eligible to receive the Zostavax vaccine on the NIP at 70 years of age. In 2021, a total of 30.5% of adults had the vaccine before their seventy-first birthday, which was </w:t>
      </w:r>
      <w:proofErr w:type="gramStart"/>
      <w:r>
        <w:t>similar to</w:t>
      </w:r>
      <w:proofErr w:type="gramEnd"/>
      <w:r>
        <w:t xml:space="preserve"> previous years (30.9% in 2020 and 31.6% in 2019). </w:t>
      </w:r>
    </w:p>
    <w:p w14:paraId="0B1652A6" w14:textId="77777777" w:rsidR="00BE610E" w:rsidRDefault="00BE610E" w:rsidP="008524FB">
      <w:r>
        <w:t xml:space="preserve">Mandatory reporting to the AIR for all NIP vaccines started on 1 July 2021. Zoster vaccine coverage may </w:t>
      </w:r>
      <w:proofErr w:type="gramStart"/>
      <w:r>
        <w:t>be affected</w:t>
      </w:r>
      <w:proofErr w:type="gramEnd"/>
      <w:r>
        <w:t xml:space="preserve"> by under-reporting before that time. The impact of mandatory reporting to the AIR on zoster vaccine coverage will continue to be </w:t>
      </w:r>
      <w:proofErr w:type="gramStart"/>
      <w:r>
        <w:t>monitored</w:t>
      </w:r>
      <w:proofErr w:type="gramEnd"/>
      <w:r>
        <w:t xml:space="preserve">. </w:t>
      </w:r>
    </w:p>
    <w:p w14:paraId="726D529D" w14:textId="77777777" w:rsidR="00BE610E" w:rsidRPr="008524FB" w:rsidRDefault="00BE610E" w:rsidP="008524FB">
      <w:pPr>
        <w:pStyle w:val="Heading2"/>
      </w:pPr>
      <w:proofErr w:type="gramStart"/>
      <w:r w:rsidRPr="008524FB">
        <w:t>Important changes</w:t>
      </w:r>
      <w:proofErr w:type="gramEnd"/>
      <w:r w:rsidRPr="008524FB">
        <w:t xml:space="preserve"> to the Australian Immunisation Handbook </w:t>
      </w:r>
    </w:p>
    <w:p w14:paraId="67074698" w14:textId="77777777" w:rsidR="00BE610E" w:rsidRDefault="00BE610E" w:rsidP="008524FB">
      <w:r>
        <w:t xml:space="preserve">The Australian Immunisation Handbook </w:t>
      </w:r>
      <w:proofErr w:type="gramStart"/>
      <w:r>
        <w:t>provides</w:t>
      </w:r>
      <w:proofErr w:type="gramEnd"/>
      <w:r>
        <w:t xml:space="preserve"> clinical guidelines for the safe and effective use of vaccines.</w:t>
      </w:r>
      <w:r>
        <w:rPr>
          <w:vertAlign w:val="superscript"/>
        </w:rPr>
        <w:t xml:space="preserve">33 </w:t>
      </w:r>
    </w:p>
    <w:p w14:paraId="1D2C3546" w14:textId="77777777" w:rsidR="00BE610E" w:rsidRDefault="00BE610E" w:rsidP="008524FB">
      <w:r>
        <w:t xml:space="preserve">A second zoster vaccine (Shingrix) became available in Australia in June 2021. Shingrix has </w:t>
      </w:r>
      <w:proofErr w:type="gramStart"/>
      <w:r>
        <w:t>different characteristics</w:t>
      </w:r>
      <w:proofErr w:type="gramEnd"/>
      <w:r>
        <w:t xml:space="preserve"> to the live attenuated zoster vaccine (Zostavax) available on the NIP. ATAGI developed a Statement on the clinical use of zoster vaccines in older adults in Australia</w:t>
      </w:r>
      <w:r>
        <w:rPr>
          <w:vertAlign w:val="superscript"/>
        </w:rPr>
        <w:t>34</w:t>
      </w:r>
      <w:r>
        <w:t xml:space="preserve"> to </w:t>
      </w:r>
      <w:proofErr w:type="gramStart"/>
      <w:r>
        <w:t>provide</w:t>
      </w:r>
      <w:proofErr w:type="gramEnd"/>
      <w:r>
        <w:t xml:space="preserve"> clinical guidance in advance of updates to the Handbook.</w:t>
      </w:r>
      <w:r>
        <w:rPr>
          <w:vertAlign w:val="superscript"/>
        </w:rPr>
        <w:t xml:space="preserve">33 </w:t>
      </w:r>
    </w:p>
    <w:p w14:paraId="4404822A" w14:textId="51818F9D" w:rsidR="00BE610E" w:rsidRDefault="00BE610E" w:rsidP="008524FB">
      <w:r>
        <w:t>The Handbook’s ‘Rabies and other lyssaviruses’ chapter</w:t>
      </w:r>
      <w:r w:rsidR="006150D5">
        <w:rPr>
          <w:rStyle w:val="FootnoteReference"/>
        </w:rPr>
        <w:footnoteReference w:id="2"/>
      </w:r>
      <w:r>
        <w:t xml:space="preserve"> was updated with new recommendations for pre-exposure and post-exposure prophylaxis. </w:t>
      </w:r>
    </w:p>
    <w:p w14:paraId="7C0266E3" w14:textId="77777777" w:rsidR="00BE610E" w:rsidRPr="008524FB" w:rsidRDefault="00BE610E" w:rsidP="008524FB">
      <w:pPr>
        <w:pStyle w:val="Heading2"/>
      </w:pPr>
      <w:r w:rsidRPr="008524FB">
        <w:t xml:space="preserve">Mandatory reporting to the Australian Immunisation Register </w:t>
      </w:r>
    </w:p>
    <w:p w14:paraId="0332064F" w14:textId="77777777" w:rsidR="00BE610E" w:rsidRDefault="00BE610E" w:rsidP="008524FB">
      <w:r>
        <w:t xml:space="preserve">In February 2021, the </w:t>
      </w:r>
      <w:r w:rsidRPr="00B01FF0">
        <w:rPr>
          <w:rStyle w:val="Emphasis"/>
          <w:b w:val="0"/>
          <w:bCs w:val="0"/>
        </w:rPr>
        <w:t>Australian Immunisation Register Amendment (Reporting) Act 2021</w:t>
      </w:r>
      <w:r>
        <w:t xml:space="preserve"> came into force.</w:t>
      </w:r>
      <w:r>
        <w:rPr>
          <w:vertAlign w:val="superscript"/>
        </w:rPr>
        <w:t>35</w:t>
      </w:r>
      <w:r>
        <w:t xml:space="preserve"> This Act makes it mandatory for all immunisation providers to report all administered vaccine doses to the AIR. </w:t>
      </w:r>
    </w:p>
    <w:p w14:paraId="3128B148" w14:textId="0CB0E023" w:rsidR="00BE610E" w:rsidRDefault="00BE610E" w:rsidP="008524FB">
      <w:r>
        <w:t>Mandatory reporting helps to ensure that everyone has a complete record of the vaccines they have received throughout their life. This is important to inform individual vaccination decisions, as well as to enable national monitoring of vaccination coverage, administration and vaccine safety that is based on a complete and reliable</w:t>
      </w:r>
      <w:r w:rsidR="00B37A24">
        <w:t> </w:t>
      </w:r>
      <w:r>
        <w:t>dataset.</w:t>
      </w:r>
    </w:p>
    <w:p w14:paraId="2CAEA0CA" w14:textId="77777777" w:rsidR="004B2B37" w:rsidRPr="004B2B37" w:rsidRDefault="004B2B37" w:rsidP="004B2B37">
      <w:pPr>
        <w:pStyle w:val="CDIFigures"/>
      </w:pPr>
      <w:r w:rsidRPr="004B2B37">
        <w:t xml:space="preserve">Table 3: New vaccine registered with the TGA in 2021 </w:t>
      </w:r>
    </w:p>
    <w:tbl>
      <w:tblPr>
        <w:tblStyle w:val="CDI-StandardTable1"/>
        <w:tblW w:w="0" w:type="auto"/>
        <w:tblCellMar>
          <w:top w:w="113" w:type="dxa"/>
          <w:left w:w="113" w:type="dxa"/>
          <w:bottom w:w="113" w:type="dxa"/>
          <w:right w:w="113" w:type="dxa"/>
        </w:tblCellMar>
        <w:tblLook w:val="04A0" w:firstRow="1" w:lastRow="0" w:firstColumn="1" w:lastColumn="0" w:noHBand="0" w:noVBand="1"/>
        <w:tblDescription w:val="There was one non-COVID-19 vaccine registered by the TGA in 2021: the FluBlok Quadrivalent recombinant influenza vaccine, for use in those aged 18 years and older."/>
      </w:tblPr>
      <w:tblGrid>
        <w:gridCol w:w="2409"/>
        <w:gridCol w:w="4392"/>
        <w:gridCol w:w="1843"/>
        <w:gridCol w:w="1816"/>
      </w:tblGrid>
      <w:tr w:rsidR="00413911" w:rsidRPr="004B2B37" w14:paraId="68C223C6" w14:textId="77777777" w:rsidTr="001A2656">
        <w:trPr>
          <w:cnfStyle w:val="100000000000" w:firstRow="1" w:lastRow="0" w:firstColumn="0" w:lastColumn="0" w:oddVBand="0" w:evenVBand="0" w:oddHBand="0" w:evenHBand="0" w:firstRowFirstColumn="0" w:firstRowLastColumn="0" w:lastRowFirstColumn="0" w:lastRowLastColumn="0"/>
        </w:trPr>
        <w:tc>
          <w:tcPr>
            <w:tcW w:w="2409" w:type="dxa"/>
            <w:tcBorders>
              <w:top w:val="single" w:sz="2" w:space="0" w:color="000000" w:themeColor="text1"/>
              <w:left w:val="single" w:sz="2" w:space="0" w:color="000000" w:themeColor="text1"/>
              <w:bottom w:val="single" w:sz="2" w:space="0" w:color="000000" w:themeColor="text1"/>
            </w:tcBorders>
            <w:hideMark/>
          </w:tcPr>
          <w:p w14:paraId="425B33C2" w14:textId="77777777" w:rsidR="004B2B37" w:rsidRPr="004B2B37" w:rsidRDefault="004B2B37" w:rsidP="004B2B37">
            <w:pPr>
              <w:spacing w:before="100" w:beforeAutospacing="1" w:after="100" w:afterAutospacing="1"/>
              <w:rPr>
                <w:sz w:val="18"/>
                <w:szCs w:val="18"/>
              </w:rPr>
            </w:pPr>
            <w:r w:rsidRPr="004B2B37">
              <w:rPr>
                <w:sz w:val="18"/>
                <w:szCs w:val="18"/>
              </w:rPr>
              <w:t>Vaccine brand name</w:t>
            </w:r>
          </w:p>
        </w:tc>
        <w:tc>
          <w:tcPr>
            <w:tcW w:w="4392" w:type="dxa"/>
            <w:tcBorders>
              <w:top w:val="single" w:sz="2" w:space="0" w:color="000000" w:themeColor="text1"/>
              <w:bottom w:val="single" w:sz="2" w:space="0" w:color="000000" w:themeColor="text1"/>
            </w:tcBorders>
            <w:hideMark/>
          </w:tcPr>
          <w:p w14:paraId="3FDD732B" w14:textId="77777777" w:rsidR="004B2B37" w:rsidRPr="004B2B37" w:rsidRDefault="004B2B37" w:rsidP="004B2B37">
            <w:pPr>
              <w:spacing w:before="100" w:beforeAutospacing="1" w:after="100" w:afterAutospacing="1"/>
              <w:rPr>
                <w:sz w:val="18"/>
                <w:szCs w:val="18"/>
              </w:rPr>
            </w:pPr>
            <w:r w:rsidRPr="004B2B37">
              <w:rPr>
                <w:sz w:val="18"/>
                <w:szCs w:val="18"/>
              </w:rPr>
              <w:t>Description</w:t>
            </w:r>
          </w:p>
        </w:tc>
        <w:tc>
          <w:tcPr>
            <w:tcW w:w="1843" w:type="dxa"/>
            <w:tcBorders>
              <w:top w:val="single" w:sz="2" w:space="0" w:color="000000" w:themeColor="text1"/>
              <w:bottom w:val="single" w:sz="2" w:space="0" w:color="000000" w:themeColor="text1"/>
            </w:tcBorders>
            <w:hideMark/>
          </w:tcPr>
          <w:p w14:paraId="2D97FC5C" w14:textId="77777777" w:rsidR="004B2B37" w:rsidRPr="004B2B37" w:rsidRDefault="004B2B37" w:rsidP="004B2B37">
            <w:pPr>
              <w:spacing w:before="100" w:beforeAutospacing="1" w:after="100" w:afterAutospacing="1"/>
              <w:rPr>
                <w:sz w:val="18"/>
                <w:szCs w:val="18"/>
              </w:rPr>
            </w:pPr>
            <w:r w:rsidRPr="004B2B37">
              <w:rPr>
                <w:sz w:val="18"/>
                <w:szCs w:val="18"/>
              </w:rPr>
              <w:t>Protects against</w:t>
            </w:r>
          </w:p>
        </w:tc>
        <w:tc>
          <w:tcPr>
            <w:tcW w:w="1816" w:type="dxa"/>
            <w:tcBorders>
              <w:top w:val="single" w:sz="2" w:space="0" w:color="000000" w:themeColor="text1"/>
              <w:bottom w:val="single" w:sz="2" w:space="0" w:color="000000" w:themeColor="text1"/>
              <w:right w:val="single" w:sz="2" w:space="0" w:color="000000" w:themeColor="text1"/>
            </w:tcBorders>
            <w:hideMark/>
          </w:tcPr>
          <w:p w14:paraId="3AB910B1" w14:textId="77777777" w:rsidR="004B2B37" w:rsidRPr="004B2B37" w:rsidRDefault="004B2B37" w:rsidP="004B2B37">
            <w:pPr>
              <w:spacing w:before="100" w:beforeAutospacing="1" w:after="100" w:afterAutospacing="1"/>
              <w:rPr>
                <w:sz w:val="18"/>
                <w:szCs w:val="18"/>
              </w:rPr>
            </w:pPr>
            <w:r w:rsidRPr="004B2B37">
              <w:rPr>
                <w:sz w:val="18"/>
                <w:szCs w:val="18"/>
              </w:rPr>
              <w:t>For use in ages</w:t>
            </w:r>
          </w:p>
        </w:tc>
      </w:tr>
      <w:tr w:rsidR="001A2656" w:rsidRPr="004B2B37" w14:paraId="270EB6A4" w14:textId="77777777" w:rsidTr="001A2656">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AE35C16" w14:textId="77777777" w:rsidR="004B2B37" w:rsidRPr="004B2B37" w:rsidRDefault="004B2B37" w:rsidP="004B2B37">
            <w:pPr>
              <w:spacing w:before="100" w:beforeAutospacing="1" w:after="100" w:afterAutospacing="1"/>
              <w:rPr>
                <w:sz w:val="18"/>
                <w:szCs w:val="18"/>
              </w:rPr>
            </w:pPr>
            <w:proofErr w:type="spellStart"/>
            <w:r w:rsidRPr="004B2B37">
              <w:rPr>
                <w:sz w:val="18"/>
                <w:szCs w:val="18"/>
              </w:rPr>
              <w:t>Flublok</w:t>
            </w:r>
            <w:proofErr w:type="spellEnd"/>
            <w:r w:rsidRPr="004B2B37">
              <w:rPr>
                <w:sz w:val="18"/>
                <w:szCs w:val="18"/>
              </w:rPr>
              <w:t xml:space="preserve"> Quadrivalent</w:t>
            </w:r>
          </w:p>
        </w:tc>
        <w:tc>
          <w:tcPr>
            <w:tcW w:w="4392"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F50AD2D" w14:textId="77777777" w:rsidR="004B2B37" w:rsidRPr="004B2B37" w:rsidRDefault="004B2B37" w:rsidP="004B2B37">
            <w:pPr>
              <w:spacing w:before="100" w:beforeAutospacing="1" w:after="100" w:afterAutospacing="1"/>
              <w:rPr>
                <w:sz w:val="18"/>
                <w:szCs w:val="18"/>
              </w:rPr>
            </w:pPr>
            <w:r w:rsidRPr="004B2B37">
              <w:rPr>
                <w:sz w:val="18"/>
                <w:szCs w:val="18"/>
              </w:rPr>
              <w:t>Quadrivalent recombinant influenza vaccine</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5109AD9" w14:textId="77777777" w:rsidR="004B2B37" w:rsidRPr="004B2B37" w:rsidRDefault="004B2B37" w:rsidP="004B2B37">
            <w:pPr>
              <w:spacing w:before="100" w:beforeAutospacing="1" w:after="100" w:afterAutospacing="1"/>
              <w:rPr>
                <w:sz w:val="18"/>
                <w:szCs w:val="18"/>
              </w:rPr>
            </w:pPr>
            <w:r w:rsidRPr="004B2B37">
              <w:rPr>
                <w:sz w:val="18"/>
                <w:szCs w:val="18"/>
              </w:rPr>
              <w:t>Influenza</w:t>
            </w:r>
          </w:p>
        </w:tc>
        <w:tc>
          <w:tcPr>
            <w:tcW w:w="181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9114847" w14:textId="77777777" w:rsidR="004B2B37" w:rsidRPr="004B2B37" w:rsidRDefault="004B2B37" w:rsidP="004B2B37">
            <w:pPr>
              <w:spacing w:before="100" w:beforeAutospacing="1" w:after="100" w:afterAutospacing="1"/>
              <w:rPr>
                <w:sz w:val="18"/>
                <w:szCs w:val="18"/>
              </w:rPr>
            </w:pPr>
            <w:r w:rsidRPr="004B2B37">
              <w:rPr>
                <w:sz w:val="18"/>
                <w:szCs w:val="18"/>
              </w:rPr>
              <w:t>≥ 18 years</w:t>
            </w:r>
          </w:p>
        </w:tc>
      </w:tr>
    </w:tbl>
    <w:p w14:paraId="0125F3ED" w14:textId="77777777" w:rsidR="00BE610E" w:rsidRPr="008524FB" w:rsidRDefault="00BE610E" w:rsidP="008524FB">
      <w:pPr>
        <w:pStyle w:val="Heading1"/>
      </w:pPr>
      <w:r w:rsidRPr="008524FB">
        <w:t xml:space="preserve">New vaccines </w:t>
      </w:r>
    </w:p>
    <w:p w14:paraId="280B6A45" w14:textId="77777777" w:rsidR="00BE610E" w:rsidRDefault="00BE610E" w:rsidP="007370A0">
      <w:r>
        <w:t xml:space="preserve">ATAGI </w:t>
      </w:r>
      <w:proofErr w:type="gramStart"/>
      <w:r>
        <w:t>monitors</w:t>
      </w:r>
      <w:proofErr w:type="gramEnd"/>
      <w:r>
        <w:t xml:space="preserve"> new vaccines for their potential to be included on the NIP. Vaccines recommended for the NIP need to show benefits for the Australian population and/or for population groups with </w:t>
      </w:r>
      <w:proofErr w:type="gramStart"/>
      <w:r>
        <w:t>high risk</w:t>
      </w:r>
      <w:proofErr w:type="gramEnd"/>
      <w:r>
        <w:t xml:space="preserve"> of a VPD, and they also need to be cost-effective. </w:t>
      </w:r>
    </w:p>
    <w:p w14:paraId="58F8A21F" w14:textId="77777777" w:rsidR="00BE610E" w:rsidRDefault="00BE610E" w:rsidP="007370A0">
      <w:r>
        <w:t xml:space="preserve">One new vaccine (other than COVID-19 vaccines) </w:t>
      </w:r>
      <w:proofErr w:type="gramStart"/>
      <w:r>
        <w:t>was registered</w:t>
      </w:r>
      <w:proofErr w:type="gramEnd"/>
      <w:r>
        <w:t xml:space="preserve"> with the TGA in 2021 (Table 3).</w:t>
      </w:r>
    </w:p>
    <w:p w14:paraId="6C87F00F" w14:textId="77777777" w:rsidR="001849B7" w:rsidRDefault="001849B7">
      <w:pPr>
        <w:rPr>
          <w:rFonts w:asciiTheme="majorHAnsi" w:eastAsiaTheme="majorEastAsia" w:hAnsiTheme="majorHAnsi" w:cstheme="majorBidi"/>
          <w:b/>
          <w:bCs/>
          <w:sz w:val="32"/>
          <w:szCs w:val="28"/>
        </w:rPr>
      </w:pPr>
      <w:r>
        <w:br w:type="page"/>
      </w:r>
    </w:p>
    <w:p w14:paraId="5570686C" w14:textId="22853D28" w:rsidR="00BE610E" w:rsidRPr="008524FB" w:rsidRDefault="00BE610E" w:rsidP="008524FB">
      <w:pPr>
        <w:pStyle w:val="Heading1"/>
      </w:pPr>
      <w:r w:rsidRPr="008524FB">
        <w:lastRenderedPageBreak/>
        <w:t xml:space="preserve">Vaccine safety </w:t>
      </w:r>
    </w:p>
    <w:p w14:paraId="5462E1A2" w14:textId="77777777" w:rsidR="00BE610E" w:rsidRDefault="00BE610E" w:rsidP="008524FB">
      <w:r>
        <w:t xml:space="preserve">The TGA has overall responsibility for vaccine safety surveillance in Australia. Vaccine safety surveillance </w:t>
      </w:r>
      <w:proofErr w:type="gramStart"/>
      <w:r>
        <w:t>is conducted</w:t>
      </w:r>
      <w:proofErr w:type="gramEnd"/>
      <w:r>
        <w:t xml:space="preserve"> in two ways by states and territories in collaboration with the TGA: passive surveillance (through spontaneous reporting) and active surveillance. </w:t>
      </w:r>
    </w:p>
    <w:p w14:paraId="7076DAFE" w14:textId="77777777" w:rsidR="00BE610E" w:rsidRDefault="00BE610E" w:rsidP="008524FB">
      <w:r>
        <w:t>Passive surveillance is where people who have been vaccinated and/or their carers can report any vaccine side effects they have experienced.</w:t>
      </w:r>
      <w:r>
        <w:rPr>
          <w:vertAlign w:val="superscript"/>
        </w:rPr>
        <w:t>7</w:t>
      </w:r>
      <w:r>
        <w:t xml:space="preserve"> Reports are usually made to the jurisdictional vaccine safety </w:t>
      </w:r>
      <w:proofErr w:type="gramStart"/>
      <w:r>
        <w:t>services, but</w:t>
      </w:r>
      <w:proofErr w:type="gramEnd"/>
      <w:r>
        <w:t xml:space="preserve"> can also be made directly to the TGA or through a health care provider. Active surveillance is where people who have </w:t>
      </w:r>
      <w:proofErr w:type="gramStart"/>
      <w:r>
        <w:t>been vaccinated</w:t>
      </w:r>
      <w:proofErr w:type="gramEnd"/>
      <w:r>
        <w:t xml:space="preserve"> and/or their </w:t>
      </w:r>
      <w:proofErr w:type="spellStart"/>
      <w:r>
        <w:t>carers</w:t>
      </w:r>
      <w:proofErr w:type="spellEnd"/>
      <w:r>
        <w:t xml:space="preserve"> are contacted directly and asked if they have experienced any vaccine side effects. The current active vaccine safety surveillance is known as the </w:t>
      </w:r>
      <w:proofErr w:type="spellStart"/>
      <w:r>
        <w:t>AusVaxSafety</w:t>
      </w:r>
      <w:proofErr w:type="spellEnd"/>
      <w:r>
        <w:t xml:space="preserve"> system.</w:t>
      </w:r>
      <w:r>
        <w:rPr>
          <w:vertAlign w:val="superscript"/>
        </w:rPr>
        <w:t xml:space="preserve">36 </w:t>
      </w:r>
    </w:p>
    <w:p w14:paraId="1ABC25A2" w14:textId="77777777" w:rsidR="00BE610E" w:rsidRDefault="00BE610E" w:rsidP="008524FB">
      <w:r>
        <w:t xml:space="preserve">Active and passive vaccine safety surveillance activities </w:t>
      </w:r>
      <w:proofErr w:type="gramStart"/>
      <w:r>
        <w:t>are now integrated</w:t>
      </w:r>
      <w:proofErr w:type="gramEnd"/>
      <w:r>
        <w:t xml:space="preserve"> in most states and territories. All reports of serious adverse events following immunisation are </w:t>
      </w:r>
      <w:proofErr w:type="gramStart"/>
      <w:r>
        <w:t>forwarded</w:t>
      </w:r>
      <w:proofErr w:type="gramEnd"/>
      <w:r>
        <w:t xml:space="preserve"> to the TGA. </w:t>
      </w:r>
    </w:p>
    <w:p w14:paraId="3EFC65EF" w14:textId="77777777" w:rsidR="00BE610E" w:rsidRDefault="00BE610E" w:rsidP="008524FB">
      <w:r>
        <w:t xml:space="preserve">ATAGI continues to work closely with the TGA to advise on and promote the safe use of all vaccines, including COVID-19 vaccines. </w:t>
      </w:r>
    </w:p>
    <w:p w14:paraId="73DF507F" w14:textId="77777777" w:rsidR="00BE610E" w:rsidRPr="008524FB" w:rsidRDefault="00BE610E" w:rsidP="008524FB">
      <w:pPr>
        <w:pStyle w:val="Heading2"/>
      </w:pPr>
      <w:r w:rsidRPr="008524FB">
        <w:t xml:space="preserve">Safe use of Zostavax </w:t>
      </w:r>
    </w:p>
    <w:p w14:paraId="59200DB3" w14:textId="1A4B71DB" w:rsidR="00BE610E" w:rsidRDefault="00BE610E" w:rsidP="008524FB">
      <w:r>
        <w:t>Zostavax is a vaccine that protects older Australians from shingles (herpes zoster) and its complications. Zostavax has been associated with serious adverse events, leading to several TGA safety advisories,</w:t>
      </w:r>
      <w:r>
        <w:rPr>
          <w:vertAlign w:val="superscript"/>
        </w:rPr>
        <w:t>37</w:t>
      </w:r>
      <w:r>
        <w:t xml:space="preserve"> a safety alert from the Chief Medical Officer,</w:t>
      </w:r>
      <w:proofErr w:type="gramStart"/>
      <w:r>
        <w:rPr>
          <w:vertAlign w:val="superscript"/>
        </w:rPr>
        <w:t>38</w:t>
      </w:r>
      <w:proofErr w:type="gramEnd"/>
      <w:r>
        <w:t xml:space="preserve"> and updates to the Handbook</w:t>
      </w:r>
      <w:r w:rsidR="006150D5">
        <w:t>.</w:t>
      </w:r>
      <w:r>
        <w:rPr>
          <w:vertAlign w:val="superscript"/>
        </w:rPr>
        <w:t>33</w:t>
      </w:r>
      <w:r>
        <w:t xml:space="preserve"> </w:t>
      </w:r>
    </w:p>
    <w:p w14:paraId="3DBA65B8" w14:textId="77777777" w:rsidR="00BE610E" w:rsidRDefault="00BE610E" w:rsidP="008524FB">
      <w:r>
        <w:t>In June 2021, the TGA required new safety measures for Zostavax,</w:t>
      </w:r>
      <w:proofErr w:type="gramStart"/>
      <w:r>
        <w:rPr>
          <w:vertAlign w:val="superscript"/>
        </w:rPr>
        <w:t>39</w:t>
      </w:r>
      <w:proofErr w:type="gramEnd"/>
      <w:r>
        <w:t xml:space="preserve"> to address the very rare but serious risk of fatal infection caused by this live vaccine (called disseminated vaccine strain varicella-zoster virus infection) in people with weakened immune systems (immunocompromise). ATAGI continued to assess options to ensure the safe use of this vaccine throughout 2021. </w:t>
      </w:r>
    </w:p>
    <w:p w14:paraId="32DD0794" w14:textId="77777777" w:rsidR="00BE610E" w:rsidRPr="008524FB" w:rsidRDefault="00BE610E" w:rsidP="008524FB">
      <w:pPr>
        <w:pStyle w:val="Heading2"/>
      </w:pPr>
      <w:r w:rsidRPr="008524FB">
        <w:t xml:space="preserve">Influenza vaccines </w:t>
      </w:r>
    </w:p>
    <w:p w14:paraId="64789A65" w14:textId="77777777" w:rsidR="00BE610E" w:rsidRDefault="00BE610E" w:rsidP="008524FB">
      <w:proofErr w:type="spellStart"/>
      <w:r>
        <w:t>AusVaxSafety</w:t>
      </w:r>
      <w:proofErr w:type="spellEnd"/>
      <w:r>
        <w:t xml:space="preserve"> data show that 2021 seasonal influenza vaccines were very safe.</w:t>
      </w:r>
      <w:r>
        <w:rPr>
          <w:vertAlign w:val="superscript"/>
        </w:rPr>
        <w:t>36</w:t>
      </w:r>
      <w:r>
        <w:t xml:space="preserve"> The safety survey in 2021 had 230,577 participants, with 93.4% reporting no adverse events. </w:t>
      </w:r>
    </w:p>
    <w:p w14:paraId="01C80889" w14:textId="42B97A38" w:rsidR="00BE610E" w:rsidRPr="008524FB" w:rsidRDefault="00BE610E" w:rsidP="008524FB">
      <w:pPr>
        <w:pStyle w:val="Heading1"/>
      </w:pPr>
      <w:r w:rsidRPr="008524FB">
        <w:t>Challenges and priorities for immunisation in Australia in 2022 and</w:t>
      </w:r>
      <w:r w:rsidR="008524FB">
        <w:t> </w:t>
      </w:r>
      <w:r w:rsidRPr="008524FB">
        <w:t xml:space="preserve">beyond </w:t>
      </w:r>
    </w:p>
    <w:p w14:paraId="71FC1C33" w14:textId="77777777" w:rsidR="00BE610E" w:rsidRDefault="00BE610E" w:rsidP="007A1CAC">
      <w:r>
        <w:t xml:space="preserve">This document highlights the key successes, </w:t>
      </w:r>
      <w:proofErr w:type="gramStart"/>
      <w:r>
        <w:t>trend</w:t>
      </w:r>
      <w:proofErr w:type="gramEnd"/>
      <w:r>
        <w:t xml:space="preserve"> and challenges in the use of vaccines and control of VPDs in Australia in 2021, a year in which immunisation issues in Australia were dominated by the COVID-19 vaccine roll-out. COVID-19 control measures continued to contribute to lower rates of </w:t>
      </w:r>
      <w:proofErr w:type="gramStart"/>
      <w:r>
        <w:t>many</w:t>
      </w:r>
      <w:proofErr w:type="gramEnd"/>
      <w:r>
        <w:t xml:space="preserve"> VPDs in Australia. The COVID-19 pandemic or the control measures did not have a major impact on delivery of the NIP, except for the second dose of HPV vaccination in adolescents through the school-based program. Immunisation uptake in young children remained high. Notable successes in 2021 included the initiation of the national COVID-19 vaccination program in </w:t>
      </w:r>
      <w:proofErr w:type="spellStart"/>
      <w:r>
        <w:t>Febraury</w:t>
      </w:r>
      <w:proofErr w:type="spellEnd"/>
      <w:r>
        <w:t xml:space="preserve"> 2021 and the rapid response of ATAGI and other groups to </w:t>
      </w:r>
      <w:proofErr w:type="gramStart"/>
      <w:r>
        <w:t>emerging</w:t>
      </w:r>
      <w:proofErr w:type="gramEnd"/>
      <w:r>
        <w:t xml:space="preserve"> evidence on COVID-19 vaccine safety and </w:t>
      </w:r>
      <w:proofErr w:type="spellStart"/>
      <w:r>
        <w:t>effectivensses</w:t>
      </w:r>
      <w:proofErr w:type="spellEnd"/>
      <w:r>
        <w:t xml:space="preserve">. The quick and effective response by First Nations communities to the COVID-19 pandemic was also a key success of 2021. </w:t>
      </w:r>
    </w:p>
    <w:p w14:paraId="6FD2C5B7" w14:textId="77777777" w:rsidR="00BE610E" w:rsidRDefault="00BE610E" w:rsidP="007A1CAC">
      <w:r>
        <w:t xml:space="preserve">This document also signals the key challenges for prevention and control of VPDs through immunisation for 2022 and beyond (Table 4). These challenges </w:t>
      </w:r>
      <w:proofErr w:type="spellStart"/>
      <w:r>
        <w:t>inlcude</w:t>
      </w:r>
      <w:proofErr w:type="spellEnd"/>
      <w:r>
        <w:t xml:space="preserve"> those relating to COVID-19 and to the monitoring and evaluation of </w:t>
      </w:r>
      <w:r>
        <w:lastRenderedPageBreak/>
        <w:t xml:space="preserve">the national COVID-19 vaccination program, as well as </w:t>
      </w:r>
      <w:proofErr w:type="gramStart"/>
      <w:r>
        <w:t>maintaining</w:t>
      </w:r>
      <w:proofErr w:type="gramEnd"/>
      <w:r>
        <w:t xml:space="preserve"> a strong NIP in Australia for prevention of other VPDs in the face of changing epidemiology. </w:t>
      </w:r>
    </w:p>
    <w:p w14:paraId="03F7F1B3" w14:textId="77777777" w:rsidR="00BE610E" w:rsidRDefault="00BE610E" w:rsidP="007A1CAC">
      <w:r>
        <w:t xml:space="preserve">ATAGI’s ongoing priority actions for 2022 (Table 5) include providing advice on national immunisation policies that enable </w:t>
      </w:r>
      <w:proofErr w:type="gramStart"/>
      <w:r>
        <w:t>equitable</w:t>
      </w:r>
      <w:proofErr w:type="gramEnd"/>
      <w:r>
        <w:t xml:space="preserve"> access to NIP-funded vaccines for population groups with increased risks of VPDs, as well as advising on the safe use of all vaccines and on the need to evaluate existing immunisation programs. ATAGI will also strengthen the evaluation of evidence, continue publishing immunisation recommendations through the Handbook, and support the development of evidence-based immunisation resources for First Nations communities. </w:t>
      </w:r>
    </w:p>
    <w:p w14:paraId="3CB5C17C" w14:textId="33767053" w:rsidR="007370A0" w:rsidRDefault="00BE610E" w:rsidP="007370A0">
      <w:pPr>
        <w:rPr>
          <w:rStyle w:val="Strong"/>
          <w:b w:val="0"/>
          <w:bCs w:val="0"/>
        </w:rPr>
      </w:pPr>
      <w:proofErr w:type="gramStart"/>
      <w:r>
        <w:t>Additional</w:t>
      </w:r>
      <w:proofErr w:type="gramEnd"/>
      <w:r>
        <w:t xml:space="preserve"> specific priority actions of ATAGI for 2022 include continuing to advise on strategies for a safe and effective national COVID-19 vaccination program, as well as advising on how to increase uptake of influenza vaccine, and on the need to set up an end-to-end system that can track and record every dose of distributed and administered vaccines in national and jurisdictional immunisation programs. </w:t>
      </w:r>
    </w:p>
    <w:p w14:paraId="20E0DF6C" w14:textId="3C61E404" w:rsidR="00D860BF" w:rsidRPr="00D860BF" w:rsidRDefault="007370A0" w:rsidP="00D860BF">
      <w:pPr>
        <w:pStyle w:val="CDIFigures"/>
      </w:pPr>
      <w:r w:rsidRPr="0074349D">
        <w:rPr>
          <w:rStyle w:val="Strong"/>
          <w:b/>
          <w:bCs w:val="0"/>
        </w:rPr>
        <w:t>Table 4: Key challenges for prevention and control of vaccine-preventable diseases through immunisation</w:t>
      </w:r>
    </w:p>
    <w:p w14:paraId="1C2E5F3A" w14:textId="7B595295" w:rsidR="007370A0" w:rsidRPr="00D860BF" w:rsidRDefault="00D860BF">
      <w:pPr>
        <w:rPr>
          <w:rStyle w:val="Strong"/>
          <w:b w:val="0"/>
          <w:bCs w:val="0"/>
          <w:lang w:val="en-GB"/>
        </w:rPr>
      </w:pPr>
      <w:r w:rsidRPr="00D860BF">
        <w:rPr>
          <w:noProof/>
          <w:lang w:val="en-GB"/>
        </w:rPr>
        <mc:AlternateContent>
          <mc:Choice Requires="wps">
            <w:drawing>
              <wp:inline distT="0" distB="0" distL="0" distR="0" wp14:anchorId="784A60C6" wp14:editId="1B63B10A">
                <wp:extent cx="6625742" cy="1404620"/>
                <wp:effectExtent l="0" t="0" r="3810" b="0"/>
                <wp:docPr id="3" name="Text Box 2" descr="This table summarises the key challenges for prevention and control of vaccine-preventable diseases through immunisation, for COVID-19 and for other vaccine-preventable dise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4A27F1F1" w14:textId="77777777" w:rsidR="00D860BF" w:rsidRDefault="00D860BF" w:rsidP="00D860BF">
                            <w:pPr>
                              <w:pStyle w:val="Heading2"/>
                              <w:rPr>
                                <w:lang w:val="en-GB"/>
                              </w:rPr>
                            </w:pPr>
                            <w:r>
                              <w:rPr>
                                <w:lang w:val="en-GB"/>
                              </w:rPr>
                              <w:t>For COVID-19:</w:t>
                            </w:r>
                          </w:p>
                          <w:p w14:paraId="2CC20887"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Maintaining confidence in the national COVID-19 vaccination program through effective communication strategies.</w:t>
                            </w:r>
                          </w:p>
                          <w:p w14:paraId="2ACDFA30"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 xml:space="preserve">Monitoring safety, </w:t>
                            </w:r>
                            <w:proofErr w:type="gramStart"/>
                            <w:r>
                              <w:rPr>
                                <w:rFonts w:eastAsia="Times New Roman"/>
                                <w:lang w:val="en-GB"/>
                              </w:rPr>
                              <w:t>effectiveness</w:t>
                            </w:r>
                            <w:proofErr w:type="gramEnd"/>
                            <w:r>
                              <w:rPr>
                                <w:rFonts w:eastAsia="Times New Roman"/>
                                <w:lang w:val="en-GB"/>
                              </w:rPr>
                              <w:t xml:space="preserve"> and the optimal schedule of COVID-19 vaccines (particularly those used in Australia), including booster doses, use in children and effectiveness against new variants of concern.</w:t>
                            </w:r>
                          </w:p>
                          <w:p w14:paraId="3B03C06E"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Monitoring epidemiology and providing advice to prevent a surge of COVID-19 in Australia and our region as international travel increases.</w:t>
                            </w:r>
                          </w:p>
                          <w:p w14:paraId="19FA1042"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Evaluating the COVID-19 vaccination program.</w:t>
                            </w:r>
                          </w:p>
                          <w:p w14:paraId="294E74B7" w14:textId="77777777" w:rsidR="00D860BF" w:rsidRDefault="00D860BF" w:rsidP="00D860BF">
                            <w:pPr>
                              <w:pStyle w:val="Heading2"/>
                              <w:rPr>
                                <w:lang w:val="en-GB"/>
                              </w:rPr>
                            </w:pPr>
                            <w:r>
                              <w:rPr>
                                <w:lang w:val="en-GB"/>
                              </w:rPr>
                              <w:t>For other vaccine-preventable diseases:</w:t>
                            </w:r>
                          </w:p>
                          <w:p w14:paraId="41E067EC" w14:textId="77777777" w:rsid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Maintaining a strong NIP in Australia in the face of changing epidemiology of VPDs and reopening of Australia’s borders to international travel.</w:t>
                            </w:r>
                          </w:p>
                          <w:p w14:paraId="58FFA199" w14:textId="77777777" w:rsid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Monitoring the changing epidemiology of measles, polio, diphtheria and other VPDs in the Western Pacific region due to disrupted immunisation programs.</w:t>
                            </w:r>
                          </w:p>
                          <w:p w14:paraId="61E754C1" w14:textId="77777777" w:rsid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 xml:space="preserve">Increasing uptake of vaccines for population groups with a higher risk of certain </w:t>
                            </w:r>
                            <w:proofErr w:type="gramStart"/>
                            <w:r>
                              <w:rPr>
                                <w:rFonts w:eastAsia="Times New Roman"/>
                                <w:lang w:val="en-GB"/>
                              </w:rPr>
                              <w:t>VPDs, and</w:t>
                            </w:r>
                            <w:proofErr w:type="gramEnd"/>
                            <w:r>
                              <w:rPr>
                                <w:rFonts w:eastAsia="Times New Roman"/>
                                <w:lang w:val="en-GB"/>
                              </w:rPr>
                              <w:t xml:space="preserve"> ensuring a reliable data system that captures this uptake.</w:t>
                            </w:r>
                          </w:p>
                          <w:p w14:paraId="6EEB084D" w14:textId="55C92595" w:rsidR="00D860BF" w:rsidRP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Maintaining community confidence in Australia’s NIP through effective communication strategies.</w:t>
                            </w:r>
                          </w:p>
                        </w:txbxContent>
                      </wps:txbx>
                      <wps:bodyPr rot="0" vert="horz" wrap="square" lIns="91440" tIns="45720" rIns="91440" bIns="45720" anchor="t" anchorCtr="0">
                        <a:spAutoFit/>
                      </wps:bodyPr>
                    </wps:wsp>
                  </a:graphicData>
                </a:graphic>
              </wp:inline>
            </w:drawing>
          </mc:Choice>
          <mc:Fallback>
            <w:pict>
              <v:shape w14:anchorId="784A60C6" id="_x0000_s1028" type="#_x0000_t202" alt="This table summarises the key challenges for prevention and control of vaccine-preventable diseases through immunisation, for COVID-19 and for other vaccine-preventable diseases."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" fillcolor="#f7ecdd" stroked="f">
                <v:textbox style="mso-fit-shape-to-text:t">
                  <w:txbxContent>
                    <w:p w14:paraId="4A27F1F1" w14:textId="77777777" w:rsidR="00D860BF" w:rsidRDefault="00D860BF" w:rsidP="00D860BF">
                      <w:pPr>
                        <w:pStyle w:val="Heading2"/>
                        <w:rPr>
                          <w:lang w:val="en-GB"/>
                        </w:rPr>
                      </w:pPr>
                      <w:r>
                        <w:rPr>
                          <w:lang w:val="en-GB"/>
                        </w:rPr>
                        <w:t>For COVID-19:</w:t>
                      </w:r>
                    </w:p>
                    <w:p w14:paraId="2CC20887"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Maintaining confidence in the national COVID-19 vaccination program through effective communication strategies.</w:t>
                      </w:r>
                    </w:p>
                    <w:p w14:paraId="2ACDFA30"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 xml:space="preserve">Monitoring safety, </w:t>
                      </w:r>
                      <w:proofErr w:type="gramStart"/>
                      <w:r>
                        <w:rPr>
                          <w:rFonts w:eastAsia="Times New Roman"/>
                          <w:lang w:val="en-GB"/>
                        </w:rPr>
                        <w:t>effectiveness</w:t>
                      </w:r>
                      <w:proofErr w:type="gramEnd"/>
                      <w:r>
                        <w:rPr>
                          <w:rFonts w:eastAsia="Times New Roman"/>
                          <w:lang w:val="en-GB"/>
                        </w:rPr>
                        <w:t xml:space="preserve"> and the optimal schedule of COVID-19 vaccines (particularly those used in Australia), including booster doses, use in children and effectiveness against new variants of concern.</w:t>
                      </w:r>
                    </w:p>
                    <w:p w14:paraId="3B03C06E"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Monitoring epidemiology and providing advice to prevent a surge of COVID-19 in Australia and our region as international travel increases.</w:t>
                      </w:r>
                    </w:p>
                    <w:p w14:paraId="19FA1042" w14:textId="77777777" w:rsidR="00D860BF" w:rsidRDefault="00D860BF" w:rsidP="00D860BF">
                      <w:pPr>
                        <w:numPr>
                          <w:ilvl w:val="0"/>
                          <w:numId w:val="31"/>
                        </w:numPr>
                        <w:spacing w:before="100" w:beforeAutospacing="1" w:after="100" w:afterAutospacing="1" w:line="240" w:lineRule="auto"/>
                        <w:rPr>
                          <w:rFonts w:eastAsia="Times New Roman"/>
                          <w:lang w:val="en-GB"/>
                        </w:rPr>
                      </w:pPr>
                      <w:r>
                        <w:rPr>
                          <w:rFonts w:eastAsia="Times New Roman"/>
                          <w:lang w:val="en-GB"/>
                        </w:rPr>
                        <w:t>Evaluating the COVID-19 vaccination program.</w:t>
                      </w:r>
                    </w:p>
                    <w:p w14:paraId="294E74B7" w14:textId="77777777" w:rsidR="00D860BF" w:rsidRDefault="00D860BF" w:rsidP="00D860BF">
                      <w:pPr>
                        <w:pStyle w:val="Heading2"/>
                        <w:rPr>
                          <w:lang w:val="en-GB"/>
                        </w:rPr>
                      </w:pPr>
                      <w:r>
                        <w:rPr>
                          <w:lang w:val="en-GB"/>
                        </w:rPr>
                        <w:t>For other vaccine-preventable diseases:</w:t>
                      </w:r>
                    </w:p>
                    <w:p w14:paraId="41E067EC" w14:textId="77777777" w:rsid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Maintaining a strong NIP in Australia in the face of changing epidemiology of VPDs and reopening of Australia’s borders to international travel.</w:t>
                      </w:r>
                    </w:p>
                    <w:p w14:paraId="58FFA199" w14:textId="77777777" w:rsid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Monitoring the changing epidemiology of measles, polio, diphtheria and other VPDs in the Western Pacific region due to disrupted immunisation programs.</w:t>
                      </w:r>
                    </w:p>
                    <w:p w14:paraId="61E754C1" w14:textId="77777777" w:rsid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 xml:space="preserve">Increasing uptake of vaccines for population groups with a higher risk of certain </w:t>
                      </w:r>
                      <w:proofErr w:type="gramStart"/>
                      <w:r>
                        <w:rPr>
                          <w:rFonts w:eastAsia="Times New Roman"/>
                          <w:lang w:val="en-GB"/>
                        </w:rPr>
                        <w:t>VPDs, and</w:t>
                      </w:r>
                      <w:proofErr w:type="gramEnd"/>
                      <w:r>
                        <w:rPr>
                          <w:rFonts w:eastAsia="Times New Roman"/>
                          <w:lang w:val="en-GB"/>
                        </w:rPr>
                        <w:t xml:space="preserve"> ensuring a reliable data system that captures this uptake.</w:t>
                      </w:r>
                    </w:p>
                    <w:p w14:paraId="6EEB084D" w14:textId="55C92595" w:rsidR="00D860BF" w:rsidRPr="00D860BF" w:rsidRDefault="00D860BF" w:rsidP="00D860BF">
                      <w:pPr>
                        <w:numPr>
                          <w:ilvl w:val="0"/>
                          <w:numId w:val="32"/>
                        </w:numPr>
                        <w:spacing w:before="100" w:beforeAutospacing="1" w:after="100" w:afterAutospacing="1" w:line="240" w:lineRule="auto"/>
                        <w:rPr>
                          <w:rFonts w:eastAsia="Times New Roman"/>
                          <w:lang w:val="en-GB"/>
                        </w:rPr>
                      </w:pPr>
                      <w:r>
                        <w:rPr>
                          <w:rFonts w:eastAsia="Times New Roman"/>
                          <w:lang w:val="en-GB"/>
                        </w:rPr>
                        <w:t>Maintaining community confidence in Australia’s NIP through effective communication strategies.</w:t>
                      </w:r>
                    </w:p>
                  </w:txbxContent>
                </v:textbox>
                <w10:anchorlock/>
              </v:shape>
            </w:pict>
          </mc:Fallback>
        </mc:AlternateContent>
      </w:r>
      <w:r w:rsidR="007370A0">
        <w:rPr>
          <w:rStyle w:val="Strong"/>
          <w:lang w:val="en-GB"/>
        </w:rPr>
        <w:br w:type="page"/>
      </w:r>
    </w:p>
    <w:p w14:paraId="087CBB51" w14:textId="61BFF532" w:rsidR="007370A0" w:rsidRPr="00F92BF8" w:rsidRDefault="007370A0" w:rsidP="00F92BF8">
      <w:pPr>
        <w:pStyle w:val="CDIFigures"/>
      </w:pPr>
      <w:r w:rsidRPr="00F92BF8">
        <w:rPr>
          <w:rStyle w:val="Strong"/>
          <w:b/>
          <w:bCs w:val="0"/>
        </w:rPr>
        <w:lastRenderedPageBreak/>
        <w:t>Table 5: ATAGI’s priority actions for 2022</w:t>
      </w:r>
    </w:p>
    <w:p w14:paraId="14AD1A80" w14:textId="77777777" w:rsidR="000D4994" w:rsidRDefault="000D4994" w:rsidP="00F92BF8">
      <w:pPr>
        <w:pStyle w:val="Heading2"/>
        <w:rPr>
          <w:lang w:val="en-GB"/>
        </w:rPr>
      </w:pPr>
      <w:r w:rsidRPr="000D4994">
        <w:rPr>
          <w:noProof/>
          <w:lang w:val="en-GB"/>
        </w:rPr>
        <mc:AlternateContent>
          <mc:Choice Requires="wps">
            <w:drawing>
              <wp:inline distT="0" distB="0" distL="0" distR="0" wp14:anchorId="689A4CBC" wp14:editId="362E734A">
                <wp:extent cx="6625742" cy="1404620"/>
                <wp:effectExtent l="0" t="0" r="3810" b="0"/>
                <wp:docPr id="4" name="Text Box 2" descr="This table summarises ATAGI’s priority actions for 2022, in the categories of ongoing priorities and of specific priorities for 2022, with the latter sub-category comprising priorities related to the COVID-19 immunisation program, to routine vaccination in Australia and the Australian region, and to monitoring and evaluation of vaccine coverage and effectiven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45597E51" w14:textId="77777777" w:rsidR="000D4994" w:rsidRDefault="000D4994" w:rsidP="000D4994">
                            <w:pPr>
                              <w:pStyle w:val="Heading2"/>
                              <w:rPr>
                                <w:lang w:val="en-GB"/>
                              </w:rPr>
                            </w:pPr>
                            <w:r>
                              <w:rPr>
                                <w:lang w:val="en-GB"/>
                              </w:rPr>
                              <w:t>Ongoing priorities</w:t>
                            </w:r>
                          </w:p>
                          <w:p w14:paraId="154FC1D8"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advise on immunisation policies that enable equitable access to NIP-funded vaccines for population groups with increased risks of VPDs, as well as on reliable systems to capture uptake in these groups. Priorities for consideration include:</w:t>
                            </w:r>
                          </w:p>
                          <w:p w14:paraId="2FCC3BD5"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 xml:space="preserve">hepatitis B vaccination for non-immune adults of First Nations </w:t>
                            </w:r>
                            <w:proofErr w:type="gramStart"/>
                            <w:r w:rsidRPr="00C958A0">
                              <w:rPr>
                                <w:rFonts w:eastAsia="Times New Roman"/>
                                <w:sz w:val="20"/>
                                <w:szCs w:val="20"/>
                                <w:lang w:val="en-GB"/>
                              </w:rPr>
                              <w:t>communities;</w:t>
                            </w:r>
                            <w:proofErr w:type="gramEnd"/>
                          </w:p>
                          <w:p w14:paraId="49203557"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pneumococcal vaccination for younger adults of First Nations communities (aged &lt; 50 years</w:t>
                            </w:r>
                            <w:proofErr w:type="gramStart"/>
                            <w:r w:rsidRPr="00C958A0">
                              <w:rPr>
                                <w:rFonts w:eastAsia="Times New Roman"/>
                                <w:sz w:val="20"/>
                                <w:szCs w:val="20"/>
                                <w:lang w:val="en-GB"/>
                              </w:rPr>
                              <w:t>);</w:t>
                            </w:r>
                            <w:proofErr w:type="gramEnd"/>
                          </w:p>
                          <w:p w14:paraId="73AB3813"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expansion of eligible medical risk conditions for receiving NIP-funded influenza vaccines; and</w:t>
                            </w:r>
                          </w:p>
                          <w:p w14:paraId="0A931935"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catch-up measles vaccination for non-immune people born since 1966.</w:t>
                            </w:r>
                          </w:p>
                          <w:p w14:paraId="483AB3BC"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strengthen the evaluation of evidence and to continue publishing evidence-based immunisation recommendations through the Handbook.33 This includes continuing to work closely with the National Health and Medical Research Council to further facilitate the process of endorsing Handbook recommendations.</w:t>
                            </w:r>
                          </w:p>
                          <w:p w14:paraId="0F0E16F4"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advise on and promote the safe and appropriate use of all vaccines, including live vaccines such as Zostavax, and to promote support to immunisation providers.</w:t>
                            </w:r>
                          </w:p>
                          <w:p w14:paraId="2A935872"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 xml:space="preserve">To advise on the need to evaluate existing national immunisation programs, such as for zoster, </w:t>
                            </w:r>
                            <w:proofErr w:type="gramStart"/>
                            <w:r w:rsidRPr="00C958A0">
                              <w:rPr>
                                <w:rFonts w:eastAsia="Times New Roman"/>
                                <w:sz w:val="20"/>
                                <w:szCs w:val="20"/>
                                <w:lang w:val="en-GB"/>
                              </w:rPr>
                              <w:t>influenza</w:t>
                            </w:r>
                            <w:proofErr w:type="gramEnd"/>
                            <w:r w:rsidRPr="00C958A0">
                              <w:rPr>
                                <w:rFonts w:eastAsia="Times New Roman"/>
                                <w:sz w:val="20"/>
                                <w:szCs w:val="20"/>
                                <w:lang w:val="en-GB"/>
                              </w:rPr>
                              <w:t xml:space="preserve"> and pneumococcal disease.</w:t>
                            </w:r>
                          </w:p>
                          <w:p w14:paraId="71B4E407"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continue to work with international partners, including national immunisation technical advisory groups of other countries.</w:t>
                            </w:r>
                          </w:p>
                          <w:p w14:paraId="439CDFD9"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support the development of evidence-based immunisation resources that are culturally sensitive and appropriate to unique First Nations communities.</w:t>
                            </w:r>
                          </w:p>
                          <w:p w14:paraId="744452AF"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 xml:space="preserve">To scope vaccines on the horizon for potential NIP consideration. These may include newer influenza and pneumococcal vaccines, registered vaccines such as Shingrix that are not on the NIP, and vaccines in the pipeline such as respiratory syncytial virus and group A </w:t>
                            </w:r>
                            <w:proofErr w:type="gramStart"/>
                            <w:r w:rsidRPr="00C958A0">
                              <w:rPr>
                                <w:rFonts w:eastAsia="Times New Roman"/>
                                <w:sz w:val="20"/>
                                <w:szCs w:val="20"/>
                                <w:lang w:val="en-GB"/>
                              </w:rPr>
                              <w:t>Streptococcus vaccines</w:t>
                            </w:r>
                            <w:proofErr w:type="gramEnd"/>
                            <w:r w:rsidRPr="00C958A0">
                              <w:rPr>
                                <w:rFonts w:eastAsia="Times New Roman"/>
                                <w:sz w:val="20"/>
                                <w:szCs w:val="20"/>
                                <w:lang w:val="en-GB"/>
                              </w:rPr>
                              <w:t xml:space="preserve">. NIP vaccines must show benefits to the Australian population or to population groups with high risk of a </w:t>
                            </w:r>
                            <w:proofErr w:type="gramStart"/>
                            <w:r w:rsidRPr="00C958A0">
                              <w:rPr>
                                <w:rFonts w:eastAsia="Times New Roman"/>
                                <w:sz w:val="20"/>
                                <w:szCs w:val="20"/>
                                <w:lang w:val="en-GB"/>
                              </w:rPr>
                              <w:t>VPD, and</w:t>
                            </w:r>
                            <w:proofErr w:type="gramEnd"/>
                            <w:r w:rsidRPr="00C958A0">
                              <w:rPr>
                                <w:rFonts w:eastAsia="Times New Roman"/>
                                <w:sz w:val="20"/>
                                <w:szCs w:val="20"/>
                                <w:lang w:val="en-GB"/>
                              </w:rPr>
                              <w:t xml:space="preserve"> must be cost-effective.</w:t>
                            </w:r>
                          </w:p>
                          <w:p w14:paraId="7C24EF05" w14:textId="77777777" w:rsidR="000D4994" w:rsidRDefault="000D4994" w:rsidP="000D4994">
                            <w:pPr>
                              <w:pStyle w:val="Heading2"/>
                              <w:rPr>
                                <w:lang w:val="en-GB"/>
                              </w:rPr>
                            </w:pPr>
                            <w:r>
                              <w:rPr>
                                <w:lang w:val="en-GB"/>
                              </w:rPr>
                              <w:t>Specific priorities for 2022</w:t>
                            </w:r>
                          </w:p>
                          <w:p w14:paraId="2FF27EF0" w14:textId="77777777" w:rsidR="000D4994" w:rsidRDefault="000D4994" w:rsidP="000D4994">
                            <w:pPr>
                              <w:pStyle w:val="Heading3"/>
                              <w:rPr>
                                <w:lang w:val="en-GB"/>
                              </w:rPr>
                            </w:pPr>
                            <w:r>
                              <w:rPr>
                                <w:lang w:val="en-GB"/>
                              </w:rPr>
                              <w:t>COVID-19 immunisation program</w:t>
                            </w:r>
                          </w:p>
                          <w:p w14:paraId="04FC9B3A" w14:textId="77777777" w:rsidR="000D4994" w:rsidRPr="00F92BF8" w:rsidRDefault="000D4994" w:rsidP="000D4994">
                            <w:pPr>
                              <w:pStyle w:val="ListParagraph"/>
                              <w:numPr>
                                <w:ilvl w:val="0"/>
                                <w:numId w:val="38"/>
                              </w:numPr>
                              <w:rPr>
                                <w:rFonts w:eastAsia="Times New Roman"/>
                                <w:lang w:val="en-GB"/>
                              </w:rPr>
                            </w:pPr>
                            <w:r w:rsidRPr="00F92BF8">
                              <w:rPr>
                                <w:rFonts w:eastAsia="Times New Roman"/>
                                <w:lang w:val="en-GB"/>
                              </w:rPr>
                              <w:t>To continue to advise on strategies to implement a safe and effective national COVID-19 vaccination program that has public confidence and equitable access for priority populations.</w:t>
                            </w:r>
                          </w:p>
                          <w:p w14:paraId="69DBB1F8" w14:textId="77777777" w:rsidR="000D4994" w:rsidRPr="00F92BF8" w:rsidRDefault="000D4994" w:rsidP="000D4994">
                            <w:pPr>
                              <w:pStyle w:val="ListParagraph"/>
                              <w:numPr>
                                <w:ilvl w:val="0"/>
                                <w:numId w:val="38"/>
                              </w:numPr>
                              <w:rPr>
                                <w:rFonts w:eastAsia="Times New Roman"/>
                                <w:lang w:val="en-GB"/>
                              </w:rPr>
                            </w:pPr>
                            <w:r w:rsidRPr="00F92BF8">
                              <w:rPr>
                                <w:rFonts w:eastAsia="Times New Roman"/>
                                <w:lang w:val="en-GB"/>
                              </w:rPr>
                              <w:t>To continue to advise on the evaluation of the COVID-19 vaccination program, and on any issues with data and information sources on disease, vaccination uptake and vaccine safety.</w:t>
                            </w:r>
                          </w:p>
                          <w:p w14:paraId="2C477640" w14:textId="77777777" w:rsidR="000D4994" w:rsidRDefault="000D4994" w:rsidP="000D4994">
                            <w:pPr>
                              <w:pStyle w:val="Heading2"/>
                              <w:rPr>
                                <w:lang w:val="en-GB"/>
                              </w:rPr>
                            </w:pPr>
                            <w:r>
                              <w:rPr>
                                <w:lang w:val="en-GB"/>
                              </w:rPr>
                              <w:t>Routine vaccination in Australia and our region</w:t>
                            </w:r>
                          </w:p>
                          <w:p w14:paraId="4C903217" w14:textId="77777777" w:rsidR="000D4994" w:rsidRDefault="000D4994" w:rsidP="000D4994">
                            <w:pPr>
                              <w:numPr>
                                <w:ilvl w:val="0"/>
                                <w:numId w:val="35"/>
                              </w:numPr>
                              <w:spacing w:before="100" w:beforeAutospacing="1" w:after="100" w:afterAutospacing="1" w:line="240" w:lineRule="auto"/>
                              <w:rPr>
                                <w:rFonts w:eastAsia="Times New Roman"/>
                                <w:lang w:val="en-GB"/>
                              </w:rPr>
                            </w:pPr>
                            <w:r>
                              <w:rPr>
                                <w:rFonts w:eastAsia="Times New Roman"/>
                                <w:lang w:val="en-GB"/>
                              </w:rPr>
                              <w:t>To advise on how to increase uptake of influenza vaccine, especially in young children, during and after the COVID-19 pandemic.</w:t>
                            </w:r>
                          </w:p>
                          <w:p w14:paraId="52DE8913" w14:textId="77777777" w:rsidR="000D4994" w:rsidRDefault="000D4994" w:rsidP="000D4994">
                            <w:pPr>
                              <w:numPr>
                                <w:ilvl w:val="0"/>
                                <w:numId w:val="35"/>
                              </w:numPr>
                              <w:spacing w:before="100" w:beforeAutospacing="1" w:after="100" w:afterAutospacing="1" w:line="240" w:lineRule="auto"/>
                              <w:rPr>
                                <w:rFonts w:eastAsia="Times New Roman"/>
                                <w:lang w:val="en-GB"/>
                              </w:rPr>
                            </w:pPr>
                            <w:r>
                              <w:rPr>
                                <w:rFonts w:eastAsia="Times New Roman"/>
                                <w:lang w:val="en-GB"/>
                              </w:rPr>
                              <w:t>To advise on how to prevent reintroduction or a surge in cases of a range of VPDs in Australia as international travel restrictions are lifted. COVID-19 has disrupted immunisation programs in many countries in our region and beyond, and there is a risk of reintroducing these VPDs into Australia.</w:t>
                            </w:r>
                          </w:p>
                          <w:p w14:paraId="3E3D8D3F" w14:textId="77777777" w:rsidR="000D4994" w:rsidRDefault="000D4994" w:rsidP="000D4994">
                            <w:pPr>
                              <w:pStyle w:val="Heading2"/>
                              <w:rPr>
                                <w:lang w:val="en-GB"/>
                              </w:rPr>
                            </w:pPr>
                            <w:r>
                              <w:rPr>
                                <w:lang w:val="en-GB"/>
                              </w:rPr>
                              <w:t>Monitoring and evaluation</w:t>
                            </w:r>
                          </w:p>
                          <w:p w14:paraId="6ED073BA" w14:textId="23AA31CE" w:rsidR="000D4994" w:rsidRPr="000D4994" w:rsidRDefault="000D4994" w:rsidP="000D4994">
                            <w:pPr>
                              <w:pStyle w:val="ListParagraph"/>
                              <w:numPr>
                                <w:ilvl w:val="0"/>
                                <w:numId w:val="39"/>
                              </w:numPr>
                              <w:rPr>
                                <w:rFonts w:eastAsia="Times New Roman"/>
                                <w:lang w:val="en-GB"/>
                              </w:rPr>
                            </w:pPr>
                            <w:r w:rsidRPr="00F92BF8">
                              <w:rPr>
                                <w:rFonts w:eastAsia="Times New Roman"/>
                                <w:lang w:val="en-GB"/>
                              </w:rPr>
                              <w:t>To advise on the need to set up an end-to-end system that can track and record every dose of distributed and administered vaccines in national and jurisdictional immunisation programs. This will improve vaccine allocation, minimise wastage, and help the assessment of vaccine effectiveness.</w:t>
                            </w:r>
                          </w:p>
                        </w:txbxContent>
                      </wps:txbx>
                      <wps:bodyPr rot="0" vert="horz" wrap="square" lIns="91440" tIns="45720" rIns="91440" bIns="45720" anchor="t" anchorCtr="0">
                        <a:spAutoFit/>
                      </wps:bodyPr>
                    </wps:wsp>
                  </a:graphicData>
                </a:graphic>
              </wp:inline>
            </w:drawing>
          </mc:Choice>
          <mc:Fallback>
            <w:pict>
              <v:shape w14:anchorId="689A4CBC" id="_x0000_s1029" type="#_x0000_t202" alt="This table summarises ATAGI’s priority actions for 2022, in the categories of ongoing priorities and of specific priorities for 2022, with the latter sub-category comprising priorities related to the COVID-19 immunisation program, to routine vaccination in Australia and the Australian region, and to monitoring and evaluation of vaccine coverage and effectiveness."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" fillcolor="#f7ecdd" stroked="f">
                <v:textbox style="mso-fit-shape-to-text:t">
                  <w:txbxContent>
                    <w:p w14:paraId="45597E51" w14:textId="77777777" w:rsidR="000D4994" w:rsidRDefault="000D4994" w:rsidP="000D4994">
                      <w:pPr>
                        <w:pStyle w:val="Heading2"/>
                        <w:rPr>
                          <w:lang w:val="en-GB"/>
                        </w:rPr>
                      </w:pPr>
                      <w:r>
                        <w:rPr>
                          <w:lang w:val="en-GB"/>
                        </w:rPr>
                        <w:t>Ongoing priorities</w:t>
                      </w:r>
                    </w:p>
                    <w:p w14:paraId="154FC1D8"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advise on immunisation policies that enable equitable access to NIP-funded vaccines for population groups with increased risks of VPDs, as well as on reliable systems to capture uptake in these groups. Priorities for consideration include:</w:t>
                      </w:r>
                    </w:p>
                    <w:p w14:paraId="2FCC3BD5"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 xml:space="preserve">hepatitis B vaccination for non-immune adults of First Nations </w:t>
                      </w:r>
                      <w:proofErr w:type="gramStart"/>
                      <w:r w:rsidRPr="00C958A0">
                        <w:rPr>
                          <w:rFonts w:eastAsia="Times New Roman"/>
                          <w:sz w:val="20"/>
                          <w:szCs w:val="20"/>
                          <w:lang w:val="en-GB"/>
                        </w:rPr>
                        <w:t>communities;</w:t>
                      </w:r>
                      <w:proofErr w:type="gramEnd"/>
                    </w:p>
                    <w:p w14:paraId="49203557"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pneumococcal vaccination for younger adults of First Nations communities (aged &lt; 50 years</w:t>
                      </w:r>
                      <w:proofErr w:type="gramStart"/>
                      <w:r w:rsidRPr="00C958A0">
                        <w:rPr>
                          <w:rFonts w:eastAsia="Times New Roman"/>
                          <w:sz w:val="20"/>
                          <w:szCs w:val="20"/>
                          <w:lang w:val="en-GB"/>
                        </w:rPr>
                        <w:t>);</w:t>
                      </w:r>
                      <w:proofErr w:type="gramEnd"/>
                    </w:p>
                    <w:p w14:paraId="73AB3813"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expansion of eligible medical risk conditions for receiving NIP-funded influenza vaccines; and</w:t>
                      </w:r>
                    </w:p>
                    <w:p w14:paraId="0A931935" w14:textId="77777777" w:rsidR="000D4994" w:rsidRPr="00C958A0" w:rsidRDefault="000D4994" w:rsidP="0006504F">
                      <w:pPr>
                        <w:pStyle w:val="ListParagraph"/>
                        <w:numPr>
                          <w:ilvl w:val="1"/>
                          <w:numId w:val="37"/>
                        </w:numPr>
                        <w:rPr>
                          <w:rFonts w:eastAsia="Times New Roman"/>
                          <w:sz w:val="20"/>
                          <w:szCs w:val="20"/>
                          <w:lang w:val="en-GB"/>
                        </w:rPr>
                      </w:pPr>
                      <w:r w:rsidRPr="00C958A0">
                        <w:rPr>
                          <w:rFonts w:eastAsia="Times New Roman"/>
                          <w:sz w:val="20"/>
                          <w:szCs w:val="20"/>
                          <w:lang w:val="en-GB"/>
                        </w:rPr>
                        <w:t>catch-up measles vaccination for non-immune people born since 1966.</w:t>
                      </w:r>
                    </w:p>
                    <w:p w14:paraId="483AB3BC"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strengthen the evaluation of evidence and to continue publishing evidence-based immunisation recommendations through the Handbook.33 This includes continuing to work closely with the National Health and Medical Research Council to further facilitate the process of endorsing Handbook recommendations.</w:t>
                      </w:r>
                    </w:p>
                    <w:p w14:paraId="0F0E16F4"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advise on and promote the safe and appropriate use of all vaccines, including live vaccines such as Zostavax, and to promote support to immunisation providers.</w:t>
                      </w:r>
                    </w:p>
                    <w:p w14:paraId="2A935872"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 xml:space="preserve">To advise on the need to evaluate existing national immunisation programs, such as for zoster, </w:t>
                      </w:r>
                      <w:proofErr w:type="gramStart"/>
                      <w:r w:rsidRPr="00C958A0">
                        <w:rPr>
                          <w:rFonts w:eastAsia="Times New Roman"/>
                          <w:sz w:val="20"/>
                          <w:szCs w:val="20"/>
                          <w:lang w:val="en-GB"/>
                        </w:rPr>
                        <w:t>influenza</w:t>
                      </w:r>
                      <w:proofErr w:type="gramEnd"/>
                      <w:r w:rsidRPr="00C958A0">
                        <w:rPr>
                          <w:rFonts w:eastAsia="Times New Roman"/>
                          <w:sz w:val="20"/>
                          <w:szCs w:val="20"/>
                          <w:lang w:val="en-GB"/>
                        </w:rPr>
                        <w:t xml:space="preserve"> and pneumococcal disease.</w:t>
                      </w:r>
                    </w:p>
                    <w:p w14:paraId="71B4E407"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continue to work with international partners, including national immunisation technical advisory groups of other countries.</w:t>
                      </w:r>
                    </w:p>
                    <w:p w14:paraId="439CDFD9"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To support the development of evidence-based immunisation resources that are culturally sensitive and appropriate to unique First Nations communities.</w:t>
                      </w:r>
                    </w:p>
                    <w:p w14:paraId="744452AF" w14:textId="77777777" w:rsidR="000D4994" w:rsidRPr="00C958A0" w:rsidRDefault="000D4994" w:rsidP="000D4994">
                      <w:pPr>
                        <w:pStyle w:val="ListParagraph"/>
                        <w:numPr>
                          <w:ilvl w:val="0"/>
                          <w:numId w:val="37"/>
                        </w:numPr>
                        <w:rPr>
                          <w:rFonts w:eastAsia="Times New Roman"/>
                          <w:sz w:val="20"/>
                          <w:szCs w:val="20"/>
                          <w:lang w:val="en-GB"/>
                        </w:rPr>
                      </w:pPr>
                      <w:r w:rsidRPr="00C958A0">
                        <w:rPr>
                          <w:rFonts w:eastAsia="Times New Roman"/>
                          <w:sz w:val="20"/>
                          <w:szCs w:val="20"/>
                          <w:lang w:val="en-GB"/>
                        </w:rPr>
                        <w:t xml:space="preserve">To scope vaccines on the horizon for potential NIP consideration. These may include newer influenza and pneumococcal vaccines, registered vaccines such as Shingrix that are not on the NIP, and vaccines in the pipeline such as respiratory syncytial virus and group A </w:t>
                      </w:r>
                      <w:proofErr w:type="gramStart"/>
                      <w:r w:rsidRPr="00C958A0">
                        <w:rPr>
                          <w:rFonts w:eastAsia="Times New Roman"/>
                          <w:sz w:val="20"/>
                          <w:szCs w:val="20"/>
                          <w:lang w:val="en-GB"/>
                        </w:rPr>
                        <w:t>Streptococcus vaccines</w:t>
                      </w:r>
                      <w:proofErr w:type="gramEnd"/>
                      <w:r w:rsidRPr="00C958A0">
                        <w:rPr>
                          <w:rFonts w:eastAsia="Times New Roman"/>
                          <w:sz w:val="20"/>
                          <w:szCs w:val="20"/>
                          <w:lang w:val="en-GB"/>
                        </w:rPr>
                        <w:t xml:space="preserve">. NIP vaccines must show benefits to the Australian population or to population groups with high risk of a </w:t>
                      </w:r>
                      <w:proofErr w:type="gramStart"/>
                      <w:r w:rsidRPr="00C958A0">
                        <w:rPr>
                          <w:rFonts w:eastAsia="Times New Roman"/>
                          <w:sz w:val="20"/>
                          <w:szCs w:val="20"/>
                          <w:lang w:val="en-GB"/>
                        </w:rPr>
                        <w:t>VPD, and</w:t>
                      </w:r>
                      <w:proofErr w:type="gramEnd"/>
                      <w:r w:rsidRPr="00C958A0">
                        <w:rPr>
                          <w:rFonts w:eastAsia="Times New Roman"/>
                          <w:sz w:val="20"/>
                          <w:szCs w:val="20"/>
                          <w:lang w:val="en-GB"/>
                        </w:rPr>
                        <w:t xml:space="preserve"> must be cost-effective.</w:t>
                      </w:r>
                    </w:p>
                    <w:p w14:paraId="7C24EF05" w14:textId="77777777" w:rsidR="000D4994" w:rsidRDefault="000D4994" w:rsidP="000D4994">
                      <w:pPr>
                        <w:pStyle w:val="Heading2"/>
                        <w:rPr>
                          <w:lang w:val="en-GB"/>
                        </w:rPr>
                      </w:pPr>
                      <w:r>
                        <w:rPr>
                          <w:lang w:val="en-GB"/>
                        </w:rPr>
                        <w:t>Specific priorities for 2022</w:t>
                      </w:r>
                    </w:p>
                    <w:p w14:paraId="2FF27EF0" w14:textId="77777777" w:rsidR="000D4994" w:rsidRDefault="000D4994" w:rsidP="000D4994">
                      <w:pPr>
                        <w:pStyle w:val="Heading3"/>
                        <w:rPr>
                          <w:lang w:val="en-GB"/>
                        </w:rPr>
                      </w:pPr>
                      <w:r>
                        <w:rPr>
                          <w:lang w:val="en-GB"/>
                        </w:rPr>
                        <w:t>COVID-19 immunisation program</w:t>
                      </w:r>
                    </w:p>
                    <w:p w14:paraId="04FC9B3A" w14:textId="77777777" w:rsidR="000D4994" w:rsidRPr="00F92BF8" w:rsidRDefault="000D4994" w:rsidP="000D4994">
                      <w:pPr>
                        <w:pStyle w:val="ListParagraph"/>
                        <w:numPr>
                          <w:ilvl w:val="0"/>
                          <w:numId w:val="38"/>
                        </w:numPr>
                        <w:rPr>
                          <w:rFonts w:eastAsia="Times New Roman"/>
                          <w:lang w:val="en-GB"/>
                        </w:rPr>
                      </w:pPr>
                      <w:r w:rsidRPr="00F92BF8">
                        <w:rPr>
                          <w:rFonts w:eastAsia="Times New Roman"/>
                          <w:lang w:val="en-GB"/>
                        </w:rPr>
                        <w:t>To continue to advise on strategies to implement a safe and effective national COVID-19 vaccination program that has public confidence and equitable access for priority populations.</w:t>
                      </w:r>
                    </w:p>
                    <w:p w14:paraId="69DBB1F8" w14:textId="77777777" w:rsidR="000D4994" w:rsidRPr="00F92BF8" w:rsidRDefault="000D4994" w:rsidP="000D4994">
                      <w:pPr>
                        <w:pStyle w:val="ListParagraph"/>
                        <w:numPr>
                          <w:ilvl w:val="0"/>
                          <w:numId w:val="38"/>
                        </w:numPr>
                        <w:rPr>
                          <w:rFonts w:eastAsia="Times New Roman"/>
                          <w:lang w:val="en-GB"/>
                        </w:rPr>
                      </w:pPr>
                      <w:r w:rsidRPr="00F92BF8">
                        <w:rPr>
                          <w:rFonts w:eastAsia="Times New Roman"/>
                          <w:lang w:val="en-GB"/>
                        </w:rPr>
                        <w:t>To continue to advise on the evaluation of the COVID-19 vaccination program, and on any issues with data and information sources on disease, vaccination uptake and vaccine safety.</w:t>
                      </w:r>
                    </w:p>
                    <w:p w14:paraId="2C477640" w14:textId="77777777" w:rsidR="000D4994" w:rsidRDefault="000D4994" w:rsidP="000D4994">
                      <w:pPr>
                        <w:pStyle w:val="Heading2"/>
                        <w:rPr>
                          <w:lang w:val="en-GB"/>
                        </w:rPr>
                      </w:pPr>
                      <w:r>
                        <w:rPr>
                          <w:lang w:val="en-GB"/>
                        </w:rPr>
                        <w:t>Routine vaccination in Australia and our region</w:t>
                      </w:r>
                    </w:p>
                    <w:p w14:paraId="4C903217" w14:textId="77777777" w:rsidR="000D4994" w:rsidRDefault="000D4994" w:rsidP="000D4994">
                      <w:pPr>
                        <w:numPr>
                          <w:ilvl w:val="0"/>
                          <w:numId w:val="35"/>
                        </w:numPr>
                        <w:spacing w:before="100" w:beforeAutospacing="1" w:after="100" w:afterAutospacing="1" w:line="240" w:lineRule="auto"/>
                        <w:rPr>
                          <w:rFonts w:eastAsia="Times New Roman"/>
                          <w:lang w:val="en-GB"/>
                        </w:rPr>
                      </w:pPr>
                      <w:r>
                        <w:rPr>
                          <w:rFonts w:eastAsia="Times New Roman"/>
                          <w:lang w:val="en-GB"/>
                        </w:rPr>
                        <w:t>To advise on how to increase uptake of influenza vaccine, especially in young children, during and after the COVID-19 pandemic.</w:t>
                      </w:r>
                    </w:p>
                    <w:p w14:paraId="52DE8913" w14:textId="77777777" w:rsidR="000D4994" w:rsidRDefault="000D4994" w:rsidP="000D4994">
                      <w:pPr>
                        <w:numPr>
                          <w:ilvl w:val="0"/>
                          <w:numId w:val="35"/>
                        </w:numPr>
                        <w:spacing w:before="100" w:beforeAutospacing="1" w:after="100" w:afterAutospacing="1" w:line="240" w:lineRule="auto"/>
                        <w:rPr>
                          <w:rFonts w:eastAsia="Times New Roman"/>
                          <w:lang w:val="en-GB"/>
                        </w:rPr>
                      </w:pPr>
                      <w:r>
                        <w:rPr>
                          <w:rFonts w:eastAsia="Times New Roman"/>
                          <w:lang w:val="en-GB"/>
                        </w:rPr>
                        <w:t>To advise on how to prevent reintroduction or a surge in cases of a range of VPDs in Australia as international travel restrictions are lifted. COVID-19 has disrupted immunisation programs in many countries in our region and beyond, and there is a risk of reintroducing these VPDs into Australia.</w:t>
                      </w:r>
                    </w:p>
                    <w:p w14:paraId="3E3D8D3F" w14:textId="77777777" w:rsidR="000D4994" w:rsidRDefault="000D4994" w:rsidP="000D4994">
                      <w:pPr>
                        <w:pStyle w:val="Heading2"/>
                        <w:rPr>
                          <w:lang w:val="en-GB"/>
                        </w:rPr>
                      </w:pPr>
                      <w:r>
                        <w:rPr>
                          <w:lang w:val="en-GB"/>
                        </w:rPr>
                        <w:t>Monitoring and evaluation</w:t>
                      </w:r>
                    </w:p>
                    <w:p w14:paraId="6ED073BA" w14:textId="23AA31CE" w:rsidR="000D4994" w:rsidRPr="000D4994" w:rsidRDefault="000D4994" w:rsidP="000D4994">
                      <w:pPr>
                        <w:pStyle w:val="ListParagraph"/>
                        <w:numPr>
                          <w:ilvl w:val="0"/>
                          <w:numId w:val="39"/>
                        </w:numPr>
                        <w:rPr>
                          <w:rFonts w:eastAsia="Times New Roman"/>
                          <w:lang w:val="en-GB"/>
                        </w:rPr>
                      </w:pPr>
                      <w:r w:rsidRPr="00F92BF8">
                        <w:rPr>
                          <w:rFonts w:eastAsia="Times New Roman"/>
                          <w:lang w:val="en-GB"/>
                        </w:rPr>
                        <w:t>To advise on the need to set up an end-to-end system that can track and record every dose of distributed and administered vaccines in national and jurisdictional immunisation programs. This will improve vaccine allocation, minimise wastage, and help the assessment of vaccine effectiveness.</w:t>
                      </w:r>
                    </w:p>
                  </w:txbxContent>
                </v:textbox>
                <w10:anchorlock/>
              </v:shape>
            </w:pict>
          </mc:Fallback>
        </mc:AlternateContent>
      </w:r>
    </w:p>
    <w:p w14:paraId="4E669FA4" w14:textId="78079DA8" w:rsidR="00BE610E" w:rsidRPr="007A1CAC" w:rsidRDefault="00BE610E" w:rsidP="007A1CAC">
      <w:pPr>
        <w:pStyle w:val="Heading1"/>
      </w:pPr>
      <w:r w:rsidRPr="007A1CAC">
        <w:lastRenderedPageBreak/>
        <w:t xml:space="preserve">Acknowledgments </w:t>
      </w:r>
    </w:p>
    <w:p w14:paraId="52073177" w14:textId="77777777" w:rsidR="00BE610E" w:rsidRDefault="00BE610E" w:rsidP="007A1CAC">
      <w:r>
        <w:t xml:space="preserve">The authors </w:t>
      </w:r>
      <w:proofErr w:type="gramStart"/>
      <w:r>
        <w:t>wish to thank</w:t>
      </w:r>
      <w:proofErr w:type="gramEnd"/>
      <w:r>
        <w:t xml:space="preserve"> the following additional ATAGI members for their contributions: </w:t>
      </w:r>
    </w:p>
    <w:p w14:paraId="790188BB" w14:textId="77777777" w:rsidR="00BE610E" w:rsidRDefault="00BE610E" w:rsidP="007A1CAC">
      <w:r>
        <w:t xml:space="preserve">Ms Karen Bellamy, Prof. Katie Flanagan, Dr Katherine Gibney, Dr Penelope Burns, Prof. Cheryl Jones, Prof. Tony </w:t>
      </w:r>
      <w:proofErr w:type="spellStart"/>
      <w:r>
        <w:t>Korman</w:t>
      </w:r>
      <w:proofErr w:type="spellEnd"/>
      <w:r>
        <w:t xml:space="preserve">, A/ Prof. Bette Liu, Dr Nicholas Silberstein, Dr James Wood, Ms Diane Walsh, Prof. Tom Snelling, Ms Kristy Cooper, Dr Louise Flood, Prof. Andrew </w:t>
      </w:r>
      <w:proofErr w:type="gramStart"/>
      <w:r>
        <w:t>Wilson</w:t>
      </w:r>
      <w:proofErr w:type="gramEnd"/>
      <w:r>
        <w:t xml:space="preserve"> and Dr Robyn Gibbs. </w:t>
      </w:r>
    </w:p>
    <w:p w14:paraId="4AE75A5B" w14:textId="77777777" w:rsidR="00BE610E" w:rsidRDefault="00BE610E" w:rsidP="007A1CAC">
      <w:r>
        <w:t xml:space="preserve">The authors also </w:t>
      </w:r>
      <w:proofErr w:type="gramStart"/>
      <w:r>
        <w:t>wish to thank</w:t>
      </w:r>
      <w:proofErr w:type="gramEnd"/>
      <w:r>
        <w:t xml:space="preserve"> Dr Kate Alexander for her contributions to earlier drafts of this statement.</w:t>
      </w:r>
    </w:p>
    <w:p w14:paraId="2882289B" w14:textId="77777777" w:rsidR="00BE610E" w:rsidRPr="007A1CAC" w:rsidRDefault="00BE610E" w:rsidP="007A1CAC">
      <w:pPr>
        <w:pStyle w:val="Heading1"/>
      </w:pPr>
      <w:r w:rsidRPr="007A1CAC">
        <w:t xml:space="preserve">Author details </w:t>
      </w:r>
    </w:p>
    <w:p w14:paraId="245C8A18" w14:textId="77777777" w:rsidR="00BE610E" w:rsidRDefault="00BE610E" w:rsidP="007A1CAC">
      <w:r>
        <w:t>Catherine T Tran</w:t>
      </w:r>
      <w:r>
        <w:rPr>
          <w:vertAlign w:val="superscript"/>
        </w:rPr>
        <w:t>1</w:t>
      </w:r>
      <w:r>
        <w:t xml:space="preserve"> </w:t>
      </w:r>
    </w:p>
    <w:p w14:paraId="0D2A6EA6" w14:textId="77777777" w:rsidR="00BE610E" w:rsidRDefault="00BE610E" w:rsidP="007A1CAC">
      <w:r>
        <w:t>Madeline Valeri</w:t>
      </w:r>
      <w:r>
        <w:rPr>
          <w:vertAlign w:val="superscript"/>
        </w:rPr>
        <w:t>1</w:t>
      </w:r>
      <w:r>
        <w:t xml:space="preserve"> </w:t>
      </w:r>
    </w:p>
    <w:p w14:paraId="2FE38510" w14:textId="77777777" w:rsidR="00BE610E" w:rsidRDefault="00BE610E" w:rsidP="007A1CAC">
      <w:r>
        <w:t>Clayton Chiu</w:t>
      </w:r>
      <w:r>
        <w:rPr>
          <w:vertAlign w:val="superscript"/>
        </w:rPr>
        <w:t>1,2</w:t>
      </w:r>
      <w:r>
        <w:t xml:space="preserve"> </w:t>
      </w:r>
    </w:p>
    <w:p w14:paraId="4674777A" w14:textId="77777777" w:rsidR="00BE610E" w:rsidRDefault="00BE610E" w:rsidP="007A1CAC">
      <w:r>
        <w:t>Michelle L Giles</w:t>
      </w:r>
      <w:r>
        <w:rPr>
          <w:vertAlign w:val="superscript"/>
        </w:rPr>
        <w:t>3,4,5</w:t>
      </w:r>
      <w:r>
        <w:t xml:space="preserve"> </w:t>
      </w:r>
    </w:p>
    <w:p w14:paraId="7D1853CA" w14:textId="77777777" w:rsidR="00BE610E" w:rsidRDefault="00BE610E" w:rsidP="007A1CAC">
      <w:r>
        <w:t>Allen C Cheng</w:t>
      </w:r>
      <w:r>
        <w:rPr>
          <w:vertAlign w:val="superscript"/>
        </w:rPr>
        <w:t>3,6,7</w:t>
      </w:r>
      <w:r>
        <w:t xml:space="preserve"> </w:t>
      </w:r>
    </w:p>
    <w:p w14:paraId="29536FBC" w14:textId="77777777" w:rsidR="00BE610E" w:rsidRDefault="00BE610E" w:rsidP="007A1CAC">
      <w:r>
        <w:t>Kristine K Macartney</w:t>
      </w:r>
      <w:r>
        <w:rPr>
          <w:vertAlign w:val="superscript"/>
        </w:rPr>
        <w:t>1,2,3</w:t>
      </w:r>
      <w:r>
        <w:t xml:space="preserve"> </w:t>
      </w:r>
    </w:p>
    <w:p w14:paraId="00F242D0" w14:textId="77777777" w:rsidR="00BE610E" w:rsidRDefault="00BE610E" w:rsidP="007A1CAC">
      <w:r>
        <w:t>Christopher C Blyth</w:t>
      </w:r>
      <w:r>
        <w:rPr>
          <w:vertAlign w:val="superscript"/>
        </w:rPr>
        <w:t>3,8,9</w:t>
      </w:r>
      <w:r>
        <w:t xml:space="preserve"> </w:t>
      </w:r>
    </w:p>
    <w:p w14:paraId="68F9CBEC" w14:textId="77777777" w:rsidR="00BE610E" w:rsidRDefault="00BE610E" w:rsidP="007A1CAC">
      <w:r>
        <w:t>Nigel W Crawford</w:t>
      </w:r>
      <w:r>
        <w:rPr>
          <w:vertAlign w:val="superscript"/>
        </w:rPr>
        <w:t>3,10,11</w:t>
      </w:r>
      <w:r>
        <w:t xml:space="preserve"> </w:t>
      </w:r>
    </w:p>
    <w:p w14:paraId="52111CF0" w14:textId="77777777" w:rsidR="00BE610E" w:rsidRDefault="00BE610E" w:rsidP="007A1CAC">
      <w:r>
        <w:t xml:space="preserve">on behalf of the Australian Technical Advisory Group on Immunisation. </w:t>
      </w:r>
    </w:p>
    <w:p w14:paraId="75900052"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National Centre for Immunisation Research and Surveillance, Children’s Hospital at Westmead, Sydney, New South Wales, Australia </w:t>
      </w:r>
    </w:p>
    <w:p w14:paraId="30694187"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Discipline of Child and Adolescent Health, Sydney Medical School, University of Sydney, Sydney, New South Wales, Australia </w:t>
      </w:r>
    </w:p>
    <w:p w14:paraId="510395B5"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Australian Technical Advisory Group on Immunisation, Department of Health, Australian Government, Canberra, Australian Capital Territory, Australia </w:t>
      </w:r>
    </w:p>
    <w:p w14:paraId="11932D67"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Department of Obstetrics and Gynaecology, Monash University, Melbourne, Victoria, Australia </w:t>
      </w:r>
    </w:p>
    <w:p w14:paraId="56418A6E"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Department of Infectious Diseases, Doherty Institute for Infection and Immunity, Melbourne, Victoria, Australia </w:t>
      </w:r>
    </w:p>
    <w:p w14:paraId="2B6878C7"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Infection Prevention and Healthcare Epidemiology Unit, Alfred Health, Melbourne, Victoria, Australia </w:t>
      </w:r>
    </w:p>
    <w:p w14:paraId="61EE2376"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School of Public Health and Preventive Medicine, Monash University, Melbourne, Victoria, Australia </w:t>
      </w:r>
    </w:p>
    <w:p w14:paraId="07D3566A"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Wesfarmers Centre of Vaccines and </w:t>
      </w:r>
      <w:proofErr w:type="spellStart"/>
      <w:r w:rsidRPr="007A1CAC">
        <w:rPr>
          <w:rFonts w:eastAsia="Times New Roman"/>
        </w:rPr>
        <w:t>Infecetious</w:t>
      </w:r>
      <w:proofErr w:type="spellEnd"/>
      <w:r w:rsidRPr="007A1CAC">
        <w:rPr>
          <w:rFonts w:eastAsia="Times New Roman"/>
        </w:rPr>
        <w:t xml:space="preserve"> Diseases, Telethon Kids Institute and School of Medicine, University of Western Australia, Perth, Western Australia, Australia </w:t>
      </w:r>
    </w:p>
    <w:p w14:paraId="51A6CD3D"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Department of Infectious Diseases, Perth Children’s Hospital and </w:t>
      </w:r>
      <w:proofErr w:type="spellStart"/>
      <w:r w:rsidRPr="007A1CAC">
        <w:rPr>
          <w:rFonts w:eastAsia="Times New Roman"/>
        </w:rPr>
        <w:t>PathWest</w:t>
      </w:r>
      <w:proofErr w:type="spellEnd"/>
      <w:r w:rsidRPr="007A1CAC">
        <w:rPr>
          <w:rFonts w:eastAsia="Times New Roman"/>
        </w:rPr>
        <w:t xml:space="preserve"> Laboratory Medicine, QEII Medical Centre, Perth, Western Australia, Australia </w:t>
      </w:r>
    </w:p>
    <w:p w14:paraId="071C87DD"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Department of General Paediatrics, Royal Children’s Hospital, Melbourne, Victoria, Australia </w:t>
      </w:r>
    </w:p>
    <w:p w14:paraId="6C94CF92" w14:textId="77777777" w:rsidR="00BE610E" w:rsidRPr="007A1CAC" w:rsidRDefault="00BE610E" w:rsidP="007A1CAC">
      <w:pPr>
        <w:pStyle w:val="ListParagraph"/>
        <w:numPr>
          <w:ilvl w:val="0"/>
          <w:numId w:val="20"/>
        </w:numPr>
        <w:rPr>
          <w:rFonts w:eastAsia="Times New Roman"/>
        </w:rPr>
      </w:pPr>
      <w:r w:rsidRPr="007A1CAC">
        <w:rPr>
          <w:rFonts w:eastAsia="Times New Roman"/>
        </w:rPr>
        <w:t xml:space="preserve">Infection and Immunity, Murdoch Children’s Research Institute and University of Melbourne, Victoria, Australia </w:t>
      </w:r>
    </w:p>
    <w:p w14:paraId="20ED3FE9" w14:textId="77777777" w:rsidR="00C958A0" w:rsidRDefault="00C958A0">
      <w:pPr>
        <w:rPr>
          <w:rFonts w:asciiTheme="majorHAnsi" w:eastAsiaTheme="majorEastAsia" w:hAnsiTheme="majorHAnsi" w:cstheme="majorBidi"/>
          <w:b/>
          <w:bCs/>
          <w:sz w:val="26"/>
          <w:szCs w:val="26"/>
        </w:rPr>
      </w:pPr>
      <w:r>
        <w:br w:type="page"/>
      </w:r>
    </w:p>
    <w:p w14:paraId="23EC0D46" w14:textId="57382B98" w:rsidR="00BE610E" w:rsidRPr="007A1CAC" w:rsidRDefault="00BE610E" w:rsidP="007A1CAC">
      <w:pPr>
        <w:pStyle w:val="Heading2"/>
      </w:pPr>
      <w:r w:rsidRPr="007A1CAC">
        <w:lastRenderedPageBreak/>
        <w:t xml:space="preserve">Corresponding author </w:t>
      </w:r>
    </w:p>
    <w:p w14:paraId="31C60C60" w14:textId="77777777" w:rsidR="00BE610E" w:rsidRDefault="00BE610E" w:rsidP="007A1CAC">
      <w:r>
        <w:t xml:space="preserve">Australian Technical Advisory Group on Immunisation (ATAGI) secretariat, Immunisation Branch, Australian Government Department of Health and Aged Care, GPO Box 9848 – MDP 13, Canberra ACT 2601 </w:t>
      </w:r>
    </w:p>
    <w:p w14:paraId="15D57F77" w14:textId="77777777" w:rsidR="00BE610E" w:rsidRDefault="00BE610E" w:rsidP="007A1CAC">
      <w:r>
        <w:t>Email: atagi.secretariat@health.gov.au</w:t>
      </w:r>
    </w:p>
    <w:p w14:paraId="3A87C1BC" w14:textId="77777777" w:rsidR="00BE610E" w:rsidRPr="007A1CAC" w:rsidRDefault="00BE610E" w:rsidP="007A1CAC">
      <w:pPr>
        <w:pStyle w:val="Heading1"/>
      </w:pPr>
      <w:r w:rsidRPr="007A1CAC">
        <w:t xml:space="preserve">References </w:t>
      </w:r>
    </w:p>
    <w:p w14:paraId="05202A68"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clinical guidance for COVID-19 vaccine providers. [Internet.] Canberra: Australian Government Department of Health and Aged Care; 2022. Available from: https://www.health.gov.au/initiatives-and-programs/covid-19-vaccines/advice-for-providers/clinical-guidance. </w:t>
      </w:r>
    </w:p>
    <w:p w14:paraId="3E079AD8"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Resources for COVID-19 vaccine providers. [Internet.] Canberra: Australian Government Department of Health and Aged Care; 19 November 2021. Available from: https://www.health.gov.au/initiatives-and-programs/covid-19-vaccines/advice-for-providers/resources. </w:t>
      </w:r>
    </w:p>
    <w:p w14:paraId="44CC19C0"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COVID-19 vaccination – Patient resources. [Internet.] Canberra: Australian Government Department of Health and Aged Care; 2022. Available from: https://www.health.gov.au/resources/collections/covid-19-vaccination-patient-resources. </w:t>
      </w:r>
    </w:p>
    <w:p w14:paraId="6504A6F3"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COVID-19 vaccination information for Aboriginal and Torres Strait Islander people. [Internet.] Canberra: Australian Government Department of Health and Aged Care; 2022. Available from: https://www.health.gov.au/initiatives-and-programs/covid-19-vaccines/indigenous. </w:t>
      </w:r>
    </w:p>
    <w:p w14:paraId="7E85AE10"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Australian Technical Advisory Group on Immunisation (ATAGI). [Internet.] Canberra: Australian Government Department of Health and Aged Care; 2022. Available from: https://www.health.gov.au/committees-and-groups/australian-technical-advisory-group-on-immunisation-atagi. </w:t>
      </w:r>
    </w:p>
    <w:p w14:paraId="69738A54"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COVID-19 vaccination – Australian COVID-19 Vaccination Policy. [Internet.] Canberra: Australian Government Department of Health and Aged Care; 13 November 2020. Available from: https://www.health.gov.au/resources/publications/covid-19-vaccination-australian-covid-19-vaccination-policy. </w:t>
      </w:r>
    </w:p>
    <w:p w14:paraId="108EB5B9"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COVID-19 vaccination – Australia’s COVID-19 vaccine national roll-out strategy. [Internet.] Canberra: Australian Government Department of Health and Aged Care; 7 January 2021. Available from: https://www.health.gov.au/resources/publications/covid-19-vaccination-australias-covid-19-vaccine-national-roll-out-strategy. </w:t>
      </w:r>
    </w:p>
    <w:p w14:paraId="4DDE41B0"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statement on AstraZeneca vaccine in response to new vaccine safety concerns. [Internet.] Canberra: Australian Government Department of Health and Aged Care; 8 April 2021. Available from: https://www.health.gov.au/news/atagi-statement-on-astrazeneca-vaccine-in-response-to-new-vaccine-safety-concerns. </w:t>
      </w:r>
    </w:p>
    <w:p w14:paraId="628AE1B7"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statement on revised recommendations on the use of COVID-19 Vaccine AstraZeneca, 17 June 2021. [Internet.] Canberra: Australian Government Department of Health and Aged Care; 17 June 2021. Available from: https://www.health.gov.au/news/atagi-statement-on-revised-recommendations-on-the-use-of-covid-19-vaccine-astrazeneca-17-june-2021. </w:t>
      </w:r>
    </w:p>
    <w:p w14:paraId="05020F16"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statement on the use of COVID-19 vaccines in all young adolescents in Australia. [Internet.] Canberra: Australian Government Department of </w:t>
      </w:r>
      <w:r w:rsidRPr="007A1CAC">
        <w:rPr>
          <w:rFonts w:eastAsia="Times New Roman"/>
        </w:rPr>
        <w:lastRenderedPageBreak/>
        <w:t xml:space="preserve">Health and Aged Care; 27 August 2021. Available from: https://www.health.gov.au/news/atagi-statement-on-the-use-of-covid-19-vaccines-in-all-young-adolescents-in-australia. </w:t>
      </w:r>
    </w:p>
    <w:p w14:paraId="3B097E28"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statement on the use of a </w:t>
      </w:r>
      <w:proofErr w:type="gramStart"/>
      <w:r w:rsidRPr="007A1CAC">
        <w:rPr>
          <w:rFonts w:eastAsia="Times New Roman"/>
        </w:rPr>
        <w:t>3rd</w:t>
      </w:r>
      <w:proofErr w:type="gramEnd"/>
      <w:r w:rsidRPr="007A1CAC">
        <w:rPr>
          <w:rFonts w:eastAsia="Times New Roman"/>
        </w:rPr>
        <w:t xml:space="preserve"> primary dose of COVID-19 vaccine in individuals who are severely immunocompromised. [Internet.] Canberra: Australian Government Department of Health and Aged Care; 25 March 2022. Available from: https://www.health.gov.au/news/atagi-statement-on-the-use-of-a-3rd-primary-dose-of-covid-19-vaccine-in-individuals-who-are-severely-immunocompromised. </w:t>
      </w:r>
    </w:p>
    <w:p w14:paraId="7639A316"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recommendations on the use of a booster dose of COVID-19 vaccine. [Internet.] Canberra: Australian Government Department of Health and Aged Care; 25 March 2022. Available from: https://www.health.gov.au/resources/publications/atagi-recommendations-on-the-use-of-a-booster-dose-of-covid-19-vaccine. </w:t>
      </w:r>
    </w:p>
    <w:p w14:paraId="1C328C0A"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recommendations on Pfizer COVID-19 vaccine use in children aged 5 to 11 years. [Internet.] Canberra: Australian Government Department of Health and Aged Care; 9 December 2021. Available from: https://www.health.gov.au/resources/publications/atagi-recommendations-on-pfizer-covid-19-vaccine-use-in-children-aged-5-to-11-years. </w:t>
      </w:r>
    </w:p>
    <w:p w14:paraId="5A3317A6"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Therapeutic Goods </w:t>
      </w:r>
      <w:proofErr w:type="spellStart"/>
      <w:r w:rsidRPr="007A1CAC">
        <w:rPr>
          <w:rFonts w:eastAsia="Times New Roman"/>
        </w:rPr>
        <w:t>Adminsitration</w:t>
      </w:r>
      <w:proofErr w:type="spellEnd"/>
      <w:r w:rsidRPr="007A1CAC">
        <w:rPr>
          <w:rFonts w:eastAsia="Times New Roman"/>
        </w:rPr>
        <w:t xml:space="preserve"> (TGA). COVID-19 vaccine approval process. [Internet.] Canberra: Australian Government Department of Health and Aged Care, TGA; 6 July 2021. Available from: https://www.tga.gov.au/covid-19-vaccine-approval-process. </w:t>
      </w:r>
    </w:p>
    <w:p w14:paraId="751F2819"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National Immunisation Program (NIP) vaccine listing process. [Internet.] Canberra: Australian Government Department of Health and Aged Care; 18 December 2017. Available from: https://www.health.gov.au/resources/publications/national-immunisation-program-nip-vaccine-listing-process. </w:t>
      </w:r>
    </w:p>
    <w:p w14:paraId="47523D65"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TGA. International COVID-19 vaccines recognised by Australia. [Internet.] Canberra: Australian Government Department of Health and Aged Care, TGA; 16 May 2022. Available from: https://www.tga.gov.au/international-covid-19-vaccines-recognised-australia. </w:t>
      </w:r>
    </w:p>
    <w:p w14:paraId="390A1E57"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TGA. Australia’s COVID-19 vaccine safety monitoring system. [Internet.] Canberra: Australian Government Department of Health and Aged Care, TGA; 9 February 2021. Available from: https://www.tga.gov.au/australias-covid-19-vaccine-safety-monitoring-system. </w:t>
      </w:r>
    </w:p>
    <w:p w14:paraId="543AB07E"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TGA. COVID-19 vaccine safety monitoring plan. [Internet.] Canberra: Australian Government Department of Health and Aged Care, TGA; 9 February 2021. Available from: https://www.tga.gov.au/resource/covid-19-vaccine-safety-monitoring-plan. </w:t>
      </w:r>
    </w:p>
    <w:p w14:paraId="6A91B726"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TGA. COVID-19 vaccine safety report. [Website.] Canberra: Australian Government Department of Health and Aged Care, TGA; 2021. Available from: https://www.tga.gov.au/news/covid-19-vaccine-safety-reports. </w:t>
      </w:r>
    </w:p>
    <w:p w14:paraId="732C23CA"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Australian Technical Advisory Group on Immunisation (ATAGI) COVID-19 Working Group. [Internet.] Canberra: Australian Government Department of Health and Aged Care; 2022. Available from: https://www.health.gov.au/committees-and-groups/australian-technical-advisory-group-on-immunisation-atagi-covid-19-working-group. </w:t>
      </w:r>
    </w:p>
    <w:p w14:paraId="7F65E74D" w14:textId="77777777" w:rsidR="00BE610E" w:rsidRPr="007A1CAC" w:rsidRDefault="00BE610E" w:rsidP="007A1CAC">
      <w:pPr>
        <w:pStyle w:val="ListParagraph"/>
        <w:numPr>
          <w:ilvl w:val="0"/>
          <w:numId w:val="21"/>
        </w:numPr>
        <w:rPr>
          <w:rFonts w:eastAsia="Times New Roman"/>
        </w:rPr>
      </w:pPr>
      <w:proofErr w:type="spellStart"/>
      <w:r w:rsidRPr="007A1CAC">
        <w:rPr>
          <w:rFonts w:eastAsia="Times New Roman"/>
        </w:rPr>
        <w:t>AusVaxSafety</w:t>
      </w:r>
      <w:proofErr w:type="spellEnd"/>
      <w:r w:rsidRPr="007A1CAC">
        <w:rPr>
          <w:rFonts w:eastAsia="Times New Roman"/>
        </w:rPr>
        <w:t xml:space="preserve">. COVID-19 vaccines. [Internet.] Sydney: National Centre for Immunisation Research and Surveillance (NCIRS). Available from: https://ausvaxsafety.org.au/safety-data/covid-19-vaccines. </w:t>
      </w:r>
    </w:p>
    <w:p w14:paraId="03677CF9"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Thrombosis and Haemostasis Society of Australia and New Zealand (THANZ). COVID-19 related resources. [Internet.] Melbourne: THANZ; 2022. Available from: https://www.thanz.org.au/resources/covid-19. </w:t>
      </w:r>
    </w:p>
    <w:p w14:paraId="343203A5"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COVID-19 vaccination – Guidance on Myocarditis and Pericarditis after mRNA COVID-19 vaccines. [Internet.] Canberra: Australian Government Department of Health and Aged Care; 30 July 2021. Available from: </w:t>
      </w:r>
      <w:r w:rsidRPr="007A1CAC">
        <w:rPr>
          <w:rFonts w:eastAsia="Times New Roman"/>
        </w:rPr>
        <w:lastRenderedPageBreak/>
        <w:t xml:space="preserve">https://www.health.gov.au/resources/publications/covid-19-vaccination-guidance-on-myocarditis-and-pericarditis-after-mrna-covid-19-vaccines. </w:t>
      </w:r>
    </w:p>
    <w:p w14:paraId="7DC2AAB4"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Australian Influenza Surveillance Report and Activity Updates – 2021. [Internet.] Canberra: Australian Government, Department of Health and Aged Care; 2021. Available from: https://www1.health.gov.au/internet/main/publishing.nsf/Content/cda-ozflu-2021.htm. </w:t>
      </w:r>
    </w:p>
    <w:p w14:paraId="301BAC75"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Swift C, Dey A, Jayasinghe S, Brotherton J, Rashid H, Clark K et al. </w:t>
      </w:r>
      <w:r w:rsidRPr="00B01FF0">
        <w:rPr>
          <w:rStyle w:val="Emphasis"/>
          <w:rFonts w:eastAsia="Times New Roman"/>
          <w:b w:val="0"/>
          <w:bCs w:val="0"/>
        </w:rPr>
        <w:t>Impact evaluation of Australian national human papillomavirus vaccination program</w:t>
      </w:r>
      <w:r w:rsidRPr="007A1CAC">
        <w:rPr>
          <w:rFonts w:eastAsia="Times New Roman"/>
        </w:rPr>
        <w:t xml:space="preserve">. Sydney: NCIRS; February 2021. Available from: https://www.ncirs.org.au/sites/default/files/2021-11/Impact%20evaluation%20of%20national%20HPV%20vaccination%20program_February%202021%20Report_0.pdf. </w:t>
      </w:r>
    </w:p>
    <w:p w14:paraId="30B3E217"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National Health and Medical Research Council (NHMRC) Centre of Research Excellence in Cervical Cancer Control. </w:t>
      </w:r>
      <w:r w:rsidRPr="00B01FF0">
        <w:rPr>
          <w:rStyle w:val="Emphasis"/>
          <w:rFonts w:eastAsia="Times New Roman"/>
          <w:b w:val="0"/>
          <w:bCs w:val="0"/>
        </w:rPr>
        <w:t>Cervical Cancer Elimination Progress Report: Australia’s progress towards the elimination of cervical cancer as a public health problem</w:t>
      </w:r>
      <w:r w:rsidRPr="007A1CAC">
        <w:rPr>
          <w:rFonts w:eastAsia="Times New Roman"/>
        </w:rPr>
        <w:t xml:space="preserve">. Melbourne: NHMRC; 26 March 2021. Available from: https://www.cervicalcancercontrol.org.au/wp-content/uploads/2021/03/2021-C4-CRE-Elim-Report.pdf. </w:t>
      </w:r>
    </w:p>
    <w:p w14:paraId="7FF5612C"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HPV vaccine. HPV resources for health professionals. [Internet.] Melbourne: Cancer Council Victoria. Available from: https://www.hpvvaccine.org.au/health-professionals/health-professionals-resources.aspx. </w:t>
      </w:r>
    </w:p>
    <w:p w14:paraId="039DC681"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Whop LJ, Butler TL, Brotherton JML, Anderson K, Cunningham J, Tong A et al. Study protocol: </w:t>
      </w:r>
      <w:r w:rsidRPr="00B01FF0">
        <w:rPr>
          <w:rStyle w:val="Emphasis"/>
          <w:rFonts w:eastAsia="Times New Roman"/>
          <w:b w:val="0"/>
          <w:bCs w:val="0"/>
        </w:rPr>
        <w:t>Yarning about HPV Vaccination</w:t>
      </w:r>
      <w:r w:rsidRPr="007A1CAC">
        <w:rPr>
          <w:rFonts w:eastAsia="Times New Roman"/>
        </w:rPr>
        <w:t xml:space="preserve">: a qualitative study of factors influencing HPV vaccination among Aboriginal and Torres Strait Islander adolescents in Australia. </w:t>
      </w:r>
      <w:r w:rsidRPr="00B01FF0">
        <w:rPr>
          <w:rStyle w:val="Emphasis"/>
          <w:rFonts w:eastAsia="Times New Roman"/>
          <w:b w:val="0"/>
          <w:bCs w:val="0"/>
        </w:rPr>
        <w:t>BMJ Open</w:t>
      </w:r>
      <w:r w:rsidRPr="007A1CAC">
        <w:rPr>
          <w:rFonts w:eastAsia="Times New Roman"/>
        </w:rPr>
        <w:t>. 2021;11(8</w:t>
      </w:r>
      <w:proofErr w:type="gramStart"/>
      <w:r w:rsidRPr="007A1CAC">
        <w:rPr>
          <w:rFonts w:eastAsia="Times New Roman"/>
        </w:rPr>
        <w:t>):e</w:t>
      </w:r>
      <w:proofErr w:type="gramEnd"/>
      <w:r w:rsidRPr="007A1CAC">
        <w:rPr>
          <w:rFonts w:eastAsia="Times New Roman"/>
        </w:rPr>
        <w:t xml:space="preserve">047890. </w:t>
      </w:r>
      <w:proofErr w:type="spellStart"/>
      <w:r w:rsidRPr="007A1CAC">
        <w:rPr>
          <w:rFonts w:eastAsia="Times New Roman"/>
        </w:rPr>
        <w:t>doi</w:t>
      </w:r>
      <w:proofErr w:type="spellEnd"/>
      <w:r w:rsidRPr="007A1CAC">
        <w:rPr>
          <w:rFonts w:eastAsia="Times New Roman"/>
        </w:rPr>
        <w:t xml:space="preserve">: https://doi.org/10.1136/bmjopen-2020-04789. </w:t>
      </w:r>
    </w:p>
    <w:p w14:paraId="56D4FD88" w14:textId="77777777" w:rsidR="00BE610E" w:rsidRPr="007A1CAC" w:rsidRDefault="00BE610E" w:rsidP="007A1CAC">
      <w:pPr>
        <w:pStyle w:val="ListParagraph"/>
        <w:numPr>
          <w:ilvl w:val="0"/>
          <w:numId w:val="21"/>
        </w:numPr>
        <w:rPr>
          <w:rFonts w:eastAsia="Times New Roman"/>
        </w:rPr>
      </w:pPr>
      <w:proofErr w:type="spellStart"/>
      <w:r w:rsidRPr="007A1CAC">
        <w:rPr>
          <w:rFonts w:eastAsia="Times New Roman"/>
        </w:rPr>
        <w:t>Lowitja</w:t>
      </w:r>
      <w:proofErr w:type="spellEnd"/>
      <w:r w:rsidRPr="007A1CAC">
        <w:rPr>
          <w:rFonts w:eastAsia="Times New Roman"/>
        </w:rPr>
        <w:t xml:space="preserve"> Institute. Investigating cross-cultural responses to the introduction of the HPV vaccine. [Internet.] Melbourne: Australian Government Department of Industry, Innovation and Science, </w:t>
      </w:r>
      <w:proofErr w:type="spellStart"/>
      <w:r w:rsidRPr="007A1CAC">
        <w:rPr>
          <w:rFonts w:eastAsia="Times New Roman"/>
        </w:rPr>
        <w:t>Lowitja</w:t>
      </w:r>
      <w:proofErr w:type="spellEnd"/>
      <w:r w:rsidRPr="007A1CAC">
        <w:rPr>
          <w:rFonts w:eastAsia="Times New Roman"/>
        </w:rPr>
        <w:t xml:space="preserve"> Institute; 2008. Available from: https://www.lowitja.org.au/page/research/research-categories/science-and-health-conditions/health-conditions/completed-projects/cross-cultural-responses-hpv. </w:t>
      </w:r>
    </w:p>
    <w:p w14:paraId="440F2CDD"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McMillan M, Wang B, Koehler AP, Sullivan TR, Marshall HS. Impact of meningococcal B vaccine on invasive meningococcal disease in adolescents. </w:t>
      </w:r>
      <w:r w:rsidRPr="00B01FF0">
        <w:rPr>
          <w:rStyle w:val="Emphasis"/>
          <w:rFonts w:eastAsia="Times New Roman"/>
          <w:b w:val="0"/>
          <w:bCs w:val="0"/>
        </w:rPr>
        <w:t>Clin Infect Dis</w:t>
      </w:r>
      <w:r w:rsidRPr="007A1CAC">
        <w:rPr>
          <w:rFonts w:eastAsia="Times New Roman"/>
        </w:rPr>
        <w:t>. 2021;73(1</w:t>
      </w:r>
      <w:proofErr w:type="gramStart"/>
      <w:r w:rsidRPr="007A1CAC">
        <w:rPr>
          <w:rFonts w:eastAsia="Times New Roman"/>
        </w:rPr>
        <w:t>):e</w:t>
      </w:r>
      <w:proofErr w:type="gramEnd"/>
      <w:r w:rsidRPr="007A1CAC">
        <w:rPr>
          <w:rFonts w:eastAsia="Times New Roman"/>
        </w:rPr>
        <w:t xml:space="preserve">233–7. </w:t>
      </w:r>
      <w:proofErr w:type="spellStart"/>
      <w:r w:rsidRPr="007A1CAC">
        <w:rPr>
          <w:rFonts w:eastAsia="Times New Roman"/>
        </w:rPr>
        <w:t>doi</w:t>
      </w:r>
      <w:proofErr w:type="spellEnd"/>
      <w:r w:rsidRPr="007A1CAC">
        <w:rPr>
          <w:rFonts w:eastAsia="Times New Roman"/>
        </w:rPr>
        <w:t xml:space="preserve">: https://doi.org/10.1093/cid/ciaa1636. </w:t>
      </w:r>
    </w:p>
    <w:p w14:paraId="1538E7B0"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National Immunisation Program: Shingles vaccination catch-up program extended. [Internet.] Canberra: Australian Government Department of Health and Aged Care; 15 October 2021. Available from: https://www.health.gov.au/news/national-immunisation-program-shingles-vaccination-catch-up-program-extended. </w:t>
      </w:r>
    </w:p>
    <w:p w14:paraId="431D16C4"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ATAGI advice on seasonal influenza vaccines in 2021 – December 2021 update. [Internet.] Canberra: Australian Government Department of Health and Aged Care; 7 December 2021. Available from: https://www.health.gov.au/resources/publications/atagi-advice-on-seasonal-influenza-vaccines-in-2021-december-2021-update. </w:t>
      </w:r>
    </w:p>
    <w:p w14:paraId="4DFF3026"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Australian Immunisation Handbook. [Website.] Canberra: Australian Government Department of Health and Aged Care, ATAGI. Available from: https://immunisationhandbook.health.gov.au/. </w:t>
      </w:r>
    </w:p>
    <w:p w14:paraId="51E6FE91"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Department of Health and Aged Care. Statement on the clinical use of zoster vaccine in older adults in Australia. [Internet.] Canberra: Australian Government Department of Health and Aged Care; 5 July 2021. Available from: https://www.health.gov.au/resources/publications/statement-on-the-clinical-use-of-zoster-vaccine-in-older-adults-in-australia. </w:t>
      </w:r>
    </w:p>
    <w:p w14:paraId="25C0D592"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Australian Government. </w:t>
      </w:r>
      <w:r w:rsidRPr="00B01FF0">
        <w:rPr>
          <w:rStyle w:val="Emphasis"/>
          <w:rFonts w:eastAsia="Times New Roman"/>
          <w:b w:val="0"/>
          <w:bCs w:val="0"/>
        </w:rPr>
        <w:t>Australian Immunisation Register Amendment (Reporting) Act 2021</w:t>
      </w:r>
      <w:r w:rsidRPr="007A1CAC">
        <w:rPr>
          <w:rFonts w:eastAsia="Times New Roman"/>
        </w:rPr>
        <w:t xml:space="preserve">. [Legislation.] Canberra: Australian Government Federal Register of Legislation; 15 February 2021. Available from: https://www.legislation.gov.au/Details/C2021A00001. </w:t>
      </w:r>
    </w:p>
    <w:p w14:paraId="71CE1428" w14:textId="77777777" w:rsidR="00BE610E" w:rsidRPr="007A1CAC" w:rsidRDefault="00BE610E" w:rsidP="007A1CAC">
      <w:pPr>
        <w:pStyle w:val="ListParagraph"/>
        <w:numPr>
          <w:ilvl w:val="0"/>
          <w:numId w:val="21"/>
        </w:numPr>
        <w:rPr>
          <w:rFonts w:eastAsia="Times New Roman"/>
        </w:rPr>
      </w:pPr>
      <w:proofErr w:type="spellStart"/>
      <w:r w:rsidRPr="007A1CAC">
        <w:rPr>
          <w:rFonts w:eastAsia="Times New Roman"/>
        </w:rPr>
        <w:lastRenderedPageBreak/>
        <w:t>AusVaxSafety</w:t>
      </w:r>
      <w:proofErr w:type="spellEnd"/>
      <w:r w:rsidRPr="007A1CAC">
        <w:rPr>
          <w:rFonts w:eastAsia="Times New Roman"/>
        </w:rPr>
        <w:t xml:space="preserve">. </w:t>
      </w:r>
      <w:proofErr w:type="spellStart"/>
      <w:r w:rsidRPr="007A1CAC">
        <w:rPr>
          <w:rFonts w:eastAsia="Times New Roman"/>
        </w:rPr>
        <w:t>AusVax</w:t>
      </w:r>
      <w:proofErr w:type="spellEnd"/>
      <w:r w:rsidRPr="007A1CAC">
        <w:rPr>
          <w:rFonts w:eastAsia="Times New Roman"/>
        </w:rPr>
        <w:t xml:space="preserve"> Safety. [Website.] Sydney: NCIRS. Available from: https://ausvaxsafety.org.au/. </w:t>
      </w:r>
    </w:p>
    <w:p w14:paraId="09E845BC"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TGA. Safety advisory - careful assessment and screening for immunocompromise essential before administration of Zostavax. Regulatory context and recommended resources. [Internet.] Canberra: Australian Government Department of Health and Aged Care, TGA; 17 February 2022. Available from: https://www.tga.gov.au/alert/zostavax#:~:text=The%20TGA%20has%20published%20safety,of%20registration%20imposed%20in%20by. </w:t>
      </w:r>
    </w:p>
    <w:p w14:paraId="2EC7F2DF"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Australasian Society of Clinical Immunology and Allergy (ASCIA). Information updates. Safety Alert: Zostavax Vaccine – NOT to </w:t>
      </w:r>
      <w:proofErr w:type="gramStart"/>
      <w:r w:rsidRPr="007A1CAC">
        <w:rPr>
          <w:rFonts w:eastAsia="Times New Roman"/>
        </w:rPr>
        <w:t>be used</w:t>
      </w:r>
      <w:proofErr w:type="gramEnd"/>
      <w:r w:rsidRPr="007A1CAC">
        <w:rPr>
          <w:rFonts w:eastAsia="Times New Roman"/>
        </w:rPr>
        <w:t xml:space="preserve"> in people with compromised immune function. [Internet.] Sydney: ASCIA; 23 December 2020. Available from: https://www.allergy.org.au/about-ascia/info-updates/safety-alert-zostavax-vaccine-not-to-be-used-in-people-with-compromised-immune-function. </w:t>
      </w:r>
    </w:p>
    <w:p w14:paraId="47BD29FB" w14:textId="77777777" w:rsidR="00BE610E" w:rsidRPr="007A1CAC" w:rsidRDefault="00BE610E" w:rsidP="007A1CAC">
      <w:pPr>
        <w:pStyle w:val="ListParagraph"/>
        <w:numPr>
          <w:ilvl w:val="0"/>
          <w:numId w:val="21"/>
        </w:numPr>
        <w:rPr>
          <w:rFonts w:eastAsia="Times New Roman"/>
        </w:rPr>
      </w:pPr>
      <w:r w:rsidRPr="007A1CAC">
        <w:rPr>
          <w:rFonts w:eastAsia="Times New Roman"/>
        </w:rPr>
        <w:t xml:space="preserve">TGA. Zostavax vaccine. Safety measures to address risk of infection with the vaccine virus. [Internet.] Canberra: Australian Government Department of Health and Aged Care, TGA; 2 June 2021. Available from: https://www.tga.gov.au/alert/zostavax-vaccine-2. </w:t>
      </w:r>
    </w:p>
    <w:p w14:paraId="590A95B0" w14:textId="5BA7A305" w:rsidR="00C958A0" w:rsidRDefault="00BE610E" w:rsidP="00C958A0">
      <w:pPr>
        <w:pStyle w:val="ListParagraph"/>
        <w:numPr>
          <w:ilvl w:val="0"/>
          <w:numId w:val="21"/>
        </w:numPr>
        <w:rPr>
          <w:rFonts w:eastAsia="Times New Roman"/>
        </w:rPr>
      </w:pPr>
      <w:r w:rsidRPr="007A1CAC">
        <w:rPr>
          <w:rFonts w:eastAsia="Times New Roman"/>
        </w:rPr>
        <w:t>Australian Government Department of Health and Aged Care. ATAGI strategic intent. [Internet.] Canberra: Australian Government Department of Health and Aged Care; 10 September 2020. Available from: https://www.health.gov.au/resources/publications/atagi-strategic-intent.</w:t>
      </w:r>
    </w:p>
    <w:p w14:paraId="4925DDFE" w14:textId="77777777" w:rsidR="00C958A0" w:rsidRDefault="00C958A0">
      <w:pPr>
        <w:rPr>
          <w:rFonts w:eastAsia="Times New Roman"/>
        </w:rPr>
      </w:pPr>
      <w:r>
        <w:rPr>
          <w:rFonts w:eastAsia="Times New Roman"/>
        </w:rPr>
        <w:br w:type="page"/>
      </w:r>
    </w:p>
    <w:p w14:paraId="1D07A43E" w14:textId="77777777" w:rsidR="00BE610E" w:rsidRPr="007427FD" w:rsidRDefault="00BE610E" w:rsidP="007427FD">
      <w:pPr>
        <w:pStyle w:val="Heading1"/>
      </w:pPr>
      <w:r w:rsidRPr="007427FD">
        <w:lastRenderedPageBreak/>
        <w:t xml:space="preserve">Appendix A.1: about ATAGI </w:t>
      </w:r>
    </w:p>
    <w:p w14:paraId="4934B2AB" w14:textId="77777777" w:rsidR="00BE610E" w:rsidRDefault="00BE610E" w:rsidP="007427FD">
      <w:r>
        <w:t>The Australian Technical Advisory Group on Immunisation (ATAGI)</w:t>
      </w:r>
      <w:proofErr w:type="gramStart"/>
      <w:r>
        <w:rPr>
          <w:vertAlign w:val="superscript"/>
        </w:rPr>
        <w:t>5</w:t>
      </w:r>
      <w:proofErr w:type="gramEnd"/>
      <w:r>
        <w:t xml:space="preserve"> advises the Minister for Health and Aged Care on the National Immunisation Program and other immunisation issues. </w:t>
      </w:r>
    </w:p>
    <w:p w14:paraId="05B7234A" w14:textId="77777777" w:rsidR="00BE610E" w:rsidRDefault="00BE610E" w:rsidP="007427FD">
      <w:r>
        <w:t xml:space="preserve">ATAGI’s vision is to protect the Australian population from vaccine-preventable diseases (VPDs). This </w:t>
      </w:r>
      <w:proofErr w:type="gramStart"/>
      <w:r>
        <w:t>is shown</w:t>
      </w:r>
      <w:proofErr w:type="gramEnd"/>
      <w:r>
        <w:t xml:space="preserve"> in ATAGI’s strategic intent.</w:t>
      </w:r>
      <w:r>
        <w:rPr>
          <w:vertAlign w:val="superscript"/>
        </w:rPr>
        <w:t xml:space="preserve">40 </w:t>
      </w:r>
    </w:p>
    <w:p w14:paraId="5DD18734" w14:textId="77777777" w:rsidR="00BE610E" w:rsidRDefault="00BE610E" w:rsidP="007427FD">
      <w:r>
        <w:t xml:space="preserve">ATAGI’s purpose is to </w:t>
      </w:r>
      <w:proofErr w:type="gramStart"/>
      <w:r>
        <w:t>provide</w:t>
      </w:r>
      <w:proofErr w:type="gramEnd"/>
      <w:r>
        <w:t xml:space="preserve"> evidence-based advice to the Minister for Health and Aged Care and other key policymakers on immunisation policies, immunisation programs, and future research priorities. This includes identifying and prioritising gaps in the immunisation landscape to improve the impact of immunisation programs; to raise confidence in immunisation programs, as well as the vaccines used in the programs; and to boost equity in access to, and outcomes of, immunisation programs. </w:t>
      </w:r>
    </w:p>
    <w:p w14:paraId="4A3CAE02" w14:textId="77777777" w:rsidR="00BE610E" w:rsidRDefault="00BE610E" w:rsidP="007427FD">
      <w:r>
        <w:t>ATAGI also develops and publishes the Australian Immunisation Handbook.</w:t>
      </w:r>
      <w:r>
        <w:rPr>
          <w:vertAlign w:val="superscript"/>
        </w:rPr>
        <w:t>33</w:t>
      </w:r>
    </w:p>
    <w:p w14:paraId="004BB562" w14:textId="77777777" w:rsidR="008B5348" w:rsidRDefault="008B5348">
      <w:pPr>
        <w:rPr>
          <w:rStyle w:val="A10"/>
        </w:rPr>
        <w:sectPr w:rsidR="008B5348"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737A2A3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0B29A5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ED79DFF" w14:textId="77777777" w:rsidR="000A5F42" w:rsidRPr="000606CC" w:rsidRDefault="000A5F42" w:rsidP="000A5F42">
      <w:pPr>
        <w:pStyle w:val="NoSpacing"/>
        <w:rPr>
          <w:rStyle w:val="URI"/>
          <w:rFonts w:cstheme="minorHAnsi"/>
          <w:sz w:val="20"/>
          <w:szCs w:val="18"/>
        </w:rPr>
      </w:pPr>
    </w:p>
    <w:p w14:paraId="40D527C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4C64364A" w14:textId="77777777" w:rsidR="000A5F42" w:rsidRPr="000606CC" w:rsidRDefault="000A5F42" w:rsidP="000A5F42">
      <w:pPr>
        <w:pStyle w:val="NoSpacing"/>
        <w:rPr>
          <w:rStyle w:val="Strong"/>
          <w:rFonts w:cstheme="minorHAnsi"/>
          <w:sz w:val="20"/>
          <w:szCs w:val="18"/>
        </w:rPr>
      </w:pPr>
    </w:p>
    <w:p w14:paraId="3B83A0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3BBE1B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9CEE0C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0920E1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E3302A9" w14:textId="77777777" w:rsidR="000A5F42" w:rsidRPr="000606CC" w:rsidRDefault="000A5F42" w:rsidP="000A5F42">
      <w:pPr>
        <w:pStyle w:val="NoSpacing"/>
        <w:rPr>
          <w:rStyle w:val="Strong"/>
          <w:rFonts w:cstheme="minorHAnsi"/>
          <w:sz w:val="20"/>
          <w:szCs w:val="18"/>
        </w:rPr>
      </w:pPr>
    </w:p>
    <w:p w14:paraId="35F9EEBA" w14:textId="78C1735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0482D9C" w14:textId="77777777" w:rsidR="000A5F42" w:rsidRPr="000606CC" w:rsidRDefault="000A5F42" w:rsidP="000A5F42">
      <w:pPr>
        <w:pStyle w:val="NoSpacing"/>
        <w:rPr>
          <w:rStyle w:val="Strong"/>
          <w:rFonts w:cstheme="minorHAnsi"/>
          <w:sz w:val="20"/>
          <w:szCs w:val="18"/>
        </w:rPr>
      </w:pPr>
    </w:p>
    <w:p w14:paraId="7C0AA3E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F3F5DF1" w14:textId="77777777" w:rsidR="000A5F42" w:rsidRPr="000606CC" w:rsidRDefault="000A5F42" w:rsidP="000A5F42">
      <w:pPr>
        <w:pStyle w:val="NoSpacing"/>
        <w:rPr>
          <w:rStyle w:val="Strong"/>
          <w:rFonts w:cstheme="minorHAnsi"/>
          <w:sz w:val="20"/>
          <w:szCs w:val="18"/>
        </w:rPr>
      </w:pPr>
    </w:p>
    <w:p w14:paraId="7D03ABDB" w14:textId="22946FA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0E4F170" w14:textId="77777777" w:rsidR="000A5F42" w:rsidRPr="000606CC" w:rsidRDefault="000A5F42" w:rsidP="000A5F42">
      <w:pPr>
        <w:pStyle w:val="NoSpacing"/>
        <w:rPr>
          <w:rStyle w:val="Strong"/>
          <w:rFonts w:cstheme="minorHAnsi"/>
          <w:sz w:val="20"/>
          <w:szCs w:val="18"/>
        </w:rPr>
      </w:pPr>
    </w:p>
    <w:p w14:paraId="3A0F1959" w14:textId="55AE49F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04C45FE" w14:textId="057AFAA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926193C" w14:textId="77777777" w:rsidR="000A5F42" w:rsidRPr="000606CC" w:rsidRDefault="000A5F42" w:rsidP="000A5F42">
      <w:pPr>
        <w:pStyle w:val="NoSpacing"/>
        <w:pBdr>
          <w:bottom w:val="single" w:sz="6" w:space="1" w:color="auto"/>
        </w:pBdr>
        <w:rPr>
          <w:rStyle w:val="Strong"/>
          <w:rFonts w:cstheme="minorHAnsi"/>
          <w:sz w:val="12"/>
          <w:szCs w:val="18"/>
        </w:rPr>
      </w:pPr>
    </w:p>
    <w:p w14:paraId="05A2E54C" w14:textId="77777777" w:rsidR="000A5F42" w:rsidRPr="000606CC" w:rsidRDefault="000A5F42" w:rsidP="000A5F42">
      <w:pPr>
        <w:pStyle w:val="NoSpacing"/>
        <w:rPr>
          <w:rFonts w:cstheme="minorHAnsi"/>
          <w:sz w:val="20"/>
          <w:szCs w:val="18"/>
        </w:rPr>
      </w:pPr>
    </w:p>
    <w:p w14:paraId="5543478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111D2693" w14:textId="77777777" w:rsidR="000A5F42" w:rsidRPr="000606CC" w:rsidRDefault="000A5F42" w:rsidP="000A5F42">
      <w:pPr>
        <w:pStyle w:val="NoSpacing"/>
        <w:rPr>
          <w:rFonts w:cstheme="minorHAnsi"/>
          <w:sz w:val="20"/>
          <w:szCs w:val="18"/>
        </w:rPr>
      </w:pPr>
    </w:p>
    <w:p w14:paraId="265D7EE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BDAA29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35262">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D9D1F14" w14:textId="4F8195B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FBE0507" w14:textId="77777777" w:rsidR="000A5F42" w:rsidRPr="000606CC" w:rsidRDefault="000A5F42" w:rsidP="000A5F42">
      <w:pPr>
        <w:pStyle w:val="NoSpacing"/>
        <w:rPr>
          <w:rFonts w:cstheme="minorHAnsi"/>
          <w:sz w:val="20"/>
          <w:szCs w:val="18"/>
        </w:rPr>
      </w:pPr>
    </w:p>
    <w:p w14:paraId="47D3B15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F4626C0" w14:textId="66F7E33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14961A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735001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7514ED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549874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0D8C44F" w14:textId="77777777" w:rsidR="000A5F42" w:rsidRPr="000606CC" w:rsidRDefault="000A5F42" w:rsidP="000A5F42">
      <w:pPr>
        <w:pStyle w:val="NoSpacing"/>
        <w:rPr>
          <w:rStyle w:val="Strong"/>
          <w:rFonts w:cstheme="minorHAnsi"/>
          <w:sz w:val="20"/>
          <w:szCs w:val="18"/>
        </w:rPr>
      </w:pPr>
    </w:p>
    <w:p w14:paraId="36EFBFA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699136F" w14:textId="77777777" w:rsidR="000A5F42" w:rsidRPr="000606CC" w:rsidRDefault="000A5F42" w:rsidP="000A5F42">
      <w:pPr>
        <w:pStyle w:val="NoSpacing"/>
        <w:rPr>
          <w:rStyle w:val="Strong"/>
          <w:rFonts w:cstheme="minorHAnsi"/>
          <w:sz w:val="20"/>
          <w:szCs w:val="18"/>
        </w:rPr>
      </w:pPr>
    </w:p>
    <w:p w14:paraId="598B5D05" w14:textId="1DC722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27C5E89" w14:textId="77777777" w:rsidR="000A5F42" w:rsidRPr="000606CC" w:rsidRDefault="000A5F42" w:rsidP="000A5F42">
      <w:pPr>
        <w:pStyle w:val="NoSpacing"/>
        <w:rPr>
          <w:rStyle w:val="URI"/>
          <w:rFonts w:cstheme="minorHAnsi"/>
          <w:sz w:val="20"/>
          <w:szCs w:val="18"/>
        </w:rPr>
      </w:pPr>
    </w:p>
    <w:p w14:paraId="08437FD2" w14:textId="65A72DB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208B4ACC"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59812" w14:textId="77777777" w:rsidR="00135262" w:rsidRDefault="00135262" w:rsidP="00E54DBA">
      <w:r>
        <w:separator/>
      </w:r>
    </w:p>
    <w:p w14:paraId="41B7E3B3" w14:textId="77777777" w:rsidR="00135262" w:rsidRDefault="00135262"/>
    <w:p w14:paraId="46A718ED" w14:textId="77777777" w:rsidR="00135262" w:rsidRDefault="00135262" w:rsidP="008714B0"/>
  </w:endnote>
  <w:endnote w:type="continuationSeparator" w:id="0">
    <w:p w14:paraId="69043824" w14:textId="77777777" w:rsidR="00135262" w:rsidRDefault="00135262" w:rsidP="00E54DBA">
      <w:r>
        <w:continuationSeparator/>
      </w:r>
    </w:p>
    <w:p w14:paraId="61EAA155" w14:textId="77777777" w:rsidR="00135262" w:rsidRDefault="00135262"/>
    <w:p w14:paraId="013C1512" w14:textId="77777777" w:rsidR="00135262" w:rsidRDefault="0013526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37E02AF-A485-4BCA-9E6F-FAFDC4F101A7}"/>
    <w:embedBold r:id="rId2" w:fontKey="{51E39073-835B-4A07-AECB-46C5A12EA61D}"/>
    <w:embedItalic r:id="rId3" w:fontKey="{5907DC7D-DB7D-443D-B153-C4E532002C78}"/>
    <w:embedBoldItalic r:id="rId4" w:fontKey="{EB810F1E-5BA5-42A1-BAAB-CD84713054A1}"/>
  </w:font>
  <w:font w:name="Cambria">
    <w:panose1 w:val="02040503050406030204"/>
    <w:charset w:val="00"/>
    <w:family w:val="roman"/>
    <w:pitch w:val="variable"/>
    <w:sig w:usb0="E00006FF" w:usb1="420024FF" w:usb2="02000000" w:usb3="00000000" w:csb0="0000019F" w:csb1="00000000"/>
    <w:embedRegular r:id="rId5" w:fontKey="{2F8E083C-7FD6-42A1-91DC-4504D87618F9}"/>
    <w:embedBold r:id="rId6" w:fontKey="{F616E043-26EC-4EA8-9906-E6CD05553C45}"/>
    <w:embedItalic r:id="rId7" w:fontKey="{A9A2209B-FC82-4A72-875F-A703B05F7B59}"/>
    <w:embedBoldItalic r:id="rId8" w:fontKey="{86A730F0-14E0-453B-8023-A2FE452B2117}"/>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076146AF-41F5-4A87-A78E-30ED4FEB0D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2083" w14:textId="2D271D1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01FF0">
      <w:rPr>
        <w:i/>
        <w:sz w:val="18"/>
      </w:rPr>
      <w:t>Commun</w:t>
    </w:r>
    <w:proofErr w:type="spellEnd"/>
    <w:r w:rsidR="00CE342B" w:rsidRPr="00B01FF0">
      <w:rPr>
        <w:i/>
        <w:sz w:val="18"/>
      </w:rPr>
      <w:t xml:space="preserve"> Dis </w:t>
    </w:r>
    <w:proofErr w:type="spellStart"/>
    <w:r w:rsidR="00CE342B" w:rsidRPr="00B01FF0">
      <w:rPr>
        <w:i/>
        <w:sz w:val="18"/>
      </w:rPr>
      <w:t>Intell</w:t>
    </w:r>
    <w:proofErr w:type="spellEnd"/>
    <w:r w:rsidR="00CE342B" w:rsidRPr="00B01FF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35262">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35262">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A2B84">
      <w:rPr>
        <w:sz w:val="18"/>
      </w:rPr>
      <w:t>https://doi.org/10.33321/cdi.2022.46.67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A2B84">
      <w:rPr>
        <w:sz w:val="18"/>
      </w:rPr>
      <w:t>20/10/2022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876D" w14:textId="2A5F770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01FF0">
      <w:rPr>
        <w:i/>
        <w:sz w:val="18"/>
      </w:rPr>
      <w:t>Commun</w:t>
    </w:r>
    <w:proofErr w:type="spellEnd"/>
    <w:r w:rsidR="00A164D5" w:rsidRPr="00B01FF0">
      <w:rPr>
        <w:i/>
        <w:sz w:val="18"/>
      </w:rPr>
      <w:t xml:space="preserve"> Dis </w:t>
    </w:r>
    <w:proofErr w:type="spellStart"/>
    <w:r w:rsidR="00A164D5" w:rsidRPr="00B01FF0">
      <w:rPr>
        <w:i/>
        <w:sz w:val="18"/>
      </w:rPr>
      <w:t>Intell</w:t>
    </w:r>
    <w:proofErr w:type="spellEnd"/>
    <w:r w:rsidR="00A164D5" w:rsidRPr="00B01FF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35262">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35262">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A2B84">
      <w:rPr>
        <w:sz w:val="18"/>
      </w:rPr>
      <w:t>https://doi.org/10.33321/cdi.2022.46.67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AA2B84">
      <w:rPr>
        <w:sz w:val="18"/>
      </w:rPr>
      <w:t>20/10/2022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12DBB" w14:textId="77777777" w:rsidR="00135262" w:rsidRPr="00B91FB5" w:rsidRDefault="00135262" w:rsidP="00B91FB5">
      <w:pPr>
        <w:spacing w:after="0" w:line="240" w:lineRule="auto"/>
        <w:rPr>
          <w:sz w:val="18"/>
          <w:szCs w:val="18"/>
        </w:rPr>
      </w:pPr>
      <w:r w:rsidRPr="00B91FB5">
        <w:rPr>
          <w:sz w:val="18"/>
          <w:szCs w:val="18"/>
        </w:rPr>
        <w:separator/>
      </w:r>
    </w:p>
  </w:footnote>
  <w:footnote w:type="continuationSeparator" w:id="0">
    <w:p w14:paraId="3B2E4AAF" w14:textId="77777777" w:rsidR="00135262" w:rsidRDefault="00135262" w:rsidP="00E54DBA">
      <w:r>
        <w:continuationSeparator/>
      </w:r>
    </w:p>
  </w:footnote>
  <w:footnote w:type="continuationNotice" w:id="1">
    <w:p w14:paraId="1C380448" w14:textId="77777777" w:rsidR="00135262" w:rsidRPr="00224EFF" w:rsidRDefault="00135262" w:rsidP="00224EFF">
      <w:pPr>
        <w:pStyle w:val="Footer"/>
      </w:pPr>
    </w:p>
  </w:footnote>
  <w:footnote w:id="2">
    <w:p w14:paraId="726F60C2" w14:textId="7BF7D634" w:rsidR="006150D5" w:rsidRDefault="006150D5">
      <w:pPr>
        <w:pStyle w:val="FootnoteText"/>
      </w:pPr>
      <w:r>
        <w:rPr>
          <w:rStyle w:val="FootnoteReference"/>
        </w:rPr>
        <w:footnoteRef/>
      </w:r>
      <w:r>
        <w:t xml:space="preserve"> </w:t>
      </w:r>
      <w:r w:rsidRPr="006150D5">
        <w:t>https://immunisationhandbook.health.gov.au/contents/vaccine-preventable-diseases/rabies-and-other-lyssaviruses.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5260" w14:textId="397F0BD0" w:rsidR="00257484" w:rsidRPr="00A153B6" w:rsidRDefault="00AA2B8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D6908">
          <w:t>Notice to readers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160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F282F52" wp14:editId="33AC26D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5A4"/>
    <w:multiLevelType w:val="hybridMultilevel"/>
    <w:tmpl w:val="11CC1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6069AD"/>
    <w:multiLevelType w:val="multilevel"/>
    <w:tmpl w:val="B3D4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41EBD"/>
    <w:multiLevelType w:val="multilevel"/>
    <w:tmpl w:val="DB7A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23065"/>
    <w:multiLevelType w:val="hybridMultilevel"/>
    <w:tmpl w:val="8F44B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8C1DA1"/>
    <w:multiLevelType w:val="multilevel"/>
    <w:tmpl w:val="BF2E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D20E2"/>
    <w:multiLevelType w:val="multilevel"/>
    <w:tmpl w:val="6B5E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B359C"/>
    <w:multiLevelType w:val="hybridMultilevel"/>
    <w:tmpl w:val="CB46DB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467E02"/>
    <w:multiLevelType w:val="hybridMultilevel"/>
    <w:tmpl w:val="AB8830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172089"/>
    <w:multiLevelType w:val="multilevel"/>
    <w:tmpl w:val="CC28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A0F50"/>
    <w:multiLevelType w:val="multilevel"/>
    <w:tmpl w:val="3EE0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704116"/>
    <w:multiLevelType w:val="multilevel"/>
    <w:tmpl w:val="374C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F5616"/>
    <w:multiLevelType w:val="hybridMultilevel"/>
    <w:tmpl w:val="B7F84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43040E"/>
    <w:multiLevelType w:val="hybridMultilevel"/>
    <w:tmpl w:val="57802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446EB4"/>
    <w:multiLevelType w:val="multilevel"/>
    <w:tmpl w:val="A2CE6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B50BC2"/>
    <w:multiLevelType w:val="multilevel"/>
    <w:tmpl w:val="9716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A094B"/>
    <w:multiLevelType w:val="multilevel"/>
    <w:tmpl w:val="47C2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25E9B"/>
    <w:multiLevelType w:val="hybridMultilevel"/>
    <w:tmpl w:val="72162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A720E7"/>
    <w:multiLevelType w:val="hybridMultilevel"/>
    <w:tmpl w:val="EC2A90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0651241"/>
    <w:multiLevelType w:val="multilevel"/>
    <w:tmpl w:val="DE5C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264743"/>
    <w:multiLevelType w:val="hybridMultilevel"/>
    <w:tmpl w:val="2424C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4734B2"/>
    <w:multiLevelType w:val="multilevel"/>
    <w:tmpl w:val="97D4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177F0"/>
    <w:multiLevelType w:val="hybridMultilevel"/>
    <w:tmpl w:val="16589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BD26E7"/>
    <w:multiLevelType w:val="hybridMultilevel"/>
    <w:tmpl w:val="6CB82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CA6E39"/>
    <w:multiLevelType w:val="hybridMultilevel"/>
    <w:tmpl w:val="9F40E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3C5E47"/>
    <w:multiLevelType w:val="hybridMultilevel"/>
    <w:tmpl w:val="337C6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6B3055"/>
    <w:multiLevelType w:val="hybridMultilevel"/>
    <w:tmpl w:val="C12C4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263661"/>
    <w:multiLevelType w:val="hybridMultilevel"/>
    <w:tmpl w:val="E8EC6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FB124F"/>
    <w:multiLevelType w:val="multilevel"/>
    <w:tmpl w:val="2A86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0A4F7F"/>
    <w:multiLevelType w:val="multilevel"/>
    <w:tmpl w:val="E9D0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7C68D4"/>
    <w:multiLevelType w:val="multilevel"/>
    <w:tmpl w:val="D65E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FA084B"/>
    <w:multiLevelType w:val="multilevel"/>
    <w:tmpl w:val="C3BA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BC070C"/>
    <w:multiLevelType w:val="multilevel"/>
    <w:tmpl w:val="0D8C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6A65B3"/>
    <w:multiLevelType w:val="multilevel"/>
    <w:tmpl w:val="8A54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2"/>
  </w:num>
  <w:num w:numId="3">
    <w:abstractNumId w:val="23"/>
  </w:num>
  <w:num w:numId="4">
    <w:abstractNumId w:val="13"/>
  </w:num>
  <w:num w:numId="5">
    <w:abstractNumId w:val="32"/>
  </w:num>
  <w:num w:numId="6">
    <w:abstractNumId w:val="34"/>
  </w:num>
  <w:num w:numId="7">
    <w:abstractNumId w:val="10"/>
  </w:num>
  <w:num w:numId="8">
    <w:abstractNumId w:val="14"/>
  </w:num>
  <w:num w:numId="9">
    <w:abstractNumId w:val="16"/>
  </w:num>
  <w:num w:numId="10">
    <w:abstractNumId w:val="38"/>
  </w:num>
  <w:num w:numId="11">
    <w:abstractNumId w:val="35"/>
  </w:num>
  <w:num w:numId="12">
    <w:abstractNumId w:val="1"/>
  </w:num>
  <w:num w:numId="13">
    <w:abstractNumId w:val="24"/>
  </w:num>
  <w:num w:numId="14">
    <w:abstractNumId w:val="36"/>
  </w:num>
  <w:num w:numId="15">
    <w:abstractNumId w:val="9"/>
  </w:num>
  <w:num w:numId="16">
    <w:abstractNumId w:val="2"/>
  </w:num>
  <w:num w:numId="17">
    <w:abstractNumId w:val="33"/>
  </w:num>
  <w:num w:numId="18">
    <w:abstractNumId w:val="17"/>
  </w:num>
  <w:num w:numId="19">
    <w:abstractNumId w:val="27"/>
  </w:num>
  <w:num w:numId="20">
    <w:abstractNumId w:val="19"/>
  </w:num>
  <w:num w:numId="21">
    <w:abstractNumId w:val="7"/>
  </w:num>
  <w:num w:numId="22">
    <w:abstractNumId w:val="3"/>
  </w:num>
  <w:num w:numId="23">
    <w:abstractNumId w:val="25"/>
  </w:num>
  <w:num w:numId="24">
    <w:abstractNumId w:val="11"/>
  </w:num>
  <w:num w:numId="25">
    <w:abstractNumId w:val="0"/>
  </w:num>
  <w:num w:numId="26">
    <w:abstractNumId w:val="21"/>
  </w:num>
  <w:num w:numId="27">
    <w:abstractNumId w:val="12"/>
  </w:num>
  <w:num w:numId="28">
    <w:abstractNumId w:val="26"/>
  </w:num>
  <w:num w:numId="29">
    <w:abstractNumId w:val="29"/>
  </w:num>
  <w:num w:numId="30">
    <w:abstractNumId w:val="18"/>
  </w:num>
  <w:num w:numId="31">
    <w:abstractNumId w:val="4"/>
  </w:num>
  <w:num w:numId="32">
    <w:abstractNumId w:val="37"/>
  </w:num>
  <w:num w:numId="33">
    <w:abstractNumId w:val="8"/>
  </w:num>
  <w:num w:numId="34">
    <w:abstractNumId w:val="31"/>
  </w:num>
  <w:num w:numId="35">
    <w:abstractNumId w:val="20"/>
  </w:num>
  <w:num w:numId="36">
    <w:abstractNumId w:val="5"/>
  </w:num>
  <w:num w:numId="37">
    <w:abstractNumId w:val="6"/>
  </w:num>
  <w:num w:numId="38">
    <w:abstractNumId w:val="30"/>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62"/>
    <w:rsid w:val="00000B5B"/>
    <w:rsid w:val="00001611"/>
    <w:rsid w:val="000104A8"/>
    <w:rsid w:val="0001246E"/>
    <w:rsid w:val="000124B1"/>
    <w:rsid w:val="00016FE6"/>
    <w:rsid w:val="00031064"/>
    <w:rsid w:val="00031692"/>
    <w:rsid w:val="00032531"/>
    <w:rsid w:val="000325A0"/>
    <w:rsid w:val="000471BF"/>
    <w:rsid w:val="00047B68"/>
    <w:rsid w:val="00052600"/>
    <w:rsid w:val="00054A51"/>
    <w:rsid w:val="0005643C"/>
    <w:rsid w:val="0006264A"/>
    <w:rsid w:val="0006504F"/>
    <w:rsid w:val="00073D77"/>
    <w:rsid w:val="00081655"/>
    <w:rsid w:val="000864E0"/>
    <w:rsid w:val="000969B3"/>
    <w:rsid w:val="000A0F7A"/>
    <w:rsid w:val="000A5F42"/>
    <w:rsid w:val="000D4994"/>
    <w:rsid w:val="000D4B4D"/>
    <w:rsid w:val="0011378D"/>
    <w:rsid w:val="00113D58"/>
    <w:rsid w:val="001200CB"/>
    <w:rsid w:val="00135262"/>
    <w:rsid w:val="001378A3"/>
    <w:rsid w:val="001554A7"/>
    <w:rsid w:val="00155582"/>
    <w:rsid w:val="00161590"/>
    <w:rsid w:val="00171CC0"/>
    <w:rsid w:val="001723AC"/>
    <w:rsid w:val="00175494"/>
    <w:rsid w:val="00175629"/>
    <w:rsid w:val="001830EC"/>
    <w:rsid w:val="00183534"/>
    <w:rsid w:val="001849B7"/>
    <w:rsid w:val="001A2656"/>
    <w:rsid w:val="001A4A96"/>
    <w:rsid w:val="001A5D05"/>
    <w:rsid w:val="001A796C"/>
    <w:rsid w:val="001B2614"/>
    <w:rsid w:val="001B37B8"/>
    <w:rsid w:val="001B552F"/>
    <w:rsid w:val="001C0893"/>
    <w:rsid w:val="001C1303"/>
    <w:rsid w:val="001C70B2"/>
    <w:rsid w:val="001D37C7"/>
    <w:rsid w:val="001D6888"/>
    <w:rsid w:val="001D6908"/>
    <w:rsid w:val="001E4E1D"/>
    <w:rsid w:val="00224EFF"/>
    <w:rsid w:val="002276DC"/>
    <w:rsid w:val="00227E00"/>
    <w:rsid w:val="002307CB"/>
    <w:rsid w:val="00230FE7"/>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49C7"/>
    <w:rsid w:val="002F327B"/>
    <w:rsid w:val="00301626"/>
    <w:rsid w:val="003059EC"/>
    <w:rsid w:val="00316CCD"/>
    <w:rsid w:val="00324F7E"/>
    <w:rsid w:val="003323BC"/>
    <w:rsid w:val="00346D42"/>
    <w:rsid w:val="00346E11"/>
    <w:rsid w:val="003601C0"/>
    <w:rsid w:val="003635F5"/>
    <w:rsid w:val="00372A88"/>
    <w:rsid w:val="00381A0F"/>
    <w:rsid w:val="003837DC"/>
    <w:rsid w:val="003A1B3A"/>
    <w:rsid w:val="003A40F5"/>
    <w:rsid w:val="003A79A4"/>
    <w:rsid w:val="003B5B8C"/>
    <w:rsid w:val="003C7841"/>
    <w:rsid w:val="003D79B1"/>
    <w:rsid w:val="003E74EE"/>
    <w:rsid w:val="003F0552"/>
    <w:rsid w:val="003F3BC2"/>
    <w:rsid w:val="003F725B"/>
    <w:rsid w:val="00401ED1"/>
    <w:rsid w:val="0040224C"/>
    <w:rsid w:val="00413911"/>
    <w:rsid w:val="00413EE1"/>
    <w:rsid w:val="004164BB"/>
    <w:rsid w:val="0042000E"/>
    <w:rsid w:val="00421ECE"/>
    <w:rsid w:val="00422FEB"/>
    <w:rsid w:val="0042435E"/>
    <w:rsid w:val="0042750A"/>
    <w:rsid w:val="004315F5"/>
    <w:rsid w:val="00433456"/>
    <w:rsid w:val="00433DFA"/>
    <w:rsid w:val="00435D67"/>
    <w:rsid w:val="00464A58"/>
    <w:rsid w:val="00473D2D"/>
    <w:rsid w:val="004A2125"/>
    <w:rsid w:val="004A38F6"/>
    <w:rsid w:val="004B2B37"/>
    <w:rsid w:val="004B4EB6"/>
    <w:rsid w:val="004C083C"/>
    <w:rsid w:val="004C67C6"/>
    <w:rsid w:val="004D29DE"/>
    <w:rsid w:val="00510EAC"/>
    <w:rsid w:val="00542A57"/>
    <w:rsid w:val="00565974"/>
    <w:rsid w:val="00571905"/>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150D5"/>
    <w:rsid w:val="00615BFA"/>
    <w:rsid w:val="00620768"/>
    <w:rsid w:val="0062594B"/>
    <w:rsid w:val="00631406"/>
    <w:rsid w:val="006324FF"/>
    <w:rsid w:val="006351D6"/>
    <w:rsid w:val="00636E0D"/>
    <w:rsid w:val="0064142F"/>
    <w:rsid w:val="00643CB4"/>
    <w:rsid w:val="00656427"/>
    <w:rsid w:val="00660255"/>
    <w:rsid w:val="00663EA5"/>
    <w:rsid w:val="00681182"/>
    <w:rsid w:val="00682796"/>
    <w:rsid w:val="006971F3"/>
    <w:rsid w:val="006B29B4"/>
    <w:rsid w:val="006C74A3"/>
    <w:rsid w:val="006D1381"/>
    <w:rsid w:val="006D31BC"/>
    <w:rsid w:val="006E7943"/>
    <w:rsid w:val="006F24EA"/>
    <w:rsid w:val="00704CA9"/>
    <w:rsid w:val="0071048D"/>
    <w:rsid w:val="00710F86"/>
    <w:rsid w:val="007111A8"/>
    <w:rsid w:val="00721C46"/>
    <w:rsid w:val="00731BC3"/>
    <w:rsid w:val="007370A0"/>
    <w:rsid w:val="00741192"/>
    <w:rsid w:val="007427FD"/>
    <w:rsid w:val="00743A33"/>
    <w:rsid w:val="00746080"/>
    <w:rsid w:val="0075144A"/>
    <w:rsid w:val="00786329"/>
    <w:rsid w:val="00792C7D"/>
    <w:rsid w:val="00794A4D"/>
    <w:rsid w:val="007A1CAC"/>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4FB"/>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55CD"/>
    <w:rsid w:val="0092746F"/>
    <w:rsid w:val="00935DC9"/>
    <w:rsid w:val="00941D02"/>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75D"/>
    <w:rsid w:val="00A86F9A"/>
    <w:rsid w:val="00AA2B84"/>
    <w:rsid w:val="00AA35E6"/>
    <w:rsid w:val="00AA50B6"/>
    <w:rsid w:val="00AB3472"/>
    <w:rsid w:val="00AD0762"/>
    <w:rsid w:val="00AE0209"/>
    <w:rsid w:val="00AE3DCF"/>
    <w:rsid w:val="00AE4452"/>
    <w:rsid w:val="00AE7C38"/>
    <w:rsid w:val="00B01F99"/>
    <w:rsid w:val="00B01FF0"/>
    <w:rsid w:val="00B02B37"/>
    <w:rsid w:val="00B05276"/>
    <w:rsid w:val="00B132DB"/>
    <w:rsid w:val="00B31427"/>
    <w:rsid w:val="00B33861"/>
    <w:rsid w:val="00B37A24"/>
    <w:rsid w:val="00B40DE2"/>
    <w:rsid w:val="00B42404"/>
    <w:rsid w:val="00B50210"/>
    <w:rsid w:val="00B53955"/>
    <w:rsid w:val="00B6408A"/>
    <w:rsid w:val="00B6478A"/>
    <w:rsid w:val="00B714B8"/>
    <w:rsid w:val="00B82C2C"/>
    <w:rsid w:val="00B8720B"/>
    <w:rsid w:val="00B876EF"/>
    <w:rsid w:val="00B91FB5"/>
    <w:rsid w:val="00BA27D5"/>
    <w:rsid w:val="00BA4697"/>
    <w:rsid w:val="00BB5378"/>
    <w:rsid w:val="00BC0BD3"/>
    <w:rsid w:val="00BD0107"/>
    <w:rsid w:val="00BD0D9A"/>
    <w:rsid w:val="00BE0C33"/>
    <w:rsid w:val="00BE262C"/>
    <w:rsid w:val="00BE4C25"/>
    <w:rsid w:val="00BE610E"/>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958A0"/>
    <w:rsid w:val="00CA1AF4"/>
    <w:rsid w:val="00CA6068"/>
    <w:rsid w:val="00CB15E1"/>
    <w:rsid w:val="00CB3D46"/>
    <w:rsid w:val="00CB4C3D"/>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60BF"/>
    <w:rsid w:val="00DA6E56"/>
    <w:rsid w:val="00DA78DD"/>
    <w:rsid w:val="00DB1C65"/>
    <w:rsid w:val="00DC24E5"/>
    <w:rsid w:val="00DC6705"/>
    <w:rsid w:val="00DD2DE8"/>
    <w:rsid w:val="00DE38B4"/>
    <w:rsid w:val="00DE5D02"/>
    <w:rsid w:val="00DE718D"/>
    <w:rsid w:val="00DF013B"/>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2BF8"/>
    <w:rsid w:val="00FB0D24"/>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F76075B"/>
  <w15:docId w15:val="{A2FA2FBB-6A5E-45F5-B8C9-BFFA0123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table" w:customStyle="1" w:styleId="CDI-StandardTable1">
    <w:name w:val="CDI - Standard Table1"/>
    <w:basedOn w:val="TableNormal"/>
    <w:uiPriority w:val="99"/>
    <w:rsid w:val="004B2B37"/>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5344</Words>
  <Characters>35758</Characters>
  <Application>Microsoft Office Word</Application>
  <DocSecurity>0</DocSecurity>
  <Lines>297</Lines>
  <Paragraphs>82</Paragraphs>
  <ScaleCrop>false</ScaleCrop>
  <HeadingPairs>
    <vt:vector size="2" baseType="variant">
      <vt:variant>
        <vt:lpstr>Title</vt:lpstr>
      </vt:variant>
      <vt:variant>
        <vt:i4>1</vt:i4>
      </vt:variant>
    </vt:vector>
  </HeadingPairs>
  <TitlesOfParts>
    <vt:vector size="1" baseType="lpstr">
      <vt:lpstr>Communicable Diseases Intelligence - ATAGI 2022 Annual Statement on Immunisation</vt:lpstr>
    </vt:vector>
  </TitlesOfParts>
  <Company>Australian Government, Department of Health</Company>
  <LinksUpToDate>false</LinksUpToDate>
  <CharactersWithSpaces>41020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2022 Annual Statement on Immunisation</dc:title>
  <dc:subject>The Australian Technical Advisory Group on Immunisation (ATAGI) 2022 Annual Statement on Immunisation highlights the key successes, trends and challenges in the use of vaccines and control of vaccine preventable diseases (VPDs) in Australia in 2021. It also signals ATAGI’s priority actions for addressing key issues for 2022 and beyond.</dc:subject>
  <dc:creator>Catherine T Tran, Madeline Valeri, Clayton Chiu, Michelle L Giles, Allen C Cheng, Kristine K Macartney, Christopher C Blyth,  Nigel W Crawford on behalf of the Australian Technical Advisory Group on Immunisation</dc:creator>
  <dc:description>© Commonwealth of Australia CC BY-NC-ND ISSN: 2209-6051 (Online)</dc:description>
  <cp:lastModifiedBy>YOUSEFI, Kasra</cp:lastModifiedBy>
  <cp:revision>4</cp:revision>
  <cp:lastPrinted>2018-05-10T02:19:00Z</cp:lastPrinted>
  <dcterms:created xsi:type="dcterms:W3CDTF">2022-09-25T23:56:00Z</dcterms:created>
  <dcterms:modified xsi:type="dcterms:W3CDTF">2022-10-16T23:48:00Z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20/10/2022</vt:lpwstr>
  </property>
  <property fmtid="{D5CDD505-2E9C-101B-9397-08002B2CF9AE}" pid="5" name="DOI">
    <vt:lpwstr>https://doi.org/10.33321/cdi.2022.46.67</vt:lpwstr>
  </property>
</Properties>
</file>