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C6955" w14:textId="2DBD6110" w:rsidR="008B5348" w:rsidRPr="00472271" w:rsidRDefault="00BB3AF1" w:rsidP="00BB3AF1">
      <w:pPr>
        <w:pStyle w:val="Title"/>
        <w:rPr>
          <w:sz w:val="48"/>
          <w:szCs w:val="48"/>
        </w:rPr>
      </w:pPr>
      <w:r w:rsidRPr="00472271">
        <w:rPr>
          <w:sz w:val="48"/>
          <w:szCs w:val="48"/>
        </w:rPr>
        <w:t>World Antimicrobial Awareness Week (WAAW) Symposium: 18 November 2022</w:t>
      </w:r>
    </w:p>
    <w:p w14:paraId="4F55C16D" w14:textId="77777777" w:rsidR="00BB3AF1" w:rsidRDefault="00BB3AF1" w:rsidP="00BB3AF1">
      <w:r>
        <w:t xml:space="preserve">The National Centre for Antimicrobial Stewardship (NCAS) is convening a World Antimicrobial Awareness Week symposium on Friday 18 November, hosted by the Peter Doherty Institute for Infection and Immunity in Melbourne, Victoria. Further details of the symposium, which is to be both face-to-face and virtual, can be found at </w:t>
      </w:r>
      <w:r>
        <w:rPr>
          <w:u w:val="single"/>
        </w:rPr>
        <w:t>https://www.ncas-australia.org/antimicrobial-awareness-week-2022</w:t>
      </w:r>
      <w:r>
        <w:t xml:space="preserve">. </w:t>
      </w:r>
    </w:p>
    <w:p w14:paraId="27EA5175" w14:textId="77777777" w:rsidR="00BB3AF1" w:rsidRDefault="00BB3AF1" w:rsidP="00BB3AF1">
      <w:r>
        <w:t xml:space="preserve">A series of free online workshop webinars is associated with the symposium. Details for these events, which will be held from Monday 21 to Thursday 24 November, can also be found on the symposium website. </w:t>
      </w:r>
    </w:p>
    <w:p w14:paraId="55417190" w14:textId="25B05B6C" w:rsidR="00BB3AF1" w:rsidRPr="00BB3AF1" w:rsidRDefault="00BB3AF1" w:rsidP="00BB3AF1">
      <w:r>
        <w:t>The theme for the symposium and workshop webinars is ‘A learning health systems approach to antimicrobial stewardship'.</w:t>
      </w:r>
    </w:p>
    <w:p w14:paraId="7C71BF3C" w14:textId="77777777" w:rsidR="008B5348" w:rsidRDefault="008B5348">
      <w:pPr>
        <w:rPr>
          <w:rStyle w:val="A10"/>
        </w:rPr>
      </w:pPr>
      <w:r>
        <w:rPr>
          <w:rStyle w:val="A10"/>
        </w:rPr>
        <w:br w:type="page"/>
      </w:r>
    </w:p>
    <w:p w14:paraId="32C26D70"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67ED394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2BB3F9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4838C27" w14:textId="77777777" w:rsidR="000A5F42" w:rsidRPr="000606CC" w:rsidRDefault="000A5F42" w:rsidP="000A5F42">
      <w:pPr>
        <w:pStyle w:val="NoSpacing"/>
        <w:rPr>
          <w:rStyle w:val="URI"/>
          <w:rFonts w:cstheme="minorHAnsi"/>
          <w:sz w:val="20"/>
          <w:szCs w:val="18"/>
        </w:rPr>
      </w:pPr>
    </w:p>
    <w:p w14:paraId="35A4772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017BFBD9" w14:textId="77777777" w:rsidR="000A5F42" w:rsidRPr="000606CC" w:rsidRDefault="000A5F42" w:rsidP="000A5F42">
      <w:pPr>
        <w:pStyle w:val="NoSpacing"/>
        <w:rPr>
          <w:rStyle w:val="Strong"/>
          <w:rFonts w:cstheme="minorHAnsi"/>
          <w:sz w:val="20"/>
          <w:szCs w:val="18"/>
        </w:rPr>
      </w:pPr>
    </w:p>
    <w:p w14:paraId="0C795DC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271003C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C6E804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63C6A8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6D0158C" w14:textId="77777777" w:rsidR="000A5F42" w:rsidRPr="000606CC" w:rsidRDefault="000A5F42" w:rsidP="000A5F42">
      <w:pPr>
        <w:pStyle w:val="NoSpacing"/>
        <w:rPr>
          <w:rStyle w:val="Strong"/>
          <w:rFonts w:cstheme="minorHAnsi"/>
          <w:sz w:val="20"/>
          <w:szCs w:val="18"/>
        </w:rPr>
      </w:pPr>
    </w:p>
    <w:p w14:paraId="27D78326" w14:textId="60C0275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1CF1E9A" w14:textId="77777777" w:rsidR="000A5F42" w:rsidRPr="000606CC" w:rsidRDefault="000A5F42" w:rsidP="000A5F42">
      <w:pPr>
        <w:pStyle w:val="NoSpacing"/>
        <w:rPr>
          <w:rStyle w:val="Strong"/>
          <w:rFonts w:cstheme="minorHAnsi"/>
          <w:sz w:val="20"/>
          <w:szCs w:val="18"/>
        </w:rPr>
      </w:pPr>
    </w:p>
    <w:p w14:paraId="51D5AC9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D4B3B55" w14:textId="77777777" w:rsidR="000A5F42" w:rsidRPr="000606CC" w:rsidRDefault="000A5F42" w:rsidP="000A5F42">
      <w:pPr>
        <w:pStyle w:val="NoSpacing"/>
        <w:rPr>
          <w:rStyle w:val="Strong"/>
          <w:rFonts w:cstheme="minorHAnsi"/>
          <w:sz w:val="20"/>
          <w:szCs w:val="18"/>
        </w:rPr>
      </w:pPr>
    </w:p>
    <w:p w14:paraId="1A2FE5E0" w14:textId="3EB677D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A928C7B" w14:textId="77777777" w:rsidR="000A5F42" w:rsidRPr="000606CC" w:rsidRDefault="000A5F42" w:rsidP="000A5F42">
      <w:pPr>
        <w:pStyle w:val="NoSpacing"/>
        <w:rPr>
          <w:rStyle w:val="Strong"/>
          <w:rFonts w:cstheme="minorHAnsi"/>
          <w:sz w:val="20"/>
          <w:szCs w:val="18"/>
        </w:rPr>
      </w:pPr>
    </w:p>
    <w:p w14:paraId="232416D0" w14:textId="030B3453"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A8BF205" w14:textId="0F174B8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25D07618" w14:textId="77777777" w:rsidR="000A5F42" w:rsidRPr="000606CC" w:rsidRDefault="000A5F42" w:rsidP="000A5F42">
      <w:pPr>
        <w:pStyle w:val="NoSpacing"/>
        <w:pBdr>
          <w:bottom w:val="single" w:sz="6" w:space="1" w:color="auto"/>
        </w:pBdr>
        <w:rPr>
          <w:rStyle w:val="Strong"/>
          <w:rFonts w:cstheme="minorHAnsi"/>
          <w:sz w:val="12"/>
          <w:szCs w:val="18"/>
        </w:rPr>
      </w:pPr>
    </w:p>
    <w:p w14:paraId="494F4D1C" w14:textId="77777777" w:rsidR="000A5F42" w:rsidRPr="000606CC" w:rsidRDefault="000A5F42" w:rsidP="000A5F42">
      <w:pPr>
        <w:pStyle w:val="NoSpacing"/>
        <w:rPr>
          <w:rFonts w:cstheme="minorHAnsi"/>
          <w:sz w:val="20"/>
          <w:szCs w:val="18"/>
        </w:rPr>
      </w:pPr>
    </w:p>
    <w:p w14:paraId="024E1593"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089E592F" w14:textId="77777777" w:rsidR="000A5F42" w:rsidRPr="000606CC" w:rsidRDefault="000A5F42" w:rsidP="000A5F42">
      <w:pPr>
        <w:pStyle w:val="NoSpacing"/>
        <w:rPr>
          <w:rFonts w:cstheme="minorHAnsi"/>
          <w:sz w:val="20"/>
          <w:szCs w:val="18"/>
        </w:rPr>
      </w:pPr>
    </w:p>
    <w:p w14:paraId="3DD01D1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73F8007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FD2800">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0C36A3FC" w14:textId="2BDC86B7"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73DAA6E" w14:textId="77777777" w:rsidR="000A5F42" w:rsidRPr="000606CC" w:rsidRDefault="000A5F42" w:rsidP="000A5F42">
      <w:pPr>
        <w:pStyle w:val="NoSpacing"/>
        <w:rPr>
          <w:rFonts w:cstheme="minorHAnsi"/>
          <w:sz w:val="20"/>
          <w:szCs w:val="18"/>
        </w:rPr>
      </w:pPr>
    </w:p>
    <w:p w14:paraId="03BFF41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602C2D4" w14:textId="20D526E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2F947F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104B69E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829ED0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B77DF6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0C2E198" w14:textId="77777777" w:rsidR="000A5F42" w:rsidRPr="000606CC" w:rsidRDefault="000A5F42" w:rsidP="000A5F42">
      <w:pPr>
        <w:pStyle w:val="NoSpacing"/>
        <w:rPr>
          <w:rStyle w:val="Strong"/>
          <w:rFonts w:cstheme="minorHAnsi"/>
          <w:sz w:val="20"/>
          <w:szCs w:val="18"/>
        </w:rPr>
      </w:pPr>
    </w:p>
    <w:p w14:paraId="4F552FE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121B86CA" w14:textId="77777777" w:rsidR="000A5F42" w:rsidRPr="000606CC" w:rsidRDefault="000A5F42" w:rsidP="000A5F42">
      <w:pPr>
        <w:pStyle w:val="NoSpacing"/>
        <w:rPr>
          <w:rStyle w:val="Strong"/>
          <w:rFonts w:cstheme="minorHAnsi"/>
          <w:sz w:val="20"/>
          <w:szCs w:val="18"/>
        </w:rPr>
      </w:pPr>
    </w:p>
    <w:p w14:paraId="450EB877" w14:textId="54BB508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0C79933" w14:textId="77777777" w:rsidR="000A5F42" w:rsidRPr="000606CC" w:rsidRDefault="000A5F42" w:rsidP="000A5F42">
      <w:pPr>
        <w:pStyle w:val="NoSpacing"/>
        <w:rPr>
          <w:rStyle w:val="URI"/>
          <w:rFonts w:cstheme="minorHAnsi"/>
          <w:sz w:val="20"/>
          <w:szCs w:val="18"/>
        </w:rPr>
      </w:pPr>
    </w:p>
    <w:p w14:paraId="644D2FEA" w14:textId="5E1CEF1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0033FD8D"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CCA6F" w14:textId="77777777" w:rsidR="00FD2800" w:rsidRDefault="00FD2800" w:rsidP="00E54DBA">
      <w:r>
        <w:separator/>
      </w:r>
    </w:p>
    <w:p w14:paraId="5F9EF89C" w14:textId="77777777" w:rsidR="00FD2800" w:rsidRDefault="00FD2800"/>
    <w:p w14:paraId="70B47546" w14:textId="77777777" w:rsidR="00FD2800" w:rsidRDefault="00FD2800" w:rsidP="008714B0"/>
  </w:endnote>
  <w:endnote w:type="continuationSeparator" w:id="0">
    <w:p w14:paraId="72B0FA25" w14:textId="77777777" w:rsidR="00FD2800" w:rsidRDefault="00FD2800" w:rsidP="00E54DBA">
      <w:r>
        <w:continuationSeparator/>
      </w:r>
    </w:p>
    <w:p w14:paraId="0A794DFD" w14:textId="77777777" w:rsidR="00FD2800" w:rsidRDefault="00FD2800"/>
    <w:p w14:paraId="6AB18FCA" w14:textId="77777777" w:rsidR="00FD2800" w:rsidRDefault="00FD280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DC3839BD-930E-4FC8-A6C7-E69291094CC1}"/>
    <w:embedBold r:id="rId2" w:fontKey="{FECB2438-E780-4244-9ED5-99FC30385D1E}"/>
    <w:embedItalic r:id="rId3" w:fontKey="{7F689D40-7547-4D1D-88A6-87AC4A74DA02}"/>
    <w:embedBoldItalic r:id="rId4" w:fontKey="{47B6583D-3D06-4E42-9684-B0224CAED47D}"/>
  </w:font>
  <w:font w:name="Cambria">
    <w:panose1 w:val="02040503050406030204"/>
    <w:charset w:val="00"/>
    <w:family w:val="roman"/>
    <w:pitch w:val="variable"/>
    <w:sig w:usb0="E00006FF" w:usb1="420024FF" w:usb2="02000000" w:usb3="00000000" w:csb0="0000019F" w:csb1="00000000"/>
    <w:embedRegular r:id="rId5" w:fontKey="{2A6D5B42-C7D2-48E7-AA70-16390D463B73}"/>
    <w:embedBold r:id="rId6" w:fontKey="{95039F82-5EF1-4E89-AE66-3C00D747F04F}"/>
    <w:embedItalic r:id="rId7" w:fontKey="{A1A9E901-1A91-4168-924B-CB15049E1B29}"/>
    <w:embedBoldItalic r:id="rId8" w:fontKey="{0AC09298-E57A-4792-9AF6-2B4F75405EB7}"/>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5B05E343-AF4C-4734-B3B9-697E9A942672}"/>
  </w:font>
  <w:font w:name="Minion Variable Concep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E20D" w14:textId="6E3DC00D"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164D5">
      <w:rPr>
        <w:b/>
        <w:i/>
        <w:sz w:val="18"/>
      </w:rPr>
      <w:t>Commun</w:t>
    </w:r>
    <w:proofErr w:type="spellEnd"/>
    <w:r w:rsidR="00CE342B" w:rsidRPr="00A164D5">
      <w:rPr>
        <w:b/>
        <w:i/>
        <w:sz w:val="18"/>
      </w:rPr>
      <w:t xml:space="preserve"> Dis </w:t>
    </w:r>
    <w:proofErr w:type="spellStart"/>
    <w:r w:rsidR="00CE342B" w:rsidRPr="00A164D5">
      <w:rPr>
        <w:b/>
        <w:i/>
        <w:sz w:val="18"/>
      </w:rPr>
      <w:t>Intell</w:t>
    </w:r>
    <w:proofErr w:type="spellEnd"/>
    <w:r w:rsidR="00CE342B" w:rsidRPr="00A164D5">
      <w:rPr>
        <w:b/>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FD2800">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FD2800">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B8426B">
      <w:rPr>
        <w:sz w:val="18"/>
      </w:rPr>
      <w:t>https://doi.org/10.33321/cdi.2022.46.79</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991480">
      <w:rPr>
        <w:sz w:val="18"/>
      </w:rPr>
      <w:t>17/11/2022</w:t>
    </w:r>
    <w:r w:rsidR="00991480">
      <w:rPr>
        <w:sz w:val="18"/>
      </w:rPr>
      <w:tab/>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81A53" w14:textId="1E3A5BF5"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164D5">
      <w:rPr>
        <w:b/>
        <w:i/>
        <w:sz w:val="18"/>
      </w:rPr>
      <w:t>Commun</w:t>
    </w:r>
    <w:proofErr w:type="spellEnd"/>
    <w:r w:rsidR="00A164D5" w:rsidRPr="00A164D5">
      <w:rPr>
        <w:b/>
        <w:i/>
        <w:sz w:val="18"/>
      </w:rPr>
      <w:t xml:space="preserve"> Dis </w:t>
    </w:r>
    <w:proofErr w:type="spellStart"/>
    <w:r w:rsidR="00A164D5" w:rsidRPr="00A164D5">
      <w:rPr>
        <w:b/>
        <w:i/>
        <w:sz w:val="18"/>
      </w:rPr>
      <w:t>Intell</w:t>
    </w:r>
    <w:proofErr w:type="spellEnd"/>
    <w:r w:rsidR="00A164D5" w:rsidRPr="00A164D5">
      <w:rPr>
        <w:b/>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D2800">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D2800">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B8426B">
      <w:rPr>
        <w:sz w:val="18"/>
      </w:rPr>
      <w:t>https://doi.org/10.33321/cdi.2022.46.79</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B8426B">
      <w:rPr>
        <w:sz w:val="18"/>
      </w:rPr>
      <w:t>17/11/2022</w:t>
    </w:r>
    <w:r w:rsidR="00B8426B">
      <w:rPr>
        <w:sz w:val="18"/>
      </w:rPr>
      <w:tab/>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2C005" w14:textId="77777777" w:rsidR="00FD2800" w:rsidRPr="00B91FB5" w:rsidRDefault="00FD2800" w:rsidP="00B91FB5">
      <w:pPr>
        <w:spacing w:after="0" w:line="240" w:lineRule="auto"/>
        <w:rPr>
          <w:sz w:val="18"/>
          <w:szCs w:val="18"/>
        </w:rPr>
      </w:pPr>
      <w:r w:rsidRPr="00B91FB5">
        <w:rPr>
          <w:sz w:val="18"/>
          <w:szCs w:val="18"/>
        </w:rPr>
        <w:separator/>
      </w:r>
    </w:p>
  </w:footnote>
  <w:footnote w:type="continuationSeparator" w:id="0">
    <w:p w14:paraId="4E2C866A" w14:textId="77777777" w:rsidR="00FD2800" w:rsidRDefault="00FD2800" w:rsidP="00E54DBA">
      <w:r>
        <w:continuationSeparator/>
      </w:r>
    </w:p>
  </w:footnote>
  <w:footnote w:type="continuationNotice" w:id="1">
    <w:p w14:paraId="719DB247" w14:textId="77777777" w:rsidR="00FD2800" w:rsidRPr="00224EFF" w:rsidRDefault="00FD2800"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5139" w14:textId="77B38365" w:rsidR="00257484" w:rsidRPr="00A153B6" w:rsidRDefault="00B8426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420BF">
          <w:t>Notice to Readers</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9E27A"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694C4BE" wp14:editId="644C6DFC">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proofState w:spelling="clean" w:grammar="clean"/>
  <w:attachedTemplate r:id="rId1"/>
  <w:defaultTabStop w:val="720"/>
  <w:noPunctuationKerning/>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800"/>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2271"/>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420BF"/>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480"/>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90A2C"/>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426B"/>
    <w:rsid w:val="00B8720B"/>
    <w:rsid w:val="00B876EF"/>
    <w:rsid w:val="00B91FB5"/>
    <w:rsid w:val="00BA4697"/>
    <w:rsid w:val="00BB3AF1"/>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D2800"/>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20D45B3"/>
  <w15:docId w15:val="{ED5C3A49-C745-4473-B9E7-628BA091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Pa3">
    <w:name w:val="Pa3"/>
    <w:basedOn w:val="Normal"/>
    <w:next w:val="Normal"/>
    <w:uiPriority w:val="99"/>
    <w:rsid w:val="00BB3AF1"/>
    <w:pPr>
      <w:autoSpaceDE w:val="0"/>
      <w:autoSpaceDN w:val="0"/>
      <w:adjustRightInd w:val="0"/>
      <w:spacing w:after="0" w:line="241" w:lineRule="atLeast"/>
    </w:pPr>
    <w:rPr>
      <w:rFonts w:ascii="Minion Variable Concept" w:hAnsi="Minion Variable Concep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16</TotalTime>
  <Pages>2</Pages>
  <Words>483</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Communicable Diseases Intelligence - World Antimicrobial Awareness Week (WAAW) Symposium: 18 November 2022</vt:lpstr>
    </vt:vector>
  </TitlesOfParts>
  <Company>Australian Government, Department of Health</Company>
  <LinksUpToDate>false</LinksUpToDate>
  <CharactersWithSpaces>4151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World Antimicrobial Awareness Week (WAAW) Symposium: 18 November 2022</dc:title>
  <dc:subject>The National Centre for Antimicrobial Stewardship (NCAS) is convening a World Antimicrobial Awareness Week symposium on Friday 18 November, hosted by the Peter Doherty Institute for Infection and Immunity in Melbourne, Victoria. Further details of the symposium, which is to be both face-to-face and virtual, can be found at https://www.ncas-australia.org/antimicrobial-awareness-week-2022.</dc:subject>
  <dc:creator>CDI Editorial Team</dc:creator>
  <dc:description>© Commonwealth of Australia CC BY-NC-ND ISSN: 2209-6051 (Online)</dc:description>
  <cp:lastModifiedBy>YOUSEFI, Kasra</cp:lastModifiedBy>
  <cp:revision>8</cp:revision>
  <cp:lastPrinted>2018-05-10T02:19:00Z</cp:lastPrinted>
  <dcterms:created xsi:type="dcterms:W3CDTF">2022-11-11T02:09:00Z</dcterms:created>
  <dcterms:modified xsi:type="dcterms:W3CDTF">2022-11-16T05:06:00Z</dcterms:modified>
  <cp:category>Notice to Readers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17/11/2022	</vt:lpwstr>
  </property>
  <property fmtid="{D5CDD505-2E9C-101B-9397-08002B2CF9AE}" pid="5" name="DOI">
    <vt:lpwstr>https://doi.org/10.33321/cdi.2022.46.79</vt:lpwstr>
  </property>
</Properties>
</file>