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4FC1" w14:textId="77777777" w:rsidR="00175E97" w:rsidRPr="000530CC" w:rsidRDefault="00175E97" w:rsidP="000530CC">
      <w:pPr>
        <w:pStyle w:val="Title"/>
      </w:pPr>
      <w:r w:rsidRPr="000530CC">
        <w:t xml:space="preserve">Public health response to a norovirus viral gastroenteritis outbreak in early childhood learning centres in Victoria, Australia, 2021 </w:t>
      </w:r>
    </w:p>
    <w:p w14:paraId="0E2962DA" w14:textId="77777777" w:rsidR="00175E97" w:rsidRDefault="00175E97" w:rsidP="00175E97">
      <w:r>
        <w:t xml:space="preserve">George P Drewett, Anna-Lena Arnold, Leesa Bruggink, Sarah Borg, Kaye Sturge, Bruce </w:t>
      </w:r>
      <w:proofErr w:type="spellStart"/>
      <w:r>
        <w:t>Bolam</w:t>
      </w:r>
      <w:proofErr w:type="spellEnd"/>
      <w:r>
        <w:t xml:space="preserve"> </w:t>
      </w:r>
    </w:p>
    <w:p w14:paraId="64C20076" w14:textId="77777777" w:rsidR="00175E97" w:rsidRDefault="00175E97" w:rsidP="005E0FE0">
      <w:r>
        <w:t xml:space="preserve">Keywords: norovirus; alcohol-based hand sanitiser; soap and water handwashing; mass media; public health; GII.P16/GII.2 </w:t>
      </w:r>
    </w:p>
    <w:p w14:paraId="0198A2B6" w14:textId="3EC6735C" w:rsidR="00175E97" w:rsidRDefault="00175E97" w:rsidP="00175E97">
      <w:r>
        <w:t>We report on the public health response to an outbreak of infectious viral gastroenteritis in early childhood learning centres (ECLC) in Victoria, Australia, during the first half of 2021. Viral gastroenteritis is a common cause of childhood diarrhoea,</w:t>
      </w:r>
      <w:r w:rsidRPr="00025A44">
        <w:rPr>
          <w:vertAlign w:val="superscript"/>
        </w:rPr>
        <w:t>1,2</w:t>
      </w:r>
      <w:r>
        <w:t xml:space="preserve"> and is </w:t>
      </w:r>
      <w:proofErr w:type="gramStart"/>
      <w:r>
        <w:t>frequently</w:t>
      </w:r>
      <w:proofErr w:type="gramEnd"/>
      <w:r>
        <w:t xml:space="preserve"> spread through high-risk environments such as ECLC.</w:t>
      </w:r>
      <w:r w:rsidRPr="00025A44">
        <w:rPr>
          <w:vertAlign w:val="superscript"/>
        </w:rPr>
        <w:t>3</w:t>
      </w:r>
      <w:r>
        <w:t xml:space="preserve"> Laboratory testing identified an international epidemic strain of norovirus, GII.P16/GII.2 (Figure 1), which had not previously caused epidemic norovirus outbreaks in Victoria, as the predominant infectious agent in this outbreak. Similar outbreaks of norovirus had been </w:t>
      </w:r>
      <w:proofErr w:type="gramStart"/>
      <w:r>
        <w:t>observed</w:t>
      </w:r>
      <w:proofErr w:type="gramEnd"/>
      <w:r>
        <w:t xml:space="preserve"> in other Australian jurisdictions recently prior to this outbreak.</w:t>
      </w:r>
      <w:r w:rsidRPr="00031DCF">
        <w:rPr>
          <w:vertAlign w:val="superscript"/>
        </w:rPr>
        <w:t>4</w:t>
      </w:r>
      <w:r w:rsidRPr="00031DCF">
        <w:t xml:space="preserve"> </w:t>
      </w:r>
    </w:p>
    <w:p w14:paraId="7E85A259" w14:textId="77777777" w:rsidR="00031DCF" w:rsidRDefault="00031DCF" w:rsidP="00031DCF">
      <w:pPr>
        <w:pStyle w:val="NormalWeb"/>
        <w:rPr>
          <w:lang w:val="en-GB"/>
        </w:rPr>
      </w:pPr>
      <w:r>
        <w:rPr>
          <w:rStyle w:val="Strong"/>
          <w:lang w:val="en-GB"/>
        </w:rPr>
        <w:t>Figure 1: Norovirus genotyping from gastroenteritis outbreaks in early childhood learning centres, Victoria, by month, January–June 2021</w:t>
      </w:r>
    </w:p>
    <w:p w14:paraId="67B23733" w14:textId="77777777" w:rsidR="00031DCF" w:rsidRDefault="00031DCF" w:rsidP="00031DCF">
      <w:pPr>
        <w:rPr>
          <w:rFonts w:eastAsia="Times New Roman"/>
          <w:lang w:val="en-GB"/>
        </w:rPr>
      </w:pPr>
      <w:r>
        <w:rPr>
          <w:rFonts w:eastAsia="Times New Roman"/>
          <w:noProof/>
          <w:lang w:val="en-GB"/>
        </w:rPr>
        <w:drawing>
          <wp:inline distT="0" distB="0" distL="0" distR="0" wp14:anchorId="3AFC9DEF" wp14:editId="0AE7381D">
            <wp:extent cx="6102108" cy="3749048"/>
            <wp:effectExtent l="0" t="0" r="0" b="3810"/>
            <wp:docPr id="5" name="Picture 5" descr="Norovirus genotyping from diarrhoeal outbreaks in ECLC, Victoria, by month, January –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rovirus genotyping from diarrhoeal outbreaks in ECLC, Victoria, by month, January – June 202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02108" cy="3749048"/>
                    </a:xfrm>
                    <a:prstGeom prst="rect">
                      <a:avLst/>
                    </a:prstGeom>
                  </pic:spPr>
                </pic:pic>
              </a:graphicData>
            </a:graphic>
          </wp:inline>
        </w:drawing>
      </w:r>
    </w:p>
    <w:p w14:paraId="5E445534" w14:textId="77777777" w:rsidR="00031DCF" w:rsidRDefault="00031DCF" w:rsidP="00175E97"/>
    <w:p w14:paraId="57A6CC8C" w14:textId="77777777" w:rsidR="00175E97" w:rsidRDefault="00175E97" w:rsidP="00175E97">
      <w:r>
        <w:t>In Victoria, there is no requirement for residential facilities, health care facilities, children’s services centres or camps to notify the department of an outbreak of gastroenteritis.</w:t>
      </w:r>
      <w:r w:rsidRPr="00025A44">
        <w:rPr>
          <w:vertAlign w:val="superscript"/>
        </w:rPr>
        <w:t>5</w:t>
      </w:r>
      <w:r>
        <w:t xml:space="preserve"> However, notification is strongly recommended, to allow the department to provide advice and support to facilities to manage the outbreak, in order to help minimise the </w:t>
      </w:r>
      <w:r>
        <w:lastRenderedPageBreak/>
        <w:t>severity of the illness and outbreak duration, particularly in vulnerable population groups. Suspected gastroenteritis outbreaks (two or more cases of vomiting and/or diarrhoea occurring among children and/or staff within 48 hours of each other), once notified, are recorded on the Department of Health’s disease surveillance system.</w:t>
      </w:r>
      <w:r w:rsidRPr="00025A44">
        <w:rPr>
          <w:vertAlign w:val="superscript"/>
        </w:rPr>
        <w:t>5</w:t>
      </w:r>
      <w:r>
        <w:t xml:space="preserve"> Local council provides stool collection kits to affected individuals, which are then processed at the Microbiological Diagnostic Unit (MDU), Public Health Laboratory (PHL) at the University of Melbourne, which tests all samples received for norovirus.</w:t>
      </w:r>
      <w:r w:rsidRPr="00025A44">
        <w:rPr>
          <w:vertAlign w:val="superscript"/>
        </w:rPr>
        <w:t>6</w:t>
      </w:r>
      <w:r>
        <w:t xml:space="preserve"> </w:t>
      </w:r>
    </w:p>
    <w:p w14:paraId="35020C0D" w14:textId="49BD3A6C" w:rsidR="00175E97" w:rsidRDefault="00175E97" w:rsidP="00175E97">
      <w:r>
        <w:t xml:space="preserve">In early March 2021, a five-fold increase above the five-year average </w:t>
      </w:r>
      <w:proofErr w:type="gramStart"/>
      <w:r>
        <w:t>was detected</w:t>
      </w:r>
      <w:proofErr w:type="gramEnd"/>
      <w:r>
        <w:t xml:space="preserve"> in the number of notifications of viral gastroenteritis in ECLC (Figure 2). An incident management team (IMT) was assembled, with fortnightly meetings </w:t>
      </w:r>
      <w:proofErr w:type="gramStart"/>
      <w:r>
        <w:t>established</w:t>
      </w:r>
      <w:proofErr w:type="gramEnd"/>
      <w:r>
        <w:t xml:space="preserve">. The purpose of these multidisciplinary meetings was to investigate the increase in the number of notifications, to discuss the epidemiology of the outbreaks using surveillance data, to decide on </w:t>
      </w:r>
      <w:proofErr w:type="gramStart"/>
      <w:r>
        <w:t>an appropriate intervention</w:t>
      </w:r>
      <w:proofErr w:type="gramEnd"/>
      <w:r>
        <w:t xml:space="preserve">, and to coordinate the public health response. </w:t>
      </w:r>
    </w:p>
    <w:p w14:paraId="2533A41C" w14:textId="77777777" w:rsidR="00624FCB" w:rsidRDefault="00624FCB" w:rsidP="00624FCB">
      <w:pPr>
        <w:pStyle w:val="NormalWeb"/>
        <w:rPr>
          <w:lang w:val="en-GB"/>
        </w:rPr>
      </w:pPr>
      <w:r>
        <w:rPr>
          <w:rStyle w:val="Strong"/>
          <w:lang w:val="en-GB"/>
        </w:rPr>
        <w:t xml:space="preserve">Figure 2: </w:t>
      </w:r>
      <w:proofErr w:type="spellStart"/>
      <w:r>
        <w:rPr>
          <w:rStyle w:val="Strong"/>
          <w:lang w:val="en-GB"/>
        </w:rPr>
        <w:t>Epicurve</w:t>
      </w:r>
      <w:proofErr w:type="spellEnd"/>
      <w:r>
        <w:rPr>
          <w:rStyle w:val="Strong"/>
          <w:lang w:val="en-GB"/>
        </w:rPr>
        <w:t xml:space="preserve"> demonstrating number of outbreaks notified in early childhood learning centres by calendar week in Victoria in 2021, with public health interventions marked</w:t>
      </w:r>
    </w:p>
    <w:p w14:paraId="7B772782" w14:textId="5BD8B6DE" w:rsidR="00624FCB" w:rsidRPr="00624FCB" w:rsidRDefault="00624FCB" w:rsidP="00175E97">
      <w:pPr>
        <w:rPr>
          <w:rFonts w:eastAsia="Times New Roman"/>
          <w:lang w:val="en-GB"/>
        </w:rPr>
      </w:pPr>
      <w:r>
        <w:rPr>
          <w:rFonts w:eastAsia="Times New Roman"/>
          <w:noProof/>
          <w:lang w:val="en-GB"/>
        </w:rPr>
        <w:drawing>
          <wp:inline distT="0" distB="0" distL="0" distR="0" wp14:anchorId="24CC9CA2" wp14:editId="5F90A271">
            <wp:extent cx="6111252" cy="3983744"/>
            <wp:effectExtent l="0" t="0" r="3810" b="0"/>
            <wp:docPr id="2" name="Picture 2" descr="Epicurve demonstrating number of outbreaks notified in Early Childhood Learning Centres by calendar week in Victoria (bars) and the 5-year average (2015-2019, line), with public health interventions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picurve demonstrating number of outbreaks notified in Early Childhood Learning Centres by calendar week in Victoria (bars) and the 5-year average (2015-2019, line), with public health interventions mark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11252" cy="3983744"/>
                    </a:xfrm>
                    <a:prstGeom prst="rect">
                      <a:avLst/>
                    </a:prstGeom>
                  </pic:spPr>
                </pic:pic>
              </a:graphicData>
            </a:graphic>
          </wp:inline>
        </w:drawing>
      </w:r>
    </w:p>
    <w:p w14:paraId="2A9510F6" w14:textId="77777777" w:rsidR="00175E97" w:rsidRDefault="00175E97" w:rsidP="00175E97">
      <w:r>
        <w:t>We hypothesised that one possible driver of this outbreak was a change in community hand-hygiene practices observed since the start of the coronavirus disease 2019 (COVID-19) pandemic,</w:t>
      </w:r>
      <w:r w:rsidRPr="00025A44">
        <w:rPr>
          <w:vertAlign w:val="superscript"/>
        </w:rPr>
        <w:t>7</w:t>
      </w:r>
      <w:r>
        <w:t xml:space="preserve"> where an increase in the use of alcohol-based hand sanitisers (ABHS) in order to reduce transmission of the SARS-CoV-2 virus led to a relative reduction in the use of soap- and water-based handwashing practice. While ABHS are effective at inactivating SARS-CoV-2,</w:t>
      </w:r>
      <w:r w:rsidRPr="00025A44">
        <w:rPr>
          <w:vertAlign w:val="superscript"/>
        </w:rPr>
        <w:t>7</w:t>
      </w:r>
      <w:r>
        <w:t xml:space="preserve"> they are less effective against norovirus,</w:t>
      </w:r>
      <w:r w:rsidRPr="00025A44">
        <w:rPr>
          <w:vertAlign w:val="superscript"/>
        </w:rPr>
        <w:t>8,9</w:t>
      </w:r>
      <w:r>
        <w:t xml:space="preserve"> and hence at interrupting person-to-person transmission of norovirus, with Australian guidelines preferencing soap and water over ABHS.</w:t>
      </w:r>
      <w:r w:rsidRPr="00025A44">
        <w:rPr>
          <w:vertAlign w:val="superscript"/>
        </w:rPr>
        <w:t>10</w:t>
      </w:r>
      <w:r>
        <w:t xml:space="preserve"> Exclusion of symptomatic children until 48 hours post-resolution of symptoms </w:t>
      </w:r>
      <w:proofErr w:type="gramStart"/>
      <w:r>
        <w:t>likely also</w:t>
      </w:r>
      <w:proofErr w:type="gramEnd"/>
      <w:r>
        <w:t xml:space="preserve"> helped to interrupt the chain of transmission. </w:t>
      </w:r>
      <w:proofErr w:type="gramStart"/>
      <w:r>
        <w:t>Additional</w:t>
      </w:r>
      <w:proofErr w:type="gramEnd"/>
      <w:r>
        <w:t xml:space="preserve"> potential drivers included a return to increased numbers of children attending ECLC following a period of minimal attendance during the July-November 2020 COVID-19 lockdown, a relatively norovirus-naïve population due to </w:t>
      </w:r>
      <w:r>
        <w:lastRenderedPageBreak/>
        <w:t xml:space="preserve">minimal circulating virus over preceding months, and the spread of gastroenteritis between ECLCs through children’s transmission networks outside of ECLCs. </w:t>
      </w:r>
    </w:p>
    <w:p w14:paraId="33B876B9" w14:textId="77777777" w:rsidR="00175E97" w:rsidRDefault="00175E97" w:rsidP="00175E97">
      <w:proofErr w:type="gramStart"/>
      <w:r>
        <w:t>Accordingly</w:t>
      </w:r>
      <w:proofErr w:type="gramEnd"/>
      <w:r>
        <w:t xml:space="preserve">, targeted media was developed, advocating the use of soap and handwashing, rather than relying on ABHS, as well as recommending a 48-hour exclusion period following resolution of symptoms. In week 11 (week ending 15 March 2021), a communication from the Victorian Chief Health Officer </w:t>
      </w:r>
      <w:proofErr w:type="gramStart"/>
      <w:r>
        <w:t>was formulated</w:t>
      </w:r>
      <w:proofErr w:type="gramEnd"/>
      <w:r>
        <w:t xml:space="preserve">, translated into nine key languages, and distributed to 4,500 ECLCs. A newsletter to parents outlining key messages for gastroenteritis </w:t>
      </w:r>
      <w:proofErr w:type="gramStart"/>
      <w:r>
        <w:t>was also distributed</w:t>
      </w:r>
      <w:proofErr w:type="gramEnd"/>
      <w:r>
        <w:t xml:space="preserve"> to parents of children at these centres and at primary schools across the state. </w:t>
      </w:r>
    </w:p>
    <w:p w14:paraId="46AF6A61" w14:textId="77777777" w:rsidR="00175E97" w:rsidRDefault="00175E97" w:rsidP="00175E97">
      <w:proofErr w:type="gramStart"/>
      <w:r>
        <w:t>Proactive</w:t>
      </w:r>
      <w:proofErr w:type="gramEnd"/>
      <w:r>
        <w:t xml:space="preserve"> media engagement was undertaken, conducting multiple interviews on high-audience public and private radio and television stations, as well as focused social media releases on government health communication channels and platforms, with excellent media uptake and reach, and an estimated advertising sales reach of $1.65 million (Appendix A: Figures A.1 and A.2), despite no purchased advertising. While it is not certain exactly what effect these communications had on hand washing practices, we suggest that, given the scale of the community reach, it is likely that there was </w:t>
      </w:r>
      <w:proofErr w:type="gramStart"/>
      <w:r>
        <w:t>some</w:t>
      </w:r>
      <w:proofErr w:type="gramEnd"/>
      <w:r>
        <w:t xml:space="preserve"> change to handwashing practices as a result. </w:t>
      </w:r>
    </w:p>
    <w:p w14:paraId="5290D68A" w14:textId="77777777" w:rsidR="00175E97" w:rsidRDefault="00175E97" w:rsidP="00175E97">
      <w:r>
        <w:t xml:space="preserve">After </w:t>
      </w:r>
      <w:proofErr w:type="gramStart"/>
      <w:r>
        <w:t>an initial</w:t>
      </w:r>
      <w:proofErr w:type="gramEnd"/>
      <w:r>
        <w:t xml:space="preserve"> slight increase in notifications following the first round of media engagement (Figure 2), the number of notifications decreased. Following a two-week period of school holidays where a reduced number of notifications occurred, a slight increase in notifications prompted a second round of media engagement, with a steady reduction in notifications and return to 5-year averages by week 22 of 2021. As Figure 1 also </w:t>
      </w:r>
      <w:proofErr w:type="gramStart"/>
      <w:r>
        <w:t>demonstrates</w:t>
      </w:r>
      <w:proofErr w:type="gramEnd"/>
      <w:r>
        <w:t xml:space="preserve">, the epidemic GII.P16/GII.2 strain was no longer detected after May 2021, leaving only low levels of circulating endemic GII.P31/GII.4_2012 (Sydney) strain. </w:t>
      </w:r>
    </w:p>
    <w:p w14:paraId="03F8050B" w14:textId="77777777" w:rsidR="00025A44" w:rsidRDefault="00025A44">
      <w:pPr>
        <w:rPr>
          <w:rFonts w:asciiTheme="majorHAnsi" w:eastAsiaTheme="majorEastAsia" w:hAnsiTheme="majorHAnsi" w:cstheme="majorBidi"/>
          <w:b/>
          <w:bCs/>
          <w:sz w:val="32"/>
          <w:szCs w:val="28"/>
        </w:rPr>
      </w:pPr>
      <w:r>
        <w:br w:type="page"/>
      </w:r>
    </w:p>
    <w:p w14:paraId="19835B08" w14:textId="32C9D4DE" w:rsidR="00175E97" w:rsidRPr="00175E97" w:rsidRDefault="00175E97" w:rsidP="00175E97">
      <w:pPr>
        <w:pStyle w:val="Heading1"/>
      </w:pPr>
      <w:r w:rsidRPr="00175E97">
        <w:lastRenderedPageBreak/>
        <w:t xml:space="preserve">Author details </w:t>
      </w:r>
    </w:p>
    <w:p w14:paraId="5F47EEC9" w14:textId="601CE8A3" w:rsidR="00175E97" w:rsidRDefault="00175E97" w:rsidP="00175E97">
      <w:r>
        <w:t>George P Drewett</w:t>
      </w:r>
      <w:r w:rsidRPr="00175E97">
        <w:rPr>
          <w:vertAlign w:val="superscript"/>
        </w:rPr>
        <w:t>1,2</w:t>
      </w:r>
      <w:r>
        <w:t xml:space="preserve"> </w:t>
      </w:r>
    </w:p>
    <w:p w14:paraId="65A08DA7" w14:textId="50159C64" w:rsidR="00175E97" w:rsidRDefault="00175E97" w:rsidP="00175E97">
      <w:r>
        <w:t>Anna-Lena Arnold</w:t>
      </w:r>
      <w:r w:rsidRPr="00175E97">
        <w:rPr>
          <w:vertAlign w:val="superscript"/>
        </w:rPr>
        <w:t>1</w:t>
      </w:r>
      <w:r>
        <w:t xml:space="preserve"> </w:t>
      </w:r>
    </w:p>
    <w:p w14:paraId="5B672A70" w14:textId="681D86BC" w:rsidR="00175E97" w:rsidRDefault="00175E97" w:rsidP="00175E97">
      <w:r>
        <w:t>Leesa Bruggink</w:t>
      </w:r>
      <w:r w:rsidRPr="00175E97">
        <w:rPr>
          <w:vertAlign w:val="superscript"/>
        </w:rPr>
        <w:t>3</w:t>
      </w:r>
      <w:r>
        <w:t xml:space="preserve"> </w:t>
      </w:r>
    </w:p>
    <w:p w14:paraId="1FD404AC" w14:textId="4FC6D567" w:rsidR="00175E97" w:rsidRDefault="00175E97" w:rsidP="00175E97">
      <w:r>
        <w:t>Sarah Borg</w:t>
      </w:r>
      <w:r w:rsidRPr="00175E97">
        <w:rPr>
          <w:vertAlign w:val="superscript"/>
        </w:rPr>
        <w:t>1</w:t>
      </w:r>
      <w:r>
        <w:t xml:space="preserve"> </w:t>
      </w:r>
    </w:p>
    <w:p w14:paraId="23C4093C" w14:textId="19F5BAF8" w:rsidR="00175E97" w:rsidRDefault="00175E97" w:rsidP="00175E97">
      <w:r>
        <w:t>Kaye Sturge</w:t>
      </w:r>
      <w:r w:rsidRPr="00175E97">
        <w:rPr>
          <w:vertAlign w:val="superscript"/>
        </w:rPr>
        <w:t>1</w:t>
      </w:r>
      <w:r>
        <w:t xml:space="preserve"> </w:t>
      </w:r>
    </w:p>
    <w:p w14:paraId="32A318F7" w14:textId="77777777" w:rsidR="00175E97" w:rsidRDefault="00175E97" w:rsidP="00175E97">
      <w:r>
        <w:t>Bruce Bolam</w:t>
      </w:r>
      <w:r w:rsidRPr="00175E97">
        <w:rPr>
          <w:vertAlign w:val="superscript"/>
        </w:rPr>
        <w:t>1</w:t>
      </w:r>
      <w:r>
        <w:t xml:space="preserve"> </w:t>
      </w:r>
    </w:p>
    <w:p w14:paraId="36019139" w14:textId="77777777" w:rsidR="00175E97" w:rsidRPr="00DC08C0" w:rsidRDefault="00175E97" w:rsidP="00DC08C0">
      <w:pPr>
        <w:pStyle w:val="ListParagraph"/>
        <w:numPr>
          <w:ilvl w:val="0"/>
          <w:numId w:val="9"/>
        </w:numPr>
        <w:rPr>
          <w:rFonts w:eastAsia="Times New Roman"/>
        </w:rPr>
      </w:pPr>
      <w:r w:rsidRPr="00DC08C0">
        <w:rPr>
          <w:rFonts w:eastAsia="Times New Roman"/>
        </w:rPr>
        <w:t xml:space="preserve">Communicable Diseases Branch, Victorian Department of Health, Melbourne, Australia </w:t>
      </w:r>
    </w:p>
    <w:p w14:paraId="752D1B35" w14:textId="77777777" w:rsidR="00175E97" w:rsidRPr="00DC08C0" w:rsidRDefault="00175E97" w:rsidP="00DC08C0">
      <w:pPr>
        <w:pStyle w:val="ListParagraph"/>
        <w:numPr>
          <w:ilvl w:val="0"/>
          <w:numId w:val="9"/>
        </w:numPr>
        <w:rPr>
          <w:rFonts w:eastAsia="Times New Roman"/>
        </w:rPr>
      </w:pPr>
      <w:r w:rsidRPr="00DC08C0">
        <w:rPr>
          <w:rFonts w:eastAsia="Times New Roman"/>
        </w:rPr>
        <w:t xml:space="preserve">Department of Infectious Diseases, Austin Health, Heidelberg, Australia </w:t>
      </w:r>
    </w:p>
    <w:p w14:paraId="5E79C8D9" w14:textId="77777777" w:rsidR="00175E97" w:rsidRPr="00DC08C0" w:rsidRDefault="00175E97" w:rsidP="00DC08C0">
      <w:pPr>
        <w:pStyle w:val="ListParagraph"/>
        <w:numPr>
          <w:ilvl w:val="0"/>
          <w:numId w:val="9"/>
        </w:numPr>
        <w:rPr>
          <w:rFonts w:eastAsia="Times New Roman"/>
        </w:rPr>
      </w:pPr>
      <w:r w:rsidRPr="00DC08C0">
        <w:rPr>
          <w:rFonts w:eastAsia="Times New Roman"/>
        </w:rPr>
        <w:t xml:space="preserve">Victorian Infectious Diseases Reference Laboratory, Royal Melbourne Hospital, at the Peter Doherty Institute for Infection and Immunity, Melbourne, Australia </w:t>
      </w:r>
    </w:p>
    <w:p w14:paraId="011B0BC5" w14:textId="77777777" w:rsidR="00175E97" w:rsidRPr="00DC08C0" w:rsidRDefault="00175E97" w:rsidP="000530CC">
      <w:pPr>
        <w:pStyle w:val="Heading2"/>
        <w:spacing w:after="200"/>
      </w:pPr>
      <w:r w:rsidRPr="00DC08C0">
        <w:t xml:space="preserve">Corresponding author </w:t>
      </w:r>
    </w:p>
    <w:p w14:paraId="059F3D5E" w14:textId="77777777" w:rsidR="00175E97" w:rsidRDefault="00175E97" w:rsidP="00DC08C0">
      <w:r>
        <w:t xml:space="preserve">George Drewett </w:t>
      </w:r>
    </w:p>
    <w:p w14:paraId="4901E67D" w14:textId="77777777" w:rsidR="00175E97" w:rsidRDefault="00175E97" w:rsidP="00DC08C0">
      <w:r>
        <w:t xml:space="preserve">Infectious Diseases Registrar, Austin Health, Heidelberg 3084, Victoria, Australia </w:t>
      </w:r>
    </w:p>
    <w:p w14:paraId="68F4163E" w14:textId="77777777" w:rsidR="00175E97" w:rsidRDefault="00175E97" w:rsidP="00DC08C0">
      <w:r>
        <w:t xml:space="preserve">Phone: +61394966676 </w:t>
      </w:r>
    </w:p>
    <w:p w14:paraId="77063863" w14:textId="77777777" w:rsidR="00175E97" w:rsidRDefault="00175E97" w:rsidP="00DC08C0">
      <w:r>
        <w:t>Email: george.drewett@burnet.edu.au</w:t>
      </w:r>
    </w:p>
    <w:p w14:paraId="15AE6B92" w14:textId="77777777" w:rsidR="000530CC" w:rsidRDefault="000530CC">
      <w:pPr>
        <w:rPr>
          <w:rFonts w:asciiTheme="majorHAnsi" w:eastAsiaTheme="majorEastAsia" w:hAnsiTheme="majorHAnsi" w:cstheme="majorBidi"/>
          <w:b/>
          <w:bCs/>
          <w:sz w:val="32"/>
          <w:szCs w:val="28"/>
        </w:rPr>
      </w:pPr>
      <w:r>
        <w:br w:type="page"/>
      </w:r>
    </w:p>
    <w:p w14:paraId="44AE356F" w14:textId="51C535D1" w:rsidR="00175E97" w:rsidRPr="00DC08C0" w:rsidRDefault="00175E97" w:rsidP="00DC08C0">
      <w:pPr>
        <w:pStyle w:val="Heading1"/>
      </w:pPr>
      <w:r w:rsidRPr="00DC08C0">
        <w:lastRenderedPageBreak/>
        <w:t xml:space="preserve">References </w:t>
      </w:r>
    </w:p>
    <w:p w14:paraId="6A44CCBF"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Lian Y, Wu S, Luo L, </w:t>
      </w:r>
      <w:proofErr w:type="spellStart"/>
      <w:r w:rsidRPr="00DC08C0">
        <w:rPr>
          <w:rFonts w:eastAsia="Times New Roman"/>
        </w:rPr>
        <w:t>Lv</w:t>
      </w:r>
      <w:proofErr w:type="spellEnd"/>
      <w:r w:rsidRPr="00DC08C0">
        <w:rPr>
          <w:rFonts w:eastAsia="Times New Roman"/>
        </w:rPr>
        <w:t xml:space="preserve"> B, Liao Q, Li Z et al. Epidemiology of norovirus outbreaks reported to the Public Health Emergency Event Surveillance System, China, 2014–2017. Viruses. 2019;11(4):342. </w:t>
      </w:r>
      <w:proofErr w:type="spellStart"/>
      <w:r w:rsidRPr="00DC08C0">
        <w:rPr>
          <w:rFonts w:eastAsia="Times New Roman"/>
        </w:rPr>
        <w:t>doi</w:t>
      </w:r>
      <w:proofErr w:type="spellEnd"/>
      <w:r w:rsidRPr="00DC08C0">
        <w:rPr>
          <w:rFonts w:eastAsia="Times New Roman"/>
        </w:rPr>
        <w:t xml:space="preserve">: https://doi.org/ 10.3390/v11040342. </w:t>
      </w:r>
    </w:p>
    <w:p w14:paraId="6C6FAB07"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Osborne CM, Montano AC, Robinson CC, Schultz-Cherry S, Dominguez SR. Viral gastroenteritis in children in Colorado 2006–2009. J Med </w:t>
      </w:r>
      <w:proofErr w:type="spellStart"/>
      <w:r w:rsidRPr="00DC08C0">
        <w:rPr>
          <w:rFonts w:eastAsia="Times New Roman"/>
        </w:rPr>
        <w:t>Virol</w:t>
      </w:r>
      <w:proofErr w:type="spellEnd"/>
      <w:r w:rsidRPr="00DC08C0">
        <w:rPr>
          <w:rFonts w:eastAsia="Times New Roman"/>
        </w:rPr>
        <w:t xml:space="preserve">. 2015;87(6):931–9. </w:t>
      </w:r>
      <w:proofErr w:type="spellStart"/>
      <w:r w:rsidRPr="00DC08C0">
        <w:rPr>
          <w:rFonts w:eastAsia="Times New Roman"/>
        </w:rPr>
        <w:t>doi</w:t>
      </w:r>
      <w:proofErr w:type="spellEnd"/>
      <w:r w:rsidRPr="00DC08C0">
        <w:rPr>
          <w:rFonts w:eastAsia="Times New Roman"/>
        </w:rPr>
        <w:t xml:space="preserve">: https://doi.org/10.1002/jmv.24022. </w:t>
      </w:r>
    </w:p>
    <w:p w14:paraId="13011E1D" w14:textId="77777777" w:rsidR="00175E97" w:rsidRPr="00DC08C0" w:rsidRDefault="00175E97" w:rsidP="00DC08C0">
      <w:pPr>
        <w:pStyle w:val="ListParagraph"/>
        <w:numPr>
          <w:ilvl w:val="0"/>
          <w:numId w:val="10"/>
        </w:numPr>
        <w:rPr>
          <w:rFonts w:eastAsia="Times New Roman"/>
        </w:rPr>
      </w:pPr>
      <w:proofErr w:type="spellStart"/>
      <w:r w:rsidRPr="00DC08C0">
        <w:rPr>
          <w:rFonts w:eastAsia="Times New Roman"/>
        </w:rPr>
        <w:t>Hebbelstrup</w:t>
      </w:r>
      <w:proofErr w:type="spellEnd"/>
      <w:r w:rsidRPr="00DC08C0">
        <w:rPr>
          <w:rFonts w:eastAsia="Times New Roman"/>
        </w:rPr>
        <w:t xml:space="preserve"> Jensen B, </w:t>
      </w:r>
      <w:proofErr w:type="spellStart"/>
      <w:r w:rsidRPr="00DC08C0">
        <w:rPr>
          <w:rFonts w:eastAsia="Times New Roman"/>
        </w:rPr>
        <w:t>Jokelainen</w:t>
      </w:r>
      <w:proofErr w:type="spellEnd"/>
      <w:r w:rsidRPr="00DC08C0">
        <w:rPr>
          <w:rFonts w:eastAsia="Times New Roman"/>
        </w:rPr>
        <w:t xml:space="preserve"> P, Nielsen ACY, Franck KT, </w:t>
      </w:r>
      <w:proofErr w:type="spellStart"/>
      <w:r w:rsidRPr="00DC08C0">
        <w:rPr>
          <w:rFonts w:eastAsia="Times New Roman"/>
        </w:rPr>
        <w:t>Rejkjaer</w:t>
      </w:r>
      <w:proofErr w:type="spellEnd"/>
      <w:r w:rsidRPr="00DC08C0">
        <w:rPr>
          <w:rFonts w:eastAsia="Times New Roman"/>
        </w:rPr>
        <w:t xml:space="preserve"> Holm D, </w:t>
      </w:r>
      <w:proofErr w:type="spellStart"/>
      <w:r w:rsidRPr="00DC08C0">
        <w:rPr>
          <w:rFonts w:eastAsia="Times New Roman"/>
        </w:rPr>
        <w:t>Schønning</w:t>
      </w:r>
      <w:proofErr w:type="spellEnd"/>
      <w:r w:rsidRPr="00DC08C0">
        <w:rPr>
          <w:rFonts w:eastAsia="Times New Roman"/>
        </w:rPr>
        <w:t xml:space="preserve"> K et al. Children attending day care </w:t>
      </w:r>
      <w:proofErr w:type="spellStart"/>
      <w:r w:rsidRPr="00DC08C0">
        <w:rPr>
          <w:rFonts w:eastAsia="Times New Roman"/>
        </w:rPr>
        <w:t>centers</w:t>
      </w:r>
      <w:proofErr w:type="spellEnd"/>
      <w:r w:rsidRPr="00DC08C0">
        <w:rPr>
          <w:rFonts w:eastAsia="Times New Roman"/>
        </w:rPr>
        <w:t xml:space="preserve"> are a year-round reservoir of gastrointestinal viruses. Sci Rep. 2019;9(1):3286. </w:t>
      </w:r>
      <w:proofErr w:type="spellStart"/>
      <w:r w:rsidRPr="00DC08C0">
        <w:rPr>
          <w:rFonts w:eastAsia="Times New Roman"/>
        </w:rPr>
        <w:t>doi</w:t>
      </w:r>
      <w:proofErr w:type="spellEnd"/>
      <w:r w:rsidRPr="00DC08C0">
        <w:rPr>
          <w:rFonts w:eastAsia="Times New Roman"/>
        </w:rPr>
        <w:t xml:space="preserve">: https://doi.org/10.1038/s41598-019-40077-9. </w:t>
      </w:r>
    </w:p>
    <w:p w14:paraId="2CECE7AC"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Smoll NR, Khan A, Walker J, McMahon J, Kirk M, Khandaker G. A norovirus gastroenteritis outbreak in an Australian child-care </w:t>
      </w:r>
      <w:proofErr w:type="spellStart"/>
      <w:r w:rsidRPr="00DC08C0">
        <w:rPr>
          <w:rFonts w:eastAsia="Times New Roman"/>
        </w:rPr>
        <w:t>center</w:t>
      </w:r>
      <w:proofErr w:type="spellEnd"/>
      <w:r w:rsidRPr="00DC08C0">
        <w:rPr>
          <w:rFonts w:eastAsia="Times New Roman"/>
        </w:rPr>
        <w:t xml:space="preserve">: a household-level analysis. </w:t>
      </w:r>
      <w:proofErr w:type="spellStart"/>
      <w:r w:rsidRPr="00DC08C0">
        <w:rPr>
          <w:rFonts w:eastAsia="Times New Roman"/>
        </w:rPr>
        <w:t>PLoS</w:t>
      </w:r>
      <w:proofErr w:type="spellEnd"/>
      <w:r w:rsidRPr="00DC08C0">
        <w:rPr>
          <w:rFonts w:eastAsia="Times New Roman"/>
        </w:rPr>
        <w:t xml:space="preserve"> One. 2021;16(11</w:t>
      </w:r>
      <w:proofErr w:type="gramStart"/>
      <w:r w:rsidRPr="00DC08C0">
        <w:rPr>
          <w:rFonts w:eastAsia="Times New Roman"/>
        </w:rPr>
        <w:t>):e</w:t>
      </w:r>
      <w:proofErr w:type="gramEnd"/>
      <w:r w:rsidRPr="00DC08C0">
        <w:rPr>
          <w:rFonts w:eastAsia="Times New Roman"/>
        </w:rPr>
        <w:t xml:space="preserve">0259145. </w:t>
      </w:r>
      <w:proofErr w:type="spellStart"/>
      <w:r w:rsidRPr="00DC08C0">
        <w:rPr>
          <w:rFonts w:eastAsia="Times New Roman"/>
        </w:rPr>
        <w:t>doi</w:t>
      </w:r>
      <w:proofErr w:type="spellEnd"/>
      <w:r w:rsidRPr="00DC08C0">
        <w:rPr>
          <w:rFonts w:eastAsia="Times New Roman"/>
        </w:rPr>
        <w:t xml:space="preserve">: https://doi.org/10.1371/journal.pone.0259145. </w:t>
      </w:r>
    </w:p>
    <w:p w14:paraId="1780809D"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Victoria State Government Department of Health. A guide to the management and control of gastroenteritis outbreaks in children’s centres. [Internet.] Melbourne: Victoria State Government Department of Health; 19 February 2019. Available from: https://www2.health.vic.gov.au/about/publications/researchandreports/A-guide-to-the-management-and-control-of-gastroenteritis-outbreaks-in-childrens-centres. </w:t>
      </w:r>
    </w:p>
    <w:p w14:paraId="37D2B352"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Victoria State Government Department of Health. Guidelines for the investigation of gastroenteritis. Melbourne: Victoria State Government Department of Health; 2010. Available from: https://www.health.vic.gov.au/sites/default/files/migrated/files/collections/research-and-reports/g/gastro-guidelines-web---pdf.pdf. </w:t>
      </w:r>
    </w:p>
    <w:p w14:paraId="293611AE"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Singh D, Joshi K, Samuel A, Patra J, </w:t>
      </w:r>
      <w:proofErr w:type="spellStart"/>
      <w:r w:rsidRPr="00DC08C0">
        <w:rPr>
          <w:rFonts w:eastAsia="Times New Roman"/>
        </w:rPr>
        <w:t>Mahindroo</w:t>
      </w:r>
      <w:proofErr w:type="spellEnd"/>
      <w:r w:rsidRPr="00DC08C0">
        <w:rPr>
          <w:rFonts w:eastAsia="Times New Roman"/>
        </w:rPr>
        <w:t xml:space="preserve"> N. Alcohol-based hand sanitisers as first line of defence against SARS-CoV-2: a review of biology, </w:t>
      </w:r>
      <w:proofErr w:type="gramStart"/>
      <w:r w:rsidRPr="00DC08C0">
        <w:rPr>
          <w:rFonts w:eastAsia="Times New Roman"/>
        </w:rPr>
        <w:t>chemistry</w:t>
      </w:r>
      <w:proofErr w:type="gramEnd"/>
      <w:r w:rsidRPr="00DC08C0">
        <w:rPr>
          <w:rFonts w:eastAsia="Times New Roman"/>
        </w:rPr>
        <w:t xml:space="preserve"> and formulations. Epidemiol Infect. 2020;</w:t>
      </w:r>
      <w:proofErr w:type="gramStart"/>
      <w:r w:rsidRPr="00DC08C0">
        <w:rPr>
          <w:rFonts w:eastAsia="Times New Roman"/>
        </w:rPr>
        <w:t>148:e</w:t>
      </w:r>
      <w:proofErr w:type="gramEnd"/>
      <w:r w:rsidRPr="00DC08C0">
        <w:rPr>
          <w:rFonts w:eastAsia="Times New Roman"/>
        </w:rPr>
        <w:t xml:space="preserve">229. </w:t>
      </w:r>
      <w:proofErr w:type="spellStart"/>
      <w:r w:rsidRPr="00DC08C0">
        <w:rPr>
          <w:rFonts w:eastAsia="Times New Roman"/>
        </w:rPr>
        <w:t>doi</w:t>
      </w:r>
      <w:proofErr w:type="spellEnd"/>
      <w:r w:rsidRPr="00DC08C0">
        <w:rPr>
          <w:rFonts w:eastAsia="Times New Roman"/>
        </w:rPr>
        <w:t xml:space="preserve">: https://doi.org/10.1017/S0950268820002319. </w:t>
      </w:r>
    </w:p>
    <w:p w14:paraId="1A50FF3A"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Sato S, Matsumoto N, </w:t>
      </w:r>
      <w:proofErr w:type="spellStart"/>
      <w:r w:rsidRPr="00DC08C0">
        <w:rPr>
          <w:rFonts w:eastAsia="Times New Roman"/>
        </w:rPr>
        <w:t>Hisaie</w:t>
      </w:r>
      <w:proofErr w:type="spellEnd"/>
      <w:r w:rsidRPr="00DC08C0">
        <w:rPr>
          <w:rFonts w:eastAsia="Times New Roman"/>
        </w:rPr>
        <w:t xml:space="preserve"> K, </w:t>
      </w:r>
      <w:proofErr w:type="spellStart"/>
      <w:r w:rsidRPr="00DC08C0">
        <w:rPr>
          <w:rFonts w:eastAsia="Times New Roman"/>
        </w:rPr>
        <w:t>Uematsu</w:t>
      </w:r>
      <w:proofErr w:type="spellEnd"/>
      <w:r w:rsidRPr="00DC08C0">
        <w:rPr>
          <w:rFonts w:eastAsia="Times New Roman"/>
        </w:rPr>
        <w:t xml:space="preserve"> S. Alcohol abrogates human norovirus infectivity in a pH-dependent manner. Sci Rep. 2020;10(1):15878. </w:t>
      </w:r>
      <w:proofErr w:type="spellStart"/>
      <w:r w:rsidRPr="00DC08C0">
        <w:rPr>
          <w:rFonts w:eastAsia="Times New Roman"/>
        </w:rPr>
        <w:t>doi</w:t>
      </w:r>
      <w:proofErr w:type="spellEnd"/>
      <w:r w:rsidRPr="00DC08C0">
        <w:rPr>
          <w:rFonts w:eastAsia="Times New Roman"/>
        </w:rPr>
        <w:t xml:space="preserve">: https://doi.org/10.1038/s41598-020-72609-z. </w:t>
      </w:r>
    </w:p>
    <w:p w14:paraId="305C24B2" w14:textId="77777777" w:rsidR="00175E97" w:rsidRPr="00DC08C0" w:rsidRDefault="00175E97" w:rsidP="00DC08C0">
      <w:pPr>
        <w:pStyle w:val="ListParagraph"/>
        <w:numPr>
          <w:ilvl w:val="0"/>
          <w:numId w:val="10"/>
        </w:numPr>
        <w:rPr>
          <w:rFonts w:eastAsia="Times New Roman"/>
        </w:rPr>
      </w:pPr>
      <w:proofErr w:type="spellStart"/>
      <w:r w:rsidRPr="00DC08C0">
        <w:rPr>
          <w:rFonts w:eastAsia="Times New Roman"/>
        </w:rPr>
        <w:t>Tuladhar</w:t>
      </w:r>
      <w:proofErr w:type="spellEnd"/>
      <w:r w:rsidRPr="00DC08C0">
        <w:rPr>
          <w:rFonts w:eastAsia="Times New Roman"/>
        </w:rPr>
        <w:t xml:space="preserve"> E, </w:t>
      </w:r>
      <w:proofErr w:type="spellStart"/>
      <w:r w:rsidRPr="00DC08C0">
        <w:rPr>
          <w:rFonts w:eastAsia="Times New Roman"/>
        </w:rPr>
        <w:t>Hazeleger</w:t>
      </w:r>
      <w:proofErr w:type="spellEnd"/>
      <w:r w:rsidRPr="00DC08C0">
        <w:rPr>
          <w:rFonts w:eastAsia="Times New Roman"/>
        </w:rPr>
        <w:t xml:space="preserve"> WC, Koopmans M, </w:t>
      </w:r>
      <w:proofErr w:type="spellStart"/>
      <w:r w:rsidRPr="00DC08C0">
        <w:rPr>
          <w:rFonts w:eastAsia="Times New Roman"/>
        </w:rPr>
        <w:t>Zwietering</w:t>
      </w:r>
      <w:proofErr w:type="spellEnd"/>
      <w:r w:rsidRPr="00DC08C0">
        <w:rPr>
          <w:rFonts w:eastAsia="Times New Roman"/>
        </w:rPr>
        <w:t xml:space="preserve"> MH, </w:t>
      </w:r>
      <w:proofErr w:type="spellStart"/>
      <w:r w:rsidRPr="00DC08C0">
        <w:rPr>
          <w:rFonts w:eastAsia="Times New Roman"/>
        </w:rPr>
        <w:t>Duizer</w:t>
      </w:r>
      <w:proofErr w:type="spellEnd"/>
      <w:r w:rsidRPr="00DC08C0">
        <w:rPr>
          <w:rFonts w:eastAsia="Times New Roman"/>
        </w:rPr>
        <w:t xml:space="preserve"> E, </w:t>
      </w:r>
      <w:proofErr w:type="spellStart"/>
      <w:r w:rsidRPr="00DC08C0">
        <w:rPr>
          <w:rFonts w:eastAsia="Times New Roman"/>
        </w:rPr>
        <w:t>Beumer</w:t>
      </w:r>
      <w:proofErr w:type="spellEnd"/>
      <w:r w:rsidRPr="00DC08C0">
        <w:rPr>
          <w:rFonts w:eastAsia="Times New Roman"/>
        </w:rPr>
        <w:t xml:space="preserve"> RR. Reducing viral contamination from finger pads: handwashing is more effective than alcohol-based hand disinfectants. J Hosp Infect. 2015;90(3):226–34. </w:t>
      </w:r>
      <w:proofErr w:type="spellStart"/>
      <w:r w:rsidRPr="00DC08C0">
        <w:rPr>
          <w:rFonts w:eastAsia="Times New Roman"/>
        </w:rPr>
        <w:t>doi</w:t>
      </w:r>
      <w:proofErr w:type="spellEnd"/>
      <w:r w:rsidRPr="00DC08C0">
        <w:rPr>
          <w:rFonts w:eastAsia="Times New Roman"/>
        </w:rPr>
        <w:t xml:space="preserve">: https://doi.org/10.1016/j.jhin.2015.02.019. </w:t>
      </w:r>
    </w:p>
    <w:p w14:paraId="59F88539" w14:textId="77777777" w:rsidR="00175E97" w:rsidRPr="00DC08C0" w:rsidRDefault="00175E97" w:rsidP="00DC08C0">
      <w:pPr>
        <w:pStyle w:val="ListParagraph"/>
        <w:numPr>
          <w:ilvl w:val="0"/>
          <w:numId w:val="10"/>
        </w:numPr>
        <w:rPr>
          <w:rFonts w:eastAsia="Times New Roman"/>
        </w:rPr>
      </w:pPr>
      <w:r w:rsidRPr="00DC08C0">
        <w:rPr>
          <w:rFonts w:eastAsia="Times New Roman"/>
        </w:rPr>
        <w:t xml:space="preserve">Australian Government Department of Health and Aged Care. Guidelines for the public health management of gastroenteritis outbreaks due to norovirus or suspected viral agents in Australia. Canberra: Australian Government Department of Health and Aged Care; 2 June 2010. Available from: https://www.health.gov.au/resources/publications/norovirus-and-suspected-viral-gastroenteritis-cdna-national-guidelines-for-public-health-units. </w:t>
      </w:r>
    </w:p>
    <w:p w14:paraId="3120A47B" w14:textId="77777777" w:rsidR="00343B69" w:rsidRDefault="00343B69">
      <w:pPr>
        <w:rPr>
          <w:rFonts w:asciiTheme="majorHAnsi" w:eastAsiaTheme="majorEastAsia" w:hAnsiTheme="majorHAnsi" w:cstheme="majorBidi"/>
          <w:b/>
          <w:bCs/>
          <w:sz w:val="32"/>
          <w:szCs w:val="28"/>
        </w:rPr>
      </w:pPr>
      <w:r>
        <w:br w:type="page"/>
      </w:r>
    </w:p>
    <w:p w14:paraId="2E1BBD44" w14:textId="69670B12" w:rsidR="00175E97" w:rsidRPr="00DC08C0" w:rsidRDefault="00175E97" w:rsidP="00DC08C0">
      <w:pPr>
        <w:pStyle w:val="Heading1"/>
      </w:pPr>
      <w:r w:rsidRPr="00DC08C0">
        <w:lastRenderedPageBreak/>
        <w:t>Appendix A: Supplementary material</w:t>
      </w:r>
    </w:p>
    <w:p w14:paraId="3ECA178F" w14:textId="77777777" w:rsidR="00031DCF" w:rsidRDefault="00031DCF" w:rsidP="00343B69">
      <w:pPr>
        <w:divId w:val="199511282"/>
        <w:rPr>
          <w:sz w:val="24"/>
          <w:szCs w:val="24"/>
          <w:lang w:val="en-GB"/>
        </w:rPr>
      </w:pPr>
      <w:r>
        <w:rPr>
          <w:lang w:val="en-GB"/>
        </w:rPr>
        <w:t>Appendix A: Supplementary material</w:t>
      </w:r>
    </w:p>
    <w:p w14:paraId="5C456A6C" w14:textId="77777777" w:rsidR="00031DCF" w:rsidRPr="00343B69" w:rsidRDefault="00031DCF" w:rsidP="00343B69">
      <w:pPr>
        <w:pStyle w:val="CDIFigures"/>
        <w:divId w:val="199511282"/>
      </w:pPr>
      <w:r w:rsidRPr="00343B69">
        <w:rPr>
          <w:rStyle w:val="Strong"/>
          <w:b/>
          <w:bCs w:val="0"/>
        </w:rPr>
        <w:t>Figure A.1: Media mentions of viral gastroenteritis-related public health communications over time</w:t>
      </w:r>
    </w:p>
    <w:p w14:paraId="6E108B5F" w14:textId="77777777" w:rsidR="00031DCF" w:rsidRDefault="00031DCF">
      <w:pPr>
        <w:divId w:val="199511282"/>
        <w:rPr>
          <w:rFonts w:eastAsia="Times New Roman"/>
          <w:lang w:val="en-GB"/>
        </w:rPr>
      </w:pPr>
      <w:r>
        <w:rPr>
          <w:rFonts w:eastAsia="Times New Roman"/>
          <w:noProof/>
          <w:lang w:val="en-GB"/>
        </w:rPr>
        <w:drawing>
          <wp:inline distT="0" distB="0" distL="0" distR="0" wp14:anchorId="3C08165C" wp14:editId="105DE50B">
            <wp:extent cx="6586143" cy="4090111"/>
            <wp:effectExtent l="0" t="0" r="5715" b="5715"/>
            <wp:docPr id="3" name="Picture 3" descr="Media mentions of viral gastroenteritis-related public health communication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dia mentions of viral gastroenteritis-related public health communications over tim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730"/>
                    <a:stretch>
                      <a:fillRect/>
                    </a:stretch>
                  </pic:blipFill>
                  <pic:spPr bwMode="auto">
                    <a:xfrm>
                      <a:off x="0" y="0"/>
                      <a:ext cx="6591164" cy="4093229"/>
                    </a:xfrm>
                    <a:prstGeom prst="rect">
                      <a:avLst/>
                    </a:prstGeom>
                    <a:ln>
                      <a:noFill/>
                    </a:ln>
                    <a:extLst>
                      <a:ext uri="{53640926-AAD7-44D8-BBD7-CCE9431645EC}">
                        <a14:shadowObscured xmlns:a14="http://schemas.microsoft.com/office/drawing/2010/main"/>
                      </a:ext>
                    </a:extLst>
                  </pic:spPr>
                </pic:pic>
              </a:graphicData>
            </a:graphic>
          </wp:inline>
        </w:drawing>
      </w:r>
    </w:p>
    <w:p w14:paraId="572D4D8C" w14:textId="77777777" w:rsidR="00343B69" w:rsidRDefault="00343B69">
      <w:pPr>
        <w:rPr>
          <w:rStyle w:val="Strong"/>
          <w:bCs w:val="0"/>
        </w:rPr>
      </w:pPr>
      <w:r>
        <w:rPr>
          <w:rStyle w:val="Strong"/>
          <w:b w:val="0"/>
          <w:bCs w:val="0"/>
        </w:rPr>
        <w:br w:type="page"/>
      </w:r>
    </w:p>
    <w:p w14:paraId="0BBFA90F" w14:textId="565A098D" w:rsidR="00031DCF" w:rsidRPr="00343B69" w:rsidRDefault="00031DCF" w:rsidP="00343B69">
      <w:pPr>
        <w:pStyle w:val="CDIFigures"/>
        <w:divId w:val="199511282"/>
      </w:pPr>
      <w:r w:rsidRPr="00343B69">
        <w:rPr>
          <w:rStyle w:val="Strong"/>
          <w:b/>
          <w:bCs w:val="0"/>
        </w:rPr>
        <w:lastRenderedPageBreak/>
        <w:t>Figure A.2: Advertising sales reach (ASR) from public health communications over time</w:t>
      </w:r>
    </w:p>
    <w:p w14:paraId="52C56D81" w14:textId="77777777" w:rsidR="00031DCF" w:rsidRDefault="00031DCF">
      <w:pPr>
        <w:divId w:val="199511282"/>
        <w:rPr>
          <w:rFonts w:eastAsia="Times New Roman"/>
          <w:lang w:val="en-GB"/>
        </w:rPr>
      </w:pPr>
      <w:r>
        <w:rPr>
          <w:rFonts w:eastAsia="Times New Roman"/>
          <w:noProof/>
          <w:lang w:val="en-GB"/>
        </w:rPr>
        <w:drawing>
          <wp:inline distT="0" distB="0" distL="0" distR="0" wp14:anchorId="6E05E811" wp14:editId="5CAD699B">
            <wp:extent cx="6625742" cy="4318978"/>
            <wp:effectExtent l="0" t="0" r="3810" b="5715"/>
            <wp:docPr id="4" name="Picture 4" descr="Advertising Sales Reach (ASR) from public health communication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dvertising Sales Reach (ASR) from public health communications over tim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777" cy="4324215"/>
                    </a:xfrm>
                    <a:prstGeom prst="rect">
                      <a:avLst/>
                    </a:prstGeom>
                  </pic:spPr>
                </pic:pic>
              </a:graphicData>
            </a:graphic>
          </wp:inline>
        </w:drawing>
      </w:r>
    </w:p>
    <w:p w14:paraId="5AFD62D4" w14:textId="5C415C55" w:rsidR="008B5348" w:rsidRDefault="008B5348">
      <w:pPr>
        <w:rPr>
          <w:rStyle w:val="A10"/>
        </w:rPr>
      </w:pPr>
    </w:p>
    <w:p w14:paraId="45C54A03" w14:textId="77777777" w:rsidR="008B5348" w:rsidRDefault="008B5348">
      <w:pPr>
        <w:rPr>
          <w:rStyle w:val="A10"/>
        </w:rPr>
      </w:pPr>
      <w:r>
        <w:rPr>
          <w:rStyle w:val="A10"/>
        </w:rPr>
        <w:br w:type="page"/>
      </w:r>
    </w:p>
    <w:p w14:paraId="3CB53D9E"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100998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B372E4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F87DFD" w14:textId="77777777" w:rsidR="000A5F42" w:rsidRPr="000606CC" w:rsidRDefault="000A5F42" w:rsidP="000A5F42">
      <w:pPr>
        <w:pStyle w:val="NoSpacing"/>
        <w:rPr>
          <w:rStyle w:val="URI"/>
          <w:rFonts w:cstheme="minorHAnsi"/>
          <w:sz w:val="20"/>
          <w:szCs w:val="18"/>
        </w:rPr>
      </w:pPr>
    </w:p>
    <w:p w14:paraId="4E06455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19E6913" w14:textId="77777777" w:rsidR="000A5F42" w:rsidRPr="000606CC" w:rsidRDefault="000A5F42" w:rsidP="000A5F42">
      <w:pPr>
        <w:pStyle w:val="NoSpacing"/>
        <w:rPr>
          <w:rStyle w:val="Strong"/>
          <w:rFonts w:cstheme="minorHAnsi"/>
          <w:sz w:val="20"/>
          <w:szCs w:val="18"/>
        </w:rPr>
      </w:pPr>
    </w:p>
    <w:p w14:paraId="1531FB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98F47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8C058A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616F37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985DC91" w14:textId="77777777" w:rsidR="000A5F42" w:rsidRPr="000606CC" w:rsidRDefault="000A5F42" w:rsidP="000A5F42">
      <w:pPr>
        <w:pStyle w:val="NoSpacing"/>
        <w:rPr>
          <w:rStyle w:val="Strong"/>
          <w:rFonts w:cstheme="minorHAnsi"/>
          <w:sz w:val="20"/>
          <w:szCs w:val="18"/>
        </w:rPr>
      </w:pPr>
    </w:p>
    <w:p w14:paraId="6F6B6816" w14:textId="1BF88F1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68503CA" w14:textId="77777777" w:rsidR="000A5F42" w:rsidRPr="000606CC" w:rsidRDefault="000A5F42" w:rsidP="000A5F42">
      <w:pPr>
        <w:pStyle w:val="NoSpacing"/>
        <w:rPr>
          <w:rStyle w:val="Strong"/>
          <w:rFonts w:cstheme="minorHAnsi"/>
          <w:sz w:val="20"/>
          <w:szCs w:val="18"/>
        </w:rPr>
      </w:pPr>
    </w:p>
    <w:p w14:paraId="37EF102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94BBC13" w14:textId="77777777" w:rsidR="000A5F42" w:rsidRPr="000606CC" w:rsidRDefault="000A5F42" w:rsidP="000A5F42">
      <w:pPr>
        <w:pStyle w:val="NoSpacing"/>
        <w:rPr>
          <w:rStyle w:val="Strong"/>
          <w:rFonts w:cstheme="minorHAnsi"/>
          <w:sz w:val="20"/>
          <w:szCs w:val="18"/>
        </w:rPr>
      </w:pPr>
    </w:p>
    <w:p w14:paraId="197B142C" w14:textId="7325A3C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1C1ABB6" w14:textId="77777777" w:rsidR="000A5F42" w:rsidRPr="000606CC" w:rsidRDefault="000A5F42" w:rsidP="000A5F42">
      <w:pPr>
        <w:pStyle w:val="NoSpacing"/>
        <w:rPr>
          <w:rStyle w:val="Strong"/>
          <w:rFonts w:cstheme="minorHAnsi"/>
          <w:sz w:val="20"/>
          <w:szCs w:val="18"/>
        </w:rPr>
      </w:pPr>
    </w:p>
    <w:p w14:paraId="1DE522C9" w14:textId="79139D5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A743F4D" w14:textId="3D35B59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8AD5559" w14:textId="77777777" w:rsidR="000A5F42" w:rsidRPr="000606CC" w:rsidRDefault="000A5F42" w:rsidP="000A5F42">
      <w:pPr>
        <w:pStyle w:val="NoSpacing"/>
        <w:pBdr>
          <w:bottom w:val="single" w:sz="6" w:space="1" w:color="auto"/>
        </w:pBdr>
        <w:rPr>
          <w:rStyle w:val="Strong"/>
          <w:rFonts w:cstheme="minorHAnsi"/>
          <w:sz w:val="12"/>
          <w:szCs w:val="18"/>
        </w:rPr>
      </w:pPr>
    </w:p>
    <w:p w14:paraId="0CB01239" w14:textId="77777777" w:rsidR="000A5F42" w:rsidRPr="000606CC" w:rsidRDefault="000A5F42" w:rsidP="000A5F42">
      <w:pPr>
        <w:pStyle w:val="NoSpacing"/>
        <w:rPr>
          <w:rFonts w:cstheme="minorHAnsi"/>
          <w:sz w:val="20"/>
          <w:szCs w:val="18"/>
        </w:rPr>
      </w:pPr>
    </w:p>
    <w:p w14:paraId="59B7D4D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7C6D4EE3" w14:textId="77777777" w:rsidR="000A5F42" w:rsidRPr="000606CC" w:rsidRDefault="000A5F42" w:rsidP="000A5F42">
      <w:pPr>
        <w:pStyle w:val="NoSpacing"/>
        <w:rPr>
          <w:rFonts w:cstheme="minorHAnsi"/>
          <w:sz w:val="20"/>
          <w:szCs w:val="18"/>
        </w:rPr>
      </w:pPr>
    </w:p>
    <w:p w14:paraId="0878544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B46CEF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B3232">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67D932C" w14:textId="75E2301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A83CB7D" w14:textId="77777777" w:rsidR="000A5F42" w:rsidRPr="000606CC" w:rsidRDefault="000A5F42" w:rsidP="000A5F42">
      <w:pPr>
        <w:pStyle w:val="NoSpacing"/>
        <w:rPr>
          <w:rFonts w:cstheme="minorHAnsi"/>
          <w:sz w:val="20"/>
          <w:szCs w:val="18"/>
        </w:rPr>
      </w:pPr>
    </w:p>
    <w:p w14:paraId="7D223F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5E4F101" w14:textId="3CAFB0B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AFE8B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24258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63C88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B5C59A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0E78EB7" w14:textId="77777777" w:rsidR="000A5F42" w:rsidRPr="000606CC" w:rsidRDefault="000A5F42" w:rsidP="000A5F42">
      <w:pPr>
        <w:pStyle w:val="NoSpacing"/>
        <w:rPr>
          <w:rStyle w:val="Strong"/>
          <w:rFonts w:cstheme="minorHAnsi"/>
          <w:sz w:val="20"/>
          <w:szCs w:val="18"/>
        </w:rPr>
      </w:pPr>
    </w:p>
    <w:p w14:paraId="7E5AEDC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160C955" w14:textId="77777777" w:rsidR="000A5F42" w:rsidRPr="000606CC" w:rsidRDefault="000A5F42" w:rsidP="000A5F42">
      <w:pPr>
        <w:pStyle w:val="NoSpacing"/>
        <w:rPr>
          <w:rStyle w:val="Strong"/>
          <w:rFonts w:cstheme="minorHAnsi"/>
          <w:sz w:val="20"/>
          <w:szCs w:val="18"/>
        </w:rPr>
      </w:pPr>
    </w:p>
    <w:p w14:paraId="791873DA" w14:textId="03B437F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A217852" w14:textId="77777777" w:rsidR="000A5F42" w:rsidRPr="000606CC" w:rsidRDefault="000A5F42" w:rsidP="000A5F42">
      <w:pPr>
        <w:pStyle w:val="NoSpacing"/>
        <w:rPr>
          <w:rStyle w:val="URI"/>
          <w:rFonts w:cstheme="minorHAnsi"/>
          <w:sz w:val="20"/>
          <w:szCs w:val="18"/>
        </w:rPr>
      </w:pPr>
    </w:p>
    <w:p w14:paraId="3111A60D" w14:textId="2DCAAB0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0D1C0669"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16E8" w14:textId="77777777" w:rsidR="007B3232" w:rsidRDefault="007B3232" w:rsidP="00E54DBA">
      <w:r>
        <w:separator/>
      </w:r>
    </w:p>
    <w:p w14:paraId="7593815E" w14:textId="77777777" w:rsidR="007B3232" w:rsidRDefault="007B3232"/>
    <w:p w14:paraId="36D6FC9B" w14:textId="77777777" w:rsidR="007B3232" w:rsidRDefault="007B3232" w:rsidP="008714B0"/>
  </w:endnote>
  <w:endnote w:type="continuationSeparator" w:id="0">
    <w:p w14:paraId="1B6575D8" w14:textId="77777777" w:rsidR="007B3232" w:rsidRDefault="007B3232" w:rsidP="00E54DBA">
      <w:r>
        <w:continuationSeparator/>
      </w:r>
    </w:p>
    <w:p w14:paraId="1E669C3D" w14:textId="77777777" w:rsidR="007B3232" w:rsidRDefault="007B3232"/>
    <w:p w14:paraId="61848F8C" w14:textId="77777777" w:rsidR="007B3232" w:rsidRDefault="007B323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F58CE95-604B-40D6-8171-6D59BA8C5E68}"/>
    <w:embedBold r:id="rId2" w:fontKey="{C3D7CBDD-2490-42C9-8950-DB7BB5396D53}"/>
    <w:embedItalic r:id="rId3" w:fontKey="{3676D3FE-04C3-4923-AFFF-4E42E0EBAE49}"/>
    <w:embedBoldItalic r:id="rId4" w:fontKey="{F83824BB-16C5-47BA-8E99-56E00994A604}"/>
  </w:font>
  <w:font w:name="Cambria">
    <w:panose1 w:val="02040503050406030204"/>
    <w:charset w:val="00"/>
    <w:family w:val="roman"/>
    <w:pitch w:val="variable"/>
    <w:sig w:usb0="E00006FF" w:usb1="420024FF" w:usb2="02000000" w:usb3="00000000" w:csb0="0000019F" w:csb1="00000000"/>
    <w:embedRegular r:id="rId5" w:fontKey="{26D1CE84-FC7C-4A1D-93D0-FF3F78073F6A}"/>
    <w:embedBold r:id="rId6" w:fontKey="{AFA5A1AF-087F-4DA4-9F2C-31E09DDA06E8}"/>
    <w:embedItalic r:id="rId7" w:fontKey="{C740A9AA-DB6D-445E-A93B-076A61126069}"/>
    <w:embedBoldItalic r:id="rId8" w:fontKey="{57B592E4-4003-455A-BE2E-55CA5AC05ED9}"/>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53DAC8BC-27A3-41CA-945C-219CF276F7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1F71" w14:textId="2EF6528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B3232">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B3232">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C10A5">
      <w:rPr>
        <w:sz w:val="18"/>
      </w:rPr>
      <w:t>https://doi.org/10.33321/cdi.2022.46.64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C10A5">
      <w:rPr>
        <w:sz w:val="18"/>
      </w:rPr>
      <w:t>26/09/2022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6B77" w14:textId="1DED104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B3232">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B3232">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C10A5">
      <w:rPr>
        <w:sz w:val="18"/>
      </w:rPr>
      <w:t>https://doi.org/10.33321/cdi.2022.46.64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C10A5">
      <w:rPr>
        <w:sz w:val="18"/>
      </w:rPr>
      <w:t>26/09/2022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E9AC7" w14:textId="77777777" w:rsidR="007B3232" w:rsidRPr="00B91FB5" w:rsidRDefault="007B3232" w:rsidP="00B91FB5">
      <w:pPr>
        <w:spacing w:after="0" w:line="240" w:lineRule="auto"/>
        <w:rPr>
          <w:sz w:val="18"/>
          <w:szCs w:val="18"/>
        </w:rPr>
      </w:pPr>
      <w:r w:rsidRPr="00B91FB5">
        <w:rPr>
          <w:sz w:val="18"/>
          <w:szCs w:val="18"/>
        </w:rPr>
        <w:separator/>
      </w:r>
    </w:p>
  </w:footnote>
  <w:footnote w:type="continuationSeparator" w:id="0">
    <w:p w14:paraId="39F9F9DF" w14:textId="77777777" w:rsidR="007B3232" w:rsidRDefault="007B3232" w:rsidP="00E54DBA">
      <w:r>
        <w:continuationSeparator/>
      </w:r>
    </w:p>
  </w:footnote>
  <w:footnote w:type="continuationNotice" w:id="1">
    <w:p w14:paraId="2E4DFE7C" w14:textId="77777777" w:rsidR="007B3232" w:rsidRPr="00224EFF" w:rsidRDefault="007B323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0379" w14:textId="4C2D9F84" w:rsidR="00257484" w:rsidRPr="00A153B6" w:rsidRDefault="006C10A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C62D3">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7032"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24984D0" wp14:editId="1979055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5C548B"/>
    <w:multiLevelType w:val="hybridMultilevel"/>
    <w:tmpl w:val="4DFE5A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3550F4"/>
    <w:multiLevelType w:val="hybridMultilevel"/>
    <w:tmpl w:val="A998C7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EC27A85"/>
    <w:multiLevelType w:val="multilevel"/>
    <w:tmpl w:val="2DD80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F779E8"/>
    <w:multiLevelType w:val="multilevel"/>
    <w:tmpl w:val="0B7E2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7"/>
  </w:num>
  <w:num w:numId="6">
    <w:abstractNumId w:val="8"/>
  </w:num>
  <w:num w:numId="7">
    <w:abstractNumId w:val="6"/>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32"/>
    <w:rsid w:val="00000B5B"/>
    <w:rsid w:val="00001611"/>
    <w:rsid w:val="000104A8"/>
    <w:rsid w:val="0001246E"/>
    <w:rsid w:val="000124B1"/>
    <w:rsid w:val="00016FE6"/>
    <w:rsid w:val="00025A44"/>
    <w:rsid w:val="00031064"/>
    <w:rsid w:val="00031692"/>
    <w:rsid w:val="00031DCF"/>
    <w:rsid w:val="00032531"/>
    <w:rsid w:val="000325A0"/>
    <w:rsid w:val="000471BF"/>
    <w:rsid w:val="00047B68"/>
    <w:rsid w:val="00052600"/>
    <w:rsid w:val="000530CC"/>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75E97"/>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3B69"/>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0FE0"/>
    <w:rsid w:val="005E33DD"/>
    <w:rsid w:val="005E4229"/>
    <w:rsid w:val="005E5181"/>
    <w:rsid w:val="005E540E"/>
    <w:rsid w:val="005E55FB"/>
    <w:rsid w:val="005F16BB"/>
    <w:rsid w:val="00607115"/>
    <w:rsid w:val="00620768"/>
    <w:rsid w:val="00624FCB"/>
    <w:rsid w:val="0062594B"/>
    <w:rsid w:val="00631406"/>
    <w:rsid w:val="006324FF"/>
    <w:rsid w:val="006351D6"/>
    <w:rsid w:val="00636E0D"/>
    <w:rsid w:val="0064142F"/>
    <w:rsid w:val="00643CB4"/>
    <w:rsid w:val="00656427"/>
    <w:rsid w:val="00660255"/>
    <w:rsid w:val="00663EA5"/>
    <w:rsid w:val="0069321A"/>
    <w:rsid w:val="006971F3"/>
    <w:rsid w:val="006C10A5"/>
    <w:rsid w:val="006C62D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3232"/>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56F75"/>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97572"/>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B439B"/>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08C0"/>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B5F4D"/>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862E5C"/>
  <w15:docId w15:val="{7DA35EAD-8FA5-4DE5-8367-2F1DD527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99511282">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7</TotalTime>
  <Pages>8</Pages>
  <Words>1611</Words>
  <Characters>10596</Characters>
  <Application>Microsoft Office Word</Application>
  <DocSecurity>0</DocSecurity>
  <Lines>180</Lines>
  <Paragraphs>67</Paragraphs>
  <ScaleCrop>false</ScaleCrop>
  <HeadingPairs>
    <vt:vector size="2" baseType="variant">
      <vt:variant>
        <vt:lpstr>Title</vt:lpstr>
      </vt:variant>
      <vt:variant>
        <vt:i4>1</vt:i4>
      </vt:variant>
    </vt:vector>
  </HeadingPairs>
  <TitlesOfParts>
    <vt:vector size="1" baseType="lpstr">
      <vt:lpstr>Communicable Diseases Intelligence - Public health response to a norovirus viral gastroenteritis outbreak in early childhood learning centres in Victoria, Australia, 2021</vt:lpstr>
    </vt:vector>
  </TitlesOfParts>
  <Company>Australian Government, Department of Health</Company>
  <LinksUpToDate>false</LinksUpToDate>
  <CharactersWithSpaces>12182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Public health response to a norovirus viral gastroenteritis outbreak in early childhood learning centres in Victoria, Australia, 2021</dc:title>
  <dc:subject>This letter describes the public health response to an outbreak of epidemic strain Norovirus in Victorian Early Childhood Learning Centres in 2021. The COVID-19 pandemic led to an increase in the use of alcohol-based hand rub in place of handwashing with soap and water. After a proactive communication campaign, the norovirus outbreak was successfully contained. </dc:subject>
  <dc:creator>George P Drewett; Anna-Lena Arnold; Leesa Bruggink; Sarah Borg; Kaye Sturge; Bruce Bolam</dc:creator>
  <cp:keywords>norovirus; alcohol-based hand sanitiser; soap and water handwashing; mass media; public health; GII.P16/GII.2</cp:keywords>
  <dc:description>© Commonwealth of Australia CC BY-NC-ND ISSN: 2209-6051 (Online)</dc:description>
  <cp:lastModifiedBy>YOUSEFI, Kasra</cp:lastModifiedBy>
  <cp:revision>7</cp:revision>
  <cp:lastPrinted>2018-05-10T02:19:00Z</cp:lastPrinted>
  <dcterms:created xsi:type="dcterms:W3CDTF">2022-09-02T02:12:00Z</dcterms:created>
  <dcterms:modified xsi:type="dcterms:W3CDTF">2022-09-20T23:46:00Z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https://doi.org/10.33321/cdi.2022.46.64</vt:lpwstr>
  </property>
</Properties>
</file>