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7C7C8" w14:textId="77777777" w:rsidR="00276887" w:rsidRPr="009A49D0" w:rsidRDefault="00276887" w:rsidP="009A49D0">
      <w:pPr>
        <w:pStyle w:val="Title"/>
      </w:pPr>
      <w:r w:rsidRPr="009A49D0">
        <w:t xml:space="preserve">HIV risk and gonococcal genotype: Opportunities to improve passive surveillance for prompt identification of </w:t>
      </w:r>
      <w:proofErr w:type="spellStart"/>
      <w:r w:rsidRPr="009A49D0">
        <w:t>syndemics</w:t>
      </w:r>
      <w:proofErr w:type="spellEnd"/>
      <w:r w:rsidRPr="009A49D0">
        <w:t xml:space="preserve">? </w:t>
      </w:r>
    </w:p>
    <w:p w14:paraId="70F81CBE" w14:textId="77777777" w:rsidR="00276887" w:rsidRDefault="00276887" w:rsidP="009A49D0">
      <w:r>
        <w:t xml:space="preserve">Sara FE Bell, Stephen B Lambert, Amy V Jennison, Christine JD </w:t>
      </w:r>
      <w:proofErr w:type="spellStart"/>
      <w:r>
        <w:t>Guglielmino</w:t>
      </w:r>
      <w:proofErr w:type="spellEnd"/>
      <w:r>
        <w:t xml:space="preserve">, Robert S Ware, David M Whiley </w:t>
      </w:r>
    </w:p>
    <w:p w14:paraId="7973A419" w14:textId="77777777" w:rsidR="00276887" w:rsidRDefault="00276887" w:rsidP="009A49D0">
      <w:r>
        <w:t xml:space="preserve">To understand the risk of HIV associated with gonococcal genotypes, we analysed linked Queensland datasets of genotyped </w:t>
      </w:r>
      <w:r w:rsidRPr="009A49D0">
        <w:rPr>
          <w:rStyle w:val="Emphasis"/>
          <w:b w:val="0"/>
          <w:bCs w:val="0"/>
        </w:rPr>
        <w:t>Neisseria gonorrhoeae</w:t>
      </w:r>
      <w:r>
        <w:t xml:space="preserve"> isolates with phenotypic resistance data with HIV notifications. Further research into the association of gonococcal genotypes and risk of HIV acquisition may be helpful to develop targeted public health interventions. </w:t>
      </w:r>
    </w:p>
    <w:p w14:paraId="646B55AE" w14:textId="77777777" w:rsidR="00276887" w:rsidRDefault="00276887" w:rsidP="009A49D0">
      <w:r>
        <w:t xml:space="preserve">Keywords: </w:t>
      </w:r>
      <w:r w:rsidRPr="009A49D0">
        <w:rPr>
          <w:rStyle w:val="Emphasis"/>
          <w:b w:val="0"/>
          <w:bCs w:val="0"/>
        </w:rPr>
        <w:t>Neisseria gonorrhoeae</w:t>
      </w:r>
      <w:r>
        <w:t xml:space="preserve">, genotype, HIV, Queensland </w:t>
      </w:r>
    </w:p>
    <w:p w14:paraId="04C2E522" w14:textId="77777777" w:rsidR="00276887" w:rsidRDefault="00276887" w:rsidP="009A49D0">
      <w:proofErr w:type="spellStart"/>
      <w:r>
        <w:t>Syndemics</w:t>
      </w:r>
      <w:proofErr w:type="spellEnd"/>
      <w:r>
        <w:t xml:space="preserve"> arise when health conditions act together, increasing morbidity and mortality.</w:t>
      </w:r>
      <w:r>
        <w:rPr>
          <w:vertAlign w:val="superscript"/>
        </w:rPr>
        <w:t>1</w:t>
      </w:r>
      <w:r>
        <w:t xml:space="preserve"> For example, human immunodeficiency virus (HIV) transmission increases in the presence of other sexually transmissible infections, including</w:t>
      </w:r>
      <w:r w:rsidRPr="009A49D0">
        <w:rPr>
          <w:rStyle w:val="Emphasis"/>
          <w:b w:val="0"/>
          <w:bCs w:val="0"/>
        </w:rPr>
        <w:t xml:space="preserve"> Neisseria gonorrhoeae</w:t>
      </w:r>
      <w:r>
        <w:t xml:space="preserve"> (NG).</w:t>
      </w:r>
      <w:r>
        <w:rPr>
          <w:vertAlign w:val="superscript"/>
        </w:rPr>
        <w:t>2</w:t>
      </w:r>
      <w:r>
        <w:t xml:space="preserve"> To understand potential associations between HIV infection and gonococcal genotypes and antimicrobial sensitivity, we analysed linked Queensland datasets of genotyped NG isolates (using </w:t>
      </w:r>
      <w:r w:rsidRPr="009A49D0">
        <w:rPr>
          <w:rStyle w:val="Emphasis"/>
          <w:b w:val="0"/>
          <w:bCs w:val="0"/>
        </w:rPr>
        <w:t>N. gonorrhoeae</w:t>
      </w:r>
      <w:r>
        <w:t xml:space="preserve"> multiantigen sequence typing, NG-MAST)</w:t>
      </w:r>
      <w:r>
        <w:rPr>
          <w:vertAlign w:val="superscript"/>
        </w:rPr>
        <w:t>3,4</w:t>
      </w:r>
      <w:r>
        <w:t xml:space="preserve"> with phenotypic resistance data, ascertained by standardised methods,</w:t>
      </w:r>
      <w:r>
        <w:rPr>
          <w:vertAlign w:val="superscript"/>
        </w:rPr>
        <w:t>5</w:t>
      </w:r>
      <w:r>
        <w:t xml:space="preserve"> in the period 1 January 2010 to 31 December 2015 and new HIV notifications from 1 January 2009 to 31 December 2016 (before widespread use of HIV pre-exposure prophylaxis). Currently, empiric dual therapy, </w:t>
      </w:r>
      <w:proofErr w:type="gramStart"/>
      <w:r>
        <w:t>ceftriaxone</w:t>
      </w:r>
      <w:proofErr w:type="gramEnd"/>
      <w:r>
        <w:t xml:space="preserve"> and azithromycin, is recommended treatment for uncomplicated NG cases.</w:t>
      </w:r>
      <w:r>
        <w:rPr>
          <w:vertAlign w:val="superscript"/>
        </w:rPr>
        <w:t>6</w:t>
      </w:r>
      <w:r>
        <w:t xml:space="preserve"> Susceptibility was established for all positive NG isolates referred from public and private pathology services to the Queensland state reference laboratory. Only one positive NG isolate per case from each episode of care, at least one month from a previous NG detection, was included for analysis. </w:t>
      </w:r>
    </w:p>
    <w:p w14:paraId="43DCF290" w14:textId="77777777" w:rsidR="00276887" w:rsidRDefault="00276887" w:rsidP="009A49D0">
      <w:r>
        <w:t xml:space="preserve">A total of 3340 NG isolates, representing 29.9% (3340/11170) of all unique NG notifications, from 3082 unique cases were genotyped using NG-MAST. There were 732 unique sequence types (ST) identified; most prevalent was ST6876 (7.1%, 237/3340) (Table 1). Prevalence of STs changed over time: ST6876, dominant in 2010 (14.0%, 91/652) and 2011 (14.6%, 94/644) was absent in 2015; ST4186, absent in 2010, accounted for 10.7% (42/394) of NG genotypes in 2015 (Figure 1). </w:t>
      </w:r>
    </w:p>
    <w:p w14:paraId="0E525469" w14:textId="77777777" w:rsidR="00276887" w:rsidRDefault="00276887" w:rsidP="009A49D0">
      <w:r>
        <w:t>There were 156 (4.5%, 156/3340) genotyped</w:t>
      </w:r>
      <w:r w:rsidRPr="009A49D0">
        <w:rPr>
          <w:rStyle w:val="Emphasis"/>
          <w:b w:val="0"/>
          <w:bCs w:val="0"/>
        </w:rPr>
        <w:t xml:space="preserve"> </w:t>
      </w:r>
      <w:r>
        <w:t xml:space="preserve">NG isolate results linked to 128 (4.9%, 128/2592) HIV notifications. Of linked HIV notifications, 106, 18, 2 and 2 were associated with 1, 2, 3 or 4 genotyped results, respectively. Of the 22 HIV notifications linked to two or more genotyped results, only 1/22 (4.5%) had a repeat NG genotype (ST4951) notified 40 days following the first notification; the remainder had different NG genotypes identified. Repeat infections were more common among NG infections linked to HIV notifications (17.9%, 28/156) compared to those unlinked (7.2%, 230/2954) (odds ratio (OR) 2.5, 95% CI 1.7–3.6). This association may be due to greater testing rates, or greater rates of gonorrhoea reinfection, for people living with HIV. </w:t>
      </w:r>
    </w:p>
    <w:p w14:paraId="077CE84F" w14:textId="77777777" w:rsidR="00276887" w:rsidRDefault="00276887" w:rsidP="009A49D0">
      <w:r>
        <w:t>HIV notifications were linked to 65 NG genotypes (8.9%, 65/732), suggesting, like other studies,</w:t>
      </w:r>
      <w:r>
        <w:rPr>
          <w:vertAlign w:val="superscript"/>
        </w:rPr>
        <w:t>7</w:t>
      </w:r>
      <w:r>
        <w:t xml:space="preserve"> that HIV is not necessarily associated with a limited number of gonococcal genotypes. Across the study period, two NG genotypes had significantly increased risk of same-calendar-year HIV diagnosis (ST1407 [from 2012 to 2015]: OR 5.1, 95% CI 1.8–14.8; and ST2992 [from 2010 to 2012]: OR 3.2, 95% CI 1.2–8.3) when compared to all other NG genotypes from the same calendar year. Both ST1407, harbouring a mosaic </w:t>
      </w:r>
      <w:proofErr w:type="spellStart"/>
      <w:r w:rsidRPr="009A49D0">
        <w:rPr>
          <w:rStyle w:val="Emphasis"/>
          <w:b w:val="0"/>
          <w:bCs w:val="0"/>
        </w:rPr>
        <w:t>penA</w:t>
      </w:r>
      <w:proofErr w:type="spellEnd"/>
      <w:r>
        <w:t xml:space="preserve"> gene, and ST2992, harbouring a mosaic </w:t>
      </w:r>
      <w:proofErr w:type="spellStart"/>
      <w:r w:rsidRPr="009A49D0">
        <w:rPr>
          <w:rStyle w:val="Emphasis"/>
          <w:b w:val="0"/>
          <w:bCs w:val="0"/>
        </w:rPr>
        <w:t>mtrR</w:t>
      </w:r>
      <w:proofErr w:type="spellEnd"/>
      <w:r>
        <w:t xml:space="preserve"> gene, are internationally recognised successful clones.</w:t>
      </w:r>
      <w:r>
        <w:rPr>
          <w:vertAlign w:val="superscript"/>
        </w:rPr>
        <w:t>8</w:t>
      </w:r>
      <w:r>
        <w:t xml:space="preserve"> A high degree of antimicrobial resistance was exhibited by ST1407, with 97.6% (81), 67.5% (56) and 7.2% (6) of isolates being resistant to ciprofloxacin, </w:t>
      </w:r>
      <w:proofErr w:type="gramStart"/>
      <w:r>
        <w:t>penicillin</w:t>
      </w:r>
      <w:proofErr w:type="gramEnd"/>
      <w:r>
        <w:t xml:space="preserve"> and azithromycin, respectively, and 27.7% (23) exhibiting decreased susceptibility to ceftriaxone. Only 2.4% of isolates (2/83) were susceptible to all four antimicrobials. Sequence type 1407 has been identified in men who have sex with men (MSM) </w:t>
      </w:r>
      <w:r>
        <w:lastRenderedPageBreak/>
        <w:t>and heterosexual networks, as have interrelated strains with key genetic markers, suggesting men who have sex with men and women present opportunities for strains to bridge between sexual networks.</w:t>
      </w:r>
      <w:r>
        <w:rPr>
          <w:vertAlign w:val="superscript"/>
        </w:rPr>
        <w:t>9</w:t>
      </w:r>
      <w:r>
        <w:t xml:space="preserve"> Bridging networks represent the potential for enabling HIV entry into heterosexual networks.</w:t>
      </w:r>
      <w:r>
        <w:rPr>
          <w:vertAlign w:val="superscript"/>
        </w:rPr>
        <w:t>10</w:t>
      </w:r>
      <w:r>
        <w:t xml:space="preserve"> Conversely, ST2992 exhibited a high degree of antimicrobial susceptibility, with 7.3% of isolates (12/165) being resistant to azithromycin only. A Melbourne study</w:t>
      </w:r>
      <w:r>
        <w:rPr>
          <w:vertAlign w:val="superscript"/>
        </w:rPr>
        <w:t>10</w:t>
      </w:r>
      <w:r>
        <w:t xml:space="preserve"> suggests ST2992 is associated more exclusively with MSM sexual networks. </w:t>
      </w:r>
    </w:p>
    <w:p w14:paraId="5DE8DFF6" w14:textId="77777777" w:rsidR="00276887" w:rsidRDefault="00276887" w:rsidP="009A49D0">
      <w:r>
        <w:t xml:space="preserve">Further research into the association of gonococcal genotypes and risk of HIV acquisition may be helpful, noting there is increasing concern of HIV becoming established in Far North Queensland, </w:t>
      </w:r>
      <w:proofErr w:type="spellStart"/>
      <w:r>
        <w:t>syndemic</w:t>
      </w:r>
      <w:proofErr w:type="spellEnd"/>
      <w:r>
        <w:t xml:space="preserve"> with syphilis.</w:t>
      </w:r>
      <w:r>
        <w:rPr>
          <w:vertAlign w:val="superscript"/>
        </w:rPr>
        <w:t>11</w:t>
      </w:r>
      <w:r>
        <w:t xml:space="preserve"> Analyses such as ours could help develop targeted public health interventions to identify and respond to important </w:t>
      </w:r>
      <w:proofErr w:type="spellStart"/>
      <w:r>
        <w:t>syndemic</w:t>
      </w:r>
      <w:proofErr w:type="spellEnd"/>
      <w:r>
        <w:t xml:space="preserve"> relationships. Routine NG genotyping to identify risk NG genotypes could provide real-time feedback to clinicians to promote HIV testing and awareness of HIV pre-exposure prophylaxis (</w:t>
      </w:r>
      <w:proofErr w:type="spellStart"/>
      <w:r>
        <w:t>PrEP</w:t>
      </w:r>
      <w:proofErr w:type="spellEnd"/>
      <w:r>
        <w:t xml:space="preserve">). On-going surveillance of NG genotypes and HIV notifications might assist to minimise outbreaks, within and between sexual networks; however, the success of this strategy is highly dependent on the information technology infrastructure available. </w:t>
      </w:r>
    </w:p>
    <w:p w14:paraId="040242D8" w14:textId="77777777" w:rsidR="00414376" w:rsidRDefault="00414376">
      <w:pPr>
        <w:rPr>
          <w:rStyle w:val="Strong"/>
          <w:bCs w:val="0"/>
        </w:rPr>
      </w:pPr>
      <w:r>
        <w:rPr>
          <w:rStyle w:val="Strong"/>
          <w:b w:val="0"/>
          <w:bCs w:val="0"/>
        </w:rPr>
        <w:br w:type="page"/>
      </w:r>
    </w:p>
    <w:p w14:paraId="1631D6D6" w14:textId="3626A7DB" w:rsidR="00E80D6B" w:rsidRPr="002C50B7" w:rsidRDefault="00E80D6B" w:rsidP="00E80D6B">
      <w:pPr>
        <w:pStyle w:val="CDIFigures"/>
      </w:pPr>
      <w:r w:rsidRPr="002C50B7">
        <w:rPr>
          <w:rStyle w:val="Strong"/>
          <w:b/>
          <w:bCs w:val="0"/>
        </w:rPr>
        <w:lastRenderedPageBreak/>
        <w:t xml:space="preserve">Table 1: Descriptive summary of </w:t>
      </w:r>
      <w:r w:rsidRPr="002E38CF">
        <w:rPr>
          <w:rStyle w:val="Strong"/>
          <w:b/>
          <w:bCs w:val="0"/>
          <w:i/>
          <w:iCs/>
        </w:rPr>
        <w:t>Neisseria gonorrhoeae</w:t>
      </w:r>
      <w:r w:rsidRPr="002C50B7">
        <w:rPr>
          <w:rStyle w:val="Strong"/>
          <w:b/>
          <w:bCs w:val="0"/>
        </w:rPr>
        <w:t xml:space="preserve"> Multiantigen Sequence Typing (NG-MAST), HIV notifications and linked </w:t>
      </w:r>
      <w:proofErr w:type="spellStart"/>
      <w:proofErr w:type="gramStart"/>
      <w:r w:rsidRPr="002C50B7">
        <w:rPr>
          <w:rStyle w:val="Strong"/>
          <w:b/>
          <w:bCs w:val="0"/>
        </w:rPr>
        <w:t>cases,</w:t>
      </w:r>
      <w:r w:rsidRPr="006F4F97">
        <w:rPr>
          <w:rStyle w:val="Strong"/>
          <w:b/>
          <w:bCs w:val="0"/>
          <w:vertAlign w:val="superscript"/>
        </w:rPr>
        <w:t>a</w:t>
      </w:r>
      <w:proofErr w:type="spellEnd"/>
      <w:proofErr w:type="gramEnd"/>
      <w:r w:rsidRPr="002C50B7">
        <w:rPr>
          <w:rStyle w:val="Strong"/>
          <w:b/>
          <w:bCs w:val="0"/>
        </w:rPr>
        <w:t xml:space="preserve"> 2009–2016, Queensland, Australia </w:t>
      </w:r>
    </w:p>
    <w:tbl>
      <w:tblPr>
        <w:tblStyle w:val="CDI-StandardTable"/>
        <w:tblW w:w="10732" w:type="dxa"/>
        <w:tblLook w:val="04A0" w:firstRow="1" w:lastRow="0" w:firstColumn="1" w:lastColumn="0" w:noHBand="0" w:noVBand="1"/>
        <w:tblDescription w:val="Table 1 provides a summary of Neisseria Gonorrhoeae Multiantigen Sequence Types (NG-MAST) identified in 3320 genotyped gonococci over the study period, by frequency of NG-MAST, anatomical site of collection and year o collection. The most prevalent NG-MAST was strain type 6876, representing 7.1% of all genotyped gonococcus. The proportion of gonococcus collected by year decreased annually from 19.5% in 2010 to 11.8% in 2015. 156 genotyped gonococci were linked to a new HIV notification. There was a significant association between a new HIV notification and strain type 2992 and strain type1407. Additional data summarises the 2592 new HIV notifications, data is stratified by Sex (86% male), Aboriginal and or Torres Strait Islander identity (95.5% neither Aboriginal or Torres Strait Islander, HIV exposure (67.4% men who have sex with men or bisexual)and Year of HIV notification 2009-2016). 128 HIV notifications were linked to an NG-MAST result. These were stratified by the same variables. Males (100%), non-Indigenous people (98.4%) and men who have sex with men / bisexuals (96.9%) were overrepresented compared to all HIV notifications."/>
      </w:tblPr>
      <w:tblGrid>
        <w:gridCol w:w="6508"/>
        <w:gridCol w:w="1185"/>
        <w:gridCol w:w="805"/>
        <w:gridCol w:w="1117"/>
        <w:gridCol w:w="25"/>
        <w:gridCol w:w="1086"/>
        <w:gridCol w:w="6"/>
      </w:tblGrid>
      <w:tr w:rsidR="003F0152" w:rsidRPr="0043618D" w14:paraId="78D25D9B" w14:textId="77777777" w:rsidTr="003F0152">
        <w:trPr>
          <w:gridAfter w:val="1"/>
          <w:cnfStyle w:val="100000000000" w:firstRow="1" w:lastRow="0" w:firstColumn="0" w:lastColumn="0" w:oddVBand="0" w:evenVBand="0" w:oddHBand="0" w:evenHBand="0" w:firstRowFirstColumn="0" w:firstRowLastColumn="0" w:lastRowFirstColumn="0" w:lastRowLastColumn="0"/>
          <w:wAfter w:w="6" w:type="dxa"/>
          <w:tblHeader/>
        </w:trPr>
        <w:tc>
          <w:tcPr>
            <w:tcW w:w="6508" w:type="dxa"/>
            <w:vMerge w:val="restart"/>
            <w:tcBorders>
              <w:bottom w:val="single" w:sz="4" w:space="0" w:color="886E49"/>
              <w:right w:val="single" w:sz="4" w:space="0" w:color="886E49"/>
            </w:tcBorders>
            <w:vAlign w:val="center"/>
          </w:tcPr>
          <w:p w14:paraId="5DD0068F" w14:textId="370C72AD" w:rsidR="003F0152" w:rsidRPr="0043618D" w:rsidRDefault="003F0152" w:rsidP="003F0152">
            <w:pPr>
              <w:rPr>
                <w:color w:val="FFFFFF" w:themeColor="background1"/>
                <w:sz w:val="18"/>
                <w:szCs w:val="18"/>
                <w:lang w:val="en-GB"/>
              </w:rPr>
            </w:pPr>
            <w:r w:rsidRPr="0043618D">
              <w:rPr>
                <w:color w:val="FFFFFF" w:themeColor="background1"/>
                <w:sz w:val="18"/>
                <w:szCs w:val="18"/>
                <w:lang w:val="en-GB"/>
              </w:rPr>
              <w:t>Detail</w:t>
            </w:r>
          </w:p>
        </w:tc>
        <w:tc>
          <w:tcPr>
            <w:tcW w:w="1990" w:type="dxa"/>
            <w:gridSpan w:val="2"/>
            <w:tcBorders>
              <w:left w:val="single" w:sz="4" w:space="0" w:color="886E49"/>
              <w:bottom w:val="single" w:sz="4" w:space="0" w:color="886E49"/>
              <w:right w:val="single" w:sz="4" w:space="0" w:color="886E49"/>
            </w:tcBorders>
            <w:vAlign w:val="center"/>
          </w:tcPr>
          <w:p w14:paraId="10988993" w14:textId="297DF19D" w:rsidR="003F0152" w:rsidRPr="0043618D" w:rsidRDefault="003F0152" w:rsidP="009021D0">
            <w:pPr>
              <w:pStyle w:val="NormalWeb"/>
              <w:jc w:val="center"/>
              <w:rPr>
                <w:color w:val="FFFFFF" w:themeColor="background1"/>
                <w:sz w:val="18"/>
                <w:szCs w:val="18"/>
              </w:rPr>
            </w:pPr>
            <w:r w:rsidRPr="0043618D">
              <w:rPr>
                <w:color w:val="FFFFFF" w:themeColor="background1"/>
                <w:sz w:val="18"/>
                <w:szCs w:val="18"/>
              </w:rPr>
              <w:t>Notifications</w:t>
            </w:r>
          </w:p>
        </w:tc>
        <w:tc>
          <w:tcPr>
            <w:tcW w:w="2228" w:type="dxa"/>
            <w:gridSpan w:val="3"/>
            <w:tcBorders>
              <w:left w:val="single" w:sz="4" w:space="0" w:color="886E49"/>
              <w:bottom w:val="single" w:sz="4" w:space="0" w:color="886E49"/>
            </w:tcBorders>
            <w:vAlign w:val="center"/>
          </w:tcPr>
          <w:p w14:paraId="46E275EA" w14:textId="381809E7" w:rsidR="003F0152" w:rsidRPr="0043618D" w:rsidRDefault="003F0152" w:rsidP="009021D0">
            <w:pPr>
              <w:pStyle w:val="NormalWeb"/>
              <w:jc w:val="center"/>
              <w:rPr>
                <w:color w:val="FFFFFF" w:themeColor="background1"/>
                <w:sz w:val="18"/>
                <w:szCs w:val="18"/>
              </w:rPr>
            </w:pPr>
            <w:r w:rsidRPr="0043618D">
              <w:rPr>
                <w:color w:val="FFFFFF" w:themeColor="background1"/>
                <w:sz w:val="18"/>
                <w:szCs w:val="18"/>
              </w:rPr>
              <w:t>Linked cases</w:t>
            </w:r>
          </w:p>
        </w:tc>
      </w:tr>
      <w:tr w:rsidR="003F0152" w:rsidRPr="0043618D" w14:paraId="4177A1A7" w14:textId="77777777" w:rsidTr="003F0152">
        <w:trPr>
          <w:cnfStyle w:val="100000000000" w:firstRow="1" w:lastRow="0" w:firstColumn="0" w:lastColumn="0" w:oddVBand="0" w:evenVBand="0" w:oddHBand="0" w:evenHBand="0" w:firstRowFirstColumn="0" w:firstRowLastColumn="0" w:lastRowFirstColumn="0" w:lastRowLastColumn="0"/>
          <w:tblHeader/>
        </w:trPr>
        <w:tc>
          <w:tcPr>
            <w:tcW w:w="6508" w:type="dxa"/>
            <w:vMerge/>
            <w:tcBorders>
              <w:top w:val="single" w:sz="4" w:space="0" w:color="886E49"/>
              <w:bottom w:val="single" w:sz="4" w:space="0" w:color="886E49"/>
              <w:right w:val="single" w:sz="4" w:space="0" w:color="886E49"/>
            </w:tcBorders>
          </w:tcPr>
          <w:p w14:paraId="590878CA" w14:textId="77777777" w:rsidR="003F0152" w:rsidRPr="0043618D" w:rsidRDefault="003F0152" w:rsidP="009021D0">
            <w:pPr>
              <w:rPr>
                <w:color w:val="FFFFFF" w:themeColor="background1"/>
                <w:sz w:val="18"/>
                <w:szCs w:val="18"/>
                <w:lang w:val="en-GB"/>
              </w:rPr>
            </w:pPr>
          </w:p>
        </w:tc>
        <w:tc>
          <w:tcPr>
            <w:tcW w:w="1185" w:type="dxa"/>
            <w:tcBorders>
              <w:top w:val="single" w:sz="4" w:space="0" w:color="886E49"/>
              <w:left w:val="single" w:sz="4" w:space="0" w:color="886E49"/>
              <w:bottom w:val="single" w:sz="4" w:space="0" w:color="886E49"/>
              <w:right w:val="single" w:sz="4" w:space="0" w:color="886E49"/>
            </w:tcBorders>
            <w:vAlign w:val="center"/>
          </w:tcPr>
          <w:p w14:paraId="766C141E" w14:textId="4F01CCAC" w:rsidR="003F0152" w:rsidRPr="0043618D" w:rsidRDefault="003F0152" w:rsidP="009021D0">
            <w:pPr>
              <w:pStyle w:val="NormalWeb"/>
              <w:jc w:val="center"/>
              <w:rPr>
                <w:b w:val="0"/>
                <w:color w:val="FFFFFF" w:themeColor="background1"/>
                <w:sz w:val="18"/>
                <w:szCs w:val="18"/>
              </w:rPr>
            </w:pPr>
            <w:r w:rsidRPr="0043618D">
              <w:rPr>
                <w:b w:val="0"/>
                <w:color w:val="FFFFFF" w:themeColor="background1"/>
                <w:sz w:val="18"/>
                <w:szCs w:val="18"/>
              </w:rPr>
              <w:t>Number</w:t>
            </w:r>
          </w:p>
        </w:tc>
        <w:tc>
          <w:tcPr>
            <w:tcW w:w="805" w:type="dxa"/>
            <w:tcBorders>
              <w:top w:val="single" w:sz="4" w:space="0" w:color="886E49"/>
              <w:left w:val="single" w:sz="4" w:space="0" w:color="886E49"/>
              <w:bottom w:val="single" w:sz="4" w:space="0" w:color="886E49"/>
              <w:right w:val="single" w:sz="4" w:space="0" w:color="886E49"/>
            </w:tcBorders>
            <w:vAlign w:val="center"/>
          </w:tcPr>
          <w:p w14:paraId="350EC649" w14:textId="1315B309" w:rsidR="003F0152" w:rsidRPr="0043618D" w:rsidRDefault="003F0152" w:rsidP="009021D0">
            <w:pPr>
              <w:pStyle w:val="NormalWeb"/>
              <w:jc w:val="center"/>
              <w:rPr>
                <w:color w:val="FFFFFF" w:themeColor="background1"/>
                <w:sz w:val="18"/>
                <w:szCs w:val="18"/>
              </w:rPr>
            </w:pPr>
            <w:r w:rsidRPr="0043618D">
              <w:rPr>
                <w:color w:val="FFFFFF" w:themeColor="background1"/>
                <w:sz w:val="18"/>
                <w:szCs w:val="18"/>
              </w:rPr>
              <w:t>%</w:t>
            </w:r>
          </w:p>
        </w:tc>
        <w:tc>
          <w:tcPr>
            <w:tcW w:w="1117" w:type="dxa"/>
            <w:tcBorders>
              <w:top w:val="single" w:sz="4" w:space="0" w:color="886E49"/>
              <w:left w:val="single" w:sz="4" w:space="0" w:color="886E49"/>
              <w:bottom w:val="single" w:sz="4" w:space="0" w:color="886E49"/>
              <w:right w:val="single" w:sz="4" w:space="0" w:color="886E49"/>
            </w:tcBorders>
            <w:vAlign w:val="center"/>
          </w:tcPr>
          <w:p w14:paraId="77C385BD" w14:textId="0F07C934" w:rsidR="003F0152" w:rsidRPr="0043618D" w:rsidRDefault="003F0152" w:rsidP="009021D0">
            <w:pPr>
              <w:pStyle w:val="NormalWeb"/>
              <w:jc w:val="center"/>
              <w:rPr>
                <w:b w:val="0"/>
                <w:color w:val="FFFFFF" w:themeColor="background1"/>
                <w:sz w:val="18"/>
                <w:szCs w:val="18"/>
              </w:rPr>
            </w:pPr>
            <w:r w:rsidRPr="0043618D">
              <w:rPr>
                <w:b w:val="0"/>
                <w:color w:val="FFFFFF" w:themeColor="background1"/>
                <w:sz w:val="18"/>
                <w:szCs w:val="18"/>
              </w:rPr>
              <w:t>Number</w:t>
            </w:r>
          </w:p>
        </w:tc>
        <w:tc>
          <w:tcPr>
            <w:tcW w:w="1117" w:type="dxa"/>
            <w:gridSpan w:val="3"/>
            <w:tcBorders>
              <w:top w:val="single" w:sz="4" w:space="0" w:color="886E49"/>
              <w:left w:val="single" w:sz="4" w:space="0" w:color="886E49"/>
              <w:bottom w:val="single" w:sz="4" w:space="0" w:color="886E49"/>
            </w:tcBorders>
            <w:vAlign w:val="center"/>
          </w:tcPr>
          <w:p w14:paraId="12D99D63" w14:textId="38BE7AC0" w:rsidR="003F0152" w:rsidRPr="0043618D" w:rsidRDefault="003F0152" w:rsidP="009021D0">
            <w:pPr>
              <w:pStyle w:val="NormalWeb"/>
              <w:jc w:val="center"/>
              <w:rPr>
                <w:color w:val="FFFFFF" w:themeColor="background1"/>
                <w:sz w:val="18"/>
                <w:szCs w:val="18"/>
              </w:rPr>
            </w:pPr>
            <w:r w:rsidRPr="0043618D">
              <w:rPr>
                <w:color w:val="FFFFFF" w:themeColor="background1"/>
                <w:sz w:val="18"/>
                <w:szCs w:val="18"/>
              </w:rPr>
              <w:t>%</w:t>
            </w:r>
          </w:p>
        </w:tc>
      </w:tr>
      <w:tr w:rsidR="003F0152" w:rsidRPr="0043618D" w14:paraId="6A47E536" w14:textId="77777777" w:rsidTr="003F0152">
        <w:tblPrEx>
          <w:tblCellMar>
            <w:top w:w="57" w:type="dxa"/>
            <w:left w:w="57" w:type="dxa"/>
            <w:bottom w:w="57" w:type="dxa"/>
            <w:right w:w="57" w:type="dxa"/>
          </w:tblCellMar>
        </w:tblPrEx>
        <w:trPr>
          <w:gridAfter w:val="1"/>
          <w:wAfter w:w="6" w:type="dxa"/>
        </w:trPr>
        <w:tc>
          <w:tcPr>
            <w:tcW w:w="6508" w:type="dxa"/>
            <w:vMerge/>
            <w:tcBorders>
              <w:top w:val="single" w:sz="4" w:space="0" w:color="886E49"/>
              <w:right w:val="single" w:sz="4" w:space="0" w:color="886E49"/>
            </w:tcBorders>
            <w:shd w:val="clear" w:color="auto" w:fill="404040" w:themeFill="text1" w:themeFillTint="BF"/>
          </w:tcPr>
          <w:p w14:paraId="7CD0D3A7" w14:textId="77777777" w:rsidR="003F0152" w:rsidRPr="0043618D" w:rsidRDefault="003F0152" w:rsidP="009021D0">
            <w:pPr>
              <w:pStyle w:val="NormalWeb"/>
              <w:rPr>
                <w:i/>
                <w:iCs/>
                <w:sz w:val="18"/>
                <w:szCs w:val="18"/>
              </w:rPr>
            </w:pPr>
          </w:p>
        </w:tc>
        <w:tc>
          <w:tcPr>
            <w:tcW w:w="1990" w:type="dxa"/>
            <w:gridSpan w:val="2"/>
            <w:tcBorders>
              <w:top w:val="single" w:sz="4" w:space="0" w:color="886E49"/>
              <w:left w:val="single" w:sz="4" w:space="0" w:color="886E49"/>
              <w:right w:val="single" w:sz="4" w:space="0" w:color="886E49"/>
            </w:tcBorders>
            <w:shd w:val="clear" w:color="auto" w:fill="404040" w:themeFill="text1" w:themeFillTint="BF"/>
            <w:vAlign w:val="center"/>
          </w:tcPr>
          <w:p w14:paraId="3479E2F3" w14:textId="11B5727A" w:rsidR="003F0152" w:rsidRPr="0043618D" w:rsidRDefault="003F0152" w:rsidP="00C5032F">
            <w:pPr>
              <w:pStyle w:val="NormalWeb"/>
              <w:jc w:val="center"/>
              <w:rPr>
                <w:b/>
                <w:bCs/>
                <w:color w:val="FFFFFF" w:themeColor="background1"/>
                <w:sz w:val="18"/>
                <w:szCs w:val="18"/>
              </w:rPr>
            </w:pPr>
            <w:r w:rsidRPr="0043618D">
              <w:rPr>
                <w:b/>
                <w:bCs/>
                <w:color w:val="FFFFFF" w:themeColor="background1"/>
                <w:sz w:val="18"/>
                <w:szCs w:val="18"/>
              </w:rPr>
              <w:t>NG-MAST result</w:t>
            </w:r>
          </w:p>
        </w:tc>
        <w:tc>
          <w:tcPr>
            <w:tcW w:w="2228" w:type="dxa"/>
            <w:gridSpan w:val="3"/>
            <w:tcBorders>
              <w:top w:val="single" w:sz="4" w:space="0" w:color="886E49"/>
              <w:left w:val="single" w:sz="4" w:space="0" w:color="886E49"/>
            </w:tcBorders>
            <w:shd w:val="clear" w:color="auto" w:fill="404040" w:themeFill="text1" w:themeFillTint="BF"/>
          </w:tcPr>
          <w:p w14:paraId="1A592E0A" w14:textId="2A490EEC" w:rsidR="003F0152" w:rsidRPr="0043618D" w:rsidRDefault="003F0152" w:rsidP="009021D0">
            <w:pPr>
              <w:pStyle w:val="NormalWeb"/>
              <w:jc w:val="center"/>
              <w:rPr>
                <w:b/>
                <w:bCs/>
                <w:color w:val="FFFFFF" w:themeColor="background1"/>
                <w:sz w:val="18"/>
                <w:szCs w:val="18"/>
              </w:rPr>
            </w:pPr>
            <w:r w:rsidRPr="0043618D">
              <w:rPr>
                <w:b/>
                <w:bCs/>
                <w:color w:val="FFFFFF" w:themeColor="background1"/>
                <w:sz w:val="18"/>
                <w:szCs w:val="18"/>
              </w:rPr>
              <w:t>Linked to HIV notification</w:t>
            </w:r>
          </w:p>
        </w:tc>
      </w:tr>
      <w:tr w:rsidR="00E80D6B" w:rsidRPr="0043618D" w14:paraId="190099F9" w14:textId="77777777" w:rsidTr="003F0152">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0914C13D" w14:textId="77777777" w:rsidR="00E80D6B" w:rsidRPr="0043618D" w:rsidRDefault="00E80D6B" w:rsidP="009021D0">
            <w:pPr>
              <w:pStyle w:val="NormalWeb"/>
              <w:rPr>
                <w:sz w:val="18"/>
                <w:szCs w:val="18"/>
              </w:rPr>
            </w:pPr>
            <w:r w:rsidRPr="0043618D">
              <w:rPr>
                <w:i/>
                <w:iCs/>
                <w:sz w:val="18"/>
                <w:szCs w:val="18"/>
              </w:rPr>
              <w:t>Neisseria gonorrhoeae</w:t>
            </w:r>
            <w:r w:rsidRPr="0043618D">
              <w:rPr>
                <w:sz w:val="18"/>
                <w:szCs w:val="18"/>
              </w:rPr>
              <w:t xml:space="preserve"> Multiantigen Sequence Type (NG-MAST) tested</w:t>
            </w:r>
          </w:p>
        </w:tc>
        <w:tc>
          <w:tcPr>
            <w:tcW w:w="1185" w:type="dxa"/>
            <w:hideMark/>
          </w:tcPr>
          <w:p w14:paraId="7C460830" w14:textId="77777777" w:rsidR="00E80D6B" w:rsidRPr="0043618D" w:rsidRDefault="00E80D6B" w:rsidP="009021D0">
            <w:pPr>
              <w:pStyle w:val="NormalWeb"/>
              <w:jc w:val="center"/>
              <w:rPr>
                <w:sz w:val="18"/>
                <w:szCs w:val="18"/>
              </w:rPr>
            </w:pPr>
            <w:r w:rsidRPr="0043618D">
              <w:rPr>
                <w:sz w:val="18"/>
                <w:szCs w:val="18"/>
              </w:rPr>
              <w:t>3340</w:t>
            </w:r>
          </w:p>
        </w:tc>
        <w:tc>
          <w:tcPr>
            <w:tcW w:w="805" w:type="dxa"/>
            <w:hideMark/>
          </w:tcPr>
          <w:p w14:paraId="25B52122" w14:textId="77777777" w:rsidR="00E80D6B" w:rsidRPr="0043618D" w:rsidRDefault="00E80D6B" w:rsidP="009021D0">
            <w:pPr>
              <w:pStyle w:val="NormalWeb"/>
              <w:jc w:val="center"/>
              <w:rPr>
                <w:sz w:val="18"/>
                <w:szCs w:val="18"/>
              </w:rPr>
            </w:pPr>
            <w:r w:rsidRPr="0043618D">
              <w:rPr>
                <w:sz w:val="18"/>
                <w:szCs w:val="18"/>
              </w:rPr>
              <w:t>100.0</w:t>
            </w:r>
          </w:p>
        </w:tc>
        <w:tc>
          <w:tcPr>
            <w:tcW w:w="1142" w:type="dxa"/>
            <w:gridSpan w:val="2"/>
            <w:hideMark/>
          </w:tcPr>
          <w:p w14:paraId="30C4ED65" w14:textId="77777777" w:rsidR="00E80D6B" w:rsidRPr="0043618D" w:rsidRDefault="00E80D6B" w:rsidP="009021D0">
            <w:pPr>
              <w:pStyle w:val="NormalWeb"/>
              <w:jc w:val="center"/>
              <w:rPr>
                <w:sz w:val="18"/>
                <w:szCs w:val="18"/>
              </w:rPr>
            </w:pPr>
            <w:r w:rsidRPr="0043618D">
              <w:rPr>
                <w:sz w:val="18"/>
                <w:szCs w:val="18"/>
              </w:rPr>
              <w:t>156</w:t>
            </w:r>
            <w:r w:rsidRPr="0043618D">
              <w:rPr>
                <w:sz w:val="18"/>
                <w:szCs w:val="18"/>
                <w:vertAlign w:val="superscript"/>
              </w:rPr>
              <w:t>b</w:t>
            </w:r>
          </w:p>
        </w:tc>
        <w:tc>
          <w:tcPr>
            <w:tcW w:w="1086" w:type="dxa"/>
            <w:hideMark/>
          </w:tcPr>
          <w:p w14:paraId="0DD3FF94" w14:textId="77777777" w:rsidR="00E80D6B" w:rsidRPr="0043618D" w:rsidRDefault="00E80D6B" w:rsidP="009021D0">
            <w:pPr>
              <w:pStyle w:val="NormalWeb"/>
              <w:jc w:val="center"/>
              <w:rPr>
                <w:sz w:val="18"/>
                <w:szCs w:val="18"/>
              </w:rPr>
            </w:pPr>
            <w:r w:rsidRPr="0043618D">
              <w:rPr>
                <w:sz w:val="18"/>
                <w:szCs w:val="18"/>
              </w:rPr>
              <w:t>100.0</w:t>
            </w:r>
          </w:p>
        </w:tc>
      </w:tr>
      <w:tr w:rsidR="00E80D6B" w:rsidRPr="0043618D" w14:paraId="1209FF19" w14:textId="77777777" w:rsidTr="00FE56D8">
        <w:tblPrEx>
          <w:tblCellMar>
            <w:top w:w="57" w:type="dxa"/>
            <w:left w:w="57" w:type="dxa"/>
            <w:bottom w:w="57" w:type="dxa"/>
            <w:right w:w="57" w:type="dxa"/>
          </w:tblCellMar>
        </w:tblPrEx>
        <w:trPr>
          <w:gridAfter w:val="1"/>
          <w:wAfter w:w="6" w:type="dxa"/>
        </w:trPr>
        <w:tc>
          <w:tcPr>
            <w:tcW w:w="6508" w:type="dxa"/>
            <w:shd w:val="clear" w:color="auto" w:fill="886E49"/>
            <w:hideMark/>
          </w:tcPr>
          <w:p w14:paraId="471FAAB1" w14:textId="77777777" w:rsidR="00E80D6B" w:rsidRPr="0043618D" w:rsidRDefault="00E80D6B" w:rsidP="009021D0">
            <w:pPr>
              <w:pStyle w:val="NormalWeb"/>
              <w:rPr>
                <w:b/>
                <w:bCs/>
                <w:color w:val="FFFFFF" w:themeColor="background1"/>
                <w:sz w:val="18"/>
                <w:szCs w:val="18"/>
              </w:rPr>
            </w:pPr>
            <w:r w:rsidRPr="0043618D">
              <w:rPr>
                <w:b/>
                <w:bCs/>
                <w:color w:val="FFFFFF" w:themeColor="background1"/>
                <w:sz w:val="18"/>
                <w:szCs w:val="18"/>
              </w:rPr>
              <w:t>NG-MAST</w:t>
            </w:r>
          </w:p>
        </w:tc>
        <w:tc>
          <w:tcPr>
            <w:tcW w:w="1185" w:type="dxa"/>
            <w:shd w:val="clear" w:color="auto" w:fill="886E49"/>
            <w:hideMark/>
          </w:tcPr>
          <w:p w14:paraId="24E41BD9" w14:textId="77777777" w:rsidR="00E80D6B" w:rsidRPr="0043618D" w:rsidRDefault="00E80D6B" w:rsidP="009021D0">
            <w:pPr>
              <w:jc w:val="center"/>
              <w:rPr>
                <w:b/>
                <w:bCs/>
                <w:color w:val="FFFFFF" w:themeColor="background1"/>
                <w:sz w:val="18"/>
                <w:szCs w:val="18"/>
              </w:rPr>
            </w:pPr>
          </w:p>
        </w:tc>
        <w:tc>
          <w:tcPr>
            <w:tcW w:w="805" w:type="dxa"/>
            <w:shd w:val="clear" w:color="auto" w:fill="886E49"/>
            <w:hideMark/>
          </w:tcPr>
          <w:p w14:paraId="5E0D1B9D" w14:textId="77777777" w:rsidR="00E80D6B" w:rsidRPr="0043618D" w:rsidRDefault="00E80D6B" w:rsidP="009021D0">
            <w:pPr>
              <w:jc w:val="center"/>
              <w:rPr>
                <w:rFonts w:eastAsia="Times New Roman"/>
                <w:b/>
                <w:bCs/>
                <w:color w:val="FFFFFF" w:themeColor="background1"/>
                <w:sz w:val="18"/>
                <w:szCs w:val="18"/>
              </w:rPr>
            </w:pPr>
          </w:p>
        </w:tc>
        <w:tc>
          <w:tcPr>
            <w:tcW w:w="1142" w:type="dxa"/>
            <w:gridSpan w:val="2"/>
            <w:shd w:val="clear" w:color="auto" w:fill="886E49"/>
            <w:hideMark/>
          </w:tcPr>
          <w:p w14:paraId="37E93053" w14:textId="77777777" w:rsidR="00E80D6B" w:rsidRPr="0043618D" w:rsidRDefault="00E80D6B" w:rsidP="009021D0">
            <w:pPr>
              <w:jc w:val="center"/>
              <w:rPr>
                <w:rFonts w:eastAsia="Times New Roman"/>
                <w:b/>
                <w:bCs/>
                <w:color w:val="FFFFFF" w:themeColor="background1"/>
                <w:sz w:val="18"/>
                <w:szCs w:val="18"/>
              </w:rPr>
            </w:pPr>
          </w:p>
        </w:tc>
        <w:tc>
          <w:tcPr>
            <w:tcW w:w="1086" w:type="dxa"/>
            <w:shd w:val="clear" w:color="auto" w:fill="886E49"/>
            <w:hideMark/>
          </w:tcPr>
          <w:p w14:paraId="07EFB546" w14:textId="77777777" w:rsidR="00E80D6B" w:rsidRPr="0043618D" w:rsidRDefault="00E80D6B" w:rsidP="009021D0">
            <w:pPr>
              <w:jc w:val="center"/>
              <w:rPr>
                <w:rFonts w:eastAsia="Times New Roman"/>
                <w:b/>
                <w:bCs/>
                <w:color w:val="FFFFFF" w:themeColor="background1"/>
                <w:sz w:val="18"/>
                <w:szCs w:val="18"/>
              </w:rPr>
            </w:pPr>
          </w:p>
        </w:tc>
      </w:tr>
      <w:tr w:rsidR="00E80D6B" w:rsidRPr="0043618D" w14:paraId="2F2722F5"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248C0C32" w14:textId="77777777" w:rsidR="00E80D6B" w:rsidRPr="0043618D" w:rsidRDefault="00E80D6B" w:rsidP="009021D0">
            <w:pPr>
              <w:pStyle w:val="NormalWeb"/>
              <w:rPr>
                <w:sz w:val="18"/>
                <w:szCs w:val="18"/>
              </w:rPr>
            </w:pPr>
            <w:r w:rsidRPr="0043618D">
              <w:rPr>
                <w:sz w:val="18"/>
                <w:szCs w:val="18"/>
              </w:rPr>
              <w:t>6876</w:t>
            </w:r>
          </w:p>
        </w:tc>
        <w:tc>
          <w:tcPr>
            <w:tcW w:w="1185" w:type="dxa"/>
            <w:hideMark/>
          </w:tcPr>
          <w:p w14:paraId="2BBC90CA" w14:textId="77777777" w:rsidR="00E80D6B" w:rsidRPr="0043618D" w:rsidRDefault="00E80D6B" w:rsidP="009021D0">
            <w:pPr>
              <w:pStyle w:val="NormalWeb"/>
              <w:jc w:val="center"/>
              <w:rPr>
                <w:sz w:val="18"/>
                <w:szCs w:val="18"/>
              </w:rPr>
            </w:pPr>
            <w:r w:rsidRPr="0043618D">
              <w:rPr>
                <w:sz w:val="18"/>
                <w:szCs w:val="18"/>
              </w:rPr>
              <w:t>237</w:t>
            </w:r>
          </w:p>
        </w:tc>
        <w:tc>
          <w:tcPr>
            <w:tcW w:w="805" w:type="dxa"/>
            <w:hideMark/>
          </w:tcPr>
          <w:p w14:paraId="7C0B58D1" w14:textId="77777777" w:rsidR="00E80D6B" w:rsidRPr="0043618D" w:rsidRDefault="00E80D6B" w:rsidP="009021D0">
            <w:pPr>
              <w:pStyle w:val="NormalWeb"/>
              <w:jc w:val="center"/>
              <w:rPr>
                <w:sz w:val="18"/>
                <w:szCs w:val="18"/>
              </w:rPr>
            </w:pPr>
            <w:r w:rsidRPr="0043618D">
              <w:rPr>
                <w:sz w:val="18"/>
                <w:szCs w:val="18"/>
              </w:rPr>
              <w:t>7.1</w:t>
            </w:r>
          </w:p>
        </w:tc>
        <w:tc>
          <w:tcPr>
            <w:tcW w:w="1142" w:type="dxa"/>
            <w:gridSpan w:val="2"/>
            <w:hideMark/>
          </w:tcPr>
          <w:p w14:paraId="5A5B360C" w14:textId="77777777" w:rsidR="00E80D6B" w:rsidRPr="0043618D" w:rsidRDefault="00E80D6B" w:rsidP="009021D0">
            <w:pPr>
              <w:pStyle w:val="NormalWeb"/>
              <w:jc w:val="center"/>
              <w:rPr>
                <w:sz w:val="18"/>
                <w:szCs w:val="18"/>
              </w:rPr>
            </w:pPr>
            <w:r w:rsidRPr="0043618D">
              <w:rPr>
                <w:sz w:val="18"/>
                <w:szCs w:val="18"/>
              </w:rPr>
              <w:t>0</w:t>
            </w:r>
          </w:p>
        </w:tc>
        <w:tc>
          <w:tcPr>
            <w:tcW w:w="1086" w:type="dxa"/>
            <w:hideMark/>
          </w:tcPr>
          <w:p w14:paraId="78354864" w14:textId="77777777" w:rsidR="00E80D6B" w:rsidRPr="0043618D" w:rsidRDefault="00E80D6B" w:rsidP="009021D0">
            <w:pPr>
              <w:pStyle w:val="NormalWeb"/>
              <w:jc w:val="center"/>
              <w:rPr>
                <w:sz w:val="18"/>
                <w:szCs w:val="18"/>
              </w:rPr>
            </w:pPr>
            <w:r w:rsidRPr="0043618D">
              <w:rPr>
                <w:sz w:val="18"/>
                <w:szCs w:val="18"/>
              </w:rPr>
              <w:t>0.0</w:t>
            </w:r>
          </w:p>
        </w:tc>
      </w:tr>
      <w:tr w:rsidR="00E80D6B" w:rsidRPr="0043618D" w14:paraId="6714DC2B" w14:textId="77777777" w:rsidTr="00FF44EC">
        <w:tblPrEx>
          <w:tblCellMar>
            <w:top w:w="57" w:type="dxa"/>
            <w:left w:w="57" w:type="dxa"/>
            <w:bottom w:w="57" w:type="dxa"/>
            <w:right w:w="57" w:type="dxa"/>
          </w:tblCellMar>
        </w:tblPrEx>
        <w:trPr>
          <w:gridAfter w:val="1"/>
          <w:wAfter w:w="6" w:type="dxa"/>
        </w:trPr>
        <w:tc>
          <w:tcPr>
            <w:tcW w:w="6508" w:type="dxa"/>
            <w:hideMark/>
          </w:tcPr>
          <w:p w14:paraId="0B74E9F3" w14:textId="77777777" w:rsidR="00E80D6B" w:rsidRPr="0043618D" w:rsidRDefault="00E80D6B" w:rsidP="009021D0">
            <w:pPr>
              <w:pStyle w:val="NormalWeb"/>
              <w:rPr>
                <w:sz w:val="18"/>
                <w:szCs w:val="18"/>
              </w:rPr>
            </w:pPr>
            <w:r w:rsidRPr="0043618D">
              <w:rPr>
                <w:sz w:val="18"/>
                <w:szCs w:val="18"/>
              </w:rPr>
              <w:t>2992</w:t>
            </w:r>
          </w:p>
        </w:tc>
        <w:tc>
          <w:tcPr>
            <w:tcW w:w="1185" w:type="dxa"/>
            <w:hideMark/>
          </w:tcPr>
          <w:p w14:paraId="1F3FB3B2" w14:textId="77777777" w:rsidR="00E80D6B" w:rsidRPr="0043618D" w:rsidRDefault="00E80D6B" w:rsidP="009021D0">
            <w:pPr>
              <w:pStyle w:val="NormalWeb"/>
              <w:jc w:val="center"/>
              <w:rPr>
                <w:sz w:val="18"/>
                <w:szCs w:val="18"/>
              </w:rPr>
            </w:pPr>
            <w:r w:rsidRPr="0043618D">
              <w:rPr>
                <w:sz w:val="18"/>
                <w:szCs w:val="18"/>
              </w:rPr>
              <w:t>165</w:t>
            </w:r>
          </w:p>
        </w:tc>
        <w:tc>
          <w:tcPr>
            <w:tcW w:w="805" w:type="dxa"/>
            <w:hideMark/>
          </w:tcPr>
          <w:p w14:paraId="69DD71C7" w14:textId="77777777" w:rsidR="00E80D6B" w:rsidRPr="0043618D" w:rsidRDefault="00E80D6B" w:rsidP="009021D0">
            <w:pPr>
              <w:pStyle w:val="NormalWeb"/>
              <w:jc w:val="center"/>
              <w:rPr>
                <w:sz w:val="18"/>
                <w:szCs w:val="18"/>
              </w:rPr>
            </w:pPr>
            <w:r w:rsidRPr="0043618D">
              <w:rPr>
                <w:sz w:val="18"/>
                <w:szCs w:val="18"/>
              </w:rPr>
              <w:t>4.9</w:t>
            </w:r>
          </w:p>
        </w:tc>
        <w:tc>
          <w:tcPr>
            <w:tcW w:w="1142" w:type="dxa"/>
            <w:gridSpan w:val="2"/>
            <w:hideMark/>
          </w:tcPr>
          <w:p w14:paraId="6F62CF62" w14:textId="77777777" w:rsidR="00E80D6B" w:rsidRPr="0043618D" w:rsidRDefault="00E80D6B" w:rsidP="009021D0">
            <w:pPr>
              <w:pStyle w:val="NormalWeb"/>
              <w:jc w:val="center"/>
              <w:rPr>
                <w:sz w:val="18"/>
                <w:szCs w:val="18"/>
              </w:rPr>
            </w:pPr>
            <w:r w:rsidRPr="0043618D">
              <w:rPr>
                <w:sz w:val="18"/>
                <w:szCs w:val="18"/>
              </w:rPr>
              <w:t>23</w:t>
            </w:r>
          </w:p>
        </w:tc>
        <w:tc>
          <w:tcPr>
            <w:tcW w:w="1086" w:type="dxa"/>
            <w:hideMark/>
          </w:tcPr>
          <w:p w14:paraId="3CBAD89D" w14:textId="77777777" w:rsidR="00E80D6B" w:rsidRPr="0043618D" w:rsidRDefault="00E80D6B" w:rsidP="009021D0">
            <w:pPr>
              <w:pStyle w:val="NormalWeb"/>
              <w:jc w:val="center"/>
              <w:rPr>
                <w:sz w:val="18"/>
                <w:szCs w:val="18"/>
              </w:rPr>
            </w:pPr>
            <w:r w:rsidRPr="0043618D">
              <w:rPr>
                <w:sz w:val="18"/>
                <w:szCs w:val="18"/>
              </w:rPr>
              <w:t>14.7</w:t>
            </w:r>
          </w:p>
        </w:tc>
      </w:tr>
      <w:tr w:rsidR="00E80D6B" w:rsidRPr="0043618D" w14:paraId="01061CCB"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264F555C" w14:textId="77777777" w:rsidR="00E80D6B" w:rsidRPr="0043618D" w:rsidRDefault="00E80D6B" w:rsidP="009021D0">
            <w:pPr>
              <w:pStyle w:val="NormalWeb"/>
              <w:rPr>
                <w:sz w:val="18"/>
                <w:szCs w:val="18"/>
              </w:rPr>
            </w:pPr>
            <w:r w:rsidRPr="0043618D">
              <w:rPr>
                <w:sz w:val="18"/>
                <w:szCs w:val="18"/>
              </w:rPr>
              <w:t>21</w:t>
            </w:r>
          </w:p>
        </w:tc>
        <w:tc>
          <w:tcPr>
            <w:tcW w:w="1185" w:type="dxa"/>
            <w:hideMark/>
          </w:tcPr>
          <w:p w14:paraId="4C8A67F0" w14:textId="77777777" w:rsidR="00E80D6B" w:rsidRPr="0043618D" w:rsidRDefault="00E80D6B" w:rsidP="009021D0">
            <w:pPr>
              <w:pStyle w:val="NormalWeb"/>
              <w:jc w:val="center"/>
              <w:rPr>
                <w:sz w:val="18"/>
                <w:szCs w:val="18"/>
              </w:rPr>
            </w:pPr>
            <w:r w:rsidRPr="0043618D">
              <w:rPr>
                <w:sz w:val="18"/>
                <w:szCs w:val="18"/>
              </w:rPr>
              <w:t>146</w:t>
            </w:r>
          </w:p>
        </w:tc>
        <w:tc>
          <w:tcPr>
            <w:tcW w:w="805" w:type="dxa"/>
            <w:hideMark/>
          </w:tcPr>
          <w:p w14:paraId="74C240E5" w14:textId="77777777" w:rsidR="00E80D6B" w:rsidRPr="0043618D" w:rsidRDefault="00E80D6B" w:rsidP="009021D0">
            <w:pPr>
              <w:pStyle w:val="NormalWeb"/>
              <w:jc w:val="center"/>
              <w:rPr>
                <w:sz w:val="18"/>
                <w:szCs w:val="18"/>
              </w:rPr>
            </w:pPr>
            <w:r w:rsidRPr="0043618D">
              <w:rPr>
                <w:sz w:val="18"/>
                <w:szCs w:val="18"/>
              </w:rPr>
              <w:t>4.4</w:t>
            </w:r>
          </w:p>
        </w:tc>
        <w:tc>
          <w:tcPr>
            <w:tcW w:w="1142" w:type="dxa"/>
            <w:gridSpan w:val="2"/>
            <w:hideMark/>
          </w:tcPr>
          <w:p w14:paraId="5B4081CF" w14:textId="77777777" w:rsidR="00E80D6B" w:rsidRPr="0043618D" w:rsidRDefault="00E80D6B" w:rsidP="009021D0">
            <w:pPr>
              <w:pStyle w:val="NormalWeb"/>
              <w:jc w:val="center"/>
              <w:rPr>
                <w:sz w:val="18"/>
                <w:szCs w:val="18"/>
              </w:rPr>
            </w:pPr>
            <w:r w:rsidRPr="0043618D">
              <w:rPr>
                <w:sz w:val="18"/>
                <w:szCs w:val="18"/>
              </w:rPr>
              <w:t>9</w:t>
            </w:r>
          </w:p>
        </w:tc>
        <w:tc>
          <w:tcPr>
            <w:tcW w:w="1086" w:type="dxa"/>
            <w:hideMark/>
          </w:tcPr>
          <w:p w14:paraId="54C0BC56" w14:textId="77777777" w:rsidR="00E80D6B" w:rsidRPr="0043618D" w:rsidRDefault="00E80D6B" w:rsidP="009021D0">
            <w:pPr>
              <w:pStyle w:val="NormalWeb"/>
              <w:jc w:val="center"/>
              <w:rPr>
                <w:sz w:val="18"/>
                <w:szCs w:val="18"/>
              </w:rPr>
            </w:pPr>
            <w:r w:rsidRPr="0043618D">
              <w:rPr>
                <w:sz w:val="18"/>
                <w:szCs w:val="18"/>
              </w:rPr>
              <w:t>5.8</w:t>
            </w:r>
          </w:p>
        </w:tc>
      </w:tr>
      <w:tr w:rsidR="00E80D6B" w:rsidRPr="0043618D" w14:paraId="0BA432D1" w14:textId="77777777" w:rsidTr="00FF44EC">
        <w:tblPrEx>
          <w:tblCellMar>
            <w:top w:w="57" w:type="dxa"/>
            <w:left w:w="57" w:type="dxa"/>
            <w:bottom w:w="57" w:type="dxa"/>
            <w:right w:w="57" w:type="dxa"/>
          </w:tblCellMar>
        </w:tblPrEx>
        <w:trPr>
          <w:gridAfter w:val="1"/>
          <w:wAfter w:w="6" w:type="dxa"/>
        </w:trPr>
        <w:tc>
          <w:tcPr>
            <w:tcW w:w="6508" w:type="dxa"/>
            <w:hideMark/>
          </w:tcPr>
          <w:p w14:paraId="628B3A49" w14:textId="77777777" w:rsidR="00E80D6B" w:rsidRPr="0043618D" w:rsidRDefault="00E80D6B" w:rsidP="009021D0">
            <w:pPr>
              <w:pStyle w:val="NormalWeb"/>
              <w:rPr>
                <w:sz w:val="18"/>
                <w:szCs w:val="18"/>
              </w:rPr>
            </w:pPr>
            <w:r w:rsidRPr="0043618D">
              <w:rPr>
                <w:sz w:val="18"/>
                <w:szCs w:val="18"/>
              </w:rPr>
              <w:t>4186</w:t>
            </w:r>
          </w:p>
        </w:tc>
        <w:tc>
          <w:tcPr>
            <w:tcW w:w="1185" w:type="dxa"/>
            <w:hideMark/>
          </w:tcPr>
          <w:p w14:paraId="1247F89C" w14:textId="77777777" w:rsidR="00E80D6B" w:rsidRPr="0043618D" w:rsidRDefault="00E80D6B" w:rsidP="009021D0">
            <w:pPr>
              <w:pStyle w:val="NormalWeb"/>
              <w:jc w:val="center"/>
              <w:rPr>
                <w:sz w:val="18"/>
                <w:szCs w:val="18"/>
              </w:rPr>
            </w:pPr>
            <w:r w:rsidRPr="0043618D">
              <w:rPr>
                <w:sz w:val="18"/>
                <w:szCs w:val="18"/>
              </w:rPr>
              <w:t>133</w:t>
            </w:r>
          </w:p>
        </w:tc>
        <w:tc>
          <w:tcPr>
            <w:tcW w:w="805" w:type="dxa"/>
            <w:hideMark/>
          </w:tcPr>
          <w:p w14:paraId="6E1941CD" w14:textId="77777777" w:rsidR="00E80D6B" w:rsidRPr="0043618D" w:rsidRDefault="00E80D6B" w:rsidP="009021D0">
            <w:pPr>
              <w:pStyle w:val="NormalWeb"/>
              <w:jc w:val="center"/>
              <w:rPr>
                <w:sz w:val="18"/>
                <w:szCs w:val="18"/>
              </w:rPr>
            </w:pPr>
            <w:r w:rsidRPr="0043618D">
              <w:rPr>
                <w:sz w:val="18"/>
                <w:szCs w:val="18"/>
              </w:rPr>
              <w:t>4.0</w:t>
            </w:r>
          </w:p>
        </w:tc>
        <w:tc>
          <w:tcPr>
            <w:tcW w:w="1142" w:type="dxa"/>
            <w:gridSpan w:val="2"/>
            <w:hideMark/>
          </w:tcPr>
          <w:p w14:paraId="59FE3A1A" w14:textId="77777777" w:rsidR="00E80D6B" w:rsidRPr="0043618D" w:rsidRDefault="00E80D6B" w:rsidP="009021D0">
            <w:pPr>
              <w:pStyle w:val="NormalWeb"/>
              <w:jc w:val="center"/>
              <w:rPr>
                <w:sz w:val="18"/>
                <w:szCs w:val="18"/>
              </w:rPr>
            </w:pPr>
            <w:r w:rsidRPr="0043618D">
              <w:rPr>
                <w:sz w:val="18"/>
                <w:szCs w:val="18"/>
              </w:rPr>
              <w:t>4</w:t>
            </w:r>
          </w:p>
        </w:tc>
        <w:tc>
          <w:tcPr>
            <w:tcW w:w="1086" w:type="dxa"/>
            <w:hideMark/>
          </w:tcPr>
          <w:p w14:paraId="0907CF31" w14:textId="77777777" w:rsidR="00E80D6B" w:rsidRPr="0043618D" w:rsidRDefault="00E80D6B" w:rsidP="009021D0">
            <w:pPr>
              <w:pStyle w:val="NormalWeb"/>
              <w:jc w:val="center"/>
              <w:rPr>
                <w:sz w:val="18"/>
                <w:szCs w:val="18"/>
              </w:rPr>
            </w:pPr>
            <w:r w:rsidRPr="0043618D">
              <w:rPr>
                <w:sz w:val="18"/>
                <w:szCs w:val="18"/>
              </w:rPr>
              <w:t>2.6</w:t>
            </w:r>
          </w:p>
        </w:tc>
      </w:tr>
      <w:tr w:rsidR="00E80D6B" w:rsidRPr="0043618D" w14:paraId="20F2F58D"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353E2F41" w14:textId="77777777" w:rsidR="00E80D6B" w:rsidRPr="0043618D" w:rsidRDefault="00E80D6B" w:rsidP="009021D0">
            <w:pPr>
              <w:pStyle w:val="NormalWeb"/>
              <w:rPr>
                <w:sz w:val="18"/>
                <w:szCs w:val="18"/>
              </w:rPr>
            </w:pPr>
            <w:r w:rsidRPr="0043618D">
              <w:rPr>
                <w:sz w:val="18"/>
                <w:szCs w:val="18"/>
              </w:rPr>
              <w:t>6879</w:t>
            </w:r>
          </w:p>
        </w:tc>
        <w:tc>
          <w:tcPr>
            <w:tcW w:w="1185" w:type="dxa"/>
            <w:hideMark/>
          </w:tcPr>
          <w:p w14:paraId="2DA7945A" w14:textId="77777777" w:rsidR="00E80D6B" w:rsidRPr="0043618D" w:rsidRDefault="00E80D6B" w:rsidP="009021D0">
            <w:pPr>
              <w:pStyle w:val="NormalWeb"/>
              <w:jc w:val="center"/>
              <w:rPr>
                <w:sz w:val="18"/>
                <w:szCs w:val="18"/>
              </w:rPr>
            </w:pPr>
            <w:r w:rsidRPr="0043618D">
              <w:rPr>
                <w:sz w:val="18"/>
                <w:szCs w:val="18"/>
              </w:rPr>
              <w:t>100</w:t>
            </w:r>
          </w:p>
        </w:tc>
        <w:tc>
          <w:tcPr>
            <w:tcW w:w="805" w:type="dxa"/>
            <w:hideMark/>
          </w:tcPr>
          <w:p w14:paraId="10F2FBF7" w14:textId="77777777" w:rsidR="00E80D6B" w:rsidRPr="0043618D" w:rsidRDefault="00E80D6B" w:rsidP="009021D0">
            <w:pPr>
              <w:pStyle w:val="NormalWeb"/>
              <w:jc w:val="center"/>
              <w:rPr>
                <w:sz w:val="18"/>
                <w:szCs w:val="18"/>
              </w:rPr>
            </w:pPr>
            <w:r w:rsidRPr="0043618D">
              <w:rPr>
                <w:sz w:val="18"/>
                <w:szCs w:val="18"/>
              </w:rPr>
              <w:t>3.0</w:t>
            </w:r>
          </w:p>
        </w:tc>
        <w:tc>
          <w:tcPr>
            <w:tcW w:w="1142" w:type="dxa"/>
            <w:gridSpan w:val="2"/>
            <w:hideMark/>
          </w:tcPr>
          <w:p w14:paraId="54B90035" w14:textId="77777777" w:rsidR="00E80D6B" w:rsidRPr="0043618D" w:rsidRDefault="00E80D6B" w:rsidP="009021D0">
            <w:pPr>
              <w:pStyle w:val="NormalWeb"/>
              <w:jc w:val="center"/>
              <w:rPr>
                <w:sz w:val="18"/>
                <w:szCs w:val="18"/>
              </w:rPr>
            </w:pPr>
            <w:r w:rsidRPr="0043618D">
              <w:rPr>
                <w:sz w:val="18"/>
                <w:szCs w:val="18"/>
              </w:rPr>
              <w:t>0</w:t>
            </w:r>
          </w:p>
        </w:tc>
        <w:tc>
          <w:tcPr>
            <w:tcW w:w="1086" w:type="dxa"/>
            <w:hideMark/>
          </w:tcPr>
          <w:p w14:paraId="5849C40C" w14:textId="77777777" w:rsidR="00E80D6B" w:rsidRPr="0043618D" w:rsidRDefault="00E80D6B" w:rsidP="009021D0">
            <w:pPr>
              <w:pStyle w:val="NormalWeb"/>
              <w:jc w:val="center"/>
              <w:rPr>
                <w:sz w:val="18"/>
                <w:szCs w:val="18"/>
              </w:rPr>
            </w:pPr>
            <w:r w:rsidRPr="0043618D">
              <w:rPr>
                <w:sz w:val="18"/>
                <w:szCs w:val="18"/>
              </w:rPr>
              <w:t>0.0</w:t>
            </w:r>
          </w:p>
        </w:tc>
      </w:tr>
      <w:tr w:rsidR="00E80D6B" w:rsidRPr="0043618D" w14:paraId="31E8BF9B" w14:textId="77777777" w:rsidTr="00FF44EC">
        <w:tblPrEx>
          <w:tblCellMar>
            <w:top w:w="57" w:type="dxa"/>
            <w:left w:w="57" w:type="dxa"/>
            <w:bottom w:w="57" w:type="dxa"/>
            <w:right w:w="57" w:type="dxa"/>
          </w:tblCellMar>
        </w:tblPrEx>
        <w:trPr>
          <w:gridAfter w:val="1"/>
          <w:wAfter w:w="6" w:type="dxa"/>
        </w:trPr>
        <w:tc>
          <w:tcPr>
            <w:tcW w:w="6508" w:type="dxa"/>
            <w:hideMark/>
          </w:tcPr>
          <w:p w14:paraId="23C2D8FF" w14:textId="77777777" w:rsidR="00E80D6B" w:rsidRPr="0043618D" w:rsidRDefault="00E80D6B" w:rsidP="009021D0">
            <w:pPr>
              <w:pStyle w:val="NormalWeb"/>
              <w:rPr>
                <w:sz w:val="18"/>
                <w:szCs w:val="18"/>
              </w:rPr>
            </w:pPr>
            <w:r w:rsidRPr="0043618D">
              <w:rPr>
                <w:sz w:val="18"/>
                <w:szCs w:val="18"/>
              </w:rPr>
              <w:t>1407</w:t>
            </w:r>
          </w:p>
        </w:tc>
        <w:tc>
          <w:tcPr>
            <w:tcW w:w="1185" w:type="dxa"/>
            <w:hideMark/>
          </w:tcPr>
          <w:p w14:paraId="050B8003" w14:textId="77777777" w:rsidR="00E80D6B" w:rsidRPr="0043618D" w:rsidRDefault="00E80D6B" w:rsidP="009021D0">
            <w:pPr>
              <w:pStyle w:val="NormalWeb"/>
              <w:jc w:val="center"/>
              <w:rPr>
                <w:sz w:val="18"/>
                <w:szCs w:val="18"/>
              </w:rPr>
            </w:pPr>
            <w:r w:rsidRPr="0043618D">
              <w:rPr>
                <w:sz w:val="18"/>
                <w:szCs w:val="18"/>
              </w:rPr>
              <w:t>83</w:t>
            </w:r>
          </w:p>
        </w:tc>
        <w:tc>
          <w:tcPr>
            <w:tcW w:w="805" w:type="dxa"/>
            <w:hideMark/>
          </w:tcPr>
          <w:p w14:paraId="253AB09C" w14:textId="77777777" w:rsidR="00E80D6B" w:rsidRPr="0043618D" w:rsidRDefault="00E80D6B" w:rsidP="009021D0">
            <w:pPr>
              <w:pStyle w:val="NormalWeb"/>
              <w:jc w:val="center"/>
              <w:rPr>
                <w:sz w:val="18"/>
                <w:szCs w:val="18"/>
              </w:rPr>
            </w:pPr>
            <w:r w:rsidRPr="0043618D">
              <w:rPr>
                <w:sz w:val="18"/>
                <w:szCs w:val="18"/>
              </w:rPr>
              <w:t>2.5</w:t>
            </w:r>
          </w:p>
        </w:tc>
        <w:tc>
          <w:tcPr>
            <w:tcW w:w="1142" w:type="dxa"/>
            <w:gridSpan w:val="2"/>
            <w:hideMark/>
          </w:tcPr>
          <w:p w14:paraId="57960904" w14:textId="77777777" w:rsidR="00E80D6B" w:rsidRPr="0043618D" w:rsidRDefault="00E80D6B" w:rsidP="009021D0">
            <w:pPr>
              <w:pStyle w:val="NormalWeb"/>
              <w:jc w:val="center"/>
              <w:rPr>
                <w:sz w:val="18"/>
                <w:szCs w:val="18"/>
              </w:rPr>
            </w:pPr>
            <w:r w:rsidRPr="0043618D">
              <w:rPr>
                <w:sz w:val="18"/>
                <w:szCs w:val="18"/>
              </w:rPr>
              <w:t>10</w:t>
            </w:r>
          </w:p>
        </w:tc>
        <w:tc>
          <w:tcPr>
            <w:tcW w:w="1086" w:type="dxa"/>
            <w:hideMark/>
          </w:tcPr>
          <w:p w14:paraId="31E4CF12" w14:textId="77777777" w:rsidR="00E80D6B" w:rsidRPr="0043618D" w:rsidRDefault="00E80D6B" w:rsidP="009021D0">
            <w:pPr>
              <w:pStyle w:val="NormalWeb"/>
              <w:jc w:val="center"/>
              <w:rPr>
                <w:sz w:val="18"/>
                <w:szCs w:val="18"/>
              </w:rPr>
            </w:pPr>
            <w:r w:rsidRPr="0043618D">
              <w:rPr>
                <w:sz w:val="18"/>
                <w:szCs w:val="18"/>
              </w:rPr>
              <w:t>6.4</w:t>
            </w:r>
          </w:p>
        </w:tc>
      </w:tr>
      <w:tr w:rsidR="00E80D6B" w:rsidRPr="0043618D" w14:paraId="51B588EC"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490B5D86" w14:textId="77777777" w:rsidR="00E80D6B" w:rsidRPr="0043618D" w:rsidRDefault="00E80D6B" w:rsidP="009021D0">
            <w:pPr>
              <w:pStyle w:val="NormalWeb"/>
              <w:rPr>
                <w:sz w:val="18"/>
                <w:szCs w:val="18"/>
              </w:rPr>
            </w:pPr>
            <w:r w:rsidRPr="0043618D">
              <w:rPr>
                <w:sz w:val="18"/>
                <w:szCs w:val="18"/>
              </w:rPr>
              <w:t>6937</w:t>
            </w:r>
          </w:p>
        </w:tc>
        <w:tc>
          <w:tcPr>
            <w:tcW w:w="1185" w:type="dxa"/>
            <w:hideMark/>
          </w:tcPr>
          <w:p w14:paraId="540FAAB4" w14:textId="77777777" w:rsidR="00E80D6B" w:rsidRPr="0043618D" w:rsidRDefault="00E80D6B" w:rsidP="009021D0">
            <w:pPr>
              <w:pStyle w:val="NormalWeb"/>
              <w:jc w:val="center"/>
              <w:rPr>
                <w:sz w:val="18"/>
                <w:szCs w:val="18"/>
              </w:rPr>
            </w:pPr>
            <w:r w:rsidRPr="0043618D">
              <w:rPr>
                <w:sz w:val="18"/>
                <w:szCs w:val="18"/>
              </w:rPr>
              <w:t>75</w:t>
            </w:r>
          </w:p>
        </w:tc>
        <w:tc>
          <w:tcPr>
            <w:tcW w:w="805" w:type="dxa"/>
            <w:hideMark/>
          </w:tcPr>
          <w:p w14:paraId="7814B11A" w14:textId="77777777" w:rsidR="00E80D6B" w:rsidRPr="0043618D" w:rsidRDefault="00E80D6B" w:rsidP="009021D0">
            <w:pPr>
              <w:pStyle w:val="NormalWeb"/>
              <w:jc w:val="center"/>
              <w:rPr>
                <w:sz w:val="18"/>
                <w:szCs w:val="18"/>
              </w:rPr>
            </w:pPr>
            <w:r w:rsidRPr="0043618D">
              <w:rPr>
                <w:sz w:val="18"/>
                <w:szCs w:val="18"/>
              </w:rPr>
              <w:t>2.2</w:t>
            </w:r>
          </w:p>
        </w:tc>
        <w:tc>
          <w:tcPr>
            <w:tcW w:w="1142" w:type="dxa"/>
            <w:gridSpan w:val="2"/>
            <w:hideMark/>
          </w:tcPr>
          <w:p w14:paraId="4CDB19FF" w14:textId="77777777" w:rsidR="00E80D6B" w:rsidRPr="0043618D" w:rsidRDefault="00E80D6B" w:rsidP="009021D0">
            <w:pPr>
              <w:pStyle w:val="NormalWeb"/>
              <w:jc w:val="center"/>
              <w:rPr>
                <w:sz w:val="18"/>
                <w:szCs w:val="18"/>
              </w:rPr>
            </w:pPr>
            <w:r w:rsidRPr="0043618D">
              <w:rPr>
                <w:sz w:val="18"/>
                <w:szCs w:val="18"/>
              </w:rPr>
              <w:t>0</w:t>
            </w:r>
          </w:p>
        </w:tc>
        <w:tc>
          <w:tcPr>
            <w:tcW w:w="1086" w:type="dxa"/>
            <w:hideMark/>
          </w:tcPr>
          <w:p w14:paraId="0C8126AE" w14:textId="77777777" w:rsidR="00E80D6B" w:rsidRPr="0043618D" w:rsidRDefault="00E80D6B" w:rsidP="009021D0">
            <w:pPr>
              <w:pStyle w:val="NormalWeb"/>
              <w:jc w:val="center"/>
              <w:rPr>
                <w:sz w:val="18"/>
                <w:szCs w:val="18"/>
              </w:rPr>
            </w:pPr>
            <w:r w:rsidRPr="0043618D">
              <w:rPr>
                <w:sz w:val="18"/>
                <w:szCs w:val="18"/>
              </w:rPr>
              <w:t>0.0</w:t>
            </w:r>
          </w:p>
        </w:tc>
      </w:tr>
      <w:tr w:rsidR="00E80D6B" w:rsidRPr="0043618D" w14:paraId="3313B52F" w14:textId="77777777" w:rsidTr="00FF44EC">
        <w:tblPrEx>
          <w:tblCellMar>
            <w:top w:w="57" w:type="dxa"/>
            <w:left w:w="57" w:type="dxa"/>
            <w:bottom w:w="57" w:type="dxa"/>
            <w:right w:w="57" w:type="dxa"/>
          </w:tblCellMar>
        </w:tblPrEx>
        <w:trPr>
          <w:gridAfter w:val="1"/>
          <w:wAfter w:w="6" w:type="dxa"/>
        </w:trPr>
        <w:tc>
          <w:tcPr>
            <w:tcW w:w="6508" w:type="dxa"/>
            <w:hideMark/>
          </w:tcPr>
          <w:p w14:paraId="3C52A9EA" w14:textId="77777777" w:rsidR="00E80D6B" w:rsidRPr="0043618D" w:rsidRDefault="00E80D6B" w:rsidP="009021D0">
            <w:pPr>
              <w:pStyle w:val="NormalWeb"/>
              <w:rPr>
                <w:sz w:val="18"/>
                <w:szCs w:val="18"/>
              </w:rPr>
            </w:pPr>
            <w:r w:rsidRPr="0043618D">
              <w:rPr>
                <w:sz w:val="18"/>
                <w:szCs w:val="18"/>
              </w:rPr>
              <w:t>4244</w:t>
            </w:r>
          </w:p>
        </w:tc>
        <w:tc>
          <w:tcPr>
            <w:tcW w:w="1185" w:type="dxa"/>
            <w:hideMark/>
          </w:tcPr>
          <w:p w14:paraId="4A4D4A3A" w14:textId="77777777" w:rsidR="00E80D6B" w:rsidRPr="0043618D" w:rsidRDefault="00E80D6B" w:rsidP="009021D0">
            <w:pPr>
              <w:pStyle w:val="NormalWeb"/>
              <w:jc w:val="center"/>
              <w:rPr>
                <w:sz w:val="18"/>
                <w:szCs w:val="18"/>
              </w:rPr>
            </w:pPr>
            <w:r w:rsidRPr="0043618D">
              <w:rPr>
                <w:sz w:val="18"/>
                <w:szCs w:val="18"/>
              </w:rPr>
              <w:t>73</w:t>
            </w:r>
          </w:p>
        </w:tc>
        <w:tc>
          <w:tcPr>
            <w:tcW w:w="805" w:type="dxa"/>
            <w:hideMark/>
          </w:tcPr>
          <w:p w14:paraId="12257335" w14:textId="77777777" w:rsidR="00E80D6B" w:rsidRPr="0043618D" w:rsidRDefault="00E80D6B" w:rsidP="009021D0">
            <w:pPr>
              <w:pStyle w:val="NormalWeb"/>
              <w:jc w:val="center"/>
              <w:rPr>
                <w:sz w:val="18"/>
                <w:szCs w:val="18"/>
              </w:rPr>
            </w:pPr>
            <w:r w:rsidRPr="0043618D">
              <w:rPr>
                <w:sz w:val="18"/>
                <w:szCs w:val="18"/>
              </w:rPr>
              <w:t>2.2</w:t>
            </w:r>
          </w:p>
        </w:tc>
        <w:tc>
          <w:tcPr>
            <w:tcW w:w="1142" w:type="dxa"/>
            <w:gridSpan w:val="2"/>
            <w:hideMark/>
          </w:tcPr>
          <w:p w14:paraId="41C16D74" w14:textId="77777777" w:rsidR="00E80D6B" w:rsidRPr="0043618D" w:rsidRDefault="00E80D6B" w:rsidP="009021D0">
            <w:pPr>
              <w:pStyle w:val="NormalWeb"/>
              <w:jc w:val="center"/>
              <w:rPr>
                <w:sz w:val="18"/>
                <w:szCs w:val="18"/>
              </w:rPr>
            </w:pPr>
            <w:r w:rsidRPr="0043618D">
              <w:rPr>
                <w:sz w:val="18"/>
                <w:szCs w:val="18"/>
              </w:rPr>
              <w:t>5</w:t>
            </w:r>
          </w:p>
        </w:tc>
        <w:tc>
          <w:tcPr>
            <w:tcW w:w="1086" w:type="dxa"/>
            <w:hideMark/>
          </w:tcPr>
          <w:p w14:paraId="3490D3A2" w14:textId="77777777" w:rsidR="00E80D6B" w:rsidRPr="0043618D" w:rsidRDefault="00E80D6B" w:rsidP="009021D0">
            <w:pPr>
              <w:pStyle w:val="NormalWeb"/>
              <w:jc w:val="center"/>
              <w:rPr>
                <w:sz w:val="18"/>
                <w:szCs w:val="18"/>
              </w:rPr>
            </w:pPr>
            <w:r w:rsidRPr="0043618D">
              <w:rPr>
                <w:sz w:val="18"/>
                <w:szCs w:val="18"/>
              </w:rPr>
              <w:t>3.2</w:t>
            </w:r>
          </w:p>
        </w:tc>
      </w:tr>
      <w:tr w:rsidR="00E80D6B" w:rsidRPr="0043618D" w14:paraId="44F0F261"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161AA2EB" w14:textId="77777777" w:rsidR="00E80D6B" w:rsidRPr="0043618D" w:rsidRDefault="00E80D6B" w:rsidP="009021D0">
            <w:pPr>
              <w:pStyle w:val="NormalWeb"/>
              <w:rPr>
                <w:sz w:val="18"/>
                <w:szCs w:val="18"/>
              </w:rPr>
            </w:pPr>
            <w:r w:rsidRPr="0043618D">
              <w:rPr>
                <w:sz w:val="18"/>
                <w:szCs w:val="18"/>
              </w:rPr>
              <w:t>Other NG-MAST (724 sequence types)</w:t>
            </w:r>
          </w:p>
        </w:tc>
        <w:tc>
          <w:tcPr>
            <w:tcW w:w="1185" w:type="dxa"/>
            <w:hideMark/>
          </w:tcPr>
          <w:p w14:paraId="16E8D8DB" w14:textId="77777777" w:rsidR="00E80D6B" w:rsidRPr="0043618D" w:rsidRDefault="00E80D6B" w:rsidP="009021D0">
            <w:pPr>
              <w:pStyle w:val="NormalWeb"/>
              <w:jc w:val="center"/>
              <w:rPr>
                <w:sz w:val="18"/>
                <w:szCs w:val="18"/>
              </w:rPr>
            </w:pPr>
            <w:r w:rsidRPr="0043618D">
              <w:rPr>
                <w:sz w:val="18"/>
                <w:szCs w:val="18"/>
              </w:rPr>
              <w:t>2328</w:t>
            </w:r>
          </w:p>
        </w:tc>
        <w:tc>
          <w:tcPr>
            <w:tcW w:w="805" w:type="dxa"/>
            <w:hideMark/>
          </w:tcPr>
          <w:p w14:paraId="7DD407F8" w14:textId="77777777" w:rsidR="00E80D6B" w:rsidRPr="0043618D" w:rsidRDefault="00E80D6B" w:rsidP="009021D0">
            <w:pPr>
              <w:pStyle w:val="NormalWeb"/>
              <w:jc w:val="center"/>
              <w:rPr>
                <w:sz w:val="18"/>
                <w:szCs w:val="18"/>
              </w:rPr>
            </w:pPr>
            <w:r w:rsidRPr="0043618D">
              <w:rPr>
                <w:sz w:val="18"/>
                <w:szCs w:val="18"/>
              </w:rPr>
              <w:t>69.7</w:t>
            </w:r>
          </w:p>
        </w:tc>
        <w:tc>
          <w:tcPr>
            <w:tcW w:w="1142" w:type="dxa"/>
            <w:gridSpan w:val="2"/>
            <w:hideMark/>
          </w:tcPr>
          <w:p w14:paraId="4A42C10F" w14:textId="77777777" w:rsidR="00E80D6B" w:rsidRPr="0043618D" w:rsidRDefault="00E80D6B" w:rsidP="009021D0">
            <w:pPr>
              <w:pStyle w:val="NormalWeb"/>
              <w:jc w:val="center"/>
              <w:rPr>
                <w:sz w:val="18"/>
                <w:szCs w:val="18"/>
              </w:rPr>
            </w:pPr>
            <w:r w:rsidRPr="0043618D">
              <w:rPr>
                <w:sz w:val="18"/>
                <w:szCs w:val="18"/>
              </w:rPr>
              <w:t>105</w:t>
            </w:r>
          </w:p>
        </w:tc>
        <w:tc>
          <w:tcPr>
            <w:tcW w:w="1086" w:type="dxa"/>
            <w:hideMark/>
          </w:tcPr>
          <w:p w14:paraId="7DF541F9" w14:textId="77777777" w:rsidR="00E80D6B" w:rsidRPr="0043618D" w:rsidRDefault="00E80D6B" w:rsidP="009021D0">
            <w:pPr>
              <w:pStyle w:val="NormalWeb"/>
              <w:jc w:val="center"/>
              <w:rPr>
                <w:sz w:val="18"/>
                <w:szCs w:val="18"/>
              </w:rPr>
            </w:pPr>
            <w:r w:rsidRPr="0043618D">
              <w:rPr>
                <w:sz w:val="18"/>
                <w:szCs w:val="18"/>
              </w:rPr>
              <w:t>67.3</w:t>
            </w:r>
          </w:p>
        </w:tc>
      </w:tr>
      <w:tr w:rsidR="00E80D6B" w:rsidRPr="0043618D" w14:paraId="28285D4C" w14:textId="77777777" w:rsidTr="00FE56D8">
        <w:tblPrEx>
          <w:tblCellMar>
            <w:top w:w="57" w:type="dxa"/>
            <w:left w:w="57" w:type="dxa"/>
            <w:bottom w:w="57" w:type="dxa"/>
            <w:right w:w="57" w:type="dxa"/>
          </w:tblCellMar>
        </w:tblPrEx>
        <w:trPr>
          <w:gridAfter w:val="1"/>
          <w:wAfter w:w="6" w:type="dxa"/>
        </w:trPr>
        <w:tc>
          <w:tcPr>
            <w:tcW w:w="6508" w:type="dxa"/>
            <w:shd w:val="clear" w:color="auto" w:fill="886E49"/>
            <w:hideMark/>
          </w:tcPr>
          <w:p w14:paraId="6A8F5611" w14:textId="77777777" w:rsidR="00E80D6B" w:rsidRPr="0043618D" w:rsidRDefault="00E80D6B" w:rsidP="009021D0">
            <w:pPr>
              <w:pStyle w:val="NormalWeb"/>
              <w:rPr>
                <w:b/>
                <w:bCs/>
                <w:color w:val="FFFFFF" w:themeColor="background1"/>
                <w:sz w:val="18"/>
                <w:szCs w:val="18"/>
              </w:rPr>
            </w:pPr>
            <w:r w:rsidRPr="0043618D">
              <w:rPr>
                <w:b/>
                <w:bCs/>
                <w:color w:val="FFFFFF" w:themeColor="background1"/>
                <w:sz w:val="18"/>
                <w:szCs w:val="18"/>
              </w:rPr>
              <w:t>Anatomical site of collection</w:t>
            </w:r>
          </w:p>
        </w:tc>
        <w:tc>
          <w:tcPr>
            <w:tcW w:w="1185" w:type="dxa"/>
            <w:shd w:val="clear" w:color="auto" w:fill="886E49"/>
            <w:hideMark/>
          </w:tcPr>
          <w:p w14:paraId="17E5BA6C" w14:textId="77777777" w:rsidR="00E80D6B" w:rsidRPr="0043618D" w:rsidRDefault="00E80D6B" w:rsidP="009021D0">
            <w:pPr>
              <w:jc w:val="center"/>
              <w:rPr>
                <w:b/>
                <w:bCs/>
                <w:color w:val="FFFFFF" w:themeColor="background1"/>
                <w:sz w:val="18"/>
                <w:szCs w:val="18"/>
              </w:rPr>
            </w:pPr>
          </w:p>
        </w:tc>
        <w:tc>
          <w:tcPr>
            <w:tcW w:w="805" w:type="dxa"/>
            <w:shd w:val="clear" w:color="auto" w:fill="886E49"/>
            <w:hideMark/>
          </w:tcPr>
          <w:p w14:paraId="632D7874" w14:textId="77777777" w:rsidR="00E80D6B" w:rsidRPr="0043618D" w:rsidRDefault="00E80D6B" w:rsidP="009021D0">
            <w:pPr>
              <w:jc w:val="center"/>
              <w:rPr>
                <w:rFonts w:eastAsia="Times New Roman"/>
                <w:b/>
                <w:bCs/>
                <w:color w:val="FFFFFF" w:themeColor="background1"/>
                <w:sz w:val="18"/>
                <w:szCs w:val="18"/>
              </w:rPr>
            </w:pPr>
          </w:p>
        </w:tc>
        <w:tc>
          <w:tcPr>
            <w:tcW w:w="1142" w:type="dxa"/>
            <w:gridSpan w:val="2"/>
            <w:shd w:val="clear" w:color="auto" w:fill="886E49"/>
            <w:hideMark/>
          </w:tcPr>
          <w:p w14:paraId="6272F552" w14:textId="77777777" w:rsidR="00E80D6B" w:rsidRPr="0043618D" w:rsidRDefault="00E80D6B" w:rsidP="009021D0">
            <w:pPr>
              <w:jc w:val="center"/>
              <w:rPr>
                <w:rFonts w:eastAsia="Times New Roman"/>
                <w:b/>
                <w:bCs/>
                <w:color w:val="FFFFFF" w:themeColor="background1"/>
                <w:sz w:val="18"/>
                <w:szCs w:val="18"/>
              </w:rPr>
            </w:pPr>
          </w:p>
        </w:tc>
        <w:tc>
          <w:tcPr>
            <w:tcW w:w="1086" w:type="dxa"/>
            <w:shd w:val="clear" w:color="auto" w:fill="886E49"/>
            <w:hideMark/>
          </w:tcPr>
          <w:p w14:paraId="6F3A3C4E" w14:textId="77777777" w:rsidR="00E80D6B" w:rsidRPr="0043618D" w:rsidRDefault="00E80D6B" w:rsidP="009021D0">
            <w:pPr>
              <w:jc w:val="center"/>
              <w:rPr>
                <w:rFonts w:eastAsia="Times New Roman"/>
                <w:b/>
                <w:bCs/>
                <w:color w:val="FFFFFF" w:themeColor="background1"/>
                <w:sz w:val="18"/>
                <w:szCs w:val="18"/>
              </w:rPr>
            </w:pPr>
          </w:p>
        </w:tc>
      </w:tr>
      <w:tr w:rsidR="00E80D6B" w:rsidRPr="0043618D" w14:paraId="3CA8D720"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2F8FE1E2" w14:textId="77777777" w:rsidR="00E80D6B" w:rsidRPr="0043618D" w:rsidRDefault="00E80D6B" w:rsidP="009021D0">
            <w:pPr>
              <w:pStyle w:val="NormalWeb"/>
              <w:rPr>
                <w:sz w:val="18"/>
                <w:szCs w:val="18"/>
              </w:rPr>
            </w:pPr>
            <w:r w:rsidRPr="0043618D">
              <w:rPr>
                <w:sz w:val="18"/>
                <w:szCs w:val="18"/>
              </w:rPr>
              <w:t>Urethra</w:t>
            </w:r>
          </w:p>
        </w:tc>
        <w:tc>
          <w:tcPr>
            <w:tcW w:w="1185" w:type="dxa"/>
            <w:hideMark/>
          </w:tcPr>
          <w:p w14:paraId="3DD97A90" w14:textId="77777777" w:rsidR="00E80D6B" w:rsidRPr="0043618D" w:rsidRDefault="00E80D6B" w:rsidP="009021D0">
            <w:pPr>
              <w:pStyle w:val="NormalWeb"/>
              <w:jc w:val="center"/>
              <w:rPr>
                <w:sz w:val="18"/>
                <w:szCs w:val="18"/>
              </w:rPr>
            </w:pPr>
            <w:r w:rsidRPr="0043618D">
              <w:rPr>
                <w:sz w:val="18"/>
                <w:szCs w:val="18"/>
              </w:rPr>
              <w:t>1707</w:t>
            </w:r>
          </w:p>
        </w:tc>
        <w:tc>
          <w:tcPr>
            <w:tcW w:w="805" w:type="dxa"/>
            <w:hideMark/>
          </w:tcPr>
          <w:p w14:paraId="5B3FA986" w14:textId="77777777" w:rsidR="00E80D6B" w:rsidRPr="0043618D" w:rsidRDefault="00E80D6B" w:rsidP="009021D0">
            <w:pPr>
              <w:pStyle w:val="NormalWeb"/>
              <w:jc w:val="center"/>
              <w:rPr>
                <w:sz w:val="18"/>
                <w:szCs w:val="18"/>
              </w:rPr>
            </w:pPr>
            <w:r w:rsidRPr="0043618D">
              <w:rPr>
                <w:sz w:val="18"/>
                <w:szCs w:val="18"/>
              </w:rPr>
              <w:t>51.1</w:t>
            </w:r>
          </w:p>
        </w:tc>
        <w:tc>
          <w:tcPr>
            <w:tcW w:w="1142" w:type="dxa"/>
            <w:gridSpan w:val="2"/>
            <w:hideMark/>
          </w:tcPr>
          <w:p w14:paraId="345750E6" w14:textId="77777777" w:rsidR="00E80D6B" w:rsidRPr="0043618D" w:rsidRDefault="00E80D6B" w:rsidP="009021D0">
            <w:pPr>
              <w:pStyle w:val="NormalWeb"/>
              <w:jc w:val="center"/>
              <w:rPr>
                <w:sz w:val="18"/>
                <w:szCs w:val="18"/>
              </w:rPr>
            </w:pPr>
            <w:r w:rsidRPr="0043618D">
              <w:rPr>
                <w:sz w:val="18"/>
                <w:szCs w:val="18"/>
              </w:rPr>
              <w:t>68</w:t>
            </w:r>
          </w:p>
        </w:tc>
        <w:tc>
          <w:tcPr>
            <w:tcW w:w="1086" w:type="dxa"/>
            <w:hideMark/>
          </w:tcPr>
          <w:p w14:paraId="14C74B85" w14:textId="77777777" w:rsidR="00E80D6B" w:rsidRPr="0043618D" w:rsidRDefault="00E80D6B" w:rsidP="009021D0">
            <w:pPr>
              <w:pStyle w:val="NormalWeb"/>
              <w:jc w:val="center"/>
              <w:rPr>
                <w:sz w:val="18"/>
                <w:szCs w:val="18"/>
              </w:rPr>
            </w:pPr>
            <w:r w:rsidRPr="0043618D">
              <w:rPr>
                <w:sz w:val="18"/>
                <w:szCs w:val="18"/>
              </w:rPr>
              <w:t>43.6</w:t>
            </w:r>
          </w:p>
        </w:tc>
      </w:tr>
      <w:tr w:rsidR="00E80D6B" w:rsidRPr="0043618D" w14:paraId="56F81825" w14:textId="77777777" w:rsidTr="00FF44EC">
        <w:tblPrEx>
          <w:tblCellMar>
            <w:top w:w="57" w:type="dxa"/>
            <w:left w:w="57" w:type="dxa"/>
            <w:bottom w:w="57" w:type="dxa"/>
            <w:right w:w="57" w:type="dxa"/>
          </w:tblCellMar>
        </w:tblPrEx>
        <w:trPr>
          <w:gridAfter w:val="1"/>
          <w:wAfter w:w="6" w:type="dxa"/>
        </w:trPr>
        <w:tc>
          <w:tcPr>
            <w:tcW w:w="6508" w:type="dxa"/>
            <w:hideMark/>
          </w:tcPr>
          <w:p w14:paraId="3451CE1A" w14:textId="77777777" w:rsidR="00E80D6B" w:rsidRPr="0043618D" w:rsidRDefault="00E80D6B" w:rsidP="009021D0">
            <w:pPr>
              <w:pStyle w:val="NormalWeb"/>
              <w:rPr>
                <w:sz w:val="18"/>
                <w:szCs w:val="18"/>
              </w:rPr>
            </w:pPr>
            <w:r w:rsidRPr="0043618D">
              <w:rPr>
                <w:sz w:val="18"/>
                <w:szCs w:val="18"/>
              </w:rPr>
              <w:t>Vagina</w:t>
            </w:r>
          </w:p>
        </w:tc>
        <w:tc>
          <w:tcPr>
            <w:tcW w:w="1185" w:type="dxa"/>
            <w:hideMark/>
          </w:tcPr>
          <w:p w14:paraId="415C8F5E" w14:textId="77777777" w:rsidR="00E80D6B" w:rsidRPr="0043618D" w:rsidRDefault="00E80D6B" w:rsidP="009021D0">
            <w:pPr>
              <w:pStyle w:val="NormalWeb"/>
              <w:jc w:val="center"/>
              <w:rPr>
                <w:sz w:val="18"/>
                <w:szCs w:val="18"/>
              </w:rPr>
            </w:pPr>
            <w:r w:rsidRPr="0043618D">
              <w:rPr>
                <w:sz w:val="18"/>
                <w:szCs w:val="18"/>
              </w:rPr>
              <w:t>617</w:t>
            </w:r>
          </w:p>
        </w:tc>
        <w:tc>
          <w:tcPr>
            <w:tcW w:w="805" w:type="dxa"/>
            <w:hideMark/>
          </w:tcPr>
          <w:p w14:paraId="16F4CD69" w14:textId="77777777" w:rsidR="00E80D6B" w:rsidRPr="0043618D" w:rsidRDefault="00E80D6B" w:rsidP="009021D0">
            <w:pPr>
              <w:pStyle w:val="NormalWeb"/>
              <w:jc w:val="center"/>
              <w:rPr>
                <w:sz w:val="18"/>
                <w:szCs w:val="18"/>
              </w:rPr>
            </w:pPr>
            <w:r w:rsidRPr="0043618D">
              <w:rPr>
                <w:sz w:val="18"/>
                <w:szCs w:val="18"/>
              </w:rPr>
              <w:t>18.5</w:t>
            </w:r>
          </w:p>
        </w:tc>
        <w:tc>
          <w:tcPr>
            <w:tcW w:w="1142" w:type="dxa"/>
            <w:gridSpan w:val="2"/>
            <w:hideMark/>
          </w:tcPr>
          <w:p w14:paraId="4878FAD4" w14:textId="77777777" w:rsidR="00E80D6B" w:rsidRPr="0043618D" w:rsidRDefault="00E80D6B" w:rsidP="009021D0">
            <w:pPr>
              <w:pStyle w:val="NormalWeb"/>
              <w:jc w:val="center"/>
              <w:rPr>
                <w:sz w:val="18"/>
                <w:szCs w:val="18"/>
              </w:rPr>
            </w:pPr>
            <w:r w:rsidRPr="0043618D">
              <w:rPr>
                <w:sz w:val="18"/>
                <w:szCs w:val="18"/>
              </w:rPr>
              <w:t>0</w:t>
            </w:r>
          </w:p>
        </w:tc>
        <w:tc>
          <w:tcPr>
            <w:tcW w:w="1086" w:type="dxa"/>
            <w:hideMark/>
          </w:tcPr>
          <w:p w14:paraId="643B6E01" w14:textId="77777777" w:rsidR="00E80D6B" w:rsidRPr="0043618D" w:rsidRDefault="00E80D6B" w:rsidP="009021D0">
            <w:pPr>
              <w:pStyle w:val="NormalWeb"/>
              <w:jc w:val="center"/>
              <w:rPr>
                <w:sz w:val="18"/>
                <w:szCs w:val="18"/>
              </w:rPr>
            </w:pPr>
            <w:r w:rsidRPr="0043618D">
              <w:rPr>
                <w:sz w:val="18"/>
                <w:szCs w:val="18"/>
              </w:rPr>
              <w:t>0.0</w:t>
            </w:r>
          </w:p>
        </w:tc>
      </w:tr>
      <w:tr w:rsidR="00E80D6B" w:rsidRPr="0043618D" w14:paraId="46D0594B"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06C31FFB" w14:textId="77777777" w:rsidR="00E80D6B" w:rsidRPr="0043618D" w:rsidRDefault="00E80D6B" w:rsidP="009021D0">
            <w:pPr>
              <w:pStyle w:val="NormalWeb"/>
              <w:rPr>
                <w:sz w:val="18"/>
                <w:szCs w:val="18"/>
              </w:rPr>
            </w:pPr>
            <w:r w:rsidRPr="0043618D">
              <w:rPr>
                <w:sz w:val="18"/>
                <w:szCs w:val="18"/>
              </w:rPr>
              <w:t>Rectum</w:t>
            </w:r>
          </w:p>
        </w:tc>
        <w:tc>
          <w:tcPr>
            <w:tcW w:w="1185" w:type="dxa"/>
            <w:hideMark/>
          </w:tcPr>
          <w:p w14:paraId="06AEA02D" w14:textId="77777777" w:rsidR="00E80D6B" w:rsidRPr="0043618D" w:rsidRDefault="00E80D6B" w:rsidP="009021D0">
            <w:pPr>
              <w:pStyle w:val="NormalWeb"/>
              <w:jc w:val="center"/>
              <w:rPr>
                <w:sz w:val="18"/>
                <w:szCs w:val="18"/>
              </w:rPr>
            </w:pPr>
            <w:r w:rsidRPr="0043618D">
              <w:rPr>
                <w:sz w:val="18"/>
                <w:szCs w:val="18"/>
              </w:rPr>
              <w:t>432</w:t>
            </w:r>
          </w:p>
        </w:tc>
        <w:tc>
          <w:tcPr>
            <w:tcW w:w="805" w:type="dxa"/>
            <w:hideMark/>
          </w:tcPr>
          <w:p w14:paraId="74439677" w14:textId="77777777" w:rsidR="00E80D6B" w:rsidRPr="0043618D" w:rsidRDefault="00E80D6B" w:rsidP="009021D0">
            <w:pPr>
              <w:pStyle w:val="NormalWeb"/>
              <w:jc w:val="center"/>
              <w:rPr>
                <w:sz w:val="18"/>
                <w:szCs w:val="18"/>
              </w:rPr>
            </w:pPr>
            <w:r w:rsidRPr="0043618D">
              <w:rPr>
                <w:sz w:val="18"/>
                <w:szCs w:val="18"/>
              </w:rPr>
              <w:t>12.9</w:t>
            </w:r>
          </w:p>
        </w:tc>
        <w:tc>
          <w:tcPr>
            <w:tcW w:w="1142" w:type="dxa"/>
            <w:gridSpan w:val="2"/>
            <w:hideMark/>
          </w:tcPr>
          <w:p w14:paraId="5FF0554E" w14:textId="77777777" w:rsidR="00E80D6B" w:rsidRPr="0043618D" w:rsidRDefault="00E80D6B" w:rsidP="009021D0">
            <w:pPr>
              <w:pStyle w:val="NormalWeb"/>
              <w:jc w:val="center"/>
              <w:rPr>
                <w:sz w:val="18"/>
                <w:szCs w:val="18"/>
              </w:rPr>
            </w:pPr>
            <w:r w:rsidRPr="0043618D">
              <w:rPr>
                <w:sz w:val="18"/>
                <w:szCs w:val="18"/>
              </w:rPr>
              <w:t>70</w:t>
            </w:r>
          </w:p>
        </w:tc>
        <w:tc>
          <w:tcPr>
            <w:tcW w:w="1086" w:type="dxa"/>
            <w:hideMark/>
          </w:tcPr>
          <w:p w14:paraId="220577C4" w14:textId="77777777" w:rsidR="00E80D6B" w:rsidRPr="0043618D" w:rsidRDefault="00E80D6B" w:rsidP="009021D0">
            <w:pPr>
              <w:pStyle w:val="NormalWeb"/>
              <w:jc w:val="center"/>
              <w:rPr>
                <w:sz w:val="18"/>
                <w:szCs w:val="18"/>
              </w:rPr>
            </w:pPr>
            <w:r w:rsidRPr="0043618D">
              <w:rPr>
                <w:sz w:val="18"/>
                <w:szCs w:val="18"/>
              </w:rPr>
              <w:t>44.9</w:t>
            </w:r>
          </w:p>
        </w:tc>
      </w:tr>
      <w:tr w:rsidR="00E80D6B" w:rsidRPr="0043618D" w14:paraId="5E3E562D" w14:textId="77777777" w:rsidTr="00FF44EC">
        <w:tblPrEx>
          <w:tblCellMar>
            <w:top w:w="57" w:type="dxa"/>
            <w:left w:w="57" w:type="dxa"/>
            <w:bottom w:w="57" w:type="dxa"/>
            <w:right w:w="57" w:type="dxa"/>
          </w:tblCellMar>
        </w:tblPrEx>
        <w:trPr>
          <w:gridAfter w:val="1"/>
          <w:wAfter w:w="6" w:type="dxa"/>
        </w:trPr>
        <w:tc>
          <w:tcPr>
            <w:tcW w:w="6508" w:type="dxa"/>
            <w:hideMark/>
          </w:tcPr>
          <w:p w14:paraId="41FE69D6" w14:textId="77777777" w:rsidR="00E80D6B" w:rsidRPr="0043618D" w:rsidRDefault="00E80D6B" w:rsidP="009021D0">
            <w:pPr>
              <w:pStyle w:val="NormalWeb"/>
              <w:rPr>
                <w:sz w:val="18"/>
                <w:szCs w:val="18"/>
              </w:rPr>
            </w:pPr>
            <w:r w:rsidRPr="0043618D">
              <w:rPr>
                <w:sz w:val="18"/>
                <w:szCs w:val="18"/>
              </w:rPr>
              <w:t>Pharynx</w:t>
            </w:r>
          </w:p>
        </w:tc>
        <w:tc>
          <w:tcPr>
            <w:tcW w:w="1185" w:type="dxa"/>
            <w:hideMark/>
          </w:tcPr>
          <w:p w14:paraId="582F1D8B" w14:textId="77777777" w:rsidR="00E80D6B" w:rsidRPr="0043618D" w:rsidRDefault="00E80D6B" w:rsidP="009021D0">
            <w:pPr>
              <w:pStyle w:val="NormalWeb"/>
              <w:jc w:val="center"/>
              <w:rPr>
                <w:sz w:val="18"/>
                <w:szCs w:val="18"/>
              </w:rPr>
            </w:pPr>
            <w:r w:rsidRPr="0043618D">
              <w:rPr>
                <w:sz w:val="18"/>
                <w:szCs w:val="18"/>
              </w:rPr>
              <w:t>224</w:t>
            </w:r>
          </w:p>
        </w:tc>
        <w:tc>
          <w:tcPr>
            <w:tcW w:w="805" w:type="dxa"/>
            <w:hideMark/>
          </w:tcPr>
          <w:p w14:paraId="228D3F6E" w14:textId="77777777" w:rsidR="00E80D6B" w:rsidRPr="0043618D" w:rsidRDefault="00E80D6B" w:rsidP="009021D0">
            <w:pPr>
              <w:pStyle w:val="NormalWeb"/>
              <w:jc w:val="center"/>
              <w:rPr>
                <w:sz w:val="18"/>
                <w:szCs w:val="18"/>
              </w:rPr>
            </w:pPr>
            <w:r w:rsidRPr="0043618D">
              <w:rPr>
                <w:sz w:val="18"/>
                <w:szCs w:val="18"/>
              </w:rPr>
              <w:t>6.7</w:t>
            </w:r>
          </w:p>
        </w:tc>
        <w:tc>
          <w:tcPr>
            <w:tcW w:w="1142" w:type="dxa"/>
            <w:gridSpan w:val="2"/>
            <w:hideMark/>
          </w:tcPr>
          <w:p w14:paraId="1FC721F3" w14:textId="77777777" w:rsidR="00E80D6B" w:rsidRPr="0043618D" w:rsidRDefault="00E80D6B" w:rsidP="009021D0">
            <w:pPr>
              <w:pStyle w:val="NormalWeb"/>
              <w:jc w:val="center"/>
              <w:rPr>
                <w:sz w:val="18"/>
                <w:szCs w:val="18"/>
              </w:rPr>
            </w:pPr>
            <w:r w:rsidRPr="0043618D">
              <w:rPr>
                <w:sz w:val="18"/>
                <w:szCs w:val="18"/>
              </w:rPr>
              <w:t>17</w:t>
            </w:r>
          </w:p>
        </w:tc>
        <w:tc>
          <w:tcPr>
            <w:tcW w:w="1086" w:type="dxa"/>
            <w:hideMark/>
          </w:tcPr>
          <w:p w14:paraId="356E2997" w14:textId="77777777" w:rsidR="00E80D6B" w:rsidRPr="0043618D" w:rsidRDefault="00E80D6B" w:rsidP="009021D0">
            <w:pPr>
              <w:pStyle w:val="NormalWeb"/>
              <w:jc w:val="center"/>
              <w:rPr>
                <w:sz w:val="18"/>
                <w:szCs w:val="18"/>
              </w:rPr>
            </w:pPr>
            <w:r w:rsidRPr="0043618D">
              <w:rPr>
                <w:sz w:val="18"/>
                <w:szCs w:val="18"/>
              </w:rPr>
              <w:t>10.9</w:t>
            </w:r>
          </w:p>
        </w:tc>
      </w:tr>
      <w:tr w:rsidR="00E80D6B" w:rsidRPr="0043618D" w14:paraId="0DD9AD04"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187CF1C3" w14:textId="77777777" w:rsidR="00E80D6B" w:rsidRPr="0043618D" w:rsidRDefault="00E80D6B" w:rsidP="009021D0">
            <w:pPr>
              <w:pStyle w:val="NormalWeb"/>
              <w:rPr>
                <w:sz w:val="18"/>
                <w:szCs w:val="18"/>
              </w:rPr>
            </w:pPr>
            <w:r w:rsidRPr="0043618D">
              <w:rPr>
                <w:sz w:val="18"/>
                <w:szCs w:val="18"/>
              </w:rPr>
              <w:t>Cervix</w:t>
            </w:r>
          </w:p>
        </w:tc>
        <w:tc>
          <w:tcPr>
            <w:tcW w:w="1185" w:type="dxa"/>
            <w:hideMark/>
          </w:tcPr>
          <w:p w14:paraId="0C539185" w14:textId="77777777" w:rsidR="00E80D6B" w:rsidRPr="0043618D" w:rsidRDefault="00E80D6B" w:rsidP="009021D0">
            <w:pPr>
              <w:pStyle w:val="NormalWeb"/>
              <w:jc w:val="center"/>
              <w:rPr>
                <w:sz w:val="18"/>
                <w:szCs w:val="18"/>
              </w:rPr>
            </w:pPr>
            <w:r w:rsidRPr="0043618D">
              <w:rPr>
                <w:sz w:val="18"/>
                <w:szCs w:val="18"/>
              </w:rPr>
              <w:t>146</w:t>
            </w:r>
          </w:p>
        </w:tc>
        <w:tc>
          <w:tcPr>
            <w:tcW w:w="805" w:type="dxa"/>
            <w:hideMark/>
          </w:tcPr>
          <w:p w14:paraId="7D026052" w14:textId="77777777" w:rsidR="00E80D6B" w:rsidRPr="0043618D" w:rsidRDefault="00E80D6B" w:rsidP="009021D0">
            <w:pPr>
              <w:pStyle w:val="NormalWeb"/>
              <w:jc w:val="center"/>
              <w:rPr>
                <w:sz w:val="18"/>
                <w:szCs w:val="18"/>
              </w:rPr>
            </w:pPr>
            <w:r w:rsidRPr="0043618D">
              <w:rPr>
                <w:sz w:val="18"/>
                <w:szCs w:val="18"/>
              </w:rPr>
              <w:t>4.4</w:t>
            </w:r>
          </w:p>
        </w:tc>
        <w:tc>
          <w:tcPr>
            <w:tcW w:w="1142" w:type="dxa"/>
            <w:gridSpan w:val="2"/>
            <w:hideMark/>
          </w:tcPr>
          <w:p w14:paraId="5F363527" w14:textId="77777777" w:rsidR="00E80D6B" w:rsidRPr="0043618D" w:rsidRDefault="00E80D6B" w:rsidP="009021D0">
            <w:pPr>
              <w:pStyle w:val="NormalWeb"/>
              <w:jc w:val="center"/>
              <w:rPr>
                <w:sz w:val="18"/>
                <w:szCs w:val="18"/>
              </w:rPr>
            </w:pPr>
            <w:r w:rsidRPr="0043618D">
              <w:rPr>
                <w:sz w:val="18"/>
                <w:szCs w:val="18"/>
              </w:rPr>
              <w:t>0</w:t>
            </w:r>
          </w:p>
        </w:tc>
        <w:tc>
          <w:tcPr>
            <w:tcW w:w="1086" w:type="dxa"/>
            <w:hideMark/>
          </w:tcPr>
          <w:p w14:paraId="3DA213AD" w14:textId="77777777" w:rsidR="00E80D6B" w:rsidRPr="0043618D" w:rsidRDefault="00E80D6B" w:rsidP="009021D0">
            <w:pPr>
              <w:pStyle w:val="NormalWeb"/>
              <w:jc w:val="center"/>
              <w:rPr>
                <w:sz w:val="18"/>
                <w:szCs w:val="18"/>
              </w:rPr>
            </w:pPr>
            <w:r w:rsidRPr="0043618D">
              <w:rPr>
                <w:sz w:val="18"/>
                <w:szCs w:val="18"/>
              </w:rPr>
              <w:t>0.0</w:t>
            </w:r>
          </w:p>
        </w:tc>
      </w:tr>
      <w:tr w:rsidR="00E80D6B" w:rsidRPr="0043618D" w14:paraId="0BEEFCCA" w14:textId="77777777" w:rsidTr="00FF44EC">
        <w:tblPrEx>
          <w:tblCellMar>
            <w:top w:w="57" w:type="dxa"/>
            <w:left w:w="57" w:type="dxa"/>
            <w:bottom w:w="57" w:type="dxa"/>
            <w:right w:w="57" w:type="dxa"/>
          </w:tblCellMar>
        </w:tblPrEx>
        <w:trPr>
          <w:gridAfter w:val="1"/>
          <w:wAfter w:w="6" w:type="dxa"/>
        </w:trPr>
        <w:tc>
          <w:tcPr>
            <w:tcW w:w="6508" w:type="dxa"/>
            <w:hideMark/>
          </w:tcPr>
          <w:p w14:paraId="72CF2BC5" w14:textId="77777777" w:rsidR="00E80D6B" w:rsidRPr="0043618D" w:rsidRDefault="00E80D6B" w:rsidP="009021D0">
            <w:pPr>
              <w:pStyle w:val="NormalWeb"/>
              <w:rPr>
                <w:sz w:val="18"/>
                <w:szCs w:val="18"/>
              </w:rPr>
            </w:pPr>
            <w:proofErr w:type="gramStart"/>
            <w:r w:rsidRPr="0043618D">
              <w:rPr>
                <w:sz w:val="18"/>
                <w:szCs w:val="18"/>
              </w:rPr>
              <w:t>Other</w:t>
            </w:r>
            <w:proofErr w:type="gramEnd"/>
            <w:r w:rsidRPr="0043618D">
              <w:rPr>
                <w:sz w:val="18"/>
                <w:szCs w:val="18"/>
              </w:rPr>
              <w:t xml:space="preserve"> anatomical site</w:t>
            </w:r>
          </w:p>
        </w:tc>
        <w:tc>
          <w:tcPr>
            <w:tcW w:w="1185" w:type="dxa"/>
            <w:hideMark/>
          </w:tcPr>
          <w:p w14:paraId="10CF230C" w14:textId="77777777" w:rsidR="00E80D6B" w:rsidRPr="0043618D" w:rsidRDefault="00E80D6B" w:rsidP="009021D0">
            <w:pPr>
              <w:pStyle w:val="NormalWeb"/>
              <w:jc w:val="center"/>
              <w:rPr>
                <w:sz w:val="18"/>
                <w:szCs w:val="18"/>
              </w:rPr>
            </w:pPr>
            <w:r w:rsidRPr="0043618D">
              <w:rPr>
                <w:sz w:val="18"/>
                <w:szCs w:val="18"/>
              </w:rPr>
              <w:t>214</w:t>
            </w:r>
          </w:p>
        </w:tc>
        <w:tc>
          <w:tcPr>
            <w:tcW w:w="805" w:type="dxa"/>
            <w:hideMark/>
          </w:tcPr>
          <w:p w14:paraId="75804E36" w14:textId="77777777" w:rsidR="00E80D6B" w:rsidRPr="0043618D" w:rsidRDefault="00E80D6B" w:rsidP="009021D0">
            <w:pPr>
              <w:pStyle w:val="NormalWeb"/>
              <w:jc w:val="center"/>
              <w:rPr>
                <w:sz w:val="18"/>
                <w:szCs w:val="18"/>
              </w:rPr>
            </w:pPr>
            <w:r w:rsidRPr="0043618D">
              <w:rPr>
                <w:sz w:val="18"/>
                <w:szCs w:val="18"/>
              </w:rPr>
              <w:t>6.4</w:t>
            </w:r>
          </w:p>
        </w:tc>
        <w:tc>
          <w:tcPr>
            <w:tcW w:w="1142" w:type="dxa"/>
            <w:gridSpan w:val="2"/>
            <w:hideMark/>
          </w:tcPr>
          <w:p w14:paraId="56455910" w14:textId="77777777" w:rsidR="00E80D6B" w:rsidRPr="0043618D" w:rsidRDefault="00E80D6B" w:rsidP="009021D0">
            <w:pPr>
              <w:pStyle w:val="NormalWeb"/>
              <w:jc w:val="center"/>
              <w:rPr>
                <w:sz w:val="18"/>
                <w:szCs w:val="18"/>
              </w:rPr>
            </w:pPr>
            <w:r w:rsidRPr="0043618D">
              <w:rPr>
                <w:sz w:val="18"/>
                <w:szCs w:val="18"/>
              </w:rPr>
              <w:t>1</w:t>
            </w:r>
          </w:p>
        </w:tc>
        <w:tc>
          <w:tcPr>
            <w:tcW w:w="1086" w:type="dxa"/>
            <w:hideMark/>
          </w:tcPr>
          <w:p w14:paraId="3D76A6EF" w14:textId="77777777" w:rsidR="00E80D6B" w:rsidRPr="0043618D" w:rsidRDefault="00E80D6B" w:rsidP="009021D0">
            <w:pPr>
              <w:pStyle w:val="NormalWeb"/>
              <w:jc w:val="center"/>
              <w:rPr>
                <w:sz w:val="18"/>
                <w:szCs w:val="18"/>
              </w:rPr>
            </w:pPr>
            <w:r w:rsidRPr="0043618D">
              <w:rPr>
                <w:sz w:val="18"/>
                <w:szCs w:val="18"/>
              </w:rPr>
              <w:t>0.6</w:t>
            </w:r>
          </w:p>
        </w:tc>
      </w:tr>
      <w:tr w:rsidR="00E80D6B" w:rsidRPr="0043618D" w14:paraId="19FAB958" w14:textId="77777777" w:rsidTr="00FE56D8">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shd w:val="clear" w:color="auto" w:fill="886E49"/>
            <w:hideMark/>
          </w:tcPr>
          <w:p w14:paraId="6A647C51" w14:textId="77777777" w:rsidR="00E80D6B" w:rsidRPr="0043618D" w:rsidRDefault="00E80D6B" w:rsidP="009021D0">
            <w:pPr>
              <w:pStyle w:val="NormalWeb"/>
              <w:rPr>
                <w:b/>
                <w:bCs/>
                <w:color w:val="FFFFFF" w:themeColor="background1"/>
                <w:sz w:val="18"/>
                <w:szCs w:val="18"/>
              </w:rPr>
            </w:pPr>
            <w:r w:rsidRPr="0043618D">
              <w:rPr>
                <w:b/>
                <w:bCs/>
                <w:color w:val="FFFFFF" w:themeColor="background1"/>
                <w:sz w:val="18"/>
                <w:szCs w:val="18"/>
              </w:rPr>
              <w:t>Year of collection</w:t>
            </w:r>
          </w:p>
        </w:tc>
        <w:tc>
          <w:tcPr>
            <w:tcW w:w="1185" w:type="dxa"/>
            <w:shd w:val="clear" w:color="auto" w:fill="886E49"/>
            <w:hideMark/>
          </w:tcPr>
          <w:p w14:paraId="2C020C57" w14:textId="77777777" w:rsidR="00E80D6B" w:rsidRPr="0043618D" w:rsidRDefault="00E80D6B" w:rsidP="009021D0">
            <w:pPr>
              <w:jc w:val="center"/>
              <w:rPr>
                <w:b/>
                <w:bCs/>
                <w:color w:val="FFFFFF" w:themeColor="background1"/>
                <w:sz w:val="18"/>
                <w:szCs w:val="18"/>
              </w:rPr>
            </w:pPr>
          </w:p>
        </w:tc>
        <w:tc>
          <w:tcPr>
            <w:tcW w:w="805" w:type="dxa"/>
            <w:shd w:val="clear" w:color="auto" w:fill="886E49"/>
            <w:hideMark/>
          </w:tcPr>
          <w:p w14:paraId="65A02212" w14:textId="77777777" w:rsidR="00E80D6B" w:rsidRPr="0043618D" w:rsidRDefault="00E80D6B" w:rsidP="009021D0">
            <w:pPr>
              <w:jc w:val="center"/>
              <w:rPr>
                <w:rFonts w:eastAsia="Times New Roman"/>
                <w:b/>
                <w:bCs/>
                <w:color w:val="FFFFFF" w:themeColor="background1"/>
                <w:sz w:val="18"/>
                <w:szCs w:val="18"/>
              </w:rPr>
            </w:pPr>
          </w:p>
        </w:tc>
        <w:tc>
          <w:tcPr>
            <w:tcW w:w="1142" w:type="dxa"/>
            <w:gridSpan w:val="2"/>
            <w:shd w:val="clear" w:color="auto" w:fill="886E49"/>
            <w:hideMark/>
          </w:tcPr>
          <w:p w14:paraId="4B47FCC8" w14:textId="77777777" w:rsidR="00E80D6B" w:rsidRPr="0043618D" w:rsidRDefault="00E80D6B" w:rsidP="009021D0">
            <w:pPr>
              <w:jc w:val="center"/>
              <w:rPr>
                <w:rFonts w:eastAsia="Times New Roman"/>
                <w:b/>
                <w:bCs/>
                <w:color w:val="FFFFFF" w:themeColor="background1"/>
                <w:sz w:val="18"/>
                <w:szCs w:val="18"/>
              </w:rPr>
            </w:pPr>
          </w:p>
        </w:tc>
        <w:tc>
          <w:tcPr>
            <w:tcW w:w="1086" w:type="dxa"/>
            <w:shd w:val="clear" w:color="auto" w:fill="886E49"/>
            <w:hideMark/>
          </w:tcPr>
          <w:p w14:paraId="23B9623E" w14:textId="77777777" w:rsidR="00E80D6B" w:rsidRPr="0043618D" w:rsidRDefault="00E80D6B" w:rsidP="009021D0">
            <w:pPr>
              <w:jc w:val="center"/>
              <w:rPr>
                <w:rFonts w:eastAsia="Times New Roman"/>
                <w:b/>
                <w:bCs/>
                <w:color w:val="FFFFFF" w:themeColor="background1"/>
                <w:sz w:val="18"/>
                <w:szCs w:val="18"/>
              </w:rPr>
            </w:pPr>
          </w:p>
        </w:tc>
      </w:tr>
      <w:tr w:rsidR="00E80D6B" w:rsidRPr="0043618D" w14:paraId="3BDDE4FB" w14:textId="77777777" w:rsidTr="00FF44EC">
        <w:tblPrEx>
          <w:tblCellMar>
            <w:top w:w="57" w:type="dxa"/>
            <w:left w:w="57" w:type="dxa"/>
            <w:bottom w:w="57" w:type="dxa"/>
            <w:right w:w="57" w:type="dxa"/>
          </w:tblCellMar>
        </w:tblPrEx>
        <w:trPr>
          <w:gridAfter w:val="1"/>
          <w:wAfter w:w="6" w:type="dxa"/>
        </w:trPr>
        <w:tc>
          <w:tcPr>
            <w:tcW w:w="6508" w:type="dxa"/>
            <w:hideMark/>
          </w:tcPr>
          <w:p w14:paraId="42A5301F" w14:textId="77777777" w:rsidR="00E80D6B" w:rsidRPr="0043618D" w:rsidRDefault="00E80D6B" w:rsidP="009021D0">
            <w:pPr>
              <w:pStyle w:val="NormalWeb"/>
              <w:rPr>
                <w:sz w:val="18"/>
                <w:szCs w:val="18"/>
              </w:rPr>
            </w:pPr>
            <w:r w:rsidRPr="0043618D">
              <w:rPr>
                <w:sz w:val="18"/>
                <w:szCs w:val="18"/>
              </w:rPr>
              <w:t>2010</w:t>
            </w:r>
          </w:p>
        </w:tc>
        <w:tc>
          <w:tcPr>
            <w:tcW w:w="1185" w:type="dxa"/>
            <w:hideMark/>
          </w:tcPr>
          <w:p w14:paraId="5633F638" w14:textId="77777777" w:rsidR="00E80D6B" w:rsidRPr="0043618D" w:rsidRDefault="00E80D6B" w:rsidP="009021D0">
            <w:pPr>
              <w:pStyle w:val="NormalWeb"/>
              <w:jc w:val="center"/>
              <w:rPr>
                <w:sz w:val="18"/>
                <w:szCs w:val="18"/>
              </w:rPr>
            </w:pPr>
            <w:r w:rsidRPr="0043618D">
              <w:rPr>
                <w:sz w:val="18"/>
                <w:szCs w:val="18"/>
              </w:rPr>
              <w:t>652</w:t>
            </w:r>
          </w:p>
        </w:tc>
        <w:tc>
          <w:tcPr>
            <w:tcW w:w="805" w:type="dxa"/>
            <w:hideMark/>
          </w:tcPr>
          <w:p w14:paraId="22799DD5" w14:textId="77777777" w:rsidR="00E80D6B" w:rsidRPr="0043618D" w:rsidRDefault="00E80D6B" w:rsidP="009021D0">
            <w:pPr>
              <w:pStyle w:val="NormalWeb"/>
              <w:jc w:val="center"/>
              <w:rPr>
                <w:sz w:val="18"/>
                <w:szCs w:val="18"/>
              </w:rPr>
            </w:pPr>
            <w:r w:rsidRPr="0043618D">
              <w:rPr>
                <w:sz w:val="18"/>
                <w:szCs w:val="18"/>
              </w:rPr>
              <w:t>19.5</w:t>
            </w:r>
          </w:p>
        </w:tc>
        <w:tc>
          <w:tcPr>
            <w:tcW w:w="1142" w:type="dxa"/>
            <w:gridSpan w:val="2"/>
            <w:hideMark/>
          </w:tcPr>
          <w:p w14:paraId="2EA8C5E7" w14:textId="77777777" w:rsidR="00E80D6B" w:rsidRPr="0043618D" w:rsidRDefault="00E80D6B" w:rsidP="009021D0">
            <w:pPr>
              <w:pStyle w:val="NormalWeb"/>
              <w:jc w:val="center"/>
              <w:rPr>
                <w:sz w:val="18"/>
                <w:szCs w:val="18"/>
              </w:rPr>
            </w:pPr>
            <w:r w:rsidRPr="0043618D">
              <w:rPr>
                <w:sz w:val="18"/>
                <w:szCs w:val="18"/>
              </w:rPr>
              <w:t>22</w:t>
            </w:r>
          </w:p>
        </w:tc>
        <w:tc>
          <w:tcPr>
            <w:tcW w:w="1086" w:type="dxa"/>
            <w:hideMark/>
          </w:tcPr>
          <w:p w14:paraId="1BBCFA60" w14:textId="77777777" w:rsidR="00E80D6B" w:rsidRPr="0043618D" w:rsidRDefault="00E80D6B" w:rsidP="009021D0">
            <w:pPr>
              <w:pStyle w:val="NormalWeb"/>
              <w:jc w:val="center"/>
              <w:rPr>
                <w:sz w:val="18"/>
                <w:szCs w:val="18"/>
              </w:rPr>
            </w:pPr>
            <w:r w:rsidRPr="0043618D">
              <w:rPr>
                <w:sz w:val="18"/>
                <w:szCs w:val="18"/>
              </w:rPr>
              <w:t>14.1</w:t>
            </w:r>
          </w:p>
        </w:tc>
      </w:tr>
      <w:tr w:rsidR="00E80D6B" w:rsidRPr="0043618D" w14:paraId="1D641216"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4AA63C30" w14:textId="77777777" w:rsidR="00E80D6B" w:rsidRPr="0043618D" w:rsidRDefault="00E80D6B" w:rsidP="009021D0">
            <w:pPr>
              <w:pStyle w:val="NormalWeb"/>
              <w:rPr>
                <w:sz w:val="18"/>
                <w:szCs w:val="18"/>
              </w:rPr>
            </w:pPr>
            <w:r w:rsidRPr="0043618D">
              <w:rPr>
                <w:sz w:val="18"/>
                <w:szCs w:val="18"/>
              </w:rPr>
              <w:t>2011</w:t>
            </w:r>
          </w:p>
        </w:tc>
        <w:tc>
          <w:tcPr>
            <w:tcW w:w="1185" w:type="dxa"/>
            <w:hideMark/>
          </w:tcPr>
          <w:p w14:paraId="665FD075" w14:textId="77777777" w:rsidR="00E80D6B" w:rsidRPr="0043618D" w:rsidRDefault="00E80D6B" w:rsidP="009021D0">
            <w:pPr>
              <w:pStyle w:val="NormalWeb"/>
              <w:jc w:val="center"/>
              <w:rPr>
                <w:sz w:val="18"/>
                <w:szCs w:val="18"/>
              </w:rPr>
            </w:pPr>
            <w:r w:rsidRPr="0043618D">
              <w:rPr>
                <w:sz w:val="18"/>
                <w:szCs w:val="18"/>
              </w:rPr>
              <w:t>644</w:t>
            </w:r>
          </w:p>
        </w:tc>
        <w:tc>
          <w:tcPr>
            <w:tcW w:w="805" w:type="dxa"/>
            <w:hideMark/>
          </w:tcPr>
          <w:p w14:paraId="04CCFC3D" w14:textId="77777777" w:rsidR="00E80D6B" w:rsidRPr="0043618D" w:rsidRDefault="00E80D6B" w:rsidP="009021D0">
            <w:pPr>
              <w:pStyle w:val="NormalWeb"/>
              <w:jc w:val="center"/>
              <w:rPr>
                <w:sz w:val="18"/>
                <w:szCs w:val="18"/>
              </w:rPr>
            </w:pPr>
            <w:r w:rsidRPr="0043618D">
              <w:rPr>
                <w:sz w:val="18"/>
                <w:szCs w:val="18"/>
              </w:rPr>
              <w:t>19.3</w:t>
            </w:r>
          </w:p>
        </w:tc>
        <w:tc>
          <w:tcPr>
            <w:tcW w:w="1142" w:type="dxa"/>
            <w:gridSpan w:val="2"/>
            <w:hideMark/>
          </w:tcPr>
          <w:p w14:paraId="46F55A92" w14:textId="77777777" w:rsidR="00E80D6B" w:rsidRPr="0043618D" w:rsidRDefault="00E80D6B" w:rsidP="009021D0">
            <w:pPr>
              <w:pStyle w:val="NormalWeb"/>
              <w:jc w:val="center"/>
              <w:rPr>
                <w:sz w:val="18"/>
                <w:szCs w:val="18"/>
              </w:rPr>
            </w:pPr>
            <w:r w:rsidRPr="0043618D">
              <w:rPr>
                <w:sz w:val="18"/>
                <w:szCs w:val="18"/>
              </w:rPr>
              <w:t>27</w:t>
            </w:r>
          </w:p>
        </w:tc>
        <w:tc>
          <w:tcPr>
            <w:tcW w:w="1086" w:type="dxa"/>
            <w:hideMark/>
          </w:tcPr>
          <w:p w14:paraId="4DA06589" w14:textId="77777777" w:rsidR="00E80D6B" w:rsidRPr="0043618D" w:rsidRDefault="00E80D6B" w:rsidP="009021D0">
            <w:pPr>
              <w:pStyle w:val="NormalWeb"/>
              <w:jc w:val="center"/>
              <w:rPr>
                <w:sz w:val="18"/>
                <w:szCs w:val="18"/>
              </w:rPr>
            </w:pPr>
            <w:r w:rsidRPr="0043618D">
              <w:rPr>
                <w:sz w:val="18"/>
                <w:szCs w:val="18"/>
              </w:rPr>
              <w:t>17.3</w:t>
            </w:r>
          </w:p>
        </w:tc>
      </w:tr>
      <w:tr w:rsidR="00E80D6B" w:rsidRPr="0043618D" w14:paraId="77325878" w14:textId="77777777" w:rsidTr="00FF44EC">
        <w:tblPrEx>
          <w:tblCellMar>
            <w:top w:w="57" w:type="dxa"/>
            <w:left w:w="57" w:type="dxa"/>
            <w:bottom w:w="57" w:type="dxa"/>
            <w:right w:w="57" w:type="dxa"/>
          </w:tblCellMar>
        </w:tblPrEx>
        <w:trPr>
          <w:gridAfter w:val="1"/>
          <w:wAfter w:w="6" w:type="dxa"/>
        </w:trPr>
        <w:tc>
          <w:tcPr>
            <w:tcW w:w="6508" w:type="dxa"/>
            <w:hideMark/>
          </w:tcPr>
          <w:p w14:paraId="23169D40" w14:textId="77777777" w:rsidR="00E80D6B" w:rsidRPr="0043618D" w:rsidRDefault="00E80D6B" w:rsidP="009021D0">
            <w:pPr>
              <w:pStyle w:val="NormalWeb"/>
              <w:rPr>
                <w:sz w:val="18"/>
                <w:szCs w:val="18"/>
              </w:rPr>
            </w:pPr>
            <w:r w:rsidRPr="0043618D">
              <w:rPr>
                <w:sz w:val="18"/>
                <w:szCs w:val="18"/>
              </w:rPr>
              <w:t>2012</w:t>
            </w:r>
          </w:p>
        </w:tc>
        <w:tc>
          <w:tcPr>
            <w:tcW w:w="1185" w:type="dxa"/>
            <w:hideMark/>
          </w:tcPr>
          <w:p w14:paraId="359B7020" w14:textId="77777777" w:rsidR="00E80D6B" w:rsidRPr="0043618D" w:rsidRDefault="00E80D6B" w:rsidP="009021D0">
            <w:pPr>
              <w:pStyle w:val="NormalWeb"/>
              <w:jc w:val="center"/>
              <w:rPr>
                <w:sz w:val="18"/>
                <w:szCs w:val="18"/>
              </w:rPr>
            </w:pPr>
            <w:r w:rsidRPr="0043618D">
              <w:rPr>
                <w:sz w:val="18"/>
                <w:szCs w:val="18"/>
              </w:rPr>
              <w:t>564</w:t>
            </w:r>
          </w:p>
        </w:tc>
        <w:tc>
          <w:tcPr>
            <w:tcW w:w="805" w:type="dxa"/>
            <w:hideMark/>
          </w:tcPr>
          <w:p w14:paraId="2729473B" w14:textId="77777777" w:rsidR="00E80D6B" w:rsidRPr="0043618D" w:rsidRDefault="00E80D6B" w:rsidP="009021D0">
            <w:pPr>
              <w:pStyle w:val="NormalWeb"/>
              <w:jc w:val="center"/>
              <w:rPr>
                <w:sz w:val="18"/>
                <w:szCs w:val="18"/>
              </w:rPr>
            </w:pPr>
            <w:r w:rsidRPr="0043618D">
              <w:rPr>
                <w:sz w:val="18"/>
                <w:szCs w:val="18"/>
              </w:rPr>
              <w:t>16.9</w:t>
            </w:r>
          </w:p>
        </w:tc>
        <w:tc>
          <w:tcPr>
            <w:tcW w:w="1142" w:type="dxa"/>
            <w:gridSpan w:val="2"/>
            <w:hideMark/>
          </w:tcPr>
          <w:p w14:paraId="759E6079" w14:textId="77777777" w:rsidR="00E80D6B" w:rsidRPr="0043618D" w:rsidRDefault="00E80D6B" w:rsidP="009021D0">
            <w:pPr>
              <w:pStyle w:val="NormalWeb"/>
              <w:jc w:val="center"/>
              <w:rPr>
                <w:sz w:val="18"/>
                <w:szCs w:val="18"/>
              </w:rPr>
            </w:pPr>
            <w:r w:rsidRPr="0043618D">
              <w:rPr>
                <w:sz w:val="18"/>
                <w:szCs w:val="18"/>
              </w:rPr>
              <w:t>27</w:t>
            </w:r>
          </w:p>
        </w:tc>
        <w:tc>
          <w:tcPr>
            <w:tcW w:w="1086" w:type="dxa"/>
            <w:hideMark/>
          </w:tcPr>
          <w:p w14:paraId="57E7EB15" w14:textId="77777777" w:rsidR="00E80D6B" w:rsidRPr="0043618D" w:rsidRDefault="00E80D6B" w:rsidP="009021D0">
            <w:pPr>
              <w:pStyle w:val="NormalWeb"/>
              <w:jc w:val="center"/>
              <w:rPr>
                <w:sz w:val="18"/>
                <w:szCs w:val="18"/>
              </w:rPr>
            </w:pPr>
            <w:r w:rsidRPr="0043618D">
              <w:rPr>
                <w:sz w:val="18"/>
                <w:szCs w:val="18"/>
              </w:rPr>
              <w:t>17.3</w:t>
            </w:r>
          </w:p>
        </w:tc>
      </w:tr>
      <w:tr w:rsidR="00E80D6B" w:rsidRPr="0043618D" w14:paraId="642D17FF"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6178FD9C" w14:textId="77777777" w:rsidR="00E80D6B" w:rsidRPr="0043618D" w:rsidRDefault="00E80D6B" w:rsidP="009021D0">
            <w:pPr>
              <w:pStyle w:val="NormalWeb"/>
              <w:rPr>
                <w:sz w:val="18"/>
                <w:szCs w:val="18"/>
              </w:rPr>
            </w:pPr>
            <w:r w:rsidRPr="0043618D">
              <w:rPr>
                <w:sz w:val="18"/>
                <w:szCs w:val="18"/>
              </w:rPr>
              <w:t>2013</w:t>
            </w:r>
          </w:p>
        </w:tc>
        <w:tc>
          <w:tcPr>
            <w:tcW w:w="1185" w:type="dxa"/>
            <w:hideMark/>
          </w:tcPr>
          <w:p w14:paraId="79A639FC" w14:textId="77777777" w:rsidR="00E80D6B" w:rsidRPr="0043618D" w:rsidRDefault="00E80D6B" w:rsidP="009021D0">
            <w:pPr>
              <w:pStyle w:val="NormalWeb"/>
              <w:jc w:val="center"/>
              <w:rPr>
                <w:sz w:val="18"/>
                <w:szCs w:val="18"/>
              </w:rPr>
            </w:pPr>
            <w:r w:rsidRPr="0043618D">
              <w:rPr>
                <w:sz w:val="18"/>
                <w:szCs w:val="18"/>
              </w:rPr>
              <w:t>548</w:t>
            </w:r>
          </w:p>
        </w:tc>
        <w:tc>
          <w:tcPr>
            <w:tcW w:w="805" w:type="dxa"/>
            <w:hideMark/>
          </w:tcPr>
          <w:p w14:paraId="790B8376" w14:textId="77777777" w:rsidR="00E80D6B" w:rsidRPr="0043618D" w:rsidRDefault="00E80D6B" w:rsidP="009021D0">
            <w:pPr>
              <w:pStyle w:val="NormalWeb"/>
              <w:jc w:val="center"/>
              <w:rPr>
                <w:sz w:val="18"/>
                <w:szCs w:val="18"/>
              </w:rPr>
            </w:pPr>
            <w:r w:rsidRPr="0043618D">
              <w:rPr>
                <w:sz w:val="18"/>
                <w:szCs w:val="18"/>
              </w:rPr>
              <w:t>16.4</w:t>
            </w:r>
          </w:p>
        </w:tc>
        <w:tc>
          <w:tcPr>
            <w:tcW w:w="1142" w:type="dxa"/>
            <w:gridSpan w:val="2"/>
            <w:hideMark/>
          </w:tcPr>
          <w:p w14:paraId="49BF3D14" w14:textId="77777777" w:rsidR="00E80D6B" w:rsidRPr="0043618D" w:rsidRDefault="00E80D6B" w:rsidP="009021D0">
            <w:pPr>
              <w:pStyle w:val="NormalWeb"/>
              <w:jc w:val="center"/>
              <w:rPr>
                <w:sz w:val="18"/>
                <w:szCs w:val="18"/>
              </w:rPr>
            </w:pPr>
            <w:r w:rsidRPr="0043618D">
              <w:rPr>
                <w:sz w:val="18"/>
                <w:szCs w:val="18"/>
              </w:rPr>
              <w:t>19</w:t>
            </w:r>
          </w:p>
        </w:tc>
        <w:tc>
          <w:tcPr>
            <w:tcW w:w="1086" w:type="dxa"/>
            <w:hideMark/>
          </w:tcPr>
          <w:p w14:paraId="489701CE" w14:textId="77777777" w:rsidR="00E80D6B" w:rsidRPr="0043618D" w:rsidRDefault="00E80D6B" w:rsidP="009021D0">
            <w:pPr>
              <w:pStyle w:val="NormalWeb"/>
              <w:jc w:val="center"/>
              <w:rPr>
                <w:sz w:val="18"/>
                <w:szCs w:val="18"/>
              </w:rPr>
            </w:pPr>
            <w:r w:rsidRPr="0043618D">
              <w:rPr>
                <w:sz w:val="18"/>
                <w:szCs w:val="18"/>
              </w:rPr>
              <w:t>12.2</w:t>
            </w:r>
          </w:p>
        </w:tc>
      </w:tr>
      <w:tr w:rsidR="00E80D6B" w:rsidRPr="0043618D" w14:paraId="1C3AFAEE" w14:textId="77777777" w:rsidTr="00FF44EC">
        <w:tblPrEx>
          <w:tblCellMar>
            <w:top w:w="57" w:type="dxa"/>
            <w:left w:w="57" w:type="dxa"/>
            <w:bottom w:w="57" w:type="dxa"/>
            <w:right w:w="57" w:type="dxa"/>
          </w:tblCellMar>
        </w:tblPrEx>
        <w:trPr>
          <w:gridAfter w:val="1"/>
          <w:wAfter w:w="6" w:type="dxa"/>
        </w:trPr>
        <w:tc>
          <w:tcPr>
            <w:tcW w:w="6508" w:type="dxa"/>
            <w:hideMark/>
          </w:tcPr>
          <w:p w14:paraId="30FE7B83" w14:textId="77777777" w:rsidR="00E80D6B" w:rsidRPr="0043618D" w:rsidRDefault="00E80D6B" w:rsidP="009021D0">
            <w:pPr>
              <w:pStyle w:val="NormalWeb"/>
              <w:rPr>
                <w:sz w:val="18"/>
                <w:szCs w:val="18"/>
              </w:rPr>
            </w:pPr>
            <w:r w:rsidRPr="0043618D">
              <w:rPr>
                <w:sz w:val="18"/>
                <w:szCs w:val="18"/>
              </w:rPr>
              <w:t>2014</w:t>
            </w:r>
          </w:p>
        </w:tc>
        <w:tc>
          <w:tcPr>
            <w:tcW w:w="1185" w:type="dxa"/>
            <w:hideMark/>
          </w:tcPr>
          <w:p w14:paraId="2DD51D51" w14:textId="77777777" w:rsidR="00E80D6B" w:rsidRPr="0043618D" w:rsidRDefault="00E80D6B" w:rsidP="009021D0">
            <w:pPr>
              <w:pStyle w:val="NormalWeb"/>
              <w:jc w:val="center"/>
              <w:rPr>
                <w:sz w:val="18"/>
                <w:szCs w:val="18"/>
              </w:rPr>
            </w:pPr>
            <w:r w:rsidRPr="0043618D">
              <w:rPr>
                <w:sz w:val="18"/>
                <w:szCs w:val="18"/>
              </w:rPr>
              <w:t>538</w:t>
            </w:r>
          </w:p>
        </w:tc>
        <w:tc>
          <w:tcPr>
            <w:tcW w:w="805" w:type="dxa"/>
            <w:hideMark/>
          </w:tcPr>
          <w:p w14:paraId="63D28643" w14:textId="77777777" w:rsidR="00E80D6B" w:rsidRPr="0043618D" w:rsidRDefault="00E80D6B" w:rsidP="009021D0">
            <w:pPr>
              <w:pStyle w:val="NormalWeb"/>
              <w:jc w:val="center"/>
              <w:rPr>
                <w:sz w:val="18"/>
                <w:szCs w:val="18"/>
              </w:rPr>
            </w:pPr>
            <w:r w:rsidRPr="0043618D">
              <w:rPr>
                <w:sz w:val="18"/>
                <w:szCs w:val="18"/>
              </w:rPr>
              <w:t>16.1</w:t>
            </w:r>
          </w:p>
        </w:tc>
        <w:tc>
          <w:tcPr>
            <w:tcW w:w="1142" w:type="dxa"/>
            <w:gridSpan w:val="2"/>
            <w:hideMark/>
          </w:tcPr>
          <w:p w14:paraId="1E75B061" w14:textId="77777777" w:rsidR="00E80D6B" w:rsidRPr="0043618D" w:rsidRDefault="00E80D6B" w:rsidP="009021D0">
            <w:pPr>
              <w:pStyle w:val="NormalWeb"/>
              <w:jc w:val="center"/>
              <w:rPr>
                <w:sz w:val="18"/>
                <w:szCs w:val="18"/>
              </w:rPr>
            </w:pPr>
            <w:r w:rsidRPr="0043618D">
              <w:rPr>
                <w:sz w:val="18"/>
                <w:szCs w:val="18"/>
              </w:rPr>
              <w:t>38</w:t>
            </w:r>
          </w:p>
        </w:tc>
        <w:tc>
          <w:tcPr>
            <w:tcW w:w="1086" w:type="dxa"/>
            <w:hideMark/>
          </w:tcPr>
          <w:p w14:paraId="23FC2C44" w14:textId="77777777" w:rsidR="00E80D6B" w:rsidRPr="0043618D" w:rsidRDefault="00E80D6B" w:rsidP="009021D0">
            <w:pPr>
              <w:pStyle w:val="NormalWeb"/>
              <w:jc w:val="center"/>
              <w:rPr>
                <w:sz w:val="18"/>
                <w:szCs w:val="18"/>
              </w:rPr>
            </w:pPr>
            <w:r w:rsidRPr="0043618D">
              <w:rPr>
                <w:sz w:val="18"/>
                <w:szCs w:val="18"/>
              </w:rPr>
              <w:t>24.4</w:t>
            </w:r>
          </w:p>
        </w:tc>
      </w:tr>
      <w:tr w:rsidR="00E80D6B" w:rsidRPr="0043618D" w14:paraId="078E43E2" w14:textId="77777777" w:rsidTr="00FE56D8">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1DB94837" w14:textId="77777777" w:rsidR="00E80D6B" w:rsidRPr="0043618D" w:rsidRDefault="00E80D6B" w:rsidP="009021D0">
            <w:pPr>
              <w:pStyle w:val="NormalWeb"/>
              <w:rPr>
                <w:sz w:val="18"/>
                <w:szCs w:val="18"/>
              </w:rPr>
            </w:pPr>
            <w:r w:rsidRPr="0043618D">
              <w:rPr>
                <w:sz w:val="18"/>
                <w:szCs w:val="18"/>
              </w:rPr>
              <w:t>2015</w:t>
            </w:r>
          </w:p>
        </w:tc>
        <w:tc>
          <w:tcPr>
            <w:tcW w:w="1185" w:type="dxa"/>
            <w:hideMark/>
          </w:tcPr>
          <w:p w14:paraId="681431F5" w14:textId="77777777" w:rsidR="00E80D6B" w:rsidRPr="0043618D" w:rsidRDefault="00E80D6B" w:rsidP="009021D0">
            <w:pPr>
              <w:pStyle w:val="NormalWeb"/>
              <w:jc w:val="center"/>
              <w:rPr>
                <w:sz w:val="18"/>
                <w:szCs w:val="18"/>
              </w:rPr>
            </w:pPr>
            <w:r w:rsidRPr="0043618D">
              <w:rPr>
                <w:sz w:val="18"/>
                <w:szCs w:val="18"/>
              </w:rPr>
              <w:t>394</w:t>
            </w:r>
          </w:p>
        </w:tc>
        <w:tc>
          <w:tcPr>
            <w:tcW w:w="805" w:type="dxa"/>
            <w:hideMark/>
          </w:tcPr>
          <w:p w14:paraId="69CD64E2" w14:textId="77777777" w:rsidR="00E80D6B" w:rsidRPr="0043618D" w:rsidRDefault="00E80D6B" w:rsidP="009021D0">
            <w:pPr>
              <w:pStyle w:val="NormalWeb"/>
              <w:jc w:val="center"/>
              <w:rPr>
                <w:sz w:val="18"/>
                <w:szCs w:val="18"/>
              </w:rPr>
            </w:pPr>
            <w:r w:rsidRPr="0043618D">
              <w:rPr>
                <w:sz w:val="18"/>
                <w:szCs w:val="18"/>
              </w:rPr>
              <w:t>11.8</w:t>
            </w:r>
          </w:p>
        </w:tc>
        <w:tc>
          <w:tcPr>
            <w:tcW w:w="1142" w:type="dxa"/>
            <w:gridSpan w:val="2"/>
            <w:hideMark/>
          </w:tcPr>
          <w:p w14:paraId="07A42CFD" w14:textId="77777777" w:rsidR="00E80D6B" w:rsidRPr="0043618D" w:rsidRDefault="00E80D6B" w:rsidP="009021D0">
            <w:pPr>
              <w:pStyle w:val="NormalWeb"/>
              <w:jc w:val="center"/>
              <w:rPr>
                <w:sz w:val="18"/>
                <w:szCs w:val="18"/>
              </w:rPr>
            </w:pPr>
            <w:r w:rsidRPr="0043618D">
              <w:rPr>
                <w:sz w:val="18"/>
                <w:szCs w:val="18"/>
              </w:rPr>
              <w:t>23</w:t>
            </w:r>
          </w:p>
        </w:tc>
        <w:tc>
          <w:tcPr>
            <w:tcW w:w="1086" w:type="dxa"/>
            <w:hideMark/>
          </w:tcPr>
          <w:p w14:paraId="405E9531" w14:textId="77777777" w:rsidR="00E80D6B" w:rsidRPr="0043618D" w:rsidRDefault="00E80D6B" w:rsidP="009021D0">
            <w:pPr>
              <w:pStyle w:val="NormalWeb"/>
              <w:jc w:val="center"/>
              <w:rPr>
                <w:sz w:val="18"/>
                <w:szCs w:val="18"/>
              </w:rPr>
            </w:pPr>
            <w:r w:rsidRPr="0043618D">
              <w:rPr>
                <w:sz w:val="18"/>
                <w:szCs w:val="18"/>
              </w:rPr>
              <w:t>14.7</w:t>
            </w:r>
          </w:p>
        </w:tc>
      </w:tr>
      <w:tr w:rsidR="00E80D6B" w:rsidRPr="0043618D" w14:paraId="7B8006E5" w14:textId="77777777" w:rsidTr="003442D0">
        <w:tblPrEx>
          <w:tblCellMar>
            <w:top w:w="57" w:type="dxa"/>
            <w:left w:w="57" w:type="dxa"/>
            <w:bottom w:w="57" w:type="dxa"/>
            <w:right w:w="57" w:type="dxa"/>
          </w:tblCellMar>
        </w:tblPrEx>
        <w:trPr>
          <w:gridAfter w:val="1"/>
          <w:wAfter w:w="6" w:type="dxa"/>
        </w:trPr>
        <w:tc>
          <w:tcPr>
            <w:tcW w:w="6508" w:type="dxa"/>
            <w:tcBorders>
              <w:right w:val="single" w:sz="4" w:space="0" w:color="886E49"/>
            </w:tcBorders>
            <w:shd w:val="clear" w:color="auto" w:fill="404040" w:themeFill="text1" w:themeFillTint="BF"/>
            <w:hideMark/>
          </w:tcPr>
          <w:p w14:paraId="77CEE8B9" w14:textId="77777777" w:rsidR="00E80D6B" w:rsidRPr="0043618D" w:rsidRDefault="00E80D6B" w:rsidP="009021D0">
            <w:pPr>
              <w:jc w:val="center"/>
              <w:rPr>
                <w:b/>
                <w:bCs/>
                <w:color w:val="FFFFFF" w:themeColor="background1"/>
                <w:sz w:val="18"/>
                <w:szCs w:val="18"/>
              </w:rPr>
            </w:pPr>
          </w:p>
        </w:tc>
        <w:tc>
          <w:tcPr>
            <w:tcW w:w="1990" w:type="dxa"/>
            <w:gridSpan w:val="2"/>
            <w:tcBorders>
              <w:left w:val="single" w:sz="4" w:space="0" w:color="886E49"/>
              <w:right w:val="single" w:sz="4" w:space="0" w:color="886E49"/>
            </w:tcBorders>
            <w:shd w:val="clear" w:color="auto" w:fill="404040" w:themeFill="text1" w:themeFillTint="BF"/>
            <w:vAlign w:val="center"/>
            <w:hideMark/>
          </w:tcPr>
          <w:p w14:paraId="57C3072D" w14:textId="77777777" w:rsidR="00E80D6B" w:rsidRPr="0043618D" w:rsidRDefault="00E80D6B" w:rsidP="003442D0">
            <w:pPr>
              <w:pStyle w:val="NormalWeb"/>
              <w:jc w:val="center"/>
              <w:rPr>
                <w:b/>
                <w:bCs/>
                <w:color w:val="FFFFFF" w:themeColor="background1"/>
                <w:sz w:val="18"/>
                <w:szCs w:val="18"/>
              </w:rPr>
            </w:pPr>
            <w:r w:rsidRPr="0043618D">
              <w:rPr>
                <w:b/>
                <w:bCs/>
                <w:color w:val="FFFFFF" w:themeColor="background1"/>
                <w:sz w:val="18"/>
                <w:szCs w:val="18"/>
              </w:rPr>
              <w:t>HIV notification</w:t>
            </w:r>
          </w:p>
        </w:tc>
        <w:tc>
          <w:tcPr>
            <w:tcW w:w="2228" w:type="dxa"/>
            <w:gridSpan w:val="3"/>
            <w:tcBorders>
              <w:left w:val="single" w:sz="4" w:space="0" w:color="886E49"/>
            </w:tcBorders>
            <w:shd w:val="clear" w:color="auto" w:fill="404040" w:themeFill="text1" w:themeFillTint="BF"/>
            <w:vAlign w:val="center"/>
            <w:hideMark/>
          </w:tcPr>
          <w:p w14:paraId="6FF740DB" w14:textId="77777777" w:rsidR="00E80D6B" w:rsidRPr="0043618D" w:rsidRDefault="00E80D6B" w:rsidP="003442D0">
            <w:pPr>
              <w:pStyle w:val="NormalWeb"/>
              <w:jc w:val="center"/>
              <w:rPr>
                <w:b/>
                <w:bCs/>
                <w:color w:val="FFFFFF" w:themeColor="background1"/>
                <w:sz w:val="18"/>
                <w:szCs w:val="18"/>
              </w:rPr>
            </w:pPr>
            <w:r w:rsidRPr="0043618D">
              <w:rPr>
                <w:b/>
                <w:bCs/>
                <w:color w:val="FFFFFF" w:themeColor="background1"/>
                <w:sz w:val="18"/>
                <w:szCs w:val="18"/>
              </w:rPr>
              <w:t>Linked to NG-MAST result</w:t>
            </w:r>
          </w:p>
        </w:tc>
      </w:tr>
      <w:tr w:rsidR="00E80D6B" w:rsidRPr="0043618D" w14:paraId="3A51752B"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79956A69" w14:textId="77777777" w:rsidR="00E80D6B" w:rsidRPr="0043618D" w:rsidRDefault="00E80D6B" w:rsidP="009021D0">
            <w:pPr>
              <w:pStyle w:val="NormalWeb"/>
              <w:rPr>
                <w:sz w:val="18"/>
                <w:szCs w:val="18"/>
              </w:rPr>
            </w:pPr>
            <w:r w:rsidRPr="0043618D">
              <w:rPr>
                <w:sz w:val="18"/>
                <w:szCs w:val="18"/>
              </w:rPr>
              <w:t>New Queensland HIV notifications</w:t>
            </w:r>
          </w:p>
        </w:tc>
        <w:tc>
          <w:tcPr>
            <w:tcW w:w="1185" w:type="dxa"/>
            <w:hideMark/>
          </w:tcPr>
          <w:p w14:paraId="74203BA6" w14:textId="77777777" w:rsidR="00E80D6B" w:rsidRPr="0043618D" w:rsidRDefault="00E80D6B" w:rsidP="009021D0">
            <w:pPr>
              <w:pStyle w:val="NormalWeb"/>
              <w:jc w:val="center"/>
              <w:rPr>
                <w:sz w:val="18"/>
                <w:szCs w:val="18"/>
              </w:rPr>
            </w:pPr>
            <w:r w:rsidRPr="0043618D">
              <w:rPr>
                <w:sz w:val="18"/>
                <w:szCs w:val="18"/>
              </w:rPr>
              <w:t>2592</w:t>
            </w:r>
          </w:p>
        </w:tc>
        <w:tc>
          <w:tcPr>
            <w:tcW w:w="805" w:type="dxa"/>
            <w:hideMark/>
          </w:tcPr>
          <w:p w14:paraId="139D32BD" w14:textId="77777777" w:rsidR="00E80D6B" w:rsidRPr="0043618D" w:rsidRDefault="00E80D6B" w:rsidP="009021D0">
            <w:pPr>
              <w:pStyle w:val="NormalWeb"/>
              <w:jc w:val="center"/>
              <w:rPr>
                <w:sz w:val="18"/>
                <w:szCs w:val="18"/>
              </w:rPr>
            </w:pPr>
            <w:r w:rsidRPr="0043618D">
              <w:rPr>
                <w:sz w:val="18"/>
                <w:szCs w:val="18"/>
              </w:rPr>
              <w:t>100.0</w:t>
            </w:r>
          </w:p>
        </w:tc>
        <w:tc>
          <w:tcPr>
            <w:tcW w:w="1142" w:type="dxa"/>
            <w:gridSpan w:val="2"/>
            <w:hideMark/>
          </w:tcPr>
          <w:p w14:paraId="10B031A3" w14:textId="77777777" w:rsidR="00E80D6B" w:rsidRPr="0043618D" w:rsidRDefault="00E80D6B" w:rsidP="009021D0">
            <w:pPr>
              <w:pStyle w:val="NormalWeb"/>
              <w:jc w:val="center"/>
              <w:rPr>
                <w:sz w:val="18"/>
                <w:szCs w:val="18"/>
              </w:rPr>
            </w:pPr>
            <w:r w:rsidRPr="0043618D">
              <w:rPr>
                <w:sz w:val="18"/>
                <w:szCs w:val="18"/>
              </w:rPr>
              <w:t>128</w:t>
            </w:r>
            <w:r w:rsidRPr="0043618D">
              <w:rPr>
                <w:sz w:val="18"/>
                <w:szCs w:val="18"/>
                <w:vertAlign w:val="superscript"/>
              </w:rPr>
              <w:t>b</w:t>
            </w:r>
          </w:p>
        </w:tc>
        <w:tc>
          <w:tcPr>
            <w:tcW w:w="1086" w:type="dxa"/>
            <w:hideMark/>
          </w:tcPr>
          <w:p w14:paraId="526CFDCD" w14:textId="77777777" w:rsidR="00E80D6B" w:rsidRPr="0043618D" w:rsidRDefault="00E80D6B" w:rsidP="009021D0">
            <w:pPr>
              <w:pStyle w:val="NormalWeb"/>
              <w:jc w:val="center"/>
              <w:rPr>
                <w:sz w:val="18"/>
                <w:szCs w:val="18"/>
              </w:rPr>
            </w:pPr>
            <w:r w:rsidRPr="0043618D">
              <w:rPr>
                <w:sz w:val="18"/>
                <w:szCs w:val="18"/>
              </w:rPr>
              <w:t>100.0</w:t>
            </w:r>
          </w:p>
        </w:tc>
      </w:tr>
      <w:tr w:rsidR="002E38CF" w:rsidRPr="0043618D" w14:paraId="75E66656" w14:textId="77777777" w:rsidTr="00FE56D8">
        <w:tblPrEx>
          <w:tblCellMar>
            <w:top w:w="57" w:type="dxa"/>
            <w:left w:w="57" w:type="dxa"/>
            <w:bottom w:w="57" w:type="dxa"/>
            <w:right w:w="57" w:type="dxa"/>
          </w:tblCellMar>
        </w:tblPrEx>
        <w:trPr>
          <w:gridAfter w:val="1"/>
          <w:wAfter w:w="6" w:type="dxa"/>
        </w:trPr>
        <w:tc>
          <w:tcPr>
            <w:tcW w:w="6508" w:type="dxa"/>
            <w:shd w:val="clear" w:color="auto" w:fill="886E49"/>
            <w:hideMark/>
          </w:tcPr>
          <w:p w14:paraId="6208C856" w14:textId="77777777" w:rsidR="00E80D6B" w:rsidRPr="0043618D" w:rsidRDefault="00E80D6B" w:rsidP="009021D0">
            <w:pPr>
              <w:pStyle w:val="NormalWeb"/>
              <w:rPr>
                <w:b/>
                <w:bCs/>
                <w:color w:val="FFFFFF" w:themeColor="background1"/>
                <w:sz w:val="18"/>
                <w:szCs w:val="18"/>
              </w:rPr>
            </w:pPr>
            <w:r w:rsidRPr="0043618D">
              <w:rPr>
                <w:b/>
                <w:bCs/>
                <w:color w:val="FFFFFF" w:themeColor="background1"/>
                <w:sz w:val="18"/>
                <w:szCs w:val="18"/>
              </w:rPr>
              <w:t>Sex</w:t>
            </w:r>
          </w:p>
        </w:tc>
        <w:tc>
          <w:tcPr>
            <w:tcW w:w="1185" w:type="dxa"/>
            <w:shd w:val="clear" w:color="auto" w:fill="886E49"/>
            <w:hideMark/>
          </w:tcPr>
          <w:p w14:paraId="05FA83A8" w14:textId="77777777" w:rsidR="00E80D6B" w:rsidRPr="0043618D" w:rsidRDefault="00E80D6B" w:rsidP="009021D0">
            <w:pPr>
              <w:jc w:val="center"/>
              <w:rPr>
                <w:b/>
                <w:bCs/>
                <w:color w:val="FFFFFF" w:themeColor="background1"/>
                <w:sz w:val="18"/>
                <w:szCs w:val="18"/>
              </w:rPr>
            </w:pPr>
          </w:p>
        </w:tc>
        <w:tc>
          <w:tcPr>
            <w:tcW w:w="805" w:type="dxa"/>
            <w:shd w:val="clear" w:color="auto" w:fill="886E49"/>
            <w:hideMark/>
          </w:tcPr>
          <w:p w14:paraId="76997388" w14:textId="77777777" w:rsidR="00E80D6B" w:rsidRPr="0043618D" w:rsidRDefault="00E80D6B" w:rsidP="009021D0">
            <w:pPr>
              <w:jc w:val="center"/>
              <w:rPr>
                <w:rFonts w:eastAsia="Times New Roman"/>
                <w:b/>
                <w:bCs/>
                <w:color w:val="FFFFFF" w:themeColor="background1"/>
                <w:sz w:val="18"/>
                <w:szCs w:val="18"/>
              </w:rPr>
            </w:pPr>
          </w:p>
        </w:tc>
        <w:tc>
          <w:tcPr>
            <w:tcW w:w="1142" w:type="dxa"/>
            <w:gridSpan w:val="2"/>
            <w:shd w:val="clear" w:color="auto" w:fill="886E49"/>
            <w:hideMark/>
          </w:tcPr>
          <w:p w14:paraId="77F22EC0" w14:textId="77777777" w:rsidR="00E80D6B" w:rsidRPr="0043618D" w:rsidRDefault="00E80D6B" w:rsidP="009021D0">
            <w:pPr>
              <w:jc w:val="center"/>
              <w:rPr>
                <w:rFonts w:eastAsia="Times New Roman"/>
                <w:b/>
                <w:bCs/>
                <w:color w:val="FFFFFF" w:themeColor="background1"/>
                <w:sz w:val="18"/>
                <w:szCs w:val="18"/>
              </w:rPr>
            </w:pPr>
          </w:p>
        </w:tc>
        <w:tc>
          <w:tcPr>
            <w:tcW w:w="1086" w:type="dxa"/>
            <w:shd w:val="clear" w:color="auto" w:fill="886E49"/>
            <w:hideMark/>
          </w:tcPr>
          <w:p w14:paraId="20F86FD1" w14:textId="77777777" w:rsidR="00E80D6B" w:rsidRPr="0043618D" w:rsidRDefault="00E80D6B" w:rsidP="009021D0">
            <w:pPr>
              <w:jc w:val="center"/>
              <w:rPr>
                <w:rFonts w:eastAsia="Times New Roman"/>
                <w:b/>
                <w:bCs/>
                <w:color w:val="FFFFFF" w:themeColor="background1"/>
                <w:sz w:val="18"/>
                <w:szCs w:val="18"/>
              </w:rPr>
            </w:pPr>
          </w:p>
        </w:tc>
      </w:tr>
      <w:tr w:rsidR="00E80D6B" w:rsidRPr="0043618D" w14:paraId="45BBF708" w14:textId="77777777" w:rsidTr="003442D0">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22F0E10A" w14:textId="77777777" w:rsidR="00E80D6B" w:rsidRPr="0043618D" w:rsidRDefault="00E80D6B" w:rsidP="009021D0">
            <w:pPr>
              <w:pStyle w:val="NormalWeb"/>
              <w:rPr>
                <w:sz w:val="18"/>
                <w:szCs w:val="18"/>
              </w:rPr>
            </w:pPr>
            <w:r w:rsidRPr="0043618D">
              <w:rPr>
                <w:sz w:val="18"/>
                <w:szCs w:val="18"/>
              </w:rPr>
              <w:t>Male</w:t>
            </w:r>
          </w:p>
        </w:tc>
        <w:tc>
          <w:tcPr>
            <w:tcW w:w="1185" w:type="dxa"/>
            <w:hideMark/>
          </w:tcPr>
          <w:p w14:paraId="0DF5F069" w14:textId="77777777" w:rsidR="00E80D6B" w:rsidRPr="0043618D" w:rsidRDefault="00E80D6B" w:rsidP="009021D0">
            <w:pPr>
              <w:pStyle w:val="NormalWeb"/>
              <w:jc w:val="center"/>
              <w:rPr>
                <w:sz w:val="18"/>
                <w:szCs w:val="18"/>
              </w:rPr>
            </w:pPr>
            <w:r w:rsidRPr="0043618D">
              <w:rPr>
                <w:sz w:val="18"/>
                <w:szCs w:val="18"/>
              </w:rPr>
              <w:t>2233</w:t>
            </w:r>
          </w:p>
        </w:tc>
        <w:tc>
          <w:tcPr>
            <w:tcW w:w="805" w:type="dxa"/>
            <w:hideMark/>
          </w:tcPr>
          <w:p w14:paraId="2F14B354" w14:textId="77777777" w:rsidR="00E80D6B" w:rsidRPr="0043618D" w:rsidRDefault="00E80D6B" w:rsidP="009021D0">
            <w:pPr>
              <w:pStyle w:val="NormalWeb"/>
              <w:jc w:val="center"/>
              <w:rPr>
                <w:sz w:val="18"/>
                <w:szCs w:val="18"/>
              </w:rPr>
            </w:pPr>
            <w:r w:rsidRPr="0043618D">
              <w:rPr>
                <w:sz w:val="18"/>
                <w:szCs w:val="18"/>
              </w:rPr>
              <w:t>86.1</w:t>
            </w:r>
          </w:p>
        </w:tc>
        <w:tc>
          <w:tcPr>
            <w:tcW w:w="1142" w:type="dxa"/>
            <w:gridSpan w:val="2"/>
            <w:hideMark/>
          </w:tcPr>
          <w:p w14:paraId="4830666C" w14:textId="77777777" w:rsidR="00E80D6B" w:rsidRPr="0043618D" w:rsidRDefault="00E80D6B" w:rsidP="009021D0">
            <w:pPr>
              <w:pStyle w:val="NormalWeb"/>
              <w:jc w:val="center"/>
              <w:rPr>
                <w:sz w:val="18"/>
                <w:szCs w:val="18"/>
              </w:rPr>
            </w:pPr>
            <w:r w:rsidRPr="0043618D">
              <w:rPr>
                <w:sz w:val="18"/>
                <w:szCs w:val="18"/>
              </w:rPr>
              <w:t>128</w:t>
            </w:r>
          </w:p>
        </w:tc>
        <w:tc>
          <w:tcPr>
            <w:tcW w:w="1086" w:type="dxa"/>
            <w:hideMark/>
          </w:tcPr>
          <w:p w14:paraId="03D60CF6" w14:textId="77777777" w:rsidR="00E80D6B" w:rsidRPr="0043618D" w:rsidRDefault="00E80D6B" w:rsidP="009021D0">
            <w:pPr>
              <w:pStyle w:val="NormalWeb"/>
              <w:jc w:val="center"/>
              <w:rPr>
                <w:sz w:val="18"/>
                <w:szCs w:val="18"/>
              </w:rPr>
            </w:pPr>
            <w:r w:rsidRPr="0043618D">
              <w:rPr>
                <w:sz w:val="18"/>
                <w:szCs w:val="18"/>
              </w:rPr>
              <w:t>100.0</w:t>
            </w:r>
          </w:p>
        </w:tc>
      </w:tr>
      <w:tr w:rsidR="00E80D6B" w:rsidRPr="0043618D" w14:paraId="3ADABE7F" w14:textId="77777777" w:rsidTr="003442D0">
        <w:tblPrEx>
          <w:tblCellMar>
            <w:top w:w="57" w:type="dxa"/>
            <w:left w:w="57" w:type="dxa"/>
            <w:bottom w:w="57" w:type="dxa"/>
            <w:right w:w="57" w:type="dxa"/>
          </w:tblCellMar>
        </w:tblPrEx>
        <w:trPr>
          <w:gridAfter w:val="1"/>
          <w:wAfter w:w="6" w:type="dxa"/>
        </w:trPr>
        <w:tc>
          <w:tcPr>
            <w:tcW w:w="6508" w:type="dxa"/>
            <w:tcBorders>
              <w:bottom w:val="single" w:sz="2" w:space="0" w:color="auto"/>
            </w:tcBorders>
            <w:hideMark/>
          </w:tcPr>
          <w:p w14:paraId="5700DA8D" w14:textId="77777777" w:rsidR="00E80D6B" w:rsidRPr="0043618D" w:rsidRDefault="00E80D6B" w:rsidP="009021D0">
            <w:pPr>
              <w:pStyle w:val="NormalWeb"/>
              <w:rPr>
                <w:sz w:val="18"/>
                <w:szCs w:val="18"/>
              </w:rPr>
            </w:pPr>
            <w:r w:rsidRPr="0043618D">
              <w:rPr>
                <w:sz w:val="18"/>
                <w:szCs w:val="18"/>
              </w:rPr>
              <w:t>Female</w:t>
            </w:r>
          </w:p>
        </w:tc>
        <w:tc>
          <w:tcPr>
            <w:tcW w:w="1185" w:type="dxa"/>
            <w:tcBorders>
              <w:bottom w:val="single" w:sz="2" w:space="0" w:color="auto"/>
            </w:tcBorders>
            <w:hideMark/>
          </w:tcPr>
          <w:p w14:paraId="56CD3B99" w14:textId="77777777" w:rsidR="00E80D6B" w:rsidRPr="0043618D" w:rsidRDefault="00E80D6B" w:rsidP="009021D0">
            <w:pPr>
              <w:pStyle w:val="NormalWeb"/>
              <w:jc w:val="center"/>
              <w:rPr>
                <w:sz w:val="18"/>
                <w:szCs w:val="18"/>
              </w:rPr>
            </w:pPr>
            <w:r w:rsidRPr="0043618D">
              <w:rPr>
                <w:sz w:val="18"/>
                <w:szCs w:val="18"/>
              </w:rPr>
              <w:t>357</w:t>
            </w:r>
          </w:p>
        </w:tc>
        <w:tc>
          <w:tcPr>
            <w:tcW w:w="805" w:type="dxa"/>
            <w:tcBorders>
              <w:bottom w:val="single" w:sz="2" w:space="0" w:color="auto"/>
            </w:tcBorders>
            <w:hideMark/>
          </w:tcPr>
          <w:p w14:paraId="1A743766" w14:textId="77777777" w:rsidR="00E80D6B" w:rsidRPr="0043618D" w:rsidRDefault="00E80D6B" w:rsidP="009021D0">
            <w:pPr>
              <w:pStyle w:val="NormalWeb"/>
              <w:jc w:val="center"/>
              <w:rPr>
                <w:sz w:val="18"/>
                <w:szCs w:val="18"/>
              </w:rPr>
            </w:pPr>
            <w:r w:rsidRPr="0043618D">
              <w:rPr>
                <w:sz w:val="18"/>
                <w:szCs w:val="18"/>
              </w:rPr>
              <w:t>13.8</w:t>
            </w:r>
          </w:p>
        </w:tc>
        <w:tc>
          <w:tcPr>
            <w:tcW w:w="1142" w:type="dxa"/>
            <w:gridSpan w:val="2"/>
            <w:tcBorders>
              <w:bottom w:val="single" w:sz="2" w:space="0" w:color="auto"/>
            </w:tcBorders>
            <w:hideMark/>
          </w:tcPr>
          <w:p w14:paraId="777DFD39" w14:textId="77777777" w:rsidR="00E80D6B" w:rsidRPr="0043618D" w:rsidRDefault="00E80D6B" w:rsidP="009021D0">
            <w:pPr>
              <w:pStyle w:val="NormalWeb"/>
              <w:jc w:val="center"/>
              <w:rPr>
                <w:sz w:val="18"/>
                <w:szCs w:val="18"/>
              </w:rPr>
            </w:pPr>
            <w:r w:rsidRPr="0043618D">
              <w:rPr>
                <w:sz w:val="18"/>
                <w:szCs w:val="18"/>
              </w:rPr>
              <w:t>0</w:t>
            </w:r>
          </w:p>
        </w:tc>
        <w:tc>
          <w:tcPr>
            <w:tcW w:w="1086" w:type="dxa"/>
            <w:tcBorders>
              <w:bottom w:val="single" w:sz="2" w:space="0" w:color="auto"/>
            </w:tcBorders>
            <w:hideMark/>
          </w:tcPr>
          <w:p w14:paraId="37686440" w14:textId="77777777" w:rsidR="00E80D6B" w:rsidRPr="0043618D" w:rsidRDefault="00E80D6B" w:rsidP="009021D0">
            <w:pPr>
              <w:pStyle w:val="NormalWeb"/>
              <w:jc w:val="center"/>
              <w:rPr>
                <w:sz w:val="18"/>
                <w:szCs w:val="18"/>
              </w:rPr>
            </w:pPr>
            <w:r w:rsidRPr="0043618D">
              <w:rPr>
                <w:sz w:val="18"/>
                <w:szCs w:val="18"/>
              </w:rPr>
              <w:t>0.0</w:t>
            </w:r>
          </w:p>
        </w:tc>
      </w:tr>
      <w:tr w:rsidR="00E80D6B" w:rsidRPr="0043618D" w14:paraId="18703A1B" w14:textId="77777777" w:rsidTr="003442D0">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tcBorders>
              <w:top w:val="single" w:sz="2" w:space="0" w:color="auto"/>
            </w:tcBorders>
            <w:hideMark/>
          </w:tcPr>
          <w:p w14:paraId="74CAE068" w14:textId="77777777" w:rsidR="00E80D6B" w:rsidRPr="0043618D" w:rsidRDefault="00E80D6B" w:rsidP="009021D0">
            <w:pPr>
              <w:pStyle w:val="NormalWeb"/>
              <w:rPr>
                <w:sz w:val="18"/>
                <w:szCs w:val="18"/>
              </w:rPr>
            </w:pPr>
            <w:r w:rsidRPr="0043618D">
              <w:rPr>
                <w:sz w:val="18"/>
                <w:szCs w:val="18"/>
              </w:rPr>
              <w:t>Not specified</w:t>
            </w:r>
          </w:p>
        </w:tc>
        <w:tc>
          <w:tcPr>
            <w:tcW w:w="1185" w:type="dxa"/>
            <w:tcBorders>
              <w:top w:val="single" w:sz="2" w:space="0" w:color="auto"/>
            </w:tcBorders>
            <w:hideMark/>
          </w:tcPr>
          <w:p w14:paraId="260FE08E" w14:textId="77777777" w:rsidR="00E80D6B" w:rsidRPr="0043618D" w:rsidRDefault="00E80D6B" w:rsidP="009021D0">
            <w:pPr>
              <w:pStyle w:val="NormalWeb"/>
              <w:jc w:val="center"/>
              <w:rPr>
                <w:sz w:val="18"/>
                <w:szCs w:val="18"/>
              </w:rPr>
            </w:pPr>
            <w:r w:rsidRPr="0043618D">
              <w:rPr>
                <w:sz w:val="18"/>
                <w:szCs w:val="18"/>
              </w:rPr>
              <w:t>2</w:t>
            </w:r>
          </w:p>
        </w:tc>
        <w:tc>
          <w:tcPr>
            <w:tcW w:w="805" w:type="dxa"/>
            <w:tcBorders>
              <w:top w:val="single" w:sz="2" w:space="0" w:color="auto"/>
            </w:tcBorders>
            <w:hideMark/>
          </w:tcPr>
          <w:p w14:paraId="4A267B48" w14:textId="77777777" w:rsidR="00E80D6B" w:rsidRPr="0043618D" w:rsidRDefault="00E80D6B" w:rsidP="009021D0">
            <w:pPr>
              <w:pStyle w:val="NormalWeb"/>
              <w:jc w:val="center"/>
              <w:rPr>
                <w:sz w:val="18"/>
                <w:szCs w:val="18"/>
              </w:rPr>
            </w:pPr>
            <w:r w:rsidRPr="0043618D">
              <w:rPr>
                <w:sz w:val="18"/>
                <w:szCs w:val="18"/>
              </w:rPr>
              <w:t>0.1</w:t>
            </w:r>
          </w:p>
        </w:tc>
        <w:tc>
          <w:tcPr>
            <w:tcW w:w="1142" w:type="dxa"/>
            <w:gridSpan w:val="2"/>
            <w:tcBorders>
              <w:top w:val="single" w:sz="2" w:space="0" w:color="auto"/>
            </w:tcBorders>
            <w:hideMark/>
          </w:tcPr>
          <w:p w14:paraId="41544EE0" w14:textId="77777777" w:rsidR="00E80D6B" w:rsidRPr="0043618D" w:rsidRDefault="00E80D6B" w:rsidP="009021D0">
            <w:pPr>
              <w:pStyle w:val="NormalWeb"/>
              <w:jc w:val="center"/>
              <w:rPr>
                <w:sz w:val="18"/>
                <w:szCs w:val="18"/>
              </w:rPr>
            </w:pPr>
            <w:r w:rsidRPr="0043618D">
              <w:rPr>
                <w:sz w:val="18"/>
                <w:szCs w:val="18"/>
              </w:rPr>
              <w:t>0</w:t>
            </w:r>
          </w:p>
        </w:tc>
        <w:tc>
          <w:tcPr>
            <w:tcW w:w="1086" w:type="dxa"/>
            <w:tcBorders>
              <w:top w:val="single" w:sz="2" w:space="0" w:color="auto"/>
            </w:tcBorders>
            <w:hideMark/>
          </w:tcPr>
          <w:p w14:paraId="5A62B96C" w14:textId="77777777" w:rsidR="00E80D6B" w:rsidRPr="0043618D" w:rsidRDefault="00E80D6B" w:rsidP="009021D0">
            <w:pPr>
              <w:pStyle w:val="NormalWeb"/>
              <w:jc w:val="center"/>
              <w:rPr>
                <w:sz w:val="18"/>
                <w:szCs w:val="18"/>
              </w:rPr>
            </w:pPr>
            <w:r w:rsidRPr="0043618D">
              <w:rPr>
                <w:sz w:val="18"/>
                <w:szCs w:val="18"/>
              </w:rPr>
              <w:t>0.0</w:t>
            </w:r>
          </w:p>
        </w:tc>
      </w:tr>
      <w:tr w:rsidR="00E80D6B" w:rsidRPr="0043618D" w14:paraId="29CBBFFE" w14:textId="77777777" w:rsidTr="00FE56D8">
        <w:tblPrEx>
          <w:tblCellMar>
            <w:top w:w="57" w:type="dxa"/>
            <w:left w:w="57" w:type="dxa"/>
            <w:bottom w:w="57" w:type="dxa"/>
            <w:right w:w="57" w:type="dxa"/>
          </w:tblCellMar>
        </w:tblPrEx>
        <w:trPr>
          <w:gridAfter w:val="1"/>
          <w:wAfter w:w="6" w:type="dxa"/>
        </w:trPr>
        <w:tc>
          <w:tcPr>
            <w:tcW w:w="6508" w:type="dxa"/>
            <w:shd w:val="clear" w:color="auto" w:fill="886E49"/>
            <w:hideMark/>
          </w:tcPr>
          <w:p w14:paraId="2471D76E" w14:textId="77777777" w:rsidR="00E80D6B" w:rsidRPr="0043618D" w:rsidRDefault="00E80D6B" w:rsidP="009021D0">
            <w:pPr>
              <w:pStyle w:val="NormalWeb"/>
              <w:rPr>
                <w:b/>
                <w:bCs/>
                <w:color w:val="FFFFFF" w:themeColor="background1"/>
                <w:sz w:val="18"/>
                <w:szCs w:val="18"/>
              </w:rPr>
            </w:pPr>
            <w:r w:rsidRPr="0043618D">
              <w:rPr>
                <w:b/>
                <w:bCs/>
                <w:color w:val="FFFFFF" w:themeColor="background1"/>
                <w:sz w:val="18"/>
                <w:szCs w:val="18"/>
              </w:rPr>
              <w:t>Aboriginal and or Torres Strait Islander person</w:t>
            </w:r>
          </w:p>
        </w:tc>
        <w:tc>
          <w:tcPr>
            <w:tcW w:w="1185" w:type="dxa"/>
            <w:shd w:val="clear" w:color="auto" w:fill="886E49"/>
            <w:hideMark/>
          </w:tcPr>
          <w:p w14:paraId="3E626496" w14:textId="77777777" w:rsidR="00E80D6B" w:rsidRPr="0043618D" w:rsidRDefault="00E80D6B" w:rsidP="009021D0">
            <w:pPr>
              <w:jc w:val="center"/>
              <w:rPr>
                <w:b/>
                <w:bCs/>
                <w:color w:val="FFFFFF" w:themeColor="background1"/>
                <w:sz w:val="18"/>
                <w:szCs w:val="18"/>
              </w:rPr>
            </w:pPr>
          </w:p>
        </w:tc>
        <w:tc>
          <w:tcPr>
            <w:tcW w:w="805" w:type="dxa"/>
            <w:shd w:val="clear" w:color="auto" w:fill="886E49"/>
            <w:hideMark/>
          </w:tcPr>
          <w:p w14:paraId="5FB9AF39" w14:textId="77777777" w:rsidR="00E80D6B" w:rsidRPr="0043618D" w:rsidRDefault="00E80D6B" w:rsidP="009021D0">
            <w:pPr>
              <w:jc w:val="center"/>
              <w:rPr>
                <w:rFonts w:eastAsia="Times New Roman"/>
                <w:b/>
                <w:bCs/>
                <w:color w:val="FFFFFF" w:themeColor="background1"/>
                <w:sz w:val="18"/>
                <w:szCs w:val="18"/>
              </w:rPr>
            </w:pPr>
          </w:p>
        </w:tc>
        <w:tc>
          <w:tcPr>
            <w:tcW w:w="1142" w:type="dxa"/>
            <w:gridSpan w:val="2"/>
            <w:shd w:val="clear" w:color="auto" w:fill="886E49"/>
            <w:hideMark/>
          </w:tcPr>
          <w:p w14:paraId="71840AA6" w14:textId="77777777" w:rsidR="00E80D6B" w:rsidRPr="0043618D" w:rsidRDefault="00E80D6B" w:rsidP="009021D0">
            <w:pPr>
              <w:jc w:val="center"/>
              <w:rPr>
                <w:rFonts w:eastAsia="Times New Roman"/>
                <w:b/>
                <w:bCs/>
                <w:color w:val="FFFFFF" w:themeColor="background1"/>
                <w:sz w:val="18"/>
                <w:szCs w:val="18"/>
              </w:rPr>
            </w:pPr>
          </w:p>
        </w:tc>
        <w:tc>
          <w:tcPr>
            <w:tcW w:w="1086" w:type="dxa"/>
            <w:shd w:val="clear" w:color="auto" w:fill="886E49"/>
            <w:hideMark/>
          </w:tcPr>
          <w:p w14:paraId="7199868D" w14:textId="77777777" w:rsidR="00E80D6B" w:rsidRPr="0043618D" w:rsidRDefault="00E80D6B" w:rsidP="009021D0">
            <w:pPr>
              <w:jc w:val="center"/>
              <w:rPr>
                <w:rFonts w:eastAsia="Times New Roman"/>
                <w:b/>
                <w:bCs/>
                <w:color w:val="FFFFFF" w:themeColor="background1"/>
                <w:sz w:val="18"/>
                <w:szCs w:val="18"/>
              </w:rPr>
            </w:pPr>
          </w:p>
        </w:tc>
      </w:tr>
      <w:tr w:rsidR="00E80D6B" w:rsidRPr="0043618D" w14:paraId="36977CFB"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089134FD" w14:textId="77777777" w:rsidR="00E80D6B" w:rsidRPr="0043618D" w:rsidRDefault="00E80D6B" w:rsidP="009021D0">
            <w:pPr>
              <w:pStyle w:val="NormalWeb"/>
              <w:rPr>
                <w:sz w:val="18"/>
                <w:szCs w:val="18"/>
              </w:rPr>
            </w:pPr>
            <w:r w:rsidRPr="0043618D">
              <w:rPr>
                <w:sz w:val="18"/>
                <w:szCs w:val="18"/>
              </w:rPr>
              <w:t>No</w:t>
            </w:r>
          </w:p>
        </w:tc>
        <w:tc>
          <w:tcPr>
            <w:tcW w:w="1185" w:type="dxa"/>
            <w:hideMark/>
          </w:tcPr>
          <w:p w14:paraId="45AA8CDA" w14:textId="77777777" w:rsidR="00E80D6B" w:rsidRPr="0043618D" w:rsidRDefault="00E80D6B" w:rsidP="009021D0">
            <w:pPr>
              <w:pStyle w:val="NormalWeb"/>
              <w:jc w:val="center"/>
              <w:rPr>
                <w:sz w:val="18"/>
                <w:szCs w:val="18"/>
              </w:rPr>
            </w:pPr>
            <w:r w:rsidRPr="0043618D">
              <w:rPr>
                <w:sz w:val="18"/>
                <w:szCs w:val="18"/>
              </w:rPr>
              <w:t>2475</w:t>
            </w:r>
          </w:p>
        </w:tc>
        <w:tc>
          <w:tcPr>
            <w:tcW w:w="805" w:type="dxa"/>
            <w:hideMark/>
          </w:tcPr>
          <w:p w14:paraId="3AEA50DA" w14:textId="77777777" w:rsidR="00E80D6B" w:rsidRPr="0043618D" w:rsidRDefault="00E80D6B" w:rsidP="009021D0">
            <w:pPr>
              <w:pStyle w:val="NormalWeb"/>
              <w:jc w:val="center"/>
              <w:rPr>
                <w:sz w:val="18"/>
                <w:szCs w:val="18"/>
              </w:rPr>
            </w:pPr>
            <w:r w:rsidRPr="0043618D">
              <w:rPr>
                <w:sz w:val="18"/>
                <w:szCs w:val="18"/>
              </w:rPr>
              <w:t>95.5</w:t>
            </w:r>
          </w:p>
        </w:tc>
        <w:tc>
          <w:tcPr>
            <w:tcW w:w="1142" w:type="dxa"/>
            <w:gridSpan w:val="2"/>
            <w:hideMark/>
          </w:tcPr>
          <w:p w14:paraId="4A2C83E0" w14:textId="77777777" w:rsidR="00E80D6B" w:rsidRPr="0043618D" w:rsidRDefault="00E80D6B" w:rsidP="009021D0">
            <w:pPr>
              <w:pStyle w:val="NormalWeb"/>
              <w:jc w:val="center"/>
              <w:rPr>
                <w:sz w:val="18"/>
                <w:szCs w:val="18"/>
              </w:rPr>
            </w:pPr>
            <w:r w:rsidRPr="0043618D">
              <w:rPr>
                <w:sz w:val="18"/>
                <w:szCs w:val="18"/>
              </w:rPr>
              <w:t>126</w:t>
            </w:r>
          </w:p>
        </w:tc>
        <w:tc>
          <w:tcPr>
            <w:tcW w:w="1086" w:type="dxa"/>
            <w:hideMark/>
          </w:tcPr>
          <w:p w14:paraId="28CC098F" w14:textId="77777777" w:rsidR="00E80D6B" w:rsidRPr="0043618D" w:rsidRDefault="00E80D6B" w:rsidP="009021D0">
            <w:pPr>
              <w:pStyle w:val="NormalWeb"/>
              <w:jc w:val="center"/>
              <w:rPr>
                <w:sz w:val="18"/>
                <w:szCs w:val="18"/>
              </w:rPr>
            </w:pPr>
            <w:r w:rsidRPr="0043618D">
              <w:rPr>
                <w:sz w:val="18"/>
                <w:szCs w:val="18"/>
              </w:rPr>
              <w:t>98.4</w:t>
            </w:r>
          </w:p>
        </w:tc>
      </w:tr>
      <w:tr w:rsidR="00E80D6B" w:rsidRPr="0043618D" w14:paraId="547427C9" w14:textId="77777777" w:rsidTr="00FF44EC">
        <w:tblPrEx>
          <w:tblCellMar>
            <w:top w:w="57" w:type="dxa"/>
            <w:left w:w="57" w:type="dxa"/>
            <w:bottom w:w="57" w:type="dxa"/>
            <w:right w:w="57" w:type="dxa"/>
          </w:tblCellMar>
        </w:tblPrEx>
        <w:trPr>
          <w:gridAfter w:val="1"/>
          <w:wAfter w:w="6" w:type="dxa"/>
        </w:trPr>
        <w:tc>
          <w:tcPr>
            <w:tcW w:w="6508" w:type="dxa"/>
            <w:hideMark/>
          </w:tcPr>
          <w:p w14:paraId="6CA26E57" w14:textId="77777777" w:rsidR="00E80D6B" w:rsidRPr="0043618D" w:rsidRDefault="00E80D6B" w:rsidP="009021D0">
            <w:pPr>
              <w:pStyle w:val="NormalWeb"/>
              <w:rPr>
                <w:sz w:val="18"/>
                <w:szCs w:val="18"/>
              </w:rPr>
            </w:pPr>
            <w:r w:rsidRPr="0043618D">
              <w:rPr>
                <w:sz w:val="18"/>
                <w:szCs w:val="18"/>
              </w:rPr>
              <w:t>Yes</w:t>
            </w:r>
          </w:p>
        </w:tc>
        <w:tc>
          <w:tcPr>
            <w:tcW w:w="1185" w:type="dxa"/>
            <w:hideMark/>
          </w:tcPr>
          <w:p w14:paraId="2E6FF28C" w14:textId="77777777" w:rsidR="00E80D6B" w:rsidRPr="0043618D" w:rsidRDefault="00E80D6B" w:rsidP="009021D0">
            <w:pPr>
              <w:pStyle w:val="NormalWeb"/>
              <w:jc w:val="center"/>
              <w:rPr>
                <w:sz w:val="18"/>
                <w:szCs w:val="18"/>
              </w:rPr>
            </w:pPr>
            <w:r w:rsidRPr="0043618D">
              <w:rPr>
                <w:sz w:val="18"/>
                <w:szCs w:val="18"/>
              </w:rPr>
              <w:t>114</w:t>
            </w:r>
          </w:p>
        </w:tc>
        <w:tc>
          <w:tcPr>
            <w:tcW w:w="805" w:type="dxa"/>
            <w:hideMark/>
          </w:tcPr>
          <w:p w14:paraId="17B8B0EA" w14:textId="77777777" w:rsidR="00E80D6B" w:rsidRPr="0043618D" w:rsidRDefault="00E80D6B" w:rsidP="009021D0">
            <w:pPr>
              <w:pStyle w:val="NormalWeb"/>
              <w:jc w:val="center"/>
              <w:rPr>
                <w:sz w:val="18"/>
                <w:szCs w:val="18"/>
              </w:rPr>
            </w:pPr>
            <w:r w:rsidRPr="0043618D">
              <w:rPr>
                <w:sz w:val="18"/>
                <w:szCs w:val="18"/>
              </w:rPr>
              <w:t>4.4</w:t>
            </w:r>
          </w:p>
        </w:tc>
        <w:tc>
          <w:tcPr>
            <w:tcW w:w="1142" w:type="dxa"/>
            <w:gridSpan w:val="2"/>
            <w:hideMark/>
          </w:tcPr>
          <w:p w14:paraId="2367C27F" w14:textId="77777777" w:rsidR="00E80D6B" w:rsidRPr="0043618D" w:rsidRDefault="00E80D6B" w:rsidP="009021D0">
            <w:pPr>
              <w:pStyle w:val="NormalWeb"/>
              <w:jc w:val="center"/>
              <w:rPr>
                <w:sz w:val="18"/>
                <w:szCs w:val="18"/>
              </w:rPr>
            </w:pPr>
            <w:r w:rsidRPr="0043618D">
              <w:rPr>
                <w:sz w:val="18"/>
                <w:szCs w:val="18"/>
              </w:rPr>
              <w:t>2</w:t>
            </w:r>
          </w:p>
        </w:tc>
        <w:tc>
          <w:tcPr>
            <w:tcW w:w="1086" w:type="dxa"/>
            <w:hideMark/>
          </w:tcPr>
          <w:p w14:paraId="5E9D5289" w14:textId="77777777" w:rsidR="00E80D6B" w:rsidRPr="0043618D" w:rsidRDefault="00E80D6B" w:rsidP="009021D0">
            <w:pPr>
              <w:pStyle w:val="NormalWeb"/>
              <w:jc w:val="center"/>
              <w:rPr>
                <w:sz w:val="18"/>
                <w:szCs w:val="18"/>
              </w:rPr>
            </w:pPr>
            <w:r w:rsidRPr="0043618D">
              <w:rPr>
                <w:sz w:val="18"/>
                <w:szCs w:val="18"/>
              </w:rPr>
              <w:t>1.6</w:t>
            </w:r>
          </w:p>
        </w:tc>
      </w:tr>
      <w:tr w:rsidR="00E80D6B" w:rsidRPr="0043618D" w14:paraId="4183C29A"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072737F1" w14:textId="77777777" w:rsidR="00E80D6B" w:rsidRPr="0043618D" w:rsidRDefault="00E80D6B" w:rsidP="009021D0">
            <w:pPr>
              <w:pStyle w:val="NormalWeb"/>
              <w:rPr>
                <w:sz w:val="18"/>
                <w:szCs w:val="18"/>
              </w:rPr>
            </w:pPr>
            <w:r w:rsidRPr="0043618D">
              <w:rPr>
                <w:sz w:val="18"/>
                <w:szCs w:val="18"/>
              </w:rPr>
              <w:t>Not specified</w:t>
            </w:r>
          </w:p>
        </w:tc>
        <w:tc>
          <w:tcPr>
            <w:tcW w:w="1185" w:type="dxa"/>
            <w:hideMark/>
          </w:tcPr>
          <w:p w14:paraId="0699DDF0" w14:textId="77777777" w:rsidR="00E80D6B" w:rsidRPr="0043618D" w:rsidRDefault="00E80D6B" w:rsidP="009021D0">
            <w:pPr>
              <w:pStyle w:val="NormalWeb"/>
              <w:jc w:val="center"/>
              <w:rPr>
                <w:sz w:val="18"/>
                <w:szCs w:val="18"/>
              </w:rPr>
            </w:pPr>
            <w:r w:rsidRPr="0043618D">
              <w:rPr>
                <w:sz w:val="18"/>
                <w:szCs w:val="18"/>
              </w:rPr>
              <w:t>3</w:t>
            </w:r>
          </w:p>
        </w:tc>
        <w:tc>
          <w:tcPr>
            <w:tcW w:w="805" w:type="dxa"/>
            <w:hideMark/>
          </w:tcPr>
          <w:p w14:paraId="57E3FB4E" w14:textId="77777777" w:rsidR="00E80D6B" w:rsidRPr="0043618D" w:rsidRDefault="00E80D6B" w:rsidP="009021D0">
            <w:pPr>
              <w:pStyle w:val="NormalWeb"/>
              <w:jc w:val="center"/>
              <w:rPr>
                <w:sz w:val="18"/>
                <w:szCs w:val="18"/>
              </w:rPr>
            </w:pPr>
            <w:r w:rsidRPr="0043618D">
              <w:rPr>
                <w:sz w:val="18"/>
                <w:szCs w:val="18"/>
              </w:rPr>
              <w:t>0.1</w:t>
            </w:r>
          </w:p>
        </w:tc>
        <w:tc>
          <w:tcPr>
            <w:tcW w:w="1142" w:type="dxa"/>
            <w:gridSpan w:val="2"/>
            <w:hideMark/>
          </w:tcPr>
          <w:p w14:paraId="602CC53D" w14:textId="77777777" w:rsidR="00E80D6B" w:rsidRPr="0043618D" w:rsidRDefault="00E80D6B" w:rsidP="009021D0">
            <w:pPr>
              <w:pStyle w:val="NormalWeb"/>
              <w:jc w:val="center"/>
              <w:rPr>
                <w:sz w:val="18"/>
                <w:szCs w:val="18"/>
              </w:rPr>
            </w:pPr>
            <w:r w:rsidRPr="0043618D">
              <w:rPr>
                <w:sz w:val="18"/>
                <w:szCs w:val="18"/>
              </w:rPr>
              <w:t>0</w:t>
            </w:r>
          </w:p>
        </w:tc>
        <w:tc>
          <w:tcPr>
            <w:tcW w:w="1086" w:type="dxa"/>
            <w:hideMark/>
          </w:tcPr>
          <w:p w14:paraId="30979033" w14:textId="77777777" w:rsidR="00E80D6B" w:rsidRPr="0043618D" w:rsidRDefault="00E80D6B" w:rsidP="009021D0">
            <w:pPr>
              <w:pStyle w:val="NormalWeb"/>
              <w:jc w:val="center"/>
              <w:rPr>
                <w:sz w:val="18"/>
                <w:szCs w:val="18"/>
              </w:rPr>
            </w:pPr>
            <w:r w:rsidRPr="0043618D">
              <w:rPr>
                <w:sz w:val="18"/>
                <w:szCs w:val="18"/>
              </w:rPr>
              <w:t>0.0</w:t>
            </w:r>
          </w:p>
        </w:tc>
      </w:tr>
      <w:tr w:rsidR="00E80D6B" w:rsidRPr="0043618D" w14:paraId="4C7AB72D" w14:textId="77777777" w:rsidTr="00FE56D8">
        <w:tblPrEx>
          <w:tblCellMar>
            <w:top w:w="57" w:type="dxa"/>
            <w:left w:w="57" w:type="dxa"/>
            <w:bottom w:w="57" w:type="dxa"/>
            <w:right w:w="57" w:type="dxa"/>
          </w:tblCellMar>
        </w:tblPrEx>
        <w:trPr>
          <w:gridAfter w:val="1"/>
          <w:wAfter w:w="6" w:type="dxa"/>
        </w:trPr>
        <w:tc>
          <w:tcPr>
            <w:tcW w:w="6508" w:type="dxa"/>
            <w:shd w:val="clear" w:color="auto" w:fill="886E49"/>
            <w:hideMark/>
          </w:tcPr>
          <w:p w14:paraId="76CD721F" w14:textId="77777777" w:rsidR="00E80D6B" w:rsidRPr="0043618D" w:rsidRDefault="00E80D6B" w:rsidP="009021D0">
            <w:pPr>
              <w:pStyle w:val="NormalWeb"/>
              <w:rPr>
                <w:b/>
                <w:bCs/>
                <w:color w:val="FFFFFF" w:themeColor="background1"/>
                <w:sz w:val="18"/>
                <w:szCs w:val="18"/>
              </w:rPr>
            </w:pPr>
            <w:r w:rsidRPr="0043618D">
              <w:rPr>
                <w:b/>
                <w:bCs/>
                <w:color w:val="FFFFFF" w:themeColor="background1"/>
                <w:sz w:val="18"/>
                <w:szCs w:val="18"/>
              </w:rPr>
              <w:t>First HIV diagnosis in Qld</w:t>
            </w:r>
          </w:p>
        </w:tc>
        <w:tc>
          <w:tcPr>
            <w:tcW w:w="1185" w:type="dxa"/>
            <w:shd w:val="clear" w:color="auto" w:fill="886E49"/>
            <w:hideMark/>
          </w:tcPr>
          <w:p w14:paraId="42A009D8" w14:textId="77777777" w:rsidR="00E80D6B" w:rsidRPr="0043618D" w:rsidRDefault="00E80D6B" w:rsidP="009021D0">
            <w:pPr>
              <w:jc w:val="center"/>
              <w:rPr>
                <w:b/>
                <w:bCs/>
                <w:color w:val="FFFFFF" w:themeColor="background1"/>
                <w:sz w:val="18"/>
                <w:szCs w:val="18"/>
              </w:rPr>
            </w:pPr>
          </w:p>
        </w:tc>
        <w:tc>
          <w:tcPr>
            <w:tcW w:w="805" w:type="dxa"/>
            <w:shd w:val="clear" w:color="auto" w:fill="886E49"/>
            <w:hideMark/>
          </w:tcPr>
          <w:p w14:paraId="10A6839B" w14:textId="77777777" w:rsidR="00E80D6B" w:rsidRPr="0043618D" w:rsidRDefault="00E80D6B" w:rsidP="009021D0">
            <w:pPr>
              <w:jc w:val="center"/>
              <w:rPr>
                <w:rFonts w:eastAsia="Times New Roman"/>
                <w:b/>
                <w:bCs/>
                <w:color w:val="FFFFFF" w:themeColor="background1"/>
                <w:sz w:val="18"/>
                <w:szCs w:val="18"/>
              </w:rPr>
            </w:pPr>
          </w:p>
        </w:tc>
        <w:tc>
          <w:tcPr>
            <w:tcW w:w="1142" w:type="dxa"/>
            <w:gridSpan w:val="2"/>
            <w:shd w:val="clear" w:color="auto" w:fill="886E49"/>
            <w:hideMark/>
          </w:tcPr>
          <w:p w14:paraId="5F138682" w14:textId="77777777" w:rsidR="00E80D6B" w:rsidRPr="0043618D" w:rsidRDefault="00E80D6B" w:rsidP="009021D0">
            <w:pPr>
              <w:jc w:val="center"/>
              <w:rPr>
                <w:rFonts w:eastAsia="Times New Roman"/>
                <w:b/>
                <w:bCs/>
                <w:color w:val="FFFFFF" w:themeColor="background1"/>
                <w:sz w:val="18"/>
                <w:szCs w:val="18"/>
              </w:rPr>
            </w:pPr>
          </w:p>
        </w:tc>
        <w:tc>
          <w:tcPr>
            <w:tcW w:w="1086" w:type="dxa"/>
            <w:shd w:val="clear" w:color="auto" w:fill="886E49"/>
            <w:hideMark/>
          </w:tcPr>
          <w:p w14:paraId="0B1C01B8" w14:textId="77777777" w:rsidR="00E80D6B" w:rsidRPr="0043618D" w:rsidRDefault="00E80D6B" w:rsidP="009021D0">
            <w:pPr>
              <w:jc w:val="center"/>
              <w:rPr>
                <w:rFonts w:eastAsia="Times New Roman"/>
                <w:b/>
                <w:bCs/>
                <w:color w:val="FFFFFF" w:themeColor="background1"/>
                <w:sz w:val="18"/>
                <w:szCs w:val="18"/>
              </w:rPr>
            </w:pPr>
          </w:p>
        </w:tc>
      </w:tr>
      <w:tr w:rsidR="00E80D6B" w:rsidRPr="0043618D" w14:paraId="62949B2D"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1AD21031" w14:textId="77777777" w:rsidR="00E80D6B" w:rsidRPr="0043618D" w:rsidRDefault="00E80D6B" w:rsidP="009021D0">
            <w:pPr>
              <w:pStyle w:val="NormalWeb"/>
              <w:rPr>
                <w:sz w:val="18"/>
                <w:szCs w:val="18"/>
              </w:rPr>
            </w:pPr>
            <w:r w:rsidRPr="0043618D">
              <w:rPr>
                <w:sz w:val="18"/>
                <w:szCs w:val="18"/>
              </w:rPr>
              <w:lastRenderedPageBreak/>
              <w:t>No</w:t>
            </w:r>
          </w:p>
        </w:tc>
        <w:tc>
          <w:tcPr>
            <w:tcW w:w="1185" w:type="dxa"/>
            <w:hideMark/>
          </w:tcPr>
          <w:p w14:paraId="07C3EF49" w14:textId="77777777" w:rsidR="00E80D6B" w:rsidRPr="0043618D" w:rsidRDefault="00E80D6B" w:rsidP="009021D0">
            <w:pPr>
              <w:pStyle w:val="NormalWeb"/>
              <w:jc w:val="center"/>
              <w:rPr>
                <w:sz w:val="18"/>
                <w:szCs w:val="18"/>
              </w:rPr>
            </w:pPr>
            <w:r w:rsidRPr="0043618D">
              <w:rPr>
                <w:sz w:val="18"/>
                <w:szCs w:val="18"/>
              </w:rPr>
              <w:t>924</w:t>
            </w:r>
          </w:p>
        </w:tc>
        <w:tc>
          <w:tcPr>
            <w:tcW w:w="805" w:type="dxa"/>
            <w:hideMark/>
          </w:tcPr>
          <w:p w14:paraId="02BF81F0" w14:textId="77777777" w:rsidR="00E80D6B" w:rsidRPr="0043618D" w:rsidRDefault="00E80D6B" w:rsidP="009021D0">
            <w:pPr>
              <w:pStyle w:val="NormalWeb"/>
              <w:jc w:val="center"/>
              <w:rPr>
                <w:sz w:val="18"/>
                <w:szCs w:val="18"/>
              </w:rPr>
            </w:pPr>
            <w:r w:rsidRPr="0043618D">
              <w:rPr>
                <w:sz w:val="18"/>
                <w:szCs w:val="18"/>
              </w:rPr>
              <w:t>35.6</w:t>
            </w:r>
          </w:p>
        </w:tc>
        <w:tc>
          <w:tcPr>
            <w:tcW w:w="1142" w:type="dxa"/>
            <w:gridSpan w:val="2"/>
            <w:hideMark/>
          </w:tcPr>
          <w:p w14:paraId="07E8936E" w14:textId="77777777" w:rsidR="00E80D6B" w:rsidRPr="0043618D" w:rsidRDefault="00E80D6B" w:rsidP="009021D0">
            <w:pPr>
              <w:pStyle w:val="NormalWeb"/>
              <w:jc w:val="center"/>
              <w:rPr>
                <w:sz w:val="18"/>
                <w:szCs w:val="18"/>
              </w:rPr>
            </w:pPr>
            <w:r w:rsidRPr="0043618D">
              <w:rPr>
                <w:sz w:val="18"/>
                <w:szCs w:val="18"/>
              </w:rPr>
              <w:t>18</w:t>
            </w:r>
          </w:p>
        </w:tc>
        <w:tc>
          <w:tcPr>
            <w:tcW w:w="1086" w:type="dxa"/>
            <w:hideMark/>
          </w:tcPr>
          <w:p w14:paraId="006CA222" w14:textId="77777777" w:rsidR="00E80D6B" w:rsidRPr="0043618D" w:rsidRDefault="00E80D6B" w:rsidP="009021D0">
            <w:pPr>
              <w:pStyle w:val="NormalWeb"/>
              <w:jc w:val="center"/>
              <w:rPr>
                <w:sz w:val="18"/>
                <w:szCs w:val="18"/>
              </w:rPr>
            </w:pPr>
            <w:r w:rsidRPr="0043618D">
              <w:rPr>
                <w:sz w:val="18"/>
                <w:szCs w:val="18"/>
              </w:rPr>
              <w:t>14.1</w:t>
            </w:r>
          </w:p>
        </w:tc>
      </w:tr>
      <w:tr w:rsidR="00E80D6B" w:rsidRPr="0043618D" w14:paraId="6F936E93" w14:textId="77777777" w:rsidTr="00FF44EC">
        <w:tblPrEx>
          <w:tblCellMar>
            <w:top w:w="57" w:type="dxa"/>
            <w:left w:w="57" w:type="dxa"/>
            <w:bottom w:w="57" w:type="dxa"/>
            <w:right w:w="57" w:type="dxa"/>
          </w:tblCellMar>
        </w:tblPrEx>
        <w:trPr>
          <w:gridAfter w:val="1"/>
          <w:wAfter w:w="6" w:type="dxa"/>
        </w:trPr>
        <w:tc>
          <w:tcPr>
            <w:tcW w:w="6508" w:type="dxa"/>
            <w:hideMark/>
          </w:tcPr>
          <w:p w14:paraId="7A11FE11" w14:textId="77777777" w:rsidR="00E80D6B" w:rsidRPr="0043618D" w:rsidRDefault="00E80D6B" w:rsidP="009021D0">
            <w:pPr>
              <w:pStyle w:val="NormalWeb"/>
              <w:rPr>
                <w:sz w:val="18"/>
                <w:szCs w:val="18"/>
              </w:rPr>
            </w:pPr>
            <w:r w:rsidRPr="0043618D">
              <w:rPr>
                <w:sz w:val="18"/>
                <w:szCs w:val="18"/>
              </w:rPr>
              <w:t>Yes</w:t>
            </w:r>
          </w:p>
        </w:tc>
        <w:tc>
          <w:tcPr>
            <w:tcW w:w="1185" w:type="dxa"/>
            <w:hideMark/>
          </w:tcPr>
          <w:p w14:paraId="1F4CC618" w14:textId="77777777" w:rsidR="00E80D6B" w:rsidRPr="0043618D" w:rsidRDefault="00E80D6B" w:rsidP="009021D0">
            <w:pPr>
              <w:pStyle w:val="NormalWeb"/>
              <w:jc w:val="center"/>
              <w:rPr>
                <w:sz w:val="18"/>
                <w:szCs w:val="18"/>
              </w:rPr>
            </w:pPr>
            <w:r w:rsidRPr="0043618D">
              <w:rPr>
                <w:sz w:val="18"/>
                <w:szCs w:val="18"/>
              </w:rPr>
              <w:t>1668</w:t>
            </w:r>
          </w:p>
        </w:tc>
        <w:tc>
          <w:tcPr>
            <w:tcW w:w="805" w:type="dxa"/>
            <w:hideMark/>
          </w:tcPr>
          <w:p w14:paraId="5F583A31" w14:textId="77777777" w:rsidR="00E80D6B" w:rsidRPr="0043618D" w:rsidRDefault="00E80D6B" w:rsidP="009021D0">
            <w:pPr>
              <w:pStyle w:val="NormalWeb"/>
              <w:jc w:val="center"/>
              <w:rPr>
                <w:sz w:val="18"/>
                <w:szCs w:val="18"/>
              </w:rPr>
            </w:pPr>
            <w:r w:rsidRPr="0043618D">
              <w:rPr>
                <w:sz w:val="18"/>
                <w:szCs w:val="18"/>
              </w:rPr>
              <w:t>64.4</w:t>
            </w:r>
          </w:p>
        </w:tc>
        <w:tc>
          <w:tcPr>
            <w:tcW w:w="1142" w:type="dxa"/>
            <w:gridSpan w:val="2"/>
            <w:hideMark/>
          </w:tcPr>
          <w:p w14:paraId="56BD61D6" w14:textId="77777777" w:rsidR="00E80D6B" w:rsidRPr="0043618D" w:rsidRDefault="00E80D6B" w:rsidP="009021D0">
            <w:pPr>
              <w:pStyle w:val="NormalWeb"/>
              <w:jc w:val="center"/>
              <w:rPr>
                <w:sz w:val="18"/>
                <w:szCs w:val="18"/>
              </w:rPr>
            </w:pPr>
            <w:r w:rsidRPr="0043618D">
              <w:rPr>
                <w:sz w:val="18"/>
                <w:szCs w:val="18"/>
              </w:rPr>
              <w:t>110</w:t>
            </w:r>
          </w:p>
        </w:tc>
        <w:tc>
          <w:tcPr>
            <w:tcW w:w="1086" w:type="dxa"/>
            <w:hideMark/>
          </w:tcPr>
          <w:p w14:paraId="3A5F2822" w14:textId="77777777" w:rsidR="00E80D6B" w:rsidRPr="0043618D" w:rsidRDefault="00E80D6B" w:rsidP="009021D0">
            <w:pPr>
              <w:pStyle w:val="NormalWeb"/>
              <w:jc w:val="center"/>
              <w:rPr>
                <w:sz w:val="18"/>
                <w:szCs w:val="18"/>
              </w:rPr>
            </w:pPr>
            <w:r w:rsidRPr="0043618D">
              <w:rPr>
                <w:sz w:val="18"/>
                <w:szCs w:val="18"/>
              </w:rPr>
              <w:t>85.9</w:t>
            </w:r>
          </w:p>
        </w:tc>
      </w:tr>
      <w:tr w:rsidR="00E80D6B" w:rsidRPr="0043618D" w14:paraId="6D074675" w14:textId="77777777" w:rsidTr="00FE56D8">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shd w:val="clear" w:color="auto" w:fill="886E49"/>
            <w:hideMark/>
          </w:tcPr>
          <w:p w14:paraId="0605EF86" w14:textId="77777777" w:rsidR="00E80D6B" w:rsidRPr="0043618D" w:rsidRDefault="00E80D6B" w:rsidP="009021D0">
            <w:pPr>
              <w:pStyle w:val="NormalWeb"/>
              <w:rPr>
                <w:b/>
                <w:bCs/>
                <w:color w:val="FFFFFF" w:themeColor="background1"/>
                <w:sz w:val="18"/>
                <w:szCs w:val="18"/>
              </w:rPr>
            </w:pPr>
            <w:r w:rsidRPr="0043618D">
              <w:rPr>
                <w:b/>
                <w:bCs/>
                <w:color w:val="FFFFFF" w:themeColor="background1"/>
                <w:sz w:val="18"/>
                <w:szCs w:val="18"/>
              </w:rPr>
              <w:t xml:space="preserve">Reported HIV exposure (% of </w:t>
            </w:r>
            <w:proofErr w:type="gramStart"/>
            <w:r w:rsidRPr="0043618D">
              <w:rPr>
                <w:b/>
                <w:bCs/>
                <w:color w:val="FFFFFF" w:themeColor="background1"/>
                <w:sz w:val="18"/>
                <w:szCs w:val="18"/>
              </w:rPr>
              <w:t>cases)</w:t>
            </w:r>
            <w:r w:rsidRPr="0043618D">
              <w:rPr>
                <w:b/>
                <w:bCs/>
                <w:color w:val="FFFFFF" w:themeColor="background1"/>
                <w:sz w:val="18"/>
                <w:szCs w:val="18"/>
                <w:vertAlign w:val="superscript"/>
              </w:rPr>
              <w:t>c</w:t>
            </w:r>
            <w:proofErr w:type="gramEnd"/>
          </w:p>
        </w:tc>
        <w:tc>
          <w:tcPr>
            <w:tcW w:w="1185" w:type="dxa"/>
            <w:shd w:val="clear" w:color="auto" w:fill="886E49"/>
            <w:hideMark/>
          </w:tcPr>
          <w:p w14:paraId="2CC28D5F" w14:textId="77777777" w:rsidR="00E80D6B" w:rsidRPr="0043618D" w:rsidRDefault="00E80D6B" w:rsidP="009021D0">
            <w:pPr>
              <w:jc w:val="center"/>
              <w:rPr>
                <w:b/>
                <w:bCs/>
                <w:color w:val="FFFFFF" w:themeColor="background1"/>
                <w:sz w:val="18"/>
                <w:szCs w:val="18"/>
              </w:rPr>
            </w:pPr>
          </w:p>
        </w:tc>
        <w:tc>
          <w:tcPr>
            <w:tcW w:w="805" w:type="dxa"/>
            <w:shd w:val="clear" w:color="auto" w:fill="886E49"/>
            <w:hideMark/>
          </w:tcPr>
          <w:p w14:paraId="3EB63700" w14:textId="77777777" w:rsidR="00E80D6B" w:rsidRPr="0043618D" w:rsidRDefault="00E80D6B" w:rsidP="009021D0">
            <w:pPr>
              <w:jc w:val="center"/>
              <w:rPr>
                <w:rFonts w:eastAsia="Times New Roman"/>
                <w:b/>
                <w:bCs/>
                <w:color w:val="FFFFFF" w:themeColor="background1"/>
                <w:sz w:val="18"/>
                <w:szCs w:val="18"/>
              </w:rPr>
            </w:pPr>
          </w:p>
        </w:tc>
        <w:tc>
          <w:tcPr>
            <w:tcW w:w="1142" w:type="dxa"/>
            <w:gridSpan w:val="2"/>
            <w:shd w:val="clear" w:color="auto" w:fill="886E49"/>
            <w:hideMark/>
          </w:tcPr>
          <w:p w14:paraId="6F68CB65" w14:textId="77777777" w:rsidR="00E80D6B" w:rsidRPr="0043618D" w:rsidRDefault="00E80D6B" w:rsidP="009021D0">
            <w:pPr>
              <w:jc w:val="center"/>
              <w:rPr>
                <w:rFonts w:eastAsia="Times New Roman"/>
                <w:b/>
                <w:bCs/>
                <w:color w:val="FFFFFF" w:themeColor="background1"/>
                <w:sz w:val="18"/>
                <w:szCs w:val="18"/>
              </w:rPr>
            </w:pPr>
          </w:p>
        </w:tc>
        <w:tc>
          <w:tcPr>
            <w:tcW w:w="1086" w:type="dxa"/>
            <w:shd w:val="clear" w:color="auto" w:fill="886E49"/>
            <w:hideMark/>
          </w:tcPr>
          <w:p w14:paraId="224FDE13" w14:textId="77777777" w:rsidR="00E80D6B" w:rsidRPr="0043618D" w:rsidRDefault="00E80D6B" w:rsidP="009021D0">
            <w:pPr>
              <w:jc w:val="center"/>
              <w:rPr>
                <w:rFonts w:eastAsia="Times New Roman"/>
                <w:b/>
                <w:bCs/>
                <w:color w:val="FFFFFF" w:themeColor="background1"/>
                <w:sz w:val="18"/>
                <w:szCs w:val="18"/>
              </w:rPr>
            </w:pPr>
          </w:p>
        </w:tc>
      </w:tr>
      <w:tr w:rsidR="00E80D6B" w:rsidRPr="0043618D" w14:paraId="09D59BDB" w14:textId="77777777" w:rsidTr="00FF44EC">
        <w:tblPrEx>
          <w:tblCellMar>
            <w:top w:w="57" w:type="dxa"/>
            <w:left w:w="57" w:type="dxa"/>
            <w:bottom w:w="57" w:type="dxa"/>
            <w:right w:w="57" w:type="dxa"/>
          </w:tblCellMar>
        </w:tblPrEx>
        <w:trPr>
          <w:gridAfter w:val="1"/>
          <w:wAfter w:w="6" w:type="dxa"/>
        </w:trPr>
        <w:tc>
          <w:tcPr>
            <w:tcW w:w="6508" w:type="dxa"/>
            <w:hideMark/>
          </w:tcPr>
          <w:p w14:paraId="4B26E240" w14:textId="77777777" w:rsidR="00E80D6B" w:rsidRPr="0043618D" w:rsidRDefault="00E80D6B" w:rsidP="009021D0">
            <w:pPr>
              <w:pStyle w:val="NormalWeb"/>
              <w:rPr>
                <w:sz w:val="18"/>
                <w:szCs w:val="18"/>
              </w:rPr>
            </w:pPr>
            <w:r w:rsidRPr="0043618D">
              <w:rPr>
                <w:sz w:val="18"/>
                <w:szCs w:val="18"/>
              </w:rPr>
              <w:t>Men who have sex with men / bisexual</w:t>
            </w:r>
          </w:p>
        </w:tc>
        <w:tc>
          <w:tcPr>
            <w:tcW w:w="1185" w:type="dxa"/>
            <w:hideMark/>
          </w:tcPr>
          <w:p w14:paraId="2DC292E2" w14:textId="77777777" w:rsidR="00E80D6B" w:rsidRPr="0043618D" w:rsidRDefault="00E80D6B" w:rsidP="009021D0">
            <w:pPr>
              <w:pStyle w:val="NormalWeb"/>
              <w:jc w:val="center"/>
              <w:rPr>
                <w:sz w:val="18"/>
                <w:szCs w:val="18"/>
              </w:rPr>
            </w:pPr>
            <w:r w:rsidRPr="0043618D">
              <w:rPr>
                <w:sz w:val="18"/>
                <w:szCs w:val="18"/>
              </w:rPr>
              <w:t>1748</w:t>
            </w:r>
          </w:p>
        </w:tc>
        <w:tc>
          <w:tcPr>
            <w:tcW w:w="805" w:type="dxa"/>
            <w:hideMark/>
          </w:tcPr>
          <w:p w14:paraId="1C89B594" w14:textId="77777777" w:rsidR="00E80D6B" w:rsidRPr="0043618D" w:rsidRDefault="00E80D6B" w:rsidP="009021D0">
            <w:pPr>
              <w:pStyle w:val="NormalWeb"/>
              <w:jc w:val="center"/>
              <w:rPr>
                <w:sz w:val="18"/>
                <w:szCs w:val="18"/>
              </w:rPr>
            </w:pPr>
            <w:r w:rsidRPr="0043618D">
              <w:rPr>
                <w:sz w:val="18"/>
                <w:szCs w:val="18"/>
              </w:rPr>
              <w:t>67.4</w:t>
            </w:r>
          </w:p>
        </w:tc>
        <w:tc>
          <w:tcPr>
            <w:tcW w:w="1142" w:type="dxa"/>
            <w:gridSpan w:val="2"/>
            <w:hideMark/>
          </w:tcPr>
          <w:p w14:paraId="6A07C18F" w14:textId="77777777" w:rsidR="00E80D6B" w:rsidRPr="0043618D" w:rsidRDefault="00E80D6B" w:rsidP="009021D0">
            <w:pPr>
              <w:pStyle w:val="NormalWeb"/>
              <w:jc w:val="center"/>
              <w:rPr>
                <w:sz w:val="18"/>
                <w:szCs w:val="18"/>
              </w:rPr>
            </w:pPr>
            <w:r w:rsidRPr="0043618D">
              <w:rPr>
                <w:sz w:val="18"/>
                <w:szCs w:val="18"/>
              </w:rPr>
              <w:t>124</w:t>
            </w:r>
          </w:p>
        </w:tc>
        <w:tc>
          <w:tcPr>
            <w:tcW w:w="1086" w:type="dxa"/>
            <w:hideMark/>
          </w:tcPr>
          <w:p w14:paraId="46998023" w14:textId="77777777" w:rsidR="00E80D6B" w:rsidRPr="0043618D" w:rsidRDefault="00E80D6B" w:rsidP="009021D0">
            <w:pPr>
              <w:pStyle w:val="NormalWeb"/>
              <w:jc w:val="center"/>
              <w:rPr>
                <w:sz w:val="18"/>
                <w:szCs w:val="18"/>
              </w:rPr>
            </w:pPr>
            <w:r w:rsidRPr="0043618D">
              <w:rPr>
                <w:sz w:val="18"/>
                <w:szCs w:val="18"/>
              </w:rPr>
              <w:t>96.9</w:t>
            </w:r>
          </w:p>
        </w:tc>
      </w:tr>
      <w:tr w:rsidR="00E80D6B" w:rsidRPr="0043618D" w14:paraId="3EF954E9"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62C8CB91" w14:textId="77777777" w:rsidR="00E80D6B" w:rsidRPr="0043618D" w:rsidRDefault="00E80D6B" w:rsidP="009021D0">
            <w:pPr>
              <w:pStyle w:val="NormalWeb"/>
              <w:rPr>
                <w:sz w:val="18"/>
                <w:szCs w:val="18"/>
              </w:rPr>
            </w:pPr>
            <w:r w:rsidRPr="0043618D">
              <w:rPr>
                <w:sz w:val="18"/>
                <w:szCs w:val="18"/>
              </w:rPr>
              <w:t>Person/partner with origin from a high prevalence country</w:t>
            </w:r>
          </w:p>
        </w:tc>
        <w:tc>
          <w:tcPr>
            <w:tcW w:w="1185" w:type="dxa"/>
            <w:hideMark/>
          </w:tcPr>
          <w:p w14:paraId="4C365D8E" w14:textId="77777777" w:rsidR="00E80D6B" w:rsidRPr="0043618D" w:rsidRDefault="00E80D6B" w:rsidP="009021D0">
            <w:pPr>
              <w:pStyle w:val="NormalWeb"/>
              <w:jc w:val="center"/>
              <w:rPr>
                <w:sz w:val="18"/>
                <w:szCs w:val="18"/>
              </w:rPr>
            </w:pPr>
            <w:r w:rsidRPr="0043618D">
              <w:rPr>
                <w:sz w:val="18"/>
                <w:szCs w:val="18"/>
              </w:rPr>
              <w:t>512</w:t>
            </w:r>
          </w:p>
        </w:tc>
        <w:tc>
          <w:tcPr>
            <w:tcW w:w="805" w:type="dxa"/>
            <w:hideMark/>
          </w:tcPr>
          <w:p w14:paraId="5CAFEF4B" w14:textId="77777777" w:rsidR="00E80D6B" w:rsidRPr="0043618D" w:rsidRDefault="00E80D6B" w:rsidP="009021D0">
            <w:pPr>
              <w:pStyle w:val="NormalWeb"/>
              <w:jc w:val="center"/>
              <w:rPr>
                <w:sz w:val="18"/>
                <w:szCs w:val="18"/>
              </w:rPr>
            </w:pPr>
            <w:r w:rsidRPr="0043618D">
              <w:rPr>
                <w:sz w:val="18"/>
                <w:szCs w:val="18"/>
              </w:rPr>
              <w:t>19.8</w:t>
            </w:r>
          </w:p>
        </w:tc>
        <w:tc>
          <w:tcPr>
            <w:tcW w:w="1142" w:type="dxa"/>
            <w:gridSpan w:val="2"/>
            <w:hideMark/>
          </w:tcPr>
          <w:p w14:paraId="647C00DD" w14:textId="77777777" w:rsidR="00E80D6B" w:rsidRPr="0043618D" w:rsidRDefault="00E80D6B" w:rsidP="009021D0">
            <w:pPr>
              <w:pStyle w:val="NormalWeb"/>
              <w:jc w:val="center"/>
              <w:rPr>
                <w:sz w:val="18"/>
                <w:szCs w:val="18"/>
              </w:rPr>
            </w:pPr>
            <w:r w:rsidRPr="0043618D">
              <w:rPr>
                <w:sz w:val="18"/>
                <w:szCs w:val="18"/>
              </w:rPr>
              <w:t>3</w:t>
            </w:r>
          </w:p>
        </w:tc>
        <w:tc>
          <w:tcPr>
            <w:tcW w:w="1086" w:type="dxa"/>
            <w:hideMark/>
          </w:tcPr>
          <w:p w14:paraId="0439F85A" w14:textId="77777777" w:rsidR="00E80D6B" w:rsidRPr="0043618D" w:rsidRDefault="00E80D6B" w:rsidP="009021D0">
            <w:pPr>
              <w:pStyle w:val="NormalWeb"/>
              <w:jc w:val="center"/>
              <w:rPr>
                <w:sz w:val="18"/>
                <w:szCs w:val="18"/>
              </w:rPr>
            </w:pPr>
            <w:r w:rsidRPr="0043618D">
              <w:rPr>
                <w:sz w:val="18"/>
                <w:szCs w:val="18"/>
              </w:rPr>
              <w:t>2.3</w:t>
            </w:r>
          </w:p>
        </w:tc>
      </w:tr>
      <w:tr w:rsidR="00E80D6B" w:rsidRPr="0043618D" w14:paraId="2ABEBF14" w14:textId="77777777" w:rsidTr="00FF44EC">
        <w:tblPrEx>
          <w:tblCellMar>
            <w:top w:w="57" w:type="dxa"/>
            <w:left w:w="57" w:type="dxa"/>
            <w:bottom w:w="57" w:type="dxa"/>
            <w:right w:w="57" w:type="dxa"/>
          </w:tblCellMar>
        </w:tblPrEx>
        <w:trPr>
          <w:gridAfter w:val="1"/>
          <w:wAfter w:w="6" w:type="dxa"/>
        </w:trPr>
        <w:tc>
          <w:tcPr>
            <w:tcW w:w="6508" w:type="dxa"/>
            <w:hideMark/>
          </w:tcPr>
          <w:p w14:paraId="7E3B3BAB" w14:textId="77777777" w:rsidR="00E80D6B" w:rsidRPr="0043618D" w:rsidRDefault="00E80D6B" w:rsidP="009021D0">
            <w:pPr>
              <w:pStyle w:val="NormalWeb"/>
              <w:rPr>
                <w:sz w:val="18"/>
                <w:szCs w:val="18"/>
              </w:rPr>
            </w:pPr>
            <w:r w:rsidRPr="0043618D">
              <w:rPr>
                <w:sz w:val="18"/>
                <w:szCs w:val="18"/>
              </w:rPr>
              <w:t>Heterosexual</w:t>
            </w:r>
          </w:p>
        </w:tc>
        <w:tc>
          <w:tcPr>
            <w:tcW w:w="1185" w:type="dxa"/>
            <w:hideMark/>
          </w:tcPr>
          <w:p w14:paraId="416D04D5" w14:textId="77777777" w:rsidR="00E80D6B" w:rsidRPr="0043618D" w:rsidRDefault="00E80D6B" w:rsidP="009021D0">
            <w:pPr>
              <w:pStyle w:val="NormalWeb"/>
              <w:jc w:val="center"/>
              <w:rPr>
                <w:sz w:val="18"/>
                <w:szCs w:val="18"/>
              </w:rPr>
            </w:pPr>
            <w:r w:rsidRPr="0043618D">
              <w:rPr>
                <w:sz w:val="18"/>
                <w:szCs w:val="18"/>
              </w:rPr>
              <w:t>355</w:t>
            </w:r>
          </w:p>
        </w:tc>
        <w:tc>
          <w:tcPr>
            <w:tcW w:w="805" w:type="dxa"/>
            <w:hideMark/>
          </w:tcPr>
          <w:p w14:paraId="0E5F4702" w14:textId="77777777" w:rsidR="00E80D6B" w:rsidRPr="0043618D" w:rsidRDefault="00E80D6B" w:rsidP="009021D0">
            <w:pPr>
              <w:pStyle w:val="NormalWeb"/>
              <w:jc w:val="center"/>
              <w:rPr>
                <w:sz w:val="18"/>
                <w:szCs w:val="18"/>
              </w:rPr>
            </w:pPr>
            <w:r w:rsidRPr="0043618D">
              <w:rPr>
                <w:sz w:val="18"/>
                <w:szCs w:val="18"/>
              </w:rPr>
              <w:t>13.7</w:t>
            </w:r>
          </w:p>
        </w:tc>
        <w:tc>
          <w:tcPr>
            <w:tcW w:w="1142" w:type="dxa"/>
            <w:gridSpan w:val="2"/>
            <w:hideMark/>
          </w:tcPr>
          <w:p w14:paraId="7833D337" w14:textId="77777777" w:rsidR="00E80D6B" w:rsidRPr="0043618D" w:rsidRDefault="00E80D6B" w:rsidP="009021D0">
            <w:pPr>
              <w:pStyle w:val="NormalWeb"/>
              <w:jc w:val="center"/>
              <w:rPr>
                <w:sz w:val="18"/>
                <w:szCs w:val="18"/>
              </w:rPr>
            </w:pPr>
            <w:r w:rsidRPr="0043618D">
              <w:rPr>
                <w:sz w:val="18"/>
                <w:szCs w:val="18"/>
              </w:rPr>
              <w:t>3</w:t>
            </w:r>
          </w:p>
        </w:tc>
        <w:tc>
          <w:tcPr>
            <w:tcW w:w="1086" w:type="dxa"/>
            <w:hideMark/>
          </w:tcPr>
          <w:p w14:paraId="773AEDB9" w14:textId="77777777" w:rsidR="00E80D6B" w:rsidRPr="0043618D" w:rsidRDefault="00E80D6B" w:rsidP="009021D0">
            <w:pPr>
              <w:pStyle w:val="NormalWeb"/>
              <w:jc w:val="center"/>
              <w:rPr>
                <w:sz w:val="18"/>
                <w:szCs w:val="18"/>
              </w:rPr>
            </w:pPr>
            <w:r w:rsidRPr="0043618D">
              <w:rPr>
                <w:sz w:val="18"/>
                <w:szCs w:val="18"/>
              </w:rPr>
              <w:t>2.3</w:t>
            </w:r>
          </w:p>
        </w:tc>
      </w:tr>
      <w:tr w:rsidR="00E80D6B" w:rsidRPr="0043618D" w14:paraId="1D747FA2"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72B53941" w14:textId="77777777" w:rsidR="00E80D6B" w:rsidRPr="0043618D" w:rsidRDefault="00E80D6B" w:rsidP="009021D0">
            <w:pPr>
              <w:pStyle w:val="NormalWeb"/>
              <w:rPr>
                <w:sz w:val="18"/>
                <w:szCs w:val="18"/>
              </w:rPr>
            </w:pPr>
            <w:r w:rsidRPr="0043618D">
              <w:rPr>
                <w:sz w:val="18"/>
                <w:szCs w:val="18"/>
              </w:rPr>
              <w:t>Injecting drug use</w:t>
            </w:r>
          </w:p>
        </w:tc>
        <w:tc>
          <w:tcPr>
            <w:tcW w:w="1185" w:type="dxa"/>
            <w:hideMark/>
          </w:tcPr>
          <w:p w14:paraId="2D626E65" w14:textId="77777777" w:rsidR="00E80D6B" w:rsidRPr="0043618D" w:rsidRDefault="00E80D6B" w:rsidP="009021D0">
            <w:pPr>
              <w:pStyle w:val="NormalWeb"/>
              <w:jc w:val="center"/>
              <w:rPr>
                <w:sz w:val="18"/>
                <w:szCs w:val="18"/>
              </w:rPr>
            </w:pPr>
            <w:r w:rsidRPr="0043618D">
              <w:rPr>
                <w:sz w:val="18"/>
                <w:szCs w:val="18"/>
              </w:rPr>
              <w:t>202</w:t>
            </w:r>
          </w:p>
        </w:tc>
        <w:tc>
          <w:tcPr>
            <w:tcW w:w="805" w:type="dxa"/>
            <w:hideMark/>
          </w:tcPr>
          <w:p w14:paraId="3431F53B" w14:textId="77777777" w:rsidR="00E80D6B" w:rsidRPr="0043618D" w:rsidRDefault="00E80D6B" w:rsidP="009021D0">
            <w:pPr>
              <w:pStyle w:val="NormalWeb"/>
              <w:jc w:val="center"/>
              <w:rPr>
                <w:sz w:val="18"/>
                <w:szCs w:val="18"/>
              </w:rPr>
            </w:pPr>
            <w:r w:rsidRPr="0043618D">
              <w:rPr>
                <w:sz w:val="18"/>
                <w:szCs w:val="18"/>
              </w:rPr>
              <w:t>7.8</w:t>
            </w:r>
          </w:p>
        </w:tc>
        <w:tc>
          <w:tcPr>
            <w:tcW w:w="1142" w:type="dxa"/>
            <w:gridSpan w:val="2"/>
            <w:hideMark/>
          </w:tcPr>
          <w:p w14:paraId="7B99986B" w14:textId="77777777" w:rsidR="00E80D6B" w:rsidRPr="0043618D" w:rsidRDefault="00E80D6B" w:rsidP="009021D0">
            <w:pPr>
              <w:pStyle w:val="NormalWeb"/>
              <w:jc w:val="center"/>
              <w:rPr>
                <w:sz w:val="18"/>
                <w:szCs w:val="18"/>
              </w:rPr>
            </w:pPr>
            <w:r w:rsidRPr="0043618D">
              <w:rPr>
                <w:sz w:val="18"/>
                <w:szCs w:val="18"/>
              </w:rPr>
              <w:t>11</w:t>
            </w:r>
          </w:p>
        </w:tc>
        <w:tc>
          <w:tcPr>
            <w:tcW w:w="1086" w:type="dxa"/>
            <w:hideMark/>
          </w:tcPr>
          <w:p w14:paraId="4E7945B8" w14:textId="77777777" w:rsidR="00E80D6B" w:rsidRPr="0043618D" w:rsidRDefault="00E80D6B" w:rsidP="009021D0">
            <w:pPr>
              <w:pStyle w:val="NormalWeb"/>
              <w:jc w:val="center"/>
              <w:rPr>
                <w:sz w:val="18"/>
                <w:szCs w:val="18"/>
              </w:rPr>
            </w:pPr>
            <w:r w:rsidRPr="0043618D">
              <w:rPr>
                <w:sz w:val="18"/>
                <w:szCs w:val="18"/>
              </w:rPr>
              <w:t>7.8</w:t>
            </w:r>
          </w:p>
        </w:tc>
      </w:tr>
      <w:tr w:rsidR="00E80D6B" w:rsidRPr="0043618D" w14:paraId="72580259" w14:textId="77777777" w:rsidTr="00FF44EC">
        <w:tblPrEx>
          <w:tblCellMar>
            <w:top w:w="57" w:type="dxa"/>
            <w:left w:w="57" w:type="dxa"/>
            <w:bottom w:w="57" w:type="dxa"/>
            <w:right w:w="57" w:type="dxa"/>
          </w:tblCellMar>
        </w:tblPrEx>
        <w:trPr>
          <w:gridAfter w:val="1"/>
          <w:wAfter w:w="6" w:type="dxa"/>
        </w:trPr>
        <w:tc>
          <w:tcPr>
            <w:tcW w:w="6508" w:type="dxa"/>
            <w:hideMark/>
          </w:tcPr>
          <w:p w14:paraId="195130E3" w14:textId="77777777" w:rsidR="00E80D6B" w:rsidRPr="0043618D" w:rsidRDefault="00E80D6B" w:rsidP="009021D0">
            <w:pPr>
              <w:pStyle w:val="NormalWeb"/>
              <w:rPr>
                <w:sz w:val="18"/>
                <w:szCs w:val="18"/>
              </w:rPr>
            </w:pPr>
            <w:r w:rsidRPr="0043618D">
              <w:rPr>
                <w:sz w:val="18"/>
                <w:szCs w:val="18"/>
              </w:rPr>
              <w:t>Not reported/unknown</w:t>
            </w:r>
          </w:p>
        </w:tc>
        <w:tc>
          <w:tcPr>
            <w:tcW w:w="1185" w:type="dxa"/>
            <w:hideMark/>
          </w:tcPr>
          <w:p w14:paraId="5ACD2F6F" w14:textId="77777777" w:rsidR="00E80D6B" w:rsidRPr="0043618D" w:rsidRDefault="00E80D6B" w:rsidP="009021D0">
            <w:pPr>
              <w:pStyle w:val="NormalWeb"/>
              <w:jc w:val="center"/>
              <w:rPr>
                <w:sz w:val="18"/>
                <w:szCs w:val="18"/>
              </w:rPr>
            </w:pPr>
            <w:r w:rsidRPr="0043618D">
              <w:rPr>
                <w:sz w:val="18"/>
                <w:szCs w:val="18"/>
              </w:rPr>
              <w:t>127</w:t>
            </w:r>
          </w:p>
        </w:tc>
        <w:tc>
          <w:tcPr>
            <w:tcW w:w="805" w:type="dxa"/>
            <w:hideMark/>
          </w:tcPr>
          <w:p w14:paraId="0CA18D4B" w14:textId="77777777" w:rsidR="00E80D6B" w:rsidRPr="0043618D" w:rsidRDefault="00E80D6B" w:rsidP="009021D0">
            <w:pPr>
              <w:pStyle w:val="NormalWeb"/>
              <w:jc w:val="center"/>
              <w:rPr>
                <w:sz w:val="18"/>
                <w:szCs w:val="18"/>
              </w:rPr>
            </w:pPr>
            <w:r w:rsidRPr="0043618D">
              <w:rPr>
                <w:sz w:val="18"/>
                <w:szCs w:val="18"/>
              </w:rPr>
              <w:t>4.9</w:t>
            </w:r>
          </w:p>
        </w:tc>
        <w:tc>
          <w:tcPr>
            <w:tcW w:w="1142" w:type="dxa"/>
            <w:gridSpan w:val="2"/>
            <w:hideMark/>
          </w:tcPr>
          <w:p w14:paraId="2CB6332A" w14:textId="77777777" w:rsidR="00E80D6B" w:rsidRPr="0043618D" w:rsidRDefault="00E80D6B" w:rsidP="009021D0">
            <w:pPr>
              <w:pStyle w:val="NormalWeb"/>
              <w:jc w:val="center"/>
              <w:rPr>
                <w:sz w:val="18"/>
                <w:szCs w:val="18"/>
              </w:rPr>
            </w:pPr>
            <w:r w:rsidRPr="0043618D">
              <w:rPr>
                <w:sz w:val="18"/>
                <w:szCs w:val="18"/>
              </w:rPr>
              <w:t>0</w:t>
            </w:r>
          </w:p>
        </w:tc>
        <w:tc>
          <w:tcPr>
            <w:tcW w:w="1086" w:type="dxa"/>
            <w:hideMark/>
          </w:tcPr>
          <w:p w14:paraId="64D59F95" w14:textId="77777777" w:rsidR="00E80D6B" w:rsidRPr="0043618D" w:rsidRDefault="00E80D6B" w:rsidP="009021D0">
            <w:pPr>
              <w:pStyle w:val="NormalWeb"/>
              <w:jc w:val="center"/>
              <w:rPr>
                <w:sz w:val="18"/>
                <w:szCs w:val="18"/>
              </w:rPr>
            </w:pPr>
            <w:r w:rsidRPr="0043618D">
              <w:rPr>
                <w:sz w:val="18"/>
                <w:szCs w:val="18"/>
              </w:rPr>
              <w:t>0.0</w:t>
            </w:r>
          </w:p>
        </w:tc>
      </w:tr>
      <w:tr w:rsidR="00E80D6B" w:rsidRPr="0043618D" w14:paraId="331DC2E8"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355F0DC3" w14:textId="77777777" w:rsidR="00E80D6B" w:rsidRPr="0043618D" w:rsidRDefault="00E80D6B" w:rsidP="009021D0">
            <w:pPr>
              <w:pStyle w:val="NormalWeb"/>
              <w:rPr>
                <w:sz w:val="18"/>
                <w:szCs w:val="18"/>
              </w:rPr>
            </w:pPr>
            <w:r w:rsidRPr="0043618D">
              <w:rPr>
                <w:sz w:val="18"/>
                <w:szCs w:val="18"/>
              </w:rPr>
              <w:t>Partner with/at risk of infection</w:t>
            </w:r>
          </w:p>
        </w:tc>
        <w:tc>
          <w:tcPr>
            <w:tcW w:w="1185" w:type="dxa"/>
            <w:hideMark/>
          </w:tcPr>
          <w:p w14:paraId="1A9FCE61" w14:textId="77777777" w:rsidR="00E80D6B" w:rsidRPr="0043618D" w:rsidRDefault="00E80D6B" w:rsidP="009021D0">
            <w:pPr>
              <w:pStyle w:val="NormalWeb"/>
              <w:jc w:val="center"/>
              <w:rPr>
                <w:sz w:val="18"/>
                <w:szCs w:val="18"/>
              </w:rPr>
            </w:pPr>
            <w:r w:rsidRPr="0043618D">
              <w:rPr>
                <w:sz w:val="18"/>
                <w:szCs w:val="18"/>
              </w:rPr>
              <w:t>107</w:t>
            </w:r>
          </w:p>
        </w:tc>
        <w:tc>
          <w:tcPr>
            <w:tcW w:w="805" w:type="dxa"/>
            <w:hideMark/>
          </w:tcPr>
          <w:p w14:paraId="7FBD1F39" w14:textId="77777777" w:rsidR="00E80D6B" w:rsidRPr="0043618D" w:rsidRDefault="00E80D6B" w:rsidP="009021D0">
            <w:pPr>
              <w:pStyle w:val="NormalWeb"/>
              <w:jc w:val="center"/>
              <w:rPr>
                <w:sz w:val="18"/>
                <w:szCs w:val="18"/>
              </w:rPr>
            </w:pPr>
            <w:r w:rsidRPr="0043618D">
              <w:rPr>
                <w:sz w:val="18"/>
                <w:szCs w:val="18"/>
              </w:rPr>
              <w:t>4.1</w:t>
            </w:r>
          </w:p>
        </w:tc>
        <w:tc>
          <w:tcPr>
            <w:tcW w:w="1142" w:type="dxa"/>
            <w:gridSpan w:val="2"/>
            <w:hideMark/>
          </w:tcPr>
          <w:p w14:paraId="1563D28F" w14:textId="77777777" w:rsidR="00E80D6B" w:rsidRPr="0043618D" w:rsidRDefault="00E80D6B" w:rsidP="009021D0">
            <w:pPr>
              <w:pStyle w:val="NormalWeb"/>
              <w:jc w:val="center"/>
              <w:rPr>
                <w:sz w:val="18"/>
                <w:szCs w:val="18"/>
              </w:rPr>
            </w:pPr>
            <w:r w:rsidRPr="0043618D">
              <w:rPr>
                <w:sz w:val="18"/>
                <w:szCs w:val="18"/>
              </w:rPr>
              <w:t>0</w:t>
            </w:r>
          </w:p>
        </w:tc>
        <w:tc>
          <w:tcPr>
            <w:tcW w:w="1086" w:type="dxa"/>
            <w:hideMark/>
          </w:tcPr>
          <w:p w14:paraId="31916D60" w14:textId="77777777" w:rsidR="00E80D6B" w:rsidRPr="0043618D" w:rsidRDefault="00E80D6B" w:rsidP="009021D0">
            <w:pPr>
              <w:pStyle w:val="NormalWeb"/>
              <w:jc w:val="center"/>
              <w:rPr>
                <w:sz w:val="18"/>
                <w:szCs w:val="18"/>
              </w:rPr>
            </w:pPr>
            <w:r w:rsidRPr="0043618D">
              <w:rPr>
                <w:sz w:val="18"/>
                <w:szCs w:val="18"/>
              </w:rPr>
              <w:t>0.0</w:t>
            </w:r>
          </w:p>
        </w:tc>
      </w:tr>
      <w:tr w:rsidR="00E80D6B" w:rsidRPr="0043618D" w14:paraId="161C305A" w14:textId="77777777" w:rsidTr="00FF44EC">
        <w:tblPrEx>
          <w:tblCellMar>
            <w:top w:w="57" w:type="dxa"/>
            <w:left w:w="57" w:type="dxa"/>
            <w:bottom w:w="57" w:type="dxa"/>
            <w:right w:w="57" w:type="dxa"/>
          </w:tblCellMar>
        </w:tblPrEx>
        <w:trPr>
          <w:gridAfter w:val="1"/>
          <w:wAfter w:w="6" w:type="dxa"/>
        </w:trPr>
        <w:tc>
          <w:tcPr>
            <w:tcW w:w="6508" w:type="dxa"/>
            <w:hideMark/>
          </w:tcPr>
          <w:p w14:paraId="17CB1F9E" w14:textId="77777777" w:rsidR="00E80D6B" w:rsidRPr="0043618D" w:rsidRDefault="00E80D6B" w:rsidP="009021D0">
            <w:pPr>
              <w:pStyle w:val="NormalWeb"/>
              <w:rPr>
                <w:sz w:val="18"/>
                <w:szCs w:val="18"/>
              </w:rPr>
            </w:pPr>
            <w:r w:rsidRPr="0043618D">
              <w:rPr>
                <w:sz w:val="18"/>
                <w:szCs w:val="18"/>
              </w:rPr>
              <w:t>Maternal</w:t>
            </w:r>
          </w:p>
        </w:tc>
        <w:tc>
          <w:tcPr>
            <w:tcW w:w="1185" w:type="dxa"/>
            <w:hideMark/>
          </w:tcPr>
          <w:p w14:paraId="6688A200" w14:textId="77777777" w:rsidR="00E80D6B" w:rsidRPr="0043618D" w:rsidRDefault="00E80D6B" w:rsidP="009021D0">
            <w:pPr>
              <w:pStyle w:val="NormalWeb"/>
              <w:jc w:val="center"/>
              <w:rPr>
                <w:sz w:val="18"/>
                <w:szCs w:val="18"/>
              </w:rPr>
            </w:pPr>
            <w:r w:rsidRPr="0043618D">
              <w:rPr>
                <w:sz w:val="18"/>
                <w:szCs w:val="18"/>
              </w:rPr>
              <w:t>25</w:t>
            </w:r>
          </w:p>
        </w:tc>
        <w:tc>
          <w:tcPr>
            <w:tcW w:w="805" w:type="dxa"/>
            <w:hideMark/>
          </w:tcPr>
          <w:p w14:paraId="22BBBD48" w14:textId="77777777" w:rsidR="00E80D6B" w:rsidRPr="0043618D" w:rsidRDefault="00E80D6B" w:rsidP="009021D0">
            <w:pPr>
              <w:pStyle w:val="NormalWeb"/>
              <w:jc w:val="center"/>
              <w:rPr>
                <w:sz w:val="18"/>
                <w:szCs w:val="18"/>
              </w:rPr>
            </w:pPr>
            <w:r w:rsidRPr="0043618D">
              <w:rPr>
                <w:sz w:val="18"/>
                <w:szCs w:val="18"/>
              </w:rPr>
              <w:t>1.0</w:t>
            </w:r>
          </w:p>
        </w:tc>
        <w:tc>
          <w:tcPr>
            <w:tcW w:w="1142" w:type="dxa"/>
            <w:gridSpan w:val="2"/>
            <w:hideMark/>
          </w:tcPr>
          <w:p w14:paraId="1759407C" w14:textId="77777777" w:rsidR="00E80D6B" w:rsidRPr="0043618D" w:rsidRDefault="00E80D6B" w:rsidP="009021D0">
            <w:pPr>
              <w:pStyle w:val="NormalWeb"/>
              <w:jc w:val="center"/>
              <w:rPr>
                <w:sz w:val="18"/>
                <w:szCs w:val="18"/>
              </w:rPr>
            </w:pPr>
            <w:r w:rsidRPr="0043618D">
              <w:rPr>
                <w:sz w:val="18"/>
                <w:szCs w:val="18"/>
              </w:rPr>
              <w:t>0</w:t>
            </w:r>
          </w:p>
        </w:tc>
        <w:tc>
          <w:tcPr>
            <w:tcW w:w="1086" w:type="dxa"/>
            <w:hideMark/>
          </w:tcPr>
          <w:p w14:paraId="560B99E8" w14:textId="77777777" w:rsidR="00E80D6B" w:rsidRPr="0043618D" w:rsidRDefault="00E80D6B" w:rsidP="009021D0">
            <w:pPr>
              <w:pStyle w:val="NormalWeb"/>
              <w:jc w:val="center"/>
              <w:rPr>
                <w:sz w:val="18"/>
                <w:szCs w:val="18"/>
              </w:rPr>
            </w:pPr>
            <w:r w:rsidRPr="0043618D">
              <w:rPr>
                <w:sz w:val="18"/>
                <w:szCs w:val="18"/>
              </w:rPr>
              <w:t>0.0</w:t>
            </w:r>
          </w:p>
        </w:tc>
      </w:tr>
      <w:tr w:rsidR="00E80D6B" w:rsidRPr="0043618D" w14:paraId="373870A2" w14:textId="77777777" w:rsidTr="00FE56D8">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shd w:val="clear" w:color="auto" w:fill="886E49"/>
            <w:hideMark/>
          </w:tcPr>
          <w:p w14:paraId="5277A2B8" w14:textId="77777777" w:rsidR="00E80D6B" w:rsidRPr="0043618D" w:rsidRDefault="00E80D6B" w:rsidP="009021D0">
            <w:pPr>
              <w:pStyle w:val="NormalWeb"/>
              <w:rPr>
                <w:b/>
                <w:bCs/>
                <w:color w:val="FFFFFF" w:themeColor="background1"/>
                <w:sz w:val="18"/>
                <w:szCs w:val="18"/>
              </w:rPr>
            </w:pPr>
            <w:r w:rsidRPr="0043618D">
              <w:rPr>
                <w:b/>
                <w:bCs/>
                <w:color w:val="FFFFFF" w:themeColor="background1"/>
                <w:sz w:val="18"/>
                <w:szCs w:val="18"/>
              </w:rPr>
              <w:t>Year of notification</w:t>
            </w:r>
          </w:p>
        </w:tc>
        <w:tc>
          <w:tcPr>
            <w:tcW w:w="1185" w:type="dxa"/>
            <w:shd w:val="clear" w:color="auto" w:fill="886E49"/>
            <w:hideMark/>
          </w:tcPr>
          <w:p w14:paraId="52AA4542" w14:textId="77777777" w:rsidR="00E80D6B" w:rsidRPr="0043618D" w:rsidRDefault="00E80D6B" w:rsidP="009021D0">
            <w:pPr>
              <w:jc w:val="center"/>
              <w:rPr>
                <w:b/>
                <w:bCs/>
                <w:color w:val="FFFFFF" w:themeColor="background1"/>
                <w:sz w:val="18"/>
                <w:szCs w:val="18"/>
              </w:rPr>
            </w:pPr>
          </w:p>
        </w:tc>
        <w:tc>
          <w:tcPr>
            <w:tcW w:w="805" w:type="dxa"/>
            <w:shd w:val="clear" w:color="auto" w:fill="886E49"/>
            <w:hideMark/>
          </w:tcPr>
          <w:p w14:paraId="692FDBB3" w14:textId="77777777" w:rsidR="00E80D6B" w:rsidRPr="0043618D" w:rsidRDefault="00E80D6B" w:rsidP="009021D0">
            <w:pPr>
              <w:jc w:val="center"/>
              <w:rPr>
                <w:rFonts w:eastAsia="Times New Roman"/>
                <w:b/>
                <w:bCs/>
                <w:color w:val="FFFFFF" w:themeColor="background1"/>
                <w:sz w:val="18"/>
                <w:szCs w:val="18"/>
              </w:rPr>
            </w:pPr>
          </w:p>
        </w:tc>
        <w:tc>
          <w:tcPr>
            <w:tcW w:w="1142" w:type="dxa"/>
            <w:gridSpan w:val="2"/>
            <w:shd w:val="clear" w:color="auto" w:fill="886E49"/>
            <w:hideMark/>
          </w:tcPr>
          <w:p w14:paraId="6C0C635A" w14:textId="77777777" w:rsidR="00E80D6B" w:rsidRPr="0043618D" w:rsidRDefault="00E80D6B" w:rsidP="009021D0">
            <w:pPr>
              <w:jc w:val="center"/>
              <w:rPr>
                <w:rFonts w:eastAsia="Times New Roman"/>
                <w:b/>
                <w:bCs/>
                <w:color w:val="FFFFFF" w:themeColor="background1"/>
                <w:sz w:val="18"/>
                <w:szCs w:val="18"/>
              </w:rPr>
            </w:pPr>
          </w:p>
        </w:tc>
        <w:tc>
          <w:tcPr>
            <w:tcW w:w="1086" w:type="dxa"/>
            <w:shd w:val="clear" w:color="auto" w:fill="886E49"/>
            <w:hideMark/>
          </w:tcPr>
          <w:p w14:paraId="324C612B" w14:textId="77777777" w:rsidR="00E80D6B" w:rsidRPr="0043618D" w:rsidRDefault="00E80D6B" w:rsidP="009021D0">
            <w:pPr>
              <w:jc w:val="center"/>
              <w:rPr>
                <w:rFonts w:eastAsia="Times New Roman"/>
                <w:b/>
                <w:bCs/>
                <w:color w:val="FFFFFF" w:themeColor="background1"/>
                <w:sz w:val="18"/>
                <w:szCs w:val="18"/>
              </w:rPr>
            </w:pPr>
          </w:p>
        </w:tc>
      </w:tr>
      <w:tr w:rsidR="00E80D6B" w:rsidRPr="0043618D" w14:paraId="08C26A87" w14:textId="77777777" w:rsidTr="00FF44EC">
        <w:tblPrEx>
          <w:tblCellMar>
            <w:top w:w="57" w:type="dxa"/>
            <w:left w:w="57" w:type="dxa"/>
            <w:bottom w:w="57" w:type="dxa"/>
            <w:right w:w="57" w:type="dxa"/>
          </w:tblCellMar>
        </w:tblPrEx>
        <w:trPr>
          <w:gridAfter w:val="1"/>
          <w:wAfter w:w="6" w:type="dxa"/>
        </w:trPr>
        <w:tc>
          <w:tcPr>
            <w:tcW w:w="6508" w:type="dxa"/>
            <w:hideMark/>
          </w:tcPr>
          <w:p w14:paraId="0B45D1AB" w14:textId="77777777" w:rsidR="00E80D6B" w:rsidRPr="0043618D" w:rsidRDefault="00E80D6B" w:rsidP="009021D0">
            <w:pPr>
              <w:pStyle w:val="NormalWeb"/>
              <w:rPr>
                <w:sz w:val="18"/>
                <w:szCs w:val="18"/>
              </w:rPr>
            </w:pPr>
            <w:r w:rsidRPr="0043618D">
              <w:rPr>
                <w:sz w:val="18"/>
                <w:szCs w:val="18"/>
              </w:rPr>
              <w:t>2009</w:t>
            </w:r>
          </w:p>
        </w:tc>
        <w:tc>
          <w:tcPr>
            <w:tcW w:w="1185" w:type="dxa"/>
            <w:hideMark/>
          </w:tcPr>
          <w:p w14:paraId="1089464B" w14:textId="77777777" w:rsidR="00E80D6B" w:rsidRPr="0043618D" w:rsidRDefault="00E80D6B" w:rsidP="009021D0">
            <w:pPr>
              <w:pStyle w:val="NormalWeb"/>
              <w:jc w:val="center"/>
              <w:rPr>
                <w:sz w:val="18"/>
                <w:szCs w:val="18"/>
              </w:rPr>
            </w:pPr>
            <w:r w:rsidRPr="0043618D">
              <w:rPr>
                <w:sz w:val="18"/>
                <w:szCs w:val="18"/>
              </w:rPr>
              <w:t>277</w:t>
            </w:r>
          </w:p>
        </w:tc>
        <w:tc>
          <w:tcPr>
            <w:tcW w:w="805" w:type="dxa"/>
            <w:hideMark/>
          </w:tcPr>
          <w:p w14:paraId="7D5A756C" w14:textId="77777777" w:rsidR="00E80D6B" w:rsidRPr="0043618D" w:rsidRDefault="00E80D6B" w:rsidP="009021D0">
            <w:pPr>
              <w:pStyle w:val="NormalWeb"/>
              <w:jc w:val="center"/>
              <w:rPr>
                <w:sz w:val="18"/>
                <w:szCs w:val="18"/>
              </w:rPr>
            </w:pPr>
            <w:r w:rsidRPr="0043618D">
              <w:rPr>
                <w:sz w:val="18"/>
                <w:szCs w:val="18"/>
              </w:rPr>
              <w:t>10.7</w:t>
            </w:r>
          </w:p>
        </w:tc>
        <w:tc>
          <w:tcPr>
            <w:tcW w:w="1142" w:type="dxa"/>
            <w:gridSpan w:val="2"/>
            <w:hideMark/>
          </w:tcPr>
          <w:p w14:paraId="1257A9B2" w14:textId="77777777" w:rsidR="00E80D6B" w:rsidRPr="0043618D" w:rsidRDefault="00E80D6B" w:rsidP="009021D0">
            <w:pPr>
              <w:pStyle w:val="NormalWeb"/>
              <w:jc w:val="center"/>
              <w:rPr>
                <w:sz w:val="18"/>
                <w:szCs w:val="18"/>
              </w:rPr>
            </w:pPr>
            <w:r w:rsidRPr="0043618D">
              <w:rPr>
                <w:sz w:val="18"/>
                <w:szCs w:val="18"/>
              </w:rPr>
              <w:t>20</w:t>
            </w:r>
          </w:p>
        </w:tc>
        <w:tc>
          <w:tcPr>
            <w:tcW w:w="1086" w:type="dxa"/>
            <w:hideMark/>
          </w:tcPr>
          <w:p w14:paraId="4815D613" w14:textId="77777777" w:rsidR="00E80D6B" w:rsidRPr="0043618D" w:rsidRDefault="00E80D6B" w:rsidP="009021D0">
            <w:pPr>
              <w:pStyle w:val="NormalWeb"/>
              <w:jc w:val="center"/>
              <w:rPr>
                <w:sz w:val="18"/>
                <w:szCs w:val="18"/>
              </w:rPr>
            </w:pPr>
            <w:r w:rsidRPr="0043618D">
              <w:rPr>
                <w:sz w:val="18"/>
                <w:szCs w:val="18"/>
              </w:rPr>
              <w:t>15.6</w:t>
            </w:r>
          </w:p>
        </w:tc>
      </w:tr>
      <w:tr w:rsidR="00E80D6B" w:rsidRPr="0043618D" w14:paraId="15661DFC"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257D656E" w14:textId="77777777" w:rsidR="00E80D6B" w:rsidRPr="0043618D" w:rsidRDefault="00E80D6B" w:rsidP="009021D0">
            <w:pPr>
              <w:pStyle w:val="NormalWeb"/>
              <w:rPr>
                <w:sz w:val="18"/>
                <w:szCs w:val="18"/>
              </w:rPr>
            </w:pPr>
            <w:r w:rsidRPr="0043618D">
              <w:rPr>
                <w:sz w:val="18"/>
                <w:szCs w:val="18"/>
              </w:rPr>
              <w:t>2010</w:t>
            </w:r>
          </w:p>
        </w:tc>
        <w:tc>
          <w:tcPr>
            <w:tcW w:w="1185" w:type="dxa"/>
            <w:hideMark/>
          </w:tcPr>
          <w:p w14:paraId="56A90321" w14:textId="77777777" w:rsidR="00E80D6B" w:rsidRPr="0043618D" w:rsidRDefault="00E80D6B" w:rsidP="009021D0">
            <w:pPr>
              <w:pStyle w:val="NormalWeb"/>
              <w:jc w:val="center"/>
              <w:rPr>
                <w:sz w:val="18"/>
                <w:szCs w:val="18"/>
              </w:rPr>
            </w:pPr>
            <w:r w:rsidRPr="0043618D">
              <w:rPr>
                <w:sz w:val="18"/>
                <w:szCs w:val="18"/>
              </w:rPr>
              <w:t>310</w:t>
            </w:r>
          </w:p>
        </w:tc>
        <w:tc>
          <w:tcPr>
            <w:tcW w:w="805" w:type="dxa"/>
            <w:hideMark/>
          </w:tcPr>
          <w:p w14:paraId="2CE9DE7C" w14:textId="77777777" w:rsidR="00E80D6B" w:rsidRPr="0043618D" w:rsidRDefault="00E80D6B" w:rsidP="009021D0">
            <w:pPr>
              <w:pStyle w:val="NormalWeb"/>
              <w:jc w:val="center"/>
              <w:rPr>
                <w:sz w:val="18"/>
                <w:szCs w:val="18"/>
              </w:rPr>
            </w:pPr>
            <w:r w:rsidRPr="0043618D">
              <w:rPr>
                <w:sz w:val="18"/>
                <w:szCs w:val="18"/>
              </w:rPr>
              <w:t>12.0</w:t>
            </w:r>
          </w:p>
        </w:tc>
        <w:tc>
          <w:tcPr>
            <w:tcW w:w="1142" w:type="dxa"/>
            <w:gridSpan w:val="2"/>
            <w:hideMark/>
          </w:tcPr>
          <w:p w14:paraId="2308F831" w14:textId="77777777" w:rsidR="00E80D6B" w:rsidRPr="0043618D" w:rsidRDefault="00E80D6B" w:rsidP="009021D0">
            <w:pPr>
              <w:pStyle w:val="NormalWeb"/>
              <w:jc w:val="center"/>
              <w:rPr>
                <w:sz w:val="18"/>
                <w:szCs w:val="18"/>
              </w:rPr>
            </w:pPr>
            <w:r w:rsidRPr="0043618D">
              <w:rPr>
                <w:sz w:val="18"/>
                <w:szCs w:val="18"/>
              </w:rPr>
              <w:t>17</w:t>
            </w:r>
          </w:p>
        </w:tc>
        <w:tc>
          <w:tcPr>
            <w:tcW w:w="1086" w:type="dxa"/>
            <w:hideMark/>
          </w:tcPr>
          <w:p w14:paraId="2A262BAC" w14:textId="77777777" w:rsidR="00E80D6B" w:rsidRPr="0043618D" w:rsidRDefault="00E80D6B" w:rsidP="009021D0">
            <w:pPr>
              <w:pStyle w:val="NormalWeb"/>
              <w:jc w:val="center"/>
              <w:rPr>
                <w:sz w:val="18"/>
                <w:szCs w:val="18"/>
              </w:rPr>
            </w:pPr>
            <w:r w:rsidRPr="0043618D">
              <w:rPr>
                <w:sz w:val="18"/>
                <w:szCs w:val="18"/>
              </w:rPr>
              <w:t>13.3</w:t>
            </w:r>
          </w:p>
        </w:tc>
      </w:tr>
      <w:tr w:rsidR="00E80D6B" w:rsidRPr="0043618D" w14:paraId="6D55625B" w14:textId="77777777" w:rsidTr="00FF44EC">
        <w:tblPrEx>
          <w:tblCellMar>
            <w:top w:w="57" w:type="dxa"/>
            <w:left w:w="57" w:type="dxa"/>
            <w:bottom w:w="57" w:type="dxa"/>
            <w:right w:w="57" w:type="dxa"/>
          </w:tblCellMar>
        </w:tblPrEx>
        <w:trPr>
          <w:gridAfter w:val="1"/>
          <w:wAfter w:w="6" w:type="dxa"/>
        </w:trPr>
        <w:tc>
          <w:tcPr>
            <w:tcW w:w="6508" w:type="dxa"/>
            <w:hideMark/>
          </w:tcPr>
          <w:p w14:paraId="0998FE61" w14:textId="77777777" w:rsidR="00E80D6B" w:rsidRPr="0043618D" w:rsidRDefault="00E80D6B" w:rsidP="009021D0">
            <w:pPr>
              <w:pStyle w:val="NormalWeb"/>
              <w:rPr>
                <w:sz w:val="18"/>
                <w:szCs w:val="18"/>
              </w:rPr>
            </w:pPr>
            <w:r w:rsidRPr="0043618D">
              <w:rPr>
                <w:sz w:val="18"/>
                <w:szCs w:val="18"/>
              </w:rPr>
              <w:t>2011</w:t>
            </w:r>
          </w:p>
        </w:tc>
        <w:tc>
          <w:tcPr>
            <w:tcW w:w="1185" w:type="dxa"/>
            <w:hideMark/>
          </w:tcPr>
          <w:p w14:paraId="4D637AB2" w14:textId="77777777" w:rsidR="00E80D6B" w:rsidRPr="0043618D" w:rsidRDefault="00E80D6B" w:rsidP="009021D0">
            <w:pPr>
              <w:pStyle w:val="NormalWeb"/>
              <w:jc w:val="center"/>
              <w:rPr>
                <w:sz w:val="18"/>
                <w:szCs w:val="18"/>
              </w:rPr>
            </w:pPr>
            <w:r w:rsidRPr="0043618D">
              <w:rPr>
                <w:sz w:val="18"/>
                <w:szCs w:val="18"/>
              </w:rPr>
              <w:t>282</w:t>
            </w:r>
          </w:p>
        </w:tc>
        <w:tc>
          <w:tcPr>
            <w:tcW w:w="805" w:type="dxa"/>
            <w:hideMark/>
          </w:tcPr>
          <w:p w14:paraId="7C66E5FD" w14:textId="77777777" w:rsidR="00E80D6B" w:rsidRPr="0043618D" w:rsidRDefault="00E80D6B" w:rsidP="009021D0">
            <w:pPr>
              <w:pStyle w:val="NormalWeb"/>
              <w:jc w:val="center"/>
              <w:rPr>
                <w:sz w:val="18"/>
                <w:szCs w:val="18"/>
              </w:rPr>
            </w:pPr>
            <w:r w:rsidRPr="0043618D">
              <w:rPr>
                <w:sz w:val="18"/>
                <w:szCs w:val="18"/>
              </w:rPr>
              <w:t>10.9</w:t>
            </w:r>
          </w:p>
        </w:tc>
        <w:tc>
          <w:tcPr>
            <w:tcW w:w="1142" w:type="dxa"/>
            <w:gridSpan w:val="2"/>
            <w:hideMark/>
          </w:tcPr>
          <w:p w14:paraId="12920742" w14:textId="77777777" w:rsidR="00E80D6B" w:rsidRPr="0043618D" w:rsidRDefault="00E80D6B" w:rsidP="009021D0">
            <w:pPr>
              <w:pStyle w:val="NormalWeb"/>
              <w:jc w:val="center"/>
              <w:rPr>
                <w:sz w:val="18"/>
                <w:szCs w:val="18"/>
              </w:rPr>
            </w:pPr>
            <w:r w:rsidRPr="0043618D">
              <w:rPr>
                <w:sz w:val="18"/>
                <w:szCs w:val="18"/>
              </w:rPr>
              <w:t>29</w:t>
            </w:r>
          </w:p>
        </w:tc>
        <w:tc>
          <w:tcPr>
            <w:tcW w:w="1086" w:type="dxa"/>
            <w:hideMark/>
          </w:tcPr>
          <w:p w14:paraId="072D3BA2" w14:textId="77777777" w:rsidR="00E80D6B" w:rsidRPr="0043618D" w:rsidRDefault="00E80D6B" w:rsidP="009021D0">
            <w:pPr>
              <w:pStyle w:val="NormalWeb"/>
              <w:jc w:val="center"/>
              <w:rPr>
                <w:sz w:val="18"/>
                <w:szCs w:val="18"/>
              </w:rPr>
            </w:pPr>
            <w:r w:rsidRPr="0043618D">
              <w:rPr>
                <w:sz w:val="18"/>
                <w:szCs w:val="18"/>
              </w:rPr>
              <w:t>22.7</w:t>
            </w:r>
          </w:p>
        </w:tc>
      </w:tr>
      <w:tr w:rsidR="00E80D6B" w:rsidRPr="0043618D" w14:paraId="3AC5EABB"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7FAB3936" w14:textId="77777777" w:rsidR="00E80D6B" w:rsidRPr="0043618D" w:rsidRDefault="00E80D6B" w:rsidP="009021D0">
            <w:pPr>
              <w:pStyle w:val="NormalWeb"/>
              <w:rPr>
                <w:sz w:val="18"/>
                <w:szCs w:val="18"/>
              </w:rPr>
            </w:pPr>
            <w:r w:rsidRPr="0043618D">
              <w:rPr>
                <w:sz w:val="18"/>
                <w:szCs w:val="18"/>
              </w:rPr>
              <w:t>2012</w:t>
            </w:r>
          </w:p>
        </w:tc>
        <w:tc>
          <w:tcPr>
            <w:tcW w:w="1185" w:type="dxa"/>
            <w:hideMark/>
          </w:tcPr>
          <w:p w14:paraId="66BECC11" w14:textId="77777777" w:rsidR="00E80D6B" w:rsidRPr="0043618D" w:rsidRDefault="00E80D6B" w:rsidP="009021D0">
            <w:pPr>
              <w:pStyle w:val="NormalWeb"/>
              <w:jc w:val="center"/>
              <w:rPr>
                <w:sz w:val="18"/>
                <w:szCs w:val="18"/>
              </w:rPr>
            </w:pPr>
            <w:r w:rsidRPr="0043618D">
              <w:rPr>
                <w:sz w:val="18"/>
                <w:szCs w:val="18"/>
              </w:rPr>
              <w:t>350</w:t>
            </w:r>
          </w:p>
        </w:tc>
        <w:tc>
          <w:tcPr>
            <w:tcW w:w="805" w:type="dxa"/>
            <w:hideMark/>
          </w:tcPr>
          <w:p w14:paraId="40A7A754" w14:textId="77777777" w:rsidR="00E80D6B" w:rsidRPr="0043618D" w:rsidRDefault="00E80D6B" w:rsidP="009021D0">
            <w:pPr>
              <w:pStyle w:val="NormalWeb"/>
              <w:jc w:val="center"/>
              <w:rPr>
                <w:sz w:val="18"/>
                <w:szCs w:val="18"/>
              </w:rPr>
            </w:pPr>
            <w:r w:rsidRPr="0043618D">
              <w:rPr>
                <w:sz w:val="18"/>
                <w:szCs w:val="18"/>
              </w:rPr>
              <w:t>13.5</w:t>
            </w:r>
          </w:p>
        </w:tc>
        <w:tc>
          <w:tcPr>
            <w:tcW w:w="1142" w:type="dxa"/>
            <w:gridSpan w:val="2"/>
            <w:hideMark/>
          </w:tcPr>
          <w:p w14:paraId="7ACB24B8" w14:textId="77777777" w:rsidR="00E80D6B" w:rsidRPr="0043618D" w:rsidRDefault="00E80D6B" w:rsidP="009021D0">
            <w:pPr>
              <w:pStyle w:val="NormalWeb"/>
              <w:jc w:val="center"/>
              <w:rPr>
                <w:sz w:val="18"/>
                <w:szCs w:val="18"/>
              </w:rPr>
            </w:pPr>
            <w:r w:rsidRPr="0043618D">
              <w:rPr>
                <w:sz w:val="18"/>
                <w:szCs w:val="18"/>
              </w:rPr>
              <w:t>23</w:t>
            </w:r>
          </w:p>
        </w:tc>
        <w:tc>
          <w:tcPr>
            <w:tcW w:w="1086" w:type="dxa"/>
            <w:hideMark/>
          </w:tcPr>
          <w:p w14:paraId="5E4C9390" w14:textId="77777777" w:rsidR="00E80D6B" w:rsidRPr="0043618D" w:rsidRDefault="00E80D6B" w:rsidP="009021D0">
            <w:pPr>
              <w:pStyle w:val="NormalWeb"/>
              <w:jc w:val="center"/>
              <w:rPr>
                <w:sz w:val="18"/>
                <w:szCs w:val="18"/>
              </w:rPr>
            </w:pPr>
            <w:r w:rsidRPr="0043618D">
              <w:rPr>
                <w:sz w:val="18"/>
                <w:szCs w:val="18"/>
              </w:rPr>
              <w:t>18.0</w:t>
            </w:r>
          </w:p>
        </w:tc>
      </w:tr>
      <w:tr w:rsidR="00E80D6B" w:rsidRPr="0043618D" w14:paraId="6EEFB589" w14:textId="77777777" w:rsidTr="00FF44EC">
        <w:tblPrEx>
          <w:tblCellMar>
            <w:top w:w="57" w:type="dxa"/>
            <w:left w:w="57" w:type="dxa"/>
            <w:bottom w:w="57" w:type="dxa"/>
            <w:right w:w="57" w:type="dxa"/>
          </w:tblCellMar>
        </w:tblPrEx>
        <w:trPr>
          <w:gridAfter w:val="1"/>
          <w:wAfter w:w="6" w:type="dxa"/>
        </w:trPr>
        <w:tc>
          <w:tcPr>
            <w:tcW w:w="6508" w:type="dxa"/>
            <w:hideMark/>
          </w:tcPr>
          <w:p w14:paraId="55CAE598" w14:textId="77777777" w:rsidR="00E80D6B" w:rsidRPr="0043618D" w:rsidRDefault="00E80D6B" w:rsidP="009021D0">
            <w:pPr>
              <w:pStyle w:val="NormalWeb"/>
              <w:rPr>
                <w:sz w:val="18"/>
                <w:szCs w:val="18"/>
              </w:rPr>
            </w:pPr>
            <w:r w:rsidRPr="0043618D">
              <w:rPr>
                <w:sz w:val="18"/>
                <w:szCs w:val="18"/>
              </w:rPr>
              <w:t>2013</w:t>
            </w:r>
          </w:p>
        </w:tc>
        <w:tc>
          <w:tcPr>
            <w:tcW w:w="1185" w:type="dxa"/>
            <w:hideMark/>
          </w:tcPr>
          <w:p w14:paraId="63D6D401" w14:textId="77777777" w:rsidR="00E80D6B" w:rsidRPr="0043618D" w:rsidRDefault="00E80D6B" w:rsidP="009021D0">
            <w:pPr>
              <w:pStyle w:val="NormalWeb"/>
              <w:jc w:val="center"/>
              <w:rPr>
                <w:sz w:val="18"/>
                <w:szCs w:val="18"/>
              </w:rPr>
            </w:pPr>
            <w:r w:rsidRPr="0043618D">
              <w:rPr>
                <w:sz w:val="18"/>
                <w:szCs w:val="18"/>
              </w:rPr>
              <w:t>309</w:t>
            </w:r>
          </w:p>
        </w:tc>
        <w:tc>
          <w:tcPr>
            <w:tcW w:w="805" w:type="dxa"/>
            <w:hideMark/>
          </w:tcPr>
          <w:p w14:paraId="439017C2" w14:textId="77777777" w:rsidR="00E80D6B" w:rsidRPr="0043618D" w:rsidRDefault="00E80D6B" w:rsidP="009021D0">
            <w:pPr>
              <w:pStyle w:val="NormalWeb"/>
              <w:jc w:val="center"/>
              <w:rPr>
                <w:sz w:val="18"/>
                <w:szCs w:val="18"/>
              </w:rPr>
            </w:pPr>
            <w:r w:rsidRPr="0043618D">
              <w:rPr>
                <w:sz w:val="18"/>
                <w:szCs w:val="18"/>
              </w:rPr>
              <w:t>11.9</w:t>
            </w:r>
          </w:p>
        </w:tc>
        <w:tc>
          <w:tcPr>
            <w:tcW w:w="1142" w:type="dxa"/>
            <w:gridSpan w:val="2"/>
            <w:hideMark/>
          </w:tcPr>
          <w:p w14:paraId="09EC4ED0" w14:textId="77777777" w:rsidR="00E80D6B" w:rsidRPr="0043618D" w:rsidRDefault="00E80D6B" w:rsidP="009021D0">
            <w:pPr>
              <w:pStyle w:val="NormalWeb"/>
              <w:jc w:val="center"/>
              <w:rPr>
                <w:sz w:val="18"/>
                <w:szCs w:val="18"/>
              </w:rPr>
            </w:pPr>
            <w:r w:rsidRPr="0043618D">
              <w:rPr>
                <w:sz w:val="18"/>
                <w:szCs w:val="18"/>
              </w:rPr>
              <w:t>10</w:t>
            </w:r>
          </w:p>
        </w:tc>
        <w:tc>
          <w:tcPr>
            <w:tcW w:w="1086" w:type="dxa"/>
            <w:hideMark/>
          </w:tcPr>
          <w:p w14:paraId="4998332A" w14:textId="77777777" w:rsidR="00E80D6B" w:rsidRPr="0043618D" w:rsidRDefault="00E80D6B" w:rsidP="009021D0">
            <w:pPr>
              <w:pStyle w:val="NormalWeb"/>
              <w:jc w:val="center"/>
              <w:rPr>
                <w:sz w:val="18"/>
                <w:szCs w:val="18"/>
              </w:rPr>
            </w:pPr>
            <w:r w:rsidRPr="0043618D">
              <w:rPr>
                <w:sz w:val="18"/>
                <w:szCs w:val="18"/>
              </w:rPr>
              <w:t>7.8</w:t>
            </w:r>
          </w:p>
        </w:tc>
      </w:tr>
      <w:tr w:rsidR="00E80D6B" w:rsidRPr="0043618D" w14:paraId="298F0A5A"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hideMark/>
          </w:tcPr>
          <w:p w14:paraId="7D143C75" w14:textId="77777777" w:rsidR="00E80D6B" w:rsidRPr="0043618D" w:rsidRDefault="00E80D6B" w:rsidP="009021D0">
            <w:pPr>
              <w:pStyle w:val="NormalWeb"/>
              <w:rPr>
                <w:sz w:val="18"/>
                <w:szCs w:val="18"/>
              </w:rPr>
            </w:pPr>
            <w:r w:rsidRPr="0043618D">
              <w:rPr>
                <w:sz w:val="18"/>
                <w:szCs w:val="18"/>
              </w:rPr>
              <w:t>2014</w:t>
            </w:r>
          </w:p>
        </w:tc>
        <w:tc>
          <w:tcPr>
            <w:tcW w:w="1185" w:type="dxa"/>
            <w:hideMark/>
          </w:tcPr>
          <w:p w14:paraId="0C603FBB" w14:textId="77777777" w:rsidR="00E80D6B" w:rsidRPr="0043618D" w:rsidRDefault="00E80D6B" w:rsidP="009021D0">
            <w:pPr>
              <w:pStyle w:val="NormalWeb"/>
              <w:jc w:val="center"/>
              <w:rPr>
                <w:sz w:val="18"/>
                <w:szCs w:val="18"/>
              </w:rPr>
            </w:pPr>
            <w:r w:rsidRPr="0043618D">
              <w:rPr>
                <w:sz w:val="18"/>
                <w:szCs w:val="18"/>
              </w:rPr>
              <w:t>366</w:t>
            </w:r>
          </w:p>
        </w:tc>
        <w:tc>
          <w:tcPr>
            <w:tcW w:w="805" w:type="dxa"/>
            <w:hideMark/>
          </w:tcPr>
          <w:p w14:paraId="637999B6" w14:textId="77777777" w:rsidR="00E80D6B" w:rsidRPr="0043618D" w:rsidRDefault="00E80D6B" w:rsidP="009021D0">
            <w:pPr>
              <w:pStyle w:val="NormalWeb"/>
              <w:jc w:val="center"/>
              <w:rPr>
                <w:sz w:val="18"/>
                <w:szCs w:val="18"/>
              </w:rPr>
            </w:pPr>
            <w:r w:rsidRPr="0043618D">
              <w:rPr>
                <w:sz w:val="18"/>
                <w:szCs w:val="18"/>
              </w:rPr>
              <w:t>14.1</w:t>
            </w:r>
          </w:p>
        </w:tc>
        <w:tc>
          <w:tcPr>
            <w:tcW w:w="1142" w:type="dxa"/>
            <w:gridSpan w:val="2"/>
            <w:hideMark/>
          </w:tcPr>
          <w:p w14:paraId="4B0ABE79" w14:textId="77777777" w:rsidR="00E80D6B" w:rsidRPr="0043618D" w:rsidRDefault="00E80D6B" w:rsidP="009021D0">
            <w:pPr>
              <w:pStyle w:val="NormalWeb"/>
              <w:jc w:val="center"/>
              <w:rPr>
                <w:sz w:val="18"/>
                <w:szCs w:val="18"/>
              </w:rPr>
            </w:pPr>
            <w:r w:rsidRPr="0043618D">
              <w:rPr>
                <w:sz w:val="18"/>
                <w:szCs w:val="18"/>
              </w:rPr>
              <w:t>16</w:t>
            </w:r>
          </w:p>
        </w:tc>
        <w:tc>
          <w:tcPr>
            <w:tcW w:w="1086" w:type="dxa"/>
            <w:hideMark/>
          </w:tcPr>
          <w:p w14:paraId="7639FC40" w14:textId="77777777" w:rsidR="00E80D6B" w:rsidRPr="0043618D" w:rsidRDefault="00E80D6B" w:rsidP="009021D0">
            <w:pPr>
              <w:pStyle w:val="NormalWeb"/>
              <w:jc w:val="center"/>
              <w:rPr>
                <w:sz w:val="18"/>
                <w:szCs w:val="18"/>
              </w:rPr>
            </w:pPr>
            <w:r w:rsidRPr="0043618D">
              <w:rPr>
                <w:sz w:val="18"/>
                <w:szCs w:val="18"/>
              </w:rPr>
              <w:t>12.5</w:t>
            </w:r>
          </w:p>
        </w:tc>
      </w:tr>
      <w:tr w:rsidR="00E80D6B" w:rsidRPr="0043618D" w14:paraId="5950EB3C" w14:textId="77777777" w:rsidTr="00FF44EC">
        <w:tblPrEx>
          <w:tblCellMar>
            <w:top w:w="57" w:type="dxa"/>
            <w:left w:w="57" w:type="dxa"/>
            <w:bottom w:w="57" w:type="dxa"/>
            <w:right w:w="57" w:type="dxa"/>
          </w:tblCellMar>
        </w:tblPrEx>
        <w:trPr>
          <w:gridAfter w:val="1"/>
          <w:wAfter w:w="6" w:type="dxa"/>
        </w:trPr>
        <w:tc>
          <w:tcPr>
            <w:tcW w:w="6508" w:type="dxa"/>
            <w:hideMark/>
          </w:tcPr>
          <w:p w14:paraId="6F8CF622" w14:textId="77777777" w:rsidR="00E80D6B" w:rsidRPr="0043618D" w:rsidRDefault="00E80D6B" w:rsidP="009021D0">
            <w:pPr>
              <w:pStyle w:val="NormalWeb"/>
              <w:rPr>
                <w:sz w:val="18"/>
                <w:szCs w:val="18"/>
              </w:rPr>
            </w:pPr>
            <w:r w:rsidRPr="0043618D">
              <w:rPr>
                <w:sz w:val="18"/>
                <w:szCs w:val="18"/>
              </w:rPr>
              <w:t>2015</w:t>
            </w:r>
          </w:p>
        </w:tc>
        <w:tc>
          <w:tcPr>
            <w:tcW w:w="1185" w:type="dxa"/>
            <w:hideMark/>
          </w:tcPr>
          <w:p w14:paraId="0DCB7595" w14:textId="77777777" w:rsidR="00E80D6B" w:rsidRPr="0043618D" w:rsidRDefault="00E80D6B" w:rsidP="009021D0">
            <w:pPr>
              <w:pStyle w:val="NormalWeb"/>
              <w:jc w:val="center"/>
              <w:rPr>
                <w:sz w:val="18"/>
                <w:szCs w:val="18"/>
              </w:rPr>
            </w:pPr>
            <w:r w:rsidRPr="0043618D">
              <w:rPr>
                <w:sz w:val="18"/>
                <w:szCs w:val="18"/>
              </w:rPr>
              <w:t>340</w:t>
            </w:r>
          </w:p>
        </w:tc>
        <w:tc>
          <w:tcPr>
            <w:tcW w:w="805" w:type="dxa"/>
            <w:hideMark/>
          </w:tcPr>
          <w:p w14:paraId="516A9917" w14:textId="77777777" w:rsidR="00E80D6B" w:rsidRPr="0043618D" w:rsidRDefault="00E80D6B" w:rsidP="009021D0">
            <w:pPr>
              <w:pStyle w:val="NormalWeb"/>
              <w:jc w:val="center"/>
              <w:rPr>
                <w:sz w:val="18"/>
                <w:szCs w:val="18"/>
              </w:rPr>
            </w:pPr>
            <w:r w:rsidRPr="0043618D">
              <w:rPr>
                <w:sz w:val="18"/>
                <w:szCs w:val="18"/>
              </w:rPr>
              <w:t>13.1</w:t>
            </w:r>
          </w:p>
        </w:tc>
        <w:tc>
          <w:tcPr>
            <w:tcW w:w="1142" w:type="dxa"/>
            <w:gridSpan w:val="2"/>
            <w:hideMark/>
          </w:tcPr>
          <w:p w14:paraId="017FD788" w14:textId="77777777" w:rsidR="00E80D6B" w:rsidRPr="0043618D" w:rsidRDefault="00E80D6B" w:rsidP="009021D0">
            <w:pPr>
              <w:pStyle w:val="NormalWeb"/>
              <w:jc w:val="center"/>
              <w:rPr>
                <w:sz w:val="18"/>
                <w:szCs w:val="18"/>
              </w:rPr>
            </w:pPr>
            <w:r w:rsidRPr="0043618D">
              <w:rPr>
                <w:sz w:val="18"/>
                <w:szCs w:val="18"/>
              </w:rPr>
              <w:t>9</w:t>
            </w:r>
          </w:p>
        </w:tc>
        <w:tc>
          <w:tcPr>
            <w:tcW w:w="1086" w:type="dxa"/>
            <w:hideMark/>
          </w:tcPr>
          <w:p w14:paraId="207C3D85" w14:textId="77777777" w:rsidR="00E80D6B" w:rsidRPr="0043618D" w:rsidRDefault="00E80D6B" w:rsidP="009021D0">
            <w:pPr>
              <w:pStyle w:val="NormalWeb"/>
              <w:jc w:val="center"/>
              <w:rPr>
                <w:sz w:val="18"/>
                <w:szCs w:val="18"/>
              </w:rPr>
            </w:pPr>
            <w:r w:rsidRPr="0043618D">
              <w:rPr>
                <w:sz w:val="18"/>
                <w:szCs w:val="18"/>
              </w:rPr>
              <w:t>7.0</w:t>
            </w:r>
          </w:p>
        </w:tc>
      </w:tr>
      <w:tr w:rsidR="00E80D6B" w:rsidRPr="0043618D" w14:paraId="43AD52D9" w14:textId="77777777" w:rsidTr="00FF44EC">
        <w:tblPrEx>
          <w:tblCellMar>
            <w:top w:w="57" w:type="dxa"/>
            <w:left w:w="57" w:type="dxa"/>
            <w:bottom w:w="57" w:type="dxa"/>
            <w:right w:w="57" w:type="dxa"/>
          </w:tblCellMar>
        </w:tblPrEx>
        <w:trPr>
          <w:gridAfter w:val="1"/>
          <w:cnfStyle w:val="000000010000" w:firstRow="0" w:lastRow="0" w:firstColumn="0" w:lastColumn="0" w:oddVBand="0" w:evenVBand="0" w:oddHBand="0" w:evenHBand="1" w:firstRowFirstColumn="0" w:firstRowLastColumn="0" w:lastRowFirstColumn="0" w:lastRowLastColumn="0"/>
          <w:wAfter w:w="6" w:type="dxa"/>
        </w:trPr>
        <w:tc>
          <w:tcPr>
            <w:tcW w:w="6508" w:type="dxa"/>
            <w:tcBorders>
              <w:bottom w:val="single" w:sz="2" w:space="0" w:color="auto"/>
            </w:tcBorders>
            <w:hideMark/>
          </w:tcPr>
          <w:p w14:paraId="105D52ED" w14:textId="77777777" w:rsidR="00E80D6B" w:rsidRPr="0043618D" w:rsidRDefault="00E80D6B" w:rsidP="009021D0">
            <w:pPr>
              <w:pStyle w:val="NormalWeb"/>
              <w:rPr>
                <w:sz w:val="18"/>
                <w:szCs w:val="18"/>
              </w:rPr>
            </w:pPr>
            <w:r w:rsidRPr="0043618D">
              <w:rPr>
                <w:sz w:val="18"/>
                <w:szCs w:val="18"/>
              </w:rPr>
              <w:t>2016</w:t>
            </w:r>
          </w:p>
        </w:tc>
        <w:tc>
          <w:tcPr>
            <w:tcW w:w="1185" w:type="dxa"/>
            <w:tcBorders>
              <w:bottom w:val="single" w:sz="2" w:space="0" w:color="auto"/>
            </w:tcBorders>
            <w:hideMark/>
          </w:tcPr>
          <w:p w14:paraId="6742FC1A" w14:textId="77777777" w:rsidR="00E80D6B" w:rsidRPr="0043618D" w:rsidRDefault="00E80D6B" w:rsidP="009021D0">
            <w:pPr>
              <w:pStyle w:val="NormalWeb"/>
              <w:jc w:val="center"/>
              <w:rPr>
                <w:sz w:val="18"/>
                <w:szCs w:val="18"/>
              </w:rPr>
            </w:pPr>
            <w:r w:rsidRPr="0043618D">
              <w:rPr>
                <w:sz w:val="18"/>
                <w:szCs w:val="18"/>
              </w:rPr>
              <w:t>358</w:t>
            </w:r>
          </w:p>
        </w:tc>
        <w:tc>
          <w:tcPr>
            <w:tcW w:w="805" w:type="dxa"/>
            <w:tcBorders>
              <w:bottom w:val="single" w:sz="2" w:space="0" w:color="auto"/>
            </w:tcBorders>
            <w:hideMark/>
          </w:tcPr>
          <w:p w14:paraId="0FCE5F85" w14:textId="77777777" w:rsidR="00E80D6B" w:rsidRPr="0043618D" w:rsidRDefault="00E80D6B" w:rsidP="009021D0">
            <w:pPr>
              <w:pStyle w:val="NormalWeb"/>
              <w:jc w:val="center"/>
              <w:rPr>
                <w:sz w:val="18"/>
                <w:szCs w:val="18"/>
              </w:rPr>
            </w:pPr>
            <w:r w:rsidRPr="0043618D">
              <w:rPr>
                <w:sz w:val="18"/>
                <w:szCs w:val="18"/>
              </w:rPr>
              <w:t>13.8</w:t>
            </w:r>
          </w:p>
        </w:tc>
        <w:tc>
          <w:tcPr>
            <w:tcW w:w="1142" w:type="dxa"/>
            <w:gridSpan w:val="2"/>
            <w:tcBorders>
              <w:bottom w:val="single" w:sz="2" w:space="0" w:color="auto"/>
            </w:tcBorders>
            <w:hideMark/>
          </w:tcPr>
          <w:p w14:paraId="7B331E45" w14:textId="77777777" w:rsidR="00E80D6B" w:rsidRPr="0043618D" w:rsidRDefault="00E80D6B" w:rsidP="009021D0">
            <w:pPr>
              <w:pStyle w:val="NormalWeb"/>
              <w:jc w:val="center"/>
              <w:rPr>
                <w:sz w:val="18"/>
                <w:szCs w:val="18"/>
              </w:rPr>
            </w:pPr>
            <w:r w:rsidRPr="0043618D">
              <w:rPr>
                <w:sz w:val="18"/>
                <w:szCs w:val="18"/>
              </w:rPr>
              <w:t>4</w:t>
            </w:r>
          </w:p>
        </w:tc>
        <w:tc>
          <w:tcPr>
            <w:tcW w:w="1086" w:type="dxa"/>
            <w:tcBorders>
              <w:bottom w:val="single" w:sz="2" w:space="0" w:color="auto"/>
            </w:tcBorders>
            <w:hideMark/>
          </w:tcPr>
          <w:p w14:paraId="731D3CAB" w14:textId="77777777" w:rsidR="00E80D6B" w:rsidRPr="0043618D" w:rsidRDefault="00E80D6B" w:rsidP="009021D0">
            <w:pPr>
              <w:pStyle w:val="NormalWeb"/>
              <w:jc w:val="center"/>
              <w:rPr>
                <w:sz w:val="18"/>
                <w:szCs w:val="18"/>
              </w:rPr>
            </w:pPr>
            <w:r w:rsidRPr="0043618D">
              <w:rPr>
                <w:sz w:val="18"/>
                <w:szCs w:val="18"/>
              </w:rPr>
              <w:t>3.1</w:t>
            </w:r>
          </w:p>
        </w:tc>
      </w:tr>
    </w:tbl>
    <w:p w14:paraId="6B5029DE" w14:textId="77777777" w:rsidR="00E80D6B" w:rsidRDefault="00E80D6B" w:rsidP="00E80D6B">
      <w:pPr>
        <w:pStyle w:val="CDIfootnotes"/>
        <w:rPr>
          <w:lang w:val="en-GB"/>
        </w:rPr>
      </w:pPr>
      <w:r>
        <w:rPr>
          <w:lang w:val="en-GB"/>
        </w:rPr>
        <w:t>a</w:t>
      </w:r>
      <w:r>
        <w:rPr>
          <w:lang w:val="en-GB"/>
        </w:rPr>
        <w:tab/>
      </w:r>
      <w:proofErr w:type="gramStart"/>
      <w:r>
        <w:rPr>
          <w:lang w:val="en-GB"/>
        </w:rPr>
        <w:t>Significant HIV/NG-MAST associations</w:t>
      </w:r>
      <w:proofErr w:type="gramEnd"/>
      <w:r>
        <w:rPr>
          <w:lang w:val="en-GB"/>
        </w:rPr>
        <w:t xml:space="preserve"> are bolded.</w:t>
      </w:r>
    </w:p>
    <w:p w14:paraId="7D631E15" w14:textId="77777777" w:rsidR="00E80D6B" w:rsidRDefault="00E80D6B" w:rsidP="00E80D6B">
      <w:pPr>
        <w:pStyle w:val="CDIfootnotes"/>
        <w:rPr>
          <w:lang w:val="en-GB"/>
        </w:rPr>
      </w:pPr>
      <w:r>
        <w:rPr>
          <w:lang w:val="en-GB"/>
        </w:rPr>
        <w:t>b</w:t>
      </w:r>
      <w:r>
        <w:rPr>
          <w:lang w:val="en-GB"/>
        </w:rPr>
        <w:tab/>
      </w:r>
      <w:proofErr w:type="gramStart"/>
      <w:r>
        <w:rPr>
          <w:lang w:val="en-GB"/>
        </w:rPr>
        <w:t>The</w:t>
      </w:r>
      <w:proofErr w:type="gramEnd"/>
      <w:r>
        <w:rPr>
          <w:lang w:val="en-GB"/>
        </w:rPr>
        <w:t xml:space="preserve"> numbers of ‘linked’ cases differ owing to an individual HIV notification being linked to one or more NG-MAST results.</w:t>
      </w:r>
    </w:p>
    <w:p w14:paraId="5E861652" w14:textId="77777777" w:rsidR="00E80D6B" w:rsidRDefault="00E80D6B" w:rsidP="00E80D6B">
      <w:pPr>
        <w:pStyle w:val="CDIfootnotes"/>
        <w:rPr>
          <w:lang w:val="en-GB"/>
        </w:rPr>
      </w:pPr>
      <w:r>
        <w:rPr>
          <w:lang w:val="en-GB"/>
        </w:rPr>
        <w:t>c</w:t>
      </w:r>
      <w:r>
        <w:rPr>
          <w:lang w:val="en-GB"/>
        </w:rPr>
        <w:tab/>
        <w:t>Multiple exposures possible.</w:t>
      </w:r>
    </w:p>
    <w:p w14:paraId="3BC3BB7F" w14:textId="77777777" w:rsidR="00414376" w:rsidRDefault="00414376">
      <w:pPr>
        <w:rPr>
          <w:rStyle w:val="Strong"/>
          <w:bCs w:val="0"/>
        </w:rPr>
      </w:pPr>
      <w:r>
        <w:rPr>
          <w:rStyle w:val="Strong"/>
          <w:b w:val="0"/>
          <w:bCs w:val="0"/>
        </w:rPr>
        <w:br w:type="page"/>
      </w:r>
    </w:p>
    <w:p w14:paraId="620697EF" w14:textId="65CB1A7B" w:rsidR="00414376" w:rsidRPr="00C151B3" w:rsidRDefault="00414376" w:rsidP="00414376">
      <w:pPr>
        <w:pStyle w:val="CDIFigures"/>
      </w:pPr>
      <w:r w:rsidRPr="00C151B3">
        <w:rPr>
          <w:rStyle w:val="Strong"/>
          <w:b/>
          <w:bCs w:val="0"/>
        </w:rPr>
        <w:lastRenderedPageBreak/>
        <w:t xml:space="preserve">Figure 1: Percentage of </w:t>
      </w:r>
      <w:r w:rsidRPr="002E38CF">
        <w:rPr>
          <w:rStyle w:val="Strong"/>
          <w:b/>
          <w:bCs w:val="0"/>
          <w:i/>
          <w:iCs/>
        </w:rPr>
        <w:t>Neisseria gonorrhoeae</w:t>
      </w:r>
      <w:r w:rsidRPr="00C151B3">
        <w:rPr>
          <w:rStyle w:val="Strong"/>
          <w:b/>
          <w:bCs w:val="0"/>
        </w:rPr>
        <w:t xml:space="preserve"> isolates by Multiantigen Sequence Type (NG-MAST) by year, 2010–2015, Queensland, Australia</w:t>
      </w:r>
    </w:p>
    <w:p w14:paraId="31FF8FB4" w14:textId="77777777" w:rsidR="00414376" w:rsidRDefault="00414376" w:rsidP="00414376">
      <w:pPr>
        <w:rPr>
          <w:rFonts w:eastAsia="Times New Roman"/>
          <w:lang w:val="en-GB"/>
        </w:rPr>
      </w:pPr>
      <w:r>
        <w:rPr>
          <w:rFonts w:eastAsia="Times New Roman"/>
          <w:noProof/>
          <w:lang w:val="en-GB"/>
        </w:rPr>
        <w:drawing>
          <wp:inline distT="0" distB="0" distL="0" distR="0" wp14:anchorId="3438CB1A" wp14:editId="48972A1E">
            <wp:extent cx="6511124" cy="4248785"/>
            <wp:effectExtent l="0" t="0" r="4445" b="0"/>
            <wp:docPr id="2" name="Picture 2" descr="A clustered bar chart showing the percentage of Neisseria gonorrhoeae isolates by Multiantigen Sequence Type (NG-MAST) by year, 2010–2015 in Queensland, Australia. Eight NG-MASTs are depicted in ascending numerical order, sequence types 21, 1407, 2992, 4186, 4244, 4822, 6876, and 9654. The eight sequence types were one of the three most prevalent sequence types in each of the six study years, 2010 to 2015. An additional cluster, ‘Other’, represents the percentage of other sequence types identified by study year. The bar chart illustrates that strain type prevalence varied by year. For example, the prevalence of ST6876 was highest in the first two years of the study period, 14% and 15% in 2010 and 2011 respectively, declined to 6% and 3% over the next two years with none detected in the final two study years. The annual percentage of ST21 and ST2992 are relatively low at the start of the study period in 2010, 2% and 4% respectively, peaked mid-study period (ST21, 10% in 2012; ST2992, 10% 2011) then declined towards the end of the study period with neither strain type being detected in 2015. ST4186 and ST4244 were not identified in the first study year however, the percentage of these strain types increased annually over the study period peaking in 2015 at 11% and 6% respectively. The annual percentage of ‘other’ strain types ranged between 65% in 2011 to 77% in 2014 an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ustered bar chart showing the percentage of Neisseria gonorrhoeae isolates by Multiantigen Sequence Type (NG-MAST) by year, 2010–2015 in Queensland, Australia. Eight NG-MASTs are depicted in ascending numerical order, sequence types 21, 1407, 2992, 4186, 4244, 4822, 6876, and 9654. The eight sequence types were one of the three most prevalent sequence types in each of the six study years, 2010 to 2015. An additional cluster, ‘Other’, represents the percentage of other sequence types identified by study year. The bar chart illustrates that strain type prevalence varied by year. For example, the prevalence of ST6876 was highest in the first two years of the study period, 14% and 15% in 2010 and 2011 respectively, declined to 6% and 3% over the next two years with none detected in the final two study years. The annual percentage of ST21 and ST2992 are relatively low at the start of the study period in 2010, 2% and 4% respectively, peaked mid-study period (ST21, 10% in 2012; ST2992, 10% 2011) then declined towards the end of the study period with neither strain type being detected in 2015. ST4186 and ST4244 were not identified in the first study year however, the percentage of these strain types increased annually over the study period peaking in 2015 at 11% and 6% respectively. The annual percentage of ‘other’ strain types ranged between 65% in 2011 to 77% in 2014 and 201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520975" cy="4255213"/>
                    </a:xfrm>
                    <a:prstGeom prst="rect">
                      <a:avLst/>
                    </a:prstGeom>
                  </pic:spPr>
                </pic:pic>
              </a:graphicData>
            </a:graphic>
          </wp:inline>
        </w:drawing>
      </w:r>
    </w:p>
    <w:p w14:paraId="49E4C239" w14:textId="609B2509" w:rsidR="00276887" w:rsidRPr="009A49D0" w:rsidRDefault="00276887" w:rsidP="009A49D0">
      <w:pPr>
        <w:pStyle w:val="Heading1"/>
      </w:pPr>
      <w:r w:rsidRPr="009A49D0">
        <w:t xml:space="preserve">Ethics </w:t>
      </w:r>
    </w:p>
    <w:p w14:paraId="67FBE716" w14:textId="77777777" w:rsidR="00276887" w:rsidRDefault="00276887" w:rsidP="009A49D0">
      <w:r>
        <w:t xml:space="preserve">Ethical approval was granted by the Prince Charles Hospital Human Research Ethics Committee HREC/15/QPCH/44. Approval for the provision of data held by Queensland Government Department of Health for public interest was granted (PHA 27230). </w:t>
      </w:r>
    </w:p>
    <w:p w14:paraId="45DD23CA" w14:textId="77777777" w:rsidR="00276887" w:rsidRPr="009A49D0" w:rsidRDefault="00276887" w:rsidP="009A49D0">
      <w:pPr>
        <w:pStyle w:val="Heading1"/>
      </w:pPr>
      <w:r w:rsidRPr="009A49D0">
        <w:t xml:space="preserve">Funding </w:t>
      </w:r>
    </w:p>
    <w:p w14:paraId="4FB2CC55" w14:textId="77777777" w:rsidR="00276887" w:rsidRDefault="00276887" w:rsidP="009A49D0">
      <w:r>
        <w:t xml:space="preserve">Funding was provided by the HIV Foundation Queensland (HIVFQ). </w:t>
      </w:r>
    </w:p>
    <w:p w14:paraId="1955AB74" w14:textId="77777777" w:rsidR="00276887" w:rsidRPr="009A49D0" w:rsidRDefault="00276887" w:rsidP="009A49D0">
      <w:pPr>
        <w:pStyle w:val="Heading1"/>
      </w:pPr>
      <w:r w:rsidRPr="009A49D0">
        <w:t xml:space="preserve">Author details </w:t>
      </w:r>
    </w:p>
    <w:p w14:paraId="069F3B10" w14:textId="77777777" w:rsidR="00276887" w:rsidRDefault="00276887" w:rsidP="009A49D0">
      <w:pPr>
        <w:pStyle w:val="NoSpacing"/>
      </w:pPr>
      <w:r>
        <w:t>Ms Sara F. E. Bell,</w:t>
      </w:r>
      <w:r>
        <w:rPr>
          <w:vertAlign w:val="superscript"/>
        </w:rPr>
        <w:t>1</w:t>
      </w:r>
      <w:r>
        <w:t xml:space="preserve"> Ph.D. student </w:t>
      </w:r>
    </w:p>
    <w:p w14:paraId="25A997F3" w14:textId="77777777" w:rsidR="00276887" w:rsidRDefault="00276887" w:rsidP="009A49D0">
      <w:pPr>
        <w:pStyle w:val="NoSpacing"/>
      </w:pPr>
      <w:r>
        <w:t>A/Prof. Stephen B Lambert,</w:t>
      </w:r>
      <w:r>
        <w:rPr>
          <w:vertAlign w:val="superscript"/>
        </w:rPr>
        <w:t>2,3</w:t>
      </w:r>
      <w:r>
        <w:t xml:space="preserve"> Public Health Physician </w:t>
      </w:r>
    </w:p>
    <w:p w14:paraId="76371586" w14:textId="77777777" w:rsidR="00276887" w:rsidRDefault="00276887" w:rsidP="009A49D0">
      <w:pPr>
        <w:pStyle w:val="NoSpacing"/>
      </w:pPr>
      <w:r>
        <w:t>A/Prof. Amy V Jennison,</w:t>
      </w:r>
      <w:r>
        <w:rPr>
          <w:vertAlign w:val="superscript"/>
        </w:rPr>
        <w:t>4</w:t>
      </w:r>
      <w:r>
        <w:t xml:space="preserve"> Chief Scientist </w:t>
      </w:r>
    </w:p>
    <w:p w14:paraId="3A41A420" w14:textId="77777777" w:rsidR="00276887" w:rsidRDefault="00276887" w:rsidP="009A49D0">
      <w:pPr>
        <w:pStyle w:val="NoSpacing"/>
      </w:pPr>
      <w:r>
        <w:t>Ms Christine JD Guglielmino,</w:t>
      </w:r>
      <w:r>
        <w:rPr>
          <w:vertAlign w:val="superscript"/>
        </w:rPr>
        <w:t>4</w:t>
      </w:r>
      <w:r>
        <w:t xml:space="preserve"> Scientist </w:t>
      </w:r>
    </w:p>
    <w:p w14:paraId="03422F94" w14:textId="77777777" w:rsidR="00276887" w:rsidRDefault="00276887" w:rsidP="009A49D0">
      <w:pPr>
        <w:pStyle w:val="NoSpacing"/>
      </w:pPr>
      <w:r>
        <w:t>Prof. Robert S Ware,</w:t>
      </w:r>
      <w:r>
        <w:rPr>
          <w:vertAlign w:val="superscript"/>
        </w:rPr>
        <w:t>5</w:t>
      </w:r>
      <w:r>
        <w:t xml:space="preserve"> Biostatistician </w:t>
      </w:r>
    </w:p>
    <w:p w14:paraId="1D27ECFA" w14:textId="6A39E6DD" w:rsidR="00276887" w:rsidRDefault="00276887" w:rsidP="009A49D0">
      <w:pPr>
        <w:pStyle w:val="NoSpacing"/>
      </w:pPr>
      <w:r>
        <w:t>A/Prof. David M Whiley,</w:t>
      </w:r>
      <w:r>
        <w:rPr>
          <w:vertAlign w:val="superscript"/>
        </w:rPr>
        <w:t>1</w:t>
      </w:r>
      <w:r>
        <w:t xml:space="preserve"> Principal Research Fellow </w:t>
      </w:r>
    </w:p>
    <w:p w14:paraId="4A5A9ABB" w14:textId="77777777" w:rsidR="00C54D8A" w:rsidRDefault="00C54D8A" w:rsidP="009A49D0">
      <w:pPr>
        <w:pStyle w:val="NoSpacing"/>
      </w:pPr>
    </w:p>
    <w:p w14:paraId="1FBAECBF" w14:textId="77777777" w:rsidR="00276887" w:rsidRPr="009A49D0" w:rsidRDefault="00276887" w:rsidP="009A49D0">
      <w:pPr>
        <w:pStyle w:val="ListParagraph"/>
        <w:numPr>
          <w:ilvl w:val="0"/>
          <w:numId w:val="9"/>
        </w:numPr>
        <w:rPr>
          <w:rFonts w:eastAsia="Times New Roman"/>
        </w:rPr>
      </w:pPr>
      <w:r w:rsidRPr="009A49D0">
        <w:rPr>
          <w:rFonts w:eastAsia="Times New Roman"/>
        </w:rPr>
        <w:lastRenderedPageBreak/>
        <w:t xml:space="preserve">The University of Queensland, UQ Centre for Clinical Research, Herston, Queensland, Australia </w:t>
      </w:r>
    </w:p>
    <w:p w14:paraId="61190F29" w14:textId="77777777" w:rsidR="00276887" w:rsidRPr="009A49D0" w:rsidRDefault="00276887" w:rsidP="009A49D0">
      <w:pPr>
        <w:pStyle w:val="ListParagraph"/>
        <w:numPr>
          <w:ilvl w:val="0"/>
          <w:numId w:val="9"/>
        </w:numPr>
        <w:rPr>
          <w:rFonts w:eastAsia="Times New Roman"/>
        </w:rPr>
      </w:pPr>
      <w:r w:rsidRPr="009A49D0">
        <w:rPr>
          <w:rFonts w:eastAsia="Times New Roman"/>
        </w:rPr>
        <w:t xml:space="preserve">Communicable Diseases Branch, Queensland Health, Herston, Queensland, Australia </w:t>
      </w:r>
    </w:p>
    <w:p w14:paraId="19678571" w14:textId="77777777" w:rsidR="00276887" w:rsidRPr="009A49D0" w:rsidRDefault="00276887" w:rsidP="009A49D0">
      <w:pPr>
        <w:pStyle w:val="ListParagraph"/>
        <w:numPr>
          <w:ilvl w:val="0"/>
          <w:numId w:val="9"/>
        </w:numPr>
        <w:rPr>
          <w:rFonts w:eastAsia="Times New Roman"/>
        </w:rPr>
      </w:pPr>
      <w:r w:rsidRPr="009A49D0">
        <w:rPr>
          <w:rFonts w:eastAsia="Times New Roman"/>
        </w:rPr>
        <w:t xml:space="preserve">National Centre for Immunisation Research and Surveillance, Westmead, New South Wales, Australia </w:t>
      </w:r>
    </w:p>
    <w:p w14:paraId="337708F5" w14:textId="77777777" w:rsidR="00276887" w:rsidRPr="009A49D0" w:rsidRDefault="00276887" w:rsidP="009A49D0">
      <w:pPr>
        <w:pStyle w:val="ListParagraph"/>
        <w:numPr>
          <w:ilvl w:val="0"/>
          <w:numId w:val="9"/>
        </w:numPr>
        <w:rPr>
          <w:rFonts w:eastAsia="Times New Roman"/>
        </w:rPr>
      </w:pPr>
      <w:r w:rsidRPr="009A49D0">
        <w:rPr>
          <w:rFonts w:eastAsia="Times New Roman"/>
        </w:rPr>
        <w:t xml:space="preserve">Queensland Health Forensic and Scientific Services, Coopers Plains, Queensland, Australia </w:t>
      </w:r>
    </w:p>
    <w:p w14:paraId="789F6EB9" w14:textId="77777777" w:rsidR="00276887" w:rsidRPr="009A49D0" w:rsidRDefault="00276887" w:rsidP="009A49D0">
      <w:pPr>
        <w:pStyle w:val="ListParagraph"/>
        <w:numPr>
          <w:ilvl w:val="0"/>
          <w:numId w:val="9"/>
        </w:numPr>
        <w:rPr>
          <w:rFonts w:eastAsia="Times New Roman"/>
        </w:rPr>
      </w:pPr>
      <w:r w:rsidRPr="009A49D0">
        <w:rPr>
          <w:rFonts w:eastAsia="Times New Roman"/>
        </w:rPr>
        <w:t xml:space="preserve">Griffith University, Menzies Health Institute Queensland, Nathan, Queensland, Australia </w:t>
      </w:r>
    </w:p>
    <w:p w14:paraId="1767B99A" w14:textId="77777777" w:rsidR="00276887" w:rsidRPr="009A49D0" w:rsidRDefault="00276887" w:rsidP="009A49D0">
      <w:pPr>
        <w:pStyle w:val="Heading2"/>
      </w:pPr>
      <w:r w:rsidRPr="009A49D0">
        <w:t xml:space="preserve">Corresponding author </w:t>
      </w:r>
    </w:p>
    <w:p w14:paraId="01480F4F" w14:textId="77777777" w:rsidR="00276887" w:rsidRDefault="00276887" w:rsidP="009A49D0">
      <w:pPr>
        <w:pStyle w:val="NoSpacing"/>
      </w:pPr>
      <w:r>
        <w:t xml:space="preserve">Associate Professor David Whiley Principal Research Fellow, Microbial Diagnostics and Characterisation Group, Level 7, Building 71/918, Royal Brisbane and Women’s Hospital, Herston Qld 4029 </w:t>
      </w:r>
    </w:p>
    <w:p w14:paraId="447FEC51" w14:textId="77777777" w:rsidR="00276887" w:rsidRDefault="00276887" w:rsidP="009A49D0">
      <w:pPr>
        <w:pStyle w:val="NoSpacing"/>
      </w:pPr>
      <w:r>
        <w:t xml:space="preserve">Phone: (07) 3346 5053 Email: d.whiley@uq.edu.au </w:t>
      </w:r>
    </w:p>
    <w:p w14:paraId="7A99B61E" w14:textId="77777777" w:rsidR="00276887" w:rsidRPr="009A49D0" w:rsidRDefault="00276887" w:rsidP="009A49D0">
      <w:pPr>
        <w:pStyle w:val="Heading1"/>
      </w:pPr>
      <w:r w:rsidRPr="009A49D0">
        <w:t xml:space="preserve">References </w:t>
      </w:r>
    </w:p>
    <w:p w14:paraId="75EC8845" w14:textId="77777777" w:rsidR="00276887" w:rsidRPr="009A49D0" w:rsidRDefault="00276887" w:rsidP="009A49D0">
      <w:pPr>
        <w:pStyle w:val="ListParagraph"/>
        <w:numPr>
          <w:ilvl w:val="0"/>
          <w:numId w:val="10"/>
        </w:numPr>
        <w:rPr>
          <w:rFonts w:eastAsia="Times New Roman"/>
        </w:rPr>
      </w:pPr>
      <w:r w:rsidRPr="009A49D0">
        <w:rPr>
          <w:rFonts w:eastAsia="Times New Roman"/>
        </w:rPr>
        <w:t xml:space="preserve">Whelan M, Renda C, </w:t>
      </w:r>
      <w:proofErr w:type="spellStart"/>
      <w:r w:rsidRPr="009A49D0">
        <w:rPr>
          <w:rFonts w:eastAsia="Times New Roman"/>
        </w:rPr>
        <w:t>Hohenadel</w:t>
      </w:r>
      <w:proofErr w:type="spellEnd"/>
      <w:r w:rsidRPr="009A49D0">
        <w:rPr>
          <w:rFonts w:eastAsia="Times New Roman"/>
        </w:rPr>
        <w:t xml:space="preserve"> K, Buchan S, Murti M. All together now: aggregating multiple records to develop a person-based dataset to integrate and enhance infectious disease surveillance in Ontario, Canada. </w:t>
      </w:r>
      <w:r w:rsidRPr="009A49D0">
        <w:rPr>
          <w:rStyle w:val="Emphasis"/>
          <w:rFonts w:eastAsia="Times New Roman"/>
          <w:b w:val="0"/>
          <w:bCs w:val="0"/>
        </w:rPr>
        <w:t>Can J Public Health</w:t>
      </w:r>
      <w:r w:rsidRPr="009A49D0">
        <w:rPr>
          <w:rFonts w:eastAsia="Times New Roman"/>
        </w:rPr>
        <w:t xml:space="preserve">. 2020;111(5):752–60. </w:t>
      </w:r>
      <w:proofErr w:type="spellStart"/>
      <w:r w:rsidRPr="009A49D0">
        <w:rPr>
          <w:rFonts w:eastAsia="Times New Roman"/>
        </w:rPr>
        <w:t>doi</w:t>
      </w:r>
      <w:proofErr w:type="spellEnd"/>
      <w:r w:rsidRPr="009A49D0">
        <w:rPr>
          <w:rFonts w:eastAsia="Times New Roman"/>
        </w:rPr>
        <w:t xml:space="preserve">: https://doi.org/10.17269/s41997-020-00295-5. </w:t>
      </w:r>
    </w:p>
    <w:p w14:paraId="0E34A426" w14:textId="77777777" w:rsidR="00276887" w:rsidRPr="009A49D0" w:rsidRDefault="00276887" w:rsidP="009A49D0">
      <w:pPr>
        <w:pStyle w:val="ListParagraph"/>
        <w:numPr>
          <w:ilvl w:val="0"/>
          <w:numId w:val="10"/>
        </w:numPr>
        <w:rPr>
          <w:rFonts w:eastAsia="Times New Roman"/>
        </w:rPr>
      </w:pPr>
      <w:proofErr w:type="spellStart"/>
      <w:r w:rsidRPr="009A49D0">
        <w:rPr>
          <w:rFonts w:eastAsia="Times New Roman"/>
        </w:rPr>
        <w:t>Grome</w:t>
      </w:r>
      <w:proofErr w:type="spellEnd"/>
      <w:r w:rsidRPr="009A49D0">
        <w:rPr>
          <w:rFonts w:eastAsia="Times New Roman"/>
        </w:rPr>
        <w:t xml:space="preserve"> HN, </w:t>
      </w:r>
      <w:proofErr w:type="spellStart"/>
      <w:r w:rsidRPr="009A49D0">
        <w:rPr>
          <w:rFonts w:eastAsia="Times New Roman"/>
        </w:rPr>
        <w:t>Rebeiro</w:t>
      </w:r>
      <w:proofErr w:type="spellEnd"/>
      <w:r w:rsidRPr="009A49D0">
        <w:rPr>
          <w:rFonts w:eastAsia="Times New Roman"/>
        </w:rPr>
        <w:t xml:space="preserve"> PF, Brantley M, Herrera-Vasquez D, Mathieson SA, Pettit AC. Risk of HIV diagnosis following bacterial sexually transmitted infections in Tennessee, 2013–2017. </w:t>
      </w:r>
      <w:r w:rsidRPr="009A49D0">
        <w:rPr>
          <w:rStyle w:val="Emphasis"/>
          <w:rFonts w:eastAsia="Times New Roman"/>
          <w:b w:val="0"/>
          <w:bCs w:val="0"/>
        </w:rPr>
        <w:t xml:space="preserve">Sex </w:t>
      </w:r>
      <w:proofErr w:type="spellStart"/>
      <w:r w:rsidRPr="009A49D0">
        <w:rPr>
          <w:rStyle w:val="Emphasis"/>
          <w:rFonts w:eastAsia="Times New Roman"/>
          <w:b w:val="0"/>
          <w:bCs w:val="0"/>
        </w:rPr>
        <w:t>Transm</w:t>
      </w:r>
      <w:proofErr w:type="spellEnd"/>
      <w:r w:rsidRPr="009A49D0">
        <w:rPr>
          <w:rStyle w:val="Emphasis"/>
          <w:rFonts w:eastAsia="Times New Roman"/>
          <w:b w:val="0"/>
          <w:bCs w:val="0"/>
        </w:rPr>
        <w:t xml:space="preserve"> Dis</w:t>
      </w:r>
      <w:r w:rsidRPr="009A49D0">
        <w:rPr>
          <w:rFonts w:eastAsia="Times New Roman"/>
        </w:rPr>
        <w:t xml:space="preserve">. 2021;48(11):873–80. </w:t>
      </w:r>
      <w:proofErr w:type="spellStart"/>
      <w:r w:rsidRPr="009A49D0">
        <w:rPr>
          <w:rFonts w:eastAsia="Times New Roman"/>
        </w:rPr>
        <w:t>doi</w:t>
      </w:r>
      <w:proofErr w:type="spellEnd"/>
      <w:r w:rsidRPr="009A49D0">
        <w:rPr>
          <w:rFonts w:eastAsia="Times New Roman"/>
        </w:rPr>
        <w:t xml:space="preserve">: https://doi.org/10.1097/OLQ.0000000000001440. </w:t>
      </w:r>
    </w:p>
    <w:p w14:paraId="1489FAA2" w14:textId="77777777" w:rsidR="00276887" w:rsidRPr="009A49D0" w:rsidRDefault="00276887" w:rsidP="009A49D0">
      <w:pPr>
        <w:pStyle w:val="ListParagraph"/>
        <w:numPr>
          <w:ilvl w:val="0"/>
          <w:numId w:val="10"/>
        </w:numPr>
        <w:rPr>
          <w:rFonts w:eastAsia="Times New Roman"/>
        </w:rPr>
      </w:pPr>
      <w:r w:rsidRPr="009A49D0">
        <w:rPr>
          <w:rFonts w:eastAsia="Times New Roman"/>
        </w:rPr>
        <w:t xml:space="preserve">Martin IMC, </w:t>
      </w:r>
      <w:proofErr w:type="spellStart"/>
      <w:r w:rsidRPr="009A49D0">
        <w:rPr>
          <w:rFonts w:eastAsia="Times New Roman"/>
        </w:rPr>
        <w:t>Ison</w:t>
      </w:r>
      <w:proofErr w:type="spellEnd"/>
      <w:r w:rsidRPr="009A49D0">
        <w:rPr>
          <w:rFonts w:eastAsia="Times New Roman"/>
        </w:rPr>
        <w:t xml:space="preserve"> CA, </w:t>
      </w:r>
      <w:proofErr w:type="spellStart"/>
      <w:r w:rsidRPr="009A49D0">
        <w:rPr>
          <w:rFonts w:eastAsia="Times New Roman"/>
        </w:rPr>
        <w:t>Aanensen</w:t>
      </w:r>
      <w:proofErr w:type="spellEnd"/>
      <w:r w:rsidRPr="009A49D0">
        <w:rPr>
          <w:rFonts w:eastAsia="Times New Roman"/>
        </w:rPr>
        <w:t xml:space="preserve"> DM, Fenton KA, Spratt BG. Rapid sequence-based identification of gonococcal transmission clusters in a large metropolitan area. </w:t>
      </w:r>
      <w:r w:rsidRPr="009A49D0">
        <w:rPr>
          <w:rStyle w:val="Emphasis"/>
          <w:rFonts w:eastAsia="Times New Roman"/>
          <w:b w:val="0"/>
          <w:bCs w:val="0"/>
        </w:rPr>
        <w:t>J Infect Dis</w:t>
      </w:r>
      <w:r w:rsidRPr="009A49D0">
        <w:rPr>
          <w:rFonts w:eastAsia="Times New Roman"/>
        </w:rPr>
        <w:t xml:space="preserve">. 2004;189(8):1497–505. </w:t>
      </w:r>
      <w:proofErr w:type="spellStart"/>
      <w:r w:rsidRPr="009A49D0">
        <w:rPr>
          <w:rFonts w:eastAsia="Times New Roman"/>
        </w:rPr>
        <w:t>doi</w:t>
      </w:r>
      <w:proofErr w:type="spellEnd"/>
      <w:r w:rsidRPr="009A49D0">
        <w:rPr>
          <w:rFonts w:eastAsia="Times New Roman"/>
        </w:rPr>
        <w:t xml:space="preserve">: https://doi.org/10.1086/383047. </w:t>
      </w:r>
    </w:p>
    <w:p w14:paraId="0C60CE81" w14:textId="77777777" w:rsidR="00276887" w:rsidRPr="009A49D0" w:rsidRDefault="00276887" w:rsidP="009A49D0">
      <w:pPr>
        <w:pStyle w:val="ListParagraph"/>
        <w:numPr>
          <w:ilvl w:val="0"/>
          <w:numId w:val="10"/>
        </w:numPr>
        <w:rPr>
          <w:rFonts w:eastAsia="Times New Roman"/>
        </w:rPr>
      </w:pPr>
      <w:r w:rsidRPr="009A49D0">
        <w:rPr>
          <w:rFonts w:eastAsia="Times New Roman"/>
        </w:rPr>
        <w:t xml:space="preserve">Jolley KA, Bray JE, Maiden MCJ. Open-access bacterial population genomics: </w:t>
      </w:r>
      <w:proofErr w:type="spellStart"/>
      <w:r w:rsidRPr="009A49D0">
        <w:rPr>
          <w:rFonts w:eastAsia="Times New Roman"/>
        </w:rPr>
        <w:t>BIGSdb</w:t>
      </w:r>
      <w:proofErr w:type="spellEnd"/>
      <w:r w:rsidRPr="009A49D0">
        <w:rPr>
          <w:rFonts w:eastAsia="Times New Roman"/>
        </w:rPr>
        <w:t xml:space="preserve"> software, the PubMLST.org website and their applications. </w:t>
      </w:r>
      <w:proofErr w:type="spellStart"/>
      <w:r w:rsidRPr="009A49D0">
        <w:rPr>
          <w:rStyle w:val="Emphasis"/>
          <w:rFonts w:eastAsia="Times New Roman"/>
          <w:b w:val="0"/>
          <w:bCs w:val="0"/>
        </w:rPr>
        <w:t>Wellcome</w:t>
      </w:r>
      <w:proofErr w:type="spellEnd"/>
      <w:r w:rsidRPr="009A49D0">
        <w:rPr>
          <w:rStyle w:val="Emphasis"/>
          <w:rFonts w:eastAsia="Times New Roman"/>
          <w:b w:val="0"/>
          <w:bCs w:val="0"/>
        </w:rPr>
        <w:t xml:space="preserve"> Open Res</w:t>
      </w:r>
      <w:r w:rsidRPr="009A49D0">
        <w:rPr>
          <w:rFonts w:eastAsia="Times New Roman"/>
        </w:rPr>
        <w:t xml:space="preserve">. </w:t>
      </w:r>
      <w:proofErr w:type="gramStart"/>
      <w:r w:rsidRPr="009A49D0">
        <w:rPr>
          <w:rFonts w:eastAsia="Times New Roman"/>
        </w:rPr>
        <w:t>2018;3:124</w:t>
      </w:r>
      <w:proofErr w:type="gramEnd"/>
      <w:r w:rsidRPr="009A49D0">
        <w:rPr>
          <w:rFonts w:eastAsia="Times New Roman"/>
        </w:rPr>
        <w:t xml:space="preserve">. </w:t>
      </w:r>
      <w:proofErr w:type="spellStart"/>
      <w:r w:rsidRPr="009A49D0">
        <w:rPr>
          <w:rFonts w:eastAsia="Times New Roman"/>
        </w:rPr>
        <w:t>doi</w:t>
      </w:r>
      <w:proofErr w:type="spellEnd"/>
      <w:r w:rsidRPr="009A49D0">
        <w:rPr>
          <w:rFonts w:eastAsia="Times New Roman"/>
        </w:rPr>
        <w:t xml:space="preserve">: https://doi.org/10.12688/wellcomeopenres.14826.1. </w:t>
      </w:r>
    </w:p>
    <w:p w14:paraId="78DEE06F" w14:textId="77777777" w:rsidR="00276887" w:rsidRPr="009A49D0" w:rsidRDefault="00276887" w:rsidP="009A49D0">
      <w:pPr>
        <w:pStyle w:val="ListParagraph"/>
        <w:numPr>
          <w:ilvl w:val="0"/>
          <w:numId w:val="10"/>
        </w:numPr>
        <w:rPr>
          <w:rFonts w:eastAsia="Times New Roman"/>
        </w:rPr>
      </w:pPr>
      <w:proofErr w:type="spellStart"/>
      <w:r w:rsidRPr="009A49D0">
        <w:rPr>
          <w:rFonts w:eastAsia="Times New Roman"/>
        </w:rPr>
        <w:t>Lahra</w:t>
      </w:r>
      <w:proofErr w:type="spellEnd"/>
      <w:r w:rsidRPr="009A49D0">
        <w:rPr>
          <w:rFonts w:eastAsia="Times New Roman"/>
        </w:rPr>
        <w:t xml:space="preserve"> MM, Hogan TR, Shoushtari M, Armstrong BH. Australian Gonococcal Surveillance Programme Annual Report, 2020. </w:t>
      </w:r>
      <w:proofErr w:type="spellStart"/>
      <w:r w:rsidRPr="009A49D0">
        <w:rPr>
          <w:rStyle w:val="Emphasis"/>
          <w:rFonts w:eastAsia="Times New Roman"/>
          <w:b w:val="0"/>
          <w:bCs w:val="0"/>
        </w:rPr>
        <w:t>Commun</w:t>
      </w:r>
      <w:proofErr w:type="spellEnd"/>
      <w:r w:rsidRPr="009A49D0">
        <w:rPr>
          <w:rStyle w:val="Emphasis"/>
          <w:rFonts w:eastAsia="Times New Roman"/>
          <w:b w:val="0"/>
          <w:bCs w:val="0"/>
        </w:rPr>
        <w:t xml:space="preserve"> Dis </w:t>
      </w:r>
      <w:proofErr w:type="spellStart"/>
      <w:r w:rsidRPr="009A49D0">
        <w:rPr>
          <w:rStyle w:val="Emphasis"/>
          <w:rFonts w:eastAsia="Times New Roman"/>
          <w:b w:val="0"/>
          <w:bCs w:val="0"/>
        </w:rPr>
        <w:t>Intell</w:t>
      </w:r>
      <w:proofErr w:type="spellEnd"/>
      <w:r w:rsidRPr="009A49D0">
        <w:rPr>
          <w:rStyle w:val="Emphasis"/>
          <w:rFonts w:eastAsia="Times New Roman"/>
          <w:b w:val="0"/>
          <w:bCs w:val="0"/>
        </w:rPr>
        <w:t xml:space="preserve"> (2018)</w:t>
      </w:r>
      <w:r w:rsidRPr="009A49D0">
        <w:rPr>
          <w:rFonts w:eastAsia="Times New Roman"/>
        </w:rPr>
        <w:t xml:space="preserve">. 2021;45. </w:t>
      </w:r>
      <w:proofErr w:type="spellStart"/>
      <w:r w:rsidRPr="009A49D0">
        <w:rPr>
          <w:rFonts w:eastAsia="Times New Roman"/>
        </w:rPr>
        <w:t>doi</w:t>
      </w:r>
      <w:proofErr w:type="spellEnd"/>
      <w:r w:rsidRPr="009A49D0">
        <w:rPr>
          <w:rFonts w:eastAsia="Times New Roman"/>
        </w:rPr>
        <w:t xml:space="preserve">: https://doi.org/10.33321/cdi.2021.45.58. </w:t>
      </w:r>
    </w:p>
    <w:p w14:paraId="1954FDA9" w14:textId="77777777" w:rsidR="00276887" w:rsidRPr="009A49D0" w:rsidRDefault="00276887" w:rsidP="009A49D0">
      <w:pPr>
        <w:pStyle w:val="ListParagraph"/>
        <w:numPr>
          <w:ilvl w:val="0"/>
          <w:numId w:val="10"/>
        </w:numPr>
        <w:rPr>
          <w:rFonts w:eastAsia="Times New Roman"/>
        </w:rPr>
      </w:pPr>
      <w:r w:rsidRPr="009A49D0">
        <w:rPr>
          <w:rFonts w:eastAsia="Times New Roman"/>
        </w:rPr>
        <w:t xml:space="preserve">Australasian Sexual and Reproductive Health Alliance (ASRHA). Australian STI Management Guidelines for use in primary care. [Internet.] Sydney: ASHRA; 2016. Available from: http://www.sti.guidelines.org.au/. </w:t>
      </w:r>
    </w:p>
    <w:p w14:paraId="6C93EF45" w14:textId="77777777" w:rsidR="00276887" w:rsidRPr="009A49D0" w:rsidRDefault="00276887" w:rsidP="009A49D0">
      <w:pPr>
        <w:pStyle w:val="ListParagraph"/>
        <w:numPr>
          <w:ilvl w:val="0"/>
          <w:numId w:val="10"/>
        </w:numPr>
        <w:rPr>
          <w:rFonts w:eastAsia="Times New Roman"/>
        </w:rPr>
      </w:pPr>
      <w:r w:rsidRPr="009A49D0">
        <w:rPr>
          <w:rFonts w:eastAsia="Times New Roman"/>
        </w:rPr>
        <w:t xml:space="preserve">Choudhury B, </w:t>
      </w:r>
      <w:proofErr w:type="spellStart"/>
      <w:r w:rsidRPr="009A49D0">
        <w:rPr>
          <w:rFonts w:eastAsia="Times New Roman"/>
        </w:rPr>
        <w:t>Risley</w:t>
      </w:r>
      <w:proofErr w:type="spellEnd"/>
      <w:r w:rsidRPr="009A49D0">
        <w:rPr>
          <w:rFonts w:eastAsia="Times New Roman"/>
        </w:rPr>
        <w:t xml:space="preserve"> CL, Ghani AC, Bishop CJ, Ward H, Fenton KA et al. Identification of individuals with gonorrhoea within sexual networks: a population-based study. </w:t>
      </w:r>
      <w:r w:rsidRPr="009A49D0">
        <w:rPr>
          <w:rStyle w:val="Emphasis"/>
          <w:rFonts w:eastAsia="Times New Roman"/>
          <w:b w:val="0"/>
          <w:bCs w:val="0"/>
        </w:rPr>
        <w:t>Lancet</w:t>
      </w:r>
      <w:r w:rsidRPr="009A49D0">
        <w:rPr>
          <w:rFonts w:eastAsia="Times New Roman"/>
        </w:rPr>
        <w:t xml:space="preserve">. 2006;368(9530): 139–46. </w:t>
      </w:r>
      <w:proofErr w:type="spellStart"/>
      <w:r w:rsidRPr="009A49D0">
        <w:rPr>
          <w:rFonts w:eastAsia="Times New Roman"/>
        </w:rPr>
        <w:t>doi</w:t>
      </w:r>
      <w:proofErr w:type="spellEnd"/>
      <w:r w:rsidRPr="009A49D0">
        <w:rPr>
          <w:rFonts w:eastAsia="Times New Roman"/>
        </w:rPr>
        <w:t xml:space="preserve">: https//doi.org/10.1016/s0140-6736(06)69003-x. </w:t>
      </w:r>
    </w:p>
    <w:p w14:paraId="024F10B9" w14:textId="77777777" w:rsidR="00276887" w:rsidRPr="009A49D0" w:rsidRDefault="00276887" w:rsidP="009A49D0">
      <w:pPr>
        <w:pStyle w:val="ListParagraph"/>
        <w:numPr>
          <w:ilvl w:val="0"/>
          <w:numId w:val="10"/>
        </w:numPr>
        <w:rPr>
          <w:rFonts w:eastAsia="Times New Roman"/>
        </w:rPr>
      </w:pPr>
      <w:r w:rsidRPr="009A49D0">
        <w:rPr>
          <w:rFonts w:eastAsia="Times New Roman"/>
        </w:rPr>
        <w:t>Mlynarczyk-</w:t>
      </w:r>
      <w:proofErr w:type="spellStart"/>
      <w:r w:rsidRPr="009A49D0">
        <w:rPr>
          <w:rFonts w:eastAsia="Times New Roman"/>
        </w:rPr>
        <w:t>Bonikowska</w:t>
      </w:r>
      <w:proofErr w:type="spellEnd"/>
      <w:r w:rsidRPr="009A49D0">
        <w:rPr>
          <w:rFonts w:eastAsia="Times New Roman"/>
        </w:rPr>
        <w:t xml:space="preserve"> B, </w:t>
      </w:r>
      <w:proofErr w:type="spellStart"/>
      <w:r w:rsidRPr="009A49D0">
        <w:rPr>
          <w:rFonts w:eastAsia="Times New Roman"/>
        </w:rPr>
        <w:t>Serwin</w:t>
      </w:r>
      <w:proofErr w:type="spellEnd"/>
      <w:r w:rsidRPr="009A49D0">
        <w:rPr>
          <w:rFonts w:eastAsia="Times New Roman"/>
        </w:rPr>
        <w:t xml:space="preserve"> AB, </w:t>
      </w:r>
      <w:proofErr w:type="spellStart"/>
      <w:r w:rsidRPr="009A49D0">
        <w:rPr>
          <w:rFonts w:eastAsia="Times New Roman"/>
        </w:rPr>
        <w:t>Golparian</w:t>
      </w:r>
      <w:proofErr w:type="spellEnd"/>
      <w:r w:rsidRPr="009A49D0">
        <w:rPr>
          <w:rFonts w:eastAsia="Times New Roman"/>
        </w:rPr>
        <w:t xml:space="preserve"> D, Walter de </w:t>
      </w:r>
      <w:proofErr w:type="spellStart"/>
      <w:r w:rsidRPr="009A49D0">
        <w:rPr>
          <w:rFonts w:eastAsia="Times New Roman"/>
        </w:rPr>
        <w:t>Walthoffen</w:t>
      </w:r>
      <w:proofErr w:type="spellEnd"/>
      <w:r w:rsidRPr="009A49D0">
        <w:rPr>
          <w:rFonts w:eastAsia="Times New Roman"/>
        </w:rPr>
        <w:t xml:space="preserve"> S, Majewski S, Koper M et al. Antimicrobial susceptibility/resistance and genetic characteristics of </w:t>
      </w:r>
      <w:r w:rsidRPr="009A49D0">
        <w:rPr>
          <w:rStyle w:val="Emphasis"/>
          <w:rFonts w:eastAsia="Times New Roman"/>
          <w:b w:val="0"/>
          <w:bCs w:val="0"/>
        </w:rPr>
        <w:t>Neisseria gonorrhoeae</w:t>
      </w:r>
      <w:r w:rsidRPr="009A49D0">
        <w:rPr>
          <w:rFonts w:eastAsia="Times New Roman"/>
        </w:rPr>
        <w:t xml:space="preserve"> isolates from Poland, 2010–2012. </w:t>
      </w:r>
      <w:r w:rsidRPr="009A49D0">
        <w:rPr>
          <w:rStyle w:val="Emphasis"/>
          <w:rFonts w:eastAsia="Times New Roman"/>
          <w:b w:val="0"/>
          <w:bCs w:val="0"/>
        </w:rPr>
        <w:t>BMC Infect Dis</w:t>
      </w:r>
      <w:r w:rsidRPr="009A49D0">
        <w:rPr>
          <w:rFonts w:eastAsia="Times New Roman"/>
        </w:rPr>
        <w:t xml:space="preserve">. </w:t>
      </w:r>
      <w:proofErr w:type="gramStart"/>
      <w:r w:rsidRPr="009A49D0">
        <w:rPr>
          <w:rFonts w:eastAsia="Times New Roman"/>
        </w:rPr>
        <w:t>2014;14:65</w:t>
      </w:r>
      <w:proofErr w:type="gramEnd"/>
      <w:r w:rsidRPr="009A49D0">
        <w:rPr>
          <w:rFonts w:eastAsia="Times New Roman"/>
        </w:rPr>
        <w:t xml:space="preserve">. </w:t>
      </w:r>
      <w:proofErr w:type="spellStart"/>
      <w:r w:rsidRPr="009A49D0">
        <w:rPr>
          <w:rFonts w:eastAsia="Times New Roman"/>
        </w:rPr>
        <w:t>doi</w:t>
      </w:r>
      <w:proofErr w:type="spellEnd"/>
      <w:r w:rsidRPr="009A49D0">
        <w:rPr>
          <w:rFonts w:eastAsia="Times New Roman"/>
        </w:rPr>
        <w:t xml:space="preserve">: https://doi.org/1410.1186/1471-2334-14-65. </w:t>
      </w:r>
    </w:p>
    <w:p w14:paraId="2E4136FD" w14:textId="77777777" w:rsidR="00276887" w:rsidRPr="009A49D0" w:rsidRDefault="00276887" w:rsidP="009A49D0">
      <w:pPr>
        <w:pStyle w:val="ListParagraph"/>
        <w:numPr>
          <w:ilvl w:val="0"/>
          <w:numId w:val="10"/>
        </w:numPr>
        <w:rPr>
          <w:rFonts w:eastAsia="Times New Roman"/>
        </w:rPr>
      </w:pPr>
      <w:r w:rsidRPr="009A49D0">
        <w:rPr>
          <w:rFonts w:eastAsia="Times New Roman"/>
        </w:rPr>
        <w:t xml:space="preserve">Chen CC, Yen MY, Wong WW, Li LH, Huang YL, Chen KW et al. Tracing subsequent dissemination of a cluster of gonococcal infections caused by an ST1407-related clone harbouring mosaic </w:t>
      </w:r>
      <w:proofErr w:type="spellStart"/>
      <w:r w:rsidRPr="009A49D0">
        <w:rPr>
          <w:rFonts w:eastAsia="Times New Roman"/>
        </w:rPr>
        <w:t>penA</w:t>
      </w:r>
      <w:proofErr w:type="spellEnd"/>
      <w:r w:rsidRPr="009A49D0">
        <w:rPr>
          <w:rFonts w:eastAsia="Times New Roman"/>
        </w:rPr>
        <w:t xml:space="preserve"> alleles in Taiwan. </w:t>
      </w:r>
      <w:r w:rsidRPr="009A49D0">
        <w:rPr>
          <w:rStyle w:val="Emphasis"/>
          <w:rFonts w:eastAsia="Times New Roman"/>
          <w:b w:val="0"/>
          <w:bCs w:val="0"/>
        </w:rPr>
        <w:t xml:space="preserve">J </w:t>
      </w:r>
      <w:proofErr w:type="spellStart"/>
      <w:r w:rsidRPr="009A49D0">
        <w:rPr>
          <w:rStyle w:val="Emphasis"/>
          <w:rFonts w:eastAsia="Times New Roman"/>
          <w:b w:val="0"/>
          <w:bCs w:val="0"/>
        </w:rPr>
        <w:t>Antimicrob</w:t>
      </w:r>
      <w:proofErr w:type="spellEnd"/>
      <w:r w:rsidRPr="009A49D0">
        <w:rPr>
          <w:rStyle w:val="Emphasis"/>
          <w:rFonts w:eastAsia="Times New Roman"/>
          <w:b w:val="0"/>
          <w:bCs w:val="0"/>
        </w:rPr>
        <w:t xml:space="preserve"> Chemother</w:t>
      </w:r>
      <w:r w:rsidRPr="009A49D0">
        <w:rPr>
          <w:rFonts w:eastAsia="Times New Roman"/>
        </w:rPr>
        <w:t xml:space="preserve">. 2013;68(7):1567–71. </w:t>
      </w:r>
      <w:proofErr w:type="spellStart"/>
      <w:r w:rsidRPr="009A49D0">
        <w:rPr>
          <w:rFonts w:eastAsia="Times New Roman"/>
        </w:rPr>
        <w:t>doi</w:t>
      </w:r>
      <w:proofErr w:type="spellEnd"/>
      <w:r w:rsidRPr="009A49D0">
        <w:rPr>
          <w:rFonts w:eastAsia="Times New Roman"/>
        </w:rPr>
        <w:t xml:space="preserve">: https://doi.org/10.1093/jac/dkt059. </w:t>
      </w:r>
    </w:p>
    <w:p w14:paraId="16E76114" w14:textId="77777777" w:rsidR="00276887" w:rsidRPr="009A49D0" w:rsidRDefault="00276887" w:rsidP="009A49D0">
      <w:pPr>
        <w:pStyle w:val="ListParagraph"/>
        <w:numPr>
          <w:ilvl w:val="0"/>
          <w:numId w:val="10"/>
        </w:numPr>
        <w:rPr>
          <w:rFonts w:eastAsia="Times New Roman"/>
        </w:rPr>
      </w:pPr>
      <w:r w:rsidRPr="009A49D0">
        <w:rPr>
          <w:rFonts w:eastAsia="Times New Roman"/>
        </w:rPr>
        <w:t xml:space="preserve">Williamson DA, Chow EPF, </w:t>
      </w:r>
      <w:proofErr w:type="spellStart"/>
      <w:r w:rsidRPr="009A49D0">
        <w:rPr>
          <w:rFonts w:eastAsia="Times New Roman"/>
        </w:rPr>
        <w:t>Gorrie</w:t>
      </w:r>
      <w:proofErr w:type="spellEnd"/>
      <w:r w:rsidRPr="009A49D0">
        <w:rPr>
          <w:rFonts w:eastAsia="Times New Roman"/>
        </w:rPr>
        <w:t xml:space="preserve"> CL, Seemann T, Ingle DJ, Higgins N et al. Bridging of </w:t>
      </w:r>
      <w:r w:rsidRPr="009A49D0">
        <w:rPr>
          <w:rStyle w:val="Emphasis"/>
          <w:rFonts w:eastAsia="Times New Roman"/>
          <w:b w:val="0"/>
          <w:bCs w:val="0"/>
        </w:rPr>
        <w:t>Neisseria gonorrhoeae</w:t>
      </w:r>
      <w:r w:rsidRPr="009A49D0">
        <w:rPr>
          <w:rFonts w:eastAsia="Times New Roman"/>
        </w:rPr>
        <w:t xml:space="preserve"> lineages across sexual networks in the HIV pre-exposure prophylaxis era. </w:t>
      </w:r>
      <w:r w:rsidRPr="009A49D0">
        <w:rPr>
          <w:rStyle w:val="Emphasis"/>
          <w:rFonts w:eastAsia="Times New Roman"/>
          <w:b w:val="0"/>
          <w:bCs w:val="0"/>
        </w:rPr>
        <w:t xml:space="preserve">Nat </w:t>
      </w:r>
      <w:proofErr w:type="spellStart"/>
      <w:r w:rsidRPr="009A49D0">
        <w:rPr>
          <w:rStyle w:val="Emphasis"/>
          <w:rFonts w:eastAsia="Times New Roman"/>
          <w:b w:val="0"/>
          <w:bCs w:val="0"/>
        </w:rPr>
        <w:t>Commun</w:t>
      </w:r>
      <w:proofErr w:type="spellEnd"/>
      <w:r w:rsidRPr="009A49D0">
        <w:rPr>
          <w:rFonts w:eastAsia="Times New Roman"/>
        </w:rPr>
        <w:t xml:space="preserve">. 2019;10(1):3988. </w:t>
      </w:r>
      <w:proofErr w:type="spellStart"/>
      <w:r w:rsidRPr="009A49D0">
        <w:rPr>
          <w:rFonts w:eastAsia="Times New Roman"/>
        </w:rPr>
        <w:t>doi</w:t>
      </w:r>
      <w:proofErr w:type="spellEnd"/>
      <w:r w:rsidRPr="009A49D0">
        <w:rPr>
          <w:rFonts w:eastAsia="Times New Roman"/>
        </w:rPr>
        <w:t xml:space="preserve">: https://doi.org/10.1038/s41467-019-12053-4. </w:t>
      </w:r>
    </w:p>
    <w:p w14:paraId="45840C97" w14:textId="77777777" w:rsidR="00276887" w:rsidRPr="009A49D0" w:rsidRDefault="00276887" w:rsidP="009A49D0">
      <w:pPr>
        <w:pStyle w:val="ListParagraph"/>
        <w:numPr>
          <w:ilvl w:val="0"/>
          <w:numId w:val="10"/>
        </w:numPr>
        <w:rPr>
          <w:rFonts w:eastAsia="Times New Roman"/>
        </w:rPr>
      </w:pPr>
      <w:r w:rsidRPr="009A49D0">
        <w:rPr>
          <w:rFonts w:eastAsia="Times New Roman"/>
        </w:rPr>
        <w:t xml:space="preserve">Queensland Health. </w:t>
      </w:r>
      <w:r w:rsidRPr="009A49D0">
        <w:rPr>
          <w:rStyle w:val="Emphasis"/>
          <w:rFonts w:eastAsia="Times New Roman"/>
          <w:b w:val="0"/>
          <w:bCs w:val="0"/>
        </w:rPr>
        <w:t>North Queensland Aboriginal and Torres Strait Islander HIV Response Plan 2019–2021</w:t>
      </w:r>
      <w:r w:rsidRPr="009A49D0">
        <w:rPr>
          <w:rFonts w:eastAsia="Times New Roman"/>
        </w:rPr>
        <w:t>. Cairns: Queensland Government, Queensland Health, Cairns and Hinterland Hospital and Health Service; 2019. Available from: https://cairns-hinterland.health.qld.gov.au/_media/for-health-professionals/tropical-public-health-service/nq-hiv-response-plan.pdf.</w:t>
      </w:r>
    </w:p>
    <w:p w14:paraId="5E1ED77F" w14:textId="31BC73CD" w:rsidR="008B5348" w:rsidRDefault="008B5348">
      <w:pPr>
        <w:rPr>
          <w:rStyle w:val="A10"/>
        </w:rPr>
      </w:pPr>
    </w:p>
    <w:p w14:paraId="603DFD03" w14:textId="77777777"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4520446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1EC842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9976FA3" w14:textId="77777777" w:rsidR="000A5F42" w:rsidRPr="000606CC" w:rsidRDefault="000A5F42" w:rsidP="000A5F42">
      <w:pPr>
        <w:pStyle w:val="NoSpacing"/>
        <w:rPr>
          <w:rStyle w:val="URI"/>
          <w:rFonts w:cstheme="minorHAnsi"/>
          <w:sz w:val="20"/>
          <w:szCs w:val="18"/>
        </w:rPr>
      </w:pPr>
    </w:p>
    <w:p w14:paraId="71A2B062"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09558D3A" w14:textId="77777777" w:rsidR="000A5F42" w:rsidRPr="000606CC" w:rsidRDefault="000A5F42" w:rsidP="000A5F42">
      <w:pPr>
        <w:pStyle w:val="NoSpacing"/>
        <w:rPr>
          <w:rStyle w:val="Strong"/>
          <w:rFonts w:cstheme="minorHAnsi"/>
          <w:sz w:val="20"/>
          <w:szCs w:val="18"/>
        </w:rPr>
      </w:pPr>
    </w:p>
    <w:p w14:paraId="321793A8" w14:textId="00F3FE46"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r w:rsidR="005238C5">
        <w:rPr>
          <w:rFonts w:cstheme="minorHAnsi"/>
          <w:sz w:val="20"/>
          <w:szCs w:val="18"/>
        </w:rPr>
        <w:t xml:space="preserve"> and </w:t>
      </w:r>
      <w:r w:rsidR="005238C5" w:rsidRPr="005238C5">
        <w:rPr>
          <w:rFonts w:cstheme="minorHAnsi"/>
          <w:sz w:val="20"/>
          <w:szCs w:val="18"/>
        </w:rPr>
        <w:t xml:space="preserve">Noel </w:t>
      </w:r>
      <w:proofErr w:type="spellStart"/>
      <w:r w:rsidR="005238C5" w:rsidRPr="005238C5">
        <w:rPr>
          <w:rFonts w:cstheme="minorHAnsi"/>
          <w:sz w:val="20"/>
          <w:szCs w:val="18"/>
        </w:rPr>
        <w:t>Lally</w:t>
      </w:r>
      <w:proofErr w:type="spellEnd"/>
    </w:p>
    <w:p w14:paraId="4D88669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4D5023B"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AC35491"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3290354A" w14:textId="77777777" w:rsidR="000A5F42" w:rsidRPr="000606CC" w:rsidRDefault="000A5F42" w:rsidP="000A5F42">
      <w:pPr>
        <w:pStyle w:val="NoSpacing"/>
        <w:rPr>
          <w:rStyle w:val="Strong"/>
          <w:rFonts w:cstheme="minorHAnsi"/>
          <w:sz w:val="20"/>
          <w:szCs w:val="18"/>
        </w:rPr>
      </w:pPr>
    </w:p>
    <w:p w14:paraId="61592009" w14:textId="716438B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32EF667" w14:textId="77777777" w:rsidR="000A5F42" w:rsidRPr="000606CC" w:rsidRDefault="000A5F42" w:rsidP="000A5F42">
      <w:pPr>
        <w:pStyle w:val="NoSpacing"/>
        <w:rPr>
          <w:rStyle w:val="Strong"/>
          <w:rFonts w:cstheme="minorHAnsi"/>
          <w:sz w:val="20"/>
          <w:szCs w:val="18"/>
        </w:rPr>
      </w:pPr>
    </w:p>
    <w:p w14:paraId="2BAF8DEF"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08E4CC5D" w14:textId="77777777" w:rsidR="000A5F42" w:rsidRPr="000606CC" w:rsidRDefault="000A5F42" w:rsidP="000A5F42">
      <w:pPr>
        <w:pStyle w:val="NoSpacing"/>
        <w:rPr>
          <w:rStyle w:val="Strong"/>
          <w:rFonts w:cstheme="minorHAnsi"/>
          <w:sz w:val="20"/>
          <w:szCs w:val="18"/>
        </w:rPr>
      </w:pPr>
    </w:p>
    <w:p w14:paraId="4C80CAA6" w14:textId="76242F3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3EB2B5C" w14:textId="77777777" w:rsidR="000A5F42" w:rsidRPr="000606CC" w:rsidRDefault="000A5F42" w:rsidP="000A5F42">
      <w:pPr>
        <w:pStyle w:val="NoSpacing"/>
        <w:rPr>
          <w:rStyle w:val="Strong"/>
          <w:rFonts w:cstheme="minorHAnsi"/>
          <w:sz w:val="20"/>
          <w:szCs w:val="18"/>
        </w:rPr>
      </w:pPr>
    </w:p>
    <w:p w14:paraId="6FEB0EDC" w14:textId="31B24E75"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7A5EEBB" w14:textId="555BADBE"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23C4497D" w14:textId="77777777" w:rsidR="000A5F42" w:rsidRPr="000606CC" w:rsidRDefault="000A5F42" w:rsidP="000A5F42">
      <w:pPr>
        <w:pStyle w:val="NoSpacing"/>
        <w:pBdr>
          <w:bottom w:val="single" w:sz="6" w:space="1" w:color="auto"/>
        </w:pBdr>
        <w:rPr>
          <w:rStyle w:val="Strong"/>
          <w:rFonts w:cstheme="minorHAnsi"/>
          <w:sz w:val="12"/>
          <w:szCs w:val="18"/>
        </w:rPr>
      </w:pPr>
    </w:p>
    <w:p w14:paraId="3C43F3D0" w14:textId="77777777" w:rsidR="000A5F42" w:rsidRPr="000606CC" w:rsidRDefault="000A5F42" w:rsidP="000A5F42">
      <w:pPr>
        <w:pStyle w:val="NoSpacing"/>
        <w:rPr>
          <w:rFonts w:cstheme="minorHAnsi"/>
          <w:sz w:val="20"/>
          <w:szCs w:val="18"/>
        </w:rPr>
      </w:pPr>
    </w:p>
    <w:p w14:paraId="15ED3D45"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49543737" w14:textId="77777777" w:rsidR="000A5F42" w:rsidRPr="000606CC" w:rsidRDefault="000A5F42" w:rsidP="000A5F42">
      <w:pPr>
        <w:pStyle w:val="NoSpacing"/>
        <w:rPr>
          <w:rFonts w:cstheme="minorHAnsi"/>
          <w:sz w:val="20"/>
          <w:szCs w:val="18"/>
        </w:rPr>
      </w:pPr>
    </w:p>
    <w:p w14:paraId="3ED706D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A2DE8A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663EA5">
        <w:rPr>
          <w:rFonts w:cstheme="minorHAnsi"/>
          <w:sz w:val="20"/>
          <w:szCs w:val="18"/>
        </w:rPr>
        <w:t>2</w:t>
      </w:r>
      <w:r w:rsidRPr="000606CC">
        <w:rPr>
          <w:rFonts w:cstheme="minorHAnsi"/>
          <w:sz w:val="20"/>
          <w:szCs w:val="18"/>
        </w:rPr>
        <w:t xml:space="preserve"> Commonwealth of Australia as represented by the Department of Health</w:t>
      </w:r>
    </w:p>
    <w:p w14:paraId="2E432F40" w14:textId="59039274"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2788942" w14:textId="77777777" w:rsidR="000A5F42" w:rsidRPr="000606CC" w:rsidRDefault="000A5F42" w:rsidP="000A5F42">
      <w:pPr>
        <w:pStyle w:val="NoSpacing"/>
        <w:rPr>
          <w:rFonts w:cstheme="minorHAnsi"/>
          <w:sz w:val="20"/>
          <w:szCs w:val="18"/>
        </w:rPr>
      </w:pPr>
    </w:p>
    <w:p w14:paraId="45368F1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91CC863" w14:textId="6C5F812B"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4040660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019772F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2A212AD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575692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44FC37E" w14:textId="77777777" w:rsidR="000A5F42" w:rsidRPr="000606CC" w:rsidRDefault="000A5F42" w:rsidP="000A5F42">
      <w:pPr>
        <w:pStyle w:val="NoSpacing"/>
        <w:rPr>
          <w:rStyle w:val="Strong"/>
          <w:rFonts w:cstheme="minorHAnsi"/>
          <w:sz w:val="20"/>
          <w:szCs w:val="18"/>
        </w:rPr>
      </w:pPr>
    </w:p>
    <w:p w14:paraId="530B6B20"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81986DC" w14:textId="77777777" w:rsidR="000A5F42" w:rsidRPr="000606CC" w:rsidRDefault="000A5F42" w:rsidP="000A5F42">
      <w:pPr>
        <w:pStyle w:val="NoSpacing"/>
        <w:rPr>
          <w:rStyle w:val="Strong"/>
          <w:rFonts w:cstheme="minorHAnsi"/>
          <w:sz w:val="20"/>
          <w:szCs w:val="18"/>
        </w:rPr>
      </w:pPr>
    </w:p>
    <w:p w14:paraId="065796C5" w14:textId="4017C07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93FA5F5" w14:textId="77777777" w:rsidR="000A5F42" w:rsidRPr="000606CC" w:rsidRDefault="000A5F42" w:rsidP="000A5F42">
      <w:pPr>
        <w:pStyle w:val="NoSpacing"/>
        <w:rPr>
          <w:rStyle w:val="URI"/>
          <w:rFonts w:cstheme="minorHAnsi"/>
          <w:sz w:val="20"/>
          <w:szCs w:val="18"/>
        </w:rPr>
      </w:pPr>
    </w:p>
    <w:p w14:paraId="49CE9027" w14:textId="4B54F396"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147D1471"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189F3" w14:textId="77777777" w:rsidR="002B1BCD" w:rsidRDefault="002B1BCD" w:rsidP="00E54DBA">
      <w:r>
        <w:separator/>
      </w:r>
    </w:p>
    <w:p w14:paraId="6725FC9A" w14:textId="77777777" w:rsidR="002B1BCD" w:rsidRDefault="002B1BCD"/>
    <w:p w14:paraId="37588B2B" w14:textId="77777777" w:rsidR="002B1BCD" w:rsidRDefault="002B1BCD" w:rsidP="008714B0"/>
  </w:endnote>
  <w:endnote w:type="continuationSeparator" w:id="0">
    <w:p w14:paraId="55FC8753" w14:textId="77777777" w:rsidR="002B1BCD" w:rsidRDefault="002B1BCD" w:rsidP="00E54DBA">
      <w:r>
        <w:continuationSeparator/>
      </w:r>
    </w:p>
    <w:p w14:paraId="53E05391" w14:textId="77777777" w:rsidR="002B1BCD" w:rsidRDefault="002B1BCD"/>
    <w:p w14:paraId="5FF2C867" w14:textId="77777777" w:rsidR="002B1BCD" w:rsidRDefault="002B1BC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514E1" w14:textId="03E72BBF"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9A49D0">
      <w:rPr>
        <w:i/>
        <w:sz w:val="18"/>
      </w:rPr>
      <w:t>Commun</w:t>
    </w:r>
    <w:proofErr w:type="spellEnd"/>
    <w:r w:rsidR="00CE342B" w:rsidRPr="009A49D0">
      <w:rPr>
        <w:i/>
        <w:sz w:val="18"/>
      </w:rPr>
      <w:t xml:space="preserve"> Dis </w:t>
    </w:r>
    <w:proofErr w:type="spellStart"/>
    <w:r w:rsidR="00CE342B" w:rsidRPr="009A49D0">
      <w:rPr>
        <w:i/>
        <w:sz w:val="18"/>
      </w:rPr>
      <w:t>Intell</w:t>
    </w:r>
    <w:proofErr w:type="spellEnd"/>
    <w:r w:rsidR="00CE342B" w:rsidRPr="009A49D0">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2B1BCD">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2B1BCD">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045442">
      <w:rPr>
        <w:sz w:val="18"/>
      </w:rPr>
      <w:t>https://doi.org/10.33321/cdi.2022.46.22</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45442">
      <w:rPr>
        <w:sz w:val="18"/>
      </w:rPr>
      <w:t>26/4/2022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A6CCD" w14:textId="7F293EB9"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9A49D0">
      <w:rPr>
        <w:i/>
        <w:sz w:val="18"/>
      </w:rPr>
      <w:t>Commun</w:t>
    </w:r>
    <w:proofErr w:type="spellEnd"/>
    <w:r w:rsidR="00A164D5" w:rsidRPr="009A49D0">
      <w:rPr>
        <w:i/>
        <w:sz w:val="18"/>
      </w:rPr>
      <w:t xml:space="preserve"> Dis </w:t>
    </w:r>
    <w:proofErr w:type="spellStart"/>
    <w:r w:rsidR="00A164D5" w:rsidRPr="009A49D0">
      <w:rPr>
        <w:i/>
        <w:sz w:val="18"/>
      </w:rPr>
      <w:t>Intell</w:t>
    </w:r>
    <w:proofErr w:type="spellEnd"/>
    <w:r w:rsidR="00A164D5" w:rsidRPr="009A49D0">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2B1BCD">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2B1BCD">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045442">
      <w:rPr>
        <w:sz w:val="18"/>
      </w:rPr>
      <w:t>https://doi.org/10.33321/cdi.2022.46.22</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045442">
      <w:rPr>
        <w:sz w:val="18"/>
      </w:rPr>
      <w:t>26/4/2022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E5B8C" w14:textId="77777777" w:rsidR="002B1BCD" w:rsidRPr="00B91FB5" w:rsidRDefault="002B1BCD" w:rsidP="00B91FB5">
      <w:pPr>
        <w:spacing w:after="0" w:line="240" w:lineRule="auto"/>
        <w:rPr>
          <w:sz w:val="18"/>
          <w:szCs w:val="18"/>
        </w:rPr>
      </w:pPr>
      <w:r w:rsidRPr="00B91FB5">
        <w:rPr>
          <w:sz w:val="18"/>
          <w:szCs w:val="18"/>
        </w:rPr>
        <w:separator/>
      </w:r>
    </w:p>
  </w:footnote>
  <w:footnote w:type="continuationSeparator" w:id="0">
    <w:p w14:paraId="7600B51A" w14:textId="77777777" w:rsidR="002B1BCD" w:rsidRDefault="002B1BCD" w:rsidP="00E54DBA">
      <w:r>
        <w:continuationSeparator/>
      </w:r>
    </w:p>
  </w:footnote>
  <w:footnote w:type="continuationNotice" w:id="1">
    <w:p w14:paraId="26A48070" w14:textId="77777777" w:rsidR="002B1BCD" w:rsidRPr="00224EFF" w:rsidRDefault="002B1BCD"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60B5" w14:textId="251ED549" w:rsidR="00257484" w:rsidRPr="00A153B6" w:rsidRDefault="0065622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649B1">
          <w:t>Letter to the editor</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271D0"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2B2FCC49" wp14:editId="63BCD92B">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B7F1F"/>
    <w:multiLevelType w:val="multilevel"/>
    <w:tmpl w:val="2928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B50E40"/>
    <w:multiLevelType w:val="multilevel"/>
    <w:tmpl w:val="D6725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F22D24"/>
    <w:multiLevelType w:val="hybridMultilevel"/>
    <w:tmpl w:val="081089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A07306D"/>
    <w:multiLevelType w:val="hybridMultilevel"/>
    <w:tmpl w:val="0DA48A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6"/>
  </w:num>
  <w:num w:numId="6">
    <w:abstractNumId w:val="7"/>
  </w:num>
  <w:num w:numId="7">
    <w:abstractNumId w:val="3"/>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CD"/>
    <w:rsid w:val="00000B5B"/>
    <w:rsid w:val="00001611"/>
    <w:rsid w:val="000104A8"/>
    <w:rsid w:val="0001246E"/>
    <w:rsid w:val="000124B1"/>
    <w:rsid w:val="00016FE6"/>
    <w:rsid w:val="00031064"/>
    <w:rsid w:val="00031692"/>
    <w:rsid w:val="00032531"/>
    <w:rsid w:val="000325A0"/>
    <w:rsid w:val="00045442"/>
    <w:rsid w:val="000471BF"/>
    <w:rsid w:val="00047B68"/>
    <w:rsid w:val="00052600"/>
    <w:rsid w:val="0005643C"/>
    <w:rsid w:val="0006264A"/>
    <w:rsid w:val="00073D77"/>
    <w:rsid w:val="00081655"/>
    <w:rsid w:val="000864E0"/>
    <w:rsid w:val="000969B3"/>
    <w:rsid w:val="000A2516"/>
    <w:rsid w:val="000A5F42"/>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76887"/>
    <w:rsid w:val="00280594"/>
    <w:rsid w:val="00281EE3"/>
    <w:rsid w:val="00284E4A"/>
    <w:rsid w:val="002A3799"/>
    <w:rsid w:val="002A3BCC"/>
    <w:rsid w:val="002A4516"/>
    <w:rsid w:val="002A569F"/>
    <w:rsid w:val="002A7066"/>
    <w:rsid w:val="002B001E"/>
    <w:rsid w:val="002B09B7"/>
    <w:rsid w:val="002B1BCD"/>
    <w:rsid w:val="002B75A9"/>
    <w:rsid w:val="002C21B0"/>
    <w:rsid w:val="002E2FB3"/>
    <w:rsid w:val="002E38CF"/>
    <w:rsid w:val="002F327B"/>
    <w:rsid w:val="00301626"/>
    <w:rsid w:val="003059EC"/>
    <w:rsid w:val="00316CCD"/>
    <w:rsid w:val="00324F7E"/>
    <w:rsid w:val="003323BC"/>
    <w:rsid w:val="003412DC"/>
    <w:rsid w:val="003442D0"/>
    <w:rsid w:val="00346D42"/>
    <w:rsid w:val="00346E11"/>
    <w:rsid w:val="003601C0"/>
    <w:rsid w:val="003635F5"/>
    <w:rsid w:val="00372A88"/>
    <w:rsid w:val="00381A0F"/>
    <w:rsid w:val="003A1B3A"/>
    <w:rsid w:val="003A40F5"/>
    <w:rsid w:val="003B5B8C"/>
    <w:rsid w:val="003D79B1"/>
    <w:rsid w:val="003E700F"/>
    <w:rsid w:val="003E74EE"/>
    <w:rsid w:val="003F0152"/>
    <w:rsid w:val="003F0552"/>
    <w:rsid w:val="003F3BC2"/>
    <w:rsid w:val="00401ED1"/>
    <w:rsid w:val="0040224C"/>
    <w:rsid w:val="00413EE1"/>
    <w:rsid w:val="00414376"/>
    <w:rsid w:val="004164BB"/>
    <w:rsid w:val="0042000E"/>
    <w:rsid w:val="00421ECE"/>
    <w:rsid w:val="00422FEB"/>
    <w:rsid w:val="0042435E"/>
    <w:rsid w:val="004315F5"/>
    <w:rsid w:val="00433456"/>
    <w:rsid w:val="00433DFA"/>
    <w:rsid w:val="00435D67"/>
    <w:rsid w:val="0043618D"/>
    <w:rsid w:val="00464A58"/>
    <w:rsid w:val="00473D2D"/>
    <w:rsid w:val="004A2125"/>
    <w:rsid w:val="004A38F6"/>
    <w:rsid w:val="004B4EB6"/>
    <w:rsid w:val="004C083C"/>
    <w:rsid w:val="004C67C6"/>
    <w:rsid w:val="004D29DE"/>
    <w:rsid w:val="00510EAC"/>
    <w:rsid w:val="005238C5"/>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225"/>
    <w:rsid w:val="00656427"/>
    <w:rsid w:val="00660255"/>
    <w:rsid w:val="00663EA5"/>
    <w:rsid w:val="006649B1"/>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49D0"/>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37460"/>
    <w:rsid w:val="00B40DE2"/>
    <w:rsid w:val="00B50210"/>
    <w:rsid w:val="00B53955"/>
    <w:rsid w:val="00B6408A"/>
    <w:rsid w:val="00B714B8"/>
    <w:rsid w:val="00B82C2C"/>
    <w:rsid w:val="00B851E2"/>
    <w:rsid w:val="00B8720B"/>
    <w:rsid w:val="00B876EF"/>
    <w:rsid w:val="00B91FB5"/>
    <w:rsid w:val="00BA4697"/>
    <w:rsid w:val="00BB5378"/>
    <w:rsid w:val="00BC0BD3"/>
    <w:rsid w:val="00BC7AF9"/>
    <w:rsid w:val="00BD0107"/>
    <w:rsid w:val="00BE0C33"/>
    <w:rsid w:val="00BE262C"/>
    <w:rsid w:val="00BE4C25"/>
    <w:rsid w:val="00BE6C3D"/>
    <w:rsid w:val="00C07606"/>
    <w:rsid w:val="00C12542"/>
    <w:rsid w:val="00C24725"/>
    <w:rsid w:val="00C30BA9"/>
    <w:rsid w:val="00C3541E"/>
    <w:rsid w:val="00C36A8F"/>
    <w:rsid w:val="00C42834"/>
    <w:rsid w:val="00C42FFA"/>
    <w:rsid w:val="00C5032F"/>
    <w:rsid w:val="00C507D8"/>
    <w:rsid w:val="00C54D8A"/>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80D6B"/>
    <w:rsid w:val="00E92237"/>
    <w:rsid w:val="00E951EF"/>
    <w:rsid w:val="00EA3D54"/>
    <w:rsid w:val="00EA56D9"/>
    <w:rsid w:val="00EA5CE3"/>
    <w:rsid w:val="00EB3D08"/>
    <w:rsid w:val="00EB51C1"/>
    <w:rsid w:val="00EB5AE1"/>
    <w:rsid w:val="00EB5E0B"/>
    <w:rsid w:val="00EC2171"/>
    <w:rsid w:val="00ED442D"/>
    <w:rsid w:val="00ED70C2"/>
    <w:rsid w:val="00EE18FF"/>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56D8"/>
    <w:rsid w:val="00FE689F"/>
    <w:rsid w:val="00FE7809"/>
    <w:rsid w:val="00FF408B"/>
    <w:rsid w:val="00FF44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5728A59"/>
  <w15:docId w15:val="{AB35C506-6583-4B8B-8510-D7A56A24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12</TotalTime>
  <Pages>7</Pages>
  <Words>2043</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Communicable Diseases Intelligence 2021 - HIV risk and gonococcal genotype: Opportunities to improve passive surveillance for prompt identification of syndemics?</vt:lpstr>
    </vt:vector>
  </TitlesOfParts>
  <Company>Australian Government, Department of Health</Company>
  <LinksUpToDate>false</LinksUpToDate>
  <CharactersWithSpaces>15051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HIV risk and gonococcal genotype: Opportunities to improve passive surveillance for prompt identification of syndemics?</dc:title>
  <dc:subject>To understand the risk of HIV associated with gonococcal genotypes, we analysed linked Queensland datasets of genotyped Neisseria gonorrhoea isolates with phenotypic resistance data with HIV notifications. Further research into the association of gonococcal genotypes and risk of HIV acquisition may be helpful to develop targeted public health interventions.</dc:subject>
  <dc:creator>Sara FE Bell;Stephen B Lambert;Amy V Jennison;Christine JD Guglielmino;Robert S Ware;David M Whiley</dc:creator>
  <cp:keywords>Neisseria gonorrhoeae; genotype; HIV; Queensland</cp:keywords>
  <dc:description>© Commonwealth of Australia CC BY-NC-ND ISSN: 2209-6051 (Online)</dc:description>
  <cp:lastModifiedBy>YOUSEFI, Kasra</cp:lastModifiedBy>
  <cp:revision>16</cp:revision>
  <cp:lastPrinted>2018-05-10T02:19:00Z</cp:lastPrinted>
  <dcterms:created xsi:type="dcterms:W3CDTF">2022-02-04T00:15:00Z</dcterms:created>
  <dcterms:modified xsi:type="dcterms:W3CDTF">2022-04-11T00:21:00Z</dcterms:modified>
  <cp:category>Letter to the editor</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26/4/2022</vt:lpwstr>
  </property>
  <property fmtid="{D5CDD505-2E9C-101B-9397-08002B2CF9AE}" pid="5" name="DOI">
    <vt:lpwstr>https://doi.org/10.33321/cdi.2022.46.22</vt:lpwstr>
  </property>
</Properties>
</file>