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5DA4"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DA0BB7">
          <w:t>2023</w:t>
        </w:r>
      </w:fldSimple>
      <w:r w:rsidRPr="00B50D8D">
        <w:t xml:space="preserve">, Volume </w:t>
      </w:r>
      <w:fldSimple w:instr=" DOCPROPERTY  Vol  \* MERGEFORMAT ">
        <w:r w:rsidR="00DA0BB7">
          <w:t>47</w:t>
        </w:r>
      </w:fldSimple>
    </w:p>
    <w:p w14:paraId="28443871" w14:textId="6896FB0C" w:rsidR="00B50D8D" w:rsidRPr="00B50D8D" w:rsidRDefault="006856E0" w:rsidP="00B50D8D">
      <w:pPr>
        <w:pStyle w:val="CDIfootnotes"/>
      </w:pPr>
      <w:fldSimple w:instr=" DOCPROPERTY  DOI  \* MERGEFORMAT ">
        <w:r>
          <w:t>https://doi.org/10.33321/cdi.2023.47.55</w:t>
        </w:r>
      </w:fldSimple>
    </w:p>
    <w:p w14:paraId="5C36150D" w14:textId="66D21101" w:rsidR="00B50D8D" w:rsidRPr="00B50D8D" w:rsidRDefault="00B50D8D" w:rsidP="00B50D8D">
      <w:pPr>
        <w:pStyle w:val="CDIfootnotes"/>
      </w:pPr>
      <w:r w:rsidRPr="00B50D8D">
        <w:t xml:space="preserve">Publication date: </w:t>
      </w:r>
      <w:fldSimple w:instr=" DOCPROPERTY  ePubDate  \* MERGEFORMAT ">
        <w:r w:rsidR="00E40FC6">
          <w:t>21/09/2023</w:t>
        </w:r>
      </w:fldSimple>
    </w:p>
    <w:p w14:paraId="21D270F0" w14:textId="6F00945F" w:rsidR="00B50D8D" w:rsidRPr="00B50D8D" w:rsidRDefault="000165D9" w:rsidP="00B50D8D">
      <w:pPr>
        <w:pStyle w:val="CDIfootnotes"/>
      </w:pPr>
      <w:hyperlink r:id="rId9" w:history="1">
        <w:r w:rsidR="00B50D8D" w:rsidRPr="00B50D8D">
          <w:rPr>
            <w:rStyle w:val="Hyperlink"/>
          </w:rPr>
          <w:t>http://health.gov.au/cdi</w:t>
        </w:r>
      </w:hyperlink>
      <w:r w:rsidR="00B50D8D" w:rsidRPr="00B50D8D">
        <w:t xml:space="preserve"> </w:t>
      </w:r>
    </w:p>
    <w:p w14:paraId="10405437" w14:textId="77777777" w:rsidR="00040693" w:rsidRDefault="00040693" w:rsidP="00040693">
      <w:pPr>
        <w:pStyle w:val="Title"/>
        <w:divId w:val="1622613429"/>
        <w:rPr>
          <w:rFonts w:eastAsia="Times New Roman"/>
          <w:sz w:val="48"/>
          <w:szCs w:val="48"/>
        </w:rPr>
      </w:pPr>
      <w:r>
        <w:rPr>
          <w:rFonts w:eastAsia="Times New Roman"/>
        </w:rPr>
        <w:t xml:space="preserve">First documented gymnasium cluster of COVID-19 with whole genome sequencing in Australia </w:t>
      </w:r>
    </w:p>
    <w:p w14:paraId="0EEB7CE1" w14:textId="77777777" w:rsidR="00040693" w:rsidRDefault="00040693" w:rsidP="00040693">
      <w:pPr>
        <w:divId w:val="1622613429"/>
      </w:pPr>
      <w:r>
        <w:t xml:space="preserve">Bhavi Ravindran, Elizabeth </w:t>
      </w:r>
      <w:proofErr w:type="spellStart"/>
      <w:r>
        <w:t>Gatens</w:t>
      </w:r>
      <w:proofErr w:type="spellEnd"/>
      <w:r>
        <w:t xml:space="preserve">, </w:t>
      </w:r>
      <w:proofErr w:type="spellStart"/>
      <w:r>
        <w:t>Naru</w:t>
      </w:r>
      <w:proofErr w:type="spellEnd"/>
      <w:r>
        <w:t xml:space="preserve"> Pal, Vicky Sheppeard, Anna </w:t>
      </w:r>
      <w:proofErr w:type="spellStart"/>
      <w:r>
        <w:t>Calik</w:t>
      </w:r>
      <w:proofErr w:type="spellEnd"/>
      <w:r>
        <w:t xml:space="preserve">, Kate Alexander, </w:t>
      </w:r>
      <w:proofErr w:type="spellStart"/>
      <w:r>
        <w:t>Khizar</w:t>
      </w:r>
      <w:proofErr w:type="spellEnd"/>
      <w:r>
        <w:t xml:space="preserve"> Ashraf, Alicia Arnott, Vitali </w:t>
      </w:r>
      <w:proofErr w:type="spellStart"/>
      <w:r>
        <w:t>Sintchenko</w:t>
      </w:r>
      <w:proofErr w:type="spellEnd"/>
      <w:r>
        <w:t xml:space="preserve">, Craig B Dalton </w:t>
      </w:r>
    </w:p>
    <w:p w14:paraId="7B226E5F" w14:textId="77777777" w:rsidR="00040693" w:rsidRPr="004D7E97" w:rsidRDefault="00040693" w:rsidP="004D7E97">
      <w:pPr>
        <w:pStyle w:val="Heading1"/>
        <w:divId w:val="1622613429"/>
      </w:pPr>
      <w:r w:rsidRPr="004D7E97">
        <w:t xml:space="preserve">Abstract </w:t>
      </w:r>
    </w:p>
    <w:p w14:paraId="72F119E9" w14:textId="77777777" w:rsidR="00040693" w:rsidRPr="004D7E97" w:rsidRDefault="00040693" w:rsidP="004D7E97">
      <w:pPr>
        <w:pStyle w:val="Heading2"/>
        <w:divId w:val="1622613429"/>
      </w:pPr>
      <w:r w:rsidRPr="004D7E97">
        <w:t xml:space="preserve">Background </w:t>
      </w:r>
    </w:p>
    <w:p w14:paraId="267BF2F6" w14:textId="77777777" w:rsidR="00040693" w:rsidRDefault="00040693" w:rsidP="004D7E97">
      <w:pPr>
        <w:divId w:val="1622613429"/>
      </w:pPr>
      <w:r>
        <w:t xml:space="preserve">Transmission of coronavirus disease 2019 (COVID-19) has been </w:t>
      </w:r>
      <w:proofErr w:type="gramStart"/>
      <w:r>
        <w:t>demonstrated</w:t>
      </w:r>
      <w:proofErr w:type="gramEnd"/>
      <w:r>
        <w:t xml:space="preserve"> in fitness settings internationally. We report the first documented case of transmission of COVID-19 in a gymnasium in Australia in 2020. </w:t>
      </w:r>
    </w:p>
    <w:p w14:paraId="7C248FD2" w14:textId="77777777" w:rsidR="00040693" w:rsidRPr="00040693" w:rsidRDefault="00040693" w:rsidP="00040693">
      <w:pPr>
        <w:pStyle w:val="Heading2"/>
        <w:divId w:val="1622613429"/>
      </w:pPr>
      <w:r w:rsidRPr="00040693">
        <w:t xml:space="preserve">Methods </w:t>
      </w:r>
    </w:p>
    <w:p w14:paraId="21AE5DEE" w14:textId="77777777" w:rsidR="00040693" w:rsidRDefault="00040693" w:rsidP="00040693">
      <w:pPr>
        <w:divId w:val="1622613429"/>
      </w:pPr>
      <w:r>
        <w:t xml:space="preserve">Case finding and case interviews </w:t>
      </w:r>
      <w:proofErr w:type="gramStart"/>
      <w:r>
        <w:t>were conducted</w:t>
      </w:r>
      <w:proofErr w:type="gramEnd"/>
      <w:r>
        <w:t xml:space="preserve"> among attendees in a Western Sydney gymnasium, Australia. Whole genome sequencing using an amplicon-based approach </w:t>
      </w:r>
      <w:proofErr w:type="gramStart"/>
      <w:r>
        <w:t>was performed</w:t>
      </w:r>
      <w:proofErr w:type="gramEnd"/>
      <w:r>
        <w:t xml:space="preserve"> on all SARS CoV-2 polymerase chain reaction positive samples detected through surveillance. </w:t>
      </w:r>
    </w:p>
    <w:p w14:paraId="39564A01" w14:textId="77777777" w:rsidR="00040693" w:rsidRPr="00040693" w:rsidRDefault="00040693" w:rsidP="00040693">
      <w:pPr>
        <w:pStyle w:val="Heading2"/>
        <w:divId w:val="1622613429"/>
      </w:pPr>
      <w:r w:rsidRPr="00040693">
        <w:t xml:space="preserve">Results </w:t>
      </w:r>
    </w:p>
    <w:p w14:paraId="3E61DA56" w14:textId="77777777" w:rsidR="00040693" w:rsidRDefault="00040693" w:rsidP="00040693">
      <w:pPr>
        <w:divId w:val="1622613429"/>
      </w:pPr>
      <w:r>
        <w:t xml:space="preserve">We show that five cases of COVID-19 </w:t>
      </w:r>
      <w:proofErr w:type="gramStart"/>
      <w:r>
        <w:t>were linked</w:t>
      </w:r>
      <w:proofErr w:type="gramEnd"/>
      <w:r>
        <w:t xml:space="preserve"> to the gymnasium, with transmission occurring on 7 July 2020, when the index case transmitted the infection to four other gymnasium attendees through the sharing of an enclosed space. </w:t>
      </w:r>
    </w:p>
    <w:p w14:paraId="4B01E424" w14:textId="77777777" w:rsidR="00040693" w:rsidRPr="00040693" w:rsidRDefault="00040693" w:rsidP="00040693">
      <w:pPr>
        <w:pStyle w:val="Heading2"/>
        <w:divId w:val="1622613429"/>
      </w:pPr>
      <w:r w:rsidRPr="00040693">
        <w:t xml:space="preserve">Conclusions </w:t>
      </w:r>
    </w:p>
    <w:p w14:paraId="229A1D2F" w14:textId="77777777" w:rsidR="00040693" w:rsidRDefault="00040693" w:rsidP="00040693">
      <w:pPr>
        <w:divId w:val="1622613429"/>
      </w:pPr>
      <w:r>
        <w:t xml:space="preserve">There is an ongoing risk of transmission of COVID-19 within gymnasium environments and they </w:t>
      </w:r>
      <w:proofErr w:type="gramStart"/>
      <w:r>
        <w:t>are justifiably classified</w:t>
      </w:r>
      <w:proofErr w:type="gramEnd"/>
      <w:r>
        <w:t xml:space="preserve"> as a ‘high-risk’ venue. There may be a need to expand ventilation and space requirements to prevent transmission of COVID-19 in such settings in the context of severe COVID-19 variants or to prevent respiratory disease transmission in general. </w:t>
      </w:r>
    </w:p>
    <w:p w14:paraId="0D5E6154" w14:textId="77777777" w:rsidR="00040693" w:rsidRDefault="00040693" w:rsidP="00040693">
      <w:pPr>
        <w:divId w:val="1622613429"/>
      </w:pPr>
      <w:r>
        <w:t xml:space="preserve">Keywords: SARS virus; risk factors; gymnasium; coronavirus disease 2019 (COVID-19); Australia; public health; severe acute respiratory syndrome coronavirus 2 (SARS-CoV-2); outbreak; fitness; whole genome sequencing </w:t>
      </w:r>
    </w:p>
    <w:p w14:paraId="78C89167" w14:textId="77777777" w:rsidR="00040693" w:rsidRPr="00040693" w:rsidRDefault="00040693" w:rsidP="00040693">
      <w:pPr>
        <w:pStyle w:val="Heading1"/>
        <w:divId w:val="1622613429"/>
      </w:pPr>
      <w:r w:rsidRPr="00040693">
        <w:t xml:space="preserve">Introduction </w:t>
      </w:r>
    </w:p>
    <w:p w14:paraId="417F1DF8" w14:textId="77777777" w:rsidR="00040693" w:rsidRDefault="00040693" w:rsidP="00040693">
      <w:pPr>
        <w:divId w:val="1622613429"/>
      </w:pPr>
      <w:r>
        <w:t xml:space="preserve">Transmission of coronavirus disease 2019 (COVID-19) occurs </w:t>
      </w:r>
      <w:proofErr w:type="gramStart"/>
      <w:r>
        <w:t>mainly during</w:t>
      </w:r>
      <w:proofErr w:type="gramEnd"/>
      <w:r>
        <w:t xml:space="preserve"> close contact between people, via airborne transmission and through respiratory droplets produced during the symptomatic and pre-symptomatic phase.</w:t>
      </w:r>
      <w:r>
        <w:rPr>
          <w:vertAlign w:val="superscript"/>
        </w:rPr>
        <w:t xml:space="preserve">1 </w:t>
      </w:r>
    </w:p>
    <w:p w14:paraId="44AD8F2E" w14:textId="77777777" w:rsidR="00040693" w:rsidRDefault="00040693" w:rsidP="00040693">
      <w:pPr>
        <w:divId w:val="1622613429"/>
      </w:pPr>
      <w:r>
        <w:t>High-risk settings that have been associated with superspreading events in the COVID-19 pandemic include cruise ships, aged care facilities, restaurants, bars, night clubs, ski resorts, places of worship, meat processing facilities, and gymnasiums.</w:t>
      </w:r>
      <w:r>
        <w:rPr>
          <w:vertAlign w:val="superscript"/>
        </w:rPr>
        <w:t xml:space="preserve">2 </w:t>
      </w:r>
    </w:p>
    <w:p w14:paraId="515ABA9E" w14:textId="77777777" w:rsidR="00040693" w:rsidRDefault="00040693" w:rsidP="00040693">
      <w:pPr>
        <w:divId w:val="1622613429"/>
      </w:pPr>
      <w:r>
        <w:t>Further, outbreaks of COVID-19 have been documented in group fitness classes in South Korea,</w:t>
      </w:r>
      <w:r>
        <w:rPr>
          <w:vertAlign w:val="superscript"/>
        </w:rPr>
        <w:t>3</w:t>
      </w:r>
      <w:r>
        <w:t xml:space="preserve"> a squash court in Slovenia,</w:t>
      </w:r>
      <w:r>
        <w:rPr>
          <w:vertAlign w:val="superscript"/>
        </w:rPr>
        <w:t>4</w:t>
      </w:r>
      <w:r>
        <w:t xml:space="preserve"> and reported in gymnasiums in New South Wales and the United States of America.</w:t>
      </w:r>
      <w:r>
        <w:rPr>
          <w:vertAlign w:val="superscript"/>
        </w:rPr>
        <w:t>5–</w:t>
      </w:r>
      <w:proofErr w:type="gramStart"/>
      <w:r>
        <w:rPr>
          <w:vertAlign w:val="superscript"/>
        </w:rPr>
        <w:t>9</w:t>
      </w:r>
      <w:proofErr w:type="gramEnd"/>
      <w:r>
        <w:t xml:space="preserve"> </w:t>
      </w:r>
    </w:p>
    <w:p w14:paraId="20B61040" w14:textId="77777777" w:rsidR="00040693" w:rsidRDefault="00040693" w:rsidP="00040693">
      <w:pPr>
        <w:divId w:val="1622613429"/>
      </w:pPr>
      <w:r>
        <w:lastRenderedPageBreak/>
        <w:t xml:space="preserve">Here we describe the first documented gymnasium-associated transmission cluster in Australia, and outline the epidemiological methods used to elucidate the cluster of five COVID-19 cases linked to attendance at a gymnasium in Western Sydney in July 2020. </w:t>
      </w:r>
    </w:p>
    <w:p w14:paraId="039A1A5B" w14:textId="77777777" w:rsidR="00040693" w:rsidRPr="00040693" w:rsidRDefault="00040693" w:rsidP="00040693">
      <w:pPr>
        <w:pStyle w:val="Heading1"/>
        <w:divId w:val="1622613429"/>
      </w:pPr>
      <w:r w:rsidRPr="00040693">
        <w:t xml:space="preserve">Methods </w:t>
      </w:r>
    </w:p>
    <w:p w14:paraId="49F1C3E3" w14:textId="77777777" w:rsidR="00040693" w:rsidRDefault="00040693" w:rsidP="00040693">
      <w:pPr>
        <w:divId w:val="1622613429"/>
      </w:pPr>
      <w:r>
        <w:t xml:space="preserve">After recognition of a case of COVID-19 in a regular gymnasium attendee, all attendees of a Western Sydney gymnasium during the period 6–10 July 2020 </w:t>
      </w:r>
      <w:proofErr w:type="gramStart"/>
      <w:r>
        <w:t>were followed</w:t>
      </w:r>
      <w:proofErr w:type="gramEnd"/>
      <w:r>
        <w:t xml:space="preserve"> up by the local public health unit through an attendance log provided by the gymnasium. A cluster case was defined as a person who attended the gymnasium during 6–10 July and who </w:t>
      </w:r>
      <w:proofErr w:type="gramStart"/>
      <w:r>
        <w:t>tested</w:t>
      </w:r>
      <w:proofErr w:type="gramEnd"/>
      <w:r>
        <w:t xml:space="preserve"> positive by a SARS-CoV-2-specific real-time reverse transcription-polymerase chain reaction (RT-PCR) assay within 14 days of their last attendance date. No serological investigations </w:t>
      </w:r>
      <w:proofErr w:type="gramStart"/>
      <w:r>
        <w:t>were undertaken</w:t>
      </w:r>
      <w:proofErr w:type="gramEnd"/>
      <w:r>
        <w:t xml:space="preserve">. This investigation was conducted under the </w:t>
      </w:r>
      <w:r w:rsidRPr="00040693">
        <w:rPr>
          <w:rStyle w:val="Emphasis"/>
          <w:b w:val="0"/>
          <w:bCs w:val="0"/>
        </w:rPr>
        <w:t>New South Wales Public Health Act 2010</w:t>
      </w:r>
      <w:r>
        <w:t xml:space="preserve"> as part of routine public health </w:t>
      </w:r>
      <w:proofErr w:type="gramStart"/>
      <w:r>
        <w:t>follow-up,</w:t>
      </w:r>
      <w:proofErr w:type="gramEnd"/>
      <w:r>
        <w:t xml:space="preserve"> hence no ethics committee approval was required. </w:t>
      </w:r>
    </w:p>
    <w:p w14:paraId="5AF4C975" w14:textId="77777777" w:rsidR="00040693" w:rsidRDefault="00040693" w:rsidP="00040693">
      <w:pPr>
        <w:divId w:val="1622613429"/>
      </w:pPr>
      <w:r>
        <w:t xml:space="preserve">All positive cases had </w:t>
      </w:r>
      <w:proofErr w:type="gramStart"/>
      <w:r>
        <w:t>an initial</w:t>
      </w:r>
      <w:proofErr w:type="gramEnd"/>
      <w:r>
        <w:t xml:space="preserve"> standardised case interview that was completed by the local public health unit to ascertain other potential acquisition sources. Following this, a secondary interview was completed one month later, seeking further information </w:t>
      </w:r>
      <w:proofErr w:type="gramStart"/>
      <w:r>
        <w:t>regarding</w:t>
      </w:r>
      <w:proofErr w:type="gramEnd"/>
      <w:r>
        <w:t xml:space="preserve"> locations and timings within the gymnasium; activities undertaken at the gymnasium; potential risk activities; and protective behaviours such as handwashing or disinfecting equipment. All data </w:t>
      </w:r>
      <w:proofErr w:type="gramStart"/>
      <w:r>
        <w:t>was secured</w:t>
      </w:r>
      <w:proofErr w:type="gramEnd"/>
      <w:r>
        <w:t xml:space="preserve"> on an electronic password-protected database. </w:t>
      </w:r>
    </w:p>
    <w:p w14:paraId="7BE18037" w14:textId="77777777" w:rsidR="00040693" w:rsidRDefault="00040693" w:rsidP="00040693">
      <w:pPr>
        <w:divId w:val="1622613429"/>
      </w:pPr>
      <w:r>
        <w:t xml:space="preserve">Attendees were </w:t>
      </w:r>
      <w:proofErr w:type="gramStart"/>
      <w:r>
        <w:t>identified</w:t>
      </w:r>
      <w:proofErr w:type="gramEnd"/>
      <w:r>
        <w:t xml:space="preserve"> through contact tracing interviews with the cases; through an attendance list provided by the gymnasium; and through media messaging which encouraged all attendees to </w:t>
      </w:r>
      <w:proofErr w:type="spellStart"/>
      <w:r>
        <w:t>to</w:t>
      </w:r>
      <w:proofErr w:type="spellEnd"/>
      <w:r>
        <w:t xml:space="preserve"> test and isolate. Close contacts </w:t>
      </w:r>
      <w:proofErr w:type="gramStart"/>
      <w:r>
        <w:t>were defined</w:t>
      </w:r>
      <w:proofErr w:type="gramEnd"/>
      <w:r>
        <w:t xml:space="preserve"> as those people who attended the gymnasium when the index case was in attendance. Public health units actively </w:t>
      </w:r>
      <w:proofErr w:type="gramStart"/>
      <w:r>
        <w:t>monitored</w:t>
      </w:r>
      <w:proofErr w:type="gramEnd"/>
      <w:r>
        <w:t xml:space="preserve"> all close contacts for symptoms of COVID-19, and they were tested if they became symptomatic. </w:t>
      </w:r>
    </w:p>
    <w:p w14:paraId="1500C1B5" w14:textId="77777777" w:rsidR="00040693" w:rsidRDefault="00040693" w:rsidP="00040693">
      <w:pPr>
        <w:divId w:val="1622613429"/>
      </w:pPr>
      <w:r>
        <w:t xml:space="preserve">Whole genome sequencing </w:t>
      </w:r>
      <w:proofErr w:type="gramStart"/>
      <w:r>
        <w:t>was performed</w:t>
      </w:r>
      <w:proofErr w:type="gramEnd"/>
      <w:r>
        <w:t xml:space="preserve"> on SARS-CoV-2 PCR-positive samples using an amplicon-based approach.</w:t>
      </w:r>
      <w:r>
        <w:rPr>
          <w:vertAlign w:val="superscript"/>
        </w:rPr>
        <w:t xml:space="preserve">10 </w:t>
      </w:r>
    </w:p>
    <w:p w14:paraId="5913FCD1" w14:textId="77777777" w:rsidR="00040693" w:rsidRPr="00040693" w:rsidRDefault="00040693" w:rsidP="00040693">
      <w:pPr>
        <w:pStyle w:val="Heading1"/>
        <w:divId w:val="1622613429"/>
      </w:pPr>
      <w:r w:rsidRPr="00040693">
        <w:t xml:space="preserve">Results </w:t>
      </w:r>
    </w:p>
    <w:p w14:paraId="6ED6C360" w14:textId="77777777" w:rsidR="00040693" w:rsidRDefault="00040693" w:rsidP="00040693">
      <w:pPr>
        <w:divId w:val="1622613429"/>
      </w:pPr>
      <w:r>
        <w:t xml:space="preserve">The index patient (Case 1) (male, 26 years of age [M26]) </w:t>
      </w:r>
      <w:proofErr w:type="gramStart"/>
      <w:r>
        <w:t>was notified</w:t>
      </w:r>
      <w:proofErr w:type="gramEnd"/>
      <w:r>
        <w:t xml:space="preserve"> to New South Wales Health on 11 July 2020. An interview revealed that he had </w:t>
      </w:r>
      <w:proofErr w:type="gramStart"/>
      <w:r>
        <w:t>been exposed</w:t>
      </w:r>
      <w:proofErr w:type="gramEnd"/>
      <w:r>
        <w:t xml:space="preserve"> to a known case in a workplace during 3–5 July 2020 and had developed a mild headache on 10 July; he had visited the gymnasium daily during his infectious period from 6 to 10 July 2020. </w:t>
      </w:r>
    </w:p>
    <w:p w14:paraId="401237D4" w14:textId="77777777" w:rsidR="00040693" w:rsidRDefault="00040693" w:rsidP="00040693">
      <w:pPr>
        <w:divId w:val="1622613429"/>
      </w:pPr>
      <w:r>
        <w:t xml:space="preserve">The gymnasium spans two levels and </w:t>
      </w:r>
      <w:proofErr w:type="gramStart"/>
      <w:r>
        <w:t>contains</w:t>
      </w:r>
      <w:proofErr w:type="gramEnd"/>
      <w:r>
        <w:t xml:space="preserve"> a variety of exercise spaces. The ground level consists of one large room which includes the main area, weights area and a stretching area, with </w:t>
      </w:r>
      <w:proofErr w:type="gramStart"/>
      <w:r>
        <w:t>the majority of</w:t>
      </w:r>
      <w:proofErr w:type="gramEnd"/>
      <w:r>
        <w:t xml:space="preserve"> the weight machines in the main area and free weights in the weights area. The upstairs area </w:t>
      </w:r>
      <w:proofErr w:type="gramStart"/>
      <w:r>
        <w:t>contains</w:t>
      </w:r>
      <w:proofErr w:type="gramEnd"/>
      <w:r>
        <w:t xml:space="preserve"> treadmills, exercise bikes and elliptical machines. </w:t>
      </w:r>
    </w:p>
    <w:p w14:paraId="15F4A6E5" w14:textId="77777777" w:rsidR="00040693" w:rsidRDefault="00040693" w:rsidP="00040693">
      <w:pPr>
        <w:divId w:val="1622613429"/>
      </w:pPr>
      <w:r>
        <w:t xml:space="preserve">We describe the attendance on 7 July 2020 as there was a clear overlap between Case 1 and the remaining four cases in time, place and activities completed at the gymnasium on this date. We could not </w:t>
      </w:r>
      <w:proofErr w:type="gramStart"/>
      <w:r>
        <w:t>identify</w:t>
      </w:r>
      <w:proofErr w:type="gramEnd"/>
      <w:r>
        <w:t xml:space="preserve"> any further transmission on the other infectious-period days on which Case 1 attended the gymnasium. The attendance by Case 1 on 6 July and on 8–10 July 2020 was transient, mostly at times of low gymnasium attendance, and with exercises completed far away from other gym attendees. </w:t>
      </w:r>
    </w:p>
    <w:p w14:paraId="65B361BA" w14:textId="77777777" w:rsidR="00040693" w:rsidRDefault="00040693" w:rsidP="00040693">
      <w:pPr>
        <w:divId w:val="1622613429"/>
      </w:pPr>
      <w:r>
        <w:t xml:space="preserve">All five cases linked to this cluster were males aged 22–35 years. Case </w:t>
      </w:r>
      <w:proofErr w:type="gramStart"/>
      <w:r>
        <w:t>1</w:t>
      </w:r>
      <w:proofErr w:type="gramEnd"/>
      <w:r>
        <w:t xml:space="preserve"> attended the gymnasium on 7 July 2020 from 19:30, using a variety of weight machines in the main area, and then used a variety of free weights in the weights area. He concluded his session by doing push-ups and stretches in the stretching area. Throughout his gymnasium attendance, he chatted </w:t>
      </w:r>
      <w:proofErr w:type="gramStart"/>
      <w:r>
        <w:t>several</w:t>
      </w:r>
      <w:proofErr w:type="gramEnd"/>
      <w:r>
        <w:t xml:space="preserve"> times with Case 2. Four cases (Cases 2, 3, 4, and 5) all reported spending 20–30 minutes in the weights area of the gymnasium at the same time as the index case on 7 July 2020. </w:t>
      </w:r>
    </w:p>
    <w:p w14:paraId="2DB901CD" w14:textId="59D9324C" w:rsidR="00040693" w:rsidRDefault="00040693" w:rsidP="00040693">
      <w:pPr>
        <w:divId w:val="1622613429"/>
      </w:pPr>
      <w:r>
        <w:t xml:space="preserve">Case 2 (M35) was a family friend of Case 1 but had no contact with Case 1 outside of the gymnasium throughout his infectious period. Case </w:t>
      </w:r>
      <w:proofErr w:type="gramStart"/>
      <w:r>
        <w:t>2</w:t>
      </w:r>
      <w:proofErr w:type="gramEnd"/>
      <w:r>
        <w:t xml:space="preserve"> signed into the gymnasium at 19:55 on 7 July and commenced his workout in the stretching area before joining Case 1 in the weights area. He then used a variety of gymnasium equipment including cable machines in the main area, before using free weights in the weights area. After the conclusion of his activities, he joined Case 1 in the stretching area (Table 1).</w:t>
      </w:r>
    </w:p>
    <w:p w14:paraId="6AA2A401" w14:textId="221E2D5F" w:rsidR="009A4E94" w:rsidRPr="00DF288C" w:rsidRDefault="009A4E94" w:rsidP="009A4E94">
      <w:pPr>
        <w:pStyle w:val="CDIFigures"/>
        <w:divId w:val="1622613429"/>
      </w:pPr>
      <w:r w:rsidRPr="00DF288C">
        <w:rPr>
          <w:rStyle w:val="Strong"/>
          <w:b/>
          <w:bCs w:val="0"/>
        </w:rPr>
        <w:t xml:space="preserve">Table 1: </w:t>
      </w:r>
      <w:r w:rsidR="000165D9" w:rsidRPr="000165D9">
        <w:rPr>
          <w:rStyle w:val="Strong"/>
          <w:b/>
          <w:bCs w:val="0"/>
        </w:rPr>
        <w:t>Movements of all cases during their 7 July attendance at the Western Sydney gymnasium</w:t>
      </w:r>
    </w:p>
    <w:tbl>
      <w:tblPr>
        <w:tblStyle w:val="CDI-StandardTable"/>
        <w:tblW w:w="0" w:type="auto"/>
        <w:tblLook w:val="04A0" w:firstRow="1" w:lastRow="0" w:firstColumn="1" w:lastColumn="0" w:noHBand="0" w:noVBand="1"/>
      </w:tblPr>
      <w:tblGrid>
        <w:gridCol w:w="973"/>
        <w:gridCol w:w="1721"/>
        <w:gridCol w:w="1559"/>
        <w:gridCol w:w="1276"/>
        <w:gridCol w:w="1559"/>
        <w:gridCol w:w="1701"/>
        <w:gridCol w:w="1651"/>
      </w:tblGrid>
      <w:tr w:rsidR="009A4E94" w:rsidRPr="00B91655" w14:paraId="223AE6C0" w14:textId="77777777" w:rsidTr="009A4E94">
        <w:trPr>
          <w:cnfStyle w:val="100000000000" w:firstRow="1" w:lastRow="0" w:firstColumn="0" w:lastColumn="0" w:oddVBand="0" w:evenVBand="0" w:oddHBand="0" w:evenHBand="0" w:firstRowFirstColumn="0" w:firstRowLastColumn="0" w:lastRowFirstColumn="0" w:lastRowLastColumn="0"/>
          <w:divId w:val="1622613429"/>
        </w:trPr>
        <w:tc>
          <w:tcPr>
            <w:tcW w:w="973" w:type="dxa"/>
            <w:tcBorders>
              <w:bottom w:val="single" w:sz="4" w:space="0" w:color="808080" w:themeColor="background1" w:themeShade="80"/>
            </w:tcBorders>
            <w:hideMark/>
          </w:tcPr>
          <w:p w14:paraId="7C7A9B04" w14:textId="77777777" w:rsidR="009A4E94" w:rsidRPr="00B91655" w:rsidRDefault="009A4E94" w:rsidP="00707A7D">
            <w:pPr>
              <w:pStyle w:val="NormalWeb"/>
              <w:rPr>
                <w:sz w:val="18"/>
                <w:szCs w:val="18"/>
              </w:rPr>
            </w:pPr>
            <w:r w:rsidRPr="00B91655">
              <w:rPr>
                <w:sz w:val="18"/>
                <w:szCs w:val="18"/>
              </w:rPr>
              <w:t>7/7/2020</w:t>
            </w:r>
          </w:p>
        </w:tc>
        <w:tc>
          <w:tcPr>
            <w:tcW w:w="1721" w:type="dxa"/>
            <w:tcBorders>
              <w:bottom w:val="single" w:sz="4" w:space="0" w:color="808080" w:themeColor="background1" w:themeShade="80"/>
            </w:tcBorders>
            <w:hideMark/>
          </w:tcPr>
          <w:p w14:paraId="0699F4CC" w14:textId="77777777" w:rsidR="009A4E94" w:rsidRPr="00B91655" w:rsidRDefault="009A4E94" w:rsidP="00707A7D">
            <w:pPr>
              <w:pStyle w:val="NormalWeb"/>
              <w:rPr>
                <w:sz w:val="18"/>
                <w:szCs w:val="18"/>
              </w:rPr>
            </w:pPr>
            <w:r w:rsidRPr="00B91655">
              <w:rPr>
                <w:sz w:val="18"/>
                <w:szCs w:val="18"/>
              </w:rPr>
              <w:t xml:space="preserve">Case </w:t>
            </w:r>
            <w:proofErr w:type="gramStart"/>
            <w:r w:rsidRPr="00B91655">
              <w:rPr>
                <w:sz w:val="18"/>
                <w:szCs w:val="18"/>
              </w:rPr>
              <w:t>1</w:t>
            </w:r>
            <w:proofErr w:type="gramEnd"/>
          </w:p>
        </w:tc>
        <w:tc>
          <w:tcPr>
            <w:tcW w:w="1559" w:type="dxa"/>
            <w:tcBorders>
              <w:bottom w:val="single" w:sz="4" w:space="0" w:color="808080" w:themeColor="background1" w:themeShade="80"/>
            </w:tcBorders>
            <w:hideMark/>
          </w:tcPr>
          <w:p w14:paraId="5B50F1D3" w14:textId="77777777" w:rsidR="009A4E94" w:rsidRPr="00B91655" w:rsidRDefault="009A4E94" w:rsidP="00707A7D">
            <w:pPr>
              <w:pStyle w:val="NormalWeb"/>
              <w:rPr>
                <w:sz w:val="18"/>
                <w:szCs w:val="18"/>
              </w:rPr>
            </w:pPr>
            <w:r w:rsidRPr="00B91655">
              <w:rPr>
                <w:sz w:val="18"/>
                <w:szCs w:val="18"/>
              </w:rPr>
              <w:t xml:space="preserve">Case </w:t>
            </w:r>
            <w:proofErr w:type="gramStart"/>
            <w:r w:rsidRPr="00B91655">
              <w:rPr>
                <w:sz w:val="18"/>
                <w:szCs w:val="18"/>
              </w:rPr>
              <w:t>2</w:t>
            </w:r>
            <w:proofErr w:type="gramEnd"/>
          </w:p>
        </w:tc>
        <w:tc>
          <w:tcPr>
            <w:tcW w:w="2835" w:type="dxa"/>
            <w:gridSpan w:val="2"/>
            <w:tcBorders>
              <w:bottom w:val="single" w:sz="4" w:space="0" w:color="808080" w:themeColor="background1" w:themeShade="80"/>
            </w:tcBorders>
            <w:hideMark/>
          </w:tcPr>
          <w:p w14:paraId="4B5A22F0" w14:textId="77777777" w:rsidR="009A4E94" w:rsidRPr="00B91655" w:rsidRDefault="009A4E94" w:rsidP="00707A7D">
            <w:pPr>
              <w:pStyle w:val="NormalWeb"/>
              <w:rPr>
                <w:sz w:val="18"/>
                <w:szCs w:val="18"/>
              </w:rPr>
            </w:pPr>
            <w:r w:rsidRPr="00B91655">
              <w:rPr>
                <w:sz w:val="18"/>
                <w:szCs w:val="18"/>
              </w:rPr>
              <w:t xml:space="preserve">Case </w:t>
            </w:r>
            <w:proofErr w:type="gramStart"/>
            <w:r w:rsidRPr="00B91655">
              <w:rPr>
                <w:sz w:val="18"/>
                <w:szCs w:val="18"/>
              </w:rPr>
              <w:t>3</w:t>
            </w:r>
            <w:proofErr w:type="gramEnd"/>
          </w:p>
        </w:tc>
        <w:tc>
          <w:tcPr>
            <w:tcW w:w="1701" w:type="dxa"/>
            <w:tcBorders>
              <w:bottom w:val="single" w:sz="4" w:space="0" w:color="808080" w:themeColor="background1" w:themeShade="80"/>
            </w:tcBorders>
            <w:hideMark/>
          </w:tcPr>
          <w:p w14:paraId="5BFB319E" w14:textId="77777777" w:rsidR="009A4E94" w:rsidRPr="00B91655" w:rsidRDefault="009A4E94" w:rsidP="00707A7D">
            <w:pPr>
              <w:pStyle w:val="NormalWeb"/>
              <w:rPr>
                <w:sz w:val="18"/>
                <w:szCs w:val="18"/>
              </w:rPr>
            </w:pPr>
            <w:r w:rsidRPr="00B91655">
              <w:rPr>
                <w:sz w:val="18"/>
                <w:szCs w:val="18"/>
              </w:rPr>
              <w:t xml:space="preserve">Case </w:t>
            </w:r>
            <w:proofErr w:type="gramStart"/>
            <w:r w:rsidRPr="00B91655">
              <w:rPr>
                <w:sz w:val="18"/>
                <w:szCs w:val="18"/>
              </w:rPr>
              <w:t>4</w:t>
            </w:r>
            <w:proofErr w:type="gramEnd"/>
          </w:p>
        </w:tc>
        <w:tc>
          <w:tcPr>
            <w:tcW w:w="1651" w:type="dxa"/>
            <w:tcBorders>
              <w:bottom w:val="single" w:sz="4" w:space="0" w:color="808080" w:themeColor="background1" w:themeShade="80"/>
            </w:tcBorders>
            <w:hideMark/>
          </w:tcPr>
          <w:p w14:paraId="4EAB71D5" w14:textId="77777777" w:rsidR="009A4E94" w:rsidRPr="00B91655" w:rsidRDefault="009A4E94" w:rsidP="00707A7D">
            <w:pPr>
              <w:pStyle w:val="NormalWeb"/>
              <w:rPr>
                <w:sz w:val="18"/>
                <w:szCs w:val="18"/>
              </w:rPr>
            </w:pPr>
            <w:r w:rsidRPr="00B91655">
              <w:rPr>
                <w:sz w:val="18"/>
                <w:szCs w:val="18"/>
              </w:rPr>
              <w:t xml:space="preserve">Case </w:t>
            </w:r>
            <w:proofErr w:type="gramStart"/>
            <w:r w:rsidRPr="00B91655">
              <w:rPr>
                <w:sz w:val="18"/>
                <w:szCs w:val="18"/>
              </w:rPr>
              <w:t>5</w:t>
            </w:r>
            <w:proofErr w:type="gramEnd"/>
          </w:p>
        </w:tc>
      </w:tr>
      <w:tr w:rsidR="009A4E94" w:rsidRPr="00B91655" w14:paraId="074E2E40" w14:textId="77777777" w:rsidTr="009A4E94">
        <w:trPr>
          <w:divId w:val="1622613429"/>
        </w:trPr>
        <w:tc>
          <w:tcPr>
            <w:tcW w:w="973" w:type="dxa"/>
            <w:tcBorders>
              <w:top w:val="single" w:sz="4"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8B31C95" w14:textId="77777777" w:rsidR="009A4E94" w:rsidRPr="00B91655" w:rsidRDefault="009A4E94" w:rsidP="00707A7D">
            <w:pPr>
              <w:pStyle w:val="NormalWeb"/>
              <w:rPr>
                <w:sz w:val="18"/>
                <w:szCs w:val="18"/>
              </w:rPr>
            </w:pPr>
            <w:r w:rsidRPr="00B91655">
              <w:rPr>
                <w:sz w:val="18"/>
                <w:szCs w:val="18"/>
              </w:rPr>
              <w:t>1850</w:t>
            </w:r>
          </w:p>
        </w:tc>
        <w:tc>
          <w:tcPr>
            <w:tcW w:w="1721"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A5C48E3" w14:textId="77777777" w:rsidR="009A4E94" w:rsidRPr="00B91655" w:rsidRDefault="009A4E94" w:rsidP="00707A7D">
            <w:pPr>
              <w:rPr>
                <w:sz w:val="18"/>
                <w:szCs w:val="18"/>
              </w:rPr>
            </w:pPr>
          </w:p>
        </w:tc>
        <w:tc>
          <w:tcPr>
            <w:tcW w:w="1559"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164EE40" w14:textId="77777777" w:rsidR="009A4E94" w:rsidRPr="00B91655" w:rsidRDefault="009A4E94" w:rsidP="00707A7D">
            <w:pPr>
              <w:rPr>
                <w:rFonts w:eastAsia="Times New Roman"/>
                <w:sz w:val="18"/>
                <w:szCs w:val="18"/>
              </w:rPr>
            </w:pPr>
          </w:p>
        </w:tc>
        <w:tc>
          <w:tcPr>
            <w:tcW w:w="1276"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814F985" w14:textId="77777777" w:rsidR="009A4E94" w:rsidRPr="00B91655" w:rsidRDefault="009A4E94" w:rsidP="00707A7D">
            <w:pPr>
              <w:rPr>
                <w:rFonts w:eastAsia="Times New Roman"/>
                <w:sz w:val="18"/>
                <w:szCs w:val="18"/>
              </w:rPr>
            </w:pPr>
          </w:p>
        </w:tc>
        <w:tc>
          <w:tcPr>
            <w:tcW w:w="1559"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7B54F36" w14:textId="77777777" w:rsidR="009A4E94" w:rsidRPr="00B91655" w:rsidRDefault="009A4E94" w:rsidP="00707A7D">
            <w:pPr>
              <w:rPr>
                <w:rFonts w:eastAsia="Times New Roman"/>
                <w:sz w:val="18"/>
                <w:szCs w:val="18"/>
              </w:rPr>
            </w:pPr>
          </w:p>
        </w:tc>
        <w:tc>
          <w:tcPr>
            <w:tcW w:w="1701"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1ACBA09" w14:textId="77777777" w:rsidR="009A4E94" w:rsidRPr="00B91655" w:rsidRDefault="009A4E94" w:rsidP="00707A7D">
            <w:pPr>
              <w:rPr>
                <w:rFonts w:eastAsia="Times New Roman"/>
                <w:sz w:val="18"/>
                <w:szCs w:val="18"/>
              </w:rPr>
            </w:pPr>
          </w:p>
        </w:tc>
        <w:tc>
          <w:tcPr>
            <w:tcW w:w="1651" w:type="dxa"/>
            <w:vMerge w:val="restart"/>
            <w:tcBorders>
              <w:top w:val="single" w:sz="4"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C00000"/>
            <w:hideMark/>
          </w:tcPr>
          <w:p w14:paraId="3A69C8EE" w14:textId="77777777" w:rsidR="009A4E94" w:rsidRPr="00C43D74" w:rsidRDefault="009A4E94" w:rsidP="00707A7D">
            <w:pPr>
              <w:pStyle w:val="NormalWeb"/>
              <w:rPr>
                <w:b/>
                <w:bCs/>
                <w:color w:val="FFFFFF" w:themeColor="background1"/>
                <w:sz w:val="18"/>
                <w:szCs w:val="18"/>
              </w:rPr>
            </w:pPr>
            <w:r w:rsidRPr="00C43D74">
              <w:rPr>
                <w:b/>
                <w:bCs/>
                <w:color w:val="FFFFFF" w:themeColor="background1"/>
                <w:sz w:val="18"/>
                <w:szCs w:val="18"/>
              </w:rPr>
              <w:t>Upstairs</w:t>
            </w:r>
          </w:p>
        </w:tc>
      </w:tr>
      <w:tr w:rsidR="009A4E94" w:rsidRPr="00B91655" w14:paraId="6D3AEC06" w14:textId="77777777" w:rsidTr="009A4E94">
        <w:trPr>
          <w:cnfStyle w:val="000000010000" w:firstRow="0" w:lastRow="0" w:firstColumn="0" w:lastColumn="0" w:oddVBand="0" w:evenVBand="0" w:oddHBand="0" w:evenHBand="1" w:firstRowFirstColumn="0" w:firstRowLastColumn="0" w:lastRowFirstColumn="0" w:lastRowLastColumn="0"/>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D511448" w14:textId="77777777" w:rsidR="009A4E94" w:rsidRPr="00B91655" w:rsidRDefault="009A4E94" w:rsidP="00707A7D">
            <w:pPr>
              <w:pStyle w:val="NormalWeb"/>
              <w:rPr>
                <w:sz w:val="18"/>
                <w:szCs w:val="18"/>
              </w:rPr>
            </w:pPr>
            <w:r w:rsidRPr="00B91655">
              <w:rPr>
                <w:sz w:val="18"/>
                <w:szCs w:val="18"/>
              </w:rPr>
              <w:t>1900</w:t>
            </w:r>
          </w:p>
        </w:tc>
        <w:tc>
          <w:tcPr>
            <w:tcW w:w="17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A83EF7E" w14:textId="77777777" w:rsidR="009A4E94" w:rsidRPr="00B91655" w:rsidRDefault="009A4E94" w:rsidP="00707A7D">
            <w:pPr>
              <w:rPr>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2876661" w14:textId="77777777" w:rsidR="009A4E94" w:rsidRPr="00B91655" w:rsidRDefault="009A4E94" w:rsidP="00707A7D">
            <w:pPr>
              <w:rPr>
                <w:rFonts w:eastAsia="Times New Roman"/>
                <w:sz w:val="18"/>
                <w:szCs w:val="18"/>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F6F5428" w14:textId="77777777" w:rsidR="009A4E94" w:rsidRPr="00B91655" w:rsidRDefault="009A4E94" w:rsidP="00707A7D">
            <w:pPr>
              <w:rPr>
                <w:rFonts w:eastAsia="Times New Roman"/>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CFC4FDD" w14:textId="77777777" w:rsidR="009A4E94" w:rsidRPr="00B91655" w:rsidRDefault="009A4E94" w:rsidP="00707A7D">
            <w:pPr>
              <w:rPr>
                <w:rFonts w:eastAsia="Times New Roman"/>
                <w:sz w:val="18"/>
                <w:szCs w:val="18"/>
              </w:rPr>
            </w:pP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69086C9" w14:textId="77777777" w:rsidR="009A4E94" w:rsidRPr="00B91655" w:rsidRDefault="009A4E94" w:rsidP="00707A7D">
            <w:pPr>
              <w:rPr>
                <w:rFonts w:eastAsia="Times New Roman"/>
                <w:sz w:val="18"/>
                <w:szCs w:val="18"/>
              </w:rPr>
            </w:pPr>
          </w:p>
        </w:tc>
        <w:tc>
          <w:tcPr>
            <w:tcW w:w="165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C00000"/>
            <w:hideMark/>
          </w:tcPr>
          <w:p w14:paraId="318F9B05" w14:textId="77777777" w:rsidR="009A4E94" w:rsidRPr="00B91655" w:rsidRDefault="009A4E94" w:rsidP="00707A7D">
            <w:pPr>
              <w:rPr>
                <w:sz w:val="18"/>
                <w:szCs w:val="18"/>
              </w:rPr>
            </w:pPr>
          </w:p>
        </w:tc>
      </w:tr>
      <w:tr w:rsidR="009A4E94" w:rsidRPr="00B91655" w14:paraId="5235FB23" w14:textId="77777777" w:rsidTr="009A4E94">
        <w:trPr>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87DA0E3" w14:textId="77777777" w:rsidR="009A4E94" w:rsidRPr="00B91655" w:rsidRDefault="009A4E94" w:rsidP="00707A7D">
            <w:pPr>
              <w:pStyle w:val="NormalWeb"/>
              <w:rPr>
                <w:sz w:val="18"/>
                <w:szCs w:val="18"/>
              </w:rPr>
            </w:pPr>
            <w:r w:rsidRPr="00B91655">
              <w:rPr>
                <w:sz w:val="18"/>
                <w:szCs w:val="18"/>
              </w:rPr>
              <w:t>1910</w:t>
            </w:r>
          </w:p>
        </w:tc>
        <w:tc>
          <w:tcPr>
            <w:tcW w:w="17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691DDEF" w14:textId="77777777" w:rsidR="009A4E94" w:rsidRPr="00B91655" w:rsidRDefault="009A4E94" w:rsidP="00707A7D">
            <w:pPr>
              <w:rPr>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4FBFFE1" w14:textId="77777777" w:rsidR="009A4E94" w:rsidRPr="00B91655" w:rsidRDefault="009A4E94" w:rsidP="00707A7D">
            <w:pPr>
              <w:rPr>
                <w:rFonts w:eastAsia="Times New Roman"/>
                <w:sz w:val="18"/>
                <w:szCs w:val="18"/>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2941D5A" w14:textId="77777777" w:rsidR="009A4E94" w:rsidRPr="00B91655" w:rsidRDefault="009A4E94" w:rsidP="00707A7D">
            <w:pPr>
              <w:rPr>
                <w:rFonts w:eastAsia="Times New Roman"/>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736CB87" w14:textId="77777777" w:rsidR="009A4E94" w:rsidRPr="00B91655" w:rsidRDefault="009A4E94" w:rsidP="00707A7D">
            <w:pPr>
              <w:rPr>
                <w:rFonts w:eastAsia="Times New Roman"/>
                <w:sz w:val="18"/>
                <w:szCs w:val="18"/>
              </w:rPr>
            </w:pP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C2ADEF9" w14:textId="77777777" w:rsidR="009A4E94" w:rsidRPr="00B91655" w:rsidRDefault="009A4E94" w:rsidP="00707A7D">
            <w:pPr>
              <w:rPr>
                <w:rFonts w:eastAsia="Times New Roman"/>
                <w:sz w:val="18"/>
                <w:szCs w:val="18"/>
              </w:rPr>
            </w:pPr>
          </w:p>
        </w:tc>
        <w:tc>
          <w:tcPr>
            <w:tcW w:w="165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C00000"/>
            <w:hideMark/>
          </w:tcPr>
          <w:p w14:paraId="33B8C3A2" w14:textId="77777777" w:rsidR="009A4E94" w:rsidRPr="00B91655" w:rsidRDefault="009A4E94" w:rsidP="00707A7D">
            <w:pPr>
              <w:rPr>
                <w:sz w:val="18"/>
                <w:szCs w:val="18"/>
              </w:rPr>
            </w:pPr>
          </w:p>
        </w:tc>
      </w:tr>
      <w:tr w:rsidR="009A4E94" w:rsidRPr="00B91655" w14:paraId="5F997058" w14:textId="77777777" w:rsidTr="009A4E94">
        <w:trPr>
          <w:cnfStyle w:val="000000010000" w:firstRow="0" w:lastRow="0" w:firstColumn="0" w:lastColumn="0" w:oddVBand="0" w:evenVBand="0" w:oddHBand="0" w:evenHBand="1" w:firstRowFirstColumn="0" w:firstRowLastColumn="0" w:lastRowFirstColumn="0" w:lastRowLastColumn="0"/>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BF04D05" w14:textId="77777777" w:rsidR="009A4E94" w:rsidRPr="00B91655" w:rsidRDefault="009A4E94" w:rsidP="00707A7D">
            <w:pPr>
              <w:pStyle w:val="NormalWeb"/>
              <w:rPr>
                <w:sz w:val="18"/>
                <w:szCs w:val="18"/>
              </w:rPr>
            </w:pPr>
            <w:r w:rsidRPr="00B91655">
              <w:rPr>
                <w:sz w:val="18"/>
                <w:szCs w:val="18"/>
              </w:rPr>
              <w:t>1920</w:t>
            </w:r>
          </w:p>
        </w:tc>
        <w:tc>
          <w:tcPr>
            <w:tcW w:w="17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CC7BAD1" w14:textId="77777777" w:rsidR="009A4E94" w:rsidRPr="00505FFE" w:rsidRDefault="009A4E94" w:rsidP="00707A7D">
            <w:pPr>
              <w:pStyle w:val="NormalWeb"/>
              <w:rPr>
                <w:b/>
                <w:bCs/>
                <w:sz w:val="18"/>
                <w:szCs w:val="18"/>
              </w:rPr>
            </w:pPr>
            <w:r w:rsidRPr="00505FFE">
              <w:rPr>
                <w:b/>
                <w:bCs/>
                <w:sz w:val="18"/>
                <w:szCs w:val="18"/>
              </w:rPr>
              <w:t>Bathroom</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556C376" w14:textId="77777777" w:rsidR="009A4E94" w:rsidRPr="00B91655" w:rsidRDefault="009A4E94" w:rsidP="00707A7D">
            <w:pPr>
              <w:rPr>
                <w:sz w:val="18"/>
                <w:szCs w:val="18"/>
              </w:rPr>
            </w:pPr>
          </w:p>
        </w:tc>
        <w:tc>
          <w:tcPr>
            <w:tcW w:w="1276"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vAlign w:val="top"/>
            <w:hideMark/>
          </w:tcPr>
          <w:p w14:paraId="0C95500D" w14:textId="77777777" w:rsidR="009A4E94" w:rsidRPr="008752B8" w:rsidRDefault="009A4E94" w:rsidP="00707A7D">
            <w:pPr>
              <w:pStyle w:val="NormalWeb"/>
              <w:jc w:val="right"/>
              <w:rPr>
                <w:color w:val="FFFFFF" w:themeColor="background1"/>
                <w:sz w:val="18"/>
                <w:szCs w:val="18"/>
              </w:rPr>
            </w:pPr>
            <w:r w:rsidRPr="008C7768">
              <w:rPr>
                <w:b/>
                <w:bCs/>
                <w:color w:val="auto"/>
                <w:sz w:val="18"/>
                <w:szCs w:val="18"/>
              </w:rPr>
              <w:t>Mix of</w:t>
            </w:r>
            <w:r w:rsidRPr="008C7768">
              <w:rPr>
                <w:b/>
                <w:bCs/>
                <w:color w:val="auto"/>
                <w:sz w:val="18"/>
                <w:szCs w:val="18"/>
              </w:rPr>
              <w:br/>
              <w:t>and</w:t>
            </w:r>
            <w:r w:rsidRPr="008C7768">
              <w:rPr>
                <w:b/>
                <w:bCs/>
                <w:color w:val="auto"/>
                <w:sz w:val="18"/>
                <w:szCs w:val="18"/>
              </w:rPr>
              <w:br/>
              <w:t>area</w:t>
            </w:r>
          </w:p>
        </w:tc>
        <w:tc>
          <w:tcPr>
            <w:tcW w:w="155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vAlign w:val="top"/>
            <w:hideMark/>
          </w:tcPr>
          <w:p w14:paraId="572CAF74" w14:textId="77777777" w:rsidR="009A4E94" w:rsidRPr="00B91655" w:rsidRDefault="009A4E94" w:rsidP="00707A7D">
            <w:pPr>
              <w:pStyle w:val="NormalWeb"/>
              <w:jc w:val="left"/>
              <w:rPr>
                <w:sz w:val="18"/>
                <w:szCs w:val="18"/>
              </w:rPr>
            </w:pPr>
            <w:r w:rsidRPr="00734332">
              <w:rPr>
                <w:b/>
                <w:bCs/>
                <w:sz w:val="18"/>
                <w:szCs w:val="18"/>
              </w:rPr>
              <w:t>Weights</w:t>
            </w:r>
            <w:r>
              <w:rPr>
                <w:b/>
                <w:bCs/>
                <w:sz w:val="18"/>
                <w:szCs w:val="18"/>
              </w:rPr>
              <w:br/>
            </w:r>
            <w:r w:rsidRPr="00734332">
              <w:rPr>
                <w:b/>
                <w:bCs/>
                <w:sz w:val="18"/>
                <w:szCs w:val="18"/>
              </w:rPr>
              <w:t>main</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853DFD6" w14:textId="77777777" w:rsidR="009A4E94" w:rsidRPr="00B91655" w:rsidRDefault="009A4E94" w:rsidP="00707A7D">
            <w:pPr>
              <w:rPr>
                <w:sz w:val="18"/>
                <w:szCs w:val="18"/>
              </w:rPr>
            </w:pPr>
          </w:p>
        </w:tc>
        <w:tc>
          <w:tcPr>
            <w:tcW w:w="165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C00000"/>
            <w:hideMark/>
          </w:tcPr>
          <w:p w14:paraId="74BF07C1" w14:textId="77777777" w:rsidR="009A4E94" w:rsidRPr="00B91655" w:rsidRDefault="009A4E94" w:rsidP="00707A7D">
            <w:pPr>
              <w:rPr>
                <w:sz w:val="18"/>
                <w:szCs w:val="18"/>
              </w:rPr>
            </w:pPr>
          </w:p>
        </w:tc>
      </w:tr>
      <w:tr w:rsidR="009A4E94" w:rsidRPr="00B91655" w14:paraId="10C9C4C2" w14:textId="77777777" w:rsidTr="009A4E94">
        <w:trPr>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C77DC47" w14:textId="77777777" w:rsidR="009A4E94" w:rsidRPr="00B91655" w:rsidRDefault="009A4E94" w:rsidP="00707A7D">
            <w:pPr>
              <w:pStyle w:val="NormalWeb"/>
              <w:rPr>
                <w:sz w:val="18"/>
                <w:szCs w:val="18"/>
              </w:rPr>
            </w:pPr>
            <w:r w:rsidRPr="00B91655">
              <w:rPr>
                <w:sz w:val="18"/>
                <w:szCs w:val="18"/>
              </w:rPr>
              <w:t>1930</w:t>
            </w:r>
          </w:p>
        </w:tc>
        <w:tc>
          <w:tcPr>
            <w:tcW w:w="1721"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3D4A5062" w14:textId="77777777" w:rsidR="009A4E94" w:rsidRPr="00734332" w:rsidRDefault="009A4E94" w:rsidP="00707A7D">
            <w:pPr>
              <w:pStyle w:val="NormalWeb"/>
              <w:rPr>
                <w:b/>
                <w:bCs/>
                <w:sz w:val="18"/>
                <w:szCs w:val="18"/>
              </w:rPr>
            </w:pPr>
            <w:r w:rsidRPr="00734332">
              <w:rPr>
                <w:b/>
                <w:bCs/>
                <w:sz w:val="18"/>
                <w:szCs w:val="18"/>
              </w:rPr>
              <w:t>Main area</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6FA891B" w14:textId="77777777" w:rsidR="009A4E94" w:rsidRPr="00B91655" w:rsidRDefault="009A4E94" w:rsidP="00707A7D">
            <w:pPr>
              <w:rPr>
                <w:sz w:val="18"/>
                <w:szCs w:val="18"/>
              </w:rPr>
            </w:pPr>
          </w:p>
        </w:tc>
        <w:tc>
          <w:tcPr>
            <w:tcW w:w="127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346AB1EB" w14:textId="77777777" w:rsidR="009A4E94" w:rsidRPr="00B91655" w:rsidRDefault="009A4E94" w:rsidP="00707A7D">
            <w:pPr>
              <w:rPr>
                <w:sz w:val="18"/>
                <w:szCs w:val="18"/>
              </w:rPr>
            </w:pPr>
          </w:p>
        </w:tc>
        <w:tc>
          <w:tcPr>
            <w:tcW w:w="155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7C38476E" w14:textId="77777777" w:rsidR="009A4E94" w:rsidRPr="00B91655" w:rsidRDefault="009A4E94" w:rsidP="00707A7D">
            <w:pPr>
              <w:rPr>
                <w:sz w:val="18"/>
                <w:szCs w:val="18"/>
              </w:rPr>
            </w:pP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619369B" w14:textId="77777777" w:rsidR="009A4E94" w:rsidRPr="00B91655" w:rsidRDefault="009A4E94" w:rsidP="00707A7D">
            <w:pPr>
              <w:rPr>
                <w:rFonts w:eastAsia="Times New Roman"/>
                <w:sz w:val="18"/>
                <w:szCs w:val="18"/>
              </w:rPr>
            </w:pPr>
          </w:p>
        </w:tc>
        <w:tc>
          <w:tcPr>
            <w:tcW w:w="165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C00000"/>
            <w:hideMark/>
          </w:tcPr>
          <w:p w14:paraId="6050A4A9" w14:textId="77777777" w:rsidR="009A4E94" w:rsidRPr="00B91655" w:rsidRDefault="009A4E94" w:rsidP="00707A7D">
            <w:pPr>
              <w:rPr>
                <w:sz w:val="18"/>
                <w:szCs w:val="18"/>
              </w:rPr>
            </w:pPr>
          </w:p>
        </w:tc>
      </w:tr>
      <w:tr w:rsidR="009A4E94" w:rsidRPr="00B91655" w14:paraId="29807BCE" w14:textId="77777777" w:rsidTr="009A4E94">
        <w:trPr>
          <w:cnfStyle w:val="000000010000" w:firstRow="0" w:lastRow="0" w:firstColumn="0" w:lastColumn="0" w:oddVBand="0" w:evenVBand="0" w:oddHBand="0" w:evenHBand="1" w:firstRowFirstColumn="0" w:firstRowLastColumn="0" w:lastRowFirstColumn="0" w:lastRowLastColumn="0"/>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78E0664" w14:textId="77777777" w:rsidR="009A4E94" w:rsidRPr="00B91655" w:rsidRDefault="009A4E94" w:rsidP="00707A7D">
            <w:pPr>
              <w:pStyle w:val="NormalWeb"/>
              <w:rPr>
                <w:sz w:val="18"/>
                <w:szCs w:val="18"/>
              </w:rPr>
            </w:pPr>
            <w:r w:rsidRPr="00B91655">
              <w:rPr>
                <w:sz w:val="18"/>
                <w:szCs w:val="18"/>
              </w:rPr>
              <w:t>1940</w:t>
            </w:r>
          </w:p>
        </w:tc>
        <w:tc>
          <w:tcPr>
            <w:tcW w:w="172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0E9801D9" w14:textId="77777777" w:rsidR="009A4E94" w:rsidRPr="00734332" w:rsidRDefault="009A4E94" w:rsidP="00707A7D">
            <w:pPr>
              <w:rPr>
                <w:b/>
                <w:bCs/>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88B9B4D" w14:textId="77777777" w:rsidR="009A4E94" w:rsidRPr="00B91655" w:rsidRDefault="009A4E94" w:rsidP="00707A7D">
            <w:pPr>
              <w:rPr>
                <w:sz w:val="18"/>
                <w:szCs w:val="18"/>
              </w:rPr>
            </w:pPr>
          </w:p>
        </w:tc>
        <w:tc>
          <w:tcPr>
            <w:tcW w:w="127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1ED1BF07" w14:textId="77777777" w:rsidR="009A4E94" w:rsidRPr="00B91655" w:rsidRDefault="009A4E94" w:rsidP="00707A7D">
            <w:pPr>
              <w:rPr>
                <w:sz w:val="18"/>
                <w:szCs w:val="18"/>
              </w:rPr>
            </w:pPr>
          </w:p>
        </w:tc>
        <w:tc>
          <w:tcPr>
            <w:tcW w:w="155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6F9A324D" w14:textId="77777777" w:rsidR="009A4E94" w:rsidRPr="00B91655" w:rsidRDefault="009A4E94" w:rsidP="00707A7D">
            <w:pPr>
              <w:rPr>
                <w:sz w:val="18"/>
                <w:szCs w:val="18"/>
              </w:rPr>
            </w:pP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988AE1C" w14:textId="77777777" w:rsidR="009A4E94" w:rsidRPr="00B91655" w:rsidRDefault="009A4E94" w:rsidP="00707A7D">
            <w:pPr>
              <w:rPr>
                <w:rFonts w:eastAsia="Times New Roman"/>
                <w:sz w:val="18"/>
                <w:szCs w:val="18"/>
              </w:rPr>
            </w:pPr>
          </w:p>
        </w:tc>
        <w:tc>
          <w:tcPr>
            <w:tcW w:w="165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C00000"/>
            <w:hideMark/>
          </w:tcPr>
          <w:p w14:paraId="5B8C1EA5" w14:textId="77777777" w:rsidR="009A4E94" w:rsidRPr="00B91655" w:rsidRDefault="009A4E94" w:rsidP="00707A7D">
            <w:pPr>
              <w:rPr>
                <w:sz w:val="18"/>
                <w:szCs w:val="18"/>
              </w:rPr>
            </w:pPr>
          </w:p>
        </w:tc>
      </w:tr>
      <w:tr w:rsidR="009A4E94" w:rsidRPr="00B91655" w14:paraId="0EEC57C0" w14:textId="77777777" w:rsidTr="009A4E94">
        <w:trPr>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11A5BD6" w14:textId="77777777" w:rsidR="009A4E94" w:rsidRPr="00B91655" w:rsidRDefault="009A4E94" w:rsidP="00707A7D">
            <w:pPr>
              <w:pStyle w:val="NormalWeb"/>
              <w:rPr>
                <w:sz w:val="18"/>
                <w:szCs w:val="18"/>
              </w:rPr>
            </w:pPr>
            <w:r w:rsidRPr="00B91655">
              <w:rPr>
                <w:sz w:val="18"/>
                <w:szCs w:val="18"/>
              </w:rPr>
              <w:t>1950</w:t>
            </w:r>
          </w:p>
        </w:tc>
        <w:tc>
          <w:tcPr>
            <w:tcW w:w="172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2B41FDF4" w14:textId="77777777" w:rsidR="009A4E94" w:rsidRPr="00734332" w:rsidRDefault="009A4E94" w:rsidP="00707A7D">
            <w:pPr>
              <w:rPr>
                <w:b/>
                <w:bCs/>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76923C" w:themeFill="accent3" w:themeFillShade="BF"/>
            <w:hideMark/>
          </w:tcPr>
          <w:p w14:paraId="1DB851FC" w14:textId="77777777" w:rsidR="009A4E94" w:rsidRPr="00BE208D" w:rsidRDefault="009A4E94" w:rsidP="00707A7D">
            <w:pPr>
              <w:pStyle w:val="NormalWeb"/>
              <w:rPr>
                <w:b/>
                <w:bCs/>
                <w:color w:val="FFFFFF" w:themeColor="background1"/>
                <w:sz w:val="18"/>
                <w:szCs w:val="18"/>
              </w:rPr>
            </w:pPr>
            <w:r w:rsidRPr="008C7768">
              <w:rPr>
                <w:b/>
                <w:bCs/>
                <w:color w:val="auto"/>
                <w:sz w:val="18"/>
                <w:szCs w:val="18"/>
              </w:rPr>
              <w:t>Stretching area</w:t>
            </w:r>
          </w:p>
        </w:tc>
        <w:tc>
          <w:tcPr>
            <w:tcW w:w="127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432DE9F1" w14:textId="77777777" w:rsidR="009A4E94" w:rsidRPr="00B91655" w:rsidRDefault="009A4E94" w:rsidP="00707A7D">
            <w:pPr>
              <w:rPr>
                <w:sz w:val="18"/>
                <w:szCs w:val="18"/>
              </w:rPr>
            </w:pPr>
          </w:p>
        </w:tc>
        <w:tc>
          <w:tcPr>
            <w:tcW w:w="155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5374A1A2" w14:textId="77777777" w:rsidR="009A4E94" w:rsidRPr="00B91655" w:rsidRDefault="009A4E94" w:rsidP="00707A7D">
            <w:pPr>
              <w:rPr>
                <w:sz w:val="18"/>
                <w:szCs w:val="18"/>
              </w:rPr>
            </w:pP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C69B0F3" w14:textId="77777777" w:rsidR="009A4E94" w:rsidRPr="00B91655" w:rsidRDefault="009A4E94" w:rsidP="00707A7D">
            <w:pPr>
              <w:rPr>
                <w:sz w:val="18"/>
                <w:szCs w:val="18"/>
              </w:rPr>
            </w:pPr>
          </w:p>
        </w:tc>
        <w:tc>
          <w:tcPr>
            <w:tcW w:w="1651"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4F81BD" w:themeFill="accent1"/>
            <w:hideMark/>
          </w:tcPr>
          <w:p w14:paraId="3DB61FBD" w14:textId="77777777" w:rsidR="009A4E94" w:rsidRPr="008752B8" w:rsidRDefault="009A4E94" w:rsidP="00707A7D">
            <w:pPr>
              <w:pStyle w:val="NormalWeb"/>
              <w:rPr>
                <w:b/>
                <w:bCs/>
                <w:color w:val="FFFFFF" w:themeColor="background1"/>
                <w:sz w:val="18"/>
                <w:szCs w:val="18"/>
              </w:rPr>
            </w:pPr>
            <w:r w:rsidRPr="008C7768">
              <w:rPr>
                <w:b/>
                <w:bCs/>
                <w:color w:val="auto"/>
                <w:sz w:val="18"/>
                <w:szCs w:val="18"/>
              </w:rPr>
              <w:t>Weights area</w:t>
            </w:r>
          </w:p>
        </w:tc>
      </w:tr>
      <w:tr w:rsidR="009A4E94" w:rsidRPr="00B91655" w14:paraId="55919FC6" w14:textId="77777777" w:rsidTr="009A4E94">
        <w:trPr>
          <w:cnfStyle w:val="000000010000" w:firstRow="0" w:lastRow="0" w:firstColumn="0" w:lastColumn="0" w:oddVBand="0" w:evenVBand="0" w:oddHBand="0" w:evenHBand="1" w:firstRowFirstColumn="0" w:firstRowLastColumn="0" w:lastRowFirstColumn="0" w:lastRowLastColumn="0"/>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BEF1C2C" w14:textId="77777777" w:rsidR="009A4E94" w:rsidRPr="00B91655" w:rsidRDefault="009A4E94" w:rsidP="00707A7D">
            <w:pPr>
              <w:pStyle w:val="NormalWeb"/>
              <w:rPr>
                <w:sz w:val="18"/>
                <w:szCs w:val="18"/>
              </w:rPr>
            </w:pPr>
            <w:r w:rsidRPr="00B91655">
              <w:rPr>
                <w:sz w:val="18"/>
                <w:szCs w:val="18"/>
              </w:rPr>
              <w:t>2000</w:t>
            </w:r>
          </w:p>
        </w:tc>
        <w:tc>
          <w:tcPr>
            <w:tcW w:w="1721"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3F187909" w14:textId="77777777" w:rsidR="009A4E94" w:rsidRPr="00266726" w:rsidRDefault="009A4E94" w:rsidP="00707A7D">
            <w:pPr>
              <w:pStyle w:val="NormalWeb"/>
              <w:rPr>
                <w:b/>
                <w:bCs/>
                <w:color w:val="FFFFFF" w:themeColor="background1"/>
                <w:sz w:val="18"/>
                <w:szCs w:val="18"/>
              </w:rPr>
            </w:pPr>
            <w:r w:rsidRPr="008C7768">
              <w:rPr>
                <w:b/>
                <w:bCs/>
                <w:color w:val="auto"/>
                <w:sz w:val="18"/>
                <w:szCs w:val="18"/>
              </w:rPr>
              <w:t>Weights area</w:t>
            </w:r>
          </w:p>
        </w:tc>
        <w:tc>
          <w:tcPr>
            <w:tcW w:w="155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28E818D3" w14:textId="77777777" w:rsidR="009A4E94" w:rsidRPr="00266726" w:rsidRDefault="009A4E94" w:rsidP="00707A7D">
            <w:pPr>
              <w:pStyle w:val="NormalWeb"/>
              <w:rPr>
                <w:b/>
                <w:bCs/>
                <w:color w:val="FFFFFF" w:themeColor="background1"/>
                <w:sz w:val="18"/>
                <w:szCs w:val="18"/>
              </w:rPr>
            </w:pPr>
            <w:r w:rsidRPr="008C7768">
              <w:rPr>
                <w:b/>
                <w:bCs/>
                <w:color w:val="auto"/>
                <w:sz w:val="18"/>
                <w:szCs w:val="18"/>
              </w:rPr>
              <w:t>Weights area</w:t>
            </w:r>
          </w:p>
        </w:tc>
        <w:tc>
          <w:tcPr>
            <w:tcW w:w="127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6B0D2639" w14:textId="77777777" w:rsidR="009A4E94" w:rsidRPr="00B91655" w:rsidRDefault="009A4E94" w:rsidP="00707A7D">
            <w:pPr>
              <w:rPr>
                <w:sz w:val="18"/>
                <w:szCs w:val="18"/>
              </w:rPr>
            </w:pPr>
          </w:p>
        </w:tc>
        <w:tc>
          <w:tcPr>
            <w:tcW w:w="155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72805529" w14:textId="77777777" w:rsidR="009A4E94" w:rsidRPr="00B91655" w:rsidRDefault="009A4E94" w:rsidP="00707A7D">
            <w:pPr>
              <w:rPr>
                <w:sz w:val="18"/>
                <w:szCs w:val="18"/>
              </w:rPr>
            </w:pP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04FFADC" w14:textId="77777777" w:rsidR="009A4E94" w:rsidRPr="00B91655" w:rsidRDefault="009A4E94" w:rsidP="00707A7D">
            <w:pPr>
              <w:rPr>
                <w:sz w:val="18"/>
                <w:szCs w:val="18"/>
              </w:rPr>
            </w:pPr>
          </w:p>
        </w:tc>
        <w:tc>
          <w:tcPr>
            <w:tcW w:w="165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4F81BD" w:themeFill="accent1"/>
            <w:hideMark/>
          </w:tcPr>
          <w:p w14:paraId="5757923A" w14:textId="77777777" w:rsidR="009A4E94" w:rsidRPr="00734332" w:rsidRDefault="009A4E94" w:rsidP="00707A7D">
            <w:pPr>
              <w:rPr>
                <w:b/>
                <w:bCs/>
                <w:sz w:val="18"/>
                <w:szCs w:val="18"/>
              </w:rPr>
            </w:pPr>
          </w:p>
        </w:tc>
      </w:tr>
      <w:tr w:rsidR="009A4E94" w:rsidRPr="00B91655" w14:paraId="5CDD2BA5" w14:textId="77777777" w:rsidTr="009A4E94">
        <w:trPr>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EAB4D90" w14:textId="77777777" w:rsidR="009A4E94" w:rsidRPr="00B91655" w:rsidRDefault="009A4E94" w:rsidP="00707A7D">
            <w:pPr>
              <w:pStyle w:val="NormalWeb"/>
              <w:rPr>
                <w:sz w:val="18"/>
                <w:szCs w:val="18"/>
              </w:rPr>
            </w:pPr>
            <w:r w:rsidRPr="00B91655">
              <w:rPr>
                <w:sz w:val="18"/>
                <w:szCs w:val="18"/>
              </w:rPr>
              <w:t>2010</w:t>
            </w:r>
          </w:p>
        </w:tc>
        <w:tc>
          <w:tcPr>
            <w:tcW w:w="172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CCB76F7" w14:textId="77777777" w:rsidR="009A4E94" w:rsidRPr="00734332" w:rsidRDefault="009A4E94" w:rsidP="00707A7D">
            <w:pPr>
              <w:rPr>
                <w:b/>
                <w:bCs/>
                <w:sz w:val="18"/>
                <w:szCs w:val="18"/>
              </w:rPr>
            </w:pPr>
          </w:p>
        </w:tc>
        <w:tc>
          <w:tcPr>
            <w:tcW w:w="155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49F998D" w14:textId="77777777" w:rsidR="009A4E94" w:rsidRPr="00734332" w:rsidRDefault="009A4E94" w:rsidP="00707A7D">
            <w:pPr>
              <w:rPr>
                <w:b/>
                <w:bCs/>
                <w:sz w:val="18"/>
                <w:szCs w:val="18"/>
              </w:rPr>
            </w:pPr>
          </w:p>
        </w:tc>
        <w:tc>
          <w:tcPr>
            <w:tcW w:w="127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39D29C6D" w14:textId="77777777" w:rsidR="009A4E94" w:rsidRPr="00B91655" w:rsidRDefault="009A4E94" w:rsidP="00707A7D">
            <w:pPr>
              <w:rPr>
                <w:sz w:val="18"/>
                <w:szCs w:val="18"/>
              </w:rPr>
            </w:pPr>
          </w:p>
        </w:tc>
        <w:tc>
          <w:tcPr>
            <w:tcW w:w="155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5FC7D225" w14:textId="77777777" w:rsidR="009A4E94" w:rsidRPr="00B91655" w:rsidRDefault="009A4E94" w:rsidP="00707A7D">
            <w:pPr>
              <w:rPr>
                <w:sz w:val="18"/>
                <w:szCs w:val="18"/>
              </w:rPr>
            </w:pP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0FD5B966" w14:textId="77777777" w:rsidR="009A4E94" w:rsidRPr="008752B8" w:rsidRDefault="009A4E94" w:rsidP="00707A7D">
            <w:pPr>
              <w:pStyle w:val="NormalWeb"/>
              <w:rPr>
                <w:b/>
                <w:bCs/>
                <w:color w:val="FFFFFF" w:themeColor="background1"/>
                <w:sz w:val="18"/>
                <w:szCs w:val="18"/>
              </w:rPr>
            </w:pPr>
            <w:r w:rsidRPr="008C7768">
              <w:rPr>
                <w:b/>
                <w:bCs/>
                <w:color w:val="auto"/>
                <w:sz w:val="18"/>
                <w:szCs w:val="18"/>
              </w:rPr>
              <w:t>Weights area</w:t>
            </w:r>
          </w:p>
        </w:tc>
        <w:tc>
          <w:tcPr>
            <w:tcW w:w="165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4F81BD" w:themeFill="accent1"/>
            <w:hideMark/>
          </w:tcPr>
          <w:p w14:paraId="15363D5F" w14:textId="77777777" w:rsidR="009A4E94" w:rsidRPr="00734332" w:rsidRDefault="009A4E94" w:rsidP="00707A7D">
            <w:pPr>
              <w:rPr>
                <w:b/>
                <w:bCs/>
                <w:sz w:val="18"/>
                <w:szCs w:val="18"/>
              </w:rPr>
            </w:pPr>
          </w:p>
        </w:tc>
      </w:tr>
      <w:tr w:rsidR="009A4E94" w:rsidRPr="00B91655" w14:paraId="677D7732" w14:textId="77777777" w:rsidTr="009A4E94">
        <w:trPr>
          <w:cnfStyle w:val="000000010000" w:firstRow="0" w:lastRow="0" w:firstColumn="0" w:lastColumn="0" w:oddVBand="0" w:evenVBand="0" w:oddHBand="0" w:evenHBand="1" w:firstRowFirstColumn="0" w:firstRowLastColumn="0" w:lastRowFirstColumn="0" w:lastRowLastColumn="0"/>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BE03362" w14:textId="77777777" w:rsidR="009A4E94" w:rsidRPr="00B91655" w:rsidRDefault="009A4E94" w:rsidP="00707A7D">
            <w:pPr>
              <w:pStyle w:val="NormalWeb"/>
              <w:rPr>
                <w:sz w:val="18"/>
                <w:szCs w:val="18"/>
              </w:rPr>
            </w:pPr>
            <w:r w:rsidRPr="00B91655">
              <w:rPr>
                <w:sz w:val="18"/>
                <w:szCs w:val="18"/>
              </w:rPr>
              <w:t>2020</w:t>
            </w:r>
          </w:p>
        </w:tc>
        <w:tc>
          <w:tcPr>
            <w:tcW w:w="172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31FF34B" w14:textId="77777777" w:rsidR="009A4E94" w:rsidRPr="00734332" w:rsidRDefault="009A4E94" w:rsidP="00707A7D">
            <w:pPr>
              <w:rPr>
                <w:b/>
                <w:bCs/>
                <w:sz w:val="18"/>
                <w:szCs w:val="18"/>
              </w:rPr>
            </w:pPr>
          </w:p>
        </w:tc>
        <w:tc>
          <w:tcPr>
            <w:tcW w:w="155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0BC56309" w14:textId="77777777" w:rsidR="009A4E94" w:rsidRPr="00734332" w:rsidRDefault="009A4E94" w:rsidP="00707A7D">
            <w:pPr>
              <w:pStyle w:val="NormalWeb"/>
              <w:rPr>
                <w:b/>
                <w:bCs/>
                <w:sz w:val="18"/>
                <w:szCs w:val="18"/>
              </w:rPr>
            </w:pPr>
            <w:r w:rsidRPr="00734332">
              <w:rPr>
                <w:b/>
                <w:bCs/>
                <w:sz w:val="18"/>
                <w:szCs w:val="18"/>
              </w:rPr>
              <w:t>Main area</w:t>
            </w:r>
          </w:p>
        </w:tc>
        <w:tc>
          <w:tcPr>
            <w:tcW w:w="1276"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2E74FB21" w14:textId="77777777" w:rsidR="009A4E94" w:rsidRPr="00B91655" w:rsidRDefault="009A4E94" w:rsidP="00707A7D">
            <w:pPr>
              <w:rPr>
                <w:sz w:val="18"/>
                <w:szCs w:val="18"/>
              </w:rPr>
            </w:pPr>
          </w:p>
        </w:tc>
        <w:tc>
          <w:tcPr>
            <w:tcW w:w="155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58D2F6EE" w14:textId="77777777" w:rsidR="009A4E94" w:rsidRPr="00B91655" w:rsidRDefault="009A4E94" w:rsidP="00707A7D">
            <w:pPr>
              <w:rPr>
                <w:sz w:val="18"/>
                <w:szCs w:val="18"/>
              </w:rPr>
            </w:pPr>
          </w:p>
        </w:tc>
        <w:tc>
          <w:tcPr>
            <w:tcW w:w="1701"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3057EF6A" w14:textId="77777777" w:rsidR="009A4E94" w:rsidRPr="00734332" w:rsidRDefault="009A4E94" w:rsidP="00707A7D">
            <w:pPr>
              <w:pStyle w:val="NormalWeb"/>
              <w:rPr>
                <w:b/>
                <w:bCs/>
                <w:sz w:val="18"/>
                <w:szCs w:val="18"/>
              </w:rPr>
            </w:pPr>
            <w:r w:rsidRPr="00734332">
              <w:rPr>
                <w:b/>
                <w:bCs/>
                <w:sz w:val="18"/>
                <w:szCs w:val="18"/>
              </w:rPr>
              <w:t>Main area</w:t>
            </w:r>
          </w:p>
        </w:tc>
        <w:tc>
          <w:tcPr>
            <w:tcW w:w="1651"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FFC000"/>
            <w:hideMark/>
          </w:tcPr>
          <w:p w14:paraId="38887F03" w14:textId="77777777" w:rsidR="009A4E94" w:rsidRPr="00734332" w:rsidRDefault="009A4E94" w:rsidP="00707A7D">
            <w:pPr>
              <w:pStyle w:val="NormalWeb"/>
              <w:rPr>
                <w:b/>
                <w:bCs/>
                <w:sz w:val="18"/>
                <w:szCs w:val="18"/>
              </w:rPr>
            </w:pPr>
            <w:r w:rsidRPr="00734332">
              <w:rPr>
                <w:b/>
                <w:bCs/>
                <w:sz w:val="18"/>
                <w:szCs w:val="18"/>
              </w:rPr>
              <w:t>Main area</w:t>
            </w:r>
          </w:p>
        </w:tc>
      </w:tr>
      <w:tr w:rsidR="009A4E94" w:rsidRPr="00B91655" w14:paraId="51500B7E" w14:textId="77777777" w:rsidTr="009A4E94">
        <w:trPr>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352A296" w14:textId="77777777" w:rsidR="009A4E94" w:rsidRPr="00B91655" w:rsidRDefault="009A4E94" w:rsidP="00707A7D">
            <w:pPr>
              <w:pStyle w:val="NormalWeb"/>
              <w:rPr>
                <w:sz w:val="18"/>
                <w:szCs w:val="18"/>
              </w:rPr>
            </w:pPr>
            <w:r w:rsidRPr="00B91655">
              <w:rPr>
                <w:sz w:val="18"/>
                <w:szCs w:val="18"/>
              </w:rPr>
              <w:t>2030</w:t>
            </w:r>
          </w:p>
        </w:tc>
        <w:tc>
          <w:tcPr>
            <w:tcW w:w="172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24344423" w14:textId="77777777" w:rsidR="009A4E94" w:rsidRPr="00734332" w:rsidRDefault="009A4E94" w:rsidP="00707A7D">
            <w:pPr>
              <w:rPr>
                <w:b/>
                <w:bCs/>
                <w:sz w:val="18"/>
                <w:szCs w:val="18"/>
              </w:rPr>
            </w:pPr>
          </w:p>
        </w:tc>
        <w:tc>
          <w:tcPr>
            <w:tcW w:w="1559"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0426BEEC" w14:textId="77777777" w:rsidR="009A4E94" w:rsidRPr="00734332" w:rsidRDefault="009A4E94" w:rsidP="00707A7D">
            <w:pPr>
              <w:rPr>
                <w:b/>
                <w:bCs/>
                <w:sz w:val="18"/>
                <w:szCs w:val="18"/>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D770CCB" w14:textId="77777777" w:rsidR="009A4E94" w:rsidRPr="00B91655" w:rsidRDefault="009A4E94" w:rsidP="00707A7D">
            <w:pPr>
              <w:rPr>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3B32B644" w14:textId="77777777" w:rsidR="009A4E94" w:rsidRPr="00B91655" w:rsidRDefault="009A4E94" w:rsidP="00707A7D">
            <w:pPr>
              <w:rPr>
                <w:rFonts w:eastAsia="Times New Roman"/>
                <w:sz w:val="18"/>
                <w:szCs w:val="18"/>
              </w:rPr>
            </w:pPr>
          </w:p>
        </w:tc>
        <w:tc>
          <w:tcPr>
            <w:tcW w:w="170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23872579" w14:textId="77777777" w:rsidR="009A4E94" w:rsidRPr="00734332" w:rsidRDefault="009A4E94" w:rsidP="00707A7D">
            <w:pPr>
              <w:rPr>
                <w:b/>
                <w:bCs/>
                <w:sz w:val="18"/>
                <w:szCs w:val="18"/>
              </w:rPr>
            </w:pPr>
          </w:p>
        </w:tc>
        <w:tc>
          <w:tcPr>
            <w:tcW w:w="165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FFC000"/>
            <w:hideMark/>
          </w:tcPr>
          <w:p w14:paraId="12B55379" w14:textId="77777777" w:rsidR="009A4E94" w:rsidRPr="00734332" w:rsidRDefault="009A4E94" w:rsidP="00707A7D">
            <w:pPr>
              <w:rPr>
                <w:b/>
                <w:bCs/>
                <w:sz w:val="18"/>
                <w:szCs w:val="18"/>
              </w:rPr>
            </w:pPr>
          </w:p>
        </w:tc>
      </w:tr>
      <w:tr w:rsidR="009A4E94" w:rsidRPr="00B91655" w14:paraId="62E35B56" w14:textId="77777777" w:rsidTr="009A4E94">
        <w:trPr>
          <w:cnfStyle w:val="000000010000" w:firstRow="0" w:lastRow="0" w:firstColumn="0" w:lastColumn="0" w:oddVBand="0" w:evenVBand="0" w:oddHBand="0" w:evenHBand="1" w:firstRowFirstColumn="0" w:firstRowLastColumn="0" w:lastRowFirstColumn="0" w:lastRowLastColumn="0"/>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6D5C601" w14:textId="77777777" w:rsidR="009A4E94" w:rsidRPr="00B91655" w:rsidRDefault="009A4E94" w:rsidP="00707A7D">
            <w:pPr>
              <w:pStyle w:val="NormalWeb"/>
              <w:rPr>
                <w:sz w:val="18"/>
                <w:szCs w:val="18"/>
              </w:rPr>
            </w:pPr>
            <w:r w:rsidRPr="00B91655">
              <w:rPr>
                <w:sz w:val="18"/>
                <w:szCs w:val="18"/>
              </w:rPr>
              <w:t>2040</w:t>
            </w:r>
          </w:p>
        </w:tc>
        <w:tc>
          <w:tcPr>
            <w:tcW w:w="1721"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5219D70C" w14:textId="77777777" w:rsidR="009A4E94" w:rsidRPr="00734332" w:rsidRDefault="009A4E94" w:rsidP="00707A7D">
            <w:pPr>
              <w:rPr>
                <w:b/>
                <w:bCs/>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445BDA86" w14:textId="77777777" w:rsidR="009A4E94" w:rsidRPr="00266726" w:rsidRDefault="009A4E94" w:rsidP="00707A7D">
            <w:pPr>
              <w:pStyle w:val="NormalWeb"/>
              <w:rPr>
                <w:b/>
                <w:bCs/>
                <w:color w:val="FFFFFF" w:themeColor="background1"/>
                <w:sz w:val="18"/>
                <w:szCs w:val="18"/>
              </w:rPr>
            </w:pPr>
            <w:r w:rsidRPr="008C7768">
              <w:rPr>
                <w:b/>
                <w:bCs/>
                <w:color w:val="auto"/>
                <w:sz w:val="18"/>
                <w:szCs w:val="18"/>
              </w:rPr>
              <w:t>Weights area</w:t>
            </w: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12DB277D" w14:textId="77777777" w:rsidR="009A4E94" w:rsidRPr="00B91655" w:rsidRDefault="009A4E94" w:rsidP="00707A7D">
            <w:pPr>
              <w:rPr>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7C86B3F5" w14:textId="77777777" w:rsidR="009A4E94" w:rsidRPr="00B91655" w:rsidRDefault="009A4E94" w:rsidP="00707A7D">
            <w:pPr>
              <w:rPr>
                <w:rFonts w:eastAsia="Times New Roman"/>
                <w:sz w:val="18"/>
                <w:szCs w:val="18"/>
              </w:rPr>
            </w:pP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4F81BD" w:themeFill="accent1"/>
            <w:hideMark/>
          </w:tcPr>
          <w:p w14:paraId="56B2BE21" w14:textId="77777777" w:rsidR="009A4E94" w:rsidRPr="008752B8" w:rsidRDefault="009A4E94" w:rsidP="00707A7D">
            <w:pPr>
              <w:pStyle w:val="NormalWeb"/>
              <w:rPr>
                <w:b/>
                <w:bCs/>
                <w:color w:val="FFFFFF" w:themeColor="background1"/>
                <w:sz w:val="18"/>
                <w:szCs w:val="18"/>
              </w:rPr>
            </w:pPr>
            <w:r w:rsidRPr="008C7768">
              <w:rPr>
                <w:b/>
                <w:bCs/>
                <w:color w:val="auto"/>
                <w:sz w:val="18"/>
                <w:szCs w:val="18"/>
              </w:rPr>
              <w:t>Weights area</w:t>
            </w:r>
          </w:p>
        </w:tc>
        <w:tc>
          <w:tcPr>
            <w:tcW w:w="16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hideMark/>
          </w:tcPr>
          <w:p w14:paraId="2234E935" w14:textId="77777777" w:rsidR="009A4E94" w:rsidRPr="00734332" w:rsidRDefault="009A4E94" w:rsidP="00707A7D">
            <w:pPr>
              <w:pStyle w:val="NormalWeb"/>
              <w:rPr>
                <w:b/>
                <w:bCs/>
                <w:sz w:val="18"/>
                <w:szCs w:val="18"/>
              </w:rPr>
            </w:pPr>
            <w:r w:rsidRPr="00734332">
              <w:rPr>
                <w:b/>
                <w:bCs/>
                <w:sz w:val="18"/>
                <w:szCs w:val="18"/>
              </w:rPr>
              <w:t>Shower</w:t>
            </w:r>
          </w:p>
        </w:tc>
      </w:tr>
      <w:tr w:rsidR="009A4E94" w:rsidRPr="00B91655" w14:paraId="0B33A9BC" w14:textId="77777777" w:rsidTr="009A4E94">
        <w:trPr>
          <w:divId w:val="1622613429"/>
        </w:trPr>
        <w:tc>
          <w:tcPr>
            <w:tcW w:w="973"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4733DE37" w14:textId="77777777" w:rsidR="009A4E94" w:rsidRPr="00B91655" w:rsidRDefault="009A4E94" w:rsidP="00707A7D">
            <w:pPr>
              <w:pStyle w:val="NormalWeb"/>
              <w:rPr>
                <w:sz w:val="18"/>
                <w:szCs w:val="18"/>
              </w:rPr>
            </w:pPr>
            <w:r w:rsidRPr="00B91655">
              <w:rPr>
                <w:sz w:val="18"/>
                <w:szCs w:val="18"/>
              </w:rPr>
              <w:t>2050</w:t>
            </w:r>
          </w:p>
        </w:tc>
        <w:tc>
          <w:tcPr>
            <w:tcW w:w="1721"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76923C" w:themeFill="accent3" w:themeFillShade="BF"/>
            <w:hideMark/>
          </w:tcPr>
          <w:p w14:paraId="2BE0B401" w14:textId="77777777" w:rsidR="009A4E94" w:rsidRPr="00BE208D" w:rsidRDefault="009A4E94" w:rsidP="00707A7D">
            <w:pPr>
              <w:pStyle w:val="NormalWeb"/>
              <w:rPr>
                <w:b/>
                <w:bCs/>
                <w:color w:val="FFFFFF" w:themeColor="background1"/>
                <w:sz w:val="18"/>
                <w:szCs w:val="18"/>
              </w:rPr>
            </w:pPr>
            <w:r w:rsidRPr="008C7768">
              <w:rPr>
                <w:b/>
                <w:bCs/>
                <w:color w:val="auto"/>
                <w:sz w:val="18"/>
                <w:szCs w:val="18"/>
              </w:rPr>
              <w:t>Stretching area</w:t>
            </w:r>
          </w:p>
        </w:tc>
        <w:tc>
          <w:tcPr>
            <w:tcW w:w="1559"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76923C" w:themeFill="accent3" w:themeFillShade="BF"/>
            <w:hideMark/>
          </w:tcPr>
          <w:p w14:paraId="666663E7" w14:textId="77777777" w:rsidR="009A4E94" w:rsidRPr="00BE208D" w:rsidRDefault="009A4E94" w:rsidP="00707A7D">
            <w:pPr>
              <w:pStyle w:val="NormalWeb"/>
              <w:rPr>
                <w:b/>
                <w:bCs/>
                <w:color w:val="FFFFFF" w:themeColor="background1"/>
                <w:sz w:val="18"/>
                <w:szCs w:val="18"/>
              </w:rPr>
            </w:pPr>
            <w:r w:rsidRPr="008C7768">
              <w:rPr>
                <w:b/>
                <w:bCs/>
                <w:color w:val="auto"/>
                <w:sz w:val="18"/>
                <w:szCs w:val="18"/>
              </w:rPr>
              <w:t>Stretching area</w:t>
            </w: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01137115" w14:textId="77777777" w:rsidR="009A4E94" w:rsidRPr="00B91655" w:rsidRDefault="009A4E94" w:rsidP="00707A7D">
            <w:pPr>
              <w:rPr>
                <w:sz w:val="18"/>
                <w:szCs w:val="18"/>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hideMark/>
          </w:tcPr>
          <w:p w14:paraId="61E5F623" w14:textId="77777777" w:rsidR="009A4E94" w:rsidRPr="00B91655" w:rsidRDefault="009A4E94" w:rsidP="00707A7D">
            <w:pPr>
              <w:rPr>
                <w:rFonts w:eastAsia="Times New Roman"/>
                <w:sz w:val="18"/>
                <w:szCs w:val="18"/>
              </w:rPr>
            </w:pP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C000"/>
            <w:hideMark/>
          </w:tcPr>
          <w:p w14:paraId="4E208FCE" w14:textId="77777777" w:rsidR="009A4E94" w:rsidRPr="00734332" w:rsidRDefault="009A4E94" w:rsidP="00707A7D">
            <w:pPr>
              <w:pStyle w:val="NormalWeb"/>
              <w:rPr>
                <w:b/>
                <w:bCs/>
                <w:sz w:val="18"/>
                <w:szCs w:val="18"/>
              </w:rPr>
            </w:pPr>
            <w:r w:rsidRPr="00734332">
              <w:rPr>
                <w:b/>
                <w:bCs/>
                <w:sz w:val="18"/>
                <w:szCs w:val="18"/>
              </w:rPr>
              <w:t>Main area</w:t>
            </w:r>
          </w:p>
        </w:tc>
        <w:tc>
          <w:tcPr>
            <w:tcW w:w="165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auto"/>
            <w:hideMark/>
          </w:tcPr>
          <w:p w14:paraId="5239B723" w14:textId="77777777" w:rsidR="009A4E94" w:rsidRPr="00B91655" w:rsidRDefault="009A4E94" w:rsidP="00707A7D">
            <w:pPr>
              <w:rPr>
                <w:sz w:val="18"/>
                <w:szCs w:val="18"/>
              </w:rPr>
            </w:pPr>
          </w:p>
        </w:tc>
      </w:tr>
      <w:tr w:rsidR="009A4E94" w:rsidRPr="00B91655" w14:paraId="2B0E6517" w14:textId="77777777" w:rsidTr="009A4E94">
        <w:trPr>
          <w:cnfStyle w:val="000000010000" w:firstRow="0" w:lastRow="0" w:firstColumn="0" w:lastColumn="0" w:oddVBand="0" w:evenVBand="0" w:oddHBand="0" w:evenHBand="1" w:firstRowFirstColumn="0" w:firstRowLastColumn="0" w:lastRowFirstColumn="0" w:lastRowLastColumn="0"/>
          <w:divId w:val="1622613429"/>
        </w:trPr>
        <w:tc>
          <w:tcPr>
            <w:tcW w:w="973"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shd w:val="clear" w:color="auto" w:fill="auto"/>
            <w:hideMark/>
          </w:tcPr>
          <w:p w14:paraId="580359FA" w14:textId="77777777" w:rsidR="009A4E94" w:rsidRPr="00B91655" w:rsidRDefault="009A4E94" w:rsidP="00707A7D">
            <w:pPr>
              <w:pStyle w:val="NormalWeb"/>
              <w:rPr>
                <w:sz w:val="18"/>
                <w:szCs w:val="18"/>
              </w:rPr>
            </w:pPr>
            <w:r w:rsidRPr="00B91655">
              <w:rPr>
                <w:sz w:val="18"/>
                <w:szCs w:val="18"/>
              </w:rPr>
              <w:t>2100</w:t>
            </w:r>
          </w:p>
        </w:tc>
        <w:tc>
          <w:tcPr>
            <w:tcW w:w="1721" w:type="dxa"/>
            <w:vMerge/>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76923C" w:themeFill="accent3" w:themeFillShade="BF"/>
            <w:hideMark/>
          </w:tcPr>
          <w:p w14:paraId="139FAD01" w14:textId="77777777" w:rsidR="009A4E94" w:rsidRPr="00B91655" w:rsidRDefault="009A4E94" w:rsidP="00707A7D">
            <w:pPr>
              <w:rPr>
                <w:sz w:val="18"/>
                <w:szCs w:val="18"/>
              </w:rPr>
            </w:pPr>
          </w:p>
        </w:tc>
        <w:tc>
          <w:tcPr>
            <w:tcW w:w="1559" w:type="dxa"/>
            <w:vMerge/>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76923C" w:themeFill="accent3" w:themeFillShade="BF"/>
            <w:hideMark/>
          </w:tcPr>
          <w:p w14:paraId="6FBCC964" w14:textId="77777777" w:rsidR="009A4E94" w:rsidRPr="00B91655" w:rsidRDefault="009A4E94" w:rsidP="00707A7D">
            <w:pPr>
              <w:rPr>
                <w:sz w:val="18"/>
                <w:szCs w:val="18"/>
              </w:rPr>
            </w:pPr>
          </w:p>
        </w:tc>
        <w:tc>
          <w:tcPr>
            <w:tcW w:w="1276"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auto"/>
            <w:hideMark/>
          </w:tcPr>
          <w:p w14:paraId="3886ECDA" w14:textId="77777777" w:rsidR="009A4E94" w:rsidRPr="00B91655" w:rsidRDefault="009A4E94" w:rsidP="00707A7D">
            <w:pPr>
              <w:rPr>
                <w:sz w:val="18"/>
                <w:szCs w:val="18"/>
              </w:rPr>
            </w:pPr>
          </w:p>
        </w:tc>
        <w:tc>
          <w:tcPr>
            <w:tcW w:w="1559"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auto"/>
            <w:hideMark/>
          </w:tcPr>
          <w:p w14:paraId="2B3933D9" w14:textId="77777777" w:rsidR="009A4E94" w:rsidRPr="00B91655" w:rsidRDefault="009A4E94" w:rsidP="00707A7D">
            <w:pPr>
              <w:rPr>
                <w:rFonts w:eastAsia="Times New Roman"/>
                <w:sz w:val="18"/>
                <w:szCs w:val="18"/>
              </w:rPr>
            </w:pPr>
          </w:p>
        </w:tc>
        <w:tc>
          <w:tcPr>
            <w:tcW w:w="1701"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shd w:val="clear" w:color="auto" w:fill="auto"/>
            <w:hideMark/>
          </w:tcPr>
          <w:p w14:paraId="4C86DEB4" w14:textId="77777777" w:rsidR="009A4E94" w:rsidRPr="00B91655" w:rsidRDefault="009A4E94" w:rsidP="00707A7D">
            <w:pPr>
              <w:rPr>
                <w:rFonts w:eastAsia="Times New Roman"/>
                <w:sz w:val="18"/>
                <w:szCs w:val="18"/>
              </w:rPr>
            </w:pPr>
          </w:p>
        </w:tc>
        <w:tc>
          <w:tcPr>
            <w:tcW w:w="1651"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D1A752E" w14:textId="77777777" w:rsidR="009A4E94" w:rsidRPr="00B91655" w:rsidRDefault="009A4E94" w:rsidP="00707A7D">
            <w:pPr>
              <w:rPr>
                <w:rFonts w:eastAsia="Times New Roman"/>
                <w:sz w:val="18"/>
                <w:szCs w:val="18"/>
              </w:rPr>
            </w:pPr>
          </w:p>
        </w:tc>
      </w:tr>
    </w:tbl>
    <w:p w14:paraId="3F8EF6E6" w14:textId="77777777" w:rsidR="009A4E94" w:rsidRDefault="009A4E94" w:rsidP="00040693">
      <w:pPr>
        <w:divId w:val="1622613429"/>
      </w:pPr>
    </w:p>
    <w:p w14:paraId="2D86D829" w14:textId="77777777" w:rsidR="00040693" w:rsidRDefault="00040693" w:rsidP="00040693">
      <w:pPr>
        <w:divId w:val="1622613429"/>
      </w:pPr>
      <w:r>
        <w:t xml:space="preserve">Case 3 (M24) signed into the </w:t>
      </w:r>
      <w:proofErr w:type="spellStart"/>
      <w:r>
        <w:t>gymansium</w:t>
      </w:r>
      <w:proofErr w:type="spellEnd"/>
      <w:r>
        <w:t xml:space="preserve"> at 19:20 and reported an equal amount of time spent moving between the weights area and the main area (Table 1). </w:t>
      </w:r>
    </w:p>
    <w:p w14:paraId="291F69B3" w14:textId="77777777" w:rsidR="00040693" w:rsidRDefault="00040693" w:rsidP="00040693">
      <w:pPr>
        <w:divId w:val="1622613429"/>
      </w:pPr>
      <w:r>
        <w:t xml:space="preserve">Case 4 (M22) signed into the </w:t>
      </w:r>
      <w:proofErr w:type="spellStart"/>
      <w:r>
        <w:t>gymansium</w:t>
      </w:r>
      <w:proofErr w:type="spellEnd"/>
      <w:r>
        <w:t xml:space="preserve"> at 20:10. He started with free weights in the weights area before moving to the main area to use the bench press and the shoulder press. He then returned to the weights area before returning to the main area to use the cable machines (Table 1). </w:t>
      </w:r>
    </w:p>
    <w:p w14:paraId="3526B279" w14:textId="77777777" w:rsidR="00040693" w:rsidRDefault="00040693" w:rsidP="00040693">
      <w:pPr>
        <w:divId w:val="1622613429"/>
      </w:pPr>
      <w:r>
        <w:t xml:space="preserve">Case 5 (M24) signed into the gymnasium at 18:50. He started with a cardio workout using the treadmill, exercise bike and elliptical machine in the upstairs cardio area before using free weights in the weights area for 20–30 minutes. He then used an abdominal exercise machine before going home (Table 1). </w:t>
      </w:r>
    </w:p>
    <w:p w14:paraId="28999982" w14:textId="77777777" w:rsidR="00040693" w:rsidRDefault="00040693" w:rsidP="00040693">
      <w:pPr>
        <w:divId w:val="1622613429"/>
      </w:pPr>
      <w:r>
        <w:t xml:space="preserve">There was no obvious overlap between cases in use of the bathroom amenities or in filling up their water bottles. Apart from Cases 1 and 2, the other three cases (Cases 3 to 5) reported </w:t>
      </w:r>
      <w:proofErr w:type="gramStart"/>
      <w:r>
        <w:t>maintaining</w:t>
      </w:r>
      <w:proofErr w:type="gramEnd"/>
      <w:r>
        <w:t xml:space="preserve"> at least a one-metre gap from other gymnasium users. All cases reported that they did not consistently clean gymnasium equipment before or after each use. </w:t>
      </w:r>
    </w:p>
    <w:p w14:paraId="27A2E9FE" w14:textId="77777777" w:rsidR="00040693" w:rsidRDefault="00040693" w:rsidP="00040693">
      <w:pPr>
        <w:divId w:val="1622613429"/>
      </w:pPr>
      <w:r>
        <w:t xml:space="preserve">The gymnasium was reported to be busier than usual on the evening of 7 July 2020 between 5 pm and 10 pm, with 615 people attending in that </w:t>
      </w:r>
      <w:proofErr w:type="gramStart"/>
      <w:r>
        <w:t>time period</w:t>
      </w:r>
      <w:proofErr w:type="gramEnd"/>
      <w:r>
        <w:t>. This attendance was 31% higher than the attendance averaged over the evenings of 6 July and 8–10 July.</w:t>
      </w:r>
    </w:p>
    <w:p w14:paraId="2FF77FFA" w14:textId="77777777" w:rsidR="00040693" w:rsidRPr="00040693" w:rsidRDefault="00040693" w:rsidP="00040693">
      <w:pPr>
        <w:pStyle w:val="Heading2"/>
        <w:divId w:val="1622613429"/>
      </w:pPr>
      <w:r w:rsidRPr="00040693">
        <w:t xml:space="preserve">Symptom onset </w:t>
      </w:r>
    </w:p>
    <w:p w14:paraId="44F57755" w14:textId="77777777" w:rsidR="00040693" w:rsidRDefault="00040693" w:rsidP="00040693">
      <w:pPr>
        <w:divId w:val="1622613429"/>
      </w:pPr>
      <w:r>
        <w:t xml:space="preserve">Case </w:t>
      </w:r>
      <w:proofErr w:type="gramStart"/>
      <w:r>
        <w:t>2</w:t>
      </w:r>
      <w:proofErr w:type="gramEnd"/>
      <w:r>
        <w:t xml:space="preserve">, Case 4 and Case 5 developed symptoms on 10 July, three days after exposure to Case 1, and Case 3 developed symptoms on 11 July, four days after exposure (Figure 1). </w:t>
      </w:r>
    </w:p>
    <w:p w14:paraId="704665C7" w14:textId="63630CE4" w:rsidR="00532214" w:rsidRPr="00DF288C" w:rsidRDefault="00532214" w:rsidP="00532214">
      <w:pPr>
        <w:pStyle w:val="CDIFigures"/>
        <w:divId w:val="1622613429"/>
      </w:pPr>
      <w:r w:rsidRPr="00DF288C">
        <w:rPr>
          <w:rStyle w:val="Strong"/>
          <w:b/>
          <w:bCs w:val="0"/>
        </w:rPr>
        <w:t>Figure 1: Chronology of onset and diagnosis of COVID-19 cases linked to the gymnasium, Western Sydney, July</w:t>
      </w:r>
      <w:r>
        <w:rPr>
          <w:rStyle w:val="Strong"/>
          <w:b/>
          <w:bCs w:val="0"/>
        </w:rPr>
        <w:t> </w:t>
      </w:r>
      <w:r w:rsidRPr="00DF288C">
        <w:rPr>
          <w:rStyle w:val="Strong"/>
          <w:b/>
          <w:bCs w:val="0"/>
        </w:rPr>
        <w:t>2020</w:t>
      </w:r>
    </w:p>
    <w:p w14:paraId="2D2B46C3" w14:textId="0B461AB5" w:rsidR="00532214" w:rsidRPr="00532214" w:rsidRDefault="00532214" w:rsidP="00040693">
      <w:pPr>
        <w:divId w:val="1622613429"/>
        <w:rPr>
          <w:rFonts w:eastAsia="Times New Roman"/>
          <w:lang w:val="en-GB"/>
        </w:rPr>
      </w:pPr>
      <w:r>
        <w:rPr>
          <w:rFonts w:eastAsia="Times New Roman"/>
          <w:noProof/>
          <w:lang w:val="en-GB"/>
        </w:rPr>
        <w:drawing>
          <wp:inline distT="0" distB="0" distL="0" distR="0" wp14:anchorId="4D438CD1" wp14:editId="5CA5C2D3">
            <wp:extent cx="6631319" cy="6298105"/>
            <wp:effectExtent l="0" t="0" r="0" b="0"/>
            <wp:docPr id="2" name="Picture 2" descr="Figure 2 demonstrates the chronology of onset and diagnosis of COVID-19 linked to the Western Sydney Gymnasium July 2020. Each case is represented with color-coded arrows demonstrating multiple stages including pre-exposure, post-exposure, symptomatic to COVID-19, exposure at the gymnasium and when the positive COVID-19 swab was collected. The figure demonstrates exposure to Case 1 at the Gymnasium on 7 July as a common sour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demonstrates the chronology of onset and diagnosis of COVID-19 linked to the Western Sydney Gymnasium July 2020. Each case is represented with color-coded arrows demonstrating multiple stages including pre-exposure, post-exposure, symptomatic to COVID-19, exposure at the gymnasium and when the positive COVID-19 swab was collected. The figure demonstrates exposure to Case 1 at the Gymnasium on 7 July as a common source. &#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1319" cy="6298105"/>
                    </a:xfrm>
                    <a:prstGeom prst="rect">
                      <a:avLst/>
                    </a:prstGeom>
                  </pic:spPr>
                </pic:pic>
              </a:graphicData>
            </a:graphic>
          </wp:inline>
        </w:drawing>
      </w:r>
    </w:p>
    <w:p w14:paraId="17052A0B" w14:textId="77777777" w:rsidR="009E1C9F" w:rsidRDefault="009E1C9F">
      <w:pPr>
        <w:rPr>
          <w:rFonts w:asciiTheme="majorHAnsi" w:eastAsiaTheme="majorEastAsia" w:hAnsiTheme="majorHAnsi" w:cstheme="majorBidi"/>
          <w:b/>
          <w:bCs/>
          <w:sz w:val="26"/>
          <w:szCs w:val="26"/>
        </w:rPr>
      </w:pPr>
      <w:r>
        <w:br w:type="page"/>
      </w:r>
    </w:p>
    <w:p w14:paraId="17EFC5BB" w14:textId="2D364BC2" w:rsidR="00040693" w:rsidRPr="00040693" w:rsidRDefault="00040693" w:rsidP="00040693">
      <w:pPr>
        <w:pStyle w:val="Heading2"/>
        <w:divId w:val="1622613429"/>
      </w:pPr>
      <w:r w:rsidRPr="00040693">
        <w:t xml:space="preserve">Genome sequence analysis </w:t>
      </w:r>
    </w:p>
    <w:p w14:paraId="64816635" w14:textId="15FCAD58" w:rsidR="00040693" w:rsidRDefault="00040693" w:rsidP="00040693">
      <w:pPr>
        <w:divId w:val="1622613429"/>
      </w:pPr>
      <w:r>
        <w:t xml:space="preserve">The index case </w:t>
      </w:r>
      <w:proofErr w:type="gramStart"/>
      <w:r>
        <w:t>was found</w:t>
      </w:r>
      <w:proofErr w:type="gramEnd"/>
      <w:r>
        <w:t xml:space="preserve"> to belong to a large active NSW genomic cluster (NSW33.0) consisting of 201 sequences at the time of the outbreak. Whole genome sequencing of SARS-CoV-2 for Case 1 to Case 5 revealed that whilst all five sequences were closely related and classified as SARS-CoV-2 Pangolin lineage D2, cluster membership </w:t>
      </w:r>
      <w:proofErr w:type="gramStart"/>
      <w:r>
        <w:t>was split</w:t>
      </w:r>
      <w:proofErr w:type="gramEnd"/>
      <w:r>
        <w:t xml:space="preserve"> across two closely related genomic clusters. Cases 1, 2 and 3 </w:t>
      </w:r>
      <w:proofErr w:type="gramStart"/>
      <w:r>
        <w:t>were found</w:t>
      </w:r>
      <w:proofErr w:type="gramEnd"/>
      <w:r>
        <w:t xml:space="preserve"> to belong to NSW33.0, and Cases 4 and 5 to NSW33.1. This occurred because the definition of a genomic cluster was that member sequences cannot differ by more than 2 SNPs from the index sequence. The sequence obtained from Case 1 was already two single nucleotide polymorphisms (SNPs) from the NSW33.0 cluster index sequence. Upon infection, Cases 4 and 5 each </w:t>
      </w:r>
      <w:proofErr w:type="gramStart"/>
      <w:r>
        <w:t>acquired</w:t>
      </w:r>
      <w:proofErr w:type="gramEnd"/>
      <w:r>
        <w:t xml:space="preserve"> an additional SNP, which in turn meant that Cases 4 and 5 were classified as members of local cluster NSW33.1. This is </w:t>
      </w:r>
      <w:proofErr w:type="gramStart"/>
      <w:r>
        <w:t>demonstrated</w:t>
      </w:r>
      <w:proofErr w:type="gramEnd"/>
      <w:r>
        <w:t xml:space="preserve"> in table 2, which maps out the SNP distances between each of the cases that were included in this</w:t>
      </w:r>
      <w:r w:rsidR="009C72B2">
        <w:t> </w:t>
      </w:r>
      <w:r>
        <w:t>outbreak.</w:t>
      </w:r>
    </w:p>
    <w:p w14:paraId="40FC702F" w14:textId="77777777" w:rsidR="00F5798D" w:rsidRPr="00DF288C" w:rsidRDefault="00F5798D" w:rsidP="00F5798D">
      <w:pPr>
        <w:pStyle w:val="CDIFigures"/>
        <w:divId w:val="1622613429"/>
      </w:pPr>
      <w:r w:rsidRPr="00DF288C">
        <w:rPr>
          <w:rStyle w:val="Strong"/>
          <w:b/>
          <w:bCs w:val="0"/>
        </w:rPr>
        <w:t>Table 2: Pairwise SNP differences between cases involved in this cluster</w:t>
      </w:r>
      <w:r w:rsidRPr="00DF288C">
        <w:t xml:space="preserve"> </w:t>
      </w:r>
    </w:p>
    <w:tbl>
      <w:tblPr>
        <w:tblStyle w:val="CDI-StandardTable"/>
        <w:tblW w:w="0" w:type="auto"/>
        <w:tblLook w:val="04A0" w:firstRow="1" w:lastRow="0" w:firstColumn="1" w:lastColumn="0" w:noHBand="0" w:noVBand="1"/>
      </w:tblPr>
      <w:tblGrid>
        <w:gridCol w:w="1740"/>
        <w:gridCol w:w="1740"/>
        <w:gridCol w:w="1740"/>
        <w:gridCol w:w="1740"/>
        <w:gridCol w:w="1740"/>
        <w:gridCol w:w="1740"/>
      </w:tblGrid>
      <w:tr w:rsidR="00F5798D" w:rsidRPr="00E36610" w14:paraId="78B01AF4" w14:textId="77777777" w:rsidTr="00F5798D">
        <w:trPr>
          <w:cnfStyle w:val="100000000000" w:firstRow="1" w:lastRow="0" w:firstColumn="0" w:lastColumn="0" w:oddVBand="0" w:evenVBand="0" w:oddHBand="0" w:evenHBand="0" w:firstRowFirstColumn="0" w:firstRowLastColumn="0" w:lastRowFirstColumn="0" w:lastRowLastColumn="0"/>
          <w:divId w:val="1622613429"/>
        </w:trPr>
        <w:tc>
          <w:tcPr>
            <w:tcW w:w="1740" w:type="dxa"/>
            <w:tcBorders>
              <w:bottom w:val="single" w:sz="4" w:space="0" w:color="808080" w:themeColor="background1" w:themeShade="80"/>
            </w:tcBorders>
            <w:hideMark/>
          </w:tcPr>
          <w:p w14:paraId="2F689EA8" w14:textId="77777777" w:rsidR="00F5798D" w:rsidRPr="00E36610" w:rsidRDefault="00F5798D" w:rsidP="00707A7D">
            <w:pPr>
              <w:rPr>
                <w:sz w:val="18"/>
                <w:szCs w:val="18"/>
                <w:lang w:val="en-GB"/>
              </w:rPr>
            </w:pPr>
          </w:p>
        </w:tc>
        <w:tc>
          <w:tcPr>
            <w:tcW w:w="1740" w:type="dxa"/>
            <w:tcBorders>
              <w:bottom w:val="single" w:sz="4" w:space="0" w:color="808080" w:themeColor="background1" w:themeShade="80"/>
            </w:tcBorders>
            <w:hideMark/>
          </w:tcPr>
          <w:p w14:paraId="5B9B55DE" w14:textId="77777777" w:rsidR="00F5798D" w:rsidRPr="00E36610" w:rsidRDefault="00F5798D" w:rsidP="00707A7D">
            <w:pPr>
              <w:pStyle w:val="NormalWeb"/>
              <w:rPr>
                <w:sz w:val="18"/>
                <w:szCs w:val="18"/>
              </w:rPr>
            </w:pPr>
            <w:r w:rsidRPr="00E36610">
              <w:rPr>
                <w:sz w:val="18"/>
                <w:szCs w:val="18"/>
              </w:rPr>
              <w:t>Case 1 (NSW33.0)</w:t>
            </w:r>
          </w:p>
        </w:tc>
        <w:tc>
          <w:tcPr>
            <w:tcW w:w="1740" w:type="dxa"/>
            <w:tcBorders>
              <w:bottom w:val="single" w:sz="4" w:space="0" w:color="808080" w:themeColor="background1" w:themeShade="80"/>
            </w:tcBorders>
            <w:hideMark/>
          </w:tcPr>
          <w:p w14:paraId="713A0062" w14:textId="77777777" w:rsidR="00F5798D" w:rsidRPr="00E36610" w:rsidRDefault="00F5798D" w:rsidP="00707A7D">
            <w:pPr>
              <w:pStyle w:val="NormalWeb"/>
              <w:rPr>
                <w:sz w:val="18"/>
                <w:szCs w:val="18"/>
              </w:rPr>
            </w:pPr>
            <w:r w:rsidRPr="00E36610">
              <w:rPr>
                <w:sz w:val="18"/>
                <w:szCs w:val="18"/>
              </w:rPr>
              <w:t>Case 2 (NSW33.0)</w:t>
            </w:r>
          </w:p>
        </w:tc>
        <w:tc>
          <w:tcPr>
            <w:tcW w:w="1740" w:type="dxa"/>
            <w:tcBorders>
              <w:bottom w:val="single" w:sz="4" w:space="0" w:color="808080" w:themeColor="background1" w:themeShade="80"/>
            </w:tcBorders>
            <w:hideMark/>
          </w:tcPr>
          <w:p w14:paraId="592DAE87" w14:textId="77777777" w:rsidR="00F5798D" w:rsidRPr="00E36610" w:rsidRDefault="00F5798D" w:rsidP="00707A7D">
            <w:pPr>
              <w:pStyle w:val="NormalWeb"/>
              <w:rPr>
                <w:sz w:val="18"/>
                <w:szCs w:val="18"/>
              </w:rPr>
            </w:pPr>
            <w:r w:rsidRPr="00E36610">
              <w:rPr>
                <w:sz w:val="18"/>
                <w:szCs w:val="18"/>
              </w:rPr>
              <w:t>Case 3 (NSW33.0)</w:t>
            </w:r>
          </w:p>
        </w:tc>
        <w:tc>
          <w:tcPr>
            <w:tcW w:w="1740" w:type="dxa"/>
            <w:tcBorders>
              <w:bottom w:val="single" w:sz="4" w:space="0" w:color="808080" w:themeColor="background1" w:themeShade="80"/>
            </w:tcBorders>
            <w:hideMark/>
          </w:tcPr>
          <w:p w14:paraId="488D65DB" w14:textId="77777777" w:rsidR="00F5798D" w:rsidRPr="00E36610" w:rsidRDefault="00F5798D" w:rsidP="00707A7D">
            <w:pPr>
              <w:pStyle w:val="NormalWeb"/>
              <w:rPr>
                <w:sz w:val="18"/>
                <w:szCs w:val="18"/>
              </w:rPr>
            </w:pPr>
            <w:r w:rsidRPr="00E36610">
              <w:rPr>
                <w:sz w:val="18"/>
                <w:szCs w:val="18"/>
              </w:rPr>
              <w:t>Case 4 (NSW33.1)</w:t>
            </w:r>
          </w:p>
        </w:tc>
        <w:tc>
          <w:tcPr>
            <w:tcW w:w="1740" w:type="dxa"/>
            <w:tcBorders>
              <w:bottom w:val="single" w:sz="4" w:space="0" w:color="808080" w:themeColor="background1" w:themeShade="80"/>
            </w:tcBorders>
            <w:hideMark/>
          </w:tcPr>
          <w:p w14:paraId="73896337" w14:textId="77777777" w:rsidR="00F5798D" w:rsidRPr="00E36610" w:rsidRDefault="00F5798D" w:rsidP="00707A7D">
            <w:pPr>
              <w:pStyle w:val="NormalWeb"/>
              <w:rPr>
                <w:sz w:val="18"/>
                <w:szCs w:val="18"/>
              </w:rPr>
            </w:pPr>
            <w:r w:rsidRPr="00E36610">
              <w:rPr>
                <w:sz w:val="18"/>
                <w:szCs w:val="18"/>
              </w:rPr>
              <w:t>Case 5 (NSW33.1)</w:t>
            </w:r>
          </w:p>
        </w:tc>
      </w:tr>
      <w:tr w:rsidR="00F5798D" w:rsidRPr="00E36610" w14:paraId="635AA33C" w14:textId="77777777" w:rsidTr="00F5798D">
        <w:trPr>
          <w:divId w:val="1622613429"/>
        </w:trPr>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070B16" w14:textId="77777777" w:rsidR="00F5798D" w:rsidRPr="00E36610" w:rsidRDefault="00F5798D" w:rsidP="00707A7D">
            <w:pPr>
              <w:pStyle w:val="NormalWeb"/>
              <w:rPr>
                <w:sz w:val="18"/>
                <w:szCs w:val="18"/>
              </w:rPr>
            </w:pPr>
            <w:r w:rsidRPr="00E36610">
              <w:rPr>
                <w:sz w:val="18"/>
                <w:szCs w:val="18"/>
              </w:rPr>
              <w:t>Case 1 (NSW33.0)</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411BFE" w14:textId="77777777" w:rsidR="00F5798D" w:rsidRPr="00E36610" w:rsidRDefault="00F5798D" w:rsidP="00707A7D">
            <w:pPr>
              <w:pStyle w:val="NormalWeb"/>
              <w:rPr>
                <w:sz w:val="18"/>
                <w:szCs w:val="18"/>
              </w:rPr>
            </w:pPr>
            <w:r w:rsidRPr="00E36610">
              <w:rPr>
                <w:sz w:val="18"/>
                <w:szCs w:val="18"/>
              </w:rPr>
              <w:t>0</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DBA04F" w14:textId="77777777" w:rsidR="00F5798D" w:rsidRPr="00E36610" w:rsidRDefault="00F5798D" w:rsidP="00707A7D">
            <w:pPr>
              <w:pStyle w:val="NormalWeb"/>
              <w:rPr>
                <w:sz w:val="18"/>
                <w:szCs w:val="18"/>
              </w:rPr>
            </w:pPr>
            <w:r w:rsidRPr="00E36610">
              <w:rPr>
                <w:sz w:val="18"/>
                <w:szCs w:val="18"/>
              </w:rPr>
              <w:t>0</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A1EA04" w14:textId="77777777" w:rsidR="00F5798D" w:rsidRPr="00E36610" w:rsidRDefault="00F5798D" w:rsidP="00707A7D">
            <w:pPr>
              <w:pStyle w:val="NormalWeb"/>
              <w:rPr>
                <w:sz w:val="18"/>
                <w:szCs w:val="18"/>
              </w:rPr>
            </w:pPr>
            <w:r w:rsidRPr="00E36610">
              <w:rPr>
                <w:sz w:val="18"/>
                <w:szCs w:val="18"/>
              </w:rPr>
              <w:t>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9B63D6" w14:textId="77777777" w:rsidR="00F5798D" w:rsidRPr="00E36610" w:rsidRDefault="00F5798D" w:rsidP="00707A7D">
            <w:pPr>
              <w:pStyle w:val="NormalWeb"/>
              <w:rPr>
                <w:sz w:val="18"/>
                <w:szCs w:val="18"/>
              </w:rPr>
            </w:pPr>
            <w:r w:rsidRPr="00E36610">
              <w:rPr>
                <w:sz w:val="18"/>
                <w:szCs w:val="18"/>
              </w:rPr>
              <w:t>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51CE0D" w14:textId="77777777" w:rsidR="00F5798D" w:rsidRPr="00E36610" w:rsidRDefault="00F5798D" w:rsidP="00707A7D">
            <w:pPr>
              <w:pStyle w:val="NormalWeb"/>
              <w:rPr>
                <w:sz w:val="18"/>
                <w:szCs w:val="18"/>
              </w:rPr>
            </w:pPr>
            <w:r w:rsidRPr="00E36610">
              <w:rPr>
                <w:sz w:val="18"/>
                <w:szCs w:val="18"/>
              </w:rPr>
              <w:t>2</w:t>
            </w:r>
          </w:p>
        </w:tc>
      </w:tr>
      <w:tr w:rsidR="00F5798D" w:rsidRPr="00E36610" w14:paraId="74170786" w14:textId="77777777" w:rsidTr="00F5798D">
        <w:trPr>
          <w:cnfStyle w:val="000000010000" w:firstRow="0" w:lastRow="0" w:firstColumn="0" w:lastColumn="0" w:oddVBand="0" w:evenVBand="0" w:oddHBand="0" w:evenHBand="1" w:firstRowFirstColumn="0" w:firstRowLastColumn="0" w:lastRowFirstColumn="0" w:lastRowLastColumn="0"/>
          <w:divId w:val="1622613429"/>
        </w:trPr>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351ED2" w14:textId="77777777" w:rsidR="00F5798D" w:rsidRPr="00E36610" w:rsidRDefault="00F5798D" w:rsidP="00707A7D">
            <w:pPr>
              <w:pStyle w:val="NormalWeb"/>
              <w:rPr>
                <w:sz w:val="18"/>
                <w:szCs w:val="18"/>
              </w:rPr>
            </w:pPr>
            <w:r w:rsidRPr="00E36610">
              <w:rPr>
                <w:sz w:val="18"/>
                <w:szCs w:val="18"/>
              </w:rPr>
              <w:t>Case 2 (NSW33.0)</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EC38F4" w14:textId="77777777" w:rsidR="00F5798D" w:rsidRPr="00E36610" w:rsidRDefault="00F5798D" w:rsidP="00707A7D">
            <w:pPr>
              <w:pStyle w:val="NormalWeb"/>
              <w:rPr>
                <w:sz w:val="18"/>
                <w:szCs w:val="18"/>
              </w:rPr>
            </w:pPr>
            <w:r w:rsidRPr="00E36610">
              <w:rPr>
                <w:sz w:val="18"/>
                <w:szCs w:val="18"/>
              </w:rPr>
              <w:t>0</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51BA3C" w14:textId="77777777" w:rsidR="00F5798D" w:rsidRPr="00E36610" w:rsidRDefault="00F5798D" w:rsidP="00707A7D">
            <w:pPr>
              <w:pStyle w:val="NormalWeb"/>
              <w:rPr>
                <w:sz w:val="18"/>
                <w:szCs w:val="18"/>
              </w:rPr>
            </w:pPr>
            <w:r w:rsidRPr="00E36610">
              <w:rPr>
                <w:sz w:val="18"/>
                <w:szCs w:val="18"/>
              </w:rPr>
              <w:t>0</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628896" w14:textId="77777777" w:rsidR="00F5798D" w:rsidRPr="00E36610" w:rsidRDefault="00F5798D" w:rsidP="00707A7D">
            <w:pPr>
              <w:pStyle w:val="NormalWeb"/>
              <w:rPr>
                <w:sz w:val="18"/>
                <w:szCs w:val="18"/>
              </w:rPr>
            </w:pPr>
            <w:r w:rsidRPr="00E36610">
              <w:rPr>
                <w:sz w:val="18"/>
                <w:szCs w:val="18"/>
              </w:rPr>
              <w:t>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1E8E7B" w14:textId="77777777" w:rsidR="00F5798D" w:rsidRPr="00E36610" w:rsidRDefault="00F5798D" w:rsidP="00707A7D">
            <w:pPr>
              <w:pStyle w:val="NormalWeb"/>
              <w:rPr>
                <w:sz w:val="18"/>
                <w:szCs w:val="18"/>
              </w:rPr>
            </w:pPr>
            <w:r w:rsidRPr="00E36610">
              <w:rPr>
                <w:sz w:val="18"/>
                <w:szCs w:val="18"/>
              </w:rPr>
              <w:t>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4CA9B4" w14:textId="77777777" w:rsidR="00F5798D" w:rsidRPr="00E36610" w:rsidRDefault="00F5798D" w:rsidP="00707A7D">
            <w:pPr>
              <w:pStyle w:val="NormalWeb"/>
              <w:rPr>
                <w:sz w:val="18"/>
                <w:szCs w:val="18"/>
              </w:rPr>
            </w:pPr>
            <w:r w:rsidRPr="00E36610">
              <w:rPr>
                <w:sz w:val="18"/>
                <w:szCs w:val="18"/>
              </w:rPr>
              <w:t>2</w:t>
            </w:r>
          </w:p>
        </w:tc>
      </w:tr>
      <w:tr w:rsidR="00F5798D" w:rsidRPr="00E36610" w14:paraId="76094876" w14:textId="77777777" w:rsidTr="00F5798D">
        <w:trPr>
          <w:divId w:val="1622613429"/>
        </w:trPr>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88A0AB" w14:textId="77777777" w:rsidR="00F5798D" w:rsidRPr="00E36610" w:rsidRDefault="00F5798D" w:rsidP="00707A7D">
            <w:pPr>
              <w:pStyle w:val="NormalWeb"/>
              <w:rPr>
                <w:sz w:val="18"/>
                <w:szCs w:val="18"/>
              </w:rPr>
            </w:pPr>
            <w:r w:rsidRPr="00E36610">
              <w:rPr>
                <w:sz w:val="18"/>
                <w:szCs w:val="18"/>
              </w:rPr>
              <w:t>Case 3 (NSW33.0)</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88A174" w14:textId="77777777" w:rsidR="00F5798D" w:rsidRPr="00E36610" w:rsidRDefault="00F5798D" w:rsidP="00707A7D">
            <w:pPr>
              <w:pStyle w:val="NormalWeb"/>
              <w:rPr>
                <w:sz w:val="18"/>
                <w:szCs w:val="18"/>
              </w:rPr>
            </w:pPr>
            <w:r w:rsidRPr="00E36610">
              <w:rPr>
                <w:sz w:val="18"/>
                <w:szCs w:val="18"/>
              </w:rPr>
              <w:t>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A6B71C" w14:textId="77777777" w:rsidR="00F5798D" w:rsidRPr="00E36610" w:rsidRDefault="00F5798D" w:rsidP="00707A7D">
            <w:pPr>
              <w:pStyle w:val="NormalWeb"/>
              <w:rPr>
                <w:sz w:val="18"/>
                <w:szCs w:val="18"/>
              </w:rPr>
            </w:pPr>
            <w:r w:rsidRPr="00E36610">
              <w:rPr>
                <w:sz w:val="18"/>
                <w:szCs w:val="18"/>
              </w:rPr>
              <w:t>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CB6A18" w14:textId="77777777" w:rsidR="00F5798D" w:rsidRPr="00E36610" w:rsidRDefault="00F5798D" w:rsidP="00707A7D">
            <w:pPr>
              <w:pStyle w:val="NormalWeb"/>
              <w:rPr>
                <w:sz w:val="18"/>
                <w:szCs w:val="18"/>
              </w:rPr>
            </w:pPr>
            <w:r w:rsidRPr="00E36610">
              <w:rPr>
                <w:sz w:val="18"/>
                <w:szCs w:val="18"/>
              </w:rPr>
              <w:t>0</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B1C1AE" w14:textId="77777777" w:rsidR="00F5798D" w:rsidRPr="00E36610" w:rsidRDefault="00F5798D" w:rsidP="00707A7D">
            <w:pPr>
              <w:pStyle w:val="NormalWeb"/>
              <w:rPr>
                <w:sz w:val="18"/>
                <w:szCs w:val="18"/>
              </w:rPr>
            </w:pPr>
            <w:r w:rsidRPr="00E36610">
              <w:rPr>
                <w:sz w:val="18"/>
                <w:szCs w:val="18"/>
              </w:rPr>
              <w:t>2</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601B70" w14:textId="77777777" w:rsidR="00F5798D" w:rsidRPr="00E36610" w:rsidRDefault="00F5798D" w:rsidP="00707A7D">
            <w:pPr>
              <w:pStyle w:val="NormalWeb"/>
              <w:rPr>
                <w:sz w:val="18"/>
                <w:szCs w:val="18"/>
              </w:rPr>
            </w:pPr>
            <w:r w:rsidRPr="00E36610">
              <w:rPr>
                <w:sz w:val="18"/>
                <w:szCs w:val="18"/>
              </w:rPr>
              <w:t>3</w:t>
            </w:r>
          </w:p>
        </w:tc>
      </w:tr>
      <w:tr w:rsidR="00F5798D" w:rsidRPr="00E36610" w14:paraId="387D826F" w14:textId="77777777" w:rsidTr="00F5798D">
        <w:trPr>
          <w:cnfStyle w:val="000000010000" w:firstRow="0" w:lastRow="0" w:firstColumn="0" w:lastColumn="0" w:oddVBand="0" w:evenVBand="0" w:oddHBand="0" w:evenHBand="1" w:firstRowFirstColumn="0" w:firstRowLastColumn="0" w:lastRowFirstColumn="0" w:lastRowLastColumn="0"/>
          <w:divId w:val="1622613429"/>
        </w:trPr>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2DE095" w14:textId="77777777" w:rsidR="00F5798D" w:rsidRPr="00E36610" w:rsidRDefault="00F5798D" w:rsidP="00707A7D">
            <w:pPr>
              <w:pStyle w:val="NormalWeb"/>
              <w:rPr>
                <w:sz w:val="18"/>
                <w:szCs w:val="18"/>
              </w:rPr>
            </w:pPr>
            <w:r w:rsidRPr="00E36610">
              <w:rPr>
                <w:sz w:val="18"/>
                <w:szCs w:val="18"/>
              </w:rPr>
              <w:t>Case 4 (NSW33.1)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40DAEF0" w14:textId="77777777" w:rsidR="00F5798D" w:rsidRPr="00E36610" w:rsidRDefault="00F5798D" w:rsidP="00707A7D">
            <w:pPr>
              <w:pStyle w:val="NormalWeb"/>
              <w:rPr>
                <w:sz w:val="18"/>
                <w:szCs w:val="18"/>
              </w:rPr>
            </w:pPr>
            <w:r w:rsidRPr="00E36610">
              <w:rPr>
                <w:sz w:val="18"/>
                <w:szCs w:val="18"/>
              </w:rPr>
              <w:t>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FCFBDC" w14:textId="77777777" w:rsidR="00F5798D" w:rsidRPr="00E36610" w:rsidRDefault="00F5798D" w:rsidP="00707A7D">
            <w:pPr>
              <w:pStyle w:val="NormalWeb"/>
              <w:rPr>
                <w:sz w:val="18"/>
                <w:szCs w:val="18"/>
              </w:rPr>
            </w:pPr>
            <w:r w:rsidRPr="00E36610">
              <w:rPr>
                <w:sz w:val="18"/>
                <w:szCs w:val="18"/>
              </w:rPr>
              <w:t>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571C7D" w14:textId="77777777" w:rsidR="00F5798D" w:rsidRPr="00E36610" w:rsidRDefault="00F5798D" w:rsidP="00707A7D">
            <w:pPr>
              <w:pStyle w:val="NormalWeb"/>
              <w:rPr>
                <w:sz w:val="18"/>
                <w:szCs w:val="18"/>
              </w:rPr>
            </w:pPr>
            <w:r w:rsidRPr="00E36610">
              <w:rPr>
                <w:sz w:val="18"/>
                <w:szCs w:val="18"/>
              </w:rPr>
              <w:t>2</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EC9AAA" w14:textId="77777777" w:rsidR="00F5798D" w:rsidRPr="00E36610" w:rsidRDefault="00F5798D" w:rsidP="00707A7D">
            <w:pPr>
              <w:pStyle w:val="NormalWeb"/>
              <w:rPr>
                <w:sz w:val="18"/>
                <w:szCs w:val="18"/>
              </w:rPr>
            </w:pPr>
            <w:r w:rsidRPr="00E36610">
              <w:rPr>
                <w:sz w:val="18"/>
                <w:szCs w:val="18"/>
              </w:rPr>
              <w:t>0</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F62887" w14:textId="77777777" w:rsidR="00F5798D" w:rsidRPr="00E36610" w:rsidRDefault="00F5798D" w:rsidP="00707A7D">
            <w:pPr>
              <w:pStyle w:val="NormalWeb"/>
              <w:rPr>
                <w:sz w:val="18"/>
                <w:szCs w:val="18"/>
              </w:rPr>
            </w:pPr>
            <w:r w:rsidRPr="00E36610">
              <w:rPr>
                <w:sz w:val="18"/>
                <w:szCs w:val="18"/>
              </w:rPr>
              <w:t>1</w:t>
            </w:r>
          </w:p>
        </w:tc>
      </w:tr>
      <w:tr w:rsidR="00F5798D" w:rsidRPr="00E36610" w14:paraId="22F2FE42" w14:textId="77777777" w:rsidTr="00F5798D">
        <w:trPr>
          <w:divId w:val="1622613429"/>
        </w:trPr>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01A96E" w14:textId="77777777" w:rsidR="00F5798D" w:rsidRPr="00E36610" w:rsidRDefault="00F5798D" w:rsidP="00707A7D">
            <w:pPr>
              <w:pStyle w:val="NormalWeb"/>
              <w:rPr>
                <w:sz w:val="18"/>
                <w:szCs w:val="18"/>
              </w:rPr>
            </w:pPr>
            <w:r w:rsidRPr="00E36610">
              <w:rPr>
                <w:sz w:val="18"/>
                <w:szCs w:val="18"/>
              </w:rPr>
              <w:t>Case 5 (NSW33.1)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CDA7EB" w14:textId="77777777" w:rsidR="00F5798D" w:rsidRPr="00E36610" w:rsidRDefault="00F5798D" w:rsidP="00707A7D">
            <w:pPr>
              <w:pStyle w:val="NormalWeb"/>
              <w:rPr>
                <w:sz w:val="18"/>
                <w:szCs w:val="18"/>
              </w:rPr>
            </w:pPr>
            <w:r w:rsidRPr="00E36610">
              <w:rPr>
                <w:sz w:val="18"/>
                <w:szCs w:val="18"/>
              </w:rPr>
              <w:t>2</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AFBCBB" w14:textId="77777777" w:rsidR="00F5798D" w:rsidRPr="00E36610" w:rsidRDefault="00F5798D" w:rsidP="00707A7D">
            <w:pPr>
              <w:pStyle w:val="NormalWeb"/>
              <w:rPr>
                <w:sz w:val="18"/>
                <w:szCs w:val="18"/>
              </w:rPr>
            </w:pPr>
            <w:r w:rsidRPr="00E36610">
              <w:rPr>
                <w:sz w:val="18"/>
                <w:szCs w:val="18"/>
              </w:rPr>
              <w:t>2</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E85463" w14:textId="77777777" w:rsidR="00F5798D" w:rsidRPr="00E36610" w:rsidRDefault="00F5798D" w:rsidP="00707A7D">
            <w:pPr>
              <w:pStyle w:val="NormalWeb"/>
              <w:rPr>
                <w:sz w:val="18"/>
                <w:szCs w:val="18"/>
              </w:rPr>
            </w:pPr>
            <w:r w:rsidRPr="00E36610">
              <w:rPr>
                <w:sz w:val="18"/>
                <w:szCs w:val="18"/>
              </w:rPr>
              <w:t>3</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FA1696" w14:textId="77777777" w:rsidR="00F5798D" w:rsidRPr="00E36610" w:rsidRDefault="00F5798D" w:rsidP="00707A7D">
            <w:pPr>
              <w:pStyle w:val="NormalWeb"/>
              <w:rPr>
                <w:sz w:val="18"/>
                <w:szCs w:val="18"/>
              </w:rPr>
            </w:pPr>
            <w:r w:rsidRPr="00E36610">
              <w:rPr>
                <w:sz w:val="18"/>
                <w:szCs w:val="18"/>
              </w:rPr>
              <w:t>1</w:t>
            </w: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4129F3" w14:textId="77777777" w:rsidR="00F5798D" w:rsidRPr="00E36610" w:rsidRDefault="00F5798D" w:rsidP="00707A7D">
            <w:pPr>
              <w:pStyle w:val="NormalWeb"/>
              <w:rPr>
                <w:sz w:val="18"/>
                <w:szCs w:val="18"/>
              </w:rPr>
            </w:pPr>
            <w:r w:rsidRPr="00E36610">
              <w:rPr>
                <w:sz w:val="18"/>
                <w:szCs w:val="18"/>
              </w:rPr>
              <w:t>0</w:t>
            </w:r>
          </w:p>
        </w:tc>
      </w:tr>
    </w:tbl>
    <w:p w14:paraId="533ADFD6" w14:textId="77777777" w:rsidR="00040693" w:rsidRPr="00040693" w:rsidRDefault="00040693" w:rsidP="00040693">
      <w:pPr>
        <w:pStyle w:val="Heading1"/>
        <w:divId w:val="1622613429"/>
      </w:pPr>
      <w:r w:rsidRPr="00040693">
        <w:t xml:space="preserve">Discussion </w:t>
      </w:r>
    </w:p>
    <w:p w14:paraId="14A9F3C1" w14:textId="77777777" w:rsidR="00040693" w:rsidRDefault="00040693" w:rsidP="00040693">
      <w:pPr>
        <w:divId w:val="1622613429"/>
      </w:pPr>
      <w:r>
        <w:t>While there were other areas of overlap in the gymnasium, transmission between Case 1 and the four subsequent cases (Case 2 to Case 5) likely occurred while all cases were doing weight-based training, which involved both increased depth and velocity of respiratory effort, which is a well-acknowledged risk for transmission.</w:t>
      </w:r>
      <w:r>
        <w:rPr>
          <w:vertAlign w:val="superscript"/>
        </w:rPr>
        <w:t>11</w:t>
      </w:r>
      <w:r>
        <w:t xml:space="preserve"> Given the limited role of fomite transmission, it is unlikely that transmission occurred through the incomplete cleaning of free weight equipment between use.</w:t>
      </w:r>
      <w:r>
        <w:rPr>
          <w:vertAlign w:val="superscript"/>
        </w:rPr>
        <w:t>12</w:t>
      </w:r>
      <w:r>
        <w:t xml:space="preserve"> While cases were genomically classified into two clusters, these clusters represented the same phylogenetic lineage and were closely related. Indeed, initial sequences belonging to NSW33.1 </w:t>
      </w:r>
      <w:proofErr w:type="gramStart"/>
      <w:r>
        <w:t>are thought</w:t>
      </w:r>
      <w:proofErr w:type="gramEnd"/>
      <w:r>
        <w:t xml:space="preserve"> to have evolved from those belonging to NSW33.0, as described. The </w:t>
      </w:r>
      <w:proofErr w:type="gramStart"/>
      <w:r>
        <w:t>demonstrated</w:t>
      </w:r>
      <w:proofErr w:type="gramEnd"/>
      <w:r>
        <w:t xml:space="preserve"> epidemiological links further strengthened the conclusion about their relationship. </w:t>
      </w:r>
    </w:p>
    <w:p w14:paraId="56F8F2E0" w14:textId="77777777" w:rsidR="00040693" w:rsidRDefault="00040693" w:rsidP="00040693">
      <w:pPr>
        <w:divId w:val="1622613429"/>
      </w:pPr>
      <w:r>
        <w:t xml:space="preserve">We note that four cases (Case 2 to Case 5) spent more than 15 minutes at the same time as the index case in the free weights area, and shared common equipment. We were unable to calculate how many people per square metres were present and we were unable to </w:t>
      </w:r>
      <w:proofErr w:type="gramStart"/>
      <w:r>
        <w:t>ascertain</w:t>
      </w:r>
      <w:proofErr w:type="gramEnd"/>
      <w:r>
        <w:t xml:space="preserve"> if they were spread equally throughout the space. The implicated evening of transmission was the busiest of the five evenings the case attended while potentially infectious. </w:t>
      </w:r>
    </w:p>
    <w:p w14:paraId="278A6B52" w14:textId="77777777" w:rsidR="00040693" w:rsidRDefault="00040693" w:rsidP="00040693">
      <w:pPr>
        <w:divId w:val="1622613429"/>
      </w:pPr>
      <w:r>
        <w:t>The transmission chain is dependent upon a 72-hour pre-symptomatic infectious period between Case 1 and the remaining cases. We note case reports of transmission up to 72 hours prior to symptom onset,</w:t>
      </w:r>
      <w:r>
        <w:rPr>
          <w:vertAlign w:val="superscript"/>
        </w:rPr>
        <w:t>13</w:t>
      </w:r>
      <w:r>
        <w:t xml:space="preserve"> and the Australian Federal COVID-19 control guidelines (SoNG) permitted an infectious period of up to 72 hours prior to symptom onset in high-risk settings.</w:t>
      </w:r>
      <w:r>
        <w:rPr>
          <w:vertAlign w:val="superscript"/>
        </w:rPr>
        <w:t>14</w:t>
      </w:r>
      <w:r>
        <w:t xml:space="preserve"> While a majority of cases developed symptoms on the same day as reported by Case 1, none of Cases 2–5 reported any high-risk exposures or contact with any persons known to have COVID-19 prior to the their attendance at the gymnasium. While there was an active genomic cluster in Western Sydney at the time, there was not widespread community transmission; there were 62 known locally acquired cases in the week ending 18 July and 90% of cases in New South Wales were linked to known transmission sources in this time period, with all cases in Western Sydney linked to known transmission networks.</w:t>
      </w:r>
      <w:r>
        <w:rPr>
          <w:vertAlign w:val="superscript"/>
        </w:rPr>
        <w:t xml:space="preserve">15 </w:t>
      </w:r>
    </w:p>
    <w:p w14:paraId="0443EA81" w14:textId="77777777" w:rsidR="00040693" w:rsidRDefault="00040693" w:rsidP="00040693">
      <w:pPr>
        <w:divId w:val="1622613429"/>
      </w:pPr>
      <w:r>
        <w:t xml:space="preserve">The cases were re-interviewed to obtain further information related to their activity at the gymnasium, approximately one month after the </w:t>
      </w:r>
      <w:proofErr w:type="gramStart"/>
      <w:r>
        <w:t>initial</w:t>
      </w:r>
      <w:proofErr w:type="gramEnd"/>
      <w:r>
        <w:t xml:space="preserve"> gymnasium exposure, which may have affected recall. Only one case had phone location data available to </w:t>
      </w:r>
      <w:proofErr w:type="gramStart"/>
      <w:r>
        <w:t>validate</w:t>
      </w:r>
      <w:proofErr w:type="gramEnd"/>
      <w:r>
        <w:t xml:space="preserve"> attendance times. </w:t>
      </w:r>
    </w:p>
    <w:p w14:paraId="3C8815CE" w14:textId="77777777" w:rsidR="00040693" w:rsidRDefault="00040693" w:rsidP="00040693">
      <w:pPr>
        <w:divId w:val="1622613429"/>
      </w:pPr>
      <w:r>
        <w:t xml:space="preserve">Not everyone who attended the gymnasium during Case 1’s infectious period responded to calls from contact tracers, potentially resulting in other undetected COVID-19 cases. Messaging from New South Wales Health </w:t>
      </w:r>
      <w:proofErr w:type="gramStart"/>
      <w:r>
        <w:t>advised all gymnasium attendees to</w:t>
      </w:r>
      <w:proofErr w:type="gramEnd"/>
      <w:r>
        <w:t xml:space="preserve"> quarantine and get tested if they develop any symptoms; however, many may not have sought testing. </w:t>
      </w:r>
    </w:p>
    <w:p w14:paraId="4BB9497D" w14:textId="77777777" w:rsidR="00040693" w:rsidRDefault="00040693" w:rsidP="00040693">
      <w:pPr>
        <w:divId w:val="1622613429"/>
      </w:pPr>
      <w:r>
        <w:t>In a gymnasium environment, with people vigorously exercising, they could be breathing deeply and therefore propelling droplets beyond the 1.5 metre safety buffer.</w:t>
      </w:r>
      <w:r>
        <w:rPr>
          <w:vertAlign w:val="superscript"/>
        </w:rPr>
        <w:t>16</w:t>
      </w:r>
      <w:r>
        <w:t xml:space="preserve"> We note the index case (Case 1) spent many hours at the gymnasium and describes himself as fit, which may be associated with a larger vital capacity with the potential to exhale a higher viral quanta, potentially explaining his infectiousness 72 hours prior to onset of symptoms. Reducing patron density through a one person per four square metre rule was not protective in the Korean outbreaks,</w:t>
      </w:r>
      <w:r>
        <w:rPr>
          <w:vertAlign w:val="superscript"/>
        </w:rPr>
        <w:t>3</w:t>
      </w:r>
      <w:r>
        <w:t xml:space="preserve"> and several outbreaks occurred in New South Wales since the requirement for </w:t>
      </w:r>
      <w:proofErr w:type="spellStart"/>
      <w:r>
        <w:t>COVIDSafe</w:t>
      </w:r>
      <w:proofErr w:type="spellEnd"/>
      <w:r>
        <w:t xml:space="preserve"> plans based on enhanced hygiene and a four square metre density rule were introduced.</w:t>
      </w:r>
      <w:r>
        <w:rPr>
          <w:vertAlign w:val="superscript"/>
        </w:rPr>
        <w:t>5–7</w:t>
      </w:r>
      <w:r>
        <w:t xml:space="preserve"> Victoria temporarily implemented a one person per eight square metre requirement in gymnasiums.</w:t>
      </w:r>
      <w:r>
        <w:rPr>
          <w:vertAlign w:val="superscript"/>
        </w:rPr>
        <w:t>17</w:t>
      </w:r>
      <w:r>
        <w:t xml:space="preserve"> New variants, which may be more transmissible, may require additional measures to be implemented to prevent spread of COVID-19 within the gymnasium environment. </w:t>
      </w:r>
    </w:p>
    <w:p w14:paraId="1E452F75" w14:textId="77777777" w:rsidR="00040693" w:rsidRPr="00040693" w:rsidRDefault="00040693" w:rsidP="00040693">
      <w:pPr>
        <w:pStyle w:val="Heading1"/>
        <w:divId w:val="1622613429"/>
      </w:pPr>
      <w:r w:rsidRPr="00040693">
        <w:t xml:space="preserve">Conclusion </w:t>
      </w:r>
    </w:p>
    <w:p w14:paraId="5F3A5652" w14:textId="77777777" w:rsidR="00040693" w:rsidRDefault="00040693" w:rsidP="00040693">
      <w:pPr>
        <w:divId w:val="1622613429"/>
      </w:pPr>
      <w:r>
        <w:t>Our epidemiological and laboratory findings suggest probable transmission of COVID-19 through infectious aerosols in the weights room of a gymnasium. Our findings support caution in similar settings and are important to inform infection control policies for gymnasiums and other indoor sports facilities. Further research is warranted to improve risk mitigation and control measures to prevent COVID-19 transmission within gymnasiums, particularly with the emergence of new variants.</w:t>
      </w:r>
      <w:r>
        <w:rPr>
          <w:vertAlign w:val="superscript"/>
        </w:rPr>
        <w:t>18,</w:t>
      </w:r>
      <w:proofErr w:type="gramStart"/>
      <w:r>
        <w:rPr>
          <w:vertAlign w:val="superscript"/>
        </w:rPr>
        <w:t>19</w:t>
      </w:r>
      <w:proofErr w:type="gramEnd"/>
      <w:r>
        <w:rPr>
          <w:vertAlign w:val="superscript"/>
        </w:rPr>
        <w:t xml:space="preserve"> </w:t>
      </w:r>
    </w:p>
    <w:p w14:paraId="5C0E782E" w14:textId="77777777" w:rsidR="00040693" w:rsidRPr="00040693" w:rsidRDefault="00040693" w:rsidP="00040693">
      <w:pPr>
        <w:pStyle w:val="Heading1"/>
        <w:divId w:val="1622613429"/>
      </w:pPr>
      <w:r w:rsidRPr="00040693">
        <w:t xml:space="preserve">Acknowledgements </w:t>
      </w:r>
    </w:p>
    <w:p w14:paraId="3225683C" w14:textId="77777777" w:rsidR="00040693" w:rsidRDefault="00040693" w:rsidP="00040693">
      <w:pPr>
        <w:divId w:val="1622613429"/>
      </w:pPr>
      <w:r>
        <w:t xml:space="preserve">The authors thank staff of NSW Health Pathology laboratories for COVID-19 testing and SARS-CoV-2 genome sequencing and bioinformatic analysis. </w:t>
      </w:r>
    </w:p>
    <w:p w14:paraId="601C925F" w14:textId="77777777" w:rsidR="00040693" w:rsidRPr="00040693" w:rsidRDefault="00040693" w:rsidP="00040693">
      <w:pPr>
        <w:pStyle w:val="Heading1"/>
        <w:divId w:val="1622613429"/>
      </w:pPr>
      <w:r w:rsidRPr="00040693">
        <w:t xml:space="preserve">Author details </w:t>
      </w:r>
    </w:p>
    <w:p w14:paraId="432838C7" w14:textId="77777777" w:rsidR="00040693" w:rsidRDefault="00040693" w:rsidP="00040693">
      <w:pPr>
        <w:divId w:val="1622613429"/>
      </w:pPr>
      <w:r>
        <w:t>Dr Bhavi Ravindran, Public Health Medical Officer,</w:t>
      </w:r>
      <w:r>
        <w:rPr>
          <w:vertAlign w:val="superscript"/>
        </w:rPr>
        <w:t>1</w:t>
      </w:r>
      <w:r>
        <w:t xml:space="preserve"> </w:t>
      </w:r>
    </w:p>
    <w:p w14:paraId="79170434" w14:textId="77777777" w:rsidR="00040693" w:rsidRDefault="00040693" w:rsidP="00040693">
      <w:pPr>
        <w:divId w:val="1622613429"/>
      </w:pPr>
      <w:r>
        <w:t xml:space="preserve">Dr Elizabeth </w:t>
      </w:r>
      <w:proofErr w:type="spellStart"/>
      <w:r>
        <w:t>Gatens</w:t>
      </w:r>
      <w:proofErr w:type="spellEnd"/>
      <w:r>
        <w:t>, Public Health Medical Officer,</w:t>
      </w:r>
      <w:r>
        <w:rPr>
          <w:vertAlign w:val="superscript"/>
        </w:rPr>
        <w:t xml:space="preserve">1 </w:t>
      </w:r>
    </w:p>
    <w:p w14:paraId="03093DE6" w14:textId="77777777" w:rsidR="00040693" w:rsidRDefault="00040693" w:rsidP="00040693">
      <w:pPr>
        <w:divId w:val="1622613429"/>
      </w:pPr>
      <w:r>
        <w:t xml:space="preserve">Dr </w:t>
      </w:r>
      <w:proofErr w:type="spellStart"/>
      <w:r>
        <w:t>Naru</w:t>
      </w:r>
      <w:proofErr w:type="spellEnd"/>
      <w:r>
        <w:t xml:space="preserve"> Pal, Director,</w:t>
      </w:r>
      <w:r>
        <w:rPr>
          <w:vertAlign w:val="superscript"/>
        </w:rPr>
        <w:t>2</w:t>
      </w:r>
      <w:r>
        <w:t xml:space="preserve"> </w:t>
      </w:r>
    </w:p>
    <w:p w14:paraId="14984F8A" w14:textId="77777777" w:rsidR="00040693" w:rsidRDefault="00040693" w:rsidP="00040693">
      <w:pPr>
        <w:divId w:val="1622613429"/>
      </w:pPr>
      <w:r>
        <w:t>Dr Vicky Sheppeard, Deputy Director,</w:t>
      </w:r>
      <w:r>
        <w:rPr>
          <w:vertAlign w:val="superscript"/>
        </w:rPr>
        <w:t xml:space="preserve">3 </w:t>
      </w:r>
    </w:p>
    <w:p w14:paraId="32301057" w14:textId="77777777" w:rsidR="00040693" w:rsidRDefault="00040693" w:rsidP="00040693">
      <w:pPr>
        <w:divId w:val="1622613429"/>
      </w:pPr>
      <w:r>
        <w:t xml:space="preserve">Dr Anna </w:t>
      </w:r>
      <w:proofErr w:type="spellStart"/>
      <w:r>
        <w:t>Calik</w:t>
      </w:r>
      <w:proofErr w:type="spellEnd"/>
      <w:r>
        <w:t>, Public Health Medicine Registrar,</w:t>
      </w:r>
      <w:r>
        <w:rPr>
          <w:vertAlign w:val="superscript"/>
        </w:rPr>
        <w:t xml:space="preserve">2 </w:t>
      </w:r>
    </w:p>
    <w:p w14:paraId="78EFB4B7" w14:textId="77777777" w:rsidR="00040693" w:rsidRDefault="00040693" w:rsidP="00040693">
      <w:pPr>
        <w:divId w:val="1622613429"/>
      </w:pPr>
      <w:r>
        <w:t>Dr Kate Alexander, Public Health Physician,</w:t>
      </w:r>
      <w:r>
        <w:rPr>
          <w:vertAlign w:val="superscript"/>
        </w:rPr>
        <w:t xml:space="preserve">2 </w:t>
      </w:r>
    </w:p>
    <w:p w14:paraId="1EF4CBE4" w14:textId="77777777" w:rsidR="00040693" w:rsidRDefault="00040693" w:rsidP="00040693">
      <w:pPr>
        <w:divId w:val="1622613429"/>
      </w:pPr>
      <w:r>
        <w:t xml:space="preserve">Dr </w:t>
      </w:r>
      <w:proofErr w:type="spellStart"/>
      <w:r>
        <w:t>Khizar</w:t>
      </w:r>
      <w:proofErr w:type="spellEnd"/>
      <w:r>
        <w:t xml:space="preserve"> Ashraf,</w:t>
      </w:r>
      <w:r>
        <w:rPr>
          <w:vertAlign w:val="superscript"/>
        </w:rPr>
        <w:t xml:space="preserve">2 </w:t>
      </w:r>
    </w:p>
    <w:p w14:paraId="303EA399" w14:textId="77777777" w:rsidR="00040693" w:rsidRDefault="00040693" w:rsidP="00040693">
      <w:pPr>
        <w:divId w:val="1622613429"/>
      </w:pPr>
      <w:r>
        <w:t>Dr Alicia Arnott,</w:t>
      </w:r>
      <w:r>
        <w:rPr>
          <w:vertAlign w:val="superscript"/>
        </w:rPr>
        <w:t xml:space="preserve">4 </w:t>
      </w:r>
    </w:p>
    <w:p w14:paraId="6E170024" w14:textId="77777777" w:rsidR="00040693" w:rsidRDefault="00040693" w:rsidP="00040693">
      <w:pPr>
        <w:divId w:val="1622613429"/>
      </w:pPr>
      <w:r>
        <w:t>Prof. Vitali Sintchenko,</w:t>
      </w:r>
      <w:r>
        <w:rPr>
          <w:vertAlign w:val="superscript"/>
        </w:rPr>
        <w:t>4</w:t>
      </w:r>
      <w:r>
        <w:t xml:space="preserve"> </w:t>
      </w:r>
    </w:p>
    <w:p w14:paraId="036D63F0" w14:textId="77777777" w:rsidR="00040693" w:rsidRDefault="00040693" w:rsidP="00040693">
      <w:pPr>
        <w:divId w:val="1622613429"/>
      </w:pPr>
      <w:r>
        <w:t>Dr Craig B Dalton, Public Health Physician,</w:t>
      </w:r>
      <w:r>
        <w:rPr>
          <w:vertAlign w:val="superscript"/>
        </w:rPr>
        <w:t>1,5</w:t>
      </w:r>
      <w:r>
        <w:t xml:space="preserve"> </w:t>
      </w:r>
    </w:p>
    <w:p w14:paraId="169F8F3C" w14:textId="77777777" w:rsidR="00040693" w:rsidRPr="00040693" w:rsidRDefault="00040693" w:rsidP="00040693">
      <w:pPr>
        <w:pStyle w:val="ListParagraph"/>
        <w:numPr>
          <w:ilvl w:val="0"/>
          <w:numId w:val="9"/>
        </w:numPr>
        <w:divId w:val="1622613429"/>
        <w:rPr>
          <w:rFonts w:eastAsia="Times New Roman"/>
        </w:rPr>
      </w:pPr>
      <w:r w:rsidRPr="00040693">
        <w:rPr>
          <w:rFonts w:eastAsia="Times New Roman"/>
        </w:rPr>
        <w:t xml:space="preserve">Hunter New England Population Health, Hunter New England Local Health District, Wallsend, New South Wales, Australia </w:t>
      </w:r>
    </w:p>
    <w:p w14:paraId="0246A83F" w14:textId="77777777" w:rsidR="00040693" w:rsidRPr="00040693" w:rsidRDefault="00040693" w:rsidP="00040693">
      <w:pPr>
        <w:pStyle w:val="ListParagraph"/>
        <w:numPr>
          <w:ilvl w:val="0"/>
          <w:numId w:val="9"/>
        </w:numPr>
        <w:divId w:val="1622613429"/>
        <w:rPr>
          <w:rFonts w:eastAsia="Times New Roman"/>
        </w:rPr>
      </w:pPr>
      <w:r w:rsidRPr="00040693">
        <w:rPr>
          <w:rFonts w:eastAsia="Times New Roman"/>
        </w:rPr>
        <w:t xml:space="preserve">Public Health Unit, Population Health, </w:t>
      </w:r>
      <w:proofErr w:type="gramStart"/>
      <w:r w:rsidRPr="00040693">
        <w:rPr>
          <w:rFonts w:eastAsia="Times New Roman"/>
        </w:rPr>
        <w:t>South Western</w:t>
      </w:r>
      <w:proofErr w:type="gramEnd"/>
      <w:r w:rsidRPr="00040693">
        <w:rPr>
          <w:rFonts w:eastAsia="Times New Roman"/>
        </w:rPr>
        <w:t xml:space="preserve"> Sydney Local Health District, New South Wales, Australia </w:t>
      </w:r>
    </w:p>
    <w:p w14:paraId="6BB13C3F" w14:textId="77777777" w:rsidR="00040693" w:rsidRPr="00040693" w:rsidRDefault="00040693" w:rsidP="00040693">
      <w:pPr>
        <w:pStyle w:val="ListParagraph"/>
        <w:numPr>
          <w:ilvl w:val="0"/>
          <w:numId w:val="9"/>
        </w:numPr>
        <w:divId w:val="1622613429"/>
        <w:rPr>
          <w:rFonts w:eastAsia="Times New Roman"/>
        </w:rPr>
      </w:pPr>
      <w:proofErr w:type="gramStart"/>
      <w:r w:rsidRPr="00040693">
        <w:rPr>
          <w:rFonts w:eastAsia="Times New Roman"/>
        </w:rPr>
        <w:t>South Eastern</w:t>
      </w:r>
      <w:proofErr w:type="gramEnd"/>
      <w:r w:rsidRPr="00040693">
        <w:rPr>
          <w:rFonts w:eastAsia="Times New Roman"/>
        </w:rPr>
        <w:t xml:space="preserve"> Sydney Public Health Unit, New South Wales, Australia </w:t>
      </w:r>
    </w:p>
    <w:p w14:paraId="0961220C" w14:textId="77777777" w:rsidR="00040693" w:rsidRPr="00040693" w:rsidRDefault="00040693" w:rsidP="00040693">
      <w:pPr>
        <w:pStyle w:val="ListParagraph"/>
        <w:numPr>
          <w:ilvl w:val="0"/>
          <w:numId w:val="9"/>
        </w:numPr>
        <w:divId w:val="1622613429"/>
        <w:rPr>
          <w:rFonts w:eastAsia="Times New Roman"/>
        </w:rPr>
      </w:pPr>
      <w:r w:rsidRPr="00040693">
        <w:rPr>
          <w:rFonts w:eastAsia="Times New Roman"/>
        </w:rPr>
        <w:t xml:space="preserve">Institute of Clinical Pathology and Medical Research, NSW Health Pathology, Westmead, New South Wales, Australia </w:t>
      </w:r>
    </w:p>
    <w:p w14:paraId="6E63D2CA" w14:textId="77777777" w:rsidR="00040693" w:rsidRPr="00040693" w:rsidRDefault="00040693" w:rsidP="00040693">
      <w:pPr>
        <w:pStyle w:val="ListParagraph"/>
        <w:numPr>
          <w:ilvl w:val="0"/>
          <w:numId w:val="9"/>
        </w:numPr>
        <w:divId w:val="1622613429"/>
        <w:rPr>
          <w:rFonts w:eastAsia="Times New Roman"/>
        </w:rPr>
      </w:pPr>
      <w:r w:rsidRPr="00040693">
        <w:rPr>
          <w:rFonts w:eastAsia="Times New Roman"/>
        </w:rPr>
        <w:t>Hunter Medical Research Institute, New Lambton Heights, New South Wales, Australia</w:t>
      </w:r>
    </w:p>
    <w:p w14:paraId="069A8493" w14:textId="77777777" w:rsidR="00040693" w:rsidRPr="00040693" w:rsidRDefault="00040693" w:rsidP="00F6433D">
      <w:pPr>
        <w:pStyle w:val="Heading2"/>
        <w:spacing w:after="200"/>
        <w:divId w:val="1622613429"/>
      </w:pPr>
      <w:r w:rsidRPr="00040693">
        <w:t xml:space="preserve">Corresponding author </w:t>
      </w:r>
    </w:p>
    <w:p w14:paraId="70DCB22C" w14:textId="77777777" w:rsidR="00040693" w:rsidRDefault="00040693" w:rsidP="00040693">
      <w:pPr>
        <w:divId w:val="1622613429"/>
      </w:pPr>
      <w:r>
        <w:t xml:space="preserve">Dr </w:t>
      </w:r>
      <w:proofErr w:type="spellStart"/>
      <w:r>
        <w:t>Khizar</w:t>
      </w:r>
      <w:proofErr w:type="spellEnd"/>
      <w:r>
        <w:t xml:space="preserve"> Ashraf </w:t>
      </w:r>
    </w:p>
    <w:p w14:paraId="5DAC39B8" w14:textId="77777777" w:rsidR="00040693" w:rsidRDefault="00040693" w:rsidP="00040693">
      <w:pPr>
        <w:divId w:val="1622613429"/>
      </w:pPr>
      <w:r>
        <w:t xml:space="preserve">Address: L4, 203 Northumberland St, Liverpool, 2170, NSW (P O Box 38, Liverpool, 2170 NSW) </w:t>
      </w:r>
    </w:p>
    <w:p w14:paraId="332F2BE0" w14:textId="77777777" w:rsidR="00040693" w:rsidRDefault="00040693" w:rsidP="00040693">
      <w:pPr>
        <w:divId w:val="1622613429"/>
      </w:pPr>
      <w:r>
        <w:t>Phone: +61 (0) 408 602 247</w:t>
      </w:r>
    </w:p>
    <w:p w14:paraId="33B2F6A9" w14:textId="77777777" w:rsidR="00040693" w:rsidRPr="00040693" w:rsidRDefault="00040693" w:rsidP="00040693">
      <w:pPr>
        <w:pStyle w:val="Heading1"/>
        <w:divId w:val="1622613429"/>
      </w:pPr>
      <w:r w:rsidRPr="00040693">
        <w:t xml:space="preserve">References </w:t>
      </w:r>
    </w:p>
    <w:p w14:paraId="73AD7367"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de Crane </w:t>
      </w:r>
      <w:proofErr w:type="spellStart"/>
      <w:r w:rsidRPr="00040693">
        <w:rPr>
          <w:rFonts w:eastAsia="Times New Roman"/>
        </w:rPr>
        <w:t>D’Heysselaer</w:t>
      </w:r>
      <w:proofErr w:type="spellEnd"/>
      <w:r w:rsidRPr="00040693">
        <w:rPr>
          <w:rFonts w:eastAsia="Times New Roman"/>
        </w:rPr>
        <w:t xml:space="preserve"> S, </w:t>
      </w:r>
      <w:proofErr w:type="spellStart"/>
      <w:r w:rsidRPr="00040693">
        <w:rPr>
          <w:rFonts w:eastAsia="Times New Roman"/>
        </w:rPr>
        <w:t>Parisi</w:t>
      </w:r>
      <w:proofErr w:type="spellEnd"/>
      <w:r w:rsidRPr="00040693">
        <w:rPr>
          <w:rFonts w:eastAsia="Times New Roman"/>
        </w:rPr>
        <w:t xml:space="preserve"> G, </w:t>
      </w:r>
      <w:proofErr w:type="spellStart"/>
      <w:r w:rsidRPr="00040693">
        <w:rPr>
          <w:rFonts w:eastAsia="Times New Roman"/>
        </w:rPr>
        <w:t>Lisson</w:t>
      </w:r>
      <w:proofErr w:type="spellEnd"/>
      <w:r w:rsidRPr="00040693">
        <w:rPr>
          <w:rFonts w:eastAsia="Times New Roman"/>
        </w:rPr>
        <w:t xml:space="preserve"> M, Bruyère O, </w:t>
      </w:r>
      <w:proofErr w:type="spellStart"/>
      <w:r w:rsidRPr="00040693">
        <w:rPr>
          <w:rFonts w:eastAsia="Times New Roman"/>
        </w:rPr>
        <w:t>Donneau</w:t>
      </w:r>
      <w:proofErr w:type="spellEnd"/>
      <w:r w:rsidRPr="00040693">
        <w:rPr>
          <w:rFonts w:eastAsia="Times New Roman"/>
        </w:rPr>
        <w:t xml:space="preserve"> A-F, Fontaine S et al. Systematic review of the key factors influencing the indoor airborne spread of SARS-CoV-2. </w:t>
      </w:r>
      <w:r w:rsidRPr="00040693">
        <w:rPr>
          <w:rStyle w:val="Emphasis"/>
          <w:rFonts w:eastAsia="Times New Roman"/>
          <w:b w:val="0"/>
          <w:bCs w:val="0"/>
        </w:rPr>
        <w:t>Pathogens</w:t>
      </w:r>
      <w:r w:rsidRPr="00040693">
        <w:rPr>
          <w:rFonts w:eastAsia="Times New Roman"/>
        </w:rPr>
        <w:t xml:space="preserve">. 2023;12(3):382. </w:t>
      </w:r>
      <w:proofErr w:type="spellStart"/>
      <w:r w:rsidRPr="00040693">
        <w:rPr>
          <w:rFonts w:eastAsia="Times New Roman"/>
        </w:rPr>
        <w:t>doi</w:t>
      </w:r>
      <w:proofErr w:type="spellEnd"/>
      <w:r w:rsidRPr="00040693">
        <w:rPr>
          <w:rFonts w:eastAsia="Times New Roman"/>
        </w:rPr>
        <w:t xml:space="preserve">: https://doi.org/10.3390/pathogens12030382. </w:t>
      </w:r>
    </w:p>
    <w:p w14:paraId="60313798"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Wong NS, Lee SS, Kwan TH, Yeoh EK. Settings of virus exposure and their implications in the propagation of transmission networks in a COVID-19 outbreak. </w:t>
      </w:r>
      <w:r w:rsidRPr="00040693">
        <w:rPr>
          <w:rStyle w:val="Emphasis"/>
          <w:rFonts w:eastAsia="Times New Roman"/>
          <w:b w:val="0"/>
          <w:bCs w:val="0"/>
        </w:rPr>
        <w:t>Lancet Reg Health West Pac</w:t>
      </w:r>
      <w:r w:rsidRPr="00040693">
        <w:rPr>
          <w:rFonts w:eastAsia="Times New Roman"/>
        </w:rPr>
        <w:t xml:space="preserve">. </w:t>
      </w:r>
      <w:proofErr w:type="gramStart"/>
      <w:r w:rsidRPr="00040693">
        <w:rPr>
          <w:rFonts w:eastAsia="Times New Roman"/>
        </w:rPr>
        <w:t>2020;4:100052</w:t>
      </w:r>
      <w:proofErr w:type="gramEnd"/>
      <w:r w:rsidRPr="00040693">
        <w:rPr>
          <w:rFonts w:eastAsia="Times New Roman"/>
        </w:rPr>
        <w:t xml:space="preserve">. </w:t>
      </w:r>
      <w:proofErr w:type="spellStart"/>
      <w:r w:rsidRPr="00040693">
        <w:rPr>
          <w:rFonts w:eastAsia="Times New Roman"/>
        </w:rPr>
        <w:t>doi</w:t>
      </w:r>
      <w:proofErr w:type="spellEnd"/>
      <w:r w:rsidRPr="00040693">
        <w:rPr>
          <w:rFonts w:eastAsia="Times New Roman"/>
        </w:rPr>
        <w:t xml:space="preserve">: https://doi.org/10.1016/j.lanwpc.2020.100052. </w:t>
      </w:r>
    </w:p>
    <w:p w14:paraId="5B2EA1C0"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Jang S, Han SH, Rhee JY. Cluster of coronavirus disease associated with fitness dance classes, South Korea. </w:t>
      </w:r>
      <w:proofErr w:type="spellStart"/>
      <w:r w:rsidRPr="00040693">
        <w:rPr>
          <w:rStyle w:val="Emphasis"/>
          <w:rFonts w:eastAsia="Times New Roman"/>
          <w:b w:val="0"/>
          <w:bCs w:val="0"/>
        </w:rPr>
        <w:t>Emerg</w:t>
      </w:r>
      <w:proofErr w:type="spellEnd"/>
      <w:r w:rsidRPr="00040693">
        <w:rPr>
          <w:rStyle w:val="Emphasis"/>
          <w:rFonts w:eastAsia="Times New Roman"/>
          <w:b w:val="0"/>
          <w:bCs w:val="0"/>
        </w:rPr>
        <w:t xml:space="preserve"> Infect Dis</w:t>
      </w:r>
      <w:r w:rsidRPr="00040693">
        <w:rPr>
          <w:rFonts w:eastAsia="Times New Roman"/>
        </w:rPr>
        <w:t xml:space="preserve">. 2020;26(8):1917–20. </w:t>
      </w:r>
      <w:proofErr w:type="spellStart"/>
      <w:r w:rsidRPr="00040693">
        <w:rPr>
          <w:rFonts w:eastAsia="Times New Roman"/>
        </w:rPr>
        <w:t>doi</w:t>
      </w:r>
      <w:proofErr w:type="spellEnd"/>
      <w:r w:rsidRPr="00040693">
        <w:rPr>
          <w:rFonts w:eastAsia="Times New Roman"/>
        </w:rPr>
        <w:t xml:space="preserve">: https://doi.org/10.3201/eid2608.200633. </w:t>
      </w:r>
    </w:p>
    <w:p w14:paraId="2700334B" w14:textId="77777777" w:rsidR="00040693" w:rsidRPr="00040693" w:rsidRDefault="00040693" w:rsidP="00040693">
      <w:pPr>
        <w:pStyle w:val="ListParagraph"/>
        <w:numPr>
          <w:ilvl w:val="0"/>
          <w:numId w:val="10"/>
        </w:numPr>
        <w:divId w:val="1622613429"/>
        <w:rPr>
          <w:rFonts w:eastAsia="Times New Roman"/>
        </w:rPr>
      </w:pPr>
      <w:proofErr w:type="spellStart"/>
      <w:r w:rsidRPr="00040693">
        <w:rPr>
          <w:rFonts w:eastAsia="Times New Roman"/>
        </w:rPr>
        <w:t>Brlek</w:t>
      </w:r>
      <w:proofErr w:type="spellEnd"/>
      <w:r w:rsidRPr="00040693">
        <w:rPr>
          <w:rFonts w:eastAsia="Times New Roman"/>
        </w:rPr>
        <w:t xml:space="preserve"> A, </w:t>
      </w:r>
      <w:proofErr w:type="spellStart"/>
      <w:r w:rsidRPr="00040693">
        <w:rPr>
          <w:rFonts w:eastAsia="Times New Roman"/>
        </w:rPr>
        <w:t>Vidovič</w:t>
      </w:r>
      <w:proofErr w:type="spellEnd"/>
      <w:r w:rsidRPr="00040693">
        <w:rPr>
          <w:rFonts w:eastAsia="Times New Roman"/>
        </w:rPr>
        <w:t xml:space="preserve"> Š, </w:t>
      </w:r>
      <w:proofErr w:type="spellStart"/>
      <w:r w:rsidRPr="00040693">
        <w:rPr>
          <w:rFonts w:eastAsia="Times New Roman"/>
        </w:rPr>
        <w:t>Vuzem</w:t>
      </w:r>
      <w:proofErr w:type="spellEnd"/>
      <w:r w:rsidRPr="00040693">
        <w:rPr>
          <w:rFonts w:eastAsia="Times New Roman"/>
        </w:rPr>
        <w:t xml:space="preserve"> S, Turk K, Simonović Z. Possible indirect transmission of COVID-19 at a squash court, Slovenia, March 2020: case report. </w:t>
      </w:r>
      <w:r w:rsidRPr="00040693">
        <w:rPr>
          <w:rStyle w:val="Emphasis"/>
          <w:rFonts w:eastAsia="Times New Roman"/>
          <w:b w:val="0"/>
          <w:bCs w:val="0"/>
        </w:rPr>
        <w:t>Epidemiol Infect</w:t>
      </w:r>
      <w:r w:rsidRPr="00040693">
        <w:rPr>
          <w:rFonts w:eastAsia="Times New Roman"/>
        </w:rPr>
        <w:t>. 2020;</w:t>
      </w:r>
      <w:proofErr w:type="gramStart"/>
      <w:r w:rsidRPr="00040693">
        <w:rPr>
          <w:rFonts w:eastAsia="Times New Roman"/>
        </w:rPr>
        <w:t>148:e</w:t>
      </w:r>
      <w:proofErr w:type="gramEnd"/>
      <w:r w:rsidRPr="00040693">
        <w:rPr>
          <w:rFonts w:eastAsia="Times New Roman"/>
        </w:rPr>
        <w:t xml:space="preserve">120. </w:t>
      </w:r>
      <w:proofErr w:type="spellStart"/>
      <w:r w:rsidRPr="00040693">
        <w:rPr>
          <w:rFonts w:eastAsia="Times New Roman"/>
        </w:rPr>
        <w:t>doi</w:t>
      </w:r>
      <w:proofErr w:type="spellEnd"/>
      <w:r w:rsidRPr="00040693">
        <w:rPr>
          <w:rFonts w:eastAsia="Times New Roman"/>
        </w:rPr>
        <w:t xml:space="preserve">: https://doi.org/10.1017/S0950268820001326. </w:t>
      </w:r>
    </w:p>
    <w:p w14:paraId="4DBC9757"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Government of New South Wales Department of Health (NSW Health). Public health alert - Royal Hospital for Women at Randwick, City Tattersalls, Virgin Gym Zetland, bus routes in Blacktown, Rouse </w:t>
      </w:r>
      <w:proofErr w:type="gramStart"/>
      <w:r w:rsidRPr="00040693">
        <w:rPr>
          <w:rFonts w:eastAsia="Times New Roman"/>
        </w:rPr>
        <w:t>Hill</w:t>
      </w:r>
      <w:proofErr w:type="gramEnd"/>
      <w:r w:rsidRPr="00040693">
        <w:rPr>
          <w:rFonts w:eastAsia="Times New Roman"/>
        </w:rPr>
        <w:t xml:space="preserve"> and Mt Druitt. [Internet.] Sydney: NSW Health; 26 August 2020. [Accessed on 12 October 2020.] Available from: https://www.health.nsw.gov.au/news/Pages/20200826_01.aspx. </w:t>
      </w:r>
    </w:p>
    <w:p w14:paraId="5706CF4D"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Suhs T, Gerlach D, </w:t>
      </w:r>
      <w:proofErr w:type="spellStart"/>
      <w:r w:rsidRPr="00040693">
        <w:rPr>
          <w:rFonts w:eastAsia="Times New Roman"/>
        </w:rPr>
        <w:t>Garfin</w:t>
      </w:r>
      <w:proofErr w:type="spellEnd"/>
      <w:r w:rsidRPr="00040693">
        <w:rPr>
          <w:rFonts w:eastAsia="Times New Roman"/>
        </w:rPr>
        <w:t xml:space="preserve"> J, Lorentz A, Firestone M, </w:t>
      </w:r>
      <w:proofErr w:type="spellStart"/>
      <w:r w:rsidRPr="00040693">
        <w:rPr>
          <w:rFonts w:eastAsia="Times New Roman"/>
        </w:rPr>
        <w:t>Sherden</w:t>
      </w:r>
      <w:proofErr w:type="spellEnd"/>
      <w:r w:rsidRPr="00040693">
        <w:rPr>
          <w:rFonts w:eastAsia="Times New Roman"/>
        </w:rPr>
        <w:t xml:space="preserve"> M et al. COVID-19 outbreak associated with a fitness </w:t>
      </w:r>
      <w:proofErr w:type="spellStart"/>
      <w:r w:rsidRPr="00040693">
        <w:rPr>
          <w:rFonts w:eastAsia="Times New Roman"/>
        </w:rPr>
        <w:t>center</w:t>
      </w:r>
      <w:proofErr w:type="spellEnd"/>
      <w:r w:rsidRPr="00040693">
        <w:rPr>
          <w:rFonts w:eastAsia="Times New Roman"/>
        </w:rPr>
        <w:t xml:space="preserve">—Minnesota, September–November 2020. </w:t>
      </w:r>
      <w:r w:rsidRPr="00040693">
        <w:rPr>
          <w:rStyle w:val="Emphasis"/>
          <w:rFonts w:eastAsia="Times New Roman"/>
          <w:b w:val="0"/>
          <w:bCs w:val="0"/>
        </w:rPr>
        <w:t>Clin Infect Dis</w:t>
      </w:r>
      <w:r w:rsidRPr="00040693">
        <w:rPr>
          <w:rFonts w:eastAsia="Times New Roman"/>
        </w:rPr>
        <w:t xml:space="preserve">. 2022;74(7):1265–7. </w:t>
      </w:r>
      <w:proofErr w:type="spellStart"/>
      <w:r w:rsidRPr="00040693">
        <w:rPr>
          <w:rFonts w:eastAsia="Times New Roman"/>
        </w:rPr>
        <w:t>doi</w:t>
      </w:r>
      <w:proofErr w:type="spellEnd"/>
      <w:r w:rsidRPr="00040693">
        <w:rPr>
          <w:rFonts w:eastAsia="Times New Roman"/>
        </w:rPr>
        <w:t xml:space="preserve">: https://doi.org/10.1093/cid/ciab653. </w:t>
      </w:r>
    </w:p>
    <w:p w14:paraId="3B4BAFFD"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Shin SH, Park E, Kim S, Jang M, Park S, Kim DH et al. COVID-19 outbreak and risk factors for infection in a taekwondo gym in the Republic of Korea. </w:t>
      </w:r>
      <w:proofErr w:type="spellStart"/>
      <w:r w:rsidRPr="00040693">
        <w:rPr>
          <w:rStyle w:val="Emphasis"/>
          <w:rFonts w:eastAsia="Times New Roman"/>
          <w:b w:val="0"/>
          <w:bCs w:val="0"/>
        </w:rPr>
        <w:t>Osong</w:t>
      </w:r>
      <w:proofErr w:type="spellEnd"/>
      <w:r w:rsidRPr="00040693">
        <w:rPr>
          <w:rStyle w:val="Emphasis"/>
          <w:rFonts w:eastAsia="Times New Roman"/>
          <w:b w:val="0"/>
          <w:bCs w:val="0"/>
        </w:rPr>
        <w:t xml:space="preserve"> Public Health Res </w:t>
      </w:r>
      <w:proofErr w:type="spellStart"/>
      <w:r w:rsidRPr="00040693">
        <w:rPr>
          <w:rStyle w:val="Emphasis"/>
          <w:rFonts w:eastAsia="Times New Roman"/>
          <w:b w:val="0"/>
          <w:bCs w:val="0"/>
        </w:rPr>
        <w:t>Perspect</w:t>
      </w:r>
      <w:proofErr w:type="spellEnd"/>
      <w:r w:rsidRPr="00040693">
        <w:rPr>
          <w:rFonts w:eastAsia="Times New Roman"/>
        </w:rPr>
        <w:t xml:space="preserve">. 2022;13(2):162–70. </w:t>
      </w:r>
      <w:proofErr w:type="spellStart"/>
      <w:r w:rsidRPr="00040693">
        <w:rPr>
          <w:rFonts w:eastAsia="Times New Roman"/>
        </w:rPr>
        <w:t>doi</w:t>
      </w:r>
      <w:proofErr w:type="spellEnd"/>
      <w:r w:rsidRPr="00040693">
        <w:rPr>
          <w:rFonts w:eastAsia="Times New Roman"/>
        </w:rPr>
        <w:t xml:space="preserve">: https://doi.org/10.24171/j.phrp.2021.0295. </w:t>
      </w:r>
    </w:p>
    <w:p w14:paraId="61AB4FC7" w14:textId="77777777" w:rsidR="00040693" w:rsidRPr="00040693" w:rsidRDefault="00040693" w:rsidP="00040693">
      <w:pPr>
        <w:pStyle w:val="ListParagraph"/>
        <w:numPr>
          <w:ilvl w:val="0"/>
          <w:numId w:val="10"/>
        </w:numPr>
        <w:divId w:val="1622613429"/>
        <w:rPr>
          <w:rFonts w:eastAsia="Times New Roman"/>
        </w:rPr>
      </w:pPr>
      <w:proofErr w:type="spellStart"/>
      <w:r w:rsidRPr="00040693">
        <w:rPr>
          <w:rFonts w:eastAsia="Times New Roman"/>
        </w:rPr>
        <w:t>Lendacki</w:t>
      </w:r>
      <w:proofErr w:type="spellEnd"/>
      <w:r w:rsidRPr="00040693">
        <w:rPr>
          <w:rFonts w:eastAsia="Times New Roman"/>
        </w:rPr>
        <w:t xml:space="preserve"> FR, Teran RA, Gretsch S, </w:t>
      </w:r>
      <w:proofErr w:type="spellStart"/>
      <w:r w:rsidRPr="00040693">
        <w:rPr>
          <w:rFonts w:eastAsia="Times New Roman"/>
        </w:rPr>
        <w:t>Fricchione</w:t>
      </w:r>
      <w:proofErr w:type="spellEnd"/>
      <w:r w:rsidRPr="00040693">
        <w:rPr>
          <w:rFonts w:eastAsia="Times New Roman"/>
        </w:rPr>
        <w:t xml:space="preserve"> MJ, </w:t>
      </w:r>
      <w:proofErr w:type="spellStart"/>
      <w:r w:rsidRPr="00040693">
        <w:rPr>
          <w:rFonts w:eastAsia="Times New Roman"/>
        </w:rPr>
        <w:t>Kerins</w:t>
      </w:r>
      <w:proofErr w:type="spellEnd"/>
      <w:r w:rsidRPr="00040693">
        <w:rPr>
          <w:rFonts w:eastAsia="Times New Roman"/>
        </w:rPr>
        <w:t xml:space="preserve"> JL. COVID-19 outbreak among attendees of an exercise facility—Chicago, Illinois, August–September 2020. </w:t>
      </w:r>
      <w:r w:rsidRPr="00040693">
        <w:rPr>
          <w:rStyle w:val="Emphasis"/>
          <w:rFonts w:eastAsia="Times New Roman"/>
          <w:b w:val="0"/>
          <w:bCs w:val="0"/>
        </w:rPr>
        <w:t xml:space="preserve">MMWR </w:t>
      </w:r>
      <w:proofErr w:type="spellStart"/>
      <w:r w:rsidRPr="00040693">
        <w:rPr>
          <w:rStyle w:val="Emphasis"/>
          <w:rFonts w:eastAsia="Times New Roman"/>
          <w:b w:val="0"/>
          <w:bCs w:val="0"/>
        </w:rPr>
        <w:t>Morb</w:t>
      </w:r>
      <w:proofErr w:type="spellEnd"/>
      <w:r w:rsidRPr="00040693">
        <w:rPr>
          <w:rStyle w:val="Emphasis"/>
          <w:rFonts w:eastAsia="Times New Roman"/>
          <w:b w:val="0"/>
          <w:bCs w:val="0"/>
        </w:rPr>
        <w:t xml:space="preserve"> Mortal </w:t>
      </w:r>
      <w:proofErr w:type="spellStart"/>
      <w:r w:rsidRPr="00040693">
        <w:rPr>
          <w:rStyle w:val="Emphasis"/>
          <w:rFonts w:eastAsia="Times New Roman"/>
          <w:b w:val="0"/>
          <w:bCs w:val="0"/>
        </w:rPr>
        <w:t>Wkly</w:t>
      </w:r>
      <w:proofErr w:type="spellEnd"/>
      <w:r w:rsidRPr="00040693">
        <w:rPr>
          <w:rStyle w:val="Emphasis"/>
          <w:rFonts w:eastAsia="Times New Roman"/>
          <w:b w:val="0"/>
          <w:bCs w:val="0"/>
        </w:rPr>
        <w:t xml:space="preserve"> Rep</w:t>
      </w:r>
      <w:r w:rsidRPr="00040693">
        <w:rPr>
          <w:rFonts w:eastAsia="Times New Roman"/>
        </w:rPr>
        <w:t xml:space="preserve">. 2021;70(9):321–5. </w:t>
      </w:r>
      <w:proofErr w:type="spellStart"/>
      <w:r w:rsidRPr="00040693">
        <w:rPr>
          <w:rFonts w:eastAsia="Times New Roman"/>
        </w:rPr>
        <w:t>doi</w:t>
      </w:r>
      <w:proofErr w:type="spellEnd"/>
      <w:r w:rsidRPr="00040693">
        <w:rPr>
          <w:rFonts w:eastAsia="Times New Roman"/>
        </w:rPr>
        <w:t xml:space="preserve">: https://doi.org/10.15585/mmwr.mm7009e2. </w:t>
      </w:r>
    </w:p>
    <w:p w14:paraId="04208174"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Groves LM, </w:t>
      </w:r>
      <w:proofErr w:type="spellStart"/>
      <w:r w:rsidRPr="00040693">
        <w:rPr>
          <w:rFonts w:eastAsia="Times New Roman"/>
        </w:rPr>
        <w:t>Usagawa</w:t>
      </w:r>
      <w:proofErr w:type="spellEnd"/>
      <w:r w:rsidRPr="00040693">
        <w:rPr>
          <w:rFonts w:eastAsia="Times New Roman"/>
        </w:rPr>
        <w:t xml:space="preserve"> L, Elm J, Low E, </w:t>
      </w:r>
      <w:proofErr w:type="spellStart"/>
      <w:r w:rsidRPr="00040693">
        <w:rPr>
          <w:rFonts w:eastAsia="Times New Roman"/>
        </w:rPr>
        <w:t>Manuzak</w:t>
      </w:r>
      <w:proofErr w:type="spellEnd"/>
      <w:r w:rsidRPr="00040693">
        <w:rPr>
          <w:rFonts w:eastAsia="Times New Roman"/>
        </w:rPr>
        <w:t xml:space="preserve"> A, Quint J et al. Community transmission of SARS-CoV-2 at three fitness facilities—Hawaii, June–July 2020. </w:t>
      </w:r>
      <w:r w:rsidRPr="00040693">
        <w:rPr>
          <w:rStyle w:val="Emphasis"/>
          <w:rFonts w:eastAsia="Times New Roman"/>
          <w:b w:val="0"/>
          <w:bCs w:val="0"/>
        </w:rPr>
        <w:t xml:space="preserve">MMWR </w:t>
      </w:r>
      <w:proofErr w:type="spellStart"/>
      <w:r w:rsidRPr="00040693">
        <w:rPr>
          <w:rStyle w:val="Emphasis"/>
          <w:rFonts w:eastAsia="Times New Roman"/>
          <w:b w:val="0"/>
          <w:bCs w:val="0"/>
        </w:rPr>
        <w:t>Morb</w:t>
      </w:r>
      <w:proofErr w:type="spellEnd"/>
      <w:r w:rsidRPr="00040693">
        <w:rPr>
          <w:rStyle w:val="Emphasis"/>
          <w:rFonts w:eastAsia="Times New Roman"/>
          <w:b w:val="0"/>
          <w:bCs w:val="0"/>
        </w:rPr>
        <w:t xml:space="preserve"> Mortal </w:t>
      </w:r>
      <w:proofErr w:type="spellStart"/>
      <w:r w:rsidRPr="00040693">
        <w:rPr>
          <w:rStyle w:val="Emphasis"/>
          <w:rFonts w:eastAsia="Times New Roman"/>
          <w:b w:val="0"/>
          <w:bCs w:val="0"/>
        </w:rPr>
        <w:t>Wkly</w:t>
      </w:r>
      <w:proofErr w:type="spellEnd"/>
      <w:r w:rsidRPr="00040693">
        <w:rPr>
          <w:rStyle w:val="Emphasis"/>
          <w:rFonts w:eastAsia="Times New Roman"/>
          <w:b w:val="0"/>
          <w:bCs w:val="0"/>
        </w:rPr>
        <w:t xml:space="preserve"> Rep</w:t>
      </w:r>
      <w:r w:rsidRPr="00040693">
        <w:rPr>
          <w:rFonts w:eastAsia="Times New Roman"/>
        </w:rPr>
        <w:t xml:space="preserve">. 2021;70(9):316–20. </w:t>
      </w:r>
      <w:proofErr w:type="spellStart"/>
      <w:r w:rsidRPr="00040693">
        <w:rPr>
          <w:rFonts w:eastAsia="Times New Roman"/>
        </w:rPr>
        <w:t>doi</w:t>
      </w:r>
      <w:proofErr w:type="spellEnd"/>
      <w:r w:rsidRPr="00040693">
        <w:rPr>
          <w:rFonts w:eastAsia="Times New Roman"/>
        </w:rPr>
        <w:t xml:space="preserve">: https://doi.org/10.15585/mmwr.mm7009e1. </w:t>
      </w:r>
    </w:p>
    <w:p w14:paraId="6E12F1CA" w14:textId="77777777" w:rsidR="00040693" w:rsidRPr="00040693" w:rsidRDefault="00040693" w:rsidP="00040693">
      <w:pPr>
        <w:pStyle w:val="ListParagraph"/>
        <w:numPr>
          <w:ilvl w:val="0"/>
          <w:numId w:val="10"/>
        </w:numPr>
        <w:divId w:val="1622613429"/>
        <w:rPr>
          <w:rFonts w:eastAsia="Times New Roman"/>
        </w:rPr>
      </w:pPr>
      <w:proofErr w:type="spellStart"/>
      <w:r w:rsidRPr="00040693">
        <w:rPr>
          <w:rFonts w:eastAsia="Times New Roman"/>
        </w:rPr>
        <w:t>Rockett</w:t>
      </w:r>
      <w:proofErr w:type="spellEnd"/>
      <w:r w:rsidRPr="00040693">
        <w:rPr>
          <w:rFonts w:eastAsia="Times New Roman"/>
        </w:rPr>
        <w:t xml:space="preserve"> RJ, Arnott A, Lam C, </w:t>
      </w:r>
      <w:proofErr w:type="spellStart"/>
      <w:r w:rsidRPr="00040693">
        <w:rPr>
          <w:rFonts w:eastAsia="Times New Roman"/>
        </w:rPr>
        <w:t>Sadsad</w:t>
      </w:r>
      <w:proofErr w:type="spellEnd"/>
      <w:r w:rsidRPr="00040693">
        <w:rPr>
          <w:rFonts w:eastAsia="Times New Roman"/>
        </w:rPr>
        <w:t xml:space="preserve"> R, Timms V, Gray KA et al. Revealing COVID-19 transmission in Australia by SARS-CoV-2 genome sequencing and agent-based </w:t>
      </w:r>
      <w:proofErr w:type="spellStart"/>
      <w:r w:rsidRPr="00040693">
        <w:rPr>
          <w:rFonts w:eastAsia="Times New Roman"/>
        </w:rPr>
        <w:t>modeling</w:t>
      </w:r>
      <w:proofErr w:type="spellEnd"/>
      <w:r w:rsidRPr="00040693">
        <w:rPr>
          <w:rFonts w:eastAsia="Times New Roman"/>
        </w:rPr>
        <w:t xml:space="preserve">. </w:t>
      </w:r>
      <w:r w:rsidRPr="00040693">
        <w:rPr>
          <w:rStyle w:val="Emphasis"/>
          <w:rFonts w:eastAsia="Times New Roman"/>
          <w:b w:val="0"/>
          <w:bCs w:val="0"/>
        </w:rPr>
        <w:t>Nat Med</w:t>
      </w:r>
      <w:r w:rsidRPr="00040693">
        <w:rPr>
          <w:rFonts w:eastAsia="Times New Roman"/>
        </w:rPr>
        <w:t xml:space="preserve">. 2020;26(9):1398–404. </w:t>
      </w:r>
      <w:proofErr w:type="spellStart"/>
      <w:r w:rsidRPr="00040693">
        <w:rPr>
          <w:rFonts w:eastAsia="Times New Roman"/>
        </w:rPr>
        <w:t>doi</w:t>
      </w:r>
      <w:proofErr w:type="spellEnd"/>
      <w:r w:rsidRPr="00040693">
        <w:rPr>
          <w:rFonts w:eastAsia="Times New Roman"/>
        </w:rPr>
        <w:t xml:space="preserve">: https://doi.org/10.1038/s41591-020-1000-7. </w:t>
      </w:r>
    </w:p>
    <w:p w14:paraId="67D2CA7E"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Sturm R. Bioaerosols in the lungs of subjects with different ages—part 1: deposition </w:t>
      </w:r>
      <w:proofErr w:type="spellStart"/>
      <w:r w:rsidRPr="00040693">
        <w:rPr>
          <w:rFonts w:eastAsia="Times New Roman"/>
        </w:rPr>
        <w:t>modeling</w:t>
      </w:r>
      <w:proofErr w:type="spellEnd"/>
      <w:r w:rsidRPr="00040693">
        <w:rPr>
          <w:rFonts w:eastAsia="Times New Roman"/>
        </w:rPr>
        <w:t xml:space="preserve">. </w:t>
      </w:r>
      <w:r w:rsidRPr="00040693">
        <w:rPr>
          <w:rStyle w:val="Emphasis"/>
          <w:rFonts w:eastAsia="Times New Roman"/>
          <w:b w:val="0"/>
          <w:bCs w:val="0"/>
        </w:rPr>
        <w:t xml:space="preserve">Ann </w:t>
      </w:r>
      <w:proofErr w:type="spellStart"/>
      <w:r w:rsidRPr="00040693">
        <w:rPr>
          <w:rStyle w:val="Emphasis"/>
          <w:rFonts w:eastAsia="Times New Roman"/>
          <w:b w:val="0"/>
          <w:bCs w:val="0"/>
        </w:rPr>
        <w:t>Transl</w:t>
      </w:r>
      <w:proofErr w:type="spellEnd"/>
      <w:r w:rsidRPr="00040693">
        <w:rPr>
          <w:rStyle w:val="Emphasis"/>
          <w:rFonts w:eastAsia="Times New Roman"/>
          <w:b w:val="0"/>
          <w:bCs w:val="0"/>
        </w:rPr>
        <w:t xml:space="preserve"> Med</w:t>
      </w:r>
      <w:r w:rsidRPr="00040693">
        <w:rPr>
          <w:rFonts w:eastAsia="Times New Roman"/>
        </w:rPr>
        <w:t xml:space="preserve">. 2016;4(11):211. </w:t>
      </w:r>
      <w:proofErr w:type="spellStart"/>
      <w:r w:rsidRPr="00040693">
        <w:rPr>
          <w:rFonts w:eastAsia="Times New Roman"/>
        </w:rPr>
        <w:t>doi</w:t>
      </w:r>
      <w:proofErr w:type="spellEnd"/>
      <w:r w:rsidRPr="00040693">
        <w:rPr>
          <w:rFonts w:eastAsia="Times New Roman"/>
        </w:rPr>
        <w:t xml:space="preserve">: https://doi.org/10.21037/atm.2016.05.62. </w:t>
      </w:r>
    </w:p>
    <w:p w14:paraId="1CAF2435"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Meyerowitz EA, </w:t>
      </w:r>
      <w:proofErr w:type="spellStart"/>
      <w:r w:rsidRPr="00040693">
        <w:rPr>
          <w:rFonts w:eastAsia="Times New Roman"/>
        </w:rPr>
        <w:t>Richterman</w:t>
      </w:r>
      <w:proofErr w:type="spellEnd"/>
      <w:r w:rsidRPr="00040693">
        <w:rPr>
          <w:rFonts w:eastAsia="Times New Roman"/>
        </w:rPr>
        <w:t xml:space="preserve"> A, Gandhi RT, Sax PE. Transmission of SARS-CoV-2: a review of viral, host, and environmental factors. </w:t>
      </w:r>
      <w:r w:rsidRPr="00040693">
        <w:rPr>
          <w:rStyle w:val="Emphasis"/>
          <w:rFonts w:eastAsia="Times New Roman"/>
          <w:b w:val="0"/>
          <w:bCs w:val="0"/>
        </w:rPr>
        <w:t>Ann Intern Med</w:t>
      </w:r>
      <w:r w:rsidRPr="00040693">
        <w:rPr>
          <w:rFonts w:eastAsia="Times New Roman"/>
        </w:rPr>
        <w:t xml:space="preserve">. 2021;174(1):69–79. </w:t>
      </w:r>
      <w:proofErr w:type="spellStart"/>
      <w:r w:rsidRPr="00040693">
        <w:rPr>
          <w:rFonts w:eastAsia="Times New Roman"/>
        </w:rPr>
        <w:t>doi</w:t>
      </w:r>
      <w:proofErr w:type="spellEnd"/>
      <w:r w:rsidRPr="00040693">
        <w:rPr>
          <w:rFonts w:eastAsia="Times New Roman"/>
        </w:rPr>
        <w:t xml:space="preserve">: https://doi.org/10.7326/M20-5008. </w:t>
      </w:r>
    </w:p>
    <w:p w14:paraId="060CD655"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Wei WE, Li Z, </w:t>
      </w:r>
      <w:proofErr w:type="spellStart"/>
      <w:r w:rsidRPr="00040693">
        <w:rPr>
          <w:rFonts w:eastAsia="Times New Roman"/>
        </w:rPr>
        <w:t>Chiew</w:t>
      </w:r>
      <w:proofErr w:type="spellEnd"/>
      <w:r w:rsidRPr="00040693">
        <w:rPr>
          <w:rFonts w:eastAsia="Times New Roman"/>
        </w:rPr>
        <w:t xml:space="preserve"> CJ, Yong SE, </w:t>
      </w:r>
      <w:proofErr w:type="spellStart"/>
      <w:r w:rsidRPr="00040693">
        <w:rPr>
          <w:rFonts w:eastAsia="Times New Roman"/>
        </w:rPr>
        <w:t>Toh</w:t>
      </w:r>
      <w:proofErr w:type="spellEnd"/>
      <w:r w:rsidRPr="00040693">
        <w:rPr>
          <w:rFonts w:eastAsia="Times New Roman"/>
        </w:rPr>
        <w:t xml:space="preserve"> MP, Lee VJ. </w:t>
      </w:r>
      <w:proofErr w:type="spellStart"/>
      <w:r w:rsidRPr="00040693">
        <w:rPr>
          <w:rFonts w:eastAsia="Times New Roman"/>
        </w:rPr>
        <w:t>Presymptomatic</w:t>
      </w:r>
      <w:proofErr w:type="spellEnd"/>
      <w:r w:rsidRPr="00040693">
        <w:rPr>
          <w:rFonts w:eastAsia="Times New Roman"/>
        </w:rPr>
        <w:t xml:space="preserve"> transmission of SARS-CoV-2 — Singapore, January 23 – March 16, 2020. </w:t>
      </w:r>
      <w:r w:rsidRPr="00040693">
        <w:rPr>
          <w:rStyle w:val="Emphasis"/>
          <w:rFonts w:eastAsia="Times New Roman"/>
          <w:b w:val="0"/>
          <w:bCs w:val="0"/>
        </w:rPr>
        <w:t xml:space="preserve">MMWR </w:t>
      </w:r>
      <w:proofErr w:type="spellStart"/>
      <w:r w:rsidRPr="00040693">
        <w:rPr>
          <w:rStyle w:val="Emphasis"/>
          <w:rFonts w:eastAsia="Times New Roman"/>
          <w:b w:val="0"/>
          <w:bCs w:val="0"/>
        </w:rPr>
        <w:t>Morb</w:t>
      </w:r>
      <w:proofErr w:type="spellEnd"/>
      <w:r w:rsidRPr="00040693">
        <w:rPr>
          <w:rStyle w:val="Emphasis"/>
          <w:rFonts w:eastAsia="Times New Roman"/>
          <w:b w:val="0"/>
          <w:bCs w:val="0"/>
        </w:rPr>
        <w:t xml:space="preserve"> Mortal </w:t>
      </w:r>
      <w:proofErr w:type="spellStart"/>
      <w:r w:rsidRPr="00040693">
        <w:rPr>
          <w:rStyle w:val="Emphasis"/>
          <w:rFonts w:eastAsia="Times New Roman"/>
          <w:b w:val="0"/>
          <w:bCs w:val="0"/>
        </w:rPr>
        <w:t>Wkly</w:t>
      </w:r>
      <w:proofErr w:type="spellEnd"/>
      <w:r w:rsidRPr="00040693">
        <w:rPr>
          <w:rStyle w:val="Emphasis"/>
          <w:rFonts w:eastAsia="Times New Roman"/>
          <w:b w:val="0"/>
          <w:bCs w:val="0"/>
        </w:rPr>
        <w:t xml:space="preserve"> Rep</w:t>
      </w:r>
      <w:r w:rsidRPr="00040693">
        <w:rPr>
          <w:rFonts w:eastAsia="Times New Roman"/>
        </w:rPr>
        <w:t xml:space="preserve">. 2020;69(14):411–15. </w:t>
      </w:r>
      <w:proofErr w:type="spellStart"/>
      <w:r w:rsidRPr="00040693">
        <w:rPr>
          <w:rFonts w:eastAsia="Times New Roman"/>
        </w:rPr>
        <w:t>doi</w:t>
      </w:r>
      <w:proofErr w:type="spellEnd"/>
      <w:r w:rsidRPr="00040693">
        <w:rPr>
          <w:rFonts w:eastAsia="Times New Roman"/>
        </w:rPr>
        <w:t xml:space="preserve">: https:// doi.org/10.15585/mmwr.mm6914e1. </w:t>
      </w:r>
    </w:p>
    <w:p w14:paraId="35871C86"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Australian Government Department of Health. Coronavirus Disease 2019 (COVID-19) CDNA National Guidelines for Public Health Units. [Internet.] Canberra: Australian Government Department of Health; 2020. [Accessed on 13 October 2020.] Available from: https://www1.health.gov.au/internet/main/publishing.nsf/Content/cdna-song-novel-coronavirus.htm. </w:t>
      </w:r>
    </w:p>
    <w:p w14:paraId="1B5E0983"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NSW Health. </w:t>
      </w:r>
      <w:r w:rsidRPr="00040693">
        <w:rPr>
          <w:rStyle w:val="Emphasis"/>
          <w:rFonts w:eastAsia="Times New Roman"/>
          <w:b w:val="0"/>
          <w:bCs w:val="0"/>
        </w:rPr>
        <w:t xml:space="preserve">COVID-19 weekly surveillance in NSW: epidemiological week </w:t>
      </w:r>
      <w:proofErr w:type="gramStart"/>
      <w:r w:rsidRPr="00040693">
        <w:rPr>
          <w:rStyle w:val="Emphasis"/>
          <w:rFonts w:eastAsia="Times New Roman"/>
          <w:b w:val="0"/>
          <w:bCs w:val="0"/>
        </w:rPr>
        <w:t>30</w:t>
      </w:r>
      <w:proofErr w:type="gramEnd"/>
      <w:r w:rsidRPr="00040693">
        <w:rPr>
          <w:rStyle w:val="Emphasis"/>
          <w:rFonts w:eastAsia="Times New Roman"/>
          <w:b w:val="0"/>
          <w:bCs w:val="0"/>
        </w:rPr>
        <w:t>, ending 25 July 2020</w:t>
      </w:r>
      <w:r w:rsidRPr="00040693">
        <w:rPr>
          <w:rFonts w:eastAsia="Times New Roman"/>
        </w:rPr>
        <w:t xml:space="preserve">. Sydney: NSW Health; 30 July 2020. [Accessed on 25 October 2020.] Available from: https://www.health.nsw.gov.au/Infectious/covid-19/Documents/covid-19-surveillance-20200730.pdf. </w:t>
      </w:r>
    </w:p>
    <w:p w14:paraId="019FAF59"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Johnson GR, </w:t>
      </w:r>
      <w:proofErr w:type="spellStart"/>
      <w:r w:rsidRPr="00040693">
        <w:rPr>
          <w:rFonts w:eastAsia="Times New Roman"/>
        </w:rPr>
        <w:t>Morawska</w:t>
      </w:r>
      <w:proofErr w:type="spellEnd"/>
      <w:r w:rsidRPr="00040693">
        <w:rPr>
          <w:rFonts w:eastAsia="Times New Roman"/>
        </w:rPr>
        <w:t xml:space="preserve"> L. The mechanism of breath aerosol formation. </w:t>
      </w:r>
      <w:r w:rsidRPr="00040693">
        <w:rPr>
          <w:rStyle w:val="Emphasis"/>
          <w:rFonts w:eastAsia="Times New Roman"/>
          <w:b w:val="0"/>
          <w:bCs w:val="0"/>
        </w:rPr>
        <w:t xml:space="preserve">J Aerosol Med </w:t>
      </w:r>
      <w:proofErr w:type="spellStart"/>
      <w:r w:rsidRPr="00040693">
        <w:rPr>
          <w:rStyle w:val="Emphasis"/>
          <w:rFonts w:eastAsia="Times New Roman"/>
          <w:b w:val="0"/>
          <w:bCs w:val="0"/>
        </w:rPr>
        <w:t>Pulm</w:t>
      </w:r>
      <w:proofErr w:type="spellEnd"/>
      <w:r w:rsidRPr="00040693">
        <w:rPr>
          <w:rStyle w:val="Emphasis"/>
          <w:rFonts w:eastAsia="Times New Roman"/>
          <w:b w:val="0"/>
          <w:bCs w:val="0"/>
        </w:rPr>
        <w:t xml:space="preserve"> Drug Deliv</w:t>
      </w:r>
      <w:r w:rsidRPr="00040693">
        <w:rPr>
          <w:rFonts w:eastAsia="Times New Roman"/>
        </w:rPr>
        <w:t xml:space="preserve">. 2009;22(3):229–37. </w:t>
      </w:r>
      <w:proofErr w:type="spellStart"/>
      <w:r w:rsidRPr="00040693">
        <w:rPr>
          <w:rFonts w:eastAsia="Times New Roman"/>
        </w:rPr>
        <w:t>doi</w:t>
      </w:r>
      <w:proofErr w:type="spellEnd"/>
      <w:r w:rsidRPr="00040693">
        <w:rPr>
          <w:rFonts w:eastAsia="Times New Roman"/>
        </w:rPr>
        <w:t xml:space="preserve">: https://doi.org/10.1089/jamp.2008.0720. </w:t>
      </w:r>
    </w:p>
    <w:p w14:paraId="6616AB1E"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Li M, Dunstan J. Victorian coronavirus rules support masks in gyms as yoga, fitness classes push for lower density limits. Sydney: Australian Broadcasting Corporation, ABC News online; 28 October 2020. [Accessed on 30 October 2020.] Available from: https://www.abc.net.au/news/2020-10-28/victoria-coronavirus-rules-gyms-fitness-centres/12818472. </w:t>
      </w:r>
    </w:p>
    <w:p w14:paraId="0EAF8A2D" w14:textId="77777777" w:rsidR="00040693" w:rsidRPr="00040693" w:rsidRDefault="00040693" w:rsidP="00040693">
      <w:pPr>
        <w:pStyle w:val="ListParagraph"/>
        <w:numPr>
          <w:ilvl w:val="0"/>
          <w:numId w:val="10"/>
        </w:numPr>
        <w:divId w:val="1622613429"/>
        <w:rPr>
          <w:rFonts w:eastAsia="Times New Roman"/>
        </w:rPr>
      </w:pPr>
      <w:r w:rsidRPr="00040693">
        <w:rPr>
          <w:rFonts w:eastAsia="Times New Roman"/>
        </w:rPr>
        <w:t xml:space="preserve">Allen JG, Ibrahim AM. Indoor air changes and potential implications for SARS-CoV-2 transmission. </w:t>
      </w:r>
      <w:r w:rsidRPr="00040693">
        <w:rPr>
          <w:rStyle w:val="Emphasis"/>
          <w:rFonts w:eastAsia="Times New Roman"/>
          <w:b w:val="0"/>
          <w:bCs w:val="0"/>
        </w:rPr>
        <w:t>JAMA</w:t>
      </w:r>
      <w:r w:rsidRPr="00040693">
        <w:rPr>
          <w:rFonts w:eastAsia="Times New Roman"/>
        </w:rPr>
        <w:t xml:space="preserve">. 2021;325(20):2112–3. </w:t>
      </w:r>
      <w:proofErr w:type="spellStart"/>
      <w:r w:rsidRPr="00040693">
        <w:rPr>
          <w:rFonts w:eastAsia="Times New Roman"/>
        </w:rPr>
        <w:t>doi</w:t>
      </w:r>
      <w:proofErr w:type="spellEnd"/>
      <w:r w:rsidRPr="00040693">
        <w:rPr>
          <w:rFonts w:eastAsia="Times New Roman"/>
        </w:rPr>
        <w:t xml:space="preserve">: https://doi.org/10.1001/jama.2021.5053. </w:t>
      </w:r>
    </w:p>
    <w:p w14:paraId="2143592B" w14:textId="5581D6EC" w:rsidR="008B5348" w:rsidRPr="002B34BC" w:rsidRDefault="00040693" w:rsidP="00B50D8D">
      <w:pPr>
        <w:pStyle w:val="ListParagraph"/>
        <w:numPr>
          <w:ilvl w:val="0"/>
          <w:numId w:val="10"/>
        </w:numPr>
        <w:divId w:val="1622613429"/>
        <w:rPr>
          <w:rStyle w:val="A10"/>
          <w:rFonts w:eastAsia="Times New Roman" w:cstheme="minorBidi"/>
          <w:color w:val="auto"/>
        </w:rPr>
      </w:pPr>
      <w:proofErr w:type="spellStart"/>
      <w:r w:rsidRPr="00040693">
        <w:rPr>
          <w:rFonts w:eastAsia="Times New Roman"/>
        </w:rPr>
        <w:t>Morawska</w:t>
      </w:r>
      <w:proofErr w:type="spellEnd"/>
      <w:r w:rsidRPr="00040693">
        <w:rPr>
          <w:rFonts w:eastAsia="Times New Roman"/>
        </w:rPr>
        <w:t xml:space="preserve"> L, Tang JW, </w:t>
      </w:r>
      <w:proofErr w:type="spellStart"/>
      <w:r w:rsidRPr="00040693">
        <w:rPr>
          <w:rFonts w:eastAsia="Times New Roman"/>
        </w:rPr>
        <w:t>Bahnfleth</w:t>
      </w:r>
      <w:proofErr w:type="spellEnd"/>
      <w:r w:rsidRPr="00040693">
        <w:rPr>
          <w:rFonts w:eastAsia="Times New Roman"/>
        </w:rPr>
        <w:t xml:space="preserve"> W, </w:t>
      </w:r>
      <w:proofErr w:type="spellStart"/>
      <w:r w:rsidRPr="00040693">
        <w:rPr>
          <w:rFonts w:eastAsia="Times New Roman"/>
        </w:rPr>
        <w:t>Bluyssen</w:t>
      </w:r>
      <w:proofErr w:type="spellEnd"/>
      <w:r w:rsidRPr="00040693">
        <w:rPr>
          <w:rFonts w:eastAsia="Times New Roman"/>
        </w:rPr>
        <w:t xml:space="preserve"> PM, </w:t>
      </w:r>
      <w:proofErr w:type="spellStart"/>
      <w:r w:rsidRPr="00040693">
        <w:rPr>
          <w:rFonts w:eastAsia="Times New Roman"/>
        </w:rPr>
        <w:t>Boerstra</w:t>
      </w:r>
      <w:proofErr w:type="spellEnd"/>
      <w:r w:rsidRPr="00040693">
        <w:rPr>
          <w:rFonts w:eastAsia="Times New Roman"/>
        </w:rPr>
        <w:t xml:space="preserve"> A, </w:t>
      </w:r>
      <w:proofErr w:type="spellStart"/>
      <w:r w:rsidRPr="00040693">
        <w:rPr>
          <w:rFonts w:eastAsia="Times New Roman"/>
        </w:rPr>
        <w:t>Buonanno</w:t>
      </w:r>
      <w:proofErr w:type="spellEnd"/>
      <w:r w:rsidRPr="00040693">
        <w:rPr>
          <w:rFonts w:eastAsia="Times New Roman"/>
        </w:rPr>
        <w:t xml:space="preserve"> G et al. How can airborne transmission of COVID-19 indoors be minimised? </w:t>
      </w:r>
      <w:r w:rsidRPr="00040693">
        <w:rPr>
          <w:rStyle w:val="Emphasis"/>
          <w:rFonts w:eastAsia="Times New Roman"/>
          <w:b w:val="0"/>
          <w:bCs w:val="0"/>
        </w:rPr>
        <w:t>Environ Int</w:t>
      </w:r>
      <w:r w:rsidRPr="00040693">
        <w:rPr>
          <w:rFonts w:eastAsia="Times New Roman"/>
        </w:rPr>
        <w:t xml:space="preserve">. </w:t>
      </w:r>
      <w:proofErr w:type="gramStart"/>
      <w:r w:rsidRPr="00040693">
        <w:rPr>
          <w:rFonts w:eastAsia="Times New Roman"/>
        </w:rPr>
        <w:t>2020;142:105832</w:t>
      </w:r>
      <w:proofErr w:type="gramEnd"/>
      <w:r w:rsidRPr="00040693">
        <w:rPr>
          <w:rFonts w:eastAsia="Times New Roman"/>
        </w:rPr>
        <w:t xml:space="preserve">. </w:t>
      </w:r>
      <w:proofErr w:type="spellStart"/>
      <w:r w:rsidRPr="00040693">
        <w:rPr>
          <w:rFonts w:eastAsia="Times New Roman"/>
        </w:rPr>
        <w:t>doi</w:t>
      </w:r>
      <w:proofErr w:type="spellEnd"/>
      <w:r w:rsidRPr="00040693">
        <w:rPr>
          <w:rFonts w:eastAsia="Times New Roman"/>
        </w:rPr>
        <w:t>: https://doi.org/10.1016/j.envint.2020.105832.</w:t>
      </w:r>
    </w:p>
    <w:p w14:paraId="2FC08004" w14:textId="77777777" w:rsidR="008B5348" w:rsidRDefault="008B5348">
      <w:pPr>
        <w:rPr>
          <w:rStyle w:val="A10"/>
        </w:rPr>
      </w:pPr>
      <w:r>
        <w:rPr>
          <w:rStyle w:val="A10"/>
        </w:rPr>
        <w:br w:type="page"/>
      </w:r>
    </w:p>
    <w:p w14:paraId="06FBF88A" w14:textId="77777777" w:rsidR="008B5348" w:rsidRDefault="008B5348">
      <w:pPr>
        <w:rPr>
          <w:rStyle w:val="A10"/>
        </w:rPr>
        <w:sectPr w:rsidR="008B5348"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0B7A8CDE"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777AE61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0DA8242" w14:textId="77777777" w:rsidR="000A5F42" w:rsidRPr="000606CC" w:rsidRDefault="000A5F42" w:rsidP="000A5F42">
      <w:pPr>
        <w:pStyle w:val="NoSpacing"/>
        <w:rPr>
          <w:rStyle w:val="URI"/>
          <w:rFonts w:cstheme="minorHAnsi"/>
          <w:sz w:val="20"/>
          <w:szCs w:val="18"/>
        </w:rPr>
      </w:pPr>
    </w:p>
    <w:p w14:paraId="19C3FFE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0F3D50A2" w14:textId="77777777" w:rsidR="000A5F42" w:rsidRPr="000606CC" w:rsidRDefault="000A5F42" w:rsidP="000A5F42">
      <w:pPr>
        <w:pStyle w:val="NoSpacing"/>
        <w:rPr>
          <w:rStyle w:val="Strong"/>
          <w:rFonts w:cstheme="minorHAnsi"/>
          <w:sz w:val="20"/>
          <w:szCs w:val="18"/>
        </w:rPr>
      </w:pPr>
    </w:p>
    <w:p w14:paraId="3E4B192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6211309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881932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DF8176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David Durrheim,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21A61C57" w14:textId="77777777" w:rsidR="000A5F42" w:rsidRPr="000606CC" w:rsidRDefault="000A5F42" w:rsidP="000A5F42">
      <w:pPr>
        <w:pStyle w:val="NoSpacing"/>
        <w:rPr>
          <w:rStyle w:val="Strong"/>
          <w:rFonts w:cstheme="minorHAnsi"/>
          <w:sz w:val="20"/>
          <w:szCs w:val="18"/>
        </w:rPr>
      </w:pPr>
    </w:p>
    <w:p w14:paraId="7C99F43E" w14:textId="14092E2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93BE908" w14:textId="77777777" w:rsidR="000A5F42" w:rsidRPr="000606CC" w:rsidRDefault="000A5F42" w:rsidP="000A5F42">
      <w:pPr>
        <w:pStyle w:val="NoSpacing"/>
        <w:rPr>
          <w:rStyle w:val="Strong"/>
          <w:rFonts w:cstheme="minorHAnsi"/>
          <w:sz w:val="20"/>
          <w:szCs w:val="18"/>
        </w:rPr>
      </w:pPr>
    </w:p>
    <w:p w14:paraId="4A67B125"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0703BF19" w14:textId="77777777" w:rsidR="000A5F42" w:rsidRPr="000606CC" w:rsidRDefault="000A5F42" w:rsidP="000A5F42">
      <w:pPr>
        <w:pStyle w:val="NoSpacing"/>
        <w:rPr>
          <w:rStyle w:val="Strong"/>
          <w:rFonts w:cstheme="minorHAnsi"/>
          <w:sz w:val="20"/>
          <w:szCs w:val="18"/>
        </w:rPr>
      </w:pPr>
    </w:p>
    <w:p w14:paraId="35C6CFB7" w14:textId="5FD4B97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71B6AB6" w14:textId="77777777" w:rsidR="000A5F42" w:rsidRPr="000606CC" w:rsidRDefault="000A5F42" w:rsidP="000A5F42">
      <w:pPr>
        <w:pStyle w:val="NoSpacing"/>
        <w:rPr>
          <w:rStyle w:val="Strong"/>
          <w:rFonts w:cstheme="minorHAnsi"/>
          <w:sz w:val="20"/>
          <w:szCs w:val="18"/>
        </w:rPr>
      </w:pPr>
    </w:p>
    <w:p w14:paraId="61D989AD" w14:textId="133F75BA"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183AF93" w14:textId="57E14636"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63F392A9" w14:textId="77777777" w:rsidR="000A5F42" w:rsidRPr="000606CC" w:rsidRDefault="000A5F42" w:rsidP="000A5F42">
      <w:pPr>
        <w:pStyle w:val="NoSpacing"/>
        <w:pBdr>
          <w:bottom w:val="single" w:sz="6" w:space="1" w:color="auto"/>
        </w:pBdr>
        <w:rPr>
          <w:rStyle w:val="Strong"/>
          <w:rFonts w:cstheme="minorHAnsi"/>
          <w:sz w:val="12"/>
          <w:szCs w:val="18"/>
        </w:rPr>
      </w:pPr>
    </w:p>
    <w:p w14:paraId="124E4BC4" w14:textId="77777777" w:rsidR="000A5F42" w:rsidRPr="000606CC" w:rsidRDefault="000A5F42" w:rsidP="000A5F42">
      <w:pPr>
        <w:pStyle w:val="NoSpacing"/>
        <w:rPr>
          <w:rFonts w:cstheme="minorHAnsi"/>
          <w:sz w:val="20"/>
          <w:szCs w:val="18"/>
        </w:rPr>
      </w:pPr>
    </w:p>
    <w:p w14:paraId="60BD6708"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D268D06" w14:textId="77777777" w:rsidR="000A5F42" w:rsidRPr="000606CC" w:rsidRDefault="000A5F42" w:rsidP="000A5F42">
      <w:pPr>
        <w:pStyle w:val="NoSpacing"/>
        <w:rPr>
          <w:rFonts w:cstheme="minorHAnsi"/>
          <w:sz w:val="20"/>
          <w:szCs w:val="18"/>
        </w:rPr>
      </w:pPr>
    </w:p>
    <w:p w14:paraId="2AFD075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80F0DC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DA0BB7">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0490C3EC" w14:textId="534B572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0B8D76D" w14:textId="77777777" w:rsidR="000A5F42" w:rsidRPr="000606CC" w:rsidRDefault="000A5F42" w:rsidP="000A5F42">
      <w:pPr>
        <w:pStyle w:val="NoSpacing"/>
        <w:rPr>
          <w:rFonts w:cstheme="minorHAnsi"/>
          <w:sz w:val="20"/>
          <w:szCs w:val="18"/>
        </w:rPr>
      </w:pPr>
    </w:p>
    <w:p w14:paraId="0E2D4E4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B2015C3" w14:textId="19B6DF0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8EFC73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41BB2A2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44C0BF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47372E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C0C950F" w14:textId="77777777" w:rsidR="000A5F42" w:rsidRPr="000606CC" w:rsidRDefault="000A5F42" w:rsidP="000A5F42">
      <w:pPr>
        <w:pStyle w:val="NoSpacing"/>
        <w:rPr>
          <w:rStyle w:val="Strong"/>
          <w:rFonts w:cstheme="minorHAnsi"/>
          <w:sz w:val="20"/>
          <w:szCs w:val="18"/>
        </w:rPr>
      </w:pPr>
    </w:p>
    <w:p w14:paraId="19BF4BA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5AC6DC8D" w14:textId="77777777" w:rsidR="000A5F42" w:rsidRPr="000606CC" w:rsidRDefault="000A5F42" w:rsidP="000A5F42">
      <w:pPr>
        <w:pStyle w:val="NoSpacing"/>
        <w:rPr>
          <w:rStyle w:val="Strong"/>
          <w:rFonts w:cstheme="minorHAnsi"/>
          <w:sz w:val="20"/>
          <w:szCs w:val="18"/>
        </w:rPr>
      </w:pPr>
    </w:p>
    <w:p w14:paraId="1A07E99D" w14:textId="7BD9133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C99DE16" w14:textId="77777777" w:rsidR="000A5F42" w:rsidRPr="000606CC" w:rsidRDefault="000A5F42" w:rsidP="000A5F42">
      <w:pPr>
        <w:pStyle w:val="NoSpacing"/>
        <w:rPr>
          <w:rStyle w:val="URI"/>
          <w:rFonts w:cstheme="minorHAnsi"/>
          <w:sz w:val="20"/>
          <w:szCs w:val="18"/>
        </w:rPr>
      </w:pPr>
    </w:p>
    <w:p w14:paraId="75E9D8B7" w14:textId="3507820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BFA6" w14:textId="77777777" w:rsidR="00365BEE" w:rsidRDefault="00365BEE" w:rsidP="00E54DBA">
      <w:r>
        <w:separator/>
      </w:r>
    </w:p>
    <w:p w14:paraId="38A4228A" w14:textId="77777777" w:rsidR="00365BEE" w:rsidRDefault="00365BEE"/>
    <w:p w14:paraId="0BCDDCCE" w14:textId="77777777" w:rsidR="00365BEE" w:rsidRDefault="00365BEE" w:rsidP="008714B0"/>
  </w:endnote>
  <w:endnote w:type="continuationSeparator" w:id="0">
    <w:p w14:paraId="571C43EC" w14:textId="77777777" w:rsidR="00365BEE" w:rsidRDefault="00365BEE" w:rsidP="00E54DBA">
      <w:r>
        <w:continuationSeparator/>
      </w:r>
    </w:p>
    <w:p w14:paraId="72668F78" w14:textId="77777777" w:rsidR="00365BEE" w:rsidRDefault="00365BEE"/>
    <w:p w14:paraId="639AED85" w14:textId="77777777" w:rsidR="00365BEE" w:rsidRDefault="00365BE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E0A1" w14:textId="3D11315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040693">
      <w:rPr>
        <w:i/>
        <w:sz w:val="18"/>
      </w:rPr>
      <w:t>Commun</w:t>
    </w:r>
    <w:proofErr w:type="spellEnd"/>
    <w:r w:rsidR="00CE342B" w:rsidRPr="00040693">
      <w:rPr>
        <w:i/>
        <w:sz w:val="18"/>
      </w:rPr>
      <w:t xml:space="preserve"> Dis </w:t>
    </w:r>
    <w:proofErr w:type="spellStart"/>
    <w:r w:rsidR="00CE342B" w:rsidRPr="00040693">
      <w:rPr>
        <w:i/>
        <w:sz w:val="18"/>
      </w:rPr>
      <w:t>Intell</w:t>
    </w:r>
    <w:proofErr w:type="spellEnd"/>
    <w:r w:rsidR="00CE342B" w:rsidRPr="00040693">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A0BB7">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A0BB7">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856E0">
      <w:rPr>
        <w:sz w:val="18"/>
      </w:rPr>
      <w:t>https://doi.org/10.33321/cdi.2023.47.55</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F6433D">
      <w:rPr>
        <w:sz w:val="18"/>
      </w:rPr>
      <w:t>21/09/2023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8D25" w14:textId="0ED4A631"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040693">
      <w:rPr>
        <w:i/>
        <w:sz w:val="18"/>
      </w:rPr>
      <w:t>Commun</w:t>
    </w:r>
    <w:proofErr w:type="spellEnd"/>
    <w:r w:rsidR="00A164D5" w:rsidRPr="00040693">
      <w:rPr>
        <w:i/>
        <w:sz w:val="18"/>
      </w:rPr>
      <w:t xml:space="preserve"> Dis </w:t>
    </w:r>
    <w:proofErr w:type="spellStart"/>
    <w:r w:rsidR="00A164D5" w:rsidRPr="00040693">
      <w:rPr>
        <w:i/>
        <w:sz w:val="18"/>
      </w:rPr>
      <w:t>Intell</w:t>
    </w:r>
    <w:proofErr w:type="spellEnd"/>
    <w:r w:rsidR="00A164D5" w:rsidRPr="00040693">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A0BB7">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A0BB7">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856E0">
      <w:rPr>
        <w:sz w:val="18"/>
      </w:rPr>
      <w:t>https://doi.org/10.33321/cdi.2023.47.55</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872028">
      <w:rPr>
        <w:sz w:val="18"/>
      </w:rPr>
      <w:t>21/09/2023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48A5" w14:textId="77777777" w:rsidR="00365BEE" w:rsidRPr="00B91FB5" w:rsidRDefault="00365BEE" w:rsidP="00B91FB5">
      <w:pPr>
        <w:spacing w:after="0" w:line="240" w:lineRule="auto"/>
        <w:rPr>
          <w:sz w:val="18"/>
          <w:szCs w:val="18"/>
        </w:rPr>
      </w:pPr>
      <w:r w:rsidRPr="00B91FB5">
        <w:rPr>
          <w:sz w:val="18"/>
          <w:szCs w:val="18"/>
        </w:rPr>
        <w:separator/>
      </w:r>
    </w:p>
  </w:footnote>
  <w:footnote w:type="continuationSeparator" w:id="0">
    <w:p w14:paraId="5A14ABC4" w14:textId="77777777" w:rsidR="00365BEE" w:rsidRDefault="00365BEE" w:rsidP="00E54DBA">
      <w:r>
        <w:continuationSeparator/>
      </w:r>
    </w:p>
  </w:footnote>
  <w:footnote w:type="continuationNotice" w:id="1">
    <w:p w14:paraId="4EA7F76D" w14:textId="77777777" w:rsidR="00365BEE" w:rsidRPr="00224EFF" w:rsidRDefault="00365BEE"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70D7" w14:textId="28D852B8" w:rsidR="00257484" w:rsidRPr="00A153B6" w:rsidRDefault="000165D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F04D5">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2F5A"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C2899BF" wp14:editId="0C9EE851">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A3C"/>
    <w:multiLevelType w:val="multilevel"/>
    <w:tmpl w:val="37148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AA79BE"/>
    <w:multiLevelType w:val="hybridMultilevel"/>
    <w:tmpl w:val="610C87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13066C"/>
    <w:multiLevelType w:val="multilevel"/>
    <w:tmpl w:val="397E2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707D22"/>
    <w:multiLevelType w:val="hybridMultilevel"/>
    <w:tmpl w:val="CB5C0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144526">
    <w:abstractNumId w:val="2"/>
  </w:num>
  <w:num w:numId="2" w16cid:durableId="1591155424">
    <w:abstractNumId w:val="4"/>
  </w:num>
  <w:num w:numId="3" w16cid:durableId="1839418912">
    <w:abstractNumId w:val="5"/>
  </w:num>
  <w:num w:numId="4" w16cid:durableId="367293196">
    <w:abstractNumId w:val="1"/>
  </w:num>
  <w:num w:numId="5" w16cid:durableId="2022854822">
    <w:abstractNumId w:val="7"/>
  </w:num>
  <w:num w:numId="6" w16cid:durableId="1830753349">
    <w:abstractNumId w:val="8"/>
  </w:num>
  <w:num w:numId="7" w16cid:durableId="632102193">
    <w:abstractNumId w:val="6"/>
  </w:num>
  <w:num w:numId="8" w16cid:durableId="473449890">
    <w:abstractNumId w:val="0"/>
  </w:num>
  <w:num w:numId="9" w16cid:durableId="2055957517">
    <w:abstractNumId w:val="9"/>
  </w:num>
  <w:num w:numId="10" w16cid:durableId="1858155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B7"/>
    <w:rsid w:val="00000B5B"/>
    <w:rsid w:val="00001611"/>
    <w:rsid w:val="000104A8"/>
    <w:rsid w:val="0001246E"/>
    <w:rsid w:val="000124B1"/>
    <w:rsid w:val="000165D9"/>
    <w:rsid w:val="00016FE6"/>
    <w:rsid w:val="00031064"/>
    <w:rsid w:val="00031692"/>
    <w:rsid w:val="00032531"/>
    <w:rsid w:val="000325A0"/>
    <w:rsid w:val="00040693"/>
    <w:rsid w:val="000471BF"/>
    <w:rsid w:val="00047B68"/>
    <w:rsid w:val="00052600"/>
    <w:rsid w:val="0005643C"/>
    <w:rsid w:val="0006264A"/>
    <w:rsid w:val="00073D77"/>
    <w:rsid w:val="00081655"/>
    <w:rsid w:val="000864E0"/>
    <w:rsid w:val="000969B3"/>
    <w:rsid w:val="000A5F42"/>
    <w:rsid w:val="000C6AD9"/>
    <w:rsid w:val="000D4B4D"/>
    <w:rsid w:val="000E10F5"/>
    <w:rsid w:val="00113D58"/>
    <w:rsid w:val="001200CB"/>
    <w:rsid w:val="001378A3"/>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66726"/>
    <w:rsid w:val="00275C5C"/>
    <w:rsid w:val="00275C78"/>
    <w:rsid w:val="00280594"/>
    <w:rsid w:val="00281EE3"/>
    <w:rsid w:val="00284E4A"/>
    <w:rsid w:val="002A3799"/>
    <w:rsid w:val="002A3BCC"/>
    <w:rsid w:val="002A4516"/>
    <w:rsid w:val="002A569F"/>
    <w:rsid w:val="002A7066"/>
    <w:rsid w:val="002B001E"/>
    <w:rsid w:val="002B09B7"/>
    <w:rsid w:val="002B34BC"/>
    <w:rsid w:val="002B75A9"/>
    <w:rsid w:val="002B784B"/>
    <w:rsid w:val="002C21B0"/>
    <w:rsid w:val="002E2FB3"/>
    <w:rsid w:val="002F04D5"/>
    <w:rsid w:val="002F327B"/>
    <w:rsid w:val="00301626"/>
    <w:rsid w:val="00302221"/>
    <w:rsid w:val="003059EC"/>
    <w:rsid w:val="00316CCD"/>
    <w:rsid w:val="00324F7E"/>
    <w:rsid w:val="003323BC"/>
    <w:rsid w:val="00346D42"/>
    <w:rsid w:val="00346E11"/>
    <w:rsid w:val="003601C0"/>
    <w:rsid w:val="003635F5"/>
    <w:rsid w:val="00365BEE"/>
    <w:rsid w:val="00372A88"/>
    <w:rsid w:val="00377F39"/>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4D7E97"/>
    <w:rsid w:val="00505FFE"/>
    <w:rsid w:val="00510230"/>
    <w:rsid w:val="00510EAC"/>
    <w:rsid w:val="005126C0"/>
    <w:rsid w:val="00532214"/>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856E0"/>
    <w:rsid w:val="006971F3"/>
    <w:rsid w:val="006C74A3"/>
    <w:rsid w:val="006D1381"/>
    <w:rsid w:val="006D31BC"/>
    <w:rsid w:val="006D4343"/>
    <w:rsid w:val="006E7943"/>
    <w:rsid w:val="006F24EA"/>
    <w:rsid w:val="00704CA9"/>
    <w:rsid w:val="0071048D"/>
    <w:rsid w:val="00710F86"/>
    <w:rsid w:val="007111A8"/>
    <w:rsid w:val="00723B5F"/>
    <w:rsid w:val="00731BC3"/>
    <w:rsid w:val="00734332"/>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02960"/>
    <w:rsid w:val="008064AB"/>
    <w:rsid w:val="00811708"/>
    <w:rsid w:val="00816B90"/>
    <w:rsid w:val="00817799"/>
    <w:rsid w:val="00822F5F"/>
    <w:rsid w:val="00824FD3"/>
    <w:rsid w:val="00826589"/>
    <w:rsid w:val="00834BCC"/>
    <w:rsid w:val="00844045"/>
    <w:rsid w:val="00850D54"/>
    <w:rsid w:val="00852E2B"/>
    <w:rsid w:val="008714B0"/>
    <w:rsid w:val="00872028"/>
    <w:rsid w:val="008752B8"/>
    <w:rsid w:val="00876331"/>
    <w:rsid w:val="00880726"/>
    <w:rsid w:val="008A3544"/>
    <w:rsid w:val="008B48B8"/>
    <w:rsid w:val="008B5348"/>
    <w:rsid w:val="008B58F8"/>
    <w:rsid w:val="008B62FF"/>
    <w:rsid w:val="008C0712"/>
    <w:rsid w:val="008C4520"/>
    <w:rsid w:val="008C5F09"/>
    <w:rsid w:val="008C7768"/>
    <w:rsid w:val="008D470F"/>
    <w:rsid w:val="008E0A53"/>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4E94"/>
    <w:rsid w:val="009A5166"/>
    <w:rsid w:val="009A76F8"/>
    <w:rsid w:val="009B2B83"/>
    <w:rsid w:val="009C49F8"/>
    <w:rsid w:val="009C72B2"/>
    <w:rsid w:val="009D77CC"/>
    <w:rsid w:val="009D797A"/>
    <w:rsid w:val="009E1C9F"/>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718E2"/>
    <w:rsid w:val="00B82C2C"/>
    <w:rsid w:val="00B8720B"/>
    <w:rsid w:val="00B876EF"/>
    <w:rsid w:val="00B91655"/>
    <w:rsid w:val="00B91FB5"/>
    <w:rsid w:val="00BA4697"/>
    <w:rsid w:val="00BB5378"/>
    <w:rsid w:val="00BC0BD3"/>
    <w:rsid w:val="00BD0107"/>
    <w:rsid w:val="00BE0C33"/>
    <w:rsid w:val="00BE208D"/>
    <w:rsid w:val="00BE262C"/>
    <w:rsid w:val="00BE4C25"/>
    <w:rsid w:val="00BE6C3D"/>
    <w:rsid w:val="00C07606"/>
    <w:rsid w:val="00C12542"/>
    <w:rsid w:val="00C130EE"/>
    <w:rsid w:val="00C24725"/>
    <w:rsid w:val="00C30BA9"/>
    <w:rsid w:val="00C3541E"/>
    <w:rsid w:val="00C36A8F"/>
    <w:rsid w:val="00C42834"/>
    <w:rsid w:val="00C42FFA"/>
    <w:rsid w:val="00C43D74"/>
    <w:rsid w:val="00C507D8"/>
    <w:rsid w:val="00C51F5A"/>
    <w:rsid w:val="00C57018"/>
    <w:rsid w:val="00C62EAC"/>
    <w:rsid w:val="00C63F9F"/>
    <w:rsid w:val="00C7723C"/>
    <w:rsid w:val="00C838F5"/>
    <w:rsid w:val="00C841C0"/>
    <w:rsid w:val="00CA1AF4"/>
    <w:rsid w:val="00CA6068"/>
    <w:rsid w:val="00CB15E1"/>
    <w:rsid w:val="00CB3D46"/>
    <w:rsid w:val="00CD1A87"/>
    <w:rsid w:val="00CD35F3"/>
    <w:rsid w:val="00CD5C93"/>
    <w:rsid w:val="00CD6D0C"/>
    <w:rsid w:val="00CD7E01"/>
    <w:rsid w:val="00CE342B"/>
    <w:rsid w:val="00CF320C"/>
    <w:rsid w:val="00CF39EB"/>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76F21"/>
    <w:rsid w:val="00D81E3D"/>
    <w:rsid w:val="00DA0BB7"/>
    <w:rsid w:val="00DA6E56"/>
    <w:rsid w:val="00DA78DD"/>
    <w:rsid w:val="00DB1C65"/>
    <w:rsid w:val="00DC24E5"/>
    <w:rsid w:val="00DC6705"/>
    <w:rsid w:val="00DD2DE8"/>
    <w:rsid w:val="00DE38B4"/>
    <w:rsid w:val="00DE5D02"/>
    <w:rsid w:val="00DF2102"/>
    <w:rsid w:val="00DF288C"/>
    <w:rsid w:val="00E005A9"/>
    <w:rsid w:val="00E065BA"/>
    <w:rsid w:val="00E1166E"/>
    <w:rsid w:val="00E24DC0"/>
    <w:rsid w:val="00E2519C"/>
    <w:rsid w:val="00E25F2A"/>
    <w:rsid w:val="00E36610"/>
    <w:rsid w:val="00E40FC6"/>
    <w:rsid w:val="00E41455"/>
    <w:rsid w:val="00E42AD2"/>
    <w:rsid w:val="00E50856"/>
    <w:rsid w:val="00E538CC"/>
    <w:rsid w:val="00E54BBD"/>
    <w:rsid w:val="00E54DBA"/>
    <w:rsid w:val="00E63D7C"/>
    <w:rsid w:val="00E640D5"/>
    <w:rsid w:val="00E66E2E"/>
    <w:rsid w:val="00E67691"/>
    <w:rsid w:val="00E80F05"/>
    <w:rsid w:val="00E91419"/>
    <w:rsid w:val="00E92237"/>
    <w:rsid w:val="00E951EF"/>
    <w:rsid w:val="00EA3D54"/>
    <w:rsid w:val="00EA56D9"/>
    <w:rsid w:val="00EA5CE3"/>
    <w:rsid w:val="00EB3B81"/>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5798D"/>
    <w:rsid w:val="00F6433D"/>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03DBC"/>
  <w15:docId w15:val="{EF792AA9-ACC5-49A9-A7B3-69AD910F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E94"/>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622613429">
      <w:bodyDiv w:val="1"/>
      <w:marLeft w:val="0"/>
      <w:marRight w:val="0"/>
      <w:marTop w:val="0"/>
      <w:marBottom w:val="0"/>
      <w:divBdr>
        <w:top w:val="none" w:sz="0" w:space="0" w:color="auto"/>
        <w:left w:val="none" w:sz="0" w:space="0" w:color="auto"/>
        <w:bottom w:val="none" w:sz="0" w:space="0" w:color="auto"/>
        <w:right w:val="none" w:sz="0" w:space="0" w:color="auto"/>
      </w:divBdr>
    </w:div>
    <w:div w:id="1942955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k\OneDrive%20-%20Department%20of%20Health\Desktop\T%20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73</TotalTime>
  <Pages>9</Pages>
  <Words>3470</Words>
  <Characters>20671</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Communicable Diseases Intelligence - First documented gymnasium cluster of COVID-19 with whole genome sequencing in Australia</vt:lpstr>
      <vt:lpstr>Abstract </vt:lpstr>
      <vt:lpstr>    Background </vt:lpstr>
      <vt:lpstr>    Methods </vt:lpstr>
      <vt:lpstr>    Results </vt:lpstr>
      <vt:lpstr>    Conclusions </vt:lpstr>
      <vt:lpstr>Introduction </vt:lpstr>
      <vt:lpstr>Methods </vt:lpstr>
      <vt:lpstr>Results </vt:lpstr>
      <vt:lpstr>    Symptom onset </vt:lpstr>
      <vt:lpstr>    Genome sequence analysis </vt:lpstr>
      <vt:lpstr>Discussion </vt:lpstr>
      <vt:lpstr>Conclusion </vt:lpstr>
      <vt:lpstr>Acknowledgements </vt:lpstr>
      <vt:lpstr>Author details </vt:lpstr>
      <vt:lpstr>    Corresponding author </vt:lpstr>
      <vt:lpstr>References </vt:lpstr>
    </vt:vector>
  </TitlesOfParts>
  <Company>Australian Government, Department of Health</Company>
  <LinksUpToDate>false</LinksUpToDate>
  <CharactersWithSpaces>24093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First documented gymnasium cluster of COVID-19 with whole genome sequencing in Australia</dc:title>
  <dc:subject>First documented cluster of COVID-19 in a gymnasium, Australia  </dc:subject>
  <dc:creator>Bhavi Ravindran; Elizabeth Gatens; Naru Pal; Vicky Sheppeard; Anna Calik; Kate Alexander; Khizar Ashraf; Alicia Arnott; Vitali Sintchenko; Craig B Dalton</dc:creator>
  <cp:keywords>SARS virus; risk factors; gymnasium; coronavirus disease 2019 (COVID-19); Australia; public health; severe acute respiratory syndrome coronavirus 2 (SARS-CoV-2); outbreak; fitness; whole genome sequencing</cp:keywords>
  <dc:description>© Commonwealth of Australia CC BY-NC-ND ISSN: 2209-6051 (Online)</dc:description>
  <cp:lastModifiedBy>YOUSEFI, Kasra</cp:lastModifiedBy>
  <cp:revision>58</cp:revision>
  <cp:lastPrinted>2018-05-10T02:19:00Z</cp:lastPrinted>
  <dcterms:created xsi:type="dcterms:W3CDTF">2023-08-22T01:40:00Z</dcterms:created>
  <dcterms:modified xsi:type="dcterms:W3CDTF">2023-10-11T03:21:00Z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21/09/2023</vt:lpwstr>
  </property>
  <property fmtid="{D5CDD505-2E9C-101B-9397-08002B2CF9AE}" pid="5" name="DOI">
    <vt:lpwstr>https://doi.org/10.33321/cdi.2023.47.55</vt:lpwstr>
  </property>
</Properties>
</file>