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ACC1" w14:textId="77777777" w:rsidR="00D51C1A" w:rsidRDefault="00D51C1A" w:rsidP="00B55E44">
      <w:pPr>
        <w:pStyle w:val="Title"/>
        <w:rPr>
          <w:rFonts w:eastAsia="Times New Roman"/>
          <w:sz w:val="48"/>
          <w:szCs w:val="48"/>
        </w:rPr>
      </w:pPr>
      <w:r>
        <w:rPr>
          <w:rFonts w:eastAsia="Times New Roman"/>
        </w:rPr>
        <w:t xml:space="preserve">Hepatitis B prevalence in women giving birth in the Northern Territory, Australia, 2005–2015 </w:t>
      </w:r>
    </w:p>
    <w:p w14:paraId="26B23E82" w14:textId="77777777" w:rsidR="00D51C1A" w:rsidRDefault="00D51C1A" w:rsidP="00B55E44">
      <w:r>
        <w:t xml:space="preserve">Amalie Dyda, Skye McGregor, Paula </w:t>
      </w:r>
      <w:proofErr w:type="spellStart"/>
      <w:r>
        <w:t>Binks</w:t>
      </w:r>
      <w:proofErr w:type="spellEnd"/>
      <w:r>
        <w:t xml:space="preserve">, Jane Davies, Steven YC Tong, Vicki Krause, Peter Markey, Shu Li Qin Li, Joshua S Davis, John M Kaldor, Bette Liu </w:t>
      </w:r>
    </w:p>
    <w:p w14:paraId="1F14C544" w14:textId="77777777" w:rsidR="00D51C1A" w:rsidRPr="0071303E" w:rsidRDefault="00D51C1A" w:rsidP="0071303E">
      <w:pPr>
        <w:pStyle w:val="Heading1"/>
      </w:pPr>
      <w:r w:rsidRPr="0071303E">
        <w:t xml:space="preserve">Abstract </w:t>
      </w:r>
    </w:p>
    <w:p w14:paraId="7AE0727A" w14:textId="77777777" w:rsidR="00D51C1A" w:rsidRPr="0071303E" w:rsidRDefault="00D51C1A" w:rsidP="0071303E">
      <w:pPr>
        <w:pStyle w:val="Heading2"/>
      </w:pPr>
      <w:r w:rsidRPr="0071303E">
        <w:t xml:space="preserve">Background </w:t>
      </w:r>
    </w:p>
    <w:p w14:paraId="0F94BC0B" w14:textId="77777777" w:rsidR="00D51C1A" w:rsidRDefault="00D51C1A" w:rsidP="0071303E">
      <w:r>
        <w:t xml:space="preserve">Hepatitis B virus (HBV) vaccination in the Northern Territory (NT) </w:t>
      </w:r>
      <w:proofErr w:type="gramStart"/>
      <w:r>
        <w:t>was funded</w:t>
      </w:r>
      <w:proofErr w:type="gramEnd"/>
      <w:r>
        <w:t xml:space="preserve"> for all Aboriginal and Torres Strait Islander newborns in 1988 and for all newborns in 1990. The prevalence of HBV in the Northern Territory </w:t>
      </w:r>
      <w:proofErr w:type="gramStart"/>
      <w:r>
        <w:t>was found</w:t>
      </w:r>
      <w:proofErr w:type="gramEnd"/>
      <w:r>
        <w:t xml:space="preserve"> to be higher in Aboriginal and Torres Strait Islander women than in non-Indigenous women across 2005–2010. We examined more recent data to assess whether the gap remains. </w:t>
      </w:r>
    </w:p>
    <w:p w14:paraId="57FEA013" w14:textId="77777777" w:rsidR="00D51C1A" w:rsidRPr="0071303E" w:rsidRDefault="00D51C1A" w:rsidP="0071303E">
      <w:pPr>
        <w:pStyle w:val="Heading2"/>
      </w:pPr>
      <w:r w:rsidRPr="0071303E">
        <w:t xml:space="preserve">Methods </w:t>
      </w:r>
    </w:p>
    <w:p w14:paraId="5E4FEDF0" w14:textId="77777777" w:rsidR="00D51C1A" w:rsidRDefault="00D51C1A" w:rsidP="0071303E">
      <w:r>
        <w:t xml:space="preserve">We linked data from two routinely collected registries, the NT Perinatal </w:t>
      </w:r>
      <w:proofErr w:type="gramStart"/>
      <w:r>
        <w:t>Register</w:t>
      </w:r>
      <w:proofErr w:type="gramEnd"/>
      <w:r>
        <w:t xml:space="preserve"> and the NT Notifiable Diseases System, to investigate the prevalence of HBV infection, according to eligibility for infant HBV vaccination, in women giving birth during 2005–2015. </w:t>
      </w:r>
    </w:p>
    <w:p w14:paraId="3B6805C0" w14:textId="77777777" w:rsidR="00D51C1A" w:rsidRPr="0071303E" w:rsidRDefault="00D51C1A" w:rsidP="0071303E">
      <w:pPr>
        <w:pStyle w:val="Heading2"/>
      </w:pPr>
      <w:r w:rsidRPr="0071303E">
        <w:t xml:space="preserve">Results </w:t>
      </w:r>
    </w:p>
    <w:p w14:paraId="20B1705E" w14:textId="77777777" w:rsidR="00D51C1A" w:rsidRDefault="00D51C1A" w:rsidP="0071303E">
      <w:r>
        <w:t xml:space="preserve">There were 22,781 women recorded as giving birth in public hospitals in the Northern Territory during 2005–2015. Hepatitis B virus prevalence was highest in Aboriginal and Torres Strait Islander (1.8%) and overseas-born women (1.8%). Among Aboriginal and Torres Strait Islander women, estimated hepatitis B virus prevalence was significantly higher in those born before the implementation of the vaccination program than in those born afterwards (2.4% versus 0.3%). Prevalence was highest amongst those living in very remote areas, both overall (2.2%) and within the birth cohort eligible for HBV vaccination. </w:t>
      </w:r>
    </w:p>
    <w:p w14:paraId="523082EA" w14:textId="77777777" w:rsidR="00D51C1A" w:rsidRPr="0071303E" w:rsidRDefault="00D51C1A" w:rsidP="0071303E">
      <w:pPr>
        <w:pStyle w:val="Heading2"/>
      </w:pPr>
      <w:r w:rsidRPr="0071303E">
        <w:t xml:space="preserve">Conclusions </w:t>
      </w:r>
    </w:p>
    <w:p w14:paraId="2A1B30C3" w14:textId="77777777" w:rsidR="00D51C1A" w:rsidRDefault="00D51C1A" w:rsidP="0071303E">
      <w:r>
        <w:t xml:space="preserve">Hepatitis B virus prevalence in Northern Territory Aboriginal and Torres Strait Islander women appears to be declining as more individuals vaccinated as part of infant vaccination programs reach adulthood. Prevalence </w:t>
      </w:r>
      <w:proofErr w:type="gramStart"/>
      <w:r>
        <w:t>remains</w:t>
      </w:r>
      <w:proofErr w:type="gramEnd"/>
      <w:r>
        <w:t xml:space="preserve"> highest in remote areas, highlighting the importance of ongoing monitoring and of promoting vaccination in these regions. </w:t>
      </w:r>
    </w:p>
    <w:p w14:paraId="702A75F0" w14:textId="77777777" w:rsidR="00D51C1A" w:rsidRDefault="00D51C1A" w:rsidP="0071303E">
      <w:r>
        <w:t>Keywords:</w:t>
      </w:r>
      <w:r>
        <w:rPr>
          <w:rStyle w:val="Strong"/>
        </w:rPr>
        <w:t xml:space="preserve"> </w:t>
      </w:r>
      <w:r>
        <w:t xml:space="preserve">Hepatitis B; prevalence; Australia; epidemiology; data linkage </w:t>
      </w:r>
    </w:p>
    <w:p w14:paraId="27FB74DF" w14:textId="77777777" w:rsidR="00D51C1A" w:rsidRPr="0071303E" w:rsidRDefault="00D51C1A" w:rsidP="0071303E">
      <w:pPr>
        <w:pStyle w:val="Heading1"/>
      </w:pPr>
      <w:r w:rsidRPr="0071303E">
        <w:t xml:space="preserve">Introduction </w:t>
      </w:r>
    </w:p>
    <w:p w14:paraId="74BF4C13" w14:textId="77777777" w:rsidR="00D51C1A" w:rsidRDefault="00D51C1A" w:rsidP="0071303E">
      <w:r>
        <w:t>Infection with the hepatitis B virus (HBV) contributes significantly to global morbidity and mortality, with an estimated 257 million people living with chronic infection in 2015.</w:t>
      </w:r>
      <w:r>
        <w:rPr>
          <w:vertAlign w:val="superscript"/>
        </w:rPr>
        <w:t>1</w:t>
      </w:r>
      <w:r>
        <w:t xml:space="preserve"> It is transmitted through contact with blood and some bodily fluids, including through sexual transmission and from mother to infant at the time of birth.</w:t>
      </w:r>
      <w:r>
        <w:rPr>
          <w:vertAlign w:val="superscript"/>
        </w:rPr>
        <w:t>2</w:t>
      </w:r>
      <w:r>
        <w:t xml:space="preserve"> The majority of chronic infections are caused by infection acquired at birth or in early childhood, with infections acquired in adolescence or adulthood most often being cleared after an acute illness.</w:t>
      </w:r>
      <w:r>
        <w:rPr>
          <w:vertAlign w:val="superscript"/>
        </w:rPr>
        <w:t>3</w:t>
      </w:r>
      <w:r>
        <w:t xml:space="preserve"> </w:t>
      </w:r>
    </w:p>
    <w:p w14:paraId="69D67687" w14:textId="77777777" w:rsidR="00D51C1A" w:rsidRDefault="00D51C1A" w:rsidP="0071303E">
      <w:r>
        <w:t xml:space="preserve">In Australia, Aboriginal and Torres Strait Islander people experience a disproportionate burden of many </w:t>
      </w:r>
      <w:proofErr w:type="gramStart"/>
      <w:r>
        <w:t>vaccine</w:t>
      </w:r>
      <w:proofErr w:type="gramEnd"/>
      <w:r>
        <w:t xml:space="preserve"> preventable diseases, including HBV infection.</w:t>
      </w:r>
      <w:r>
        <w:rPr>
          <w:vertAlign w:val="superscript"/>
        </w:rPr>
        <w:t>4</w:t>
      </w:r>
      <w:r>
        <w:t xml:space="preserve"> In 2017, the rate of HBV notifications across the Australian Capital </w:t>
      </w:r>
      <w:r>
        <w:lastRenderedPageBreak/>
        <w:t>Territory, Northern Territory, South Australia, Tasmania and Western Australia was 45.1 per 100 000 in Aboriginal and Torres Strait Islander Australians compared to 19.2 per 100 000 in the non-Indigenous population.</w:t>
      </w:r>
      <w:r>
        <w:rPr>
          <w:vertAlign w:val="superscript"/>
        </w:rPr>
        <w:t>5</w:t>
      </w:r>
      <w:r>
        <w:t xml:space="preserve"> </w:t>
      </w:r>
    </w:p>
    <w:p w14:paraId="638DFC2C" w14:textId="77777777" w:rsidR="00D51C1A" w:rsidRDefault="00D51C1A" w:rsidP="0071303E">
      <w:r>
        <w:t>A three-dose HBV vaccine schedule, which includes a dose at birth, is known to be effective in preventing HBV infection,</w:t>
      </w:r>
      <w:proofErr w:type="gramStart"/>
      <w:r>
        <w:rPr>
          <w:vertAlign w:val="superscript"/>
        </w:rPr>
        <w:t>2</w:t>
      </w:r>
      <w:proofErr w:type="gramEnd"/>
      <w:r>
        <w:t xml:space="preserve"> and first became available in Australia in the 1980s. This was replaced with a four-dose schedule in 2000.</w:t>
      </w:r>
      <w:r>
        <w:rPr>
          <w:vertAlign w:val="superscript"/>
        </w:rPr>
        <w:t>6</w:t>
      </w:r>
      <w:r>
        <w:t xml:space="preserve"> The Northern Territory (NT), </w:t>
      </w:r>
      <w:proofErr w:type="gramStart"/>
      <w:r>
        <w:t>a jurisdiction</w:t>
      </w:r>
      <w:proofErr w:type="gramEnd"/>
      <w:r>
        <w:t xml:space="preserve"> of Australia in which 30% of the population is Aboriginal and Torres Strait Islander, funded neonatal HBV vaccinations as part of a three-dose schedule for all Aboriginal and Torres Strait Islander newborns in 1988 and for all newborns in 1990. A ‘catch-up’ program </w:t>
      </w:r>
      <w:proofErr w:type="gramStart"/>
      <w:r>
        <w:t>was implemented</w:t>
      </w:r>
      <w:proofErr w:type="gramEnd"/>
      <w:r>
        <w:t xml:space="preserve"> in NT schools in 1998 for children aged 6 to 16 years.</w:t>
      </w:r>
      <w:r>
        <w:rPr>
          <w:vertAlign w:val="superscript"/>
        </w:rPr>
        <w:t>6</w:t>
      </w:r>
      <w:r>
        <w:t xml:space="preserve"> </w:t>
      </w:r>
    </w:p>
    <w:p w14:paraId="591009BC" w14:textId="77777777" w:rsidR="00D51C1A" w:rsidRDefault="00D51C1A" w:rsidP="0071303E">
      <w:r>
        <w:t>A study of women giving birth between 2005 and 2010 in the NT, linked to HBV notifications, found significantly lower prevalence of chronic HBV infection among Aboriginal and Torres Strait Islander women eligible for funded HBV vaccination programs than in those not eligible (based on year of birth).</w:t>
      </w:r>
      <w:r>
        <w:rPr>
          <w:vertAlign w:val="superscript"/>
        </w:rPr>
        <w:t>7</w:t>
      </w:r>
      <w:r>
        <w:t xml:space="preserve"> Prevalence across this study period was 40% lower in those eligible for the catch-up program and 80% lower among those eligible for the newborn program, compared to non-eligible cohorts. However, among women eligible for the universal HBV vaccine program, prevalence was still estimated at 0.8%,</w:t>
      </w:r>
      <w:r>
        <w:rPr>
          <w:vertAlign w:val="superscript"/>
        </w:rPr>
        <w:t>7</w:t>
      </w:r>
      <w:r>
        <w:t xml:space="preserve"> a prevalence </w:t>
      </w:r>
      <w:proofErr w:type="gramStart"/>
      <w:r>
        <w:t>substantially higher</w:t>
      </w:r>
      <w:proofErr w:type="gramEnd"/>
      <w:r>
        <w:t xml:space="preserve"> than that for non-Indigenous Australians in the NT. We hypothesised that vaccination coverage may have increased over time. The </w:t>
      </w:r>
      <w:proofErr w:type="gramStart"/>
      <w:r>
        <w:t>previous</w:t>
      </w:r>
      <w:proofErr w:type="gramEnd"/>
      <w:r>
        <w:t xml:space="preserve"> analysis, including data until 2010, was unlikely to capture women born from 1994 onwards as they would have been at most 16 years of age. Therefore, we aimed to update this earlier analysis of HBV prevalence with data from 2005 to 2015, as this most recent cohort enters the childbearing period, to </w:t>
      </w:r>
      <w:proofErr w:type="gramStart"/>
      <w:r>
        <w:t>determine</w:t>
      </w:r>
      <w:proofErr w:type="gramEnd"/>
      <w:r>
        <w:t xml:space="preserve"> whether HBV prevalence has continued to fall in the NT. </w:t>
      </w:r>
    </w:p>
    <w:p w14:paraId="575264C3" w14:textId="77777777" w:rsidR="00D51C1A" w:rsidRPr="0071303E" w:rsidRDefault="00D51C1A" w:rsidP="0071303E">
      <w:pPr>
        <w:pStyle w:val="Heading1"/>
      </w:pPr>
      <w:r w:rsidRPr="0071303E">
        <w:t xml:space="preserve">Methods </w:t>
      </w:r>
    </w:p>
    <w:p w14:paraId="0EF06329" w14:textId="77777777" w:rsidR="00D51C1A" w:rsidRPr="0071303E" w:rsidRDefault="00D51C1A" w:rsidP="0071303E">
      <w:pPr>
        <w:pStyle w:val="Heading2"/>
      </w:pPr>
      <w:r w:rsidRPr="0071303E">
        <w:t xml:space="preserve">Data sources </w:t>
      </w:r>
    </w:p>
    <w:p w14:paraId="3718D8F6" w14:textId="77777777" w:rsidR="00D51C1A" w:rsidRDefault="00D51C1A" w:rsidP="0071303E">
      <w:r>
        <w:t xml:space="preserve">This study used a retrospective cohort design, based on linking data from two routinely collected registries, and based on the assumption that, as per NT clinical policy, all women who undergo antenatal care are </w:t>
      </w:r>
      <w:proofErr w:type="gramStart"/>
      <w:r>
        <w:t>tested</w:t>
      </w:r>
      <w:proofErr w:type="gramEnd"/>
      <w:r>
        <w:t xml:space="preserve"> for HBV infection during the course of their care.</w:t>
      </w:r>
      <w:r>
        <w:rPr>
          <w:vertAlign w:val="superscript"/>
        </w:rPr>
        <w:t xml:space="preserve">8,9 </w:t>
      </w:r>
    </w:p>
    <w:p w14:paraId="4F4830A1" w14:textId="77777777" w:rsidR="00D51C1A" w:rsidRDefault="00D51C1A" w:rsidP="0071303E">
      <w:r>
        <w:t xml:space="preserve">The Northern Territory Perinatal Register collects data </w:t>
      </w:r>
      <w:proofErr w:type="gramStart"/>
      <w:r>
        <w:t>pertaining to</w:t>
      </w:r>
      <w:proofErr w:type="gramEnd"/>
      <w:r>
        <w:t xml:space="preserve"> every birth in a hospital in the NT, reported by the health professional responsible for the birth. The reporting captures information about pregnancy, labour and birth and health conditions, as well as demographic data about the mother, including date of birth, usual area of residence, country of birth and Indigenous status.</w:t>
      </w:r>
      <w:r>
        <w:rPr>
          <w:vertAlign w:val="superscript"/>
        </w:rPr>
        <w:t>10</w:t>
      </w:r>
      <w:r>
        <w:t xml:space="preserve"> </w:t>
      </w:r>
    </w:p>
    <w:p w14:paraId="1F7E7379" w14:textId="77777777" w:rsidR="00D51C1A" w:rsidRDefault="00D51C1A" w:rsidP="0071303E">
      <w:r>
        <w:t xml:space="preserve">The Northern Territory Notifiable Diseases System, managed by the Centre for Disease Control Top End Health Service NT Health, records laboratory-confirmed diagnoses of HBV surface antigen (HBsAg) or nucleic acid positivity in the NT. A case is classified as newly </w:t>
      </w:r>
      <w:proofErr w:type="gramStart"/>
      <w:r>
        <w:t>acquired</w:t>
      </w:r>
      <w:proofErr w:type="gramEnd"/>
      <w:r>
        <w:t xml:space="preserve"> if there is evidence of recent infection (positive immunoglobulin M [IgM] antibody test for HBsAg or previous negative test for HBV within 2 years) and as ‘unspecified’ if there is not. The information collected for each case includes type of infection (newly acquired or unspecified), date of diagnosis, date of birth, </w:t>
      </w:r>
      <w:proofErr w:type="gramStart"/>
      <w:r>
        <w:t>postcode</w:t>
      </w:r>
      <w:proofErr w:type="gramEnd"/>
      <w:r>
        <w:t xml:space="preserve"> and Indigenous status.</w:t>
      </w:r>
      <w:r>
        <w:rPr>
          <w:vertAlign w:val="superscript"/>
        </w:rPr>
        <w:t xml:space="preserve">11 </w:t>
      </w:r>
    </w:p>
    <w:p w14:paraId="51209A69" w14:textId="77777777" w:rsidR="00D51C1A" w:rsidRPr="0071303E" w:rsidRDefault="00D51C1A" w:rsidP="0071303E">
      <w:pPr>
        <w:pStyle w:val="Heading2"/>
      </w:pPr>
      <w:r w:rsidRPr="0071303E">
        <w:t xml:space="preserve">Data linkage </w:t>
      </w:r>
    </w:p>
    <w:p w14:paraId="6AD0837C" w14:textId="77777777" w:rsidR="00D51C1A" w:rsidRDefault="00D51C1A" w:rsidP="0071303E">
      <w:r>
        <w:t xml:space="preserve">Data from the Perinatal Register and the Notifiable Diseases System </w:t>
      </w:r>
      <w:proofErr w:type="gramStart"/>
      <w:r>
        <w:t>were linked</w:t>
      </w:r>
      <w:proofErr w:type="gramEnd"/>
      <w:r>
        <w:t xml:space="preserve"> by NT Health, initially using a hospital record number (HRN). The HRN is a unique number </w:t>
      </w:r>
      <w:proofErr w:type="gramStart"/>
      <w:r>
        <w:t>allocated</w:t>
      </w:r>
      <w:proofErr w:type="gramEnd"/>
      <w:r>
        <w:t xml:space="preserve"> to individuals in the NT who access government funded health services. Where an HRN was not available, records </w:t>
      </w:r>
      <w:proofErr w:type="gramStart"/>
      <w:r>
        <w:t>were linked</w:t>
      </w:r>
      <w:proofErr w:type="gramEnd"/>
      <w:r>
        <w:t xml:space="preserve"> deterministically using other identifiable information including name, date of birth and sex, with any close matches manually reviewed. </w:t>
      </w:r>
    </w:p>
    <w:p w14:paraId="5C5127FA" w14:textId="77777777" w:rsidR="00D51C1A" w:rsidRDefault="00D51C1A" w:rsidP="0071303E">
      <w:r>
        <w:lastRenderedPageBreak/>
        <w:t xml:space="preserve">We only included public hospital births as these records from public hospitals include more complete unique identifiers that enable linkage to other data. This </w:t>
      </w:r>
      <w:proofErr w:type="gramStart"/>
      <w:r>
        <w:t>is described</w:t>
      </w:r>
      <w:proofErr w:type="gramEnd"/>
      <w:r>
        <w:t xml:space="preserve"> in an earlier publication that used similar methods.</w:t>
      </w:r>
      <w:r>
        <w:rPr>
          <w:vertAlign w:val="superscript"/>
        </w:rPr>
        <w:t xml:space="preserve">7 </w:t>
      </w:r>
    </w:p>
    <w:p w14:paraId="30778C72" w14:textId="77777777" w:rsidR="00D51C1A" w:rsidRPr="0071303E" w:rsidRDefault="00D51C1A" w:rsidP="0071303E">
      <w:pPr>
        <w:pStyle w:val="Heading2"/>
      </w:pPr>
      <w:r w:rsidRPr="0071303E">
        <w:t xml:space="preserve">Statistical analysis </w:t>
      </w:r>
    </w:p>
    <w:p w14:paraId="7553B718" w14:textId="77777777" w:rsidR="00D51C1A" w:rsidRDefault="00D51C1A" w:rsidP="0071303E">
      <w:r>
        <w:t xml:space="preserve">The analysis population </w:t>
      </w:r>
      <w:proofErr w:type="gramStart"/>
      <w:r>
        <w:t>comprised</w:t>
      </w:r>
      <w:proofErr w:type="gramEnd"/>
      <w:r>
        <w:t xml:space="preserve"> women giving birth in public hospitals in the NT between January 2005 and December 2015. Individuals </w:t>
      </w:r>
      <w:proofErr w:type="gramStart"/>
      <w:r>
        <w:t>were excluded</w:t>
      </w:r>
      <w:proofErr w:type="gramEnd"/>
      <w:r>
        <w:t xml:space="preserve"> if they were not recorded as residents of the NT. As previously,</w:t>
      </w:r>
      <w:proofErr w:type="gramStart"/>
      <w:r>
        <w:rPr>
          <w:vertAlign w:val="superscript"/>
        </w:rPr>
        <w:t>7</w:t>
      </w:r>
      <w:proofErr w:type="gramEnd"/>
      <w:r>
        <w:t xml:space="preserve"> women were categorised as having a chronic HBV infection if they linked to a non-acute (unspecified) HBV notification dated prior to their most recent birth recorded during the study period. </w:t>
      </w:r>
    </w:p>
    <w:p w14:paraId="27A41113" w14:textId="77777777" w:rsidR="00D51C1A" w:rsidRDefault="00D51C1A" w:rsidP="0071303E">
      <w:r>
        <w:t xml:space="preserve">The prevalence of HBV </w:t>
      </w:r>
      <w:proofErr w:type="gramStart"/>
      <w:r>
        <w:t>was calculated</w:t>
      </w:r>
      <w:proofErr w:type="gramEnd"/>
      <w:r>
        <w:t xml:space="preserve"> by dividing the number of HBV notifications by the total number of women. Prevalence </w:t>
      </w:r>
      <w:proofErr w:type="gramStart"/>
      <w:r>
        <w:t>was compared</w:t>
      </w:r>
      <w:proofErr w:type="gramEnd"/>
      <w:r>
        <w:t xml:space="preserve"> between women who were Aboriginal and Torres Strait Islander Australians, Australian-born non-Indigenous, and overseas born, as reported in their perinatal record.</w:t>
      </w:r>
      <w:r>
        <w:rPr>
          <w:rStyle w:val="Strong"/>
        </w:rPr>
        <w:t xml:space="preserve"> </w:t>
      </w:r>
      <w:r>
        <w:t xml:space="preserve">Analyses </w:t>
      </w:r>
      <w:proofErr w:type="gramStart"/>
      <w:r>
        <w:t>were then confined</w:t>
      </w:r>
      <w:proofErr w:type="gramEnd"/>
      <w:r>
        <w:t xml:space="preserve"> to Aboriginal and Torres Strait Islander women to explore trends specific to this population given the higher prevalence. HBV prevalence </w:t>
      </w:r>
      <w:proofErr w:type="gramStart"/>
      <w:r>
        <w:t>was compared</w:t>
      </w:r>
      <w:proofErr w:type="gramEnd"/>
      <w:r>
        <w:t xml:space="preserve"> in four birth cohorts, based on presumed eligibility to the HBV vaccine program: pre-vaccine program (born prior to 1982), vaccine catch-up program (1982–1988), post-vaccine program group 1 (1989–1994), and post-vaccine program group 2 (1995 onwards). HBV prevalence was also analysed by seven geographic locations corresponding to NT Health district classifications and grouped into three regions based on the Accessibility and Remoteness Index of Australia (ARIA) (outer regional, </w:t>
      </w:r>
      <w:proofErr w:type="gramStart"/>
      <w:r>
        <w:t>remote</w:t>
      </w:r>
      <w:proofErr w:type="gramEnd"/>
      <w:r>
        <w:t xml:space="preserve"> and very remote).</w:t>
      </w:r>
      <w:r>
        <w:rPr>
          <w:vertAlign w:val="superscript"/>
        </w:rPr>
        <w:t>12</w:t>
      </w:r>
      <w:r>
        <w:t xml:space="preserve"> </w:t>
      </w:r>
    </w:p>
    <w:p w14:paraId="5C2FDB65" w14:textId="77777777" w:rsidR="00D51C1A" w:rsidRDefault="00D51C1A" w:rsidP="0071303E">
      <w:r>
        <w:t xml:space="preserve">Differences in HBV prevalence across the birth cohorts </w:t>
      </w:r>
      <w:proofErr w:type="gramStart"/>
      <w:r>
        <w:t>were investigated</w:t>
      </w:r>
      <w:proofErr w:type="gramEnd"/>
      <w:r>
        <w:t xml:space="preserve"> using multivariate logistic regression. The model was adjusted by ARIA categories (outer regional, </w:t>
      </w:r>
      <w:proofErr w:type="gramStart"/>
      <w:r>
        <w:t>remote</w:t>
      </w:r>
      <w:proofErr w:type="gramEnd"/>
      <w:r>
        <w:t xml:space="preserve"> and very remote) and Socio-Economic Indexes for Areas (SEIFA), in deciles. ARIA, calculated using residential postcodes, is an objective way in which the remoteness of a location </w:t>
      </w:r>
      <w:proofErr w:type="gramStart"/>
      <w:r>
        <w:t>is measured</w:t>
      </w:r>
      <w:proofErr w:type="gramEnd"/>
      <w:r>
        <w:t xml:space="preserve"> based on access to road networks, and service centres, and population.</w:t>
      </w:r>
      <w:r>
        <w:rPr>
          <w:vertAlign w:val="superscript"/>
        </w:rPr>
        <w:t>12</w:t>
      </w:r>
      <w:r>
        <w:t xml:space="preserve"> SEIFA is a ranking system of socio-economic advantage and disadvantage by geographic location in Australia, also calculated in this analysis using postcodes.</w:t>
      </w:r>
      <w:r>
        <w:rPr>
          <w:vertAlign w:val="superscript"/>
        </w:rPr>
        <w:t xml:space="preserve">12,13 </w:t>
      </w:r>
    </w:p>
    <w:p w14:paraId="33009533" w14:textId="77777777" w:rsidR="00D51C1A" w:rsidRDefault="00D51C1A" w:rsidP="0071303E">
      <w:r>
        <w:t xml:space="preserve">All analyses </w:t>
      </w:r>
      <w:proofErr w:type="gramStart"/>
      <w:r>
        <w:t>were undertaken</w:t>
      </w:r>
      <w:proofErr w:type="gramEnd"/>
      <w:r>
        <w:t xml:space="preserve"> using Stata 12.0. </w:t>
      </w:r>
    </w:p>
    <w:p w14:paraId="38688165" w14:textId="77777777" w:rsidR="00D51C1A" w:rsidRPr="0071303E" w:rsidRDefault="00D51C1A" w:rsidP="0071303E">
      <w:pPr>
        <w:pStyle w:val="Heading2"/>
      </w:pPr>
      <w:r w:rsidRPr="0071303E">
        <w:t xml:space="preserve">Ethical approval </w:t>
      </w:r>
    </w:p>
    <w:p w14:paraId="1C38DE8E" w14:textId="77777777" w:rsidR="00D51C1A" w:rsidRDefault="00D51C1A" w:rsidP="0071303E">
      <w:r>
        <w:t xml:space="preserve">This study </w:t>
      </w:r>
      <w:proofErr w:type="gramStart"/>
      <w:r>
        <w:t>was approved</w:t>
      </w:r>
      <w:proofErr w:type="gramEnd"/>
      <w:r>
        <w:t xml:space="preserve"> by the Human Research Ethics Committee of the Northern Territory Department of Health and Menzies School of Health Research, reference HREC-2014-2152. </w:t>
      </w:r>
    </w:p>
    <w:p w14:paraId="4CBE9F6A" w14:textId="77777777" w:rsidR="00D51C1A" w:rsidRPr="0071303E" w:rsidRDefault="00D51C1A" w:rsidP="0071303E">
      <w:pPr>
        <w:pStyle w:val="Heading1"/>
      </w:pPr>
      <w:r w:rsidRPr="0071303E">
        <w:t xml:space="preserve">Results </w:t>
      </w:r>
    </w:p>
    <w:p w14:paraId="47F67754" w14:textId="77777777" w:rsidR="00D51C1A" w:rsidRDefault="00D51C1A" w:rsidP="0071303E">
      <w:r>
        <w:t xml:space="preserve">A total of 22,781 NT resident women </w:t>
      </w:r>
      <w:proofErr w:type="gramStart"/>
      <w:r>
        <w:t>were recorded</w:t>
      </w:r>
      <w:proofErr w:type="gramEnd"/>
      <w:r>
        <w:t xml:space="preserve"> on the Perinatal Register as giving birth in public hospitals in the NT from 2005 to 2015. Of those, 8,753 (38.4%) were Aboriginal and Torres Strait Islander Australians, 9,228 (40.5%) were Australian-born non-Indigenous women and 4,800 women (21.1%) were born overseas. Among these 22,781 women, 253 linked to an unspecified (presumed chronic) HBV notification before or during their last pregnancy (Table 1). HBV prevalence across this study period was highest in Aboriginal and Torres Strait Islander and overseas-born women at 1.8% in both groups, compared to 0.1% in Australian-born non-Indigenous women. </w:t>
      </w:r>
    </w:p>
    <w:p w14:paraId="78D5FEDF" w14:textId="77777777" w:rsidR="0078232D" w:rsidRDefault="0078232D">
      <w:r>
        <w:br w:type="page"/>
      </w:r>
    </w:p>
    <w:p w14:paraId="449F9E55" w14:textId="77777777" w:rsidR="0078232D" w:rsidRPr="00F95BE7" w:rsidRDefault="0078232D" w:rsidP="0078232D">
      <w:pPr>
        <w:pStyle w:val="CDIFigures"/>
      </w:pPr>
      <w:r w:rsidRPr="00F95BE7">
        <w:rPr>
          <w:rStyle w:val="Strong"/>
          <w:b/>
          <w:bCs w:val="0"/>
        </w:rPr>
        <w:lastRenderedPageBreak/>
        <w:t>Table 1: Demographic characteristics of women giving birth in public hospitals and resident in the Northern Territory, 2005 to 2015</w:t>
      </w:r>
    </w:p>
    <w:tbl>
      <w:tblPr>
        <w:tblStyle w:val="CDI-StandardTable"/>
        <w:tblW w:w="0" w:type="auto"/>
        <w:tblLook w:val="04A0" w:firstRow="1" w:lastRow="0" w:firstColumn="1" w:lastColumn="0" w:noHBand="0" w:noVBand="1"/>
        <w:tblDescription w:val="Table 1 describes the demographic characteristics of women giving birth in public hospitals who are resident in the NT between 2005 to 2015. It shows that 22781 NT resident women were recorded on the Perinatal Register as giving birth in public hospitals in the NT from 2005 to 2015. 8753 were Aboriginal and Torres Strait Islander Australians, 9228 were Australian-born non-Indigenous women and 4800 women were born overseas."/>
      </w:tblPr>
      <w:tblGrid>
        <w:gridCol w:w="3685"/>
        <w:gridCol w:w="864"/>
        <w:gridCol w:w="2923"/>
        <w:gridCol w:w="1941"/>
        <w:gridCol w:w="1053"/>
      </w:tblGrid>
      <w:tr w:rsidR="0078232D" w:rsidRPr="00E32755" w14:paraId="24F4229A" w14:textId="77777777" w:rsidTr="007923D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7ECDD"/>
            </w:tcBorders>
            <w:hideMark/>
          </w:tcPr>
          <w:p w14:paraId="3A89FD51" w14:textId="77777777" w:rsidR="0078232D" w:rsidRPr="00E32755" w:rsidRDefault="0078232D" w:rsidP="007923D2">
            <w:pPr>
              <w:jc w:val="left"/>
              <w:rPr>
                <w:sz w:val="18"/>
                <w:szCs w:val="18"/>
                <w:lang w:val="en-GB"/>
              </w:rPr>
            </w:pPr>
          </w:p>
        </w:tc>
        <w:tc>
          <w:tcPr>
            <w:tcW w:w="0" w:type="auto"/>
            <w:tcBorders>
              <w:left w:val="single" w:sz="2" w:space="0" w:color="F7ECDD"/>
              <w:right w:val="single" w:sz="2" w:space="0" w:color="F7ECDD"/>
            </w:tcBorders>
            <w:hideMark/>
          </w:tcPr>
          <w:p w14:paraId="5AC7EF7B" w14:textId="77777777" w:rsidR="0078232D" w:rsidRPr="00E32755" w:rsidRDefault="0078232D" w:rsidP="007923D2">
            <w:pPr>
              <w:pStyle w:val="NormalWeb"/>
              <w:rPr>
                <w:sz w:val="18"/>
                <w:szCs w:val="18"/>
              </w:rPr>
            </w:pPr>
            <w:r w:rsidRPr="00E32755">
              <w:rPr>
                <w:sz w:val="18"/>
                <w:szCs w:val="18"/>
              </w:rPr>
              <w:t>All</w:t>
            </w:r>
          </w:p>
        </w:tc>
        <w:tc>
          <w:tcPr>
            <w:tcW w:w="0" w:type="auto"/>
            <w:tcBorders>
              <w:left w:val="single" w:sz="2" w:space="0" w:color="F7ECDD"/>
              <w:right w:val="single" w:sz="2" w:space="0" w:color="F7ECDD"/>
            </w:tcBorders>
            <w:hideMark/>
          </w:tcPr>
          <w:p w14:paraId="433B2078" w14:textId="77777777" w:rsidR="0078232D" w:rsidRPr="00E32755" w:rsidRDefault="0078232D" w:rsidP="007923D2">
            <w:pPr>
              <w:pStyle w:val="NormalWeb"/>
              <w:rPr>
                <w:sz w:val="18"/>
                <w:szCs w:val="18"/>
              </w:rPr>
            </w:pPr>
            <w:r w:rsidRPr="00E32755">
              <w:rPr>
                <w:sz w:val="18"/>
                <w:szCs w:val="18"/>
              </w:rPr>
              <w:t>Australian-born Aboriginal and Torres Strait Islander</w:t>
            </w:r>
          </w:p>
        </w:tc>
        <w:tc>
          <w:tcPr>
            <w:tcW w:w="0" w:type="auto"/>
            <w:tcBorders>
              <w:left w:val="single" w:sz="2" w:space="0" w:color="F7ECDD"/>
              <w:right w:val="single" w:sz="2" w:space="0" w:color="F7ECDD"/>
            </w:tcBorders>
            <w:hideMark/>
          </w:tcPr>
          <w:p w14:paraId="4E596CD1" w14:textId="77777777" w:rsidR="0078232D" w:rsidRPr="00E32755" w:rsidRDefault="0078232D" w:rsidP="007923D2">
            <w:pPr>
              <w:pStyle w:val="NormalWeb"/>
              <w:rPr>
                <w:sz w:val="18"/>
                <w:szCs w:val="18"/>
              </w:rPr>
            </w:pPr>
            <w:r w:rsidRPr="00E32755">
              <w:rPr>
                <w:sz w:val="18"/>
                <w:szCs w:val="18"/>
              </w:rPr>
              <w:t>Australian-born non-Indigenous</w:t>
            </w:r>
          </w:p>
        </w:tc>
        <w:tc>
          <w:tcPr>
            <w:tcW w:w="0" w:type="auto"/>
            <w:tcBorders>
              <w:left w:val="single" w:sz="2" w:space="0" w:color="F7ECDD"/>
            </w:tcBorders>
            <w:hideMark/>
          </w:tcPr>
          <w:p w14:paraId="57B063DE" w14:textId="77777777" w:rsidR="0078232D" w:rsidRPr="00E32755" w:rsidRDefault="0078232D" w:rsidP="007923D2">
            <w:pPr>
              <w:pStyle w:val="NormalWeb"/>
              <w:rPr>
                <w:sz w:val="18"/>
                <w:szCs w:val="18"/>
              </w:rPr>
            </w:pPr>
            <w:r w:rsidRPr="00E32755">
              <w:rPr>
                <w:sz w:val="18"/>
                <w:szCs w:val="18"/>
              </w:rPr>
              <w:t>Overseas born</w:t>
            </w:r>
          </w:p>
        </w:tc>
      </w:tr>
      <w:tr w:rsidR="0078232D" w:rsidRPr="001C59D7" w14:paraId="023F0C7D" w14:textId="77777777" w:rsidTr="007923D2">
        <w:tc>
          <w:tcPr>
            <w:tcW w:w="0" w:type="auto"/>
            <w:shd w:val="clear" w:color="auto" w:fill="F7ECDD"/>
            <w:hideMark/>
          </w:tcPr>
          <w:p w14:paraId="44E03773" w14:textId="77777777" w:rsidR="0078232D" w:rsidRPr="001C59D7" w:rsidRDefault="0078232D" w:rsidP="007923D2">
            <w:pPr>
              <w:pStyle w:val="NormalWeb"/>
              <w:jc w:val="left"/>
              <w:rPr>
                <w:b/>
                <w:bCs/>
                <w:sz w:val="18"/>
                <w:szCs w:val="18"/>
              </w:rPr>
            </w:pPr>
            <w:r w:rsidRPr="001C59D7">
              <w:rPr>
                <w:b/>
                <w:bCs/>
                <w:sz w:val="18"/>
                <w:szCs w:val="18"/>
              </w:rPr>
              <w:t>Total (%)</w:t>
            </w:r>
          </w:p>
        </w:tc>
        <w:tc>
          <w:tcPr>
            <w:tcW w:w="0" w:type="auto"/>
            <w:shd w:val="clear" w:color="auto" w:fill="F7ECDD"/>
            <w:hideMark/>
          </w:tcPr>
          <w:p w14:paraId="68BC17E2" w14:textId="77777777" w:rsidR="0078232D" w:rsidRPr="001C59D7" w:rsidRDefault="0078232D" w:rsidP="007923D2">
            <w:pPr>
              <w:pStyle w:val="NormalWeb"/>
              <w:rPr>
                <w:b/>
                <w:bCs/>
                <w:sz w:val="18"/>
                <w:szCs w:val="18"/>
              </w:rPr>
            </w:pPr>
            <w:r w:rsidRPr="001C59D7">
              <w:rPr>
                <w:b/>
                <w:bCs/>
                <w:sz w:val="18"/>
                <w:szCs w:val="18"/>
              </w:rPr>
              <w:t>22,781</w:t>
            </w:r>
          </w:p>
        </w:tc>
        <w:tc>
          <w:tcPr>
            <w:tcW w:w="0" w:type="auto"/>
            <w:shd w:val="clear" w:color="auto" w:fill="F7ECDD"/>
            <w:hideMark/>
          </w:tcPr>
          <w:p w14:paraId="12ED2287" w14:textId="77777777" w:rsidR="0078232D" w:rsidRPr="001C59D7" w:rsidRDefault="0078232D" w:rsidP="007923D2">
            <w:pPr>
              <w:pStyle w:val="NormalWeb"/>
              <w:rPr>
                <w:b/>
                <w:bCs/>
                <w:sz w:val="18"/>
                <w:szCs w:val="18"/>
              </w:rPr>
            </w:pPr>
            <w:r w:rsidRPr="001C59D7">
              <w:rPr>
                <w:b/>
                <w:bCs/>
                <w:sz w:val="18"/>
                <w:szCs w:val="18"/>
              </w:rPr>
              <w:t>8,753 (38.4)</w:t>
            </w:r>
          </w:p>
        </w:tc>
        <w:tc>
          <w:tcPr>
            <w:tcW w:w="0" w:type="auto"/>
            <w:shd w:val="clear" w:color="auto" w:fill="F7ECDD"/>
            <w:hideMark/>
          </w:tcPr>
          <w:p w14:paraId="2E525E53" w14:textId="77777777" w:rsidR="0078232D" w:rsidRPr="001C59D7" w:rsidRDefault="0078232D" w:rsidP="007923D2">
            <w:pPr>
              <w:pStyle w:val="NormalWeb"/>
              <w:rPr>
                <w:b/>
                <w:bCs/>
                <w:sz w:val="18"/>
                <w:szCs w:val="18"/>
              </w:rPr>
            </w:pPr>
            <w:r w:rsidRPr="001C59D7">
              <w:rPr>
                <w:b/>
                <w:bCs/>
                <w:sz w:val="18"/>
                <w:szCs w:val="18"/>
              </w:rPr>
              <w:t>9,228 (40.5)</w:t>
            </w:r>
          </w:p>
        </w:tc>
        <w:tc>
          <w:tcPr>
            <w:tcW w:w="0" w:type="auto"/>
            <w:shd w:val="clear" w:color="auto" w:fill="F7ECDD"/>
            <w:hideMark/>
          </w:tcPr>
          <w:p w14:paraId="28F9625B" w14:textId="77777777" w:rsidR="0078232D" w:rsidRPr="001C59D7" w:rsidRDefault="0078232D" w:rsidP="007923D2">
            <w:pPr>
              <w:pStyle w:val="NormalWeb"/>
              <w:rPr>
                <w:b/>
                <w:bCs/>
                <w:sz w:val="18"/>
                <w:szCs w:val="18"/>
              </w:rPr>
            </w:pPr>
            <w:r w:rsidRPr="001C59D7">
              <w:rPr>
                <w:b/>
                <w:bCs/>
                <w:sz w:val="18"/>
                <w:szCs w:val="18"/>
              </w:rPr>
              <w:t>4,800 (21.1)</w:t>
            </w:r>
          </w:p>
        </w:tc>
      </w:tr>
      <w:tr w:rsidR="0078232D" w:rsidRPr="00E32755" w14:paraId="7454FD7C" w14:textId="77777777" w:rsidTr="009A7C54">
        <w:trPr>
          <w:cnfStyle w:val="000000010000" w:firstRow="0" w:lastRow="0" w:firstColumn="0" w:lastColumn="0" w:oddVBand="0" w:evenVBand="0" w:oddHBand="0" w:evenHBand="1" w:firstRowFirstColumn="0" w:firstRowLastColumn="0" w:lastRowFirstColumn="0" w:lastRowLastColumn="0"/>
        </w:trPr>
        <w:tc>
          <w:tcPr>
            <w:tcW w:w="0" w:type="auto"/>
            <w:hideMark/>
          </w:tcPr>
          <w:p w14:paraId="47CEB934" w14:textId="77777777" w:rsidR="0078232D" w:rsidRPr="00E32755" w:rsidRDefault="0078232D" w:rsidP="007923D2">
            <w:pPr>
              <w:pStyle w:val="NormalWeb"/>
              <w:jc w:val="left"/>
              <w:rPr>
                <w:sz w:val="18"/>
                <w:szCs w:val="18"/>
              </w:rPr>
            </w:pPr>
            <w:r w:rsidRPr="00E32755">
              <w:rPr>
                <w:sz w:val="18"/>
                <w:szCs w:val="18"/>
              </w:rPr>
              <w:t xml:space="preserve">% </w:t>
            </w:r>
            <w:proofErr w:type="gramStart"/>
            <w:r w:rsidRPr="00E32755">
              <w:rPr>
                <w:sz w:val="18"/>
                <w:szCs w:val="18"/>
              </w:rPr>
              <w:t>maternal</w:t>
            </w:r>
            <w:proofErr w:type="gramEnd"/>
            <w:r w:rsidRPr="00E32755">
              <w:rPr>
                <w:sz w:val="18"/>
                <w:szCs w:val="18"/>
              </w:rPr>
              <w:t xml:space="preserve"> birth year &gt; 1988 (N)</w:t>
            </w:r>
          </w:p>
        </w:tc>
        <w:tc>
          <w:tcPr>
            <w:tcW w:w="0" w:type="auto"/>
            <w:hideMark/>
          </w:tcPr>
          <w:p w14:paraId="60A3D6A9" w14:textId="77777777" w:rsidR="0078232D" w:rsidRPr="00E32755" w:rsidRDefault="0078232D" w:rsidP="007923D2">
            <w:pPr>
              <w:pStyle w:val="NormalWeb"/>
              <w:rPr>
                <w:sz w:val="18"/>
                <w:szCs w:val="18"/>
              </w:rPr>
            </w:pPr>
            <w:r w:rsidRPr="00E32755">
              <w:rPr>
                <w:sz w:val="18"/>
                <w:szCs w:val="18"/>
              </w:rPr>
              <w:t>20.9 (4,758)</w:t>
            </w:r>
          </w:p>
        </w:tc>
        <w:tc>
          <w:tcPr>
            <w:tcW w:w="0" w:type="auto"/>
            <w:hideMark/>
          </w:tcPr>
          <w:p w14:paraId="086EE8EA" w14:textId="77777777" w:rsidR="0078232D" w:rsidRPr="00E32755" w:rsidRDefault="0078232D" w:rsidP="007923D2">
            <w:pPr>
              <w:pStyle w:val="NormalWeb"/>
              <w:rPr>
                <w:sz w:val="18"/>
                <w:szCs w:val="18"/>
              </w:rPr>
            </w:pPr>
            <w:r w:rsidRPr="00E32755">
              <w:rPr>
                <w:sz w:val="18"/>
                <w:szCs w:val="18"/>
              </w:rPr>
              <w:t>34.9 (3,052)</w:t>
            </w:r>
          </w:p>
        </w:tc>
        <w:tc>
          <w:tcPr>
            <w:tcW w:w="0" w:type="auto"/>
            <w:hideMark/>
          </w:tcPr>
          <w:p w14:paraId="21EA127B" w14:textId="77777777" w:rsidR="0078232D" w:rsidRPr="00E32755" w:rsidRDefault="0078232D" w:rsidP="007923D2">
            <w:pPr>
              <w:pStyle w:val="NormalWeb"/>
              <w:rPr>
                <w:sz w:val="18"/>
                <w:szCs w:val="18"/>
              </w:rPr>
            </w:pPr>
            <w:r w:rsidRPr="00E32755">
              <w:rPr>
                <w:sz w:val="18"/>
                <w:szCs w:val="18"/>
              </w:rPr>
              <w:t>13.9 (1,279)</w:t>
            </w:r>
          </w:p>
        </w:tc>
        <w:tc>
          <w:tcPr>
            <w:tcW w:w="0" w:type="auto"/>
            <w:hideMark/>
          </w:tcPr>
          <w:p w14:paraId="2BD3B860" w14:textId="77777777" w:rsidR="0078232D" w:rsidRPr="00E32755" w:rsidRDefault="0078232D" w:rsidP="007923D2">
            <w:pPr>
              <w:pStyle w:val="NormalWeb"/>
              <w:rPr>
                <w:sz w:val="18"/>
                <w:szCs w:val="18"/>
              </w:rPr>
            </w:pPr>
            <w:r w:rsidRPr="00E32755">
              <w:rPr>
                <w:sz w:val="18"/>
                <w:szCs w:val="18"/>
              </w:rPr>
              <w:t>8.9 (427)</w:t>
            </w:r>
          </w:p>
        </w:tc>
      </w:tr>
      <w:tr w:rsidR="0078232D" w:rsidRPr="00E32755" w14:paraId="267BC855" w14:textId="77777777" w:rsidTr="009A7C54">
        <w:tc>
          <w:tcPr>
            <w:tcW w:w="0" w:type="auto"/>
            <w:tcBorders>
              <w:bottom w:val="single" w:sz="2" w:space="0" w:color="808080" w:themeColor="background1" w:themeShade="80"/>
            </w:tcBorders>
            <w:hideMark/>
          </w:tcPr>
          <w:p w14:paraId="7B8D6A3D" w14:textId="77777777" w:rsidR="0078232D" w:rsidRPr="00E32755" w:rsidRDefault="0078232D" w:rsidP="007923D2">
            <w:pPr>
              <w:pStyle w:val="NormalWeb"/>
              <w:jc w:val="left"/>
              <w:rPr>
                <w:sz w:val="18"/>
                <w:szCs w:val="18"/>
              </w:rPr>
            </w:pPr>
            <w:r w:rsidRPr="00E32755">
              <w:rPr>
                <w:sz w:val="18"/>
                <w:szCs w:val="18"/>
              </w:rPr>
              <w:t xml:space="preserve">% </w:t>
            </w:r>
            <w:proofErr w:type="gramStart"/>
            <w:r w:rsidRPr="00E32755">
              <w:rPr>
                <w:sz w:val="18"/>
                <w:szCs w:val="18"/>
              </w:rPr>
              <w:t>link</w:t>
            </w:r>
            <w:proofErr w:type="gramEnd"/>
            <w:r w:rsidRPr="00E32755">
              <w:rPr>
                <w:sz w:val="18"/>
                <w:szCs w:val="18"/>
              </w:rPr>
              <w:t xml:space="preserve"> to HBV notification before or during most recent pregnancy (N)</w:t>
            </w:r>
          </w:p>
        </w:tc>
        <w:tc>
          <w:tcPr>
            <w:tcW w:w="0" w:type="auto"/>
            <w:tcBorders>
              <w:bottom w:val="single" w:sz="2" w:space="0" w:color="808080" w:themeColor="background1" w:themeShade="80"/>
            </w:tcBorders>
            <w:hideMark/>
          </w:tcPr>
          <w:p w14:paraId="7B31B173" w14:textId="77777777" w:rsidR="0078232D" w:rsidRPr="00E32755" w:rsidRDefault="0078232D" w:rsidP="007923D2">
            <w:pPr>
              <w:pStyle w:val="NormalWeb"/>
              <w:rPr>
                <w:sz w:val="18"/>
                <w:szCs w:val="18"/>
              </w:rPr>
            </w:pPr>
            <w:r w:rsidRPr="00E32755">
              <w:rPr>
                <w:sz w:val="18"/>
                <w:szCs w:val="18"/>
              </w:rPr>
              <w:t>1.1 (253)</w:t>
            </w:r>
          </w:p>
        </w:tc>
        <w:tc>
          <w:tcPr>
            <w:tcW w:w="0" w:type="auto"/>
            <w:tcBorders>
              <w:bottom w:val="single" w:sz="2" w:space="0" w:color="808080" w:themeColor="background1" w:themeShade="80"/>
            </w:tcBorders>
            <w:hideMark/>
          </w:tcPr>
          <w:p w14:paraId="3C717C64" w14:textId="77777777" w:rsidR="0078232D" w:rsidRPr="00E32755" w:rsidRDefault="0078232D" w:rsidP="007923D2">
            <w:pPr>
              <w:pStyle w:val="NormalWeb"/>
              <w:rPr>
                <w:sz w:val="18"/>
                <w:szCs w:val="18"/>
              </w:rPr>
            </w:pPr>
            <w:r w:rsidRPr="00E32755">
              <w:rPr>
                <w:sz w:val="18"/>
                <w:szCs w:val="18"/>
              </w:rPr>
              <w:t>1.8 (161)</w:t>
            </w:r>
          </w:p>
        </w:tc>
        <w:tc>
          <w:tcPr>
            <w:tcW w:w="0" w:type="auto"/>
            <w:tcBorders>
              <w:bottom w:val="single" w:sz="2" w:space="0" w:color="808080" w:themeColor="background1" w:themeShade="80"/>
            </w:tcBorders>
            <w:hideMark/>
          </w:tcPr>
          <w:p w14:paraId="68BDECA8" w14:textId="77777777" w:rsidR="0078232D" w:rsidRPr="00E32755" w:rsidRDefault="0078232D" w:rsidP="007923D2">
            <w:pPr>
              <w:pStyle w:val="NormalWeb"/>
              <w:rPr>
                <w:sz w:val="18"/>
                <w:szCs w:val="18"/>
              </w:rPr>
            </w:pPr>
            <w:r w:rsidRPr="00E32755">
              <w:rPr>
                <w:sz w:val="18"/>
                <w:szCs w:val="18"/>
              </w:rPr>
              <w:t>0.1 (7)</w:t>
            </w:r>
          </w:p>
        </w:tc>
        <w:tc>
          <w:tcPr>
            <w:tcW w:w="0" w:type="auto"/>
            <w:tcBorders>
              <w:bottom w:val="single" w:sz="2" w:space="0" w:color="808080" w:themeColor="background1" w:themeShade="80"/>
            </w:tcBorders>
            <w:hideMark/>
          </w:tcPr>
          <w:p w14:paraId="592CCB30" w14:textId="77777777" w:rsidR="0078232D" w:rsidRPr="00E32755" w:rsidRDefault="0078232D" w:rsidP="007923D2">
            <w:pPr>
              <w:pStyle w:val="NormalWeb"/>
              <w:rPr>
                <w:sz w:val="18"/>
                <w:szCs w:val="18"/>
              </w:rPr>
            </w:pPr>
            <w:r w:rsidRPr="00E32755">
              <w:rPr>
                <w:sz w:val="18"/>
                <w:szCs w:val="18"/>
              </w:rPr>
              <w:t>1.8 (85)</w:t>
            </w:r>
          </w:p>
        </w:tc>
      </w:tr>
    </w:tbl>
    <w:p w14:paraId="41D403F1" w14:textId="77777777" w:rsidR="0078232D" w:rsidRDefault="0078232D" w:rsidP="0071303E"/>
    <w:p w14:paraId="554CB8D7" w14:textId="285915AB" w:rsidR="00D51C1A" w:rsidRDefault="00D51C1A" w:rsidP="0071303E">
      <w:r>
        <w:t xml:space="preserve">The proportion of Aboriginal and Torres Strait Islander women linking to an HBV record was significantly higher for those born prior to 1989 than for those born in 1989 or later (2.4% versus 0.3%, </w:t>
      </w:r>
      <w:r w:rsidRPr="00D51C1A">
        <w:rPr>
          <w:rStyle w:val="Emphasis"/>
          <w:b w:val="0"/>
          <w:bCs w:val="0"/>
        </w:rPr>
        <w:t>p</w:t>
      </w:r>
      <w:r>
        <w:t xml:space="preserve"> &lt; 0.001). By region of residence, prevalence was highest in East Arnhem (4.0%; 95% confidence interval [95% CI]: 3.0–5.3%), rural Alice Springs (2.4%; 95% CI: 1.6–3.4%) and rural Darwin (2.0%; 95% CI: 1.4–2.8%). This </w:t>
      </w:r>
      <w:proofErr w:type="gramStart"/>
      <w:r>
        <w:t>was also reflected</w:t>
      </w:r>
      <w:proofErr w:type="gramEnd"/>
      <w:r>
        <w:t xml:space="preserve"> with an increase in prevalence with remoteness, ranging from 0.4% (95% CI: 0.1–0.9%) in outer regional areas to 2.2% (95% CI: 1.7–2.9%) in very remote areas (Table 2).</w:t>
      </w:r>
    </w:p>
    <w:p w14:paraId="4A5ACF23" w14:textId="77777777" w:rsidR="0078232D" w:rsidRPr="00F818AE" w:rsidRDefault="0078232D" w:rsidP="0078232D">
      <w:pPr>
        <w:pStyle w:val="CDIFigures"/>
      </w:pPr>
      <w:r w:rsidRPr="00F818AE">
        <w:rPr>
          <w:rStyle w:val="Strong"/>
          <w:b/>
          <w:bCs w:val="0"/>
        </w:rPr>
        <w:t>Table 2: Hepatitis B prevalence in Aboriginal and Torres Strait Islander birthing mothers according to maternal birth cohort and area of residence, Northern Territory Australia, 2005–2015</w:t>
      </w:r>
    </w:p>
    <w:tbl>
      <w:tblPr>
        <w:tblStyle w:val="CDI-StandardTable"/>
        <w:tblW w:w="0" w:type="auto"/>
        <w:tblLook w:val="04A0" w:firstRow="1" w:lastRow="0" w:firstColumn="1" w:lastColumn="0" w:noHBand="0" w:noVBand="1"/>
        <w:tblDescription w:val="Table 2 describes Hepatitis B prevalence in Aboriginal and Torres Strait Islander birthing mothers according to maternal birth cohort and area of residence in the NT between 2005 and 2015. It shows that the proportion of women linking to a HBV record was significantly higher for those born prior to 1989 at 2.4%, compared to those born after 1989 at 0.3%. By region, prevalence was highest in East Arnhem at 4.0%, followed by rural Alice Springs  at 2.4% and rural Darwin at 2.0%. This was also reflected with an increase in prevalence with remoteness, ranging from 0.4% in outer regional areas to 2.2% in very remote areas.&#10;"/>
      </w:tblPr>
      <w:tblGrid>
        <w:gridCol w:w="3119"/>
        <w:gridCol w:w="2266"/>
        <w:gridCol w:w="1530"/>
        <w:gridCol w:w="1307"/>
        <w:gridCol w:w="1158"/>
        <w:gridCol w:w="1086"/>
      </w:tblGrid>
      <w:tr w:rsidR="0078232D" w:rsidRPr="00E32755" w14:paraId="06758188" w14:textId="77777777" w:rsidTr="007923D2">
        <w:trPr>
          <w:cnfStyle w:val="100000000000" w:firstRow="1" w:lastRow="0" w:firstColumn="0" w:lastColumn="0" w:oddVBand="0" w:evenVBand="0" w:oddHBand="0" w:evenHBand="0" w:firstRowFirstColumn="0" w:firstRowLastColumn="0" w:lastRowFirstColumn="0" w:lastRowLastColumn="0"/>
          <w:tblHeader/>
        </w:trPr>
        <w:tc>
          <w:tcPr>
            <w:tcW w:w="3119" w:type="dxa"/>
            <w:tcBorders>
              <w:right w:val="single" w:sz="2" w:space="0" w:color="F7ECDD"/>
            </w:tcBorders>
            <w:hideMark/>
          </w:tcPr>
          <w:p w14:paraId="18C94005" w14:textId="77777777" w:rsidR="0078232D" w:rsidRPr="00E32755" w:rsidRDefault="0078232D" w:rsidP="007923D2">
            <w:pPr>
              <w:jc w:val="left"/>
              <w:rPr>
                <w:sz w:val="18"/>
                <w:szCs w:val="18"/>
                <w:lang w:val="en-GB"/>
              </w:rPr>
            </w:pPr>
          </w:p>
        </w:tc>
        <w:tc>
          <w:tcPr>
            <w:tcW w:w="2266" w:type="dxa"/>
            <w:tcBorders>
              <w:left w:val="single" w:sz="2" w:space="0" w:color="F7ECDD"/>
              <w:right w:val="single" w:sz="2" w:space="0" w:color="F7ECDD"/>
            </w:tcBorders>
            <w:hideMark/>
          </w:tcPr>
          <w:p w14:paraId="7BA9AC2C" w14:textId="77777777" w:rsidR="0078232D" w:rsidRPr="00E32755" w:rsidRDefault="0078232D" w:rsidP="007923D2">
            <w:pPr>
              <w:pStyle w:val="NormalWeb"/>
              <w:rPr>
                <w:sz w:val="18"/>
                <w:szCs w:val="18"/>
              </w:rPr>
            </w:pPr>
            <w:r w:rsidRPr="00E32755">
              <w:rPr>
                <w:sz w:val="18"/>
                <w:szCs w:val="18"/>
              </w:rPr>
              <w:t>Mean age at most recent birth record (years)</w:t>
            </w:r>
          </w:p>
        </w:tc>
        <w:tc>
          <w:tcPr>
            <w:tcW w:w="1530" w:type="dxa"/>
            <w:tcBorders>
              <w:left w:val="single" w:sz="2" w:space="0" w:color="F7ECDD"/>
              <w:right w:val="single" w:sz="2" w:space="0" w:color="F7ECDD"/>
            </w:tcBorders>
            <w:hideMark/>
          </w:tcPr>
          <w:p w14:paraId="373F0234" w14:textId="77777777" w:rsidR="0078232D" w:rsidRPr="00E32755" w:rsidRDefault="0078232D" w:rsidP="007923D2">
            <w:pPr>
              <w:pStyle w:val="NormalWeb"/>
              <w:rPr>
                <w:sz w:val="18"/>
                <w:szCs w:val="18"/>
              </w:rPr>
            </w:pPr>
            <w:r w:rsidRPr="00E32755">
              <w:rPr>
                <w:sz w:val="18"/>
                <w:szCs w:val="18"/>
              </w:rPr>
              <w:t>Number of birthing mothers</w:t>
            </w:r>
          </w:p>
        </w:tc>
        <w:tc>
          <w:tcPr>
            <w:tcW w:w="1307" w:type="dxa"/>
            <w:tcBorders>
              <w:left w:val="single" w:sz="2" w:space="0" w:color="F7ECDD"/>
              <w:right w:val="single" w:sz="2" w:space="0" w:color="F7ECDD"/>
            </w:tcBorders>
            <w:hideMark/>
          </w:tcPr>
          <w:p w14:paraId="0744663A" w14:textId="77777777" w:rsidR="0078232D" w:rsidRPr="00E32755" w:rsidRDefault="0078232D" w:rsidP="007923D2">
            <w:pPr>
              <w:pStyle w:val="NormalWeb"/>
              <w:rPr>
                <w:sz w:val="18"/>
                <w:szCs w:val="18"/>
              </w:rPr>
            </w:pPr>
            <w:r w:rsidRPr="00E32755">
              <w:rPr>
                <w:sz w:val="18"/>
                <w:szCs w:val="18"/>
              </w:rPr>
              <w:t>Chronic HBV record linked</w:t>
            </w:r>
          </w:p>
        </w:tc>
        <w:tc>
          <w:tcPr>
            <w:tcW w:w="1158" w:type="dxa"/>
            <w:tcBorders>
              <w:left w:val="single" w:sz="2" w:space="0" w:color="F7ECDD"/>
              <w:right w:val="single" w:sz="2" w:space="0" w:color="F7ECDD"/>
            </w:tcBorders>
            <w:hideMark/>
          </w:tcPr>
          <w:p w14:paraId="661270AC" w14:textId="77777777" w:rsidR="0078232D" w:rsidRPr="00E32755" w:rsidRDefault="0078232D" w:rsidP="007923D2">
            <w:pPr>
              <w:pStyle w:val="NormalWeb"/>
              <w:rPr>
                <w:sz w:val="18"/>
                <w:szCs w:val="18"/>
              </w:rPr>
            </w:pPr>
            <w:r w:rsidRPr="00E32755">
              <w:rPr>
                <w:sz w:val="18"/>
                <w:szCs w:val="18"/>
              </w:rPr>
              <w:t>HBV prevalence %</w:t>
            </w:r>
          </w:p>
        </w:tc>
        <w:tc>
          <w:tcPr>
            <w:tcW w:w="1086" w:type="dxa"/>
            <w:tcBorders>
              <w:left w:val="single" w:sz="2" w:space="0" w:color="F7ECDD"/>
            </w:tcBorders>
            <w:hideMark/>
          </w:tcPr>
          <w:p w14:paraId="6C7959C3" w14:textId="77777777" w:rsidR="0078232D" w:rsidRPr="00E32755" w:rsidRDefault="0078232D" w:rsidP="007923D2">
            <w:pPr>
              <w:pStyle w:val="NormalWeb"/>
              <w:rPr>
                <w:sz w:val="18"/>
                <w:szCs w:val="18"/>
              </w:rPr>
            </w:pPr>
            <w:proofErr w:type="gramStart"/>
            <w:r w:rsidRPr="00E32755">
              <w:rPr>
                <w:sz w:val="18"/>
                <w:szCs w:val="18"/>
              </w:rPr>
              <w:t>95%</w:t>
            </w:r>
            <w:proofErr w:type="gramEnd"/>
            <w:r w:rsidRPr="00E32755">
              <w:rPr>
                <w:sz w:val="18"/>
                <w:szCs w:val="18"/>
              </w:rPr>
              <w:t xml:space="preserve"> CI</w:t>
            </w:r>
          </w:p>
        </w:tc>
      </w:tr>
      <w:tr w:rsidR="0078232D" w:rsidRPr="00461EFE" w14:paraId="73451EC4" w14:textId="77777777" w:rsidTr="007923D2">
        <w:tc>
          <w:tcPr>
            <w:tcW w:w="0" w:type="auto"/>
            <w:gridSpan w:val="6"/>
            <w:shd w:val="clear" w:color="auto" w:fill="BBA991"/>
            <w:hideMark/>
          </w:tcPr>
          <w:p w14:paraId="64F70343" w14:textId="77777777" w:rsidR="0078232D" w:rsidRPr="00461EFE" w:rsidRDefault="0078232D" w:rsidP="007923D2">
            <w:pPr>
              <w:pStyle w:val="NormalWeb"/>
              <w:jc w:val="left"/>
              <w:rPr>
                <w:b/>
                <w:bCs/>
                <w:sz w:val="18"/>
                <w:szCs w:val="18"/>
              </w:rPr>
            </w:pPr>
            <w:r w:rsidRPr="00461EFE">
              <w:rPr>
                <w:b/>
                <w:bCs/>
                <w:sz w:val="18"/>
                <w:szCs w:val="18"/>
              </w:rPr>
              <w:t>By birth cohort</w:t>
            </w:r>
          </w:p>
        </w:tc>
      </w:tr>
      <w:tr w:rsidR="0078232D" w:rsidRPr="00E32755" w14:paraId="1B9817A3" w14:textId="77777777" w:rsidTr="007923D2">
        <w:trPr>
          <w:cnfStyle w:val="000000010000" w:firstRow="0" w:lastRow="0" w:firstColumn="0" w:lastColumn="0" w:oddVBand="0" w:evenVBand="0" w:oddHBand="0" w:evenHBand="1" w:firstRowFirstColumn="0" w:firstRowLastColumn="0" w:lastRowFirstColumn="0" w:lastRowLastColumn="0"/>
        </w:trPr>
        <w:tc>
          <w:tcPr>
            <w:tcW w:w="3119" w:type="dxa"/>
            <w:hideMark/>
          </w:tcPr>
          <w:p w14:paraId="3DBA47F4" w14:textId="77777777" w:rsidR="0078232D" w:rsidRPr="00E32755" w:rsidRDefault="0078232D" w:rsidP="007923D2">
            <w:pPr>
              <w:pStyle w:val="NormalWeb"/>
              <w:jc w:val="left"/>
              <w:rPr>
                <w:sz w:val="18"/>
                <w:szCs w:val="18"/>
              </w:rPr>
            </w:pPr>
            <w:r w:rsidRPr="00E32755">
              <w:rPr>
                <w:sz w:val="18"/>
                <w:szCs w:val="18"/>
              </w:rPr>
              <w:t>&lt; 1989</w:t>
            </w:r>
            <w:r w:rsidRPr="00E32755">
              <w:rPr>
                <w:sz w:val="18"/>
                <w:szCs w:val="18"/>
              </w:rPr>
              <w:br/>
              <w:t>(pre-newborn program)</w:t>
            </w:r>
          </w:p>
        </w:tc>
        <w:tc>
          <w:tcPr>
            <w:tcW w:w="2266" w:type="dxa"/>
            <w:hideMark/>
          </w:tcPr>
          <w:p w14:paraId="2E673422" w14:textId="77777777" w:rsidR="0078232D" w:rsidRPr="00E32755" w:rsidRDefault="0078232D" w:rsidP="007923D2">
            <w:pPr>
              <w:pStyle w:val="NormalWeb"/>
              <w:rPr>
                <w:sz w:val="18"/>
                <w:szCs w:val="18"/>
              </w:rPr>
            </w:pPr>
            <w:r w:rsidRPr="00E32755">
              <w:rPr>
                <w:sz w:val="18"/>
                <w:szCs w:val="18"/>
              </w:rPr>
              <w:t>29.4</w:t>
            </w:r>
          </w:p>
        </w:tc>
        <w:tc>
          <w:tcPr>
            <w:tcW w:w="1530" w:type="dxa"/>
            <w:hideMark/>
          </w:tcPr>
          <w:p w14:paraId="4847C3AF" w14:textId="77777777" w:rsidR="0078232D" w:rsidRPr="00E32755" w:rsidRDefault="0078232D" w:rsidP="007923D2">
            <w:pPr>
              <w:pStyle w:val="NormalWeb"/>
              <w:rPr>
                <w:sz w:val="18"/>
                <w:szCs w:val="18"/>
              </w:rPr>
            </w:pPr>
            <w:r w:rsidRPr="00E32755">
              <w:rPr>
                <w:sz w:val="18"/>
                <w:szCs w:val="18"/>
              </w:rPr>
              <w:t>5,701</w:t>
            </w:r>
          </w:p>
        </w:tc>
        <w:tc>
          <w:tcPr>
            <w:tcW w:w="1307" w:type="dxa"/>
            <w:hideMark/>
          </w:tcPr>
          <w:p w14:paraId="042AE76C" w14:textId="77777777" w:rsidR="0078232D" w:rsidRPr="00E32755" w:rsidRDefault="0078232D" w:rsidP="007923D2">
            <w:pPr>
              <w:pStyle w:val="NormalWeb"/>
              <w:rPr>
                <w:sz w:val="18"/>
                <w:szCs w:val="18"/>
              </w:rPr>
            </w:pPr>
            <w:r w:rsidRPr="00E32755">
              <w:rPr>
                <w:sz w:val="18"/>
                <w:szCs w:val="18"/>
              </w:rPr>
              <w:t>139</w:t>
            </w:r>
          </w:p>
        </w:tc>
        <w:tc>
          <w:tcPr>
            <w:tcW w:w="1158" w:type="dxa"/>
            <w:hideMark/>
          </w:tcPr>
          <w:p w14:paraId="7CFCBB59" w14:textId="77777777" w:rsidR="0078232D" w:rsidRPr="00E32755" w:rsidRDefault="0078232D" w:rsidP="007923D2">
            <w:pPr>
              <w:pStyle w:val="NormalWeb"/>
              <w:rPr>
                <w:sz w:val="18"/>
                <w:szCs w:val="18"/>
              </w:rPr>
            </w:pPr>
            <w:r w:rsidRPr="00E32755">
              <w:rPr>
                <w:sz w:val="18"/>
                <w:szCs w:val="18"/>
              </w:rPr>
              <w:t>2.4%</w:t>
            </w:r>
          </w:p>
        </w:tc>
        <w:tc>
          <w:tcPr>
            <w:tcW w:w="1086" w:type="dxa"/>
            <w:hideMark/>
          </w:tcPr>
          <w:p w14:paraId="06AC507A" w14:textId="77777777" w:rsidR="0078232D" w:rsidRPr="00E32755" w:rsidRDefault="0078232D" w:rsidP="007923D2">
            <w:pPr>
              <w:pStyle w:val="NormalWeb"/>
              <w:rPr>
                <w:sz w:val="18"/>
                <w:szCs w:val="18"/>
              </w:rPr>
            </w:pPr>
            <w:r w:rsidRPr="00E32755">
              <w:rPr>
                <w:sz w:val="18"/>
                <w:szCs w:val="18"/>
              </w:rPr>
              <w:t>2.0–3.0</w:t>
            </w:r>
          </w:p>
        </w:tc>
      </w:tr>
      <w:tr w:rsidR="0078232D" w:rsidRPr="00E32755" w14:paraId="5D031CC0" w14:textId="77777777" w:rsidTr="007923D2">
        <w:tc>
          <w:tcPr>
            <w:tcW w:w="3119" w:type="dxa"/>
            <w:hideMark/>
          </w:tcPr>
          <w:p w14:paraId="34CF8E59" w14:textId="77777777" w:rsidR="0078232D" w:rsidRPr="00E32755" w:rsidRDefault="0078232D" w:rsidP="007923D2">
            <w:pPr>
              <w:pStyle w:val="NormalWeb"/>
              <w:jc w:val="left"/>
              <w:rPr>
                <w:sz w:val="18"/>
                <w:szCs w:val="18"/>
              </w:rPr>
            </w:pPr>
            <w:r w:rsidRPr="00E32755">
              <w:rPr>
                <w:sz w:val="18"/>
                <w:szCs w:val="18"/>
              </w:rPr>
              <w:t>1989+</w:t>
            </w:r>
            <w:r w:rsidRPr="00E32755">
              <w:rPr>
                <w:sz w:val="18"/>
                <w:szCs w:val="18"/>
              </w:rPr>
              <w:br/>
              <w:t>(newborn program)</w:t>
            </w:r>
          </w:p>
        </w:tc>
        <w:tc>
          <w:tcPr>
            <w:tcW w:w="2266" w:type="dxa"/>
            <w:hideMark/>
          </w:tcPr>
          <w:p w14:paraId="1994C6C6" w14:textId="77777777" w:rsidR="0078232D" w:rsidRPr="00E32755" w:rsidRDefault="0078232D" w:rsidP="007923D2">
            <w:pPr>
              <w:pStyle w:val="NormalWeb"/>
              <w:rPr>
                <w:sz w:val="18"/>
                <w:szCs w:val="18"/>
              </w:rPr>
            </w:pPr>
            <w:r w:rsidRPr="00E32755">
              <w:rPr>
                <w:sz w:val="18"/>
                <w:szCs w:val="18"/>
              </w:rPr>
              <w:t>20.2</w:t>
            </w:r>
          </w:p>
        </w:tc>
        <w:tc>
          <w:tcPr>
            <w:tcW w:w="1530" w:type="dxa"/>
            <w:hideMark/>
          </w:tcPr>
          <w:p w14:paraId="7B9A569E" w14:textId="77777777" w:rsidR="0078232D" w:rsidRPr="00E32755" w:rsidRDefault="0078232D" w:rsidP="007923D2">
            <w:pPr>
              <w:pStyle w:val="NormalWeb"/>
              <w:rPr>
                <w:sz w:val="18"/>
                <w:szCs w:val="18"/>
              </w:rPr>
            </w:pPr>
            <w:r w:rsidRPr="00E32755">
              <w:rPr>
                <w:sz w:val="18"/>
                <w:szCs w:val="18"/>
              </w:rPr>
              <w:t>3,052</w:t>
            </w:r>
          </w:p>
        </w:tc>
        <w:tc>
          <w:tcPr>
            <w:tcW w:w="1307" w:type="dxa"/>
            <w:hideMark/>
          </w:tcPr>
          <w:p w14:paraId="6AF9F08B" w14:textId="77777777" w:rsidR="0078232D" w:rsidRPr="00E32755" w:rsidRDefault="0078232D" w:rsidP="007923D2">
            <w:pPr>
              <w:pStyle w:val="NormalWeb"/>
              <w:rPr>
                <w:sz w:val="18"/>
                <w:szCs w:val="18"/>
              </w:rPr>
            </w:pPr>
            <w:r w:rsidRPr="00E32755">
              <w:rPr>
                <w:sz w:val="18"/>
                <w:szCs w:val="18"/>
              </w:rPr>
              <w:t>10</w:t>
            </w:r>
          </w:p>
        </w:tc>
        <w:tc>
          <w:tcPr>
            <w:tcW w:w="1158" w:type="dxa"/>
            <w:hideMark/>
          </w:tcPr>
          <w:p w14:paraId="118DFC29" w14:textId="77777777" w:rsidR="0078232D" w:rsidRPr="00E32755" w:rsidRDefault="0078232D" w:rsidP="007923D2">
            <w:pPr>
              <w:pStyle w:val="NormalWeb"/>
              <w:rPr>
                <w:sz w:val="18"/>
                <w:szCs w:val="18"/>
              </w:rPr>
            </w:pPr>
            <w:r w:rsidRPr="00E32755">
              <w:rPr>
                <w:sz w:val="18"/>
                <w:szCs w:val="18"/>
              </w:rPr>
              <w:t>0.3%</w:t>
            </w:r>
          </w:p>
        </w:tc>
        <w:tc>
          <w:tcPr>
            <w:tcW w:w="1086" w:type="dxa"/>
            <w:hideMark/>
          </w:tcPr>
          <w:p w14:paraId="0F0F6785" w14:textId="77777777" w:rsidR="0078232D" w:rsidRPr="00E32755" w:rsidRDefault="0078232D" w:rsidP="007923D2">
            <w:pPr>
              <w:pStyle w:val="NormalWeb"/>
              <w:rPr>
                <w:sz w:val="18"/>
                <w:szCs w:val="18"/>
              </w:rPr>
            </w:pPr>
            <w:r w:rsidRPr="00E32755">
              <w:rPr>
                <w:sz w:val="18"/>
                <w:szCs w:val="18"/>
              </w:rPr>
              <w:t>0.2–0.6</w:t>
            </w:r>
          </w:p>
        </w:tc>
      </w:tr>
      <w:tr w:rsidR="0078232D" w:rsidRPr="00E32755" w14:paraId="60B691F8" w14:textId="77777777" w:rsidTr="007923D2">
        <w:trPr>
          <w:cnfStyle w:val="000000010000" w:firstRow="0" w:lastRow="0" w:firstColumn="0" w:lastColumn="0" w:oddVBand="0" w:evenVBand="0" w:oddHBand="0" w:evenHBand="1" w:firstRowFirstColumn="0" w:firstRowLastColumn="0" w:lastRowFirstColumn="0" w:lastRowLastColumn="0"/>
        </w:trPr>
        <w:tc>
          <w:tcPr>
            <w:tcW w:w="0" w:type="auto"/>
            <w:gridSpan w:val="6"/>
            <w:hideMark/>
          </w:tcPr>
          <w:p w14:paraId="5B72DDDF" w14:textId="77777777" w:rsidR="0078232D" w:rsidRPr="00E32755" w:rsidRDefault="0078232D" w:rsidP="007923D2">
            <w:pPr>
              <w:pStyle w:val="NormalWeb"/>
              <w:jc w:val="left"/>
              <w:rPr>
                <w:sz w:val="18"/>
                <w:szCs w:val="18"/>
              </w:rPr>
            </w:pPr>
            <w:r w:rsidRPr="00E32755">
              <w:rPr>
                <w:sz w:val="18"/>
                <w:szCs w:val="18"/>
              </w:rPr>
              <w:t>By NT area of residence</w:t>
            </w:r>
          </w:p>
        </w:tc>
      </w:tr>
      <w:tr w:rsidR="0078232D" w:rsidRPr="00E32755" w14:paraId="160E3D10" w14:textId="77777777" w:rsidTr="007923D2">
        <w:tc>
          <w:tcPr>
            <w:tcW w:w="3119" w:type="dxa"/>
            <w:hideMark/>
          </w:tcPr>
          <w:p w14:paraId="570ACEC1" w14:textId="77777777" w:rsidR="0078232D" w:rsidRPr="00E32755" w:rsidRDefault="0078232D" w:rsidP="007923D2">
            <w:pPr>
              <w:pStyle w:val="NormalWeb"/>
              <w:jc w:val="left"/>
              <w:rPr>
                <w:sz w:val="18"/>
                <w:szCs w:val="18"/>
              </w:rPr>
            </w:pPr>
            <w:r w:rsidRPr="00E32755">
              <w:rPr>
                <w:sz w:val="18"/>
                <w:szCs w:val="18"/>
              </w:rPr>
              <w:t>Darwin urban</w:t>
            </w:r>
          </w:p>
        </w:tc>
        <w:tc>
          <w:tcPr>
            <w:tcW w:w="2266" w:type="dxa"/>
            <w:hideMark/>
          </w:tcPr>
          <w:p w14:paraId="54AA9F06" w14:textId="77777777" w:rsidR="0078232D" w:rsidRPr="00E32755" w:rsidRDefault="0078232D" w:rsidP="007923D2">
            <w:pPr>
              <w:pStyle w:val="NormalWeb"/>
              <w:rPr>
                <w:sz w:val="18"/>
                <w:szCs w:val="18"/>
              </w:rPr>
            </w:pPr>
            <w:r w:rsidRPr="00E32755">
              <w:rPr>
                <w:sz w:val="18"/>
                <w:szCs w:val="18"/>
              </w:rPr>
              <w:t>27.3</w:t>
            </w:r>
          </w:p>
        </w:tc>
        <w:tc>
          <w:tcPr>
            <w:tcW w:w="1530" w:type="dxa"/>
            <w:hideMark/>
          </w:tcPr>
          <w:p w14:paraId="30A38C03" w14:textId="77777777" w:rsidR="0078232D" w:rsidRPr="00E32755" w:rsidRDefault="0078232D" w:rsidP="007923D2">
            <w:pPr>
              <w:pStyle w:val="NormalWeb"/>
              <w:rPr>
                <w:sz w:val="18"/>
                <w:szCs w:val="18"/>
              </w:rPr>
            </w:pPr>
            <w:r w:rsidRPr="00E32755">
              <w:rPr>
                <w:sz w:val="18"/>
                <w:szCs w:val="18"/>
              </w:rPr>
              <w:t>1,498</w:t>
            </w:r>
          </w:p>
        </w:tc>
        <w:tc>
          <w:tcPr>
            <w:tcW w:w="1307" w:type="dxa"/>
            <w:hideMark/>
          </w:tcPr>
          <w:p w14:paraId="0D3F18F9" w14:textId="77777777" w:rsidR="0078232D" w:rsidRPr="00E32755" w:rsidRDefault="0078232D" w:rsidP="007923D2">
            <w:pPr>
              <w:pStyle w:val="NormalWeb"/>
              <w:rPr>
                <w:sz w:val="18"/>
                <w:szCs w:val="18"/>
              </w:rPr>
            </w:pPr>
            <w:r w:rsidRPr="00E32755">
              <w:rPr>
                <w:sz w:val="18"/>
                <w:szCs w:val="18"/>
              </w:rPr>
              <w:t>6</w:t>
            </w:r>
          </w:p>
        </w:tc>
        <w:tc>
          <w:tcPr>
            <w:tcW w:w="1158" w:type="dxa"/>
            <w:hideMark/>
          </w:tcPr>
          <w:p w14:paraId="48ADBFAE" w14:textId="77777777" w:rsidR="0078232D" w:rsidRPr="00E32755" w:rsidRDefault="0078232D" w:rsidP="007923D2">
            <w:pPr>
              <w:pStyle w:val="NormalWeb"/>
              <w:rPr>
                <w:sz w:val="18"/>
                <w:szCs w:val="18"/>
              </w:rPr>
            </w:pPr>
            <w:r w:rsidRPr="00E32755">
              <w:rPr>
                <w:sz w:val="18"/>
                <w:szCs w:val="18"/>
              </w:rPr>
              <w:t>0.4%</w:t>
            </w:r>
          </w:p>
        </w:tc>
        <w:tc>
          <w:tcPr>
            <w:tcW w:w="1086" w:type="dxa"/>
            <w:hideMark/>
          </w:tcPr>
          <w:p w14:paraId="4C9F4B08" w14:textId="77777777" w:rsidR="0078232D" w:rsidRPr="00E32755" w:rsidRDefault="0078232D" w:rsidP="007923D2">
            <w:pPr>
              <w:pStyle w:val="NormalWeb"/>
              <w:rPr>
                <w:sz w:val="18"/>
                <w:szCs w:val="18"/>
              </w:rPr>
            </w:pPr>
            <w:r w:rsidRPr="00E32755">
              <w:rPr>
                <w:sz w:val="18"/>
                <w:szCs w:val="18"/>
              </w:rPr>
              <w:t>0.2–1.0</w:t>
            </w:r>
          </w:p>
        </w:tc>
      </w:tr>
      <w:tr w:rsidR="0078232D" w:rsidRPr="00E32755" w14:paraId="10FBF026" w14:textId="77777777" w:rsidTr="007923D2">
        <w:trPr>
          <w:cnfStyle w:val="000000010000" w:firstRow="0" w:lastRow="0" w:firstColumn="0" w:lastColumn="0" w:oddVBand="0" w:evenVBand="0" w:oddHBand="0" w:evenHBand="1" w:firstRowFirstColumn="0" w:firstRowLastColumn="0" w:lastRowFirstColumn="0" w:lastRowLastColumn="0"/>
        </w:trPr>
        <w:tc>
          <w:tcPr>
            <w:tcW w:w="3119" w:type="dxa"/>
            <w:hideMark/>
          </w:tcPr>
          <w:p w14:paraId="3B494968" w14:textId="77777777" w:rsidR="0078232D" w:rsidRPr="00E32755" w:rsidRDefault="0078232D" w:rsidP="007923D2">
            <w:pPr>
              <w:pStyle w:val="NormalWeb"/>
              <w:jc w:val="left"/>
              <w:rPr>
                <w:sz w:val="18"/>
                <w:szCs w:val="18"/>
              </w:rPr>
            </w:pPr>
            <w:r w:rsidRPr="00E32755">
              <w:rPr>
                <w:sz w:val="18"/>
                <w:szCs w:val="18"/>
              </w:rPr>
              <w:t>Darwin rural</w:t>
            </w:r>
          </w:p>
        </w:tc>
        <w:tc>
          <w:tcPr>
            <w:tcW w:w="2266" w:type="dxa"/>
            <w:hideMark/>
          </w:tcPr>
          <w:p w14:paraId="0591F646" w14:textId="77777777" w:rsidR="0078232D" w:rsidRPr="00E32755" w:rsidRDefault="0078232D" w:rsidP="007923D2">
            <w:pPr>
              <w:pStyle w:val="NormalWeb"/>
              <w:rPr>
                <w:sz w:val="18"/>
                <w:szCs w:val="18"/>
              </w:rPr>
            </w:pPr>
            <w:r w:rsidRPr="00E32755">
              <w:rPr>
                <w:sz w:val="18"/>
                <w:szCs w:val="18"/>
              </w:rPr>
              <w:t>25.9</w:t>
            </w:r>
          </w:p>
        </w:tc>
        <w:tc>
          <w:tcPr>
            <w:tcW w:w="1530" w:type="dxa"/>
            <w:hideMark/>
          </w:tcPr>
          <w:p w14:paraId="4BA18697" w14:textId="77777777" w:rsidR="0078232D" w:rsidRPr="00E32755" w:rsidRDefault="0078232D" w:rsidP="007923D2">
            <w:pPr>
              <w:pStyle w:val="NormalWeb"/>
              <w:rPr>
                <w:sz w:val="18"/>
                <w:szCs w:val="18"/>
              </w:rPr>
            </w:pPr>
            <w:r w:rsidRPr="00E32755">
              <w:rPr>
                <w:sz w:val="18"/>
                <w:szCs w:val="18"/>
              </w:rPr>
              <w:t>1,609</w:t>
            </w:r>
          </w:p>
        </w:tc>
        <w:tc>
          <w:tcPr>
            <w:tcW w:w="1307" w:type="dxa"/>
            <w:hideMark/>
          </w:tcPr>
          <w:p w14:paraId="0EB51A50" w14:textId="77777777" w:rsidR="0078232D" w:rsidRPr="00E32755" w:rsidRDefault="0078232D" w:rsidP="007923D2">
            <w:pPr>
              <w:pStyle w:val="NormalWeb"/>
              <w:rPr>
                <w:sz w:val="18"/>
                <w:szCs w:val="18"/>
              </w:rPr>
            </w:pPr>
            <w:r w:rsidRPr="00E32755">
              <w:rPr>
                <w:sz w:val="18"/>
                <w:szCs w:val="18"/>
              </w:rPr>
              <w:t>32</w:t>
            </w:r>
          </w:p>
        </w:tc>
        <w:tc>
          <w:tcPr>
            <w:tcW w:w="1158" w:type="dxa"/>
            <w:hideMark/>
          </w:tcPr>
          <w:p w14:paraId="54BF1F2A" w14:textId="77777777" w:rsidR="0078232D" w:rsidRPr="00E32755" w:rsidRDefault="0078232D" w:rsidP="007923D2">
            <w:pPr>
              <w:pStyle w:val="NormalWeb"/>
              <w:rPr>
                <w:sz w:val="18"/>
                <w:szCs w:val="18"/>
              </w:rPr>
            </w:pPr>
            <w:r w:rsidRPr="00E32755">
              <w:rPr>
                <w:sz w:val="18"/>
                <w:szCs w:val="18"/>
              </w:rPr>
              <w:t>2.0%</w:t>
            </w:r>
          </w:p>
        </w:tc>
        <w:tc>
          <w:tcPr>
            <w:tcW w:w="1086" w:type="dxa"/>
            <w:hideMark/>
          </w:tcPr>
          <w:p w14:paraId="431B7FA0" w14:textId="77777777" w:rsidR="0078232D" w:rsidRPr="00E32755" w:rsidRDefault="0078232D" w:rsidP="007923D2">
            <w:pPr>
              <w:pStyle w:val="NormalWeb"/>
              <w:rPr>
                <w:sz w:val="18"/>
                <w:szCs w:val="18"/>
              </w:rPr>
            </w:pPr>
            <w:r w:rsidRPr="00E32755">
              <w:rPr>
                <w:sz w:val="18"/>
                <w:szCs w:val="18"/>
              </w:rPr>
              <w:t>1.4–2.9</w:t>
            </w:r>
          </w:p>
        </w:tc>
      </w:tr>
      <w:tr w:rsidR="0078232D" w:rsidRPr="00E32755" w14:paraId="5BBF30D0" w14:textId="77777777" w:rsidTr="007923D2">
        <w:tc>
          <w:tcPr>
            <w:tcW w:w="3119" w:type="dxa"/>
            <w:hideMark/>
          </w:tcPr>
          <w:p w14:paraId="2C389F2C" w14:textId="77777777" w:rsidR="0078232D" w:rsidRPr="00E32755" w:rsidRDefault="0078232D" w:rsidP="007923D2">
            <w:pPr>
              <w:pStyle w:val="NormalWeb"/>
              <w:jc w:val="left"/>
              <w:rPr>
                <w:sz w:val="18"/>
                <w:szCs w:val="18"/>
              </w:rPr>
            </w:pPr>
            <w:r w:rsidRPr="00E32755">
              <w:rPr>
                <w:sz w:val="18"/>
                <w:szCs w:val="18"/>
              </w:rPr>
              <w:t>Katherine</w:t>
            </w:r>
          </w:p>
        </w:tc>
        <w:tc>
          <w:tcPr>
            <w:tcW w:w="2266" w:type="dxa"/>
            <w:hideMark/>
          </w:tcPr>
          <w:p w14:paraId="133F2BC3" w14:textId="77777777" w:rsidR="0078232D" w:rsidRPr="00E32755" w:rsidRDefault="0078232D" w:rsidP="007923D2">
            <w:pPr>
              <w:pStyle w:val="NormalWeb"/>
              <w:rPr>
                <w:sz w:val="18"/>
                <w:szCs w:val="18"/>
              </w:rPr>
            </w:pPr>
            <w:r w:rsidRPr="00E32755">
              <w:rPr>
                <w:sz w:val="18"/>
                <w:szCs w:val="18"/>
              </w:rPr>
              <w:t>26.1</w:t>
            </w:r>
          </w:p>
        </w:tc>
        <w:tc>
          <w:tcPr>
            <w:tcW w:w="1530" w:type="dxa"/>
            <w:hideMark/>
          </w:tcPr>
          <w:p w14:paraId="797E83F8" w14:textId="77777777" w:rsidR="0078232D" w:rsidRPr="00E32755" w:rsidRDefault="0078232D" w:rsidP="007923D2">
            <w:pPr>
              <w:pStyle w:val="NormalWeb"/>
              <w:rPr>
                <w:sz w:val="18"/>
                <w:szCs w:val="18"/>
              </w:rPr>
            </w:pPr>
            <w:r w:rsidRPr="00E32755">
              <w:rPr>
                <w:sz w:val="18"/>
                <w:szCs w:val="18"/>
              </w:rPr>
              <w:t>1,506</w:t>
            </w:r>
          </w:p>
        </w:tc>
        <w:tc>
          <w:tcPr>
            <w:tcW w:w="1307" w:type="dxa"/>
            <w:hideMark/>
          </w:tcPr>
          <w:p w14:paraId="0599C0C7" w14:textId="77777777" w:rsidR="0078232D" w:rsidRPr="00E32755" w:rsidRDefault="0078232D" w:rsidP="007923D2">
            <w:pPr>
              <w:pStyle w:val="NormalWeb"/>
              <w:rPr>
                <w:sz w:val="18"/>
                <w:szCs w:val="18"/>
              </w:rPr>
            </w:pPr>
            <w:r w:rsidRPr="00E32755">
              <w:rPr>
                <w:sz w:val="18"/>
                <w:szCs w:val="18"/>
              </w:rPr>
              <w:t>20</w:t>
            </w:r>
          </w:p>
        </w:tc>
        <w:tc>
          <w:tcPr>
            <w:tcW w:w="1158" w:type="dxa"/>
            <w:hideMark/>
          </w:tcPr>
          <w:p w14:paraId="7685332F" w14:textId="77777777" w:rsidR="0078232D" w:rsidRPr="00E32755" w:rsidRDefault="0078232D" w:rsidP="007923D2">
            <w:pPr>
              <w:pStyle w:val="NormalWeb"/>
              <w:rPr>
                <w:sz w:val="18"/>
                <w:szCs w:val="18"/>
              </w:rPr>
            </w:pPr>
            <w:r w:rsidRPr="00E32755">
              <w:rPr>
                <w:sz w:val="18"/>
                <w:szCs w:val="18"/>
              </w:rPr>
              <w:t>1.3%</w:t>
            </w:r>
          </w:p>
        </w:tc>
        <w:tc>
          <w:tcPr>
            <w:tcW w:w="1086" w:type="dxa"/>
            <w:hideMark/>
          </w:tcPr>
          <w:p w14:paraId="6F09884F" w14:textId="77777777" w:rsidR="0078232D" w:rsidRPr="00E32755" w:rsidRDefault="0078232D" w:rsidP="007923D2">
            <w:pPr>
              <w:pStyle w:val="NormalWeb"/>
              <w:rPr>
                <w:sz w:val="18"/>
                <w:szCs w:val="18"/>
              </w:rPr>
            </w:pPr>
            <w:r w:rsidRPr="00E32755">
              <w:rPr>
                <w:sz w:val="18"/>
                <w:szCs w:val="18"/>
              </w:rPr>
              <w:t>0.8–2.0</w:t>
            </w:r>
          </w:p>
        </w:tc>
      </w:tr>
      <w:tr w:rsidR="0078232D" w:rsidRPr="00E32755" w14:paraId="331B61F8" w14:textId="77777777" w:rsidTr="007923D2">
        <w:trPr>
          <w:cnfStyle w:val="000000010000" w:firstRow="0" w:lastRow="0" w:firstColumn="0" w:lastColumn="0" w:oddVBand="0" w:evenVBand="0" w:oddHBand="0" w:evenHBand="1" w:firstRowFirstColumn="0" w:firstRowLastColumn="0" w:lastRowFirstColumn="0" w:lastRowLastColumn="0"/>
        </w:trPr>
        <w:tc>
          <w:tcPr>
            <w:tcW w:w="3119" w:type="dxa"/>
            <w:hideMark/>
          </w:tcPr>
          <w:p w14:paraId="50C08DFA" w14:textId="77777777" w:rsidR="0078232D" w:rsidRPr="00E32755" w:rsidRDefault="0078232D" w:rsidP="007923D2">
            <w:pPr>
              <w:pStyle w:val="NormalWeb"/>
              <w:jc w:val="left"/>
              <w:rPr>
                <w:sz w:val="18"/>
                <w:szCs w:val="18"/>
              </w:rPr>
            </w:pPr>
            <w:r w:rsidRPr="00E32755">
              <w:rPr>
                <w:sz w:val="18"/>
                <w:szCs w:val="18"/>
              </w:rPr>
              <w:t>East Arnhem</w:t>
            </w:r>
          </w:p>
        </w:tc>
        <w:tc>
          <w:tcPr>
            <w:tcW w:w="2266" w:type="dxa"/>
            <w:hideMark/>
          </w:tcPr>
          <w:p w14:paraId="061397AD" w14:textId="77777777" w:rsidR="0078232D" w:rsidRPr="00E32755" w:rsidRDefault="0078232D" w:rsidP="007923D2">
            <w:pPr>
              <w:pStyle w:val="NormalWeb"/>
              <w:rPr>
                <w:sz w:val="18"/>
                <w:szCs w:val="18"/>
              </w:rPr>
            </w:pPr>
            <w:r w:rsidRPr="00E32755">
              <w:rPr>
                <w:sz w:val="18"/>
                <w:szCs w:val="18"/>
              </w:rPr>
              <w:t>25.8</w:t>
            </w:r>
          </w:p>
        </w:tc>
        <w:tc>
          <w:tcPr>
            <w:tcW w:w="1530" w:type="dxa"/>
            <w:hideMark/>
          </w:tcPr>
          <w:p w14:paraId="38AE71E2" w14:textId="77777777" w:rsidR="0078232D" w:rsidRPr="00E32755" w:rsidRDefault="0078232D" w:rsidP="007923D2">
            <w:pPr>
              <w:pStyle w:val="NormalWeb"/>
              <w:rPr>
                <w:sz w:val="18"/>
                <w:szCs w:val="18"/>
              </w:rPr>
            </w:pPr>
            <w:r w:rsidRPr="00E32755">
              <w:rPr>
                <w:sz w:val="18"/>
                <w:szCs w:val="18"/>
              </w:rPr>
              <w:t>1,240</w:t>
            </w:r>
          </w:p>
        </w:tc>
        <w:tc>
          <w:tcPr>
            <w:tcW w:w="1307" w:type="dxa"/>
            <w:hideMark/>
          </w:tcPr>
          <w:p w14:paraId="1753C11F" w14:textId="77777777" w:rsidR="0078232D" w:rsidRPr="00E32755" w:rsidRDefault="0078232D" w:rsidP="007923D2">
            <w:pPr>
              <w:pStyle w:val="NormalWeb"/>
              <w:rPr>
                <w:sz w:val="18"/>
                <w:szCs w:val="18"/>
              </w:rPr>
            </w:pPr>
            <w:r w:rsidRPr="00E32755">
              <w:rPr>
                <w:sz w:val="18"/>
                <w:szCs w:val="18"/>
              </w:rPr>
              <w:t>50</w:t>
            </w:r>
          </w:p>
        </w:tc>
        <w:tc>
          <w:tcPr>
            <w:tcW w:w="1158" w:type="dxa"/>
            <w:hideMark/>
          </w:tcPr>
          <w:p w14:paraId="032489D3" w14:textId="77777777" w:rsidR="0078232D" w:rsidRPr="00E32755" w:rsidRDefault="0078232D" w:rsidP="007923D2">
            <w:pPr>
              <w:pStyle w:val="NormalWeb"/>
              <w:rPr>
                <w:sz w:val="18"/>
                <w:szCs w:val="18"/>
              </w:rPr>
            </w:pPr>
            <w:r w:rsidRPr="00E32755">
              <w:rPr>
                <w:sz w:val="18"/>
                <w:szCs w:val="18"/>
              </w:rPr>
              <w:t>4.0%</w:t>
            </w:r>
          </w:p>
        </w:tc>
        <w:tc>
          <w:tcPr>
            <w:tcW w:w="1086" w:type="dxa"/>
            <w:hideMark/>
          </w:tcPr>
          <w:p w14:paraId="2BC802AD" w14:textId="77777777" w:rsidR="0078232D" w:rsidRPr="00E32755" w:rsidRDefault="0078232D" w:rsidP="007923D2">
            <w:pPr>
              <w:pStyle w:val="NormalWeb"/>
              <w:rPr>
                <w:sz w:val="18"/>
                <w:szCs w:val="18"/>
              </w:rPr>
            </w:pPr>
            <w:r w:rsidRPr="00E32755">
              <w:rPr>
                <w:sz w:val="18"/>
                <w:szCs w:val="18"/>
              </w:rPr>
              <w:t>3.0–5.3</w:t>
            </w:r>
          </w:p>
        </w:tc>
      </w:tr>
      <w:tr w:rsidR="0078232D" w:rsidRPr="00E32755" w14:paraId="72AF88C9" w14:textId="77777777" w:rsidTr="007923D2">
        <w:tc>
          <w:tcPr>
            <w:tcW w:w="3119" w:type="dxa"/>
            <w:hideMark/>
          </w:tcPr>
          <w:p w14:paraId="3C8A3DA3" w14:textId="77777777" w:rsidR="0078232D" w:rsidRPr="00E32755" w:rsidRDefault="0078232D" w:rsidP="007923D2">
            <w:pPr>
              <w:pStyle w:val="NormalWeb"/>
              <w:jc w:val="left"/>
              <w:rPr>
                <w:sz w:val="18"/>
                <w:szCs w:val="18"/>
              </w:rPr>
            </w:pPr>
            <w:r w:rsidRPr="00E32755">
              <w:rPr>
                <w:sz w:val="18"/>
                <w:szCs w:val="18"/>
              </w:rPr>
              <w:t>Barkly</w:t>
            </w:r>
          </w:p>
        </w:tc>
        <w:tc>
          <w:tcPr>
            <w:tcW w:w="2266" w:type="dxa"/>
            <w:hideMark/>
          </w:tcPr>
          <w:p w14:paraId="1E6B6830" w14:textId="77777777" w:rsidR="0078232D" w:rsidRPr="00E32755" w:rsidRDefault="0078232D" w:rsidP="007923D2">
            <w:pPr>
              <w:pStyle w:val="NormalWeb"/>
              <w:rPr>
                <w:sz w:val="18"/>
                <w:szCs w:val="18"/>
              </w:rPr>
            </w:pPr>
            <w:r w:rsidRPr="00E32755">
              <w:rPr>
                <w:sz w:val="18"/>
                <w:szCs w:val="18"/>
              </w:rPr>
              <w:t>25.8</w:t>
            </w:r>
          </w:p>
        </w:tc>
        <w:tc>
          <w:tcPr>
            <w:tcW w:w="1530" w:type="dxa"/>
            <w:hideMark/>
          </w:tcPr>
          <w:p w14:paraId="1988C857" w14:textId="77777777" w:rsidR="0078232D" w:rsidRPr="00E32755" w:rsidRDefault="0078232D" w:rsidP="007923D2">
            <w:pPr>
              <w:pStyle w:val="NormalWeb"/>
              <w:rPr>
                <w:sz w:val="18"/>
                <w:szCs w:val="18"/>
              </w:rPr>
            </w:pPr>
            <w:r w:rsidRPr="00E32755">
              <w:rPr>
                <w:sz w:val="18"/>
                <w:szCs w:val="18"/>
              </w:rPr>
              <w:t>577</w:t>
            </w:r>
          </w:p>
        </w:tc>
        <w:tc>
          <w:tcPr>
            <w:tcW w:w="1307" w:type="dxa"/>
            <w:hideMark/>
          </w:tcPr>
          <w:p w14:paraId="2F7A6F59" w14:textId="77777777" w:rsidR="0078232D" w:rsidRPr="00E32755" w:rsidRDefault="0078232D" w:rsidP="007923D2">
            <w:pPr>
              <w:pStyle w:val="NormalWeb"/>
              <w:rPr>
                <w:sz w:val="18"/>
                <w:szCs w:val="18"/>
              </w:rPr>
            </w:pPr>
            <w:r w:rsidRPr="00E32755">
              <w:rPr>
                <w:sz w:val="18"/>
                <w:szCs w:val="18"/>
              </w:rPr>
              <w:t>&lt; 5</w:t>
            </w:r>
          </w:p>
        </w:tc>
        <w:tc>
          <w:tcPr>
            <w:tcW w:w="1158" w:type="dxa"/>
            <w:hideMark/>
          </w:tcPr>
          <w:p w14:paraId="070E7696" w14:textId="77777777" w:rsidR="0078232D" w:rsidRPr="00E32755" w:rsidRDefault="0078232D" w:rsidP="007923D2">
            <w:pPr>
              <w:pStyle w:val="NormalWeb"/>
              <w:rPr>
                <w:sz w:val="18"/>
                <w:szCs w:val="18"/>
              </w:rPr>
            </w:pPr>
            <w:r w:rsidRPr="00E32755">
              <w:rPr>
                <w:sz w:val="18"/>
                <w:szCs w:val="18"/>
              </w:rPr>
              <w:t>&lt; 2.0%</w:t>
            </w:r>
          </w:p>
        </w:tc>
        <w:tc>
          <w:tcPr>
            <w:tcW w:w="1086" w:type="dxa"/>
            <w:hideMark/>
          </w:tcPr>
          <w:p w14:paraId="50E81662" w14:textId="77777777" w:rsidR="0078232D" w:rsidRPr="00E32755" w:rsidRDefault="0078232D" w:rsidP="007923D2">
            <w:pPr>
              <w:pStyle w:val="NormalWeb"/>
              <w:rPr>
                <w:sz w:val="18"/>
                <w:szCs w:val="18"/>
              </w:rPr>
            </w:pPr>
            <w:r w:rsidRPr="00E32755">
              <w:rPr>
                <w:sz w:val="18"/>
                <w:szCs w:val="18"/>
              </w:rPr>
              <w:t>0.2–1.9</w:t>
            </w:r>
          </w:p>
        </w:tc>
      </w:tr>
      <w:tr w:rsidR="0078232D" w:rsidRPr="00E32755" w14:paraId="0C54F1B3" w14:textId="77777777" w:rsidTr="007923D2">
        <w:trPr>
          <w:cnfStyle w:val="000000010000" w:firstRow="0" w:lastRow="0" w:firstColumn="0" w:lastColumn="0" w:oddVBand="0" w:evenVBand="0" w:oddHBand="0" w:evenHBand="1" w:firstRowFirstColumn="0" w:firstRowLastColumn="0" w:lastRowFirstColumn="0" w:lastRowLastColumn="0"/>
        </w:trPr>
        <w:tc>
          <w:tcPr>
            <w:tcW w:w="3119" w:type="dxa"/>
            <w:hideMark/>
          </w:tcPr>
          <w:p w14:paraId="531F8965" w14:textId="77777777" w:rsidR="0078232D" w:rsidRPr="00E32755" w:rsidRDefault="0078232D" w:rsidP="007923D2">
            <w:pPr>
              <w:pStyle w:val="NormalWeb"/>
              <w:jc w:val="left"/>
              <w:rPr>
                <w:sz w:val="18"/>
                <w:szCs w:val="18"/>
              </w:rPr>
            </w:pPr>
            <w:r w:rsidRPr="00E32755">
              <w:rPr>
                <w:sz w:val="18"/>
                <w:szCs w:val="18"/>
              </w:rPr>
              <w:t>Alice Springs urban</w:t>
            </w:r>
          </w:p>
        </w:tc>
        <w:tc>
          <w:tcPr>
            <w:tcW w:w="2266" w:type="dxa"/>
            <w:hideMark/>
          </w:tcPr>
          <w:p w14:paraId="7BE6C3A0" w14:textId="77777777" w:rsidR="0078232D" w:rsidRPr="00E32755" w:rsidRDefault="0078232D" w:rsidP="007923D2">
            <w:pPr>
              <w:pStyle w:val="NormalWeb"/>
              <w:rPr>
                <w:sz w:val="18"/>
                <w:szCs w:val="18"/>
              </w:rPr>
            </w:pPr>
            <w:r w:rsidRPr="00E32755">
              <w:rPr>
                <w:sz w:val="18"/>
                <w:szCs w:val="18"/>
              </w:rPr>
              <w:t>26.9</w:t>
            </w:r>
          </w:p>
        </w:tc>
        <w:tc>
          <w:tcPr>
            <w:tcW w:w="1530" w:type="dxa"/>
            <w:hideMark/>
          </w:tcPr>
          <w:p w14:paraId="5EEBCC75" w14:textId="77777777" w:rsidR="0078232D" w:rsidRPr="00E32755" w:rsidRDefault="0078232D" w:rsidP="007923D2">
            <w:pPr>
              <w:pStyle w:val="NormalWeb"/>
              <w:rPr>
                <w:sz w:val="18"/>
                <w:szCs w:val="18"/>
              </w:rPr>
            </w:pPr>
            <w:r w:rsidRPr="00E32755">
              <w:rPr>
                <w:sz w:val="18"/>
                <w:szCs w:val="18"/>
              </w:rPr>
              <w:t>849</w:t>
            </w:r>
          </w:p>
        </w:tc>
        <w:tc>
          <w:tcPr>
            <w:tcW w:w="1307" w:type="dxa"/>
            <w:hideMark/>
          </w:tcPr>
          <w:p w14:paraId="170F7DBF" w14:textId="77777777" w:rsidR="0078232D" w:rsidRPr="00E32755" w:rsidRDefault="0078232D" w:rsidP="007923D2">
            <w:pPr>
              <w:pStyle w:val="NormalWeb"/>
              <w:rPr>
                <w:sz w:val="18"/>
                <w:szCs w:val="18"/>
              </w:rPr>
            </w:pPr>
            <w:r w:rsidRPr="00E32755">
              <w:rPr>
                <w:sz w:val="18"/>
                <w:szCs w:val="18"/>
              </w:rPr>
              <w:t>7</w:t>
            </w:r>
          </w:p>
        </w:tc>
        <w:tc>
          <w:tcPr>
            <w:tcW w:w="1158" w:type="dxa"/>
            <w:hideMark/>
          </w:tcPr>
          <w:p w14:paraId="4857C8AD" w14:textId="77777777" w:rsidR="0078232D" w:rsidRPr="00E32755" w:rsidRDefault="0078232D" w:rsidP="007923D2">
            <w:pPr>
              <w:pStyle w:val="NormalWeb"/>
              <w:rPr>
                <w:sz w:val="18"/>
                <w:szCs w:val="18"/>
              </w:rPr>
            </w:pPr>
            <w:r w:rsidRPr="00E32755">
              <w:rPr>
                <w:sz w:val="18"/>
                <w:szCs w:val="18"/>
              </w:rPr>
              <w:t>0.8%</w:t>
            </w:r>
          </w:p>
        </w:tc>
        <w:tc>
          <w:tcPr>
            <w:tcW w:w="1086" w:type="dxa"/>
            <w:hideMark/>
          </w:tcPr>
          <w:p w14:paraId="6ABA68D7" w14:textId="77777777" w:rsidR="0078232D" w:rsidRPr="00E32755" w:rsidRDefault="0078232D" w:rsidP="007923D2">
            <w:pPr>
              <w:pStyle w:val="NormalWeb"/>
              <w:rPr>
                <w:sz w:val="18"/>
                <w:szCs w:val="18"/>
              </w:rPr>
            </w:pPr>
            <w:r w:rsidRPr="00E32755">
              <w:rPr>
                <w:sz w:val="18"/>
                <w:szCs w:val="18"/>
              </w:rPr>
              <w:t>0.3–1.7</w:t>
            </w:r>
          </w:p>
        </w:tc>
      </w:tr>
      <w:tr w:rsidR="0078232D" w:rsidRPr="00E32755" w14:paraId="3993BCC1" w14:textId="77777777" w:rsidTr="007923D2">
        <w:tc>
          <w:tcPr>
            <w:tcW w:w="3119" w:type="dxa"/>
            <w:hideMark/>
          </w:tcPr>
          <w:p w14:paraId="31C92197" w14:textId="77777777" w:rsidR="0078232D" w:rsidRPr="00E32755" w:rsidRDefault="0078232D" w:rsidP="007923D2">
            <w:pPr>
              <w:pStyle w:val="NormalWeb"/>
              <w:jc w:val="left"/>
              <w:rPr>
                <w:sz w:val="18"/>
                <w:szCs w:val="18"/>
              </w:rPr>
            </w:pPr>
            <w:r w:rsidRPr="00E32755">
              <w:rPr>
                <w:sz w:val="18"/>
                <w:szCs w:val="18"/>
              </w:rPr>
              <w:t>Alice Springs rural</w:t>
            </w:r>
          </w:p>
        </w:tc>
        <w:tc>
          <w:tcPr>
            <w:tcW w:w="2266" w:type="dxa"/>
            <w:hideMark/>
          </w:tcPr>
          <w:p w14:paraId="0C1A753A" w14:textId="77777777" w:rsidR="0078232D" w:rsidRPr="00E32755" w:rsidRDefault="0078232D" w:rsidP="007923D2">
            <w:pPr>
              <w:pStyle w:val="NormalWeb"/>
              <w:rPr>
                <w:sz w:val="18"/>
                <w:szCs w:val="18"/>
              </w:rPr>
            </w:pPr>
            <w:r w:rsidRPr="00E32755">
              <w:rPr>
                <w:sz w:val="18"/>
                <w:szCs w:val="18"/>
              </w:rPr>
              <w:t>25.6</w:t>
            </w:r>
          </w:p>
        </w:tc>
        <w:tc>
          <w:tcPr>
            <w:tcW w:w="1530" w:type="dxa"/>
            <w:hideMark/>
          </w:tcPr>
          <w:p w14:paraId="6E0FDD9A" w14:textId="77777777" w:rsidR="0078232D" w:rsidRPr="00E32755" w:rsidRDefault="0078232D" w:rsidP="007923D2">
            <w:pPr>
              <w:pStyle w:val="NormalWeb"/>
              <w:rPr>
                <w:sz w:val="18"/>
                <w:szCs w:val="18"/>
              </w:rPr>
            </w:pPr>
            <w:r w:rsidRPr="00E32755">
              <w:rPr>
                <w:sz w:val="18"/>
                <w:szCs w:val="18"/>
              </w:rPr>
              <w:t>1,270</w:t>
            </w:r>
          </w:p>
        </w:tc>
        <w:tc>
          <w:tcPr>
            <w:tcW w:w="1307" w:type="dxa"/>
            <w:hideMark/>
          </w:tcPr>
          <w:p w14:paraId="71B54B3D" w14:textId="77777777" w:rsidR="0078232D" w:rsidRPr="00E32755" w:rsidRDefault="0078232D" w:rsidP="007923D2">
            <w:pPr>
              <w:pStyle w:val="NormalWeb"/>
              <w:rPr>
                <w:sz w:val="18"/>
                <w:szCs w:val="18"/>
              </w:rPr>
            </w:pPr>
            <w:r w:rsidRPr="00E32755">
              <w:rPr>
                <w:sz w:val="18"/>
                <w:szCs w:val="18"/>
              </w:rPr>
              <w:t>30</w:t>
            </w:r>
          </w:p>
        </w:tc>
        <w:tc>
          <w:tcPr>
            <w:tcW w:w="1158" w:type="dxa"/>
            <w:hideMark/>
          </w:tcPr>
          <w:p w14:paraId="53144B62" w14:textId="77777777" w:rsidR="0078232D" w:rsidRPr="00E32755" w:rsidRDefault="0078232D" w:rsidP="007923D2">
            <w:pPr>
              <w:pStyle w:val="NormalWeb"/>
              <w:rPr>
                <w:sz w:val="18"/>
                <w:szCs w:val="18"/>
              </w:rPr>
            </w:pPr>
            <w:r w:rsidRPr="00E32755">
              <w:rPr>
                <w:sz w:val="18"/>
                <w:szCs w:val="18"/>
              </w:rPr>
              <w:t>2.4%</w:t>
            </w:r>
          </w:p>
        </w:tc>
        <w:tc>
          <w:tcPr>
            <w:tcW w:w="1086" w:type="dxa"/>
            <w:hideMark/>
          </w:tcPr>
          <w:p w14:paraId="4C9CE1EA" w14:textId="77777777" w:rsidR="0078232D" w:rsidRPr="00E32755" w:rsidRDefault="0078232D" w:rsidP="007923D2">
            <w:pPr>
              <w:pStyle w:val="NormalWeb"/>
              <w:rPr>
                <w:sz w:val="18"/>
                <w:szCs w:val="18"/>
              </w:rPr>
            </w:pPr>
            <w:r w:rsidRPr="00E32755">
              <w:rPr>
                <w:sz w:val="18"/>
                <w:szCs w:val="18"/>
              </w:rPr>
              <w:t>1.6–3.4</w:t>
            </w:r>
          </w:p>
        </w:tc>
      </w:tr>
      <w:tr w:rsidR="0078232D" w:rsidRPr="00461EFE" w14:paraId="3452F2C0" w14:textId="77777777" w:rsidTr="007923D2">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F7ECDD"/>
            <w:hideMark/>
          </w:tcPr>
          <w:p w14:paraId="73BCFD6B" w14:textId="77777777" w:rsidR="0078232D" w:rsidRPr="00461EFE" w:rsidRDefault="0078232D" w:rsidP="007923D2">
            <w:pPr>
              <w:pStyle w:val="NormalWeb"/>
              <w:jc w:val="left"/>
              <w:rPr>
                <w:b/>
                <w:bCs/>
                <w:sz w:val="18"/>
                <w:szCs w:val="18"/>
              </w:rPr>
            </w:pPr>
            <w:r w:rsidRPr="00461EFE">
              <w:rPr>
                <w:b/>
                <w:bCs/>
                <w:sz w:val="18"/>
                <w:szCs w:val="18"/>
              </w:rPr>
              <w:t>By ARIA</w:t>
            </w:r>
          </w:p>
        </w:tc>
      </w:tr>
      <w:tr w:rsidR="0078232D" w:rsidRPr="00E32755" w14:paraId="4131A585" w14:textId="77777777" w:rsidTr="007923D2">
        <w:tc>
          <w:tcPr>
            <w:tcW w:w="3119" w:type="dxa"/>
            <w:hideMark/>
          </w:tcPr>
          <w:p w14:paraId="6D377368" w14:textId="77777777" w:rsidR="0078232D" w:rsidRPr="00E32755" w:rsidRDefault="0078232D" w:rsidP="007923D2">
            <w:pPr>
              <w:pStyle w:val="NormalWeb"/>
              <w:jc w:val="left"/>
              <w:rPr>
                <w:sz w:val="18"/>
                <w:szCs w:val="18"/>
              </w:rPr>
            </w:pPr>
            <w:r w:rsidRPr="00E32755">
              <w:rPr>
                <w:sz w:val="18"/>
                <w:szCs w:val="18"/>
              </w:rPr>
              <w:t>Outer regional</w:t>
            </w:r>
          </w:p>
        </w:tc>
        <w:tc>
          <w:tcPr>
            <w:tcW w:w="2266" w:type="dxa"/>
            <w:hideMark/>
          </w:tcPr>
          <w:p w14:paraId="03535DD0" w14:textId="77777777" w:rsidR="0078232D" w:rsidRPr="00E32755" w:rsidRDefault="0078232D" w:rsidP="007923D2">
            <w:pPr>
              <w:pStyle w:val="NormalWeb"/>
              <w:rPr>
                <w:sz w:val="18"/>
                <w:szCs w:val="18"/>
              </w:rPr>
            </w:pPr>
            <w:r w:rsidRPr="00E32755">
              <w:rPr>
                <w:sz w:val="18"/>
                <w:szCs w:val="18"/>
              </w:rPr>
              <w:t>27.2</w:t>
            </w:r>
          </w:p>
        </w:tc>
        <w:tc>
          <w:tcPr>
            <w:tcW w:w="1530" w:type="dxa"/>
            <w:hideMark/>
          </w:tcPr>
          <w:p w14:paraId="30429FF3" w14:textId="77777777" w:rsidR="0078232D" w:rsidRPr="00E32755" w:rsidRDefault="0078232D" w:rsidP="007923D2">
            <w:pPr>
              <w:pStyle w:val="NormalWeb"/>
              <w:rPr>
                <w:sz w:val="18"/>
                <w:szCs w:val="18"/>
              </w:rPr>
            </w:pPr>
            <w:r w:rsidRPr="00E32755">
              <w:rPr>
                <w:sz w:val="18"/>
                <w:szCs w:val="18"/>
              </w:rPr>
              <w:t>1,492</w:t>
            </w:r>
          </w:p>
        </w:tc>
        <w:tc>
          <w:tcPr>
            <w:tcW w:w="1307" w:type="dxa"/>
            <w:hideMark/>
          </w:tcPr>
          <w:p w14:paraId="06FEE747" w14:textId="77777777" w:rsidR="0078232D" w:rsidRPr="00E32755" w:rsidRDefault="0078232D" w:rsidP="007923D2">
            <w:pPr>
              <w:pStyle w:val="NormalWeb"/>
              <w:rPr>
                <w:sz w:val="18"/>
                <w:szCs w:val="18"/>
              </w:rPr>
            </w:pPr>
            <w:r w:rsidRPr="00E32755">
              <w:rPr>
                <w:sz w:val="18"/>
                <w:szCs w:val="18"/>
              </w:rPr>
              <w:t>6</w:t>
            </w:r>
          </w:p>
        </w:tc>
        <w:tc>
          <w:tcPr>
            <w:tcW w:w="1158" w:type="dxa"/>
            <w:hideMark/>
          </w:tcPr>
          <w:p w14:paraId="7BFB4989" w14:textId="77777777" w:rsidR="0078232D" w:rsidRPr="00E32755" w:rsidRDefault="0078232D" w:rsidP="007923D2">
            <w:pPr>
              <w:pStyle w:val="NormalWeb"/>
              <w:rPr>
                <w:sz w:val="18"/>
                <w:szCs w:val="18"/>
              </w:rPr>
            </w:pPr>
            <w:r w:rsidRPr="00E32755">
              <w:rPr>
                <w:sz w:val="18"/>
                <w:szCs w:val="18"/>
              </w:rPr>
              <w:t>0.4%</w:t>
            </w:r>
          </w:p>
        </w:tc>
        <w:tc>
          <w:tcPr>
            <w:tcW w:w="1086" w:type="dxa"/>
            <w:hideMark/>
          </w:tcPr>
          <w:p w14:paraId="7240F631" w14:textId="77777777" w:rsidR="0078232D" w:rsidRPr="00E32755" w:rsidRDefault="0078232D" w:rsidP="007923D2">
            <w:pPr>
              <w:pStyle w:val="NormalWeb"/>
              <w:rPr>
                <w:sz w:val="18"/>
                <w:szCs w:val="18"/>
              </w:rPr>
            </w:pPr>
            <w:r w:rsidRPr="00E32755">
              <w:rPr>
                <w:sz w:val="18"/>
                <w:szCs w:val="18"/>
              </w:rPr>
              <w:t>0.2–1.0</w:t>
            </w:r>
          </w:p>
        </w:tc>
      </w:tr>
      <w:tr w:rsidR="0078232D" w:rsidRPr="00E32755" w14:paraId="2D4A8FB6" w14:textId="77777777" w:rsidTr="009A7C54">
        <w:trPr>
          <w:cnfStyle w:val="000000010000" w:firstRow="0" w:lastRow="0" w:firstColumn="0" w:lastColumn="0" w:oddVBand="0" w:evenVBand="0" w:oddHBand="0" w:evenHBand="1" w:firstRowFirstColumn="0" w:firstRowLastColumn="0" w:lastRowFirstColumn="0" w:lastRowLastColumn="0"/>
        </w:trPr>
        <w:tc>
          <w:tcPr>
            <w:tcW w:w="3119" w:type="dxa"/>
            <w:hideMark/>
          </w:tcPr>
          <w:p w14:paraId="28A7B290" w14:textId="77777777" w:rsidR="0078232D" w:rsidRPr="00E32755" w:rsidRDefault="0078232D" w:rsidP="007923D2">
            <w:pPr>
              <w:pStyle w:val="NormalWeb"/>
              <w:jc w:val="left"/>
              <w:rPr>
                <w:sz w:val="18"/>
                <w:szCs w:val="18"/>
              </w:rPr>
            </w:pPr>
            <w:r w:rsidRPr="00E32755">
              <w:rPr>
                <w:sz w:val="18"/>
                <w:szCs w:val="18"/>
              </w:rPr>
              <w:t>Remote</w:t>
            </w:r>
          </w:p>
        </w:tc>
        <w:tc>
          <w:tcPr>
            <w:tcW w:w="2266" w:type="dxa"/>
            <w:hideMark/>
          </w:tcPr>
          <w:p w14:paraId="447A1095" w14:textId="77777777" w:rsidR="0078232D" w:rsidRPr="00E32755" w:rsidRDefault="0078232D" w:rsidP="007923D2">
            <w:pPr>
              <w:pStyle w:val="NormalWeb"/>
              <w:rPr>
                <w:sz w:val="18"/>
                <w:szCs w:val="18"/>
              </w:rPr>
            </w:pPr>
            <w:r w:rsidRPr="00E32755">
              <w:rPr>
                <w:sz w:val="18"/>
                <w:szCs w:val="18"/>
              </w:rPr>
              <w:t>26.1</w:t>
            </w:r>
          </w:p>
        </w:tc>
        <w:tc>
          <w:tcPr>
            <w:tcW w:w="1530" w:type="dxa"/>
            <w:hideMark/>
          </w:tcPr>
          <w:p w14:paraId="19DB0EE8" w14:textId="77777777" w:rsidR="0078232D" w:rsidRPr="00E32755" w:rsidRDefault="0078232D" w:rsidP="007923D2">
            <w:pPr>
              <w:pStyle w:val="NormalWeb"/>
              <w:rPr>
                <w:sz w:val="18"/>
                <w:szCs w:val="18"/>
              </w:rPr>
            </w:pPr>
            <w:r w:rsidRPr="00E32755">
              <w:rPr>
                <w:sz w:val="18"/>
                <w:szCs w:val="18"/>
              </w:rPr>
              <w:t>4,812</w:t>
            </w:r>
          </w:p>
        </w:tc>
        <w:tc>
          <w:tcPr>
            <w:tcW w:w="1307" w:type="dxa"/>
            <w:hideMark/>
          </w:tcPr>
          <w:p w14:paraId="03D7878B" w14:textId="77777777" w:rsidR="0078232D" w:rsidRPr="00E32755" w:rsidRDefault="0078232D" w:rsidP="007923D2">
            <w:pPr>
              <w:pStyle w:val="NormalWeb"/>
              <w:rPr>
                <w:sz w:val="18"/>
                <w:szCs w:val="18"/>
              </w:rPr>
            </w:pPr>
            <w:r w:rsidRPr="00E32755">
              <w:rPr>
                <w:sz w:val="18"/>
                <w:szCs w:val="18"/>
              </w:rPr>
              <w:t>90</w:t>
            </w:r>
          </w:p>
        </w:tc>
        <w:tc>
          <w:tcPr>
            <w:tcW w:w="1158" w:type="dxa"/>
            <w:hideMark/>
          </w:tcPr>
          <w:p w14:paraId="7E7787E1" w14:textId="77777777" w:rsidR="0078232D" w:rsidRPr="00E32755" w:rsidRDefault="0078232D" w:rsidP="007923D2">
            <w:pPr>
              <w:pStyle w:val="NormalWeb"/>
              <w:rPr>
                <w:sz w:val="18"/>
                <w:szCs w:val="18"/>
              </w:rPr>
            </w:pPr>
            <w:r w:rsidRPr="00E32755">
              <w:rPr>
                <w:sz w:val="18"/>
                <w:szCs w:val="18"/>
              </w:rPr>
              <w:t>1.9%</w:t>
            </w:r>
          </w:p>
        </w:tc>
        <w:tc>
          <w:tcPr>
            <w:tcW w:w="1086" w:type="dxa"/>
            <w:hideMark/>
          </w:tcPr>
          <w:p w14:paraId="4AA4BF45" w14:textId="77777777" w:rsidR="0078232D" w:rsidRPr="00E32755" w:rsidRDefault="0078232D" w:rsidP="007923D2">
            <w:pPr>
              <w:pStyle w:val="NormalWeb"/>
              <w:rPr>
                <w:sz w:val="18"/>
                <w:szCs w:val="18"/>
              </w:rPr>
            </w:pPr>
            <w:r w:rsidRPr="00E32755">
              <w:rPr>
                <w:sz w:val="18"/>
                <w:szCs w:val="18"/>
              </w:rPr>
              <w:t>1.5–2.3</w:t>
            </w:r>
          </w:p>
        </w:tc>
      </w:tr>
      <w:tr w:rsidR="0078232D" w:rsidRPr="00E32755" w14:paraId="454513BE" w14:textId="77777777" w:rsidTr="009A7C54">
        <w:tc>
          <w:tcPr>
            <w:tcW w:w="3119" w:type="dxa"/>
            <w:tcBorders>
              <w:bottom w:val="single" w:sz="2" w:space="0" w:color="808080" w:themeColor="background1" w:themeShade="80"/>
            </w:tcBorders>
            <w:hideMark/>
          </w:tcPr>
          <w:p w14:paraId="20780433" w14:textId="77777777" w:rsidR="0078232D" w:rsidRPr="00E32755" w:rsidRDefault="0078232D" w:rsidP="007923D2">
            <w:pPr>
              <w:pStyle w:val="NormalWeb"/>
              <w:jc w:val="left"/>
              <w:rPr>
                <w:sz w:val="18"/>
                <w:szCs w:val="18"/>
              </w:rPr>
            </w:pPr>
            <w:r w:rsidRPr="00E32755">
              <w:rPr>
                <w:sz w:val="18"/>
                <w:szCs w:val="18"/>
              </w:rPr>
              <w:t>Very remote</w:t>
            </w:r>
          </w:p>
        </w:tc>
        <w:tc>
          <w:tcPr>
            <w:tcW w:w="2266" w:type="dxa"/>
            <w:tcBorders>
              <w:bottom w:val="single" w:sz="2" w:space="0" w:color="808080" w:themeColor="background1" w:themeShade="80"/>
            </w:tcBorders>
            <w:hideMark/>
          </w:tcPr>
          <w:p w14:paraId="3745CC27" w14:textId="77777777" w:rsidR="0078232D" w:rsidRPr="00E32755" w:rsidRDefault="0078232D" w:rsidP="007923D2">
            <w:pPr>
              <w:pStyle w:val="NormalWeb"/>
              <w:rPr>
                <w:sz w:val="18"/>
                <w:szCs w:val="18"/>
              </w:rPr>
            </w:pPr>
            <w:r w:rsidRPr="00E32755">
              <w:rPr>
                <w:sz w:val="18"/>
                <w:szCs w:val="18"/>
              </w:rPr>
              <w:t>25.6</w:t>
            </w:r>
          </w:p>
        </w:tc>
        <w:tc>
          <w:tcPr>
            <w:tcW w:w="1530" w:type="dxa"/>
            <w:tcBorders>
              <w:bottom w:val="single" w:sz="2" w:space="0" w:color="808080" w:themeColor="background1" w:themeShade="80"/>
            </w:tcBorders>
            <w:hideMark/>
          </w:tcPr>
          <w:p w14:paraId="0BB5D3C8" w14:textId="77777777" w:rsidR="0078232D" w:rsidRPr="00E32755" w:rsidRDefault="0078232D" w:rsidP="007923D2">
            <w:pPr>
              <w:pStyle w:val="NormalWeb"/>
              <w:rPr>
                <w:sz w:val="18"/>
                <w:szCs w:val="18"/>
              </w:rPr>
            </w:pPr>
            <w:r w:rsidRPr="00E32755">
              <w:rPr>
                <w:sz w:val="18"/>
                <w:szCs w:val="18"/>
              </w:rPr>
              <w:t>2,441</w:t>
            </w:r>
          </w:p>
        </w:tc>
        <w:tc>
          <w:tcPr>
            <w:tcW w:w="1307" w:type="dxa"/>
            <w:tcBorders>
              <w:bottom w:val="single" w:sz="2" w:space="0" w:color="808080" w:themeColor="background1" w:themeShade="80"/>
            </w:tcBorders>
            <w:hideMark/>
          </w:tcPr>
          <w:p w14:paraId="598A4A70" w14:textId="77777777" w:rsidR="0078232D" w:rsidRPr="00E32755" w:rsidRDefault="0078232D" w:rsidP="007923D2">
            <w:pPr>
              <w:pStyle w:val="NormalWeb"/>
              <w:rPr>
                <w:sz w:val="18"/>
                <w:szCs w:val="18"/>
              </w:rPr>
            </w:pPr>
            <w:r w:rsidRPr="00E32755">
              <w:rPr>
                <w:sz w:val="18"/>
                <w:szCs w:val="18"/>
              </w:rPr>
              <w:t>54</w:t>
            </w:r>
          </w:p>
        </w:tc>
        <w:tc>
          <w:tcPr>
            <w:tcW w:w="1158" w:type="dxa"/>
            <w:tcBorders>
              <w:bottom w:val="single" w:sz="2" w:space="0" w:color="808080" w:themeColor="background1" w:themeShade="80"/>
            </w:tcBorders>
            <w:hideMark/>
          </w:tcPr>
          <w:p w14:paraId="2956A007" w14:textId="77777777" w:rsidR="0078232D" w:rsidRPr="00E32755" w:rsidRDefault="0078232D" w:rsidP="007923D2">
            <w:pPr>
              <w:pStyle w:val="NormalWeb"/>
              <w:rPr>
                <w:sz w:val="18"/>
                <w:szCs w:val="18"/>
              </w:rPr>
            </w:pPr>
            <w:r w:rsidRPr="00E32755">
              <w:rPr>
                <w:sz w:val="18"/>
                <w:szCs w:val="18"/>
              </w:rPr>
              <w:t>2.2%</w:t>
            </w:r>
          </w:p>
        </w:tc>
        <w:tc>
          <w:tcPr>
            <w:tcW w:w="1086" w:type="dxa"/>
            <w:tcBorders>
              <w:bottom w:val="single" w:sz="2" w:space="0" w:color="808080" w:themeColor="background1" w:themeShade="80"/>
            </w:tcBorders>
            <w:hideMark/>
          </w:tcPr>
          <w:p w14:paraId="7B45F140" w14:textId="77777777" w:rsidR="0078232D" w:rsidRPr="00E32755" w:rsidRDefault="0078232D" w:rsidP="007923D2">
            <w:pPr>
              <w:pStyle w:val="NormalWeb"/>
              <w:rPr>
                <w:sz w:val="18"/>
                <w:szCs w:val="18"/>
              </w:rPr>
            </w:pPr>
            <w:r w:rsidRPr="00E32755">
              <w:rPr>
                <w:sz w:val="18"/>
                <w:szCs w:val="18"/>
              </w:rPr>
              <w:t>1.6–2.8</w:t>
            </w:r>
          </w:p>
        </w:tc>
      </w:tr>
    </w:tbl>
    <w:p w14:paraId="7CA112CA" w14:textId="77777777" w:rsidR="0078232D" w:rsidRDefault="0078232D" w:rsidP="0071303E"/>
    <w:p w14:paraId="7B5BFC73" w14:textId="77777777" w:rsidR="00D51C1A" w:rsidRDefault="00D51C1A" w:rsidP="0071303E">
      <w:r>
        <w:t xml:space="preserve">Table 3 shows the prevalence of HBV in Aboriginal and Torres Strait Islander birthing mothers by birth cohorts, categorised according to their </w:t>
      </w:r>
      <w:proofErr w:type="gramStart"/>
      <w:r>
        <w:t>likely exposure</w:t>
      </w:r>
      <w:proofErr w:type="gramEnd"/>
      <w:r>
        <w:t xml:space="preserve"> to vaccination programs. HBV prevalence was highest in those born prior to availability of the vaccine in 1982, at 3.1% (95% CI: 2.5–3.8%). Prevalence decreased over time to 1.8% (95% </w:t>
      </w:r>
      <w:r>
        <w:lastRenderedPageBreak/>
        <w:t>CI: 1.4–2.4%) for those born in 1982–1988 (adjusted odds ratio [</w:t>
      </w:r>
      <w:proofErr w:type="spellStart"/>
      <w:r>
        <w:t>aOR</w:t>
      </w:r>
      <w:proofErr w:type="spellEnd"/>
      <w:r>
        <w:t>]: 0.54; 95% CI: 0.38–0.76) and fell to a prevalence of 0.1% (95%CI: 0.0–0.8%) in those born after 1994 (</w:t>
      </w:r>
      <w:proofErr w:type="spellStart"/>
      <w:r>
        <w:t>aOR</w:t>
      </w:r>
      <w:proofErr w:type="spellEnd"/>
      <w:r>
        <w:t xml:space="preserve">: 0.04; 95% CI: 0.01–0.27) (Table 3). </w:t>
      </w:r>
    </w:p>
    <w:p w14:paraId="12F0BAA5" w14:textId="1C182A55" w:rsidR="00D51C1A" w:rsidRDefault="00D51C1A" w:rsidP="0071303E">
      <w:r>
        <w:t xml:space="preserve">The overall trend of HBV prevalence decreasing with recency of birth cohorts was consistent across each of the different geographical locations examined. Among women living in the Darwin and Katherine regions of the Top End, prevalence fell from 2.5% among women born prior to 1982 to 0.0% in the 357 women born from 1995 onwards. Similarly, prevalence in the Central NT (Alice Springs and Barkly) fell from 2.1% among women born prior to 1982 to 0.0% in the 251 women born from 1995 onwards. In each birth cohort, the prevalence of HBV infection was highest in East Arnhem compared to Darwin and Katherine and Central NT and while small numbers meant statistical comparisons were not made, East Arnhem appears to be the location with the highest prevalence in the most recent </w:t>
      </w:r>
      <w:proofErr w:type="gramStart"/>
      <w:r>
        <w:t>time period</w:t>
      </w:r>
      <w:proofErr w:type="gramEnd"/>
      <w:r>
        <w:t xml:space="preserve"> available for analysis. When adjusting for ARIA and SEIFA, the trend </w:t>
      </w:r>
      <w:proofErr w:type="gramStart"/>
      <w:r>
        <w:t>remained</w:t>
      </w:r>
      <w:proofErr w:type="gramEnd"/>
      <w:r>
        <w:t xml:space="preserve"> the same in all geographical areas.</w:t>
      </w:r>
    </w:p>
    <w:p w14:paraId="7640BB3C" w14:textId="77777777" w:rsidR="0078232D" w:rsidRPr="00F818AE" w:rsidRDefault="0078232D" w:rsidP="0078232D">
      <w:pPr>
        <w:pStyle w:val="CDIFigures"/>
      </w:pPr>
      <w:r w:rsidRPr="00F818AE">
        <w:rPr>
          <w:rStyle w:val="Strong"/>
          <w:b/>
          <w:bCs w:val="0"/>
        </w:rPr>
        <w:t>Table 3: Hepatitis B prevalence and odds ratio (OR) for HBV in Aboriginal and Torres Strait Islander birthing mothers according to birth cohorts, Northern Territory Australia, 2005–2015</w:t>
      </w:r>
      <w:r w:rsidRPr="00F818AE">
        <w:t xml:space="preserve"> </w:t>
      </w:r>
    </w:p>
    <w:tbl>
      <w:tblPr>
        <w:tblStyle w:val="CDI-StandardTable"/>
        <w:tblW w:w="0" w:type="auto"/>
        <w:tblLook w:val="04A0" w:firstRow="1" w:lastRow="0" w:firstColumn="1" w:lastColumn="0" w:noHBand="0" w:noVBand="1"/>
        <w:tblDescription w:val="Table 3 describes the prevalence and Odds Ratios for HBV in Aboriginal and Torres Strait Islander birthing mothers according to birth cohorts in the NT between 2005 and 2015. It shows that HBV prevalence was highest in those born prior to availability of the vaccine in 1982 at 3.1% which was statistically significant. Prevalence decreased over time to 1.8% for those born between 1982 to 1988 and fell to a prevalence of 0.1% in those born after 1994."/>
      </w:tblPr>
      <w:tblGrid>
        <w:gridCol w:w="3402"/>
        <w:gridCol w:w="2410"/>
        <w:gridCol w:w="1701"/>
        <w:gridCol w:w="1559"/>
        <w:gridCol w:w="1368"/>
      </w:tblGrid>
      <w:tr w:rsidR="004361E0" w:rsidRPr="00E32755" w14:paraId="407C20CB" w14:textId="77777777" w:rsidTr="004361E0">
        <w:trPr>
          <w:cnfStyle w:val="100000000000" w:firstRow="1" w:lastRow="0" w:firstColumn="0" w:lastColumn="0" w:oddVBand="0" w:evenVBand="0" w:oddHBand="0" w:evenHBand="0" w:firstRowFirstColumn="0" w:firstRowLastColumn="0" w:lastRowFirstColumn="0" w:lastRowLastColumn="0"/>
          <w:tblHeader/>
        </w:trPr>
        <w:tc>
          <w:tcPr>
            <w:tcW w:w="3402" w:type="dxa"/>
            <w:tcBorders>
              <w:right w:val="single" w:sz="2" w:space="0" w:color="F7ECDD"/>
            </w:tcBorders>
            <w:hideMark/>
          </w:tcPr>
          <w:p w14:paraId="2C5BF05F" w14:textId="77777777" w:rsidR="0078232D" w:rsidRPr="00E32755" w:rsidRDefault="0078232D" w:rsidP="007923D2">
            <w:pPr>
              <w:pStyle w:val="NormalWeb"/>
              <w:jc w:val="left"/>
              <w:rPr>
                <w:sz w:val="18"/>
                <w:szCs w:val="18"/>
              </w:rPr>
            </w:pPr>
            <w:r w:rsidRPr="00E32755">
              <w:rPr>
                <w:sz w:val="18"/>
                <w:szCs w:val="18"/>
              </w:rPr>
              <w:t>Year of birth (vaccine program)</w:t>
            </w:r>
          </w:p>
        </w:tc>
        <w:tc>
          <w:tcPr>
            <w:tcW w:w="2410" w:type="dxa"/>
            <w:tcBorders>
              <w:left w:val="single" w:sz="2" w:space="0" w:color="F7ECDD"/>
              <w:right w:val="single" w:sz="2" w:space="0" w:color="F7ECDD"/>
            </w:tcBorders>
            <w:hideMark/>
          </w:tcPr>
          <w:p w14:paraId="5E2144DA" w14:textId="77777777" w:rsidR="0078232D" w:rsidRPr="00E32755" w:rsidRDefault="0078232D" w:rsidP="007923D2">
            <w:pPr>
              <w:pStyle w:val="NormalWeb"/>
              <w:rPr>
                <w:sz w:val="18"/>
                <w:szCs w:val="18"/>
              </w:rPr>
            </w:pPr>
            <w:r w:rsidRPr="00E32755">
              <w:rPr>
                <w:sz w:val="18"/>
                <w:szCs w:val="18"/>
              </w:rPr>
              <w:t>Mean age at most recent birth</w:t>
            </w:r>
          </w:p>
        </w:tc>
        <w:tc>
          <w:tcPr>
            <w:tcW w:w="1701" w:type="dxa"/>
            <w:tcBorders>
              <w:left w:val="single" w:sz="2" w:space="0" w:color="F7ECDD"/>
              <w:right w:val="single" w:sz="2" w:space="0" w:color="F7ECDD"/>
            </w:tcBorders>
            <w:hideMark/>
          </w:tcPr>
          <w:p w14:paraId="3D5B3EF4" w14:textId="77777777" w:rsidR="0078232D" w:rsidRPr="00E32755" w:rsidRDefault="0078232D" w:rsidP="007923D2">
            <w:pPr>
              <w:pStyle w:val="NormalWeb"/>
              <w:rPr>
                <w:sz w:val="18"/>
                <w:szCs w:val="18"/>
              </w:rPr>
            </w:pPr>
            <w:r w:rsidRPr="00E32755">
              <w:rPr>
                <w:sz w:val="18"/>
                <w:szCs w:val="18"/>
              </w:rPr>
              <w:t>HBV prevalence %</w:t>
            </w:r>
          </w:p>
        </w:tc>
        <w:tc>
          <w:tcPr>
            <w:tcW w:w="1559" w:type="dxa"/>
            <w:tcBorders>
              <w:left w:val="single" w:sz="2" w:space="0" w:color="F7ECDD"/>
              <w:right w:val="single" w:sz="2" w:space="0" w:color="F7ECDD"/>
            </w:tcBorders>
            <w:hideMark/>
          </w:tcPr>
          <w:p w14:paraId="708AF5B9" w14:textId="77777777" w:rsidR="0078232D" w:rsidRPr="00E32755" w:rsidRDefault="0078232D" w:rsidP="007923D2">
            <w:pPr>
              <w:pStyle w:val="NormalWeb"/>
              <w:rPr>
                <w:sz w:val="18"/>
                <w:szCs w:val="18"/>
              </w:rPr>
            </w:pPr>
            <w:r w:rsidRPr="00E32755">
              <w:rPr>
                <w:sz w:val="18"/>
                <w:szCs w:val="18"/>
              </w:rPr>
              <w:t>OR (95% CI)</w:t>
            </w:r>
          </w:p>
        </w:tc>
        <w:tc>
          <w:tcPr>
            <w:tcW w:w="1368" w:type="dxa"/>
            <w:tcBorders>
              <w:left w:val="single" w:sz="2" w:space="0" w:color="F7ECDD"/>
            </w:tcBorders>
            <w:hideMark/>
          </w:tcPr>
          <w:p w14:paraId="1E01A74E" w14:textId="3271B071" w:rsidR="0078232D" w:rsidRPr="00E32755" w:rsidRDefault="0078232D" w:rsidP="007923D2">
            <w:pPr>
              <w:pStyle w:val="NormalWeb"/>
              <w:rPr>
                <w:sz w:val="18"/>
                <w:szCs w:val="18"/>
              </w:rPr>
            </w:pPr>
            <w:r w:rsidRPr="00E32755">
              <w:rPr>
                <w:sz w:val="18"/>
                <w:szCs w:val="18"/>
              </w:rPr>
              <w:t xml:space="preserve">Adjusted </w:t>
            </w:r>
            <w:proofErr w:type="spellStart"/>
            <w:r w:rsidRPr="00E32755">
              <w:rPr>
                <w:sz w:val="18"/>
                <w:szCs w:val="18"/>
              </w:rPr>
              <w:t>O</w:t>
            </w:r>
            <w:r w:rsidR="00AF41B4">
              <w:rPr>
                <w:sz w:val="18"/>
                <w:szCs w:val="18"/>
              </w:rPr>
              <w:t>R</w:t>
            </w:r>
            <w:r w:rsidRPr="00FF0002">
              <w:rPr>
                <w:sz w:val="18"/>
                <w:szCs w:val="18"/>
                <w:vertAlign w:val="superscript"/>
              </w:rPr>
              <w:t>a</w:t>
            </w:r>
            <w:proofErr w:type="spellEnd"/>
            <w:r>
              <w:rPr>
                <w:sz w:val="18"/>
                <w:szCs w:val="18"/>
              </w:rPr>
              <w:br/>
            </w:r>
            <w:r w:rsidRPr="00E32755">
              <w:rPr>
                <w:sz w:val="18"/>
                <w:szCs w:val="18"/>
              </w:rPr>
              <w:t>(95% CI)</w:t>
            </w:r>
          </w:p>
        </w:tc>
      </w:tr>
      <w:tr w:rsidR="0078232D" w:rsidRPr="00E32755" w14:paraId="1CC9EFD5" w14:textId="77777777" w:rsidTr="004361E0">
        <w:tc>
          <w:tcPr>
            <w:tcW w:w="3402" w:type="dxa"/>
            <w:hideMark/>
          </w:tcPr>
          <w:p w14:paraId="7502F431" w14:textId="77777777" w:rsidR="0078232D" w:rsidRPr="00E32755" w:rsidRDefault="0078232D" w:rsidP="007923D2">
            <w:pPr>
              <w:pStyle w:val="NormalWeb"/>
              <w:jc w:val="left"/>
              <w:rPr>
                <w:sz w:val="18"/>
                <w:szCs w:val="18"/>
              </w:rPr>
            </w:pPr>
            <w:r w:rsidRPr="00E32755">
              <w:rPr>
                <w:sz w:val="18"/>
                <w:szCs w:val="18"/>
              </w:rPr>
              <w:t>&lt; 1982 (pre-vaccine)</w:t>
            </w:r>
          </w:p>
        </w:tc>
        <w:tc>
          <w:tcPr>
            <w:tcW w:w="2410" w:type="dxa"/>
            <w:hideMark/>
          </w:tcPr>
          <w:p w14:paraId="0D5F03F3" w14:textId="77777777" w:rsidR="0078232D" w:rsidRPr="00E32755" w:rsidRDefault="0078232D" w:rsidP="007923D2">
            <w:pPr>
              <w:pStyle w:val="NormalWeb"/>
              <w:rPr>
                <w:sz w:val="18"/>
                <w:szCs w:val="18"/>
              </w:rPr>
            </w:pPr>
            <w:r w:rsidRPr="00E32755">
              <w:rPr>
                <w:sz w:val="18"/>
                <w:szCs w:val="18"/>
              </w:rPr>
              <w:t>32.8</w:t>
            </w:r>
          </w:p>
        </w:tc>
        <w:tc>
          <w:tcPr>
            <w:tcW w:w="1701" w:type="dxa"/>
            <w:hideMark/>
          </w:tcPr>
          <w:p w14:paraId="11273668" w14:textId="77777777" w:rsidR="0078232D" w:rsidRPr="00E32755" w:rsidRDefault="0078232D" w:rsidP="007923D2">
            <w:pPr>
              <w:pStyle w:val="NormalWeb"/>
              <w:rPr>
                <w:sz w:val="18"/>
                <w:szCs w:val="18"/>
              </w:rPr>
            </w:pPr>
            <w:r w:rsidRPr="00E32755">
              <w:rPr>
                <w:sz w:val="18"/>
                <w:szCs w:val="18"/>
              </w:rPr>
              <w:t>3.1%</w:t>
            </w:r>
          </w:p>
        </w:tc>
        <w:tc>
          <w:tcPr>
            <w:tcW w:w="1559" w:type="dxa"/>
            <w:hideMark/>
          </w:tcPr>
          <w:p w14:paraId="285EDEF1" w14:textId="77777777" w:rsidR="0078232D" w:rsidRPr="00E32755" w:rsidRDefault="0078232D" w:rsidP="007923D2">
            <w:pPr>
              <w:pStyle w:val="NormalWeb"/>
              <w:rPr>
                <w:sz w:val="18"/>
                <w:szCs w:val="18"/>
              </w:rPr>
            </w:pPr>
            <w:r w:rsidRPr="00E32755">
              <w:rPr>
                <w:sz w:val="18"/>
                <w:szCs w:val="18"/>
              </w:rPr>
              <w:t>1</w:t>
            </w:r>
          </w:p>
        </w:tc>
        <w:tc>
          <w:tcPr>
            <w:tcW w:w="1368" w:type="dxa"/>
            <w:hideMark/>
          </w:tcPr>
          <w:p w14:paraId="5A9B8F01" w14:textId="77777777" w:rsidR="0078232D" w:rsidRPr="00E32755" w:rsidRDefault="0078232D" w:rsidP="007923D2">
            <w:pPr>
              <w:pStyle w:val="NormalWeb"/>
              <w:rPr>
                <w:sz w:val="18"/>
                <w:szCs w:val="18"/>
              </w:rPr>
            </w:pPr>
            <w:r w:rsidRPr="00E32755">
              <w:rPr>
                <w:sz w:val="18"/>
                <w:szCs w:val="18"/>
              </w:rPr>
              <w:t>1</w:t>
            </w:r>
          </w:p>
        </w:tc>
      </w:tr>
      <w:tr w:rsidR="0078232D" w:rsidRPr="00E32755" w14:paraId="388A011E" w14:textId="77777777" w:rsidTr="004361E0">
        <w:trPr>
          <w:cnfStyle w:val="000000010000" w:firstRow="0" w:lastRow="0" w:firstColumn="0" w:lastColumn="0" w:oddVBand="0" w:evenVBand="0" w:oddHBand="0" w:evenHBand="1" w:firstRowFirstColumn="0" w:firstRowLastColumn="0" w:lastRowFirstColumn="0" w:lastRowLastColumn="0"/>
        </w:trPr>
        <w:tc>
          <w:tcPr>
            <w:tcW w:w="3402" w:type="dxa"/>
            <w:hideMark/>
          </w:tcPr>
          <w:p w14:paraId="0A028963" w14:textId="77777777" w:rsidR="0078232D" w:rsidRPr="00E32755" w:rsidRDefault="0078232D" w:rsidP="007923D2">
            <w:pPr>
              <w:pStyle w:val="NormalWeb"/>
              <w:jc w:val="left"/>
              <w:rPr>
                <w:sz w:val="18"/>
                <w:szCs w:val="18"/>
              </w:rPr>
            </w:pPr>
            <w:r w:rsidRPr="00E32755">
              <w:rPr>
                <w:sz w:val="18"/>
                <w:szCs w:val="18"/>
              </w:rPr>
              <w:t>1982–1988 (catch-up)</w:t>
            </w:r>
          </w:p>
        </w:tc>
        <w:tc>
          <w:tcPr>
            <w:tcW w:w="2410" w:type="dxa"/>
            <w:hideMark/>
          </w:tcPr>
          <w:p w14:paraId="1E5D47A0" w14:textId="77777777" w:rsidR="0078232D" w:rsidRPr="00E32755" w:rsidRDefault="0078232D" w:rsidP="007923D2">
            <w:pPr>
              <w:pStyle w:val="NormalWeb"/>
              <w:rPr>
                <w:sz w:val="18"/>
                <w:szCs w:val="18"/>
              </w:rPr>
            </w:pPr>
            <w:r w:rsidRPr="00E32755">
              <w:rPr>
                <w:sz w:val="18"/>
                <w:szCs w:val="18"/>
              </w:rPr>
              <w:t>25.3</w:t>
            </w:r>
          </w:p>
        </w:tc>
        <w:tc>
          <w:tcPr>
            <w:tcW w:w="1701" w:type="dxa"/>
            <w:hideMark/>
          </w:tcPr>
          <w:p w14:paraId="7B91827D" w14:textId="77777777" w:rsidR="0078232D" w:rsidRPr="00E32755" w:rsidRDefault="0078232D" w:rsidP="007923D2">
            <w:pPr>
              <w:pStyle w:val="NormalWeb"/>
              <w:rPr>
                <w:sz w:val="18"/>
                <w:szCs w:val="18"/>
              </w:rPr>
            </w:pPr>
            <w:r w:rsidRPr="00E32755">
              <w:rPr>
                <w:sz w:val="18"/>
                <w:szCs w:val="18"/>
              </w:rPr>
              <w:t>1.8%</w:t>
            </w:r>
          </w:p>
        </w:tc>
        <w:tc>
          <w:tcPr>
            <w:tcW w:w="1559" w:type="dxa"/>
            <w:hideMark/>
          </w:tcPr>
          <w:p w14:paraId="1847EC8D" w14:textId="77777777" w:rsidR="0078232D" w:rsidRPr="00E32755" w:rsidRDefault="0078232D" w:rsidP="007923D2">
            <w:pPr>
              <w:pStyle w:val="NormalWeb"/>
              <w:rPr>
                <w:sz w:val="18"/>
                <w:szCs w:val="18"/>
              </w:rPr>
            </w:pPr>
            <w:r w:rsidRPr="00E32755">
              <w:rPr>
                <w:sz w:val="18"/>
                <w:szCs w:val="18"/>
              </w:rPr>
              <w:t>0.58</w:t>
            </w:r>
            <w:r w:rsidRPr="00E32755">
              <w:rPr>
                <w:sz w:val="18"/>
                <w:szCs w:val="18"/>
              </w:rPr>
              <w:br/>
              <w:t>(0.41–0.82)</w:t>
            </w:r>
          </w:p>
        </w:tc>
        <w:tc>
          <w:tcPr>
            <w:tcW w:w="1368" w:type="dxa"/>
            <w:hideMark/>
          </w:tcPr>
          <w:p w14:paraId="1A4A8982" w14:textId="77777777" w:rsidR="0078232D" w:rsidRPr="00E32755" w:rsidRDefault="0078232D" w:rsidP="007923D2">
            <w:pPr>
              <w:pStyle w:val="NormalWeb"/>
              <w:rPr>
                <w:sz w:val="18"/>
                <w:szCs w:val="18"/>
              </w:rPr>
            </w:pPr>
            <w:r w:rsidRPr="00E32755">
              <w:rPr>
                <w:sz w:val="18"/>
                <w:szCs w:val="18"/>
              </w:rPr>
              <w:t>0.54</w:t>
            </w:r>
            <w:r w:rsidRPr="00E32755">
              <w:rPr>
                <w:sz w:val="18"/>
                <w:szCs w:val="18"/>
              </w:rPr>
              <w:br/>
              <w:t>(0.38–0.76)</w:t>
            </w:r>
          </w:p>
        </w:tc>
      </w:tr>
      <w:tr w:rsidR="0078232D" w:rsidRPr="00E32755" w14:paraId="63547078" w14:textId="77777777" w:rsidTr="004361E0">
        <w:tc>
          <w:tcPr>
            <w:tcW w:w="3402" w:type="dxa"/>
            <w:hideMark/>
          </w:tcPr>
          <w:p w14:paraId="21599AEA" w14:textId="77777777" w:rsidR="0078232D" w:rsidRPr="00E32755" w:rsidRDefault="0078232D" w:rsidP="007923D2">
            <w:pPr>
              <w:pStyle w:val="NormalWeb"/>
              <w:jc w:val="left"/>
              <w:rPr>
                <w:sz w:val="18"/>
                <w:szCs w:val="18"/>
              </w:rPr>
            </w:pPr>
            <w:r w:rsidRPr="00E32755">
              <w:rPr>
                <w:sz w:val="18"/>
                <w:szCs w:val="18"/>
              </w:rPr>
              <w:t>1989–1994</w:t>
            </w:r>
          </w:p>
        </w:tc>
        <w:tc>
          <w:tcPr>
            <w:tcW w:w="2410" w:type="dxa"/>
            <w:hideMark/>
          </w:tcPr>
          <w:p w14:paraId="0598D3A2" w14:textId="77777777" w:rsidR="0078232D" w:rsidRPr="00E32755" w:rsidRDefault="0078232D" w:rsidP="007923D2">
            <w:pPr>
              <w:pStyle w:val="NormalWeb"/>
              <w:rPr>
                <w:sz w:val="18"/>
                <w:szCs w:val="18"/>
              </w:rPr>
            </w:pPr>
            <w:r w:rsidRPr="00E32755">
              <w:rPr>
                <w:sz w:val="18"/>
                <w:szCs w:val="18"/>
              </w:rPr>
              <w:t>20.5</w:t>
            </w:r>
          </w:p>
        </w:tc>
        <w:tc>
          <w:tcPr>
            <w:tcW w:w="1701" w:type="dxa"/>
            <w:hideMark/>
          </w:tcPr>
          <w:p w14:paraId="52FBB269" w14:textId="77777777" w:rsidR="0078232D" w:rsidRPr="00E32755" w:rsidRDefault="0078232D" w:rsidP="007923D2">
            <w:pPr>
              <w:pStyle w:val="NormalWeb"/>
              <w:rPr>
                <w:sz w:val="18"/>
                <w:szCs w:val="18"/>
              </w:rPr>
            </w:pPr>
            <w:r w:rsidRPr="00E32755">
              <w:rPr>
                <w:sz w:val="18"/>
                <w:szCs w:val="18"/>
              </w:rPr>
              <w:t>0.4%</w:t>
            </w:r>
          </w:p>
        </w:tc>
        <w:tc>
          <w:tcPr>
            <w:tcW w:w="1559" w:type="dxa"/>
            <w:hideMark/>
          </w:tcPr>
          <w:p w14:paraId="1CF847B4" w14:textId="77777777" w:rsidR="0078232D" w:rsidRPr="00E32755" w:rsidRDefault="0078232D" w:rsidP="007923D2">
            <w:pPr>
              <w:pStyle w:val="NormalWeb"/>
              <w:rPr>
                <w:sz w:val="18"/>
                <w:szCs w:val="18"/>
              </w:rPr>
            </w:pPr>
            <w:r w:rsidRPr="00E32755">
              <w:rPr>
                <w:sz w:val="18"/>
                <w:szCs w:val="18"/>
              </w:rPr>
              <w:t>0.12</w:t>
            </w:r>
            <w:r w:rsidRPr="00E32755">
              <w:rPr>
                <w:sz w:val="18"/>
                <w:szCs w:val="18"/>
              </w:rPr>
              <w:br/>
              <w:t>(0.06–0.24)</w:t>
            </w:r>
          </w:p>
        </w:tc>
        <w:tc>
          <w:tcPr>
            <w:tcW w:w="1368" w:type="dxa"/>
            <w:hideMark/>
          </w:tcPr>
          <w:p w14:paraId="7BE38AE5" w14:textId="77777777" w:rsidR="0078232D" w:rsidRPr="00E32755" w:rsidRDefault="0078232D" w:rsidP="007923D2">
            <w:pPr>
              <w:pStyle w:val="NormalWeb"/>
              <w:rPr>
                <w:sz w:val="18"/>
                <w:szCs w:val="18"/>
              </w:rPr>
            </w:pPr>
            <w:r w:rsidRPr="00E32755">
              <w:rPr>
                <w:sz w:val="18"/>
                <w:szCs w:val="18"/>
              </w:rPr>
              <w:t>0.11</w:t>
            </w:r>
            <w:r w:rsidRPr="00E32755">
              <w:rPr>
                <w:sz w:val="18"/>
                <w:szCs w:val="18"/>
              </w:rPr>
              <w:br/>
              <w:t>(0.05–0.22)</w:t>
            </w:r>
          </w:p>
        </w:tc>
      </w:tr>
      <w:tr w:rsidR="0078232D" w:rsidRPr="00E32755" w14:paraId="1A6A80FA" w14:textId="77777777" w:rsidTr="004361E0">
        <w:trPr>
          <w:cnfStyle w:val="000000010000" w:firstRow="0" w:lastRow="0" w:firstColumn="0" w:lastColumn="0" w:oddVBand="0" w:evenVBand="0" w:oddHBand="0" w:evenHBand="1" w:firstRowFirstColumn="0" w:firstRowLastColumn="0" w:lastRowFirstColumn="0" w:lastRowLastColumn="0"/>
        </w:trPr>
        <w:tc>
          <w:tcPr>
            <w:tcW w:w="3402" w:type="dxa"/>
            <w:hideMark/>
          </w:tcPr>
          <w:p w14:paraId="396BA068" w14:textId="77777777" w:rsidR="0078232D" w:rsidRPr="00E32755" w:rsidRDefault="0078232D" w:rsidP="007923D2">
            <w:pPr>
              <w:pStyle w:val="NormalWeb"/>
              <w:jc w:val="left"/>
              <w:rPr>
                <w:sz w:val="18"/>
                <w:szCs w:val="18"/>
              </w:rPr>
            </w:pPr>
            <w:r w:rsidRPr="00E32755">
              <w:rPr>
                <w:sz w:val="18"/>
                <w:szCs w:val="18"/>
              </w:rPr>
              <w:t>1995+</w:t>
            </w:r>
          </w:p>
        </w:tc>
        <w:tc>
          <w:tcPr>
            <w:tcW w:w="2410" w:type="dxa"/>
            <w:hideMark/>
          </w:tcPr>
          <w:p w14:paraId="70F59670" w14:textId="77777777" w:rsidR="0078232D" w:rsidRPr="00E32755" w:rsidRDefault="0078232D" w:rsidP="007923D2">
            <w:pPr>
              <w:pStyle w:val="NormalWeb"/>
              <w:rPr>
                <w:sz w:val="18"/>
                <w:szCs w:val="18"/>
              </w:rPr>
            </w:pPr>
            <w:r w:rsidRPr="00E32755">
              <w:rPr>
                <w:sz w:val="18"/>
                <w:szCs w:val="18"/>
              </w:rPr>
              <w:t>17.0</w:t>
            </w:r>
          </w:p>
        </w:tc>
        <w:tc>
          <w:tcPr>
            <w:tcW w:w="1701" w:type="dxa"/>
            <w:hideMark/>
          </w:tcPr>
          <w:p w14:paraId="18992CAB" w14:textId="77777777" w:rsidR="0078232D" w:rsidRPr="00E32755" w:rsidRDefault="0078232D" w:rsidP="007923D2">
            <w:pPr>
              <w:pStyle w:val="NormalWeb"/>
              <w:rPr>
                <w:sz w:val="18"/>
                <w:szCs w:val="18"/>
              </w:rPr>
            </w:pPr>
            <w:r w:rsidRPr="00E32755">
              <w:rPr>
                <w:sz w:val="18"/>
                <w:szCs w:val="18"/>
              </w:rPr>
              <w:t>0.1%</w:t>
            </w:r>
          </w:p>
        </w:tc>
        <w:tc>
          <w:tcPr>
            <w:tcW w:w="1559" w:type="dxa"/>
            <w:hideMark/>
          </w:tcPr>
          <w:p w14:paraId="475357D7" w14:textId="77777777" w:rsidR="0078232D" w:rsidRPr="00E32755" w:rsidRDefault="0078232D" w:rsidP="007923D2">
            <w:pPr>
              <w:pStyle w:val="NormalWeb"/>
              <w:rPr>
                <w:sz w:val="18"/>
                <w:szCs w:val="18"/>
              </w:rPr>
            </w:pPr>
            <w:r w:rsidRPr="00E32755">
              <w:rPr>
                <w:sz w:val="18"/>
                <w:szCs w:val="18"/>
              </w:rPr>
              <w:t>0.04</w:t>
            </w:r>
            <w:r>
              <w:rPr>
                <w:sz w:val="18"/>
                <w:szCs w:val="18"/>
              </w:rPr>
              <w:br/>
            </w:r>
            <w:r w:rsidRPr="00E32755">
              <w:rPr>
                <w:sz w:val="18"/>
                <w:szCs w:val="18"/>
              </w:rPr>
              <w:t>(0.01–0.32)</w:t>
            </w:r>
          </w:p>
        </w:tc>
        <w:tc>
          <w:tcPr>
            <w:tcW w:w="1368" w:type="dxa"/>
            <w:hideMark/>
          </w:tcPr>
          <w:p w14:paraId="635DA407" w14:textId="77777777" w:rsidR="0078232D" w:rsidRPr="00E32755" w:rsidRDefault="0078232D" w:rsidP="007923D2">
            <w:pPr>
              <w:pStyle w:val="NormalWeb"/>
              <w:rPr>
                <w:sz w:val="18"/>
                <w:szCs w:val="18"/>
              </w:rPr>
            </w:pPr>
            <w:r w:rsidRPr="00E32755">
              <w:rPr>
                <w:sz w:val="18"/>
                <w:szCs w:val="18"/>
              </w:rPr>
              <w:t>0.04</w:t>
            </w:r>
            <w:r>
              <w:rPr>
                <w:sz w:val="18"/>
                <w:szCs w:val="18"/>
              </w:rPr>
              <w:br/>
            </w:r>
            <w:r w:rsidRPr="00E32755">
              <w:rPr>
                <w:sz w:val="18"/>
                <w:szCs w:val="18"/>
              </w:rPr>
              <w:t>(0.01–0.27)</w:t>
            </w:r>
          </w:p>
        </w:tc>
      </w:tr>
    </w:tbl>
    <w:p w14:paraId="661CB460" w14:textId="7D09C62D" w:rsidR="0078232D" w:rsidRPr="0078232D" w:rsidRDefault="0078232D" w:rsidP="0078232D">
      <w:pPr>
        <w:pStyle w:val="CDIfootnotes"/>
        <w:rPr>
          <w:lang w:val="en-GB"/>
        </w:rPr>
      </w:pPr>
      <w:proofErr w:type="spellStart"/>
      <w:proofErr w:type="gramStart"/>
      <w:r>
        <w:rPr>
          <w:lang w:val="en-GB"/>
        </w:rPr>
        <w:t>a</w:t>
      </w:r>
      <w:proofErr w:type="spellEnd"/>
      <w:proofErr w:type="gramEnd"/>
      <w:r>
        <w:rPr>
          <w:lang w:val="en-GB"/>
        </w:rPr>
        <w:tab/>
        <w:t>adjusted for ARIA and SEIFA, see methods.</w:t>
      </w:r>
    </w:p>
    <w:p w14:paraId="383510F3" w14:textId="77777777" w:rsidR="00D51C1A" w:rsidRPr="0071303E" w:rsidRDefault="00D51C1A" w:rsidP="0071303E">
      <w:pPr>
        <w:pStyle w:val="Heading1"/>
      </w:pPr>
      <w:r w:rsidRPr="0071303E">
        <w:t xml:space="preserve">Discussion </w:t>
      </w:r>
    </w:p>
    <w:p w14:paraId="66D81F47" w14:textId="77777777" w:rsidR="00D51C1A" w:rsidRDefault="00D51C1A" w:rsidP="0071303E">
      <w:r>
        <w:t>This study builds on the earlier research conducted in Aboriginal and Torres Strait Islander women giving birth from 2005–2010,</w:t>
      </w:r>
      <w:r>
        <w:rPr>
          <w:vertAlign w:val="superscript"/>
        </w:rPr>
        <w:t>7</w:t>
      </w:r>
      <w:r>
        <w:t xml:space="preserve"> to show that chronic HBV prevalence in cohorts of women vaccinated as part of an infant program may be continuing to decrease, with prevalence the lowest at 0.1% in those born from 1995 onwards. </w:t>
      </w:r>
      <w:proofErr w:type="gramStart"/>
      <w:r>
        <w:t>Similar to</w:t>
      </w:r>
      <w:proofErr w:type="gramEnd"/>
      <w:r>
        <w:t xml:space="preserve"> other studies, we also showed that prevalence is higher in Aboriginal and Torres Strait Islander women and in women born overseas than in non-Indigenous Australian-born women.</w:t>
      </w:r>
      <w:r>
        <w:rPr>
          <w:vertAlign w:val="superscript"/>
        </w:rPr>
        <w:t>11</w:t>
      </w:r>
      <w:r>
        <w:t xml:space="preserve"> The prevalence of HBV was also found to be highest in more remote areas in earlier cohorts, however this was less apparent due to small numbers in the most recent cohort. The overall decrease in HBV prevalence over time was shown in all geographical locations examined, with the highest prevalence </w:t>
      </w:r>
      <w:proofErr w:type="gramStart"/>
      <w:r>
        <w:t>remaining</w:t>
      </w:r>
      <w:proofErr w:type="gramEnd"/>
      <w:r>
        <w:t xml:space="preserve"> in East Arnhem. </w:t>
      </w:r>
    </w:p>
    <w:p w14:paraId="0C34E14E" w14:textId="77777777" w:rsidR="00D51C1A" w:rsidRDefault="00D51C1A" w:rsidP="0071303E">
      <w:proofErr w:type="gramStart"/>
      <w:r>
        <w:t>A number of</w:t>
      </w:r>
      <w:proofErr w:type="gramEnd"/>
      <w:r>
        <w:t xml:space="preserve"> our findings are consistent with earlier reports in the NT and in other Australian jurisdictions. These include: the higher HBV prevalence in Aboriginal and Torres Strait Islander women than in non-Indigenous women; reductions in HBV prevalence among Aboriginal and Torres Strait Islander women that began prior to vaccine introduction but that accelerated following newborn vaccination; and, in older cohorts, large differences in HBV prevalence between Aboriginal and Torres Strait Islander women living in remote regions compared to those living in more urban regions.</w:t>
      </w:r>
      <w:r>
        <w:rPr>
          <w:vertAlign w:val="superscript"/>
        </w:rPr>
        <w:t>7,11,14–16</w:t>
      </w:r>
      <w:r>
        <w:t xml:space="preserve"> Of importance, we were able to show that in the NT, the HBV prevalence in Aboriginal and Torres Strait Islander women has continued to fall from an estimate in the earlier study of 0.8% in the cohort of mothers born after 1988 to 0.1% in the cohort of mothers born from 1995 onwards in this study.</w:t>
      </w:r>
      <w:r>
        <w:rPr>
          <w:vertAlign w:val="superscript"/>
        </w:rPr>
        <w:t>7</w:t>
      </w:r>
      <w:r>
        <w:t xml:space="preserve"> This is reassuringly </w:t>
      </w:r>
      <w:r>
        <w:lastRenderedPageBreak/>
        <w:t xml:space="preserve">much closer in absolute terms, and not significantly different, to the prevalence reported among non-Indigenous Australian-born women in the NT. </w:t>
      </w:r>
    </w:p>
    <w:p w14:paraId="63B42023" w14:textId="77777777" w:rsidR="00D51C1A" w:rsidRDefault="00D51C1A" w:rsidP="0071303E">
      <w:r>
        <w:t xml:space="preserve">Notably, the higher prevalence in Aboriginal and Torres Strait Islander women, compared to non-Indigenous women, appears to </w:t>
      </w:r>
      <w:proofErr w:type="gramStart"/>
      <w:r>
        <w:t>be driven</w:t>
      </w:r>
      <w:proofErr w:type="gramEnd"/>
      <w:r>
        <w:t xml:space="preserve"> by higher prevalence among Aboriginal and Torres Strait Islander women living in remote areas. The highest prevalence in this study was </w:t>
      </w:r>
      <w:proofErr w:type="gramStart"/>
      <w:r>
        <w:t>identified</w:t>
      </w:r>
      <w:proofErr w:type="gramEnd"/>
      <w:r>
        <w:t xml:space="preserve"> in East Arnhem Land (4.0%; 95% CI: 3.0–5.3%), which is comprised of remote and very remote areas. It is unclear why this differential exists, but it is recognised that access to health services in remote and very remote locations is poorer than in regional areas and cities.</w:t>
      </w:r>
      <w:r>
        <w:rPr>
          <w:vertAlign w:val="superscript"/>
        </w:rPr>
        <w:t>17</w:t>
      </w:r>
      <w:r>
        <w:t xml:space="preserve"> We hypothesise it is also possible, given that most transmission is vertical, that this difference may result from difficulties in administration of hepatitis B immunoglobulin at birth if more women in remote areas give birth out of hospital. </w:t>
      </w:r>
    </w:p>
    <w:p w14:paraId="1041BE67" w14:textId="77777777" w:rsidR="00D51C1A" w:rsidRDefault="00D51C1A" w:rsidP="0071303E">
      <w:r>
        <w:t>Another potential reason for the higher prevalence of HBV in Aboriginal and Torres Strait Islander women living in remote regions could be access to vaccination. HBV vaccination coverage in the NT is higher in Aboriginal and Torres Strait Islander children aged 24 months of age, at 96.2%, than in non-Indigenous children at 94.7% (birth cohort 1 January 2014 – 31 December 2014). However, the opposite is true for children at 12 months of age for the same birth cohort, with coverage in Aboriginal and Torres Strait Islander children at 92.8% compared to non-Indigenous children at 93.5%.</w:t>
      </w:r>
      <w:r>
        <w:rPr>
          <w:vertAlign w:val="superscript"/>
        </w:rPr>
        <w:t>4</w:t>
      </w:r>
      <w:r>
        <w:t xml:space="preserve"> This suggests that timeliness of vaccination could </w:t>
      </w:r>
      <w:proofErr w:type="gramStart"/>
      <w:r>
        <w:t>be improved</w:t>
      </w:r>
      <w:proofErr w:type="gramEnd"/>
      <w:r>
        <w:t xml:space="preserve"> in Aboriginal and Torres Strait children in the NT, although coverage is consistently high in all groups. We were unable to obtain reports on vaccination coverage by region that date back to the cohorts of interest for this study. However, recent data has shown a higher proportion of vaccination delays are occurring in remote and very remote areas.</w:t>
      </w:r>
      <w:r>
        <w:rPr>
          <w:vertAlign w:val="superscript"/>
        </w:rPr>
        <w:t>4</w:t>
      </w:r>
      <w:r>
        <w:t xml:space="preserve"> Aboriginal and Torres Strait Islander children in major cities also have a higher percentage of delays of 1–≤ 2 months than do the non-Indigenous population.</w:t>
      </w:r>
      <w:r>
        <w:rPr>
          <w:vertAlign w:val="superscript"/>
        </w:rPr>
        <w:t>4</w:t>
      </w:r>
      <w:r>
        <w:t xml:space="preserve"> Delays in providing the HBV vaccine schedule may have contributed to the increased prevalence of HBV observed in those living in more remote regions. However, we lacked comprehensive immunisation records during infancy on women included in this linked study to examine if reduced coverage, or delayed vaccination, may have been a contributing factor. </w:t>
      </w:r>
    </w:p>
    <w:p w14:paraId="4532272C" w14:textId="49DF5083" w:rsidR="00D51C1A" w:rsidRDefault="00D51C1A" w:rsidP="0071303E">
      <w:r>
        <w:t xml:space="preserve">Concerns about vaccine effectiveness in NT Aboriginal and Torres Strait Islander peoples have been raised because of a mismatch between the current HBV vaccine (HBV </w:t>
      </w:r>
      <w:proofErr w:type="spellStart"/>
      <w:r>
        <w:t>subgenotype</w:t>
      </w:r>
      <w:proofErr w:type="spellEnd"/>
      <w:r>
        <w:t xml:space="preserve"> A2 [subtype </w:t>
      </w:r>
      <w:r w:rsidRPr="00D51C1A">
        <w:rPr>
          <w:rStyle w:val="Emphasis"/>
          <w:b w:val="0"/>
          <w:bCs w:val="0"/>
        </w:rPr>
        <w:t>adw2</w:t>
      </w:r>
      <w:r>
        <w:t xml:space="preserve">]) and the circulating HBV strain (HBV </w:t>
      </w:r>
      <w:proofErr w:type="spellStart"/>
      <w:r>
        <w:t>subgenotype</w:t>
      </w:r>
      <w:proofErr w:type="spellEnd"/>
      <w:r>
        <w:t xml:space="preserve"> C4 [subtype </w:t>
      </w:r>
      <w:r w:rsidRPr="00D51C1A">
        <w:rPr>
          <w:rStyle w:val="Emphasis"/>
          <w:b w:val="0"/>
          <w:bCs w:val="0"/>
        </w:rPr>
        <w:t>ayw3</w:t>
      </w:r>
      <w:r>
        <w:t>]).</w:t>
      </w:r>
      <w:r>
        <w:rPr>
          <w:vertAlign w:val="superscript"/>
        </w:rPr>
        <w:t>18</w:t>
      </w:r>
      <w:r>
        <w:t xml:space="preserve"> An examination of a longitudinal birth cohort from the NT demonstrated that the vaccine was protective against developing chronic disease (defined as HBsAg positive) but less effective against past HBV infection (defined as HBsAg negative but anti-HB core positive), with vaccine efficacy against past infection only 67%.</w:t>
      </w:r>
      <w:r>
        <w:rPr>
          <w:vertAlign w:val="superscript"/>
        </w:rPr>
        <w:t>19</w:t>
      </w:r>
      <w:r>
        <w:t xml:space="preserve"> However, more recent longitudinal data shows that vaccine breakthrough may be lower, with anti-HBV seroconversion following documented vaccine-derived immunity of 3.06%.</w:t>
      </w:r>
      <w:r>
        <w:rPr>
          <w:vertAlign w:val="superscript"/>
        </w:rPr>
        <w:t>16</w:t>
      </w:r>
      <w:r>
        <w:t xml:space="preserve"> The findings in this current study of pregnant women provide further evidence that the vaccine is effective in protecting against chronic</w:t>
      </w:r>
      <w:r w:rsidR="002C7093">
        <w:t> </w:t>
      </w:r>
      <w:r>
        <w:t xml:space="preserve">HBV. </w:t>
      </w:r>
    </w:p>
    <w:p w14:paraId="30158DD7" w14:textId="77777777" w:rsidR="00D51C1A" w:rsidRDefault="00D51C1A" w:rsidP="0071303E">
      <w:r>
        <w:t>Study limitations include the potential for missed links due to quality of the data linkage. Women classified in the vaccinated birth cohorts were born more recently, hence were younger at the time of the analysis and had lower mean age at most recent birth. It is unlikely that age is the main factor affecting the decrease in prevalence, but we were unable to adjust for this in the analysis given the nature of the analysis by birth cohort. Data regarding HBV prevalence before routine HBV vaccination began in the NT show no consistent trend regarding any increase in prevalence of HBV with increasing age.</w:t>
      </w:r>
      <w:r>
        <w:rPr>
          <w:vertAlign w:val="superscript"/>
        </w:rPr>
        <w:t>20–22</w:t>
      </w:r>
      <w:r>
        <w:t xml:space="preserve"> Additionally, our analysis did not capture births occurring in private hospitals, nor births outside of hospitals with no health care professional present.</w:t>
      </w:r>
      <w:r>
        <w:rPr>
          <w:vertAlign w:val="superscript"/>
        </w:rPr>
        <w:t>23</w:t>
      </w:r>
      <w:r>
        <w:t xml:space="preserve"> Private hospital births are likely to have minimal impact on the study results due to small numbers, but births outside of hospital may impact the results, with those less likely to seek healthcare at higher risk of missing vaccinations. Finally, it is important to note that men have higher HBV prevalence than women, with data from the NT reporting </w:t>
      </w:r>
      <w:proofErr w:type="spellStart"/>
      <w:proofErr w:type="gramStart"/>
      <w:r>
        <w:t>male:female</w:t>
      </w:r>
      <w:proofErr w:type="spellEnd"/>
      <w:proofErr w:type="gramEnd"/>
      <w:r>
        <w:t xml:space="preserve"> prevalence ratios ranging from 1.4:1 to 1.7:1,</w:t>
      </w:r>
      <w:r>
        <w:rPr>
          <w:vertAlign w:val="superscript"/>
        </w:rPr>
        <w:t>16,24</w:t>
      </w:r>
      <w:r>
        <w:t xml:space="preserve"> and findings may not necessarily be extrapolated to men. </w:t>
      </w:r>
    </w:p>
    <w:p w14:paraId="45EF3630" w14:textId="77777777" w:rsidR="00D51C1A" w:rsidRDefault="00D51C1A" w:rsidP="0071303E">
      <w:r>
        <w:lastRenderedPageBreak/>
        <w:t xml:space="preserve">HBV vaccine programs are the most effective way to decrease the prevalence of HBV in the population, and our study </w:t>
      </w:r>
      <w:proofErr w:type="gramStart"/>
      <w:r>
        <w:t>provides</w:t>
      </w:r>
      <w:proofErr w:type="gramEnd"/>
      <w:r>
        <w:t xml:space="preserve"> further evidence that HBV prevalence in the NT may be continuing to fall in Aboriginal and Torres Strait Islander women who were eligible for vaccination at birth. Importantly, HBV prevalence </w:t>
      </w:r>
      <w:proofErr w:type="gramStart"/>
      <w:r>
        <w:t>remains</w:t>
      </w:r>
      <w:proofErr w:type="gramEnd"/>
      <w:r>
        <w:t xml:space="preserve"> higher in remote areas, and this highlights the need to continue to promote vaccination and to monitor vaccination coverage and timeliness in these regions, so as to address disparities in HBV between Aboriginal and Torres Strait Islander Australian and non-Indigenous women.</w:t>
      </w:r>
    </w:p>
    <w:p w14:paraId="04FEBB6A" w14:textId="77777777" w:rsidR="00D51C1A" w:rsidRPr="0071303E" w:rsidRDefault="00D51C1A" w:rsidP="0071303E">
      <w:pPr>
        <w:pStyle w:val="Heading1"/>
      </w:pPr>
      <w:r w:rsidRPr="0071303E">
        <w:t xml:space="preserve">Acknowledgements </w:t>
      </w:r>
    </w:p>
    <w:p w14:paraId="3B687B2B" w14:textId="77777777" w:rsidR="00D51C1A" w:rsidRDefault="00D51C1A" w:rsidP="0071303E">
      <w:r>
        <w:t xml:space="preserve">We would like to acknowledge and thank the Northern Territory Department of Health for </w:t>
      </w:r>
      <w:proofErr w:type="gramStart"/>
      <w:r>
        <w:t>assisting</w:t>
      </w:r>
      <w:proofErr w:type="gramEnd"/>
      <w:r>
        <w:t xml:space="preserve"> with access to and linkage of data. </w:t>
      </w:r>
    </w:p>
    <w:p w14:paraId="3249FA29" w14:textId="77777777" w:rsidR="00D51C1A" w:rsidRDefault="00D51C1A" w:rsidP="0071303E">
      <w:r>
        <w:t xml:space="preserve">SYCT </w:t>
      </w:r>
      <w:proofErr w:type="gramStart"/>
      <w:r>
        <w:t>is supported</w:t>
      </w:r>
      <w:proofErr w:type="gramEnd"/>
      <w:r>
        <w:t xml:space="preserve"> by an Australian National Health and Medical Research Council Career Development Fellowship (#1145033). JD </w:t>
      </w:r>
      <w:proofErr w:type="gramStart"/>
      <w:r>
        <w:t>is supported</w:t>
      </w:r>
      <w:proofErr w:type="gramEnd"/>
      <w:r>
        <w:t xml:space="preserve"> by an Australian National Health and Medical research Council Early Career Fellowship (#1123427). JSD </w:t>
      </w:r>
      <w:proofErr w:type="gramStart"/>
      <w:r>
        <w:t>is supported</w:t>
      </w:r>
      <w:proofErr w:type="gramEnd"/>
      <w:r>
        <w:t xml:space="preserve"> by an Australian National Health and Medical Research Council Career Development Fellowship (#1160331). PB </w:t>
      </w:r>
      <w:proofErr w:type="gramStart"/>
      <w:r>
        <w:t>is supported</w:t>
      </w:r>
      <w:proofErr w:type="gramEnd"/>
      <w:r>
        <w:t xml:space="preserve"> by an Australian National Health and Medical Research Council Postgraduate scholarship (#1190983).</w:t>
      </w:r>
    </w:p>
    <w:p w14:paraId="5B0ED30E" w14:textId="77777777" w:rsidR="00D51C1A" w:rsidRPr="0071303E" w:rsidRDefault="00D51C1A" w:rsidP="0071303E">
      <w:pPr>
        <w:pStyle w:val="Heading2"/>
      </w:pPr>
      <w:r w:rsidRPr="0071303E">
        <w:t xml:space="preserve">Author details </w:t>
      </w:r>
    </w:p>
    <w:p w14:paraId="62C3A9F5" w14:textId="2C763607" w:rsidR="00D51C1A" w:rsidRDefault="00D51C1A" w:rsidP="0071303E">
      <w:r>
        <w:t>Amalie Dyda</w:t>
      </w:r>
      <w:r>
        <w:rPr>
          <w:vertAlign w:val="superscript"/>
        </w:rPr>
        <w:t>1</w:t>
      </w:r>
      <w:r>
        <w:t xml:space="preserve"> </w:t>
      </w:r>
      <w:r w:rsidR="00AF41B4">
        <w:br/>
      </w:r>
      <w:r>
        <w:t>Skye McGregor</w:t>
      </w:r>
      <w:r>
        <w:rPr>
          <w:vertAlign w:val="superscript"/>
        </w:rPr>
        <w:t>2</w:t>
      </w:r>
      <w:r>
        <w:t xml:space="preserve"> </w:t>
      </w:r>
      <w:r w:rsidR="00AF41B4">
        <w:br/>
      </w:r>
      <w:r>
        <w:t>Paula Binks</w:t>
      </w:r>
      <w:r>
        <w:rPr>
          <w:vertAlign w:val="superscript"/>
        </w:rPr>
        <w:t>3</w:t>
      </w:r>
      <w:r>
        <w:t xml:space="preserve"> </w:t>
      </w:r>
      <w:r w:rsidR="00AF41B4">
        <w:br/>
      </w:r>
      <w:r>
        <w:t>Jane Davies</w:t>
      </w:r>
      <w:r>
        <w:rPr>
          <w:vertAlign w:val="superscript"/>
        </w:rPr>
        <w:t>3</w:t>
      </w:r>
      <w:r>
        <w:t xml:space="preserve"> </w:t>
      </w:r>
      <w:r w:rsidR="00AF41B4">
        <w:br/>
      </w:r>
      <w:r>
        <w:t>Steven YC Tong</w:t>
      </w:r>
      <w:r>
        <w:rPr>
          <w:vertAlign w:val="superscript"/>
        </w:rPr>
        <w:t>3,</w:t>
      </w:r>
      <w:proofErr w:type="gramStart"/>
      <w:r>
        <w:rPr>
          <w:vertAlign w:val="superscript"/>
        </w:rPr>
        <w:t>4</w:t>
      </w:r>
      <w:proofErr w:type="gramEnd"/>
      <w:r>
        <w:t xml:space="preserve"> </w:t>
      </w:r>
      <w:r w:rsidR="00AF41B4">
        <w:br/>
      </w:r>
      <w:r>
        <w:t>Vicki Krause</w:t>
      </w:r>
      <w:r>
        <w:rPr>
          <w:vertAlign w:val="superscript"/>
        </w:rPr>
        <w:t xml:space="preserve">5 </w:t>
      </w:r>
      <w:r w:rsidR="00AF41B4">
        <w:rPr>
          <w:vertAlign w:val="superscript"/>
        </w:rPr>
        <w:br/>
      </w:r>
      <w:r>
        <w:t>Peter Markey</w:t>
      </w:r>
      <w:r>
        <w:rPr>
          <w:vertAlign w:val="superscript"/>
        </w:rPr>
        <w:t xml:space="preserve">5 </w:t>
      </w:r>
      <w:r w:rsidR="00AF41B4">
        <w:rPr>
          <w:vertAlign w:val="superscript"/>
        </w:rPr>
        <w:br/>
      </w:r>
      <w:r>
        <w:t>Shu Li Qin Li</w:t>
      </w:r>
      <w:r>
        <w:rPr>
          <w:vertAlign w:val="superscript"/>
        </w:rPr>
        <w:t>6</w:t>
      </w:r>
      <w:r>
        <w:t xml:space="preserve"> </w:t>
      </w:r>
      <w:r w:rsidR="00AF41B4">
        <w:br/>
      </w:r>
      <w:r>
        <w:t>Josh Davies</w:t>
      </w:r>
      <w:r>
        <w:rPr>
          <w:vertAlign w:val="superscript"/>
        </w:rPr>
        <w:t>3</w:t>
      </w:r>
      <w:r>
        <w:t xml:space="preserve"> </w:t>
      </w:r>
      <w:r w:rsidR="00AF41B4">
        <w:br/>
      </w:r>
      <w:r>
        <w:t>John M Kaldor</w:t>
      </w:r>
      <w:r>
        <w:rPr>
          <w:vertAlign w:val="superscript"/>
        </w:rPr>
        <w:t>2</w:t>
      </w:r>
      <w:r>
        <w:t xml:space="preserve"> </w:t>
      </w:r>
      <w:r w:rsidR="00AF41B4">
        <w:br/>
      </w:r>
      <w:r>
        <w:t>Bette Liu</w:t>
      </w:r>
      <w:r>
        <w:rPr>
          <w:vertAlign w:val="superscript"/>
        </w:rPr>
        <w:t xml:space="preserve">7 </w:t>
      </w:r>
    </w:p>
    <w:p w14:paraId="075C0F19"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The School of Public Health, University of Queensland, Queensland, Australia </w:t>
      </w:r>
    </w:p>
    <w:p w14:paraId="71BBE58E"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The Kirby Institute, University of NSW, Sydney, NSW, Australia </w:t>
      </w:r>
    </w:p>
    <w:p w14:paraId="5062709F"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Menzies School of Health Research, Charles Darwin University, Darwin, Australia </w:t>
      </w:r>
    </w:p>
    <w:p w14:paraId="6B875D4C"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Victorian Infectious Diseases Service, The Royal Melbourne Hospital, and Doherty Department University of Melbourne, at the Peter Doherty Institute for Infection and Immunity, Victoria, Australia </w:t>
      </w:r>
    </w:p>
    <w:p w14:paraId="43132F22"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Centre for Disease Control, Public Health Unit, Top End Health Service, Northern Territory Government Department of Health, Darwin, Northern Territory, Australia </w:t>
      </w:r>
    </w:p>
    <w:p w14:paraId="52041560"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Department of Health, Northern Territory Government, Darwin, Northern Territory, Australia. </w:t>
      </w:r>
    </w:p>
    <w:p w14:paraId="01B4DE8B" w14:textId="77777777" w:rsidR="00D51C1A" w:rsidRPr="0071303E" w:rsidRDefault="00D51C1A" w:rsidP="0071303E">
      <w:pPr>
        <w:pStyle w:val="ListParagraph"/>
        <w:numPr>
          <w:ilvl w:val="0"/>
          <w:numId w:val="9"/>
        </w:numPr>
        <w:rPr>
          <w:rFonts w:eastAsia="Times New Roman"/>
        </w:rPr>
      </w:pPr>
      <w:r w:rsidRPr="0071303E">
        <w:rPr>
          <w:rFonts w:eastAsia="Times New Roman"/>
        </w:rPr>
        <w:t xml:space="preserve">School of Public Health and Community Medicine, UNSW, Sydney, NSW, Australia </w:t>
      </w:r>
    </w:p>
    <w:p w14:paraId="12CA25BC" w14:textId="77777777" w:rsidR="00D51C1A" w:rsidRPr="0071303E" w:rsidRDefault="00D51C1A" w:rsidP="0071303E">
      <w:pPr>
        <w:pStyle w:val="Heading2"/>
      </w:pPr>
      <w:r w:rsidRPr="0071303E">
        <w:t xml:space="preserve">Corresponding Author </w:t>
      </w:r>
    </w:p>
    <w:p w14:paraId="7016495B" w14:textId="728EC66B" w:rsidR="00D51C1A" w:rsidRDefault="00D51C1A" w:rsidP="0071303E">
      <w:r>
        <w:t xml:space="preserve">Dr Amalie Dyda, </w:t>
      </w:r>
      <w:r w:rsidR="00AF41B4">
        <w:br/>
      </w:r>
      <w:r>
        <w:t xml:space="preserve">The School of Public Health, University of Queensland 266 Herston Rd, Herston Qld, Australia, 4006 </w:t>
      </w:r>
      <w:r w:rsidR="00AF41B4">
        <w:br/>
      </w:r>
      <w:r>
        <w:t xml:space="preserve">Email: a.dyda@uq.edu.au </w:t>
      </w:r>
      <w:r w:rsidR="00AF41B4">
        <w:br/>
      </w:r>
      <w:r>
        <w:t>Phone: +61 7 3365 5437</w:t>
      </w:r>
    </w:p>
    <w:p w14:paraId="22091169" w14:textId="77777777" w:rsidR="00D51C1A" w:rsidRPr="0071303E" w:rsidRDefault="00D51C1A" w:rsidP="0071303E">
      <w:pPr>
        <w:pStyle w:val="Heading1"/>
      </w:pPr>
      <w:r w:rsidRPr="0071303E">
        <w:lastRenderedPageBreak/>
        <w:t xml:space="preserve">References </w:t>
      </w:r>
    </w:p>
    <w:p w14:paraId="50EDAB9B"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World Health Organization (WHO). </w:t>
      </w:r>
      <w:r w:rsidRPr="0071303E">
        <w:rPr>
          <w:rStyle w:val="Emphasis"/>
          <w:rFonts w:eastAsia="Times New Roman"/>
          <w:b w:val="0"/>
          <w:bCs w:val="0"/>
        </w:rPr>
        <w:t>Global hepatitis report, 2017</w:t>
      </w:r>
      <w:r w:rsidRPr="0071303E">
        <w:rPr>
          <w:rFonts w:eastAsia="Times New Roman"/>
        </w:rPr>
        <w:t xml:space="preserve">. Geneva: WHO; 19 April 2017. Available from: https://www.who.int/hepatitis/publications/global-hepatitis-report2017/en/. </w:t>
      </w:r>
    </w:p>
    <w:p w14:paraId="48DD3791" w14:textId="77777777" w:rsidR="00D51C1A" w:rsidRPr="0071303E" w:rsidRDefault="00D51C1A" w:rsidP="0071303E">
      <w:pPr>
        <w:pStyle w:val="ListParagraph"/>
        <w:numPr>
          <w:ilvl w:val="0"/>
          <w:numId w:val="10"/>
        </w:numPr>
        <w:rPr>
          <w:rFonts w:eastAsia="Times New Roman"/>
        </w:rPr>
      </w:pPr>
      <w:proofErr w:type="gramStart"/>
      <w:r w:rsidRPr="0071303E">
        <w:rPr>
          <w:rFonts w:eastAsia="Times New Roman"/>
        </w:rPr>
        <w:t>WHO.</w:t>
      </w:r>
      <w:proofErr w:type="gramEnd"/>
      <w:r w:rsidRPr="0071303E">
        <w:rPr>
          <w:rFonts w:eastAsia="Times New Roman"/>
        </w:rPr>
        <w:t xml:space="preserve"> Hepatitis B vaccines: WHO position paper – July 2017. </w:t>
      </w:r>
      <w:proofErr w:type="spellStart"/>
      <w:r w:rsidRPr="0071303E">
        <w:rPr>
          <w:rStyle w:val="Emphasis"/>
          <w:rFonts w:eastAsia="Times New Roman"/>
          <w:b w:val="0"/>
          <w:bCs w:val="0"/>
        </w:rPr>
        <w:t>Wkly</w:t>
      </w:r>
      <w:proofErr w:type="spellEnd"/>
      <w:r w:rsidRPr="0071303E">
        <w:rPr>
          <w:rStyle w:val="Emphasis"/>
          <w:rFonts w:eastAsia="Times New Roman"/>
          <w:b w:val="0"/>
          <w:bCs w:val="0"/>
        </w:rPr>
        <w:t xml:space="preserve"> Epidemiol Rec</w:t>
      </w:r>
      <w:r w:rsidRPr="0071303E">
        <w:rPr>
          <w:rFonts w:eastAsia="Times New Roman"/>
        </w:rPr>
        <w:t xml:space="preserve">. 2017;92(27):369–92. </w:t>
      </w:r>
    </w:p>
    <w:p w14:paraId="69A9A2D8"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Li Z, Hou X, Cao G. Is mother-to-infant transmission the most </w:t>
      </w:r>
      <w:proofErr w:type="gramStart"/>
      <w:r w:rsidRPr="0071303E">
        <w:rPr>
          <w:rFonts w:eastAsia="Times New Roman"/>
        </w:rPr>
        <w:t>important factor</w:t>
      </w:r>
      <w:proofErr w:type="gramEnd"/>
      <w:r w:rsidRPr="0071303E">
        <w:rPr>
          <w:rFonts w:eastAsia="Times New Roman"/>
        </w:rPr>
        <w:t xml:space="preserve"> for persistent HBV infection? </w:t>
      </w:r>
      <w:proofErr w:type="spellStart"/>
      <w:r w:rsidRPr="0071303E">
        <w:rPr>
          <w:rStyle w:val="Emphasis"/>
          <w:rFonts w:eastAsia="Times New Roman"/>
          <w:b w:val="0"/>
          <w:bCs w:val="0"/>
        </w:rPr>
        <w:t>Emerg</w:t>
      </w:r>
      <w:proofErr w:type="spellEnd"/>
      <w:r w:rsidRPr="0071303E">
        <w:rPr>
          <w:rStyle w:val="Emphasis"/>
          <w:rFonts w:eastAsia="Times New Roman"/>
          <w:b w:val="0"/>
          <w:bCs w:val="0"/>
        </w:rPr>
        <w:t xml:space="preserve"> Microbes Infect</w:t>
      </w:r>
      <w:r w:rsidRPr="0071303E">
        <w:rPr>
          <w:rFonts w:eastAsia="Times New Roman"/>
        </w:rPr>
        <w:t>. 2015;4(5</w:t>
      </w:r>
      <w:proofErr w:type="gramStart"/>
      <w:r w:rsidRPr="0071303E">
        <w:rPr>
          <w:rFonts w:eastAsia="Times New Roman"/>
        </w:rPr>
        <w:t>):e</w:t>
      </w:r>
      <w:proofErr w:type="gramEnd"/>
      <w:r w:rsidRPr="0071303E">
        <w:rPr>
          <w:rFonts w:eastAsia="Times New Roman"/>
        </w:rPr>
        <w:t xml:space="preserve">30. </w:t>
      </w:r>
      <w:proofErr w:type="spellStart"/>
      <w:r w:rsidRPr="0071303E">
        <w:rPr>
          <w:rFonts w:eastAsia="Times New Roman"/>
        </w:rPr>
        <w:t>doi</w:t>
      </w:r>
      <w:proofErr w:type="spellEnd"/>
      <w:r w:rsidRPr="0071303E">
        <w:rPr>
          <w:rFonts w:eastAsia="Times New Roman"/>
        </w:rPr>
        <w:t xml:space="preserve">: https://doi.org/10.1038/emi.2015.30. </w:t>
      </w:r>
    </w:p>
    <w:p w14:paraId="2BD92B43"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National Centre for Immunisation Research and Surveillance (NCIRS), Ioannides S, Beard F, </w:t>
      </w:r>
      <w:proofErr w:type="spellStart"/>
      <w:r w:rsidRPr="0071303E">
        <w:rPr>
          <w:rFonts w:eastAsia="Times New Roman"/>
        </w:rPr>
        <w:t>Larter</w:t>
      </w:r>
      <w:proofErr w:type="spellEnd"/>
      <w:r w:rsidRPr="0071303E">
        <w:rPr>
          <w:rFonts w:eastAsia="Times New Roman"/>
        </w:rPr>
        <w:t xml:space="preserve"> N, Clark K, Wang H et al. Vaccine preventable diseases and vaccination coverage in Aboriginal and Torres Strait Islander people, Australia, 2011–2015. </w:t>
      </w:r>
      <w:proofErr w:type="spellStart"/>
      <w:r w:rsidRPr="0071303E">
        <w:rPr>
          <w:rStyle w:val="Emphasis"/>
          <w:rFonts w:eastAsia="Times New Roman"/>
          <w:b w:val="0"/>
          <w:bCs w:val="0"/>
        </w:rPr>
        <w:t>Commun</w:t>
      </w:r>
      <w:proofErr w:type="spellEnd"/>
      <w:r w:rsidRPr="0071303E">
        <w:rPr>
          <w:rStyle w:val="Emphasis"/>
          <w:rFonts w:eastAsia="Times New Roman"/>
          <w:b w:val="0"/>
          <w:bCs w:val="0"/>
        </w:rPr>
        <w:t xml:space="preserve"> Dis </w:t>
      </w:r>
      <w:proofErr w:type="spellStart"/>
      <w:r w:rsidRPr="0071303E">
        <w:rPr>
          <w:rStyle w:val="Emphasis"/>
          <w:rFonts w:eastAsia="Times New Roman"/>
          <w:b w:val="0"/>
          <w:bCs w:val="0"/>
        </w:rPr>
        <w:t>Intell</w:t>
      </w:r>
      <w:proofErr w:type="spellEnd"/>
      <w:r w:rsidRPr="0071303E">
        <w:rPr>
          <w:rStyle w:val="Emphasis"/>
          <w:rFonts w:eastAsia="Times New Roman"/>
          <w:b w:val="0"/>
          <w:bCs w:val="0"/>
        </w:rPr>
        <w:t xml:space="preserve"> (2018)</w:t>
      </w:r>
      <w:r w:rsidRPr="0071303E">
        <w:rPr>
          <w:rFonts w:eastAsia="Times New Roman"/>
        </w:rPr>
        <w:t>. 2019;</w:t>
      </w:r>
      <w:proofErr w:type="gramStart"/>
      <w:r w:rsidRPr="0071303E">
        <w:rPr>
          <w:rFonts w:eastAsia="Times New Roman"/>
        </w:rPr>
        <w:t>43</w:t>
      </w:r>
      <w:proofErr w:type="gramEnd"/>
      <w:r w:rsidRPr="0071303E">
        <w:rPr>
          <w:rFonts w:eastAsia="Times New Roman"/>
        </w:rPr>
        <w:t xml:space="preserve">. </w:t>
      </w:r>
      <w:proofErr w:type="spellStart"/>
      <w:r w:rsidRPr="0071303E">
        <w:rPr>
          <w:rFonts w:eastAsia="Times New Roman"/>
        </w:rPr>
        <w:t>doi</w:t>
      </w:r>
      <w:proofErr w:type="spellEnd"/>
      <w:r w:rsidRPr="0071303E">
        <w:rPr>
          <w:rFonts w:eastAsia="Times New Roman"/>
        </w:rPr>
        <w:t xml:space="preserve">: https://doi.org/10.33321/cdi.2019.43.36. </w:t>
      </w:r>
    </w:p>
    <w:p w14:paraId="455D674E"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McGregor S, King J, McManus H, Gray R, Guy R. </w:t>
      </w:r>
      <w:r w:rsidRPr="0071303E">
        <w:rPr>
          <w:rStyle w:val="Emphasis"/>
          <w:rFonts w:eastAsia="Times New Roman"/>
          <w:b w:val="0"/>
          <w:bCs w:val="0"/>
        </w:rPr>
        <w:t xml:space="preserve">HIV, viral </w:t>
      </w:r>
      <w:proofErr w:type="gramStart"/>
      <w:r w:rsidRPr="0071303E">
        <w:rPr>
          <w:rStyle w:val="Emphasis"/>
          <w:rFonts w:eastAsia="Times New Roman"/>
          <w:b w:val="0"/>
          <w:bCs w:val="0"/>
        </w:rPr>
        <w:t>hepatitis</w:t>
      </w:r>
      <w:proofErr w:type="gramEnd"/>
      <w:r w:rsidRPr="0071303E">
        <w:rPr>
          <w:rStyle w:val="Emphasis"/>
          <w:rFonts w:eastAsia="Times New Roman"/>
          <w:b w:val="0"/>
          <w:bCs w:val="0"/>
        </w:rPr>
        <w:t xml:space="preserve"> and sexually transmissible infections in Australia: annual surveillance report 2018</w:t>
      </w:r>
      <w:r w:rsidRPr="0071303E">
        <w:rPr>
          <w:rFonts w:eastAsia="Times New Roman"/>
        </w:rPr>
        <w:t xml:space="preserve">. Sydney: University of New South Wales, Kirby Institute; 2018. Available from: https://kirby.unsw.edu.au/sites/default/files/kirby/report/KI_Annual-Surveillance-Report-2018.pdf. </w:t>
      </w:r>
    </w:p>
    <w:p w14:paraId="2B50FD7E"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National Centre for Immunisation Research and Surveillance (NCIRS). </w:t>
      </w:r>
      <w:proofErr w:type="gramStart"/>
      <w:r w:rsidRPr="0071303E">
        <w:rPr>
          <w:rStyle w:val="Emphasis"/>
          <w:rFonts w:eastAsia="Times New Roman"/>
          <w:b w:val="0"/>
          <w:bCs w:val="0"/>
        </w:rPr>
        <w:t>Significant events</w:t>
      </w:r>
      <w:proofErr w:type="gramEnd"/>
      <w:r w:rsidRPr="0071303E">
        <w:rPr>
          <w:rStyle w:val="Emphasis"/>
          <w:rFonts w:eastAsia="Times New Roman"/>
          <w:b w:val="0"/>
          <w:bCs w:val="0"/>
        </w:rPr>
        <w:t xml:space="preserve"> in hepatitis B vaccination practice in Australia</w:t>
      </w:r>
      <w:r w:rsidRPr="0071303E">
        <w:rPr>
          <w:rFonts w:eastAsia="Times New Roman"/>
        </w:rPr>
        <w:t xml:space="preserve">. Sydney: NCIRS; July 2018. Available from: http://www.ncirs.org.au/sites/default/files/2018-11/Hepatitis-B-history-July-2018.pdf. </w:t>
      </w:r>
    </w:p>
    <w:p w14:paraId="5D19A2AA"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Liu B, Guthridge S, Li SQ, Markey P, Krause V, McIntyre P et al. The end of the Australia antigen? An ecological study of the impact of universal newborn hepatitis B vaccination two decades on. </w:t>
      </w:r>
      <w:r w:rsidRPr="0071303E">
        <w:rPr>
          <w:rStyle w:val="Emphasis"/>
          <w:rFonts w:eastAsia="Times New Roman"/>
          <w:b w:val="0"/>
          <w:bCs w:val="0"/>
        </w:rPr>
        <w:t>Vaccine</w:t>
      </w:r>
      <w:r w:rsidRPr="0071303E">
        <w:rPr>
          <w:rFonts w:eastAsia="Times New Roman"/>
        </w:rPr>
        <w:t xml:space="preserve">. 2012;30(50):7309–14. </w:t>
      </w:r>
      <w:proofErr w:type="spellStart"/>
      <w:r w:rsidRPr="0071303E">
        <w:rPr>
          <w:rFonts w:eastAsia="Times New Roman"/>
        </w:rPr>
        <w:t>doi</w:t>
      </w:r>
      <w:proofErr w:type="spellEnd"/>
      <w:r w:rsidRPr="0071303E">
        <w:rPr>
          <w:rFonts w:eastAsia="Times New Roman"/>
        </w:rPr>
        <w:t xml:space="preserve">: https://doi.org/10.1016/j.vaccine.2012.09.033. </w:t>
      </w:r>
    </w:p>
    <w:p w14:paraId="3B823012"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Romanes F. Retrospective audit of immunoglobulin and vaccine uptake in infants at risk of perinatal transmission of hepatitis B virus. </w:t>
      </w:r>
      <w:r w:rsidRPr="0071303E">
        <w:rPr>
          <w:rStyle w:val="Emphasis"/>
          <w:rFonts w:eastAsia="Times New Roman"/>
          <w:b w:val="0"/>
          <w:bCs w:val="0"/>
        </w:rPr>
        <w:t>N T Dis Control Bull</w:t>
      </w:r>
      <w:r w:rsidRPr="0071303E">
        <w:rPr>
          <w:rFonts w:eastAsia="Times New Roman"/>
        </w:rPr>
        <w:t xml:space="preserve">. 2006;13(1):15–21. </w:t>
      </w:r>
    </w:p>
    <w:p w14:paraId="0C7AF3FD"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Schultz R. Hepatitis B screening among women birthing in Alice Springs Hospital, and immunisation of infants at risk. </w:t>
      </w:r>
      <w:r w:rsidRPr="0071303E">
        <w:rPr>
          <w:rStyle w:val="Emphasis"/>
          <w:rFonts w:eastAsia="Times New Roman"/>
          <w:b w:val="0"/>
          <w:bCs w:val="0"/>
        </w:rPr>
        <w:t>N T Dis Control Bull</w:t>
      </w:r>
      <w:r w:rsidRPr="0071303E">
        <w:rPr>
          <w:rFonts w:eastAsia="Times New Roman"/>
        </w:rPr>
        <w:t xml:space="preserve">. </w:t>
      </w:r>
      <w:proofErr w:type="gramStart"/>
      <w:r w:rsidRPr="0071303E">
        <w:rPr>
          <w:rFonts w:eastAsia="Times New Roman"/>
        </w:rPr>
        <w:t>2007;14:1</w:t>
      </w:r>
      <w:proofErr w:type="gramEnd"/>
      <w:r w:rsidRPr="0071303E">
        <w:rPr>
          <w:rFonts w:eastAsia="Times New Roman"/>
        </w:rPr>
        <w:t xml:space="preserve">–5. </w:t>
      </w:r>
    </w:p>
    <w:p w14:paraId="63EEF565"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Northern Territory Government Department of Health (NT Health). Perinatal registry. [Internet.] Darwin: NT Health; 2018. Available from: https://health.nt.gov.au/professionals/health-gains/perinatal-registry. </w:t>
      </w:r>
    </w:p>
    <w:p w14:paraId="6148FE47"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Deng L, Reekie J, Ward JS, </w:t>
      </w:r>
      <w:proofErr w:type="spellStart"/>
      <w:r w:rsidRPr="0071303E">
        <w:rPr>
          <w:rFonts w:eastAsia="Times New Roman"/>
        </w:rPr>
        <w:t>Hayen</w:t>
      </w:r>
      <w:proofErr w:type="spellEnd"/>
      <w:r w:rsidRPr="0071303E">
        <w:rPr>
          <w:rFonts w:eastAsia="Times New Roman"/>
        </w:rPr>
        <w:t xml:space="preserve"> A, Kaldor JM, Kong M et al. Trends in the prevalence of hepatitis B infection among women giving birth in New South Wales. </w:t>
      </w:r>
      <w:r w:rsidRPr="0071303E">
        <w:rPr>
          <w:rStyle w:val="Emphasis"/>
          <w:rFonts w:eastAsia="Times New Roman"/>
          <w:b w:val="0"/>
          <w:bCs w:val="0"/>
        </w:rPr>
        <w:t>Med J Aust</w:t>
      </w:r>
      <w:r w:rsidRPr="0071303E">
        <w:rPr>
          <w:rFonts w:eastAsia="Times New Roman"/>
        </w:rPr>
        <w:t xml:space="preserve">. 2017;206(7):301–5. </w:t>
      </w:r>
      <w:proofErr w:type="spellStart"/>
      <w:r w:rsidRPr="0071303E">
        <w:rPr>
          <w:rFonts w:eastAsia="Times New Roman"/>
        </w:rPr>
        <w:t>doi</w:t>
      </w:r>
      <w:proofErr w:type="spellEnd"/>
      <w:r w:rsidRPr="0071303E">
        <w:rPr>
          <w:rFonts w:eastAsia="Times New Roman"/>
        </w:rPr>
        <w:t xml:space="preserve">: https://doi.org/10.5694/mja16.00823. </w:t>
      </w:r>
    </w:p>
    <w:p w14:paraId="484FDAC9"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Australian Bureau of Statistics (ABS). The Australian Statistical Geography Standard (ASGS) </w:t>
      </w:r>
      <w:proofErr w:type="spellStart"/>
      <w:r w:rsidRPr="0071303E">
        <w:rPr>
          <w:rFonts w:eastAsia="Times New Roman"/>
        </w:rPr>
        <w:t>remotness</w:t>
      </w:r>
      <w:proofErr w:type="spellEnd"/>
      <w:r w:rsidRPr="0071303E">
        <w:rPr>
          <w:rFonts w:eastAsia="Times New Roman"/>
        </w:rPr>
        <w:t xml:space="preserve"> structure. [Internet.] Canberra: ABS; 2018. Available from: https://www.abs.gov.au/websitedbs/d3310114.nsf/home/remoteness+structure. </w:t>
      </w:r>
    </w:p>
    <w:p w14:paraId="3A892790"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ABS. Socio-Economic Indexes for Areas (SEIFA) 2016. [Internet.] Canberra: ABS; 27 March 2018. Available from: https://www.abs.gov.au/ausstats/abs@.nsf/mf/2033.0.55.001. </w:t>
      </w:r>
    </w:p>
    <w:p w14:paraId="3ABF9149"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Gardner ID, Wan X, Simms PA, </w:t>
      </w:r>
      <w:proofErr w:type="spellStart"/>
      <w:r w:rsidRPr="0071303E">
        <w:rPr>
          <w:rFonts w:eastAsia="Times New Roman"/>
        </w:rPr>
        <w:t>Worswick</w:t>
      </w:r>
      <w:proofErr w:type="spellEnd"/>
      <w:r w:rsidRPr="0071303E">
        <w:rPr>
          <w:rFonts w:eastAsia="Times New Roman"/>
        </w:rPr>
        <w:t xml:space="preserve"> DA, Burrell CJ, Mathews JD. Hepatitis B virus markers in children and staff in Northern Territory schools. </w:t>
      </w:r>
      <w:r w:rsidRPr="0071303E">
        <w:rPr>
          <w:rStyle w:val="Emphasis"/>
          <w:rFonts w:eastAsia="Times New Roman"/>
          <w:b w:val="0"/>
          <w:bCs w:val="0"/>
        </w:rPr>
        <w:t>Med J Aust</w:t>
      </w:r>
      <w:r w:rsidRPr="0071303E">
        <w:rPr>
          <w:rFonts w:eastAsia="Times New Roman"/>
        </w:rPr>
        <w:t xml:space="preserve">. 1992;156(9):638–41. </w:t>
      </w:r>
      <w:proofErr w:type="spellStart"/>
      <w:r w:rsidRPr="0071303E">
        <w:rPr>
          <w:rFonts w:eastAsia="Times New Roman"/>
        </w:rPr>
        <w:t>doi</w:t>
      </w:r>
      <w:proofErr w:type="spellEnd"/>
      <w:r w:rsidRPr="0071303E">
        <w:rPr>
          <w:rFonts w:eastAsia="Times New Roman"/>
        </w:rPr>
        <w:t xml:space="preserve">: https://doi.org/10.5694/j.1326-5377.1992.tb121461.x. </w:t>
      </w:r>
    </w:p>
    <w:p w14:paraId="62356C6B"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Davies J, Li SQ, Tong SY, Baird RW, Beaman M, Higgins G et al. </w:t>
      </w:r>
      <w:proofErr w:type="gramStart"/>
      <w:r w:rsidRPr="0071303E">
        <w:rPr>
          <w:rFonts w:eastAsia="Times New Roman"/>
        </w:rPr>
        <w:t>Establishing</w:t>
      </w:r>
      <w:proofErr w:type="gramEnd"/>
      <w:r w:rsidRPr="0071303E">
        <w:rPr>
          <w:rFonts w:eastAsia="Times New Roman"/>
        </w:rPr>
        <w:t xml:space="preserve"> contemporary trends in hepatitis B </w:t>
      </w:r>
      <w:proofErr w:type="spellStart"/>
      <w:r w:rsidRPr="0071303E">
        <w:rPr>
          <w:rFonts w:eastAsia="Times New Roman"/>
        </w:rPr>
        <w:t>sero</w:t>
      </w:r>
      <w:proofErr w:type="spellEnd"/>
      <w:r w:rsidRPr="0071303E">
        <w:rPr>
          <w:rFonts w:eastAsia="Times New Roman"/>
        </w:rPr>
        <w:t xml:space="preserve">-epidemiology in an Indigenous population. </w:t>
      </w:r>
      <w:proofErr w:type="spellStart"/>
      <w:r w:rsidRPr="0071303E">
        <w:rPr>
          <w:rStyle w:val="Emphasis"/>
          <w:rFonts w:eastAsia="Times New Roman"/>
          <w:b w:val="0"/>
          <w:bCs w:val="0"/>
        </w:rPr>
        <w:t>PLoS</w:t>
      </w:r>
      <w:proofErr w:type="spellEnd"/>
      <w:r w:rsidRPr="0071303E">
        <w:rPr>
          <w:rStyle w:val="Emphasis"/>
          <w:rFonts w:eastAsia="Times New Roman"/>
          <w:b w:val="0"/>
          <w:bCs w:val="0"/>
        </w:rPr>
        <w:t xml:space="preserve"> One</w:t>
      </w:r>
      <w:r w:rsidRPr="0071303E">
        <w:rPr>
          <w:rFonts w:eastAsia="Times New Roman"/>
        </w:rPr>
        <w:t>. 2017;12(9</w:t>
      </w:r>
      <w:proofErr w:type="gramStart"/>
      <w:r w:rsidRPr="0071303E">
        <w:rPr>
          <w:rFonts w:eastAsia="Times New Roman"/>
        </w:rPr>
        <w:t>):e</w:t>
      </w:r>
      <w:proofErr w:type="gramEnd"/>
      <w:r w:rsidRPr="0071303E">
        <w:rPr>
          <w:rFonts w:eastAsia="Times New Roman"/>
        </w:rPr>
        <w:t xml:space="preserve">0184082. </w:t>
      </w:r>
      <w:proofErr w:type="spellStart"/>
      <w:r w:rsidRPr="0071303E">
        <w:rPr>
          <w:rFonts w:eastAsia="Times New Roman"/>
        </w:rPr>
        <w:t>doi</w:t>
      </w:r>
      <w:proofErr w:type="spellEnd"/>
      <w:r w:rsidRPr="0071303E">
        <w:rPr>
          <w:rFonts w:eastAsia="Times New Roman"/>
        </w:rPr>
        <w:t xml:space="preserve">: https://doi.org/10.1371/journal.pone.0184082. </w:t>
      </w:r>
    </w:p>
    <w:p w14:paraId="368D28FA"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Qama A, Allard N, Cowie B, Davis JS, Davies J. Hepatitis B in the Northern Territory: insights into the changing epidemiology of an ancient condition. </w:t>
      </w:r>
      <w:r w:rsidRPr="0071303E">
        <w:rPr>
          <w:rStyle w:val="Emphasis"/>
          <w:rFonts w:eastAsia="Times New Roman"/>
          <w:b w:val="0"/>
          <w:bCs w:val="0"/>
        </w:rPr>
        <w:t>Intern Med J</w:t>
      </w:r>
      <w:r w:rsidRPr="0071303E">
        <w:rPr>
          <w:rFonts w:eastAsia="Times New Roman"/>
        </w:rPr>
        <w:t xml:space="preserve">. 2021;51(6):910–22. </w:t>
      </w:r>
      <w:proofErr w:type="spellStart"/>
      <w:proofErr w:type="gramStart"/>
      <w:r w:rsidRPr="0071303E">
        <w:rPr>
          <w:rFonts w:eastAsia="Times New Roman"/>
        </w:rPr>
        <w:t>doi:https</w:t>
      </w:r>
      <w:proofErr w:type="spellEnd"/>
      <w:r w:rsidRPr="0071303E">
        <w:rPr>
          <w:rFonts w:eastAsia="Times New Roman"/>
        </w:rPr>
        <w:t>://doi.org/10.1111/imj.15069</w:t>
      </w:r>
      <w:proofErr w:type="gramEnd"/>
      <w:r w:rsidRPr="0071303E">
        <w:rPr>
          <w:rFonts w:eastAsia="Times New Roman"/>
        </w:rPr>
        <w:t xml:space="preserve">. </w:t>
      </w:r>
    </w:p>
    <w:p w14:paraId="6069CC12" w14:textId="77777777" w:rsidR="00D51C1A" w:rsidRPr="0071303E" w:rsidRDefault="00D51C1A" w:rsidP="0071303E">
      <w:pPr>
        <w:pStyle w:val="ListParagraph"/>
        <w:numPr>
          <w:ilvl w:val="0"/>
          <w:numId w:val="10"/>
        </w:numPr>
        <w:rPr>
          <w:rFonts w:eastAsia="Times New Roman"/>
        </w:rPr>
      </w:pPr>
      <w:r w:rsidRPr="0071303E">
        <w:rPr>
          <w:rFonts w:eastAsia="Times New Roman"/>
        </w:rPr>
        <w:lastRenderedPageBreak/>
        <w:t xml:space="preserve">Australian Institute of Health and Welfare (AIHW). </w:t>
      </w:r>
      <w:r w:rsidRPr="0071303E">
        <w:rPr>
          <w:rStyle w:val="Emphasis"/>
          <w:rFonts w:eastAsia="Times New Roman"/>
          <w:b w:val="0"/>
          <w:bCs w:val="0"/>
        </w:rPr>
        <w:t>Rural &amp; remote health</w:t>
      </w:r>
      <w:r w:rsidRPr="0071303E">
        <w:rPr>
          <w:rFonts w:eastAsia="Times New Roman"/>
        </w:rPr>
        <w:t xml:space="preserve">. Canberra: Australian Government, AIHW; 22 October 2019. Available from: https://www.aihw.gov.au/reports/rural-health/rural-remote-health/contents/rural-health. </w:t>
      </w:r>
    </w:p>
    <w:p w14:paraId="55C6B2CB"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Davies J, Littlejohn M, </w:t>
      </w:r>
      <w:proofErr w:type="spellStart"/>
      <w:r w:rsidRPr="0071303E">
        <w:rPr>
          <w:rFonts w:eastAsia="Times New Roman"/>
        </w:rPr>
        <w:t>Locarnini</w:t>
      </w:r>
      <w:proofErr w:type="spellEnd"/>
      <w:r w:rsidRPr="0071303E">
        <w:rPr>
          <w:rFonts w:eastAsia="Times New Roman"/>
        </w:rPr>
        <w:t xml:space="preserve"> SA, Whiting S, </w:t>
      </w:r>
      <w:proofErr w:type="spellStart"/>
      <w:r w:rsidRPr="0071303E">
        <w:rPr>
          <w:rFonts w:eastAsia="Times New Roman"/>
        </w:rPr>
        <w:t>Hajkowicz</w:t>
      </w:r>
      <w:proofErr w:type="spellEnd"/>
      <w:r w:rsidRPr="0071303E">
        <w:rPr>
          <w:rFonts w:eastAsia="Times New Roman"/>
        </w:rPr>
        <w:t xml:space="preserve"> K, Cowie BC et al. Molecular epidemiology of hepatitis B in the Indigenous people of northern Australia. </w:t>
      </w:r>
      <w:r w:rsidRPr="0071303E">
        <w:rPr>
          <w:rStyle w:val="Emphasis"/>
          <w:rFonts w:eastAsia="Times New Roman"/>
          <w:b w:val="0"/>
          <w:bCs w:val="0"/>
        </w:rPr>
        <w:t>J Gastroenterol Hepatol</w:t>
      </w:r>
      <w:r w:rsidRPr="0071303E">
        <w:rPr>
          <w:rFonts w:eastAsia="Times New Roman"/>
        </w:rPr>
        <w:t xml:space="preserve">. 2013;28(7):1234–41. </w:t>
      </w:r>
      <w:proofErr w:type="spellStart"/>
      <w:r w:rsidRPr="0071303E">
        <w:rPr>
          <w:rFonts w:eastAsia="Times New Roman"/>
        </w:rPr>
        <w:t>doi</w:t>
      </w:r>
      <w:proofErr w:type="spellEnd"/>
      <w:r w:rsidRPr="0071303E">
        <w:rPr>
          <w:rFonts w:eastAsia="Times New Roman"/>
        </w:rPr>
        <w:t xml:space="preserve">: https://doi.org/10.1111/jgh.12177. </w:t>
      </w:r>
    </w:p>
    <w:p w14:paraId="42C5F0EF"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Cheah BC, Davies J, Singh GR, Wood N, Jackson K, Littlejohn M et al. Sub-optimal protection against past hepatitis B virus infection where subtype mismatch exists between vaccine and circulating viral genotype in northern Australia. </w:t>
      </w:r>
      <w:r w:rsidRPr="0071303E">
        <w:rPr>
          <w:rStyle w:val="Emphasis"/>
          <w:rFonts w:eastAsia="Times New Roman"/>
          <w:b w:val="0"/>
          <w:bCs w:val="0"/>
        </w:rPr>
        <w:t>Vaccine</w:t>
      </w:r>
      <w:r w:rsidRPr="0071303E">
        <w:rPr>
          <w:rFonts w:eastAsia="Times New Roman"/>
        </w:rPr>
        <w:t xml:space="preserve">. 2018;36(24):3533–40. </w:t>
      </w:r>
      <w:proofErr w:type="spellStart"/>
      <w:r w:rsidRPr="0071303E">
        <w:rPr>
          <w:rFonts w:eastAsia="Times New Roman"/>
        </w:rPr>
        <w:t>doi</w:t>
      </w:r>
      <w:proofErr w:type="spellEnd"/>
      <w:r w:rsidRPr="0071303E">
        <w:rPr>
          <w:rFonts w:eastAsia="Times New Roman"/>
        </w:rPr>
        <w:t xml:space="preserve">: https://doi.org/10.1016/j.vaccine.2018.01.062. </w:t>
      </w:r>
    </w:p>
    <w:p w14:paraId="3EB8DCD6"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Holman CD, </w:t>
      </w:r>
      <w:proofErr w:type="spellStart"/>
      <w:r w:rsidRPr="0071303E">
        <w:rPr>
          <w:rFonts w:eastAsia="Times New Roman"/>
        </w:rPr>
        <w:t>Quadros</w:t>
      </w:r>
      <w:proofErr w:type="spellEnd"/>
      <w:r w:rsidRPr="0071303E">
        <w:rPr>
          <w:rFonts w:eastAsia="Times New Roman"/>
        </w:rPr>
        <w:t xml:space="preserve"> CF, </w:t>
      </w:r>
      <w:proofErr w:type="spellStart"/>
      <w:r w:rsidRPr="0071303E">
        <w:rPr>
          <w:rFonts w:eastAsia="Times New Roman"/>
        </w:rPr>
        <w:t>Bucens</w:t>
      </w:r>
      <w:proofErr w:type="spellEnd"/>
      <w:r w:rsidRPr="0071303E">
        <w:rPr>
          <w:rFonts w:eastAsia="Times New Roman"/>
        </w:rPr>
        <w:t xml:space="preserve"> MR, Reid PM. Occurrence and distribution of hepatitis B infection in the aboriginal population of Western Australia. </w:t>
      </w:r>
      <w:r w:rsidRPr="0071303E">
        <w:rPr>
          <w:rStyle w:val="Emphasis"/>
          <w:rFonts w:eastAsia="Times New Roman"/>
          <w:b w:val="0"/>
          <w:bCs w:val="0"/>
        </w:rPr>
        <w:t>Aust N Z J Med</w:t>
      </w:r>
      <w:r w:rsidRPr="0071303E">
        <w:rPr>
          <w:rFonts w:eastAsia="Times New Roman"/>
        </w:rPr>
        <w:t xml:space="preserve">. 1987;17(5):518–25. </w:t>
      </w:r>
      <w:proofErr w:type="spellStart"/>
      <w:r w:rsidRPr="0071303E">
        <w:rPr>
          <w:rFonts w:eastAsia="Times New Roman"/>
        </w:rPr>
        <w:t>doi</w:t>
      </w:r>
      <w:proofErr w:type="spellEnd"/>
      <w:r w:rsidRPr="0071303E">
        <w:rPr>
          <w:rFonts w:eastAsia="Times New Roman"/>
        </w:rPr>
        <w:t xml:space="preserve">: https://doi.org/10.1111/j.1445-5994.1987.tb00113.x. </w:t>
      </w:r>
    </w:p>
    <w:p w14:paraId="54FCD9AE"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Campbell DH, Sargent JW, Plant AJ. The prevalence of markers of infection with hepatitis B virus in a mixed-race Australian community. </w:t>
      </w:r>
      <w:r w:rsidRPr="0071303E">
        <w:rPr>
          <w:rStyle w:val="Emphasis"/>
          <w:rFonts w:eastAsia="Times New Roman"/>
          <w:b w:val="0"/>
          <w:bCs w:val="0"/>
        </w:rPr>
        <w:t>Med J Aust</w:t>
      </w:r>
      <w:r w:rsidRPr="0071303E">
        <w:rPr>
          <w:rFonts w:eastAsia="Times New Roman"/>
        </w:rPr>
        <w:t xml:space="preserve">. 1989;150(9):489–92. </w:t>
      </w:r>
      <w:proofErr w:type="spellStart"/>
      <w:r w:rsidRPr="0071303E">
        <w:rPr>
          <w:rFonts w:eastAsia="Times New Roman"/>
        </w:rPr>
        <w:t>doi</w:t>
      </w:r>
      <w:proofErr w:type="spellEnd"/>
      <w:r w:rsidRPr="0071303E">
        <w:rPr>
          <w:rFonts w:eastAsia="Times New Roman"/>
        </w:rPr>
        <w:t xml:space="preserve">: https://doi.org/10.5694/j.1326-5377.1989.tb136593.x. </w:t>
      </w:r>
    </w:p>
    <w:p w14:paraId="0337BD2F"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O’Sullivan BG, Gidding HF, Law M, Kaldor JM, Gilbert GL, Dore GJ. Estimates of chronic hepatitis B virus infection in Australia, 2000. </w:t>
      </w:r>
      <w:r w:rsidRPr="0071303E">
        <w:rPr>
          <w:rStyle w:val="Emphasis"/>
          <w:rFonts w:eastAsia="Times New Roman"/>
          <w:b w:val="0"/>
          <w:bCs w:val="0"/>
        </w:rPr>
        <w:t>Aust N Z J Public Health</w:t>
      </w:r>
      <w:r w:rsidRPr="0071303E">
        <w:rPr>
          <w:rFonts w:eastAsia="Times New Roman"/>
        </w:rPr>
        <w:t xml:space="preserve">. 2004;28(3):212–6. </w:t>
      </w:r>
      <w:proofErr w:type="spellStart"/>
      <w:r w:rsidRPr="0071303E">
        <w:rPr>
          <w:rFonts w:eastAsia="Times New Roman"/>
        </w:rPr>
        <w:t>doi</w:t>
      </w:r>
      <w:proofErr w:type="spellEnd"/>
      <w:r w:rsidRPr="0071303E">
        <w:rPr>
          <w:rFonts w:eastAsia="Times New Roman"/>
        </w:rPr>
        <w:t xml:space="preserve">: https://doi.org/10.1111/j.1467-842x.2004.tb00697.x. </w:t>
      </w:r>
    </w:p>
    <w:p w14:paraId="0C6166CE"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Australian Government Department of Health, </w:t>
      </w:r>
      <w:proofErr w:type="spellStart"/>
      <w:r w:rsidRPr="0071303E">
        <w:rPr>
          <w:rFonts w:eastAsia="Times New Roman"/>
        </w:rPr>
        <w:t>HealthDirect</w:t>
      </w:r>
      <w:proofErr w:type="spellEnd"/>
      <w:r w:rsidRPr="0071303E">
        <w:rPr>
          <w:rFonts w:eastAsia="Times New Roman"/>
        </w:rPr>
        <w:t xml:space="preserve">. Pregnancy Birth and Baby: Maternity services in remote Northern Territory. [Internet.] Canberra: Australian Government Department of Health; 2019. Available from: https://www.pregnancybirthbaby.org.au/maternity-services-in-remote-northern-territory. </w:t>
      </w:r>
    </w:p>
    <w:p w14:paraId="0FB19F32" w14:textId="77777777" w:rsidR="00D51C1A" w:rsidRPr="0071303E" w:rsidRDefault="00D51C1A" w:rsidP="0071303E">
      <w:pPr>
        <w:pStyle w:val="ListParagraph"/>
        <w:numPr>
          <w:ilvl w:val="0"/>
          <w:numId w:val="10"/>
        </w:numPr>
        <w:rPr>
          <w:rFonts w:eastAsia="Times New Roman"/>
        </w:rPr>
      </w:pPr>
      <w:r w:rsidRPr="0071303E">
        <w:rPr>
          <w:rFonts w:eastAsia="Times New Roman"/>
        </w:rPr>
        <w:t xml:space="preserve">Centre for Disease Control Department of Health Northern Territory. </w:t>
      </w:r>
      <w:r w:rsidRPr="0071303E">
        <w:rPr>
          <w:rStyle w:val="Emphasis"/>
          <w:rFonts w:eastAsia="Times New Roman"/>
          <w:b w:val="0"/>
          <w:bCs w:val="0"/>
        </w:rPr>
        <w:t>Northern Territory hepatitis B vaccination and public health guidelines</w:t>
      </w:r>
      <w:r w:rsidRPr="0071303E">
        <w:rPr>
          <w:rFonts w:eastAsia="Times New Roman"/>
        </w:rPr>
        <w:t>. Darwin: Northern Territory Centre for Disease Control; October 2013. Available from: https://hdl.handle.net/10137/710.</w:t>
      </w:r>
    </w:p>
    <w:p w14:paraId="0CA1F1B7"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BC2B55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7B3F63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DF88DFF" w14:textId="77777777" w:rsidR="000A5F42" w:rsidRPr="000606CC" w:rsidRDefault="000A5F42" w:rsidP="000A5F42">
      <w:pPr>
        <w:pStyle w:val="NoSpacing"/>
        <w:rPr>
          <w:rStyle w:val="URI"/>
          <w:rFonts w:cstheme="minorHAnsi"/>
          <w:sz w:val="20"/>
          <w:szCs w:val="18"/>
        </w:rPr>
      </w:pPr>
    </w:p>
    <w:p w14:paraId="136C1B1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5584F0C" w14:textId="77777777" w:rsidR="000A5F42" w:rsidRPr="000606CC" w:rsidRDefault="000A5F42" w:rsidP="000A5F42">
      <w:pPr>
        <w:pStyle w:val="NoSpacing"/>
        <w:rPr>
          <w:rStyle w:val="Strong"/>
          <w:rFonts w:cstheme="minorHAnsi"/>
          <w:sz w:val="20"/>
          <w:szCs w:val="18"/>
        </w:rPr>
      </w:pPr>
    </w:p>
    <w:p w14:paraId="17DD455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1EBA0D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A39FE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A39CBD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64EB58D" w14:textId="77777777" w:rsidR="000A5F42" w:rsidRPr="000606CC" w:rsidRDefault="000A5F42" w:rsidP="000A5F42">
      <w:pPr>
        <w:pStyle w:val="NoSpacing"/>
        <w:rPr>
          <w:rStyle w:val="Strong"/>
          <w:rFonts w:cstheme="minorHAnsi"/>
          <w:sz w:val="20"/>
          <w:szCs w:val="18"/>
        </w:rPr>
      </w:pPr>
    </w:p>
    <w:p w14:paraId="2497BB04" w14:textId="13F5307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BEE454B" w14:textId="77777777" w:rsidR="000A5F42" w:rsidRPr="000606CC" w:rsidRDefault="000A5F42" w:rsidP="000A5F42">
      <w:pPr>
        <w:pStyle w:val="NoSpacing"/>
        <w:rPr>
          <w:rStyle w:val="Strong"/>
          <w:rFonts w:cstheme="minorHAnsi"/>
          <w:sz w:val="20"/>
          <w:szCs w:val="18"/>
        </w:rPr>
      </w:pPr>
    </w:p>
    <w:p w14:paraId="2EE53AF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B140527" w14:textId="77777777" w:rsidR="000A5F42" w:rsidRPr="000606CC" w:rsidRDefault="000A5F42" w:rsidP="000A5F42">
      <w:pPr>
        <w:pStyle w:val="NoSpacing"/>
        <w:rPr>
          <w:rStyle w:val="Strong"/>
          <w:rFonts w:cstheme="minorHAnsi"/>
          <w:sz w:val="20"/>
          <w:szCs w:val="18"/>
        </w:rPr>
      </w:pPr>
    </w:p>
    <w:p w14:paraId="3A166077" w14:textId="1947EB9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77F9105" w14:textId="77777777" w:rsidR="000A5F42" w:rsidRPr="000606CC" w:rsidRDefault="000A5F42" w:rsidP="000A5F42">
      <w:pPr>
        <w:pStyle w:val="NoSpacing"/>
        <w:rPr>
          <w:rStyle w:val="Strong"/>
          <w:rFonts w:cstheme="minorHAnsi"/>
          <w:sz w:val="20"/>
          <w:szCs w:val="18"/>
        </w:rPr>
      </w:pPr>
    </w:p>
    <w:p w14:paraId="43EB33D9" w14:textId="5B0E075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130ED2A" w14:textId="04284AD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D073C39" w14:textId="77777777" w:rsidR="000A5F42" w:rsidRPr="000606CC" w:rsidRDefault="000A5F42" w:rsidP="000A5F42">
      <w:pPr>
        <w:pStyle w:val="NoSpacing"/>
        <w:pBdr>
          <w:bottom w:val="single" w:sz="6" w:space="1" w:color="auto"/>
        </w:pBdr>
        <w:rPr>
          <w:rStyle w:val="Strong"/>
          <w:rFonts w:cstheme="minorHAnsi"/>
          <w:sz w:val="12"/>
          <w:szCs w:val="18"/>
        </w:rPr>
      </w:pPr>
    </w:p>
    <w:p w14:paraId="599E39FC" w14:textId="77777777" w:rsidR="000A5F42" w:rsidRPr="000606CC" w:rsidRDefault="000A5F42" w:rsidP="000A5F42">
      <w:pPr>
        <w:pStyle w:val="NoSpacing"/>
        <w:rPr>
          <w:rFonts w:cstheme="minorHAnsi"/>
          <w:sz w:val="20"/>
          <w:szCs w:val="18"/>
        </w:rPr>
      </w:pPr>
    </w:p>
    <w:p w14:paraId="26236C3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37FC2505" w14:textId="77777777" w:rsidR="000A5F42" w:rsidRPr="000606CC" w:rsidRDefault="000A5F42" w:rsidP="000A5F42">
      <w:pPr>
        <w:pStyle w:val="NoSpacing"/>
        <w:rPr>
          <w:rFonts w:cstheme="minorHAnsi"/>
          <w:sz w:val="20"/>
          <w:szCs w:val="18"/>
        </w:rPr>
      </w:pPr>
    </w:p>
    <w:p w14:paraId="5F2507E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AAC457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40F6A">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DF2A4D4" w14:textId="3955EF7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0AA1961" w14:textId="77777777" w:rsidR="000A5F42" w:rsidRPr="000606CC" w:rsidRDefault="000A5F42" w:rsidP="000A5F42">
      <w:pPr>
        <w:pStyle w:val="NoSpacing"/>
        <w:rPr>
          <w:rFonts w:cstheme="minorHAnsi"/>
          <w:sz w:val="20"/>
          <w:szCs w:val="18"/>
        </w:rPr>
      </w:pPr>
    </w:p>
    <w:p w14:paraId="289C79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5E28700" w14:textId="52E048D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E61CCF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8FFE70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C4F019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DFBBB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D4C0442" w14:textId="77777777" w:rsidR="000A5F42" w:rsidRPr="000606CC" w:rsidRDefault="000A5F42" w:rsidP="000A5F42">
      <w:pPr>
        <w:pStyle w:val="NoSpacing"/>
        <w:rPr>
          <w:rStyle w:val="Strong"/>
          <w:rFonts w:cstheme="minorHAnsi"/>
          <w:sz w:val="20"/>
          <w:szCs w:val="18"/>
        </w:rPr>
      </w:pPr>
    </w:p>
    <w:p w14:paraId="784C28A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CC14061" w14:textId="77777777" w:rsidR="000A5F42" w:rsidRPr="000606CC" w:rsidRDefault="000A5F42" w:rsidP="000A5F42">
      <w:pPr>
        <w:pStyle w:val="NoSpacing"/>
        <w:rPr>
          <w:rStyle w:val="Strong"/>
          <w:rFonts w:cstheme="minorHAnsi"/>
          <w:sz w:val="20"/>
          <w:szCs w:val="18"/>
        </w:rPr>
      </w:pPr>
    </w:p>
    <w:p w14:paraId="3CCF8050" w14:textId="2144809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F7A43F1" w14:textId="77777777" w:rsidR="000A5F42" w:rsidRPr="000606CC" w:rsidRDefault="000A5F42" w:rsidP="000A5F42">
      <w:pPr>
        <w:pStyle w:val="NoSpacing"/>
        <w:rPr>
          <w:rStyle w:val="URI"/>
          <w:rFonts w:cstheme="minorHAnsi"/>
          <w:sz w:val="20"/>
          <w:szCs w:val="18"/>
        </w:rPr>
      </w:pPr>
    </w:p>
    <w:p w14:paraId="108D6E50" w14:textId="70484C3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CCDACFC"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7841D" w14:textId="77777777" w:rsidR="00A40F6A" w:rsidRDefault="00A40F6A" w:rsidP="00E54DBA">
      <w:r>
        <w:separator/>
      </w:r>
    </w:p>
    <w:p w14:paraId="5B1423D3" w14:textId="77777777" w:rsidR="00A40F6A" w:rsidRDefault="00A40F6A"/>
    <w:p w14:paraId="2EAF46F2" w14:textId="77777777" w:rsidR="00A40F6A" w:rsidRDefault="00A40F6A" w:rsidP="008714B0"/>
  </w:endnote>
  <w:endnote w:type="continuationSeparator" w:id="0">
    <w:p w14:paraId="0C8A5496" w14:textId="77777777" w:rsidR="00A40F6A" w:rsidRDefault="00A40F6A" w:rsidP="00E54DBA">
      <w:r>
        <w:continuationSeparator/>
      </w:r>
    </w:p>
    <w:p w14:paraId="31DBA887" w14:textId="77777777" w:rsidR="00A40F6A" w:rsidRDefault="00A40F6A"/>
    <w:p w14:paraId="52DD190F" w14:textId="77777777" w:rsidR="00A40F6A" w:rsidRDefault="00A40F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960143B-1EE1-4CEB-A69B-9E18F5282AD2}"/>
    <w:embedBold r:id="rId2" w:fontKey="{B53EB5CA-9FAE-4005-8629-85BAE79C1895}"/>
    <w:embedItalic r:id="rId3" w:fontKey="{C1508F63-E56F-4620-AB65-47C5110597DC}"/>
    <w:embedBoldItalic r:id="rId4" w:fontKey="{36EB4CDE-4FAA-4DF4-B927-0CEBD27FA6FF}"/>
  </w:font>
  <w:font w:name="Cambria">
    <w:panose1 w:val="02040503050406030204"/>
    <w:charset w:val="00"/>
    <w:family w:val="roman"/>
    <w:pitch w:val="variable"/>
    <w:sig w:usb0="E00006FF" w:usb1="420024FF" w:usb2="02000000" w:usb3="00000000" w:csb0="0000019F" w:csb1="00000000"/>
    <w:embedRegular r:id="rId5" w:fontKey="{6EBD856B-C196-4794-AD22-5D3A4CAE7FEB}"/>
    <w:embedBold r:id="rId6" w:fontKey="{E22849F4-2E4A-4BE1-A9B9-FF31C02BD97C}"/>
    <w:embedItalic r:id="rId7" w:fontKey="{384A2F2D-342F-49B5-A375-F3061D50AC72}"/>
    <w:embedBoldItalic r:id="rId8" w:fontKey="{70E6DDD0-6E2A-4E53-A5B2-2A5E30F7E99B}"/>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D1F7DEE-09CF-4218-88BD-727E0899CD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E963" w14:textId="3886039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51C1A">
      <w:rPr>
        <w:i/>
        <w:sz w:val="18"/>
      </w:rPr>
      <w:t>Commun</w:t>
    </w:r>
    <w:proofErr w:type="spellEnd"/>
    <w:r w:rsidR="00CE342B" w:rsidRPr="00D51C1A">
      <w:rPr>
        <w:i/>
        <w:sz w:val="18"/>
      </w:rPr>
      <w:t xml:space="preserve"> Dis </w:t>
    </w:r>
    <w:proofErr w:type="spellStart"/>
    <w:r w:rsidR="00CE342B" w:rsidRPr="00D51C1A">
      <w:rPr>
        <w:i/>
        <w:sz w:val="18"/>
      </w:rPr>
      <w:t>Intell</w:t>
    </w:r>
    <w:proofErr w:type="spellEnd"/>
    <w:r w:rsidR="00CE342B" w:rsidRPr="00D51C1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40F6A">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40F6A">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C4832">
      <w:rPr>
        <w:sz w:val="18"/>
      </w:rPr>
      <w:t>https://doi.org/10.33321/cdi.2022.46.62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C4832">
      <w:rPr>
        <w:sz w:val="18"/>
      </w:rPr>
      <w:t>26/09/2022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326F" w14:textId="1C9E98D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51C1A">
      <w:rPr>
        <w:i/>
        <w:sz w:val="18"/>
      </w:rPr>
      <w:t>Commun</w:t>
    </w:r>
    <w:proofErr w:type="spellEnd"/>
    <w:r w:rsidR="00A164D5" w:rsidRPr="00D51C1A">
      <w:rPr>
        <w:i/>
        <w:sz w:val="18"/>
      </w:rPr>
      <w:t xml:space="preserve"> Dis </w:t>
    </w:r>
    <w:proofErr w:type="spellStart"/>
    <w:r w:rsidR="00A164D5" w:rsidRPr="00D51C1A">
      <w:rPr>
        <w:i/>
        <w:sz w:val="18"/>
      </w:rPr>
      <w:t>Intell</w:t>
    </w:r>
    <w:proofErr w:type="spellEnd"/>
    <w:r w:rsidR="00A164D5" w:rsidRPr="00D51C1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40F6A">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40F6A">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C4832">
      <w:rPr>
        <w:sz w:val="18"/>
      </w:rPr>
      <w:t>https://doi.org/10.33321/cdi.2022.46.62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C4832">
      <w:rPr>
        <w:sz w:val="18"/>
      </w:rPr>
      <w:t>26/09/2022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202AF" w14:textId="77777777" w:rsidR="00A40F6A" w:rsidRPr="00B91FB5" w:rsidRDefault="00A40F6A" w:rsidP="00B91FB5">
      <w:pPr>
        <w:spacing w:after="0" w:line="240" w:lineRule="auto"/>
        <w:rPr>
          <w:sz w:val="18"/>
          <w:szCs w:val="18"/>
        </w:rPr>
      </w:pPr>
      <w:r w:rsidRPr="00B91FB5">
        <w:rPr>
          <w:sz w:val="18"/>
          <w:szCs w:val="18"/>
        </w:rPr>
        <w:separator/>
      </w:r>
    </w:p>
  </w:footnote>
  <w:footnote w:type="continuationSeparator" w:id="0">
    <w:p w14:paraId="67AE3DBB" w14:textId="77777777" w:rsidR="00A40F6A" w:rsidRDefault="00A40F6A" w:rsidP="00E54DBA">
      <w:r>
        <w:continuationSeparator/>
      </w:r>
    </w:p>
  </w:footnote>
  <w:footnote w:type="continuationNotice" w:id="1">
    <w:p w14:paraId="1C32F4B8" w14:textId="77777777" w:rsidR="00A40F6A" w:rsidRPr="00224EFF" w:rsidRDefault="00A40F6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9FBE6" w14:textId="75BD6935" w:rsidR="00257484" w:rsidRPr="00A153B6" w:rsidRDefault="002C483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01DEB">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D6F2"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513030A" wp14:editId="3568717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A97"/>
    <w:multiLevelType w:val="multilevel"/>
    <w:tmpl w:val="356A7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7465F5"/>
    <w:multiLevelType w:val="hybridMultilevel"/>
    <w:tmpl w:val="78468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46050"/>
    <w:multiLevelType w:val="hybridMultilevel"/>
    <w:tmpl w:val="498C1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B83DC9"/>
    <w:multiLevelType w:val="multilevel"/>
    <w:tmpl w:val="3030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F6A"/>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40B7"/>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4832"/>
    <w:rsid w:val="002C7093"/>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361E0"/>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1303E"/>
    <w:rsid w:val="00731BC3"/>
    <w:rsid w:val="00741192"/>
    <w:rsid w:val="00743A33"/>
    <w:rsid w:val="00746080"/>
    <w:rsid w:val="0075144A"/>
    <w:rsid w:val="0078232D"/>
    <w:rsid w:val="00786329"/>
    <w:rsid w:val="00792C7D"/>
    <w:rsid w:val="00794A4D"/>
    <w:rsid w:val="007A5234"/>
    <w:rsid w:val="007B7854"/>
    <w:rsid w:val="007C56A1"/>
    <w:rsid w:val="007C6454"/>
    <w:rsid w:val="007E01E0"/>
    <w:rsid w:val="007E5CA0"/>
    <w:rsid w:val="007F0B93"/>
    <w:rsid w:val="007F2ECA"/>
    <w:rsid w:val="00801DEB"/>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A7C54"/>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0F6A"/>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AF41B4"/>
    <w:rsid w:val="00B01F99"/>
    <w:rsid w:val="00B02B37"/>
    <w:rsid w:val="00B05276"/>
    <w:rsid w:val="00B132DB"/>
    <w:rsid w:val="00B31427"/>
    <w:rsid w:val="00B33861"/>
    <w:rsid w:val="00B40DE2"/>
    <w:rsid w:val="00B50210"/>
    <w:rsid w:val="00B53955"/>
    <w:rsid w:val="00B55E44"/>
    <w:rsid w:val="00B6408A"/>
    <w:rsid w:val="00B6478A"/>
    <w:rsid w:val="00B714B8"/>
    <w:rsid w:val="00B82C2C"/>
    <w:rsid w:val="00B865D6"/>
    <w:rsid w:val="00B8720B"/>
    <w:rsid w:val="00B876EF"/>
    <w:rsid w:val="00B91FB5"/>
    <w:rsid w:val="00BA4697"/>
    <w:rsid w:val="00BB5378"/>
    <w:rsid w:val="00BC0BD3"/>
    <w:rsid w:val="00BC11EF"/>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C1A"/>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B89175"/>
  <w15:docId w15:val="{E077619E-867C-458C-803D-F77A8D79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23</TotalTime>
  <Pages>10</Pages>
  <Words>4546</Words>
  <Characters>26872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Communicable Diseases Intelligence - Hepatitis B prevalence in women giving birth in the Northern Territory, Australia, 2005–2015</vt:lpstr>
    </vt:vector>
  </TitlesOfParts>
  <Company>Australian Government, Department of Health</Company>
  <LinksUpToDate>false</LinksUpToDate>
  <CharactersWithSpaces>31356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Hepatitis B prevalence in women giving birth in the Northern Territory, Australia, 2005–2015</dc:title>
  <dc:subject>This article describes the linkage of two routinely collected registries, the Northern Territory (NT) Perinatal Register and the NT Notifiable Diseases System. The data were analysed to investigate the prevalence of hepatitis B virus infection in women giving birth from 2005-2015, according to eligibility for infant hepatitis B virus vaccination. The analysis showed that there were 22781 women recorded as giving birth in public hospitals in the Northern Territory during the study period. Hepatitis B virus prevalence was highest in Aboriginal and Torres Strait Islander and overseas born women. Among Aboriginal and Torres Strait Islander women, estimated hepatitis B virus prevalence was significantly higher in those born before the implementation of the vaccination program with prevalence highest amongst those living in very remote areas.</dc:subject>
  <dc:creator>Amalie Dyda; Skye McGregor; Paula Binks; Jane Davies; Steven YC Tong; Vicki Krause; Peter Markey; Shu Li Qin Li; Joshua S Davis; John M Kaldor; Bette Liu</dc:creator>
  <cp:keywords>Hepatitis B; prevalence; Australia; Epidemiology; Data linkage</cp:keywords>
  <dc:description>© Commonwealth of Australia CC BY-NC-ND ISSN: 2209-6051 (Online)</dc:description>
  <cp:lastModifiedBy>YOUSEFI, Kasra</cp:lastModifiedBy>
  <cp:revision>3</cp:revision>
  <cp:lastPrinted>2018-05-10T02:19:00Z</cp:lastPrinted>
  <dcterms:created xsi:type="dcterms:W3CDTF">2022-07-29T02:10:00Z</dcterms:created>
  <dcterms:modified xsi:type="dcterms:W3CDTF">2022-09-19T06:27:00Z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https://doi.org/10.33321/cdi.2022.46.62</vt:lpwstr>
  </property>
</Properties>
</file>