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6BEC63" w14:textId="77777777" w:rsidR="00661052" w:rsidRPr="003C14B4" w:rsidRDefault="00661052" w:rsidP="003C14B4">
      <w:pPr>
        <w:pStyle w:val="Title"/>
      </w:pPr>
      <w:r w:rsidRPr="003C14B4">
        <w:t xml:space="preserve">Pens down: An outbreak of the B.1.617.2 SARS-CoV-2 variant in an Australian high school, August 2021 </w:t>
      </w:r>
    </w:p>
    <w:p w14:paraId="58586522" w14:textId="77777777" w:rsidR="00661052" w:rsidRDefault="00661052" w:rsidP="00661052">
      <w:r>
        <w:t xml:space="preserve">Keeley Allen, Alexandra Marmor, </w:t>
      </w:r>
      <w:proofErr w:type="spellStart"/>
      <w:r>
        <w:t>Davoud</w:t>
      </w:r>
      <w:proofErr w:type="spellEnd"/>
      <w:r>
        <w:t xml:space="preserve"> </w:t>
      </w:r>
      <w:proofErr w:type="spellStart"/>
      <w:r>
        <w:t>Pourmarzi</w:t>
      </w:r>
      <w:proofErr w:type="spellEnd"/>
      <w:r>
        <w:t xml:space="preserve"> </w:t>
      </w:r>
    </w:p>
    <w:p w14:paraId="522CBB04" w14:textId="77777777" w:rsidR="00661052" w:rsidRPr="00661052" w:rsidRDefault="00661052" w:rsidP="00661052">
      <w:pPr>
        <w:pStyle w:val="Heading1"/>
      </w:pPr>
      <w:r w:rsidRPr="00661052">
        <w:t xml:space="preserve">Abstract </w:t>
      </w:r>
    </w:p>
    <w:p w14:paraId="190F775A" w14:textId="77777777" w:rsidR="00661052" w:rsidRPr="00661052" w:rsidRDefault="00661052" w:rsidP="00661052">
      <w:pPr>
        <w:pStyle w:val="Heading2"/>
      </w:pPr>
      <w:r w:rsidRPr="00661052">
        <w:t xml:space="preserve">Background </w:t>
      </w:r>
    </w:p>
    <w:p w14:paraId="01626495" w14:textId="77777777" w:rsidR="00661052" w:rsidRDefault="00661052" w:rsidP="00661052">
      <w:r>
        <w:t xml:space="preserve">Little is known about the transmission dynamics of the B.1.617.2 (Delta) variant of severe acute respiratory syndrome coronavirus 2 (SARS-CoV-2) among children and young adolescents. We investigated an outbreak in an Australian high school, with limited public health mitigation measures in place, to understand the school activities associated with transmission, and the role of young adolescents in spreading SARS-CoV-2. </w:t>
      </w:r>
    </w:p>
    <w:p w14:paraId="36B9540A" w14:textId="77777777" w:rsidR="00661052" w:rsidRPr="00661052" w:rsidRDefault="00661052" w:rsidP="00661052">
      <w:pPr>
        <w:pStyle w:val="Heading2"/>
      </w:pPr>
      <w:r w:rsidRPr="00661052">
        <w:t xml:space="preserve">Methods </w:t>
      </w:r>
    </w:p>
    <w:p w14:paraId="7ED9C80A" w14:textId="77777777" w:rsidR="00661052" w:rsidRDefault="00661052" w:rsidP="00661052">
      <w:r>
        <w:t xml:space="preserve">All 1,164 school attendees were monitored for SARS-CoV-2 infection through their mandated 14-day quarantine period. A cohort study design was used to investigate the effect of contact with the index case in different classes on the transmission of SARS-CoV-2, and the effect of vaccination among household contacts on becoming infected by SARS-CoV-2. </w:t>
      </w:r>
    </w:p>
    <w:p w14:paraId="03DC2D16" w14:textId="77777777" w:rsidR="00661052" w:rsidRPr="00661052" w:rsidRDefault="00661052" w:rsidP="00661052">
      <w:pPr>
        <w:pStyle w:val="Heading2"/>
      </w:pPr>
      <w:r w:rsidRPr="00661052">
        <w:t xml:space="preserve">Results </w:t>
      </w:r>
    </w:p>
    <w:p w14:paraId="30BA4570" w14:textId="77777777" w:rsidR="00661052" w:rsidRDefault="00661052" w:rsidP="00661052">
      <w:r>
        <w:t xml:space="preserve">There were 48 outbreak cases, including 14 students and one teacher who likely acquired their infection at the school. Attack rates among students in the index case’s classes ranged from 0% to 45%. The greatest risk of infection for students in the same grade attending a class with the index case were from the drama class (risk ratio, RR: 111.6; 95% confidence interval (95% CI): 14.88–837.19) and the personal development, health, and physical education class (RR: 7.45: 95% CI: 2.27–24.44). The overall household attack rate was 57%, and household contacts who were not fully vaccinated were 2.9 times more likely (95% CI: 1.07–7.87) to become cases than were effectively-vaccinated household contacts. </w:t>
      </w:r>
    </w:p>
    <w:p w14:paraId="7506A61D" w14:textId="77777777" w:rsidR="00661052" w:rsidRPr="00661052" w:rsidRDefault="00661052" w:rsidP="00661052">
      <w:pPr>
        <w:pStyle w:val="Heading2"/>
      </w:pPr>
      <w:r w:rsidRPr="00661052">
        <w:t xml:space="preserve">Conclusion </w:t>
      </w:r>
    </w:p>
    <w:p w14:paraId="1B1F8ADE" w14:textId="77777777" w:rsidR="00661052" w:rsidRDefault="00661052" w:rsidP="00661052">
      <w:r>
        <w:t xml:space="preserve">Children can play an important role in the transmission of the Delta variant of SARS-CoV-2 within schools and at home. Transmission in this outbreak was largely associated with active, practical lessons that had close contact between students. This study demonstrates that the absence of public health and social measures in a low-incidence context resulted in the rapid spread of coronavirus disease 2019 (COVID-19) within an educational setting. These findings reinforce the role of public health and social measures and vaccinations to reduce airborne transmission and to enable a safe face-to-face learning environment. </w:t>
      </w:r>
    </w:p>
    <w:p w14:paraId="241F2285" w14:textId="1B8C38AE" w:rsidR="00661052" w:rsidRDefault="00661052" w:rsidP="00661052">
      <w:r>
        <w:t>Keywords: COVID-19; SARS-CoV-2; schools; risk factors; outbreak; contact tracing; adolescent; child; transmission;</w:t>
      </w:r>
      <w:r w:rsidR="00E821DF">
        <w:t> </w:t>
      </w:r>
      <w:r>
        <w:t xml:space="preserve">classroom </w:t>
      </w:r>
    </w:p>
    <w:p w14:paraId="597C00D0" w14:textId="77777777" w:rsidR="00661052" w:rsidRPr="00661052" w:rsidRDefault="00661052" w:rsidP="00661052">
      <w:pPr>
        <w:pStyle w:val="Heading1"/>
      </w:pPr>
      <w:r w:rsidRPr="00661052">
        <w:t xml:space="preserve">Introduction </w:t>
      </w:r>
    </w:p>
    <w:p w14:paraId="053803C2" w14:textId="77777777" w:rsidR="00661052" w:rsidRDefault="00661052" w:rsidP="00661052">
      <w:r>
        <w:t xml:space="preserve">After 16 months of no known local transmission in the Australian Capital Territory (ACT), the first </w:t>
      </w:r>
      <w:proofErr w:type="gramStart"/>
      <w:r>
        <w:t>locally-acquired</w:t>
      </w:r>
      <w:proofErr w:type="gramEnd"/>
      <w:r>
        <w:t xml:space="preserve"> coronavirus disease 2019 (COVID-19) case of 2021 was notified to the ACT Health Directorate (ACT Health) on 12 August 2021. This prompted a territory-wide stay-at-home order and the closure of the ACT’s schools. A mask mandate was introduced for all persons aged 12 years and over; non-essential services were closed; schools were closed; and home-based learning was introduced for ACT students.</w:t>
      </w:r>
      <w:r>
        <w:rPr>
          <w:vertAlign w:val="superscript"/>
        </w:rPr>
        <w:t>1</w:t>
      </w:r>
      <w:r>
        <w:t xml:space="preserve"> On 15 August 2021, ACT Health was notified of a </w:t>
      </w:r>
      <w:r>
        <w:lastRenderedPageBreak/>
        <w:t xml:space="preserve">high school student with a positive reverse transcription polymerase chain reaction (RT-PCR) test result for severe acute respiratory syndrome coronavirus 2 (SARS-CoV-2). </w:t>
      </w:r>
    </w:p>
    <w:p w14:paraId="50F4D4EF" w14:textId="77777777" w:rsidR="00661052" w:rsidRDefault="00661052" w:rsidP="00661052">
      <w:r>
        <w:t>While infectious, the student attended a local public high school serving 1,079 students aged 12–16 years (grades 7–10), with 114 staff. Students were grouped into different classes for each subject and attended multiple classrooms through the school day. The school had been operating face-to-face learning for the 2021 school year and masks were not required for staff or students. Public health and social measures across ACT schools focused on hand hygiene promotion and on increased frequency of cleaning services. At the time of this outbreak, people aged 29 years and younger were not eligible for a COVID-19 vaccination.</w:t>
      </w:r>
      <w:r>
        <w:rPr>
          <w:vertAlign w:val="superscript"/>
        </w:rPr>
        <w:t>2</w:t>
      </w:r>
      <w:r>
        <w:t xml:space="preserve"> </w:t>
      </w:r>
    </w:p>
    <w:p w14:paraId="5B99BC26" w14:textId="77777777" w:rsidR="00661052" w:rsidRDefault="00661052" w:rsidP="00661052">
      <w:r>
        <w:t>The index case became symptomatic on 12 August 2021 with a sore throat and fever, undertook a RT-PCR test on 14 August 2021 and was notified to ACT Health on 15 August 2021. The student was considered infectious while symptomatic and for three days before symptom onset. From Monday 9 August to Thursday 12 August 2021 during this infectious period they had attended school, which was considered a high-risk setting.</w:t>
      </w:r>
      <w:r>
        <w:rPr>
          <w:vertAlign w:val="superscript"/>
        </w:rPr>
        <w:t>3</w:t>
      </w:r>
      <w:r>
        <w:t xml:space="preserve"> Genomic sequencing on 17 August 2021 confirmed that the student case was infected with the B.1.617.2 (Delta) variant. This outbreak investigation documents the transmission of the B.1.617.2 variant of SARS-CoV-2 from a single student to others in a classroom setting. In this report, we describe the investigation, the epidemiological characteristics of the outbreak, and the risk factors associated with transmission at the high school. </w:t>
      </w:r>
    </w:p>
    <w:p w14:paraId="33D3EA27" w14:textId="77777777" w:rsidR="00661052" w:rsidRPr="00661052" w:rsidRDefault="00661052" w:rsidP="00661052">
      <w:pPr>
        <w:pStyle w:val="Heading1"/>
      </w:pPr>
      <w:r w:rsidRPr="00661052">
        <w:t xml:space="preserve">Methods </w:t>
      </w:r>
    </w:p>
    <w:p w14:paraId="63CAA6AB" w14:textId="77777777" w:rsidR="00661052" w:rsidRDefault="00661052" w:rsidP="00661052">
      <w:r>
        <w:t>A school-associated case was defined as a person with a positive RT-PCR test for SARS-CoV-2 who attended the high school between 9 August 2021 and 12 August 2021. A household-associated case was defined as a person who received a positive RT-PCR test for SARS-CoV-2 and who was a household contact of an outbreak case. All people who attended the school campus any day between 9 August 2021 and 12 August 2021 were considered close contacts of the index case and were required to quarantine for 14 days after their exposure date, and to be tested immediately and on days 5 and 13 of quarantine, or upon the development of symptoms. The household contacts of the close contact attendees were considered secondary contacts and were required to quarantine for 14 days and to get tested if they developed symptoms of COVID-19.</w:t>
      </w:r>
      <w:r>
        <w:rPr>
          <w:vertAlign w:val="superscript"/>
        </w:rPr>
        <w:t>4</w:t>
      </w:r>
      <w:r>
        <w:t xml:space="preserve"> A household close contact was defined as a person residing in the same dwelling as an outbreak case during their infectious period. </w:t>
      </w:r>
    </w:p>
    <w:p w14:paraId="7068D96A" w14:textId="77777777" w:rsidR="00661052" w:rsidRDefault="00661052" w:rsidP="00661052">
      <w:r>
        <w:t xml:space="preserve">All cases in this outbreak were interviewed to ascertain their symptomology, potential exposures, and vaccination status. A breakthrough infection was defined as a confirmed case who had received two doses of COVID-19 vaccine at least 14 days prior to symptom onset. </w:t>
      </w:r>
    </w:p>
    <w:p w14:paraId="0169BBE9" w14:textId="77777777" w:rsidR="00661052" w:rsidRDefault="00661052" w:rsidP="00661052">
      <w:r>
        <w:t xml:space="preserve">A cohort study design was used to investigate the effect of contact with the index case in different classes on the transmission of SARS-CoV-2. The cohort included all students in the same grade as the index case who attended the high school between Monday 9 August and Thursday 12 August 2021. Only students in the same grade as the index case were included, as students from other year groups could not be enrolled in the index case’s classes. Exposure was defined as attending a class with the index case for any length of time. The outcome was defined as having a positive RT-PCR test. Data on exposure were collected through interviews using a standard questionnaire, with the case and their legal guardian, to ascertain movements and activities at school, and through reviewing school timetables. All attendees were followed up until 14 days after their last exposure date at the school. Data was collected and managed using </w:t>
      </w:r>
      <w:proofErr w:type="spellStart"/>
      <w:r>
        <w:t>REDCap</w:t>
      </w:r>
      <w:proofErr w:type="spellEnd"/>
      <w:r>
        <w:t xml:space="preserve"> electronic data capture tools hosted at ACT Health.</w:t>
      </w:r>
      <w:r>
        <w:rPr>
          <w:vertAlign w:val="superscript"/>
        </w:rPr>
        <w:t>5,6</w:t>
      </w:r>
      <w:r>
        <w:t xml:space="preserve"> </w:t>
      </w:r>
    </w:p>
    <w:p w14:paraId="505A8B9F" w14:textId="77777777" w:rsidR="00661052" w:rsidRDefault="00661052" w:rsidP="00661052">
      <w:r>
        <w:t xml:space="preserve">Attack rates were calculated for attendees and non-attendees for each class attended by the index case. Relative risk (RR) and associated 95% confidence intervals (95% CI) were calculated for students in the same grade as the index </w:t>
      </w:r>
      <w:r>
        <w:lastRenderedPageBreak/>
        <w:t xml:space="preserve">case, to examine the association between attending different classes and becoming a confirmed COVID-19 case. Staff members were excluded from these analyses. The effect of being fully vaccinated on becoming infected by SARS-CoV-2 was examined by calculating attack rates and relative risk for household contacts of outbreak cases. For the purposes of the relative risk calculations, fully vaccinated was defined as receiving two doses at least 14 days before the start of the infectious period for the first case in the household. Results of hypothesis testing were considered statistically significant where confidence intervals did not include 1 and </w:t>
      </w:r>
      <w:r w:rsidRPr="00BE1B3E">
        <w:rPr>
          <w:rStyle w:val="Emphasis"/>
          <w:b w:val="0"/>
          <w:bCs w:val="0"/>
        </w:rPr>
        <w:t>p</w:t>
      </w:r>
      <w:r>
        <w:t xml:space="preserve"> values were less than 0.05. Statistical analysis was conducted in </w:t>
      </w:r>
      <w:r w:rsidRPr="00BE1B3E">
        <w:rPr>
          <w:rStyle w:val="Emphasis"/>
          <w:b w:val="0"/>
          <w:bCs w:val="0"/>
        </w:rPr>
        <w:t>R</w:t>
      </w:r>
      <w:r>
        <w:t xml:space="preserve"> version 4.1.1. </w:t>
      </w:r>
    </w:p>
    <w:p w14:paraId="3CAB3286" w14:textId="3A181940" w:rsidR="00661052" w:rsidRDefault="00661052" w:rsidP="00661052">
      <w:r>
        <w:t>Whole genomic sequencing was conducted by the Australian National University on behalf of ACT Health, with lineage assigned using Phylogenetic Assignment of Named Global Outbreak Lineages (PANGOLIN) nomenclature.</w:t>
      </w:r>
      <w:r w:rsidR="002D574E">
        <w:rPr>
          <w:rStyle w:val="FootnoteReference"/>
        </w:rPr>
        <w:footnoteReference w:id="2"/>
      </w:r>
      <w:r>
        <w:t xml:space="preserve"> </w:t>
      </w:r>
    </w:p>
    <w:p w14:paraId="0EBE02DE" w14:textId="77777777" w:rsidR="00661052" w:rsidRDefault="00661052" w:rsidP="00661052">
      <w:r>
        <w:t xml:space="preserve">The investigation formed part of a public health emergency response under the </w:t>
      </w:r>
      <w:r w:rsidRPr="00BE1B3E">
        <w:rPr>
          <w:rStyle w:val="Emphasis"/>
          <w:b w:val="0"/>
          <w:bCs w:val="0"/>
        </w:rPr>
        <w:t>ACT</w:t>
      </w:r>
      <w:r>
        <w:t xml:space="preserve"> </w:t>
      </w:r>
      <w:r w:rsidRPr="00BE1B3E">
        <w:rPr>
          <w:rStyle w:val="Emphasis"/>
          <w:b w:val="0"/>
          <w:bCs w:val="0"/>
        </w:rPr>
        <w:t>Public Health Act 2010;</w:t>
      </w:r>
      <w:r>
        <w:t xml:space="preserve"> therefore, ethics approval was not required. This investigation is covered by the Australian National University Human Research Ethics Committee (Protocol 2017/909) standing approval for outbreak investigations involving staff and students. </w:t>
      </w:r>
    </w:p>
    <w:p w14:paraId="2A80BD5D" w14:textId="77777777" w:rsidR="00661052" w:rsidRPr="00661052" w:rsidRDefault="00661052" w:rsidP="00661052">
      <w:pPr>
        <w:pStyle w:val="Heading1"/>
      </w:pPr>
      <w:r w:rsidRPr="00661052">
        <w:t xml:space="preserve">Results </w:t>
      </w:r>
    </w:p>
    <w:p w14:paraId="27ED73E6" w14:textId="77777777" w:rsidR="00661052" w:rsidRPr="00661052" w:rsidRDefault="00661052" w:rsidP="00661052">
      <w:pPr>
        <w:pStyle w:val="Heading2"/>
      </w:pPr>
      <w:r w:rsidRPr="00661052">
        <w:t xml:space="preserve">Outbreak associated cases </w:t>
      </w:r>
    </w:p>
    <w:p w14:paraId="5B841399" w14:textId="77777777" w:rsidR="00661052" w:rsidRDefault="00661052" w:rsidP="00661052">
      <w:r>
        <w:t xml:space="preserve">Fifteen students who had not attended the school campus between 9 August and 12 August 2021 were excluded. A total of 110 out of 114 (96.5%) staff members and 1,054 out of 1,064 (99.1%) included students were tested for SARS-CoV-2 during the quarantine period. </w:t>
      </w:r>
    </w:p>
    <w:p w14:paraId="74F0B4A3" w14:textId="77777777" w:rsidR="00661052" w:rsidRDefault="00661052" w:rsidP="00661052">
      <w:r>
        <w:t xml:space="preserve">Overall, there were 48 outbreak cases. Sixteen cases were school-associated and were likely to have acquired their infection from the index case at the school, including one staff member and fifteen students. A further five students who attended the school were assessed as likely to have acquired their infection as a household close contact of an infectious sibling who also attended the high school, based on their time of symptom onset. A further 27 household contacts were notified as confirmed COVID-19 cases. The key characteristics of the cases are summarised in Table 1. The median age of the cases was 15 years (IQR: 13–40 years) and 63% of cases (30/48) were female. There were no hospitalisations or deaths. </w:t>
      </w:r>
    </w:p>
    <w:p w14:paraId="514ECC2C" w14:textId="77777777" w:rsidR="00661052" w:rsidRDefault="00661052" w:rsidP="00661052">
      <w:r>
        <w:t xml:space="preserve">Forty-two samples from this outbreak were sequenced, and six were unable to be sequenced. All sequenced samples were the B.1.617.2 (Delta) variant and were within two single nucleotide polymorphisms (SNPs) of the index case’s sequence. </w:t>
      </w:r>
    </w:p>
    <w:p w14:paraId="56FB90AB" w14:textId="77777777" w:rsidR="00661052" w:rsidRDefault="00661052" w:rsidP="00661052">
      <w:r>
        <w:t xml:space="preserve">An epidemic curve of the outbreak by symptom onset date is shown in Figure 1. One school-associated case reported the same symptom onset date as the index case. The genomic analysis indicated that this secondary case was closely related, but not identical and suggests the transmission event may have occurred earlier in the index case’s infectious period. Further, this second student did not share their genomic sequence with any other school-associated cases, suggesting only one index case was present in this outbreak. </w:t>
      </w:r>
    </w:p>
    <w:p w14:paraId="0BE9E46A" w14:textId="77777777" w:rsidR="00661052" w:rsidRDefault="00661052" w:rsidP="00661052">
      <w:r>
        <w:t xml:space="preserve">Among the 14 age-eligible cases, six were unvaccinated, three had received one dose, and five cases had received two doses. Three of the latter were breakthrough infections. </w:t>
      </w:r>
    </w:p>
    <w:p w14:paraId="26EC6664" w14:textId="632D4CCB" w:rsidR="00661052" w:rsidRDefault="00661052" w:rsidP="00661052">
      <w:r>
        <w:t xml:space="preserve">All but one case reported at least one COVID-19 symptom throughout their infection. The remaining case was asymptomatic through their infection. The most </w:t>
      </w:r>
      <w:proofErr w:type="gramStart"/>
      <w:r>
        <w:t>commonly-reported</w:t>
      </w:r>
      <w:proofErr w:type="gramEnd"/>
      <w:r>
        <w:t xml:space="preserve"> symptoms among child and adult cases were </w:t>
      </w:r>
      <w:r>
        <w:lastRenderedPageBreak/>
        <w:t>cough (83%; 40/48), runny or blocked nose (81%; 39/48), and headache (79%; 38/48) (Figure 2). A greater proportion of adult cases than child cases reported alteration of taste or smell; muscle or joint pain; diarrhoea; shortness of breath; or chest pain.</w:t>
      </w:r>
    </w:p>
    <w:p w14:paraId="6CC86681" w14:textId="3C238013" w:rsidR="00FF575F" w:rsidRPr="00940A24" w:rsidRDefault="00FF575F" w:rsidP="00FF575F">
      <w:pPr>
        <w:pStyle w:val="CDIFigures"/>
      </w:pPr>
      <w:r w:rsidRPr="00940A24">
        <w:rPr>
          <w:rStyle w:val="Strong"/>
          <w:b/>
          <w:bCs w:val="0"/>
        </w:rPr>
        <w:t>Table 1: Characteristics of cases associated with the B.1.617.2 high school outbreak (n = 48), Australian Capital Territory, August 2021</w:t>
      </w:r>
    </w:p>
    <w:tbl>
      <w:tblPr>
        <w:tblStyle w:val="CDI-StandardTable"/>
        <w:tblW w:w="0" w:type="auto"/>
        <w:tblLook w:val="04A0" w:firstRow="1" w:lastRow="0" w:firstColumn="1" w:lastColumn="0" w:noHBand="0" w:noVBand="1"/>
        <w:tblDescription w:val="This table shows the sex, age (presented in 10-year age groups), Indigenous status, country of birth, and vaccination status of cases associated with this outbreak by exposure setting. The exposure settings are school associated cases (including the index case) and household associated cases."/>
      </w:tblPr>
      <w:tblGrid>
        <w:gridCol w:w="3788"/>
        <w:gridCol w:w="1867"/>
        <w:gridCol w:w="2155"/>
        <w:gridCol w:w="2630"/>
      </w:tblGrid>
      <w:tr w:rsidR="00FF575F" w:rsidRPr="00D74229" w14:paraId="24B56991" w14:textId="77777777" w:rsidTr="00FF575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886E49"/>
            </w:tcBorders>
            <w:hideMark/>
          </w:tcPr>
          <w:p w14:paraId="5F114458" w14:textId="77777777" w:rsidR="00FF575F" w:rsidRPr="00D74229" w:rsidRDefault="00FF575F" w:rsidP="00F13C1A">
            <w:pPr>
              <w:pStyle w:val="NormalWeb"/>
              <w:rPr>
                <w:color w:val="FFFFFF" w:themeColor="background1"/>
                <w:sz w:val="18"/>
                <w:szCs w:val="18"/>
              </w:rPr>
            </w:pPr>
            <w:r w:rsidRPr="00D74229">
              <w:rPr>
                <w:color w:val="FFFFFF" w:themeColor="background1"/>
                <w:sz w:val="18"/>
                <w:szCs w:val="18"/>
              </w:rPr>
              <w:t>Characteristic</w:t>
            </w:r>
          </w:p>
        </w:tc>
        <w:tc>
          <w:tcPr>
            <w:tcW w:w="0" w:type="auto"/>
            <w:tcBorders>
              <w:left w:val="single" w:sz="4" w:space="0" w:color="886E49"/>
              <w:right w:val="single" w:sz="4" w:space="0" w:color="886E49"/>
            </w:tcBorders>
            <w:hideMark/>
          </w:tcPr>
          <w:p w14:paraId="3477C9F2" w14:textId="77777777" w:rsidR="00FF575F" w:rsidRPr="00D74229" w:rsidRDefault="00FF575F" w:rsidP="00F13C1A">
            <w:pPr>
              <w:pStyle w:val="NormalWeb"/>
              <w:jc w:val="center"/>
              <w:rPr>
                <w:color w:val="FFFFFF" w:themeColor="background1"/>
                <w:sz w:val="18"/>
                <w:szCs w:val="18"/>
              </w:rPr>
            </w:pPr>
            <w:r w:rsidRPr="00D74229">
              <w:rPr>
                <w:color w:val="FFFFFF" w:themeColor="background1"/>
                <w:sz w:val="18"/>
                <w:szCs w:val="18"/>
              </w:rPr>
              <w:t xml:space="preserve">School </w:t>
            </w:r>
            <w:proofErr w:type="spellStart"/>
            <w:r w:rsidRPr="00D74229">
              <w:rPr>
                <w:color w:val="FFFFFF" w:themeColor="background1"/>
                <w:sz w:val="18"/>
                <w:szCs w:val="18"/>
              </w:rPr>
              <w:t>associated</w:t>
            </w:r>
            <w:r w:rsidRPr="00D74229">
              <w:rPr>
                <w:color w:val="FFFFFF" w:themeColor="background1"/>
                <w:sz w:val="18"/>
                <w:szCs w:val="18"/>
                <w:vertAlign w:val="superscript"/>
              </w:rPr>
              <w:t>a</w:t>
            </w:r>
            <w:proofErr w:type="spellEnd"/>
          </w:p>
        </w:tc>
        <w:tc>
          <w:tcPr>
            <w:tcW w:w="0" w:type="auto"/>
            <w:tcBorders>
              <w:left w:val="single" w:sz="4" w:space="0" w:color="886E49"/>
              <w:right w:val="single" w:sz="4" w:space="0" w:color="886E49"/>
            </w:tcBorders>
            <w:hideMark/>
          </w:tcPr>
          <w:p w14:paraId="728B2AEB" w14:textId="77777777" w:rsidR="00FF575F" w:rsidRPr="00D74229" w:rsidRDefault="00FF575F" w:rsidP="00F13C1A">
            <w:pPr>
              <w:pStyle w:val="NormalWeb"/>
              <w:jc w:val="center"/>
              <w:rPr>
                <w:color w:val="FFFFFF" w:themeColor="background1"/>
                <w:sz w:val="18"/>
                <w:szCs w:val="18"/>
              </w:rPr>
            </w:pPr>
            <w:r w:rsidRPr="00D74229">
              <w:rPr>
                <w:color w:val="FFFFFF" w:themeColor="background1"/>
                <w:sz w:val="18"/>
                <w:szCs w:val="18"/>
              </w:rPr>
              <w:t>Household associated</w:t>
            </w:r>
          </w:p>
        </w:tc>
        <w:tc>
          <w:tcPr>
            <w:tcW w:w="2284" w:type="dxa"/>
            <w:tcBorders>
              <w:left w:val="single" w:sz="4" w:space="0" w:color="886E49"/>
            </w:tcBorders>
            <w:hideMark/>
          </w:tcPr>
          <w:p w14:paraId="5FFA69B0" w14:textId="77777777" w:rsidR="00FF575F" w:rsidRPr="00D74229" w:rsidRDefault="00FF575F" w:rsidP="00F13C1A">
            <w:pPr>
              <w:pStyle w:val="NormalWeb"/>
              <w:jc w:val="center"/>
              <w:rPr>
                <w:color w:val="FFFFFF" w:themeColor="background1"/>
                <w:sz w:val="18"/>
                <w:szCs w:val="18"/>
              </w:rPr>
            </w:pPr>
            <w:r w:rsidRPr="00D74229">
              <w:rPr>
                <w:color w:val="FFFFFF" w:themeColor="background1"/>
                <w:sz w:val="18"/>
                <w:szCs w:val="18"/>
              </w:rPr>
              <w:t>Total</w:t>
            </w:r>
          </w:p>
        </w:tc>
      </w:tr>
      <w:tr w:rsidR="00FF575F" w:rsidRPr="006C36BE" w14:paraId="36A679C3" w14:textId="77777777" w:rsidTr="00FF575F">
        <w:tblPrEx>
          <w:tblCellMar>
            <w:top w:w="57" w:type="dxa"/>
            <w:left w:w="57" w:type="dxa"/>
            <w:bottom w:w="57" w:type="dxa"/>
            <w:right w:w="57" w:type="dxa"/>
          </w:tblCellMar>
        </w:tblPrEx>
        <w:tc>
          <w:tcPr>
            <w:tcW w:w="0" w:type="auto"/>
            <w:shd w:val="clear" w:color="auto" w:fill="FAF1E6"/>
            <w:hideMark/>
          </w:tcPr>
          <w:p w14:paraId="5E9FB757" w14:textId="77777777" w:rsidR="00FF575F" w:rsidRPr="006C36BE" w:rsidRDefault="00FF575F" w:rsidP="00F13C1A">
            <w:pPr>
              <w:pStyle w:val="NormalWeb"/>
              <w:rPr>
                <w:b/>
                <w:bCs/>
                <w:sz w:val="18"/>
                <w:szCs w:val="18"/>
              </w:rPr>
            </w:pPr>
            <w:r w:rsidRPr="006C36BE">
              <w:rPr>
                <w:b/>
                <w:bCs/>
                <w:sz w:val="18"/>
                <w:szCs w:val="18"/>
              </w:rPr>
              <w:t>Total</w:t>
            </w:r>
          </w:p>
        </w:tc>
        <w:tc>
          <w:tcPr>
            <w:tcW w:w="0" w:type="auto"/>
            <w:shd w:val="clear" w:color="auto" w:fill="FAF1E6"/>
            <w:hideMark/>
          </w:tcPr>
          <w:p w14:paraId="30497260" w14:textId="77777777" w:rsidR="00FF575F" w:rsidRPr="006C36BE" w:rsidRDefault="00FF575F" w:rsidP="00F13C1A">
            <w:pPr>
              <w:pStyle w:val="NormalWeb"/>
              <w:jc w:val="center"/>
              <w:rPr>
                <w:b/>
                <w:bCs/>
                <w:sz w:val="18"/>
                <w:szCs w:val="18"/>
              </w:rPr>
            </w:pPr>
            <w:r w:rsidRPr="006C36BE">
              <w:rPr>
                <w:b/>
                <w:bCs/>
                <w:sz w:val="18"/>
                <w:szCs w:val="18"/>
              </w:rPr>
              <w:t>16</w:t>
            </w:r>
          </w:p>
        </w:tc>
        <w:tc>
          <w:tcPr>
            <w:tcW w:w="0" w:type="auto"/>
            <w:shd w:val="clear" w:color="auto" w:fill="FAF1E6"/>
            <w:hideMark/>
          </w:tcPr>
          <w:p w14:paraId="0CB5AAB0" w14:textId="77777777" w:rsidR="00FF575F" w:rsidRPr="006C36BE" w:rsidRDefault="00FF575F" w:rsidP="00F13C1A">
            <w:pPr>
              <w:pStyle w:val="NormalWeb"/>
              <w:jc w:val="center"/>
              <w:rPr>
                <w:b/>
                <w:bCs/>
                <w:sz w:val="18"/>
                <w:szCs w:val="18"/>
              </w:rPr>
            </w:pPr>
            <w:r w:rsidRPr="006C36BE">
              <w:rPr>
                <w:b/>
                <w:bCs/>
                <w:sz w:val="18"/>
                <w:szCs w:val="18"/>
              </w:rPr>
              <w:t>32</w:t>
            </w:r>
          </w:p>
        </w:tc>
        <w:tc>
          <w:tcPr>
            <w:tcW w:w="2284" w:type="dxa"/>
            <w:shd w:val="clear" w:color="auto" w:fill="FAF1E6"/>
            <w:hideMark/>
          </w:tcPr>
          <w:p w14:paraId="3061E54D" w14:textId="77777777" w:rsidR="00FF575F" w:rsidRPr="006C36BE" w:rsidRDefault="00FF575F" w:rsidP="00F13C1A">
            <w:pPr>
              <w:pStyle w:val="NormalWeb"/>
              <w:jc w:val="center"/>
              <w:rPr>
                <w:b/>
                <w:bCs/>
                <w:sz w:val="18"/>
                <w:szCs w:val="18"/>
              </w:rPr>
            </w:pPr>
            <w:r w:rsidRPr="006C36BE">
              <w:rPr>
                <w:b/>
                <w:bCs/>
                <w:sz w:val="18"/>
                <w:szCs w:val="18"/>
              </w:rPr>
              <w:t>48</w:t>
            </w:r>
          </w:p>
        </w:tc>
      </w:tr>
      <w:tr w:rsidR="00FF575F" w:rsidRPr="00355FA3" w14:paraId="5061A1A8"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886E49"/>
            <w:hideMark/>
          </w:tcPr>
          <w:p w14:paraId="2B9A0FEC" w14:textId="77777777" w:rsidR="00FF575F" w:rsidRPr="00355FA3" w:rsidRDefault="00FF575F" w:rsidP="00F13C1A">
            <w:pPr>
              <w:pStyle w:val="NormalWeb"/>
              <w:rPr>
                <w:b/>
                <w:bCs/>
                <w:color w:val="FFFFFF" w:themeColor="background1"/>
                <w:sz w:val="18"/>
                <w:szCs w:val="18"/>
              </w:rPr>
            </w:pPr>
            <w:r w:rsidRPr="00355FA3">
              <w:rPr>
                <w:b/>
                <w:bCs/>
                <w:color w:val="FFFFFF" w:themeColor="background1"/>
                <w:sz w:val="18"/>
                <w:szCs w:val="18"/>
              </w:rPr>
              <w:t>Sex</w:t>
            </w:r>
          </w:p>
        </w:tc>
      </w:tr>
      <w:tr w:rsidR="00FF575F" w:rsidRPr="00D74229" w14:paraId="1C6E991A" w14:textId="77777777" w:rsidTr="00FF575F">
        <w:tblPrEx>
          <w:tblCellMar>
            <w:top w:w="57" w:type="dxa"/>
            <w:left w:w="57" w:type="dxa"/>
            <w:bottom w:w="57" w:type="dxa"/>
            <w:right w:w="57" w:type="dxa"/>
          </w:tblCellMar>
        </w:tblPrEx>
        <w:tc>
          <w:tcPr>
            <w:tcW w:w="0" w:type="auto"/>
            <w:hideMark/>
          </w:tcPr>
          <w:p w14:paraId="4C838A77" w14:textId="77777777" w:rsidR="00FF575F" w:rsidRPr="00D74229" w:rsidRDefault="00FF575F" w:rsidP="00F13C1A">
            <w:pPr>
              <w:pStyle w:val="NormalWeb"/>
              <w:rPr>
                <w:sz w:val="18"/>
                <w:szCs w:val="18"/>
              </w:rPr>
            </w:pPr>
            <w:r w:rsidRPr="00D74229">
              <w:rPr>
                <w:sz w:val="18"/>
                <w:szCs w:val="18"/>
              </w:rPr>
              <w:t>Male</w:t>
            </w:r>
          </w:p>
        </w:tc>
        <w:tc>
          <w:tcPr>
            <w:tcW w:w="0" w:type="auto"/>
            <w:hideMark/>
          </w:tcPr>
          <w:p w14:paraId="6D63C84D" w14:textId="77777777" w:rsidR="00FF575F" w:rsidRPr="00D74229" w:rsidRDefault="00FF575F" w:rsidP="00F13C1A">
            <w:pPr>
              <w:pStyle w:val="NormalWeb"/>
              <w:jc w:val="center"/>
              <w:rPr>
                <w:sz w:val="18"/>
                <w:szCs w:val="18"/>
              </w:rPr>
            </w:pPr>
            <w:r w:rsidRPr="00D74229">
              <w:rPr>
                <w:sz w:val="18"/>
                <w:szCs w:val="18"/>
              </w:rPr>
              <w:t>4</w:t>
            </w:r>
          </w:p>
        </w:tc>
        <w:tc>
          <w:tcPr>
            <w:tcW w:w="0" w:type="auto"/>
            <w:hideMark/>
          </w:tcPr>
          <w:p w14:paraId="28082058" w14:textId="77777777" w:rsidR="00FF575F" w:rsidRPr="00D74229" w:rsidRDefault="00FF575F" w:rsidP="00F13C1A">
            <w:pPr>
              <w:pStyle w:val="NormalWeb"/>
              <w:jc w:val="center"/>
              <w:rPr>
                <w:sz w:val="18"/>
                <w:szCs w:val="18"/>
              </w:rPr>
            </w:pPr>
            <w:r w:rsidRPr="00D74229">
              <w:rPr>
                <w:sz w:val="18"/>
                <w:szCs w:val="18"/>
              </w:rPr>
              <w:t>14</w:t>
            </w:r>
          </w:p>
        </w:tc>
        <w:tc>
          <w:tcPr>
            <w:tcW w:w="2284" w:type="dxa"/>
            <w:hideMark/>
          </w:tcPr>
          <w:p w14:paraId="5ACD98DF" w14:textId="77777777" w:rsidR="00FF575F" w:rsidRPr="00D74229" w:rsidRDefault="00FF575F" w:rsidP="00F13C1A">
            <w:pPr>
              <w:pStyle w:val="NormalWeb"/>
              <w:jc w:val="center"/>
              <w:rPr>
                <w:sz w:val="18"/>
                <w:szCs w:val="18"/>
              </w:rPr>
            </w:pPr>
            <w:r w:rsidRPr="00D74229">
              <w:rPr>
                <w:sz w:val="18"/>
                <w:szCs w:val="18"/>
              </w:rPr>
              <w:t>18</w:t>
            </w:r>
          </w:p>
        </w:tc>
      </w:tr>
      <w:tr w:rsidR="00FF575F" w:rsidRPr="00D74229" w14:paraId="281A2A8E"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59F4381C" w14:textId="77777777" w:rsidR="00FF575F" w:rsidRPr="00D74229" w:rsidRDefault="00FF575F" w:rsidP="00F13C1A">
            <w:pPr>
              <w:pStyle w:val="NormalWeb"/>
              <w:rPr>
                <w:sz w:val="18"/>
                <w:szCs w:val="18"/>
              </w:rPr>
            </w:pPr>
            <w:r w:rsidRPr="00D74229">
              <w:rPr>
                <w:sz w:val="18"/>
                <w:szCs w:val="18"/>
              </w:rPr>
              <w:t>Female</w:t>
            </w:r>
          </w:p>
        </w:tc>
        <w:tc>
          <w:tcPr>
            <w:tcW w:w="0" w:type="auto"/>
            <w:hideMark/>
          </w:tcPr>
          <w:p w14:paraId="091976D2" w14:textId="77777777" w:rsidR="00FF575F" w:rsidRPr="00D74229" w:rsidRDefault="00FF575F" w:rsidP="00F13C1A">
            <w:pPr>
              <w:pStyle w:val="NormalWeb"/>
              <w:jc w:val="center"/>
              <w:rPr>
                <w:sz w:val="18"/>
                <w:szCs w:val="18"/>
              </w:rPr>
            </w:pPr>
            <w:r w:rsidRPr="00D74229">
              <w:rPr>
                <w:sz w:val="18"/>
                <w:szCs w:val="18"/>
              </w:rPr>
              <w:t>12</w:t>
            </w:r>
          </w:p>
        </w:tc>
        <w:tc>
          <w:tcPr>
            <w:tcW w:w="0" w:type="auto"/>
            <w:hideMark/>
          </w:tcPr>
          <w:p w14:paraId="30F0184D" w14:textId="77777777" w:rsidR="00FF575F" w:rsidRPr="00D74229" w:rsidRDefault="00FF575F" w:rsidP="00F13C1A">
            <w:pPr>
              <w:pStyle w:val="NormalWeb"/>
              <w:jc w:val="center"/>
              <w:rPr>
                <w:sz w:val="18"/>
                <w:szCs w:val="18"/>
              </w:rPr>
            </w:pPr>
            <w:r w:rsidRPr="00D74229">
              <w:rPr>
                <w:sz w:val="18"/>
                <w:szCs w:val="18"/>
              </w:rPr>
              <w:t>18</w:t>
            </w:r>
          </w:p>
        </w:tc>
        <w:tc>
          <w:tcPr>
            <w:tcW w:w="2284" w:type="dxa"/>
            <w:hideMark/>
          </w:tcPr>
          <w:p w14:paraId="05E11CCA" w14:textId="77777777" w:rsidR="00FF575F" w:rsidRPr="00D74229" w:rsidRDefault="00FF575F" w:rsidP="00F13C1A">
            <w:pPr>
              <w:pStyle w:val="NormalWeb"/>
              <w:jc w:val="center"/>
              <w:rPr>
                <w:sz w:val="18"/>
                <w:szCs w:val="18"/>
              </w:rPr>
            </w:pPr>
            <w:r w:rsidRPr="00D74229">
              <w:rPr>
                <w:sz w:val="18"/>
                <w:szCs w:val="18"/>
              </w:rPr>
              <w:t>30</w:t>
            </w:r>
          </w:p>
        </w:tc>
      </w:tr>
      <w:tr w:rsidR="00FF575F" w:rsidRPr="00355FA3" w14:paraId="289D594D" w14:textId="77777777" w:rsidTr="00FF575F">
        <w:tblPrEx>
          <w:tblCellMar>
            <w:top w:w="57" w:type="dxa"/>
            <w:left w:w="57" w:type="dxa"/>
            <w:bottom w:w="57" w:type="dxa"/>
            <w:right w:w="57" w:type="dxa"/>
          </w:tblCellMar>
        </w:tblPrEx>
        <w:tc>
          <w:tcPr>
            <w:tcW w:w="10440" w:type="dxa"/>
            <w:gridSpan w:val="4"/>
            <w:shd w:val="clear" w:color="auto" w:fill="886E49"/>
            <w:hideMark/>
          </w:tcPr>
          <w:p w14:paraId="0EDF53C5" w14:textId="77777777" w:rsidR="00FF575F" w:rsidRPr="00355FA3" w:rsidRDefault="00FF575F" w:rsidP="00F13C1A">
            <w:pPr>
              <w:pStyle w:val="NormalWeb"/>
              <w:rPr>
                <w:b/>
                <w:bCs/>
                <w:color w:val="FFFFFF" w:themeColor="background1"/>
                <w:sz w:val="18"/>
                <w:szCs w:val="18"/>
              </w:rPr>
            </w:pPr>
            <w:r w:rsidRPr="00355FA3">
              <w:rPr>
                <w:b/>
                <w:bCs/>
                <w:color w:val="FFFFFF" w:themeColor="background1"/>
                <w:sz w:val="18"/>
                <w:szCs w:val="18"/>
              </w:rPr>
              <w:t>Age group (years)</w:t>
            </w:r>
          </w:p>
        </w:tc>
      </w:tr>
      <w:tr w:rsidR="00FF575F" w:rsidRPr="00D74229" w14:paraId="281C6D9C"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77A34F" w14:textId="77777777" w:rsidR="00FF575F" w:rsidRPr="00D74229" w:rsidRDefault="00FF575F" w:rsidP="00F13C1A">
            <w:pPr>
              <w:pStyle w:val="NormalWeb"/>
              <w:rPr>
                <w:sz w:val="18"/>
                <w:szCs w:val="18"/>
              </w:rPr>
            </w:pPr>
            <w:r w:rsidRPr="00D74229">
              <w:rPr>
                <w:sz w:val="18"/>
                <w:szCs w:val="18"/>
              </w:rPr>
              <w:t>0–9</w:t>
            </w:r>
          </w:p>
        </w:tc>
        <w:tc>
          <w:tcPr>
            <w:tcW w:w="0" w:type="auto"/>
            <w:hideMark/>
          </w:tcPr>
          <w:p w14:paraId="03C0DA5B"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18858192" w14:textId="77777777" w:rsidR="00FF575F" w:rsidRPr="00D74229" w:rsidRDefault="00FF575F" w:rsidP="00F13C1A">
            <w:pPr>
              <w:pStyle w:val="NormalWeb"/>
              <w:jc w:val="center"/>
              <w:rPr>
                <w:sz w:val="18"/>
                <w:szCs w:val="18"/>
              </w:rPr>
            </w:pPr>
            <w:r w:rsidRPr="00D74229">
              <w:rPr>
                <w:sz w:val="18"/>
                <w:szCs w:val="18"/>
              </w:rPr>
              <w:t>3</w:t>
            </w:r>
          </w:p>
        </w:tc>
        <w:tc>
          <w:tcPr>
            <w:tcW w:w="2284" w:type="dxa"/>
            <w:hideMark/>
          </w:tcPr>
          <w:p w14:paraId="54C86D78" w14:textId="77777777" w:rsidR="00FF575F" w:rsidRPr="00D74229" w:rsidRDefault="00FF575F" w:rsidP="00F13C1A">
            <w:pPr>
              <w:pStyle w:val="NormalWeb"/>
              <w:jc w:val="center"/>
              <w:rPr>
                <w:sz w:val="18"/>
                <w:szCs w:val="18"/>
              </w:rPr>
            </w:pPr>
            <w:r w:rsidRPr="00D74229">
              <w:rPr>
                <w:sz w:val="18"/>
                <w:szCs w:val="18"/>
              </w:rPr>
              <w:t>3</w:t>
            </w:r>
          </w:p>
        </w:tc>
      </w:tr>
      <w:tr w:rsidR="00FF575F" w:rsidRPr="00D74229" w14:paraId="02D4D5CD" w14:textId="77777777" w:rsidTr="00FF575F">
        <w:tblPrEx>
          <w:tblCellMar>
            <w:top w:w="57" w:type="dxa"/>
            <w:left w:w="57" w:type="dxa"/>
            <w:bottom w:w="57" w:type="dxa"/>
            <w:right w:w="57" w:type="dxa"/>
          </w:tblCellMar>
        </w:tblPrEx>
        <w:tc>
          <w:tcPr>
            <w:tcW w:w="0" w:type="auto"/>
            <w:hideMark/>
          </w:tcPr>
          <w:p w14:paraId="65A5CB6B" w14:textId="77777777" w:rsidR="00FF575F" w:rsidRPr="00D74229" w:rsidRDefault="00FF575F" w:rsidP="00F13C1A">
            <w:pPr>
              <w:pStyle w:val="NormalWeb"/>
              <w:rPr>
                <w:sz w:val="18"/>
                <w:szCs w:val="18"/>
              </w:rPr>
            </w:pPr>
            <w:r w:rsidRPr="00D74229">
              <w:rPr>
                <w:sz w:val="18"/>
                <w:szCs w:val="18"/>
              </w:rPr>
              <w:t>10–19</w:t>
            </w:r>
          </w:p>
        </w:tc>
        <w:tc>
          <w:tcPr>
            <w:tcW w:w="0" w:type="auto"/>
            <w:hideMark/>
          </w:tcPr>
          <w:p w14:paraId="2479A83B" w14:textId="77777777" w:rsidR="00FF575F" w:rsidRPr="00D74229" w:rsidRDefault="00FF575F" w:rsidP="00F13C1A">
            <w:pPr>
              <w:pStyle w:val="NormalWeb"/>
              <w:jc w:val="center"/>
              <w:rPr>
                <w:sz w:val="18"/>
                <w:szCs w:val="18"/>
              </w:rPr>
            </w:pPr>
            <w:r w:rsidRPr="00D74229">
              <w:rPr>
                <w:sz w:val="18"/>
                <w:szCs w:val="18"/>
              </w:rPr>
              <w:t>15</w:t>
            </w:r>
          </w:p>
        </w:tc>
        <w:tc>
          <w:tcPr>
            <w:tcW w:w="0" w:type="auto"/>
            <w:hideMark/>
          </w:tcPr>
          <w:p w14:paraId="6A37A989" w14:textId="77777777" w:rsidR="00FF575F" w:rsidRPr="00D74229" w:rsidRDefault="00FF575F" w:rsidP="00F13C1A">
            <w:pPr>
              <w:pStyle w:val="NormalWeb"/>
              <w:jc w:val="center"/>
              <w:rPr>
                <w:sz w:val="18"/>
                <w:szCs w:val="18"/>
              </w:rPr>
            </w:pPr>
            <w:r w:rsidRPr="00D74229">
              <w:rPr>
                <w:sz w:val="18"/>
                <w:szCs w:val="18"/>
              </w:rPr>
              <w:t>13</w:t>
            </w:r>
          </w:p>
        </w:tc>
        <w:tc>
          <w:tcPr>
            <w:tcW w:w="2284" w:type="dxa"/>
            <w:hideMark/>
          </w:tcPr>
          <w:p w14:paraId="746FDF42" w14:textId="77777777" w:rsidR="00FF575F" w:rsidRPr="00D74229" w:rsidRDefault="00FF575F" w:rsidP="00F13C1A">
            <w:pPr>
              <w:pStyle w:val="NormalWeb"/>
              <w:jc w:val="center"/>
              <w:rPr>
                <w:sz w:val="18"/>
                <w:szCs w:val="18"/>
              </w:rPr>
            </w:pPr>
            <w:r w:rsidRPr="00D74229">
              <w:rPr>
                <w:sz w:val="18"/>
                <w:szCs w:val="18"/>
              </w:rPr>
              <w:t>28</w:t>
            </w:r>
          </w:p>
        </w:tc>
      </w:tr>
      <w:tr w:rsidR="00FF575F" w:rsidRPr="00D74229" w14:paraId="4DE4F419"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A1ABF76" w14:textId="77777777" w:rsidR="00FF575F" w:rsidRPr="00D74229" w:rsidRDefault="00FF575F" w:rsidP="00F13C1A">
            <w:pPr>
              <w:pStyle w:val="NormalWeb"/>
              <w:rPr>
                <w:sz w:val="18"/>
                <w:szCs w:val="18"/>
              </w:rPr>
            </w:pPr>
            <w:r w:rsidRPr="00D74229">
              <w:rPr>
                <w:sz w:val="18"/>
                <w:szCs w:val="18"/>
              </w:rPr>
              <w:t>20–29</w:t>
            </w:r>
          </w:p>
        </w:tc>
        <w:tc>
          <w:tcPr>
            <w:tcW w:w="0" w:type="auto"/>
            <w:hideMark/>
          </w:tcPr>
          <w:p w14:paraId="2F2FEF3B" w14:textId="77777777" w:rsidR="00FF575F" w:rsidRPr="00D74229" w:rsidRDefault="00FF575F" w:rsidP="00F13C1A">
            <w:pPr>
              <w:pStyle w:val="NormalWeb"/>
              <w:jc w:val="center"/>
              <w:rPr>
                <w:sz w:val="18"/>
                <w:szCs w:val="18"/>
              </w:rPr>
            </w:pPr>
            <w:r w:rsidRPr="00D74229">
              <w:rPr>
                <w:sz w:val="18"/>
                <w:szCs w:val="18"/>
              </w:rPr>
              <w:t>1</w:t>
            </w:r>
          </w:p>
        </w:tc>
        <w:tc>
          <w:tcPr>
            <w:tcW w:w="0" w:type="auto"/>
            <w:hideMark/>
          </w:tcPr>
          <w:p w14:paraId="5CF98159" w14:textId="77777777" w:rsidR="00FF575F" w:rsidRPr="00D74229" w:rsidRDefault="00FF575F" w:rsidP="00F13C1A">
            <w:pPr>
              <w:pStyle w:val="NormalWeb"/>
              <w:jc w:val="center"/>
              <w:rPr>
                <w:sz w:val="18"/>
                <w:szCs w:val="18"/>
              </w:rPr>
            </w:pPr>
            <w:r w:rsidRPr="00D74229">
              <w:rPr>
                <w:sz w:val="18"/>
                <w:szCs w:val="18"/>
              </w:rPr>
              <w:t>—</w:t>
            </w:r>
          </w:p>
        </w:tc>
        <w:tc>
          <w:tcPr>
            <w:tcW w:w="2284" w:type="dxa"/>
            <w:hideMark/>
          </w:tcPr>
          <w:p w14:paraId="6AE42825" w14:textId="77777777" w:rsidR="00FF575F" w:rsidRPr="00D74229" w:rsidRDefault="00FF575F" w:rsidP="00F13C1A">
            <w:pPr>
              <w:pStyle w:val="NormalWeb"/>
              <w:jc w:val="center"/>
              <w:rPr>
                <w:sz w:val="18"/>
                <w:szCs w:val="18"/>
              </w:rPr>
            </w:pPr>
            <w:r w:rsidRPr="00D74229">
              <w:rPr>
                <w:sz w:val="18"/>
                <w:szCs w:val="18"/>
              </w:rPr>
              <w:t>1</w:t>
            </w:r>
          </w:p>
        </w:tc>
      </w:tr>
      <w:tr w:rsidR="00FF575F" w:rsidRPr="00D74229" w14:paraId="7117F7E2" w14:textId="77777777" w:rsidTr="00FF575F">
        <w:tblPrEx>
          <w:tblCellMar>
            <w:top w:w="57" w:type="dxa"/>
            <w:left w:w="57" w:type="dxa"/>
            <w:bottom w:w="57" w:type="dxa"/>
            <w:right w:w="57" w:type="dxa"/>
          </w:tblCellMar>
        </w:tblPrEx>
        <w:tc>
          <w:tcPr>
            <w:tcW w:w="0" w:type="auto"/>
            <w:hideMark/>
          </w:tcPr>
          <w:p w14:paraId="63754935" w14:textId="77777777" w:rsidR="00FF575F" w:rsidRPr="00D74229" w:rsidRDefault="00FF575F" w:rsidP="00F13C1A">
            <w:pPr>
              <w:pStyle w:val="NormalWeb"/>
              <w:rPr>
                <w:sz w:val="18"/>
                <w:szCs w:val="18"/>
              </w:rPr>
            </w:pPr>
            <w:r w:rsidRPr="00D74229">
              <w:rPr>
                <w:sz w:val="18"/>
                <w:szCs w:val="18"/>
              </w:rPr>
              <w:t>30–39</w:t>
            </w:r>
          </w:p>
        </w:tc>
        <w:tc>
          <w:tcPr>
            <w:tcW w:w="0" w:type="auto"/>
            <w:hideMark/>
          </w:tcPr>
          <w:p w14:paraId="25866633"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300B743E" w14:textId="77777777" w:rsidR="00FF575F" w:rsidRPr="00D74229" w:rsidRDefault="00FF575F" w:rsidP="00F13C1A">
            <w:pPr>
              <w:pStyle w:val="NormalWeb"/>
              <w:jc w:val="center"/>
              <w:rPr>
                <w:sz w:val="18"/>
                <w:szCs w:val="18"/>
              </w:rPr>
            </w:pPr>
            <w:r w:rsidRPr="00D74229">
              <w:rPr>
                <w:sz w:val="18"/>
                <w:szCs w:val="18"/>
              </w:rPr>
              <w:t>3</w:t>
            </w:r>
          </w:p>
        </w:tc>
        <w:tc>
          <w:tcPr>
            <w:tcW w:w="2284" w:type="dxa"/>
            <w:hideMark/>
          </w:tcPr>
          <w:p w14:paraId="42772D77" w14:textId="77777777" w:rsidR="00FF575F" w:rsidRPr="00D74229" w:rsidRDefault="00FF575F" w:rsidP="00F13C1A">
            <w:pPr>
              <w:pStyle w:val="NormalWeb"/>
              <w:jc w:val="center"/>
              <w:rPr>
                <w:sz w:val="18"/>
                <w:szCs w:val="18"/>
              </w:rPr>
            </w:pPr>
            <w:r w:rsidRPr="00D74229">
              <w:rPr>
                <w:sz w:val="18"/>
                <w:szCs w:val="18"/>
              </w:rPr>
              <w:t>3</w:t>
            </w:r>
          </w:p>
        </w:tc>
      </w:tr>
      <w:tr w:rsidR="00FF575F" w:rsidRPr="00D74229" w14:paraId="3514D249"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F8D8825" w14:textId="77777777" w:rsidR="00FF575F" w:rsidRPr="00D74229" w:rsidRDefault="00FF575F" w:rsidP="00F13C1A">
            <w:pPr>
              <w:pStyle w:val="NormalWeb"/>
              <w:rPr>
                <w:sz w:val="18"/>
                <w:szCs w:val="18"/>
              </w:rPr>
            </w:pPr>
            <w:r w:rsidRPr="00D74229">
              <w:rPr>
                <w:sz w:val="18"/>
                <w:szCs w:val="18"/>
              </w:rPr>
              <w:t>40–49</w:t>
            </w:r>
          </w:p>
        </w:tc>
        <w:tc>
          <w:tcPr>
            <w:tcW w:w="0" w:type="auto"/>
            <w:hideMark/>
          </w:tcPr>
          <w:p w14:paraId="33ACD4C6"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086B87E6" w14:textId="77777777" w:rsidR="00FF575F" w:rsidRPr="00D74229" w:rsidRDefault="00FF575F" w:rsidP="00F13C1A">
            <w:pPr>
              <w:pStyle w:val="NormalWeb"/>
              <w:jc w:val="center"/>
              <w:rPr>
                <w:sz w:val="18"/>
                <w:szCs w:val="18"/>
              </w:rPr>
            </w:pPr>
            <w:r w:rsidRPr="00D74229">
              <w:rPr>
                <w:sz w:val="18"/>
                <w:szCs w:val="18"/>
              </w:rPr>
              <w:t>9</w:t>
            </w:r>
          </w:p>
        </w:tc>
        <w:tc>
          <w:tcPr>
            <w:tcW w:w="2284" w:type="dxa"/>
            <w:hideMark/>
          </w:tcPr>
          <w:p w14:paraId="20493F79" w14:textId="77777777" w:rsidR="00FF575F" w:rsidRPr="00D74229" w:rsidRDefault="00FF575F" w:rsidP="00F13C1A">
            <w:pPr>
              <w:pStyle w:val="NormalWeb"/>
              <w:jc w:val="center"/>
              <w:rPr>
                <w:sz w:val="18"/>
                <w:szCs w:val="18"/>
              </w:rPr>
            </w:pPr>
            <w:r w:rsidRPr="00D74229">
              <w:rPr>
                <w:sz w:val="18"/>
                <w:szCs w:val="18"/>
              </w:rPr>
              <w:t>9</w:t>
            </w:r>
          </w:p>
        </w:tc>
      </w:tr>
      <w:tr w:rsidR="00FF575F" w:rsidRPr="00D74229" w14:paraId="31CB3645" w14:textId="77777777" w:rsidTr="00FF575F">
        <w:tblPrEx>
          <w:tblCellMar>
            <w:top w:w="57" w:type="dxa"/>
            <w:left w:w="57" w:type="dxa"/>
            <w:bottom w:w="57" w:type="dxa"/>
            <w:right w:w="57" w:type="dxa"/>
          </w:tblCellMar>
        </w:tblPrEx>
        <w:tc>
          <w:tcPr>
            <w:tcW w:w="0" w:type="auto"/>
            <w:hideMark/>
          </w:tcPr>
          <w:p w14:paraId="7AD3FF60" w14:textId="77777777" w:rsidR="00FF575F" w:rsidRPr="00D74229" w:rsidRDefault="00FF575F" w:rsidP="00F13C1A">
            <w:pPr>
              <w:pStyle w:val="NormalWeb"/>
              <w:rPr>
                <w:sz w:val="18"/>
                <w:szCs w:val="18"/>
              </w:rPr>
            </w:pPr>
            <w:r w:rsidRPr="00D74229">
              <w:rPr>
                <w:sz w:val="18"/>
                <w:szCs w:val="18"/>
              </w:rPr>
              <w:t>50+</w:t>
            </w:r>
          </w:p>
        </w:tc>
        <w:tc>
          <w:tcPr>
            <w:tcW w:w="0" w:type="auto"/>
            <w:hideMark/>
          </w:tcPr>
          <w:p w14:paraId="31F9034E"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3900A3E0" w14:textId="77777777" w:rsidR="00FF575F" w:rsidRPr="00D74229" w:rsidRDefault="00FF575F" w:rsidP="00F13C1A">
            <w:pPr>
              <w:pStyle w:val="NormalWeb"/>
              <w:jc w:val="center"/>
              <w:rPr>
                <w:sz w:val="18"/>
                <w:szCs w:val="18"/>
              </w:rPr>
            </w:pPr>
            <w:r w:rsidRPr="00D74229">
              <w:rPr>
                <w:sz w:val="18"/>
                <w:szCs w:val="18"/>
              </w:rPr>
              <w:t>4</w:t>
            </w:r>
          </w:p>
        </w:tc>
        <w:tc>
          <w:tcPr>
            <w:tcW w:w="2284" w:type="dxa"/>
            <w:hideMark/>
          </w:tcPr>
          <w:p w14:paraId="689B885D" w14:textId="77777777" w:rsidR="00FF575F" w:rsidRPr="00D74229" w:rsidRDefault="00FF575F" w:rsidP="00F13C1A">
            <w:pPr>
              <w:pStyle w:val="NormalWeb"/>
              <w:jc w:val="center"/>
              <w:rPr>
                <w:sz w:val="18"/>
                <w:szCs w:val="18"/>
              </w:rPr>
            </w:pPr>
            <w:r w:rsidRPr="00D74229">
              <w:rPr>
                <w:sz w:val="18"/>
                <w:szCs w:val="18"/>
              </w:rPr>
              <w:t>4</w:t>
            </w:r>
          </w:p>
        </w:tc>
      </w:tr>
      <w:tr w:rsidR="00FF575F" w:rsidRPr="00355FA3" w14:paraId="4D6F48B8"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886E49"/>
            <w:hideMark/>
          </w:tcPr>
          <w:p w14:paraId="5BEDD0C7" w14:textId="77777777" w:rsidR="00FF575F" w:rsidRPr="00355FA3" w:rsidRDefault="00FF575F" w:rsidP="00F13C1A">
            <w:pPr>
              <w:pStyle w:val="NormalWeb"/>
              <w:rPr>
                <w:b/>
                <w:bCs/>
                <w:color w:val="FFFFFF" w:themeColor="background1"/>
                <w:sz w:val="18"/>
                <w:szCs w:val="18"/>
              </w:rPr>
            </w:pPr>
            <w:r w:rsidRPr="00355FA3">
              <w:rPr>
                <w:b/>
                <w:bCs/>
                <w:color w:val="FFFFFF" w:themeColor="background1"/>
                <w:sz w:val="18"/>
                <w:szCs w:val="18"/>
              </w:rPr>
              <w:t>Indigenous status</w:t>
            </w:r>
          </w:p>
        </w:tc>
      </w:tr>
      <w:tr w:rsidR="00FF575F" w:rsidRPr="00D74229" w14:paraId="41B780C3" w14:textId="77777777" w:rsidTr="00FF575F">
        <w:tblPrEx>
          <w:tblCellMar>
            <w:top w:w="57" w:type="dxa"/>
            <w:left w:w="57" w:type="dxa"/>
            <w:bottom w:w="57" w:type="dxa"/>
            <w:right w:w="57" w:type="dxa"/>
          </w:tblCellMar>
        </w:tblPrEx>
        <w:tc>
          <w:tcPr>
            <w:tcW w:w="0" w:type="auto"/>
            <w:hideMark/>
          </w:tcPr>
          <w:p w14:paraId="4145A04C" w14:textId="77777777" w:rsidR="00FF575F" w:rsidRPr="00D74229" w:rsidRDefault="00FF575F" w:rsidP="00F13C1A">
            <w:pPr>
              <w:pStyle w:val="NormalWeb"/>
              <w:rPr>
                <w:sz w:val="18"/>
                <w:szCs w:val="18"/>
              </w:rPr>
            </w:pPr>
            <w:r w:rsidRPr="00D74229">
              <w:rPr>
                <w:sz w:val="18"/>
                <w:szCs w:val="18"/>
              </w:rPr>
              <w:t>Aboriginal and Torres Strait Islander people</w:t>
            </w:r>
          </w:p>
        </w:tc>
        <w:tc>
          <w:tcPr>
            <w:tcW w:w="0" w:type="auto"/>
            <w:hideMark/>
          </w:tcPr>
          <w:p w14:paraId="27235B34" w14:textId="77777777" w:rsidR="00FF575F" w:rsidRPr="00D74229" w:rsidRDefault="00FF575F" w:rsidP="00F13C1A">
            <w:pPr>
              <w:pStyle w:val="NormalWeb"/>
              <w:jc w:val="center"/>
              <w:rPr>
                <w:sz w:val="18"/>
                <w:szCs w:val="18"/>
              </w:rPr>
            </w:pPr>
            <w:r w:rsidRPr="00D74229">
              <w:rPr>
                <w:sz w:val="18"/>
                <w:szCs w:val="18"/>
              </w:rPr>
              <w:t>1</w:t>
            </w:r>
          </w:p>
        </w:tc>
        <w:tc>
          <w:tcPr>
            <w:tcW w:w="0" w:type="auto"/>
            <w:hideMark/>
          </w:tcPr>
          <w:p w14:paraId="126E9A55" w14:textId="77777777" w:rsidR="00FF575F" w:rsidRPr="00D74229" w:rsidRDefault="00FF575F" w:rsidP="00F13C1A">
            <w:pPr>
              <w:pStyle w:val="NormalWeb"/>
              <w:jc w:val="center"/>
              <w:rPr>
                <w:sz w:val="18"/>
                <w:szCs w:val="18"/>
              </w:rPr>
            </w:pPr>
            <w:r w:rsidRPr="00D74229">
              <w:rPr>
                <w:sz w:val="18"/>
                <w:szCs w:val="18"/>
              </w:rPr>
              <w:t>—</w:t>
            </w:r>
          </w:p>
        </w:tc>
        <w:tc>
          <w:tcPr>
            <w:tcW w:w="2284" w:type="dxa"/>
            <w:hideMark/>
          </w:tcPr>
          <w:p w14:paraId="38236A73" w14:textId="77777777" w:rsidR="00FF575F" w:rsidRPr="00D74229" w:rsidRDefault="00FF575F" w:rsidP="00F13C1A">
            <w:pPr>
              <w:pStyle w:val="NormalWeb"/>
              <w:jc w:val="center"/>
              <w:rPr>
                <w:sz w:val="18"/>
                <w:szCs w:val="18"/>
              </w:rPr>
            </w:pPr>
            <w:r w:rsidRPr="00D74229">
              <w:rPr>
                <w:sz w:val="18"/>
                <w:szCs w:val="18"/>
              </w:rPr>
              <w:t>1</w:t>
            </w:r>
          </w:p>
        </w:tc>
      </w:tr>
      <w:tr w:rsidR="00FF575F" w:rsidRPr="00D74229" w14:paraId="7139A3F6"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7D3A184" w14:textId="77777777" w:rsidR="00FF575F" w:rsidRPr="00D74229" w:rsidRDefault="00FF575F" w:rsidP="00F13C1A">
            <w:pPr>
              <w:pStyle w:val="NormalWeb"/>
              <w:rPr>
                <w:sz w:val="18"/>
                <w:szCs w:val="18"/>
              </w:rPr>
            </w:pPr>
            <w:r w:rsidRPr="00D74229">
              <w:rPr>
                <w:sz w:val="18"/>
                <w:szCs w:val="18"/>
              </w:rPr>
              <w:t>Non-Indigenous people</w:t>
            </w:r>
          </w:p>
        </w:tc>
        <w:tc>
          <w:tcPr>
            <w:tcW w:w="0" w:type="auto"/>
            <w:hideMark/>
          </w:tcPr>
          <w:p w14:paraId="4CE81547" w14:textId="77777777" w:rsidR="00FF575F" w:rsidRPr="00D74229" w:rsidRDefault="00FF575F" w:rsidP="00F13C1A">
            <w:pPr>
              <w:pStyle w:val="NormalWeb"/>
              <w:jc w:val="center"/>
              <w:rPr>
                <w:sz w:val="18"/>
                <w:szCs w:val="18"/>
              </w:rPr>
            </w:pPr>
            <w:r w:rsidRPr="00D74229">
              <w:rPr>
                <w:sz w:val="18"/>
                <w:szCs w:val="18"/>
              </w:rPr>
              <w:t>15</w:t>
            </w:r>
          </w:p>
        </w:tc>
        <w:tc>
          <w:tcPr>
            <w:tcW w:w="0" w:type="auto"/>
            <w:hideMark/>
          </w:tcPr>
          <w:p w14:paraId="7E8513D7" w14:textId="77777777" w:rsidR="00FF575F" w:rsidRPr="00D74229" w:rsidRDefault="00FF575F" w:rsidP="00F13C1A">
            <w:pPr>
              <w:pStyle w:val="NormalWeb"/>
              <w:jc w:val="center"/>
              <w:rPr>
                <w:sz w:val="18"/>
                <w:szCs w:val="18"/>
              </w:rPr>
            </w:pPr>
            <w:r w:rsidRPr="00D74229">
              <w:rPr>
                <w:sz w:val="18"/>
                <w:szCs w:val="18"/>
              </w:rPr>
              <w:t>31</w:t>
            </w:r>
          </w:p>
        </w:tc>
        <w:tc>
          <w:tcPr>
            <w:tcW w:w="2284" w:type="dxa"/>
            <w:hideMark/>
          </w:tcPr>
          <w:p w14:paraId="52571125" w14:textId="77777777" w:rsidR="00FF575F" w:rsidRPr="00D74229" w:rsidRDefault="00FF575F" w:rsidP="00F13C1A">
            <w:pPr>
              <w:pStyle w:val="NormalWeb"/>
              <w:jc w:val="center"/>
              <w:rPr>
                <w:sz w:val="18"/>
                <w:szCs w:val="18"/>
              </w:rPr>
            </w:pPr>
            <w:r w:rsidRPr="00D74229">
              <w:rPr>
                <w:sz w:val="18"/>
                <w:szCs w:val="18"/>
              </w:rPr>
              <w:t>46</w:t>
            </w:r>
          </w:p>
        </w:tc>
      </w:tr>
      <w:tr w:rsidR="00FF575F" w:rsidRPr="00D74229" w14:paraId="70E94FBA" w14:textId="77777777" w:rsidTr="00FF575F">
        <w:tblPrEx>
          <w:tblCellMar>
            <w:top w:w="57" w:type="dxa"/>
            <w:left w:w="57" w:type="dxa"/>
            <w:bottom w:w="57" w:type="dxa"/>
            <w:right w:w="57" w:type="dxa"/>
          </w:tblCellMar>
        </w:tblPrEx>
        <w:tc>
          <w:tcPr>
            <w:tcW w:w="0" w:type="auto"/>
            <w:hideMark/>
          </w:tcPr>
          <w:p w14:paraId="4B54074F" w14:textId="77777777" w:rsidR="00FF575F" w:rsidRPr="00D74229" w:rsidRDefault="00FF575F" w:rsidP="00F13C1A">
            <w:pPr>
              <w:pStyle w:val="NormalWeb"/>
              <w:rPr>
                <w:sz w:val="18"/>
                <w:szCs w:val="18"/>
              </w:rPr>
            </w:pPr>
            <w:r w:rsidRPr="00D74229">
              <w:rPr>
                <w:sz w:val="18"/>
                <w:szCs w:val="18"/>
              </w:rPr>
              <w:t>Not stated</w:t>
            </w:r>
          </w:p>
        </w:tc>
        <w:tc>
          <w:tcPr>
            <w:tcW w:w="0" w:type="auto"/>
            <w:hideMark/>
          </w:tcPr>
          <w:p w14:paraId="71A92DC0"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024D069B" w14:textId="77777777" w:rsidR="00FF575F" w:rsidRPr="00D74229" w:rsidRDefault="00FF575F" w:rsidP="00F13C1A">
            <w:pPr>
              <w:pStyle w:val="NormalWeb"/>
              <w:jc w:val="center"/>
              <w:rPr>
                <w:sz w:val="18"/>
                <w:szCs w:val="18"/>
              </w:rPr>
            </w:pPr>
            <w:r w:rsidRPr="00D74229">
              <w:rPr>
                <w:sz w:val="18"/>
                <w:szCs w:val="18"/>
              </w:rPr>
              <w:t>1</w:t>
            </w:r>
          </w:p>
        </w:tc>
        <w:tc>
          <w:tcPr>
            <w:tcW w:w="2284" w:type="dxa"/>
            <w:hideMark/>
          </w:tcPr>
          <w:p w14:paraId="6003127E" w14:textId="77777777" w:rsidR="00FF575F" w:rsidRPr="00D74229" w:rsidRDefault="00FF575F" w:rsidP="00F13C1A">
            <w:pPr>
              <w:pStyle w:val="NormalWeb"/>
              <w:jc w:val="center"/>
              <w:rPr>
                <w:sz w:val="18"/>
                <w:szCs w:val="18"/>
              </w:rPr>
            </w:pPr>
            <w:r w:rsidRPr="00D74229">
              <w:rPr>
                <w:sz w:val="18"/>
                <w:szCs w:val="18"/>
              </w:rPr>
              <w:t>1</w:t>
            </w:r>
          </w:p>
        </w:tc>
      </w:tr>
      <w:tr w:rsidR="00FF575F" w:rsidRPr="00355FA3" w14:paraId="61186DAE"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10440" w:type="dxa"/>
            <w:gridSpan w:val="4"/>
            <w:shd w:val="clear" w:color="auto" w:fill="886E49"/>
            <w:hideMark/>
          </w:tcPr>
          <w:p w14:paraId="41A48F40" w14:textId="77777777" w:rsidR="00FF575F" w:rsidRPr="00355FA3" w:rsidRDefault="00FF575F" w:rsidP="00F13C1A">
            <w:pPr>
              <w:pStyle w:val="NormalWeb"/>
              <w:rPr>
                <w:b/>
                <w:bCs/>
                <w:color w:val="FFFFFF" w:themeColor="background1"/>
                <w:sz w:val="18"/>
                <w:szCs w:val="18"/>
              </w:rPr>
            </w:pPr>
            <w:r w:rsidRPr="00355FA3">
              <w:rPr>
                <w:b/>
                <w:bCs/>
                <w:color w:val="FFFFFF" w:themeColor="background1"/>
                <w:sz w:val="18"/>
                <w:szCs w:val="18"/>
              </w:rPr>
              <w:t>Country of birth</w:t>
            </w:r>
          </w:p>
        </w:tc>
      </w:tr>
      <w:tr w:rsidR="00FF575F" w:rsidRPr="00D74229" w14:paraId="3DECC28A" w14:textId="77777777" w:rsidTr="00FF575F">
        <w:tblPrEx>
          <w:tblCellMar>
            <w:top w:w="57" w:type="dxa"/>
            <w:left w:w="57" w:type="dxa"/>
            <w:bottom w:w="57" w:type="dxa"/>
            <w:right w:w="57" w:type="dxa"/>
          </w:tblCellMar>
        </w:tblPrEx>
        <w:tc>
          <w:tcPr>
            <w:tcW w:w="0" w:type="auto"/>
            <w:hideMark/>
          </w:tcPr>
          <w:p w14:paraId="0134877A" w14:textId="77777777" w:rsidR="00FF575F" w:rsidRPr="00D74229" w:rsidRDefault="00FF575F" w:rsidP="00F13C1A">
            <w:pPr>
              <w:pStyle w:val="NormalWeb"/>
              <w:rPr>
                <w:sz w:val="18"/>
                <w:szCs w:val="18"/>
              </w:rPr>
            </w:pPr>
            <w:r w:rsidRPr="00D74229">
              <w:rPr>
                <w:sz w:val="18"/>
                <w:szCs w:val="18"/>
              </w:rPr>
              <w:t>Australia</w:t>
            </w:r>
          </w:p>
        </w:tc>
        <w:tc>
          <w:tcPr>
            <w:tcW w:w="0" w:type="auto"/>
            <w:hideMark/>
          </w:tcPr>
          <w:p w14:paraId="573E0FF0" w14:textId="77777777" w:rsidR="00FF575F" w:rsidRPr="00D74229" w:rsidRDefault="00FF575F" w:rsidP="00F13C1A">
            <w:pPr>
              <w:pStyle w:val="NormalWeb"/>
              <w:jc w:val="center"/>
              <w:rPr>
                <w:sz w:val="18"/>
                <w:szCs w:val="18"/>
              </w:rPr>
            </w:pPr>
            <w:r w:rsidRPr="00D74229">
              <w:rPr>
                <w:sz w:val="18"/>
                <w:szCs w:val="18"/>
              </w:rPr>
              <w:t>15</w:t>
            </w:r>
          </w:p>
        </w:tc>
        <w:tc>
          <w:tcPr>
            <w:tcW w:w="0" w:type="auto"/>
            <w:hideMark/>
          </w:tcPr>
          <w:p w14:paraId="02F64202" w14:textId="77777777" w:rsidR="00FF575F" w:rsidRPr="00D74229" w:rsidRDefault="00FF575F" w:rsidP="00F13C1A">
            <w:pPr>
              <w:pStyle w:val="NormalWeb"/>
              <w:jc w:val="center"/>
              <w:rPr>
                <w:sz w:val="18"/>
                <w:szCs w:val="18"/>
              </w:rPr>
            </w:pPr>
            <w:r w:rsidRPr="00D74229">
              <w:rPr>
                <w:sz w:val="18"/>
                <w:szCs w:val="18"/>
              </w:rPr>
              <w:t>22</w:t>
            </w:r>
          </w:p>
        </w:tc>
        <w:tc>
          <w:tcPr>
            <w:tcW w:w="2284" w:type="dxa"/>
            <w:hideMark/>
          </w:tcPr>
          <w:p w14:paraId="3C4F012C" w14:textId="77777777" w:rsidR="00FF575F" w:rsidRPr="00D74229" w:rsidRDefault="00FF575F" w:rsidP="00F13C1A">
            <w:pPr>
              <w:pStyle w:val="NormalWeb"/>
              <w:jc w:val="center"/>
              <w:rPr>
                <w:sz w:val="18"/>
                <w:szCs w:val="18"/>
              </w:rPr>
            </w:pPr>
            <w:r w:rsidRPr="00D74229">
              <w:rPr>
                <w:sz w:val="18"/>
                <w:szCs w:val="18"/>
              </w:rPr>
              <w:t>38</w:t>
            </w:r>
          </w:p>
        </w:tc>
      </w:tr>
      <w:tr w:rsidR="00FF575F" w:rsidRPr="00D74229" w14:paraId="5143CBF8"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3EEFF289" w14:textId="77777777" w:rsidR="00FF575F" w:rsidRPr="00D74229" w:rsidRDefault="00FF575F" w:rsidP="00F13C1A">
            <w:pPr>
              <w:pStyle w:val="NormalWeb"/>
              <w:rPr>
                <w:sz w:val="18"/>
                <w:szCs w:val="18"/>
              </w:rPr>
            </w:pPr>
            <w:r w:rsidRPr="00D74229">
              <w:rPr>
                <w:sz w:val="18"/>
                <w:szCs w:val="18"/>
              </w:rPr>
              <w:t>Overseas</w:t>
            </w:r>
          </w:p>
        </w:tc>
        <w:tc>
          <w:tcPr>
            <w:tcW w:w="0" w:type="auto"/>
            <w:hideMark/>
          </w:tcPr>
          <w:p w14:paraId="163859C6" w14:textId="77777777" w:rsidR="00FF575F" w:rsidRPr="00D74229" w:rsidRDefault="00FF575F" w:rsidP="00F13C1A">
            <w:pPr>
              <w:pStyle w:val="NormalWeb"/>
              <w:jc w:val="center"/>
              <w:rPr>
                <w:sz w:val="18"/>
                <w:szCs w:val="18"/>
              </w:rPr>
            </w:pPr>
            <w:r w:rsidRPr="00D74229">
              <w:rPr>
                <w:sz w:val="18"/>
                <w:szCs w:val="18"/>
              </w:rPr>
              <w:t>1</w:t>
            </w:r>
          </w:p>
        </w:tc>
        <w:tc>
          <w:tcPr>
            <w:tcW w:w="0" w:type="auto"/>
            <w:hideMark/>
          </w:tcPr>
          <w:p w14:paraId="0AD8B8E8" w14:textId="77777777" w:rsidR="00FF575F" w:rsidRPr="00D74229" w:rsidRDefault="00FF575F" w:rsidP="00F13C1A">
            <w:pPr>
              <w:pStyle w:val="NormalWeb"/>
              <w:jc w:val="center"/>
              <w:rPr>
                <w:sz w:val="18"/>
                <w:szCs w:val="18"/>
              </w:rPr>
            </w:pPr>
            <w:r w:rsidRPr="00D74229">
              <w:rPr>
                <w:sz w:val="18"/>
                <w:szCs w:val="18"/>
              </w:rPr>
              <w:t>9</w:t>
            </w:r>
          </w:p>
        </w:tc>
        <w:tc>
          <w:tcPr>
            <w:tcW w:w="2284" w:type="dxa"/>
            <w:hideMark/>
          </w:tcPr>
          <w:p w14:paraId="373A43B2" w14:textId="77777777" w:rsidR="00FF575F" w:rsidRPr="00D74229" w:rsidRDefault="00FF575F" w:rsidP="00F13C1A">
            <w:pPr>
              <w:pStyle w:val="NormalWeb"/>
              <w:jc w:val="center"/>
              <w:rPr>
                <w:sz w:val="18"/>
                <w:szCs w:val="18"/>
              </w:rPr>
            </w:pPr>
            <w:r w:rsidRPr="00D74229">
              <w:rPr>
                <w:sz w:val="18"/>
                <w:szCs w:val="18"/>
              </w:rPr>
              <w:t>10</w:t>
            </w:r>
          </w:p>
        </w:tc>
      </w:tr>
      <w:tr w:rsidR="00FF575F" w:rsidRPr="00355FA3" w14:paraId="3A87E9BF" w14:textId="77777777" w:rsidTr="00FF575F">
        <w:tblPrEx>
          <w:tblCellMar>
            <w:top w:w="57" w:type="dxa"/>
            <w:left w:w="57" w:type="dxa"/>
            <w:bottom w:w="57" w:type="dxa"/>
            <w:right w:w="57" w:type="dxa"/>
          </w:tblCellMar>
        </w:tblPrEx>
        <w:tc>
          <w:tcPr>
            <w:tcW w:w="10440" w:type="dxa"/>
            <w:gridSpan w:val="4"/>
            <w:shd w:val="clear" w:color="auto" w:fill="886E49"/>
            <w:hideMark/>
          </w:tcPr>
          <w:p w14:paraId="30F4CDCC" w14:textId="77777777" w:rsidR="00FF575F" w:rsidRPr="00355FA3" w:rsidRDefault="00FF575F" w:rsidP="00F13C1A">
            <w:pPr>
              <w:pStyle w:val="NormalWeb"/>
              <w:rPr>
                <w:b/>
                <w:bCs/>
                <w:color w:val="FFFFFF" w:themeColor="background1"/>
                <w:sz w:val="18"/>
                <w:szCs w:val="18"/>
              </w:rPr>
            </w:pPr>
            <w:r w:rsidRPr="00355FA3">
              <w:rPr>
                <w:b/>
                <w:bCs/>
                <w:color w:val="FFFFFF" w:themeColor="background1"/>
                <w:sz w:val="18"/>
                <w:szCs w:val="18"/>
              </w:rPr>
              <w:t>Vaccination status</w:t>
            </w:r>
          </w:p>
        </w:tc>
      </w:tr>
      <w:tr w:rsidR="00FF575F" w:rsidRPr="00D74229" w14:paraId="430817FB"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0B1F07AD" w14:textId="77777777" w:rsidR="00FF575F" w:rsidRPr="00D74229" w:rsidRDefault="00FF575F" w:rsidP="00F13C1A">
            <w:pPr>
              <w:pStyle w:val="NormalWeb"/>
              <w:rPr>
                <w:sz w:val="18"/>
                <w:szCs w:val="18"/>
              </w:rPr>
            </w:pPr>
            <w:r w:rsidRPr="00D74229">
              <w:rPr>
                <w:sz w:val="18"/>
                <w:szCs w:val="18"/>
              </w:rPr>
              <w:t>Not age eligible</w:t>
            </w:r>
          </w:p>
        </w:tc>
        <w:tc>
          <w:tcPr>
            <w:tcW w:w="0" w:type="auto"/>
            <w:hideMark/>
          </w:tcPr>
          <w:p w14:paraId="40762FAB" w14:textId="77777777" w:rsidR="00FF575F" w:rsidRPr="00D74229" w:rsidRDefault="00FF575F" w:rsidP="00F13C1A">
            <w:pPr>
              <w:pStyle w:val="NormalWeb"/>
              <w:jc w:val="center"/>
              <w:rPr>
                <w:sz w:val="18"/>
                <w:szCs w:val="18"/>
              </w:rPr>
            </w:pPr>
            <w:r w:rsidRPr="00D74229">
              <w:rPr>
                <w:sz w:val="18"/>
                <w:szCs w:val="18"/>
              </w:rPr>
              <w:t>16</w:t>
            </w:r>
          </w:p>
        </w:tc>
        <w:tc>
          <w:tcPr>
            <w:tcW w:w="0" w:type="auto"/>
            <w:hideMark/>
          </w:tcPr>
          <w:p w14:paraId="110F9954" w14:textId="77777777" w:rsidR="00FF575F" w:rsidRPr="00D74229" w:rsidRDefault="00FF575F" w:rsidP="00F13C1A">
            <w:pPr>
              <w:pStyle w:val="NormalWeb"/>
              <w:jc w:val="center"/>
              <w:rPr>
                <w:sz w:val="18"/>
                <w:szCs w:val="18"/>
              </w:rPr>
            </w:pPr>
            <w:r w:rsidRPr="00D74229">
              <w:rPr>
                <w:sz w:val="18"/>
                <w:szCs w:val="18"/>
              </w:rPr>
              <w:t>16</w:t>
            </w:r>
          </w:p>
        </w:tc>
        <w:tc>
          <w:tcPr>
            <w:tcW w:w="2284" w:type="dxa"/>
            <w:hideMark/>
          </w:tcPr>
          <w:p w14:paraId="1E79D5B4" w14:textId="77777777" w:rsidR="00FF575F" w:rsidRPr="00D74229" w:rsidRDefault="00FF575F" w:rsidP="00F13C1A">
            <w:pPr>
              <w:pStyle w:val="NormalWeb"/>
              <w:jc w:val="center"/>
              <w:rPr>
                <w:sz w:val="18"/>
                <w:szCs w:val="18"/>
              </w:rPr>
            </w:pPr>
            <w:r w:rsidRPr="00D74229">
              <w:rPr>
                <w:sz w:val="18"/>
                <w:szCs w:val="18"/>
              </w:rPr>
              <w:t>31</w:t>
            </w:r>
          </w:p>
        </w:tc>
      </w:tr>
      <w:tr w:rsidR="00FF575F" w:rsidRPr="00D74229" w14:paraId="4ED11BE6" w14:textId="77777777" w:rsidTr="00FF575F">
        <w:tblPrEx>
          <w:tblCellMar>
            <w:top w:w="57" w:type="dxa"/>
            <w:left w:w="57" w:type="dxa"/>
            <w:bottom w:w="57" w:type="dxa"/>
            <w:right w:w="57" w:type="dxa"/>
          </w:tblCellMar>
        </w:tblPrEx>
        <w:tc>
          <w:tcPr>
            <w:tcW w:w="0" w:type="auto"/>
            <w:hideMark/>
          </w:tcPr>
          <w:p w14:paraId="288CDDDD" w14:textId="77777777" w:rsidR="00FF575F" w:rsidRPr="00D74229" w:rsidRDefault="00FF575F" w:rsidP="00F13C1A">
            <w:pPr>
              <w:pStyle w:val="NormalWeb"/>
              <w:rPr>
                <w:sz w:val="18"/>
                <w:szCs w:val="18"/>
              </w:rPr>
            </w:pPr>
            <w:r w:rsidRPr="00D74229">
              <w:rPr>
                <w:sz w:val="18"/>
                <w:szCs w:val="18"/>
              </w:rPr>
              <w:t>Unvaccinated</w:t>
            </w:r>
          </w:p>
        </w:tc>
        <w:tc>
          <w:tcPr>
            <w:tcW w:w="0" w:type="auto"/>
            <w:hideMark/>
          </w:tcPr>
          <w:p w14:paraId="3F282D6B"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03633C50" w14:textId="77777777" w:rsidR="00FF575F" w:rsidRPr="00D74229" w:rsidRDefault="00FF575F" w:rsidP="00F13C1A">
            <w:pPr>
              <w:pStyle w:val="NormalWeb"/>
              <w:jc w:val="center"/>
              <w:rPr>
                <w:sz w:val="18"/>
                <w:szCs w:val="18"/>
              </w:rPr>
            </w:pPr>
            <w:r w:rsidRPr="00D74229">
              <w:rPr>
                <w:sz w:val="18"/>
                <w:szCs w:val="18"/>
              </w:rPr>
              <w:t>6</w:t>
            </w:r>
          </w:p>
        </w:tc>
        <w:tc>
          <w:tcPr>
            <w:tcW w:w="2284" w:type="dxa"/>
            <w:hideMark/>
          </w:tcPr>
          <w:p w14:paraId="110D85C2" w14:textId="77777777" w:rsidR="00FF575F" w:rsidRPr="00D74229" w:rsidRDefault="00FF575F" w:rsidP="00F13C1A">
            <w:pPr>
              <w:pStyle w:val="NormalWeb"/>
              <w:jc w:val="center"/>
              <w:rPr>
                <w:sz w:val="18"/>
                <w:szCs w:val="18"/>
              </w:rPr>
            </w:pPr>
            <w:r w:rsidRPr="00D74229">
              <w:rPr>
                <w:sz w:val="18"/>
                <w:szCs w:val="18"/>
              </w:rPr>
              <w:t>6</w:t>
            </w:r>
          </w:p>
        </w:tc>
      </w:tr>
      <w:tr w:rsidR="00FF575F" w:rsidRPr="00D74229" w14:paraId="19FEA4CC"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472817C7" w14:textId="77777777" w:rsidR="00FF575F" w:rsidRPr="00D74229" w:rsidRDefault="00FF575F" w:rsidP="00F13C1A">
            <w:pPr>
              <w:pStyle w:val="NormalWeb"/>
              <w:rPr>
                <w:sz w:val="18"/>
                <w:szCs w:val="18"/>
              </w:rPr>
            </w:pPr>
            <w:r w:rsidRPr="00D74229">
              <w:rPr>
                <w:sz w:val="18"/>
                <w:szCs w:val="18"/>
              </w:rPr>
              <w:t>1 dose</w:t>
            </w:r>
          </w:p>
        </w:tc>
        <w:tc>
          <w:tcPr>
            <w:tcW w:w="0" w:type="auto"/>
            <w:hideMark/>
          </w:tcPr>
          <w:p w14:paraId="6825033C"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6EF9FBBF" w14:textId="77777777" w:rsidR="00FF575F" w:rsidRPr="00D74229" w:rsidRDefault="00FF575F" w:rsidP="00F13C1A">
            <w:pPr>
              <w:pStyle w:val="NormalWeb"/>
              <w:jc w:val="center"/>
              <w:rPr>
                <w:sz w:val="18"/>
                <w:szCs w:val="18"/>
              </w:rPr>
            </w:pPr>
            <w:r w:rsidRPr="00D74229">
              <w:rPr>
                <w:sz w:val="18"/>
                <w:szCs w:val="18"/>
              </w:rPr>
              <w:t>5</w:t>
            </w:r>
          </w:p>
        </w:tc>
        <w:tc>
          <w:tcPr>
            <w:tcW w:w="2284" w:type="dxa"/>
            <w:hideMark/>
          </w:tcPr>
          <w:p w14:paraId="073BBE42" w14:textId="77777777" w:rsidR="00FF575F" w:rsidRPr="00D74229" w:rsidRDefault="00FF575F" w:rsidP="00F13C1A">
            <w:pPr>
              <w:pStyle w:val="NormalWeb"/>
              <w:jc w:val="center"/>
              <w:rPr>
                <w:sz w:val="18"/>
                <w:szCs w:val="18"/>
              </w:rPr>
            </w:pPr>
            <w:r w:rsidRPr="00D74229">
              <w:rPr>
                <w:sz w:val="18"/>
                <w:szCs w:val="18"/>
              </w:rPr>
              <w:t>5</w:t>
            </w:r>
          </w:p>
        </w:tc>
      </w:tr>
      <w:tr w:rsidR="00FF575F" w:rsidRPr="00D74229" w14:paraId="19B2863B" w14:textId="77777777" w:rsidTr="00FF575F">
        <w:tblPrEx>
          <w:tblCellMar>
            <w:top w:w="57" w:type="dxa"/>
            <w:left w:w="57" w:type="dxa"/>
            <w:bottom w:w="57" w:type="dxa"/>
            <w:right w:w="57" w:type="dxa"/>
          </w:tblCellMar>
        </w:tblPrEx>
        <w:tc>
          <w:tcPr>
            <w:tcW w:w="0" w:type="auto"/>
            <w:hideMark/>
          </w:tcPr>
          <w:p w14:paraId="5904F023" w14:textId="77777777" w:rsidR="00FF575F" w:rsidRPr="00D74229" w:rsidRDefault="00FF575F" w:rsidP="00F13C1A">
            <w:pPr>
              <w:pStyle w:val="NormalWeb"/>
              <w:rPr>
                <w:sz w:val="18"/>
                <w:szCs w:val="18"/>
              </w:rPr>
            </w:pPr>
            <w:r w:rsidRPr="00D74229">
              <w:rPr>
                <w:sz w:val="18"/>
                <w:szCs w:val="18"/>
              </w:rPr>
              <w:t>2 doses</w:t>
            </w:r>
          </w:p>
        </w:tc>
        <w:tc>
          <w:tcPr>
            <w:tcW w:w="0" w:type="auto"/>
            <w:hideMark/>
          </w:tcPr>
          <w:p w14:paraId="2D7D5A3D"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3CFBA2BD" w14:textId="77777777" w:rsidR="00FF575F" w:rsidRPr="00D74229" w:rsidRDefault="00FF575F" w:rsidP="00F13C1A">
            <w:pPr>
              <w:pStyle w:val="NormalWeb"/>
              <w:jc w:val="center"/>
              <w:rPr>
                <w:sz w:val="18"/>
                <w:szCs w:val="18"/>
              </w:rPr>
            </w:pPr>
            <w:r w:rsidRPr="00D74229">
              <w:rPr>
                <w:sz w:val="18"/>
                <w:szCs w:val="18"/>
              </w:rPr>
              <w:t>5</w:t>
            </w:r>
          </w:p>
        </w:tc>
        <w:tc>
          <w:tcPr>
            <w:tcW w:w="2284" w:type="dxa"/>
            <w:hideMark/>
          </w:tcPr>
          <w:p w14:paraId="1C9EF891" w14:textId="77777777" w:rsidR="00FF575F" w:rsidRPr="00D74229" w:rsidRDefault="00FF575F" w:rsidP="00F13C1A">
            <w:pPr>
              <w:pStyle w:val="NormalWeb"/>
              <w:jc w:val="center"/>
              <w:rPr>
                <w:sz w:val="18"/>
                <w:szCs w:val="18"/>
              </w:rPr>
            </w:pPr>
            <w:r w:rsidRPr="00D74229">
              <w:rPr>
                <w:sz w:val="18"/>
                <w:szCs w:val="18"/>
              </w:rPr>
              <w:t>5</w:t>
            </w:r>
          </w:p>
        </w:tc>
      </w:tr>
      <w:tr w:rsidR="00FF575F" w:rsidRPr="00D74229" w14:paraId="7C9BE1CB" w14:textId="77777777" w:rsidTr="00FF575F">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0" w:type="auto"/>
            <w:hideMark/>
          </w:tcPr>
          <w:p w14:paraId="70D437B5" w14:textId="77777777" w:rsidR="00FF575F" w:rsidRPr="00D74229" w:rsidRDefault="00FF575F" w:rsidP="00F13C1A">
            <w:pPr>
              <w:pStyle w:val="NormalWeb"/>
              <w:rPr>
                <w:sz w:val="18"/>
                <w:szCs w:val="18"/>
              </w:rPr>
            </w:pPr>
            <w:r w:rsidRPr="00D74229">
              <w:rPr>
                <w:sz w:val="18"/>
                <w:szCs w:val="18"/>
              </w:rPr>
              <w:t>2 doses &gt; 14 days before onset</w:t>
            </w:r>
          </w:p>
        </w:tc>
        <w:tc>
          <w:tcPr>
            <w:tcW w:w="0" w:type="auto"/>
            <w:hideMark/>
          </w:tcPr>
          <w:p w14:paraId="186A1663" w14:textId="77777777" w:rsidR="00FF575F" w:rsidRPr="00D74229" w:rsidRDefault="00FF575F" w:rsidP="00F13C1A">
            <w:pPr>
              <w:pStyle w:val="NormalWeb"/>
              <w:jc w:val="center"/>
              <w:rPr>
                <w:sz w:val="18"/>
                <w:szCs w:val="18"/>
              </w:rPr>
            </w:pPr>
            <w:r w:rsidRPr="00D74229">
              <w:rPr>
                <w:sz w:val="18"/>
                <w:szCs w:val="18"/>
              </w:rPr>
              <w:t>—</w:t>
            </w:r>
          </w:p>
        </w:tc>
        <w:tc>
          <w:tcPr>
            <w:tcW w:w="0" w:type="auto"/>
            <w:hideMark/>
          </w:tcPr>
          <w:p w14:paraId="38E9A2B7" w14:textId="77777777" w:rsidR="00FF575F" w:rsidRPr="00D74229" w:rsidRDefault="00FF575F" w:rsidP="00F13C1A">
            <w:pPr>
              <w:pStyle w:val="NormalWeb"/>
              <w:jc w:val="center"/>
              <w:rPr>
                <w:sz w:val="18"/>
                <w:szCs w:val="18"/>
              </w:rPr>
            </w:pPr>
            <w:r w:rsidRPr="00D74229">
              <w:rPr>
                <w:sz w:val="18"/>
                <w:szCs w:val="18"/>
              </w:rPr>
              <w:t>3</w:t>
            </w:r>
          </w:p>
        </w:tc>
        <w:tc>
          <w:tcPr>
            <w:tcW w:w="2284" w:type="dxa"/>
            <w:hideMark/>
          </w:tcPr>
          <w:p w14:paraId="76141CA5" w14:textId="77777777" w:rsidR="00FF575F" w:rsidRPr="00D74229" w:rsidRDefault="00FF575F" w:rsidP="00F13C1A">
            <w:pPr>
              <w:pStyle w:val="NormalWeb"/>
              <w:jc w:val="center"/>
              <w:rPr>
                <w:sz w:val="18"/>
                <w:szCs w:val="18"/>
              </w:rPr>
            </w:pPr>
            <w:r w:rsidRPr="00D74229">
              <w:rPr>
                <w:sz w:val="18"/>
                <w:szCs w:val="18"/>
              </w:rPr>
              <w:t>3</w:t>
            </w:r>
          </w:p>
        </w:tc>
      </w:tr>
    </w:tbl>
    <w:p w14:paraId="5BE7F5AA" w14:textId="7CC06B8A" w:rsidR="00FF575F" w:rsidRPr="00FF575F" w:rsidRDefault="00FF575F" w:rsidP="00FF575F">
      <w:pPr>
        <w:pStyle w:val="CDIfootnotes"/>
        <w:rPr>
          <w:lang w:val="en-GB"/>
        </w:rPr>
      </w:pPr>
      <w:proofErr w:type="spellStart"/>
      <w:r>
        <w:rPr>
          <w:lang w:val="en-GB"/>
        </w:rPr>
        <w:t>a</w:t>
      </w:r>
      <w:proofErr w:type="spellEnd"/>
      <w:r>
        <w:rPr>
          <w:lang w:val="en-GB"/>
        </w:rPr>
        <w:tab/>
        <w:t>Includes the index case, students who likely acquired their infection at school, and the staff member case.</w:t>
      </w:r>
    </w:p>
    <w:p w14:paraId="4E84F083" w14:textId="77777777" w:rsidR="00ED2146" w:rsidRDefault="00ED2146">
      <w:pPr>
        <w:rPr>
          <w:rFonts w:asciiTheme="majorHAnsi" w:eastAsiaTheme="majorEastAsia" w:hAnsiTheme="majorHAnsi" w:cstheme="majorBidi"/>
          <w:b/>
          <w:bCs/>
          <w:sz w:val="32"/>
          <w:szCs w:val="28"/>
        </w:rPr>
      </w:pPr>
      <w:r>
        <w:br w:type="page"/>
      </w:r>
    </w:p>
    <w:p w14:paraId="5D0BA5F5" w14:textId="77777777" w:rsidR="00ED2146" w:rsidRPr="00940A24" w:rsidRDefault="00ED2146" w:rsidP="00ED2146">
      <w:pPr>
        <w:pStyle w:val="CDIFigures"/>
      </w:pPr>
      <w:r w:rsidRPr="00940A24">
        <w:rPr>
          <w:rStyle w:val="Strong"/>
          <w:b/>
          <w:bCs w:val="0"/>
        </w:rPr>
        <w:lastRenderedPageBreak/>
        <w:t xml:space="preserve">Figure 1: Epidemic curve of COVID-19 cases associated with the B.1.617.2 outbreak (n = 48), by symptom onset </w:t>
      </w:r>
      <w:proofErr w:type="spellStart"/>
      <w:proofErr w:type="gramStart"/>
      <w:r w:rsidRPr="00940A24">
        <w:rPr>
          <w:rStyle w:val="Strong"/>
          <w:b/>
          <w:bCs w:val="0"/>
        </w:rPr>
        <w:t>date,</w:t>
      </w:r>
      <w:r w:rsidRPr="00940A24">
        <w:rPr>
          <w:rStyle w:val="Strong"/>
          <w:b/>
          <w:bCs w:val="0"/>
          <w:vertAlign w:val="superscript"/>
        </w:rPr>
        <w:t>a</w:t>
      </w:r>
      <w:proofErr w:type="spellEnd"/>
      <w:proofErr w:type="gramEnd"/>
      <w:r w:rsidRPr="00940A24">
        <w:rPr>
          <w:rStyle w:val="Strong"/>
          <w:b/>
          <w:bCs w:val="0"/>
        </w:rPr>
        <w:t xml:space="preserve"> Australian Capital Territory, August 2021</w:t>
      </w:r>
    </w:p>
    <w:p w14:paraId="22EA9613" w14:textId="77777777" w:rsidR="00ED2146" w:rsidRDefault="00ED2146" w:rsidP="00ED2146">
      <w:pPr>
        <w:pStyle w:val="CDIfootnotes"/>
        <w:rPr>
          <w:lang w:val="en-GB"/>
        </w:rPr>
      </w:pPr>
      <w:r>
        <w:rPr>
          <w:lang w:val="en-GB"/>
        </w:rPr>
        <w:t>a</w:t>
      </w:r>
      <w:r>
        <w:rPr>
          <w:lang w:val="en-GB"/>
        </w:rPr>
        <w:tab/>
        <w:t>Specimen collection date was used for cases that remained asymptomatic throughout their infection.</w:t>
      </w:r>
    </w:p>
    <w:p w14:paraId="1C8C2A3A" w14:textId="77777777" w:rsidR="00ED2146" w:rsidRDefault="00ED2146" w:rsidP="00ED2146">
      <w:pPr>
        <w:rPr>
          <w:rFonts w:eastAsia="Times New Roman"/>
          <w:lang w:val="en-GB"/>
        </w:rPr>
      </w:pPr>
      <w:r>
        <w:rPr>
          <w:rFonts w:eastAsia="Times New Roman"/>
          <w:noProof/>
          <w:lang w:val="en-GB"/>
        </w:rPr>
        <w:drawing>
          <wp:inline distT="0" distB="0" distL="0" distR="0" wp14:anchorId="59B71B91" wp14:editId="48F6AFA8">
            <wp:extent cx="6625742" cy="4233849"/>
            <wp:effectExtent l="0" t="0" r="3810" b="0"/>
            <wp:docPr id="4" name="Picture 4" descr="An epidemic curve of COVID-19 cases associated with the B.617.2 high school outbreak in the Australian Capital Territory. The epidemic curve is ordered by symptom onset date, except for one case who remained asymptomatic throughout their infection. The specimen collection date is used for this case. There are a total of 48 cases shown in this figure. The figure shows the first cases became symptomatic on 12 August 2021, rising to a peak in cases on 16 August 2021 when 8 new cases became symptomatic. The peak largely subsided by 20 August 2021, with 1 or 2 cases becoming symptomatic each day between 22 August and 28 August 2021. The last case associated with the outbreak became symptomatic on 28 August 2021. The figure also shows the epidemic curve by place of acquisition. The school-associated cases are largely clustered between 12 August 2021 and 17 August 2021, with a peak in cases becoming symptomatic on 13 August 2021. The household associated cases became symptomatic between 14 August 2021 and 28 August 2021, with most cases developing symptoms between 16 August 2021 and 20 August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pidemic curve of COVID-19 cases associated with the B.617.2 high school outbreak in the Australian Capital Territory. The epidemic curve is ordered by symptom onset date, except for one case who remained asymptomatic throughout their infection. The specimen collection date is used for this case. There are a total of 48 cases shown in this figure. The figure shows the first cases became symptomatic on 12 August 2021, rising to a peak in cases on 16 August 2021 when 8 new cases became symptomatic. The peak largely subsided by 20 August 2021, with 1 or 2 cases becoming symptomatic each day between 22 August and 28 August 2021. The last case associated with the outbreak became symptomatic on 28 August 2021. The figure also shows the epidemic curve by place of acquisition. The school-associated cases are largely clustered between 12 August 2021 and 17 August 2021, with a peak in cases becoming symptomatic on 13 August 2021. The household associated cases became symptomatic between 14 August 2021 and 28 August 2021, with most cases developing symptoms between 16 August 2021 and 20 August 2021.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34007" cy="4239130"/>
                    </a:xfrm>
                    <a:prstGeom prst="rect">
                      <a:avLst/>
                    </a:prstGeom>
                  </pic:spPr>
                </pic:pic>
              </a:graphicData>
            </a:graphic>
          </wp:inline>
        </w:drawing>
      </w:r>
    </w:p>
    <w:p w14:paraId="483CA5F2" w14:textId="77777777" w:rsidR="00ED2146" w:rsidRPr="00ED2146" w:rsidRDefault="00ED2146" w:rsidP="00ED2146">
      <w:pPr>
        <w:pStyle w:val="CDIfootnotes"/>
      </w:pPr>
      <w:r>
        <w:t>a</w:t>
      </w:r>
      <w:r>
        <w:tab/>
      </w:r>
      <w:r w:rsidRPr="00ED2146">
        <w:t>Specimen collection date was used for cases that remained asymptomatic throughout their infection.</w:t>
      </w:r>
    </w:p>
    <w:p w14:paraId="23DF8265" w14:textId="77777777" w:rsidR="00581408" w:rsidRDefault="00581408">
      <w:pPr>
        <w:rPr>
          <w:rFonts w:asciiTheme="majorHAnsi" w:eastAsiaTheme="majorEastAsia" w:hAnsiTheme="majorHAnsi" w:cstheme="majorBidi"/>
          <w:b/>
          <w:bCs/>
          <w:sz w:val="32"/>
          <w:szCs w:val="28"/>
        </w:rPr>
      </w:pPr>
      <w:r>
        <w:br w:type="page"/>
      </w:r>
    </w:p>
    <w:p w14:paraId="509A211A" w14:textId="77777777" w:rsidR="00581408" w:rsidRPr="00940A24" w:rsidRDefault="00581408" w:rsidP="00581408">
      <w:pPr>
        <w:pStyle w:val="CDIFigures"/>
      </w:pPr>
      <w:r w:rsidRPr="00940A24">
        <w:rPr>
          <w:rStyle w:val="Strong"/>
          <w:b/>
          <w:bCs w:val="0"/>
        </w:rPr>
        <w:lastRenderedPageBreak/>
        <w:t>Figure 2: Symptom profile of child and adult COVID-19 cases associated with the B.1.617.2 high school outbreak (n = 48</w:t>
      </w:r>
      <w:proofErr w:type="gramStart"/>
      <w:r w:rsidRPr="00940A24">
        <w:rPr>
          <w:rStyle w:val="Strong"/>
          <w:b/>
          <w:bCs w:val="0"/>
        </w:rPr>
        <w:t>),</w:t>
      </w:r>
      <w:r w:rsidRPr="00940A24">
        <w:rPr>
          <w:rStyle w:val="Strong"/>
          <w:b/>
          <w:bCs w:val="0"/>
          <w:vertAlign w:val="superscript"/>
        </w:rPr>
        <w:t>a</w:t>
      </w:r>
      <w:proofErr w:type="gramEnd"/>
      <w:r w:rsidRPr="00940A24">
        <w:rPr>
          <w:rStyle w:val="Strong"/>
          <w:b/>
          <w:bCs w:val="0"/>
        </w:rPr>
        <w:t xml:space="preserve"> Australian Capital Territory, August 2021</w:t>
      </w:r>
    </w:p>
    <w:p w14:paraId="43F4B611" w14:textId="77777777" w:rsidR="00581408" w:rsidRDefault="00581408" w:rsidP="00581408">
      <w:pPr>
        <w:rPr>
          <w:rFonts w:eastAsia="Times New Roman"/>
          <w:lang w:val="en-GB"/>
        </w:rPr>
      </w:pPr>
      <w:r>
        <w:rPr>
          <w:rFonts w:eastAsia="Times New Roman"/>
          <w:noProof/>
          <w:lang w:val="en-GB"/>
        </w:rPr>
        <w:drawing>
          <wp:inline distT="0" distB="0" distL="0" distR="0" wp14:anchorId="06A0F245" wp14:editId="3ABD98E6">
            <wp:extent cx="6625742" cy="4253478"/>
            <wp:effectExtent l="0" t="0" r="3810" b="0"/>
            <wp:docPr id="2" name="Picture 2" descr="This figure is a bar chart shows the proportion of child cases and adult cases self-reporting each COVID-19 symptom. The denominator for each group is the total number of child cases or adult cases, including the one asymptomatic case. The top three symptoms reported by child cases and adult cases were the same, namely headache, a couch, and a runny or blocked nose. Child cases reported fever more often than adult cases, while adult cases were more likely to report muscular pain and/or joint pain compared to child cases. The least common symptoms for child cases were chest pain, diarrhoea, and irritability/confusion. The leas common symptoms for adult cases were nausea/vomiting, abdominal pain, and irritability/confu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figure is a bar chart shows the proportion of child cases and adult cases self-reporting each COVID-19 symptom. The denominator for each group is the total number of child cases or adult cases, including the one asymptomatic case. The top three symptoms reported by child cases and adult cases were the same, namely headache, a couch, and a runny or blocked nose. Child cases reported fever more often than adult cases, while adult cases were more likely to report muscular pain and/or joint pain compared to child cases. The least common symptoms for child cases were chest pain, diarrhoea, and irritability/confusion. The leas common symptoms for adult cases were nausea/vomiting, abdominal pain, and irritability/confusion."/>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2330" cy="4264127"/>
                    </a:xfrm>
                    <a:prstGeom prst="rect">
                      <a:avLst/>
                    </a:prstGeom>
                  </pic:spPr>
                </pic:pic>
              </a:graphicData>
            </a:graphic>
          </wp:inline>
        </w:drawing>
      </w:r>
    </w:p>
    <w:p w14:paraId="1DF978EE" w14:textId="77777777" w:rsidR="00581408" w:rsidRDefault="00581408" w:rsidP="00581408">
      <w:pPr>
        <w:pStyle w:val="CDIfootnotes"/>
        <w:rPr>
          <w:lang w:val="en-GB"/>
        </w:rPr>
      </w:pPr>
      <w:r>
        <w:rPr>
          <w:lang w:val="en-GB"/>
        </w:rPr>
        <w:t>a</w:t>
      </w:r>
      <w:r>
        <w:rPr>
          <w:lang w:val="en-GB"/>
        </w:rPr>
        <w:tab/>
        <w:t>One case reported remaining asymptomatic through their infection.</w:t>
      </w:r>
    </w:p>
    <w:p w14:paraId="5620C06D" w14:textId="2BEC50AB" w:rsidR="00661052" w:rsidRPr="00661052" w:rsidRDefault="00661052" w:rsidP="00661052">
      <w:pPr>
        <w:pStyle w:val="Heading1"/>
      </w:pPr>
      <w:r w:rsidRPr="00661052">
        <w:t xml:space="preserve">Transmission events </w:t>
      </w:r>
    </w:p>
    <w:p w14:paraId="4182F4FB" w14:textId="77777777" w:rsidR="00661052" w:rsidRDefault="00661052" w:rsidP="00661052">
      <w:r>
        <w:t xml:space="preserve">Based on the findings of the case interview and genomic analysis, the source of the index case’s infection was identified as a theatre group rehearsal at a community hall the weekend before onset. </w:t>
      </w:r>
    </w:p>
    <w:p w14:paraId="57FD23CA" w14:textId="77777777" w:rsidR="00661052" w:rsidRPr="00661052" w:rsidRDefault="00661052" w:rsidP="00661052">
      <w:pPr>
        <w:pStyle w:val="Heading2"/>
      </w:pPr>
      <w:r w:rsidRPr="00661052">
        <w:t xml:space="preserve">School transmission </w:t>
      </w:r>
    </w:p>
    <w:p w14:paraId="2552D7B9" w14:textId="77777777" w:rsidR="00661052" w:rsidRDefault="00661052" w:rsidP="00661052">
      <w:r>
        <w:t xml:space="preserve">The in-school transmission events associated with this outbreak are shown in Figure 3. Ten of the 14 school-acquired cases (71%) were in the same grade as the index case and had attended at least one class together. Four of these students attended multiple classes with the index case. The attack rates for the eight classes that the index case attended ranged between 0% and 45% (median: 3.2%) (Table 2). All lessons were indoors. </w:t>
      </w:r>
    </w:p>
    <w:p w14:paraId="762A97CA" w14:textId="77777777" w:rsidR="00661052" w:rsidRDefault="00661052" w:rsidP="00661052">
      <w:r>
        <w:t xml:space="preserve">The highest attack rate was seen in the drama class, where nine of the 20 classmates of the index case were confirmed outbreak cases. This practical class had three timetabled indoor lessons during 9–12 August 2021 and involved small groups in close contact preparing short performances and the class sitting together as an audience. Risk of infection for students attending drama class was over one hundred times the risk for students in the same grade who did not attend this class (95% CI: 14.88–837.19; </w:t>
      </w:r>
      <w:r w:rsidRPr="00BE1B3E">
        <w:rPr>
          <w:rStyle w:val="Emphasis"/>
          <w:b w:val="0"/>
          <w:bCs w:val="0"/>
        </w:rPr>
        <w:t>p</w:t>
      </w:r>
      <w:r>
        <w:t xml:space="preserve"> &lt; 0.001). Three student cases attended a personal development, health, and physical education (PDHPE) class with the index case for three lessons during 9–12 August 2021. All three practical lessons involved indoor physical activity, social </w:t>
      </w:r>
      <w:proofErr w:type="gramStart"/>
      <w:r>
        <w:t>mixing</w:t>
      </w:r>
      <w:proofErr w:type="gramEnd"/>
      <w:r>
        <w:t xml:space="preserve"> and close contact between students, and using the change rooms before and after class. Students in the PDHPE class were seven times more likely to be </w:t>
      </w:r>
      <w:r>
        <w:lastRenderedPageBreak/>
        <w:t xml:space="preserve">cases (RR 7.45; 95% CI: 2.27–24.44; </w:t>
      </w:r>
      <w:r w:rsidRPr="00BE1B3E">
        <w:rPr>
          <w:rStyle w:val="Emphasis"/>
          <w:b w:val="0"/>
          <w:bCs w:val="0"/>
        </w:rPr>
        <w:t xml:space="preserve">p </w:t>
      </w:r>
      <w:r>
        <w:t xml:space="preserve">&lt; 0.001) than were students who did not attend the class. The teacher of this class was also a confirmed outbreak case. </w:t>
      </w:r>
    </w:p>
    <w:p w14:paraId="07B6BF55" w14:textId="77777777" w:rsidR="00581408" w:rsidRPr="00940A24" w:rsidRDefault="00581408" w:rsidP="00581408">
      <w:pPr>
        <w:pStyle w:val="CDIFigures"/>
      </w:pPr>
      <w:r w:rsidRPr="00940A24">
        <w:rPr>
          <w:rStyle w:val="Strong"/>
          <w:b/>
          <w:bCs w:val="0"/>
        </w:rPr>
        <w:t xml:space="preserve">Figure 3: Likely transmission tree of school-associated COVID-19 cases associated with the B.1.617.2 high school outbreak (n = 16), by symptom onset </w:t>
      </w:r>
      <w:proofErr w:type="spellStart"/>
      <w:proofErr w:type="gramStart"/>
      <w:r w:rsidRPr="00940A24">
        <w:rPr>
          <w:rStyle w:val="Strong"/>
          <w:b/>
          <w:bCs w:val="0"/>
        </w:rPr>
        <w:t>date,</w:t>
      </w:r>
      <w:r w:rsidRPr="00940A24">
        <w:rPr>
          <w:rStyle w:val="Strong"/>
          <w:b/>
          <w:bCs w:val="0"/>
          <w:vertAlign w:val="superscript"/>
        </w:rPr>
        <w:t>a</w:t>
      </w:r>
      <w:proofErr w:type="spellEnd"/>
      <w:proofErr w:type="gramEnd"/>
      <w:r w:rsidRPr="00940A24">
        <w:rPr>
          <w:rStyle w:val="Strong"/>
          <w:b/>
          <w:bCs w:val="0"/>
        </w:rPr>
        <w:t xml:space="preserve"> Australian Capital Territory, August 2021</w:t>
      </w:r>
      <w:r w:rsidRPr="00940A24">
        <w:rPr>
          <w:rStyle w:val="Strong"/>
          <w:b/>
          <w:bCs w:val="0"/>
          <w:vertAlign w:val="superscript"/>
        </w:rPr>
        <w:t>b</w:t>
      </w:r>
    </w:p>
    <w:p w14:paraId="08D6D8FA" w14:textId="77777777" w:rsidR="00581408" w:rsidRDefault="00581408" w:rsidP="00581408">
      <w:pPr>
        <w:rPr>
          <w:rFonts w:eastAsia="Times New Roman"/>
          <w:lang w:val="en-GB"/>
        </w:rPr>
      </w:pPr>
      <w:r>
        <w:rPr>
          <w:rFonts w:eastAsia="Times New Roman"/>
          <w:noProof/>
          <w:lang w:val="en-GB"/>
        </w:rPr>
        <w:drawing>
          <wp:inline distT="0" distB="0" distL="0" distR="0" wp14:anchorId="58BF91AA" wp14:editId="169F735E">
            <wp:extent cx="6625742" cy="5119892"/>
            <wp:effectExtent l="0" t="0" r="3810" b="5080"/>
            <wp:docPr id="3" name="Picture 3" descr="This chart shows the chains of transmission between school-associated cases in this outbreak by symptom onset date. Each student case is shown as a circle, and the one staff case is shown as a diamond. The date is shown along the bottom of the figure as a symptom onset date for cases, and to indicate when particular classes were held during the index case’s infectious period. The drama class was held of 9 August, 11 August, and 12 August 2021. The PDHPE class was held on 9 August, 10 August, and 11 August 2021. The concert band class was held on 10 August, 11 August, and 12 August 2021. The figure shows that student cases who shared a drama and/or a PDPHE class with the index case developed symptoms between 12 August and 16 August 2021. The asymptomatic case shared a drama class with the index case and had a specimen collection date of 24 August 2021. The students who shared a concert band class with the index case developed symptoms on 13 August 2021. The staff case and the student case who may have crossed over with the index case in the changerooms both developed symptoms on 16 August. The two cases who sat indoors during the lunch period near the index case developed symptoms on 16 August and 17 August 2021. The one case who had an uncertain transmission pathway developed symptoms on 14 August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chart shows the chains of transmission between school-associated cases in this outbreak by symptom onset date. Each student case is shown as a circle, and the one staff case is shown as a diamond. The date is shown along the bottom of the figure as a symptom onset date for cases, and to indicate when particular classes were held during the index case’s infectious period. The drama class was held of 9 August, 11 August, and 12 August 2021. The PDHPE class was held on 9 August, 10 August, and 11 August 2021. The concert band class was held on 10 August, 11 August, and 12 August 2021. The figure shows that student cases who shared a drama and/or a PDPHE class with the index case developed symptoms between 12 August and 16 August 2021. The asymptomatic case shared a drama class with the index case and had a specimen collection date of 24 August 2021. The students who shared a concert band class with the index case developed symptoms on 13 August 2021. The staff case and the student case who may have crossed over with the index case in the changerooms both developed symptoms on 16 August. The two cases who sat indoors during the lunch period near the index case developed symptoms on 16 August and 17 August 2021. The one case who had an uncertain transmission pathway developed symptoms on 14 August 2021.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8606" cy="5129832"/>
                    </a:xfrm>
                    <a:prstGeom prst="rect">
                      <a:avLst/>
                    </a:prstGeom>
                  </pic:spPr>
                </pic:pic>
              </a:graphicData>
            </a:graphic>
          </wp:inline>
        </w:drawing>
      </w:r>
    </w:p>
    <w:p w14:paraId="354EB208" w14:textId="77777777" w:rsidR="00581408" w:rsidRDefault="00581408" w:rsidP="00581408">
      <w:pPr>
        <w:pStyle w:val="CDIfootnotes"/>
        <w:rPr>
          <w:lang w:val="en-GB"/>
        </w:rPr>
      </w:pPr>
      <w:r>
        <w:rPr>
          <w:lang w:val="en-GB"/>
        </w:rPr>
        <w:t>a</w:t>
      </w:r>
      <w:r>
        <w:rPr>
          <w:lang w:val="en-GB"/>
        </w:rPr>
        <w:tab/>
        <w:t>Specimen collection date used for cases that remained asymptomatic throughout their infection.</w:t>
      </w:r>
    </w:p>
    <w:p w14:paraId="2710B420" w14:textId="77777777" w:rsidR="00581408" w:rsidRDefault="00581408" w:rsidP="00581408">
      <w:pPr>
        <w:pStyle w:val="CDIfootnotes"/>
        <w:rPr>
          <w:lang w:val="en-GB"/>
        </w:rPr>
      </w:pPr>
      <w:r>
        <w:rPr>
          <w:lang w:val="en-GB"/>
        </w:rPr>
        <w:t>b</w:t>
      </w:r>
      <w:r>
        <w:rPr>
          <w:lang w:val="en-GB"/>
        </w:rPr>
        <w:tab/>
        <w:t>Note: This figure only includes school-associated cases. Household associated cases have been excluded.</w:t>
      </w:r>
    </w:p>
    <w:p w14:paraId="46DAF396" w14:textId="77777777" w:rsidR="00581408" w:rsidRPr="00581408" w:rsidRDefault="00581408" w:rsidP="00581408">
      <w:pPr>
        <w:pStyle w:val="CDIfootnotes"/>
        <w:rPr>
          <w:lang w:val="en-GB"/>
        </w:rPr>
      </w:pPr>
      <w:r>
        <w:rPr>
          <w:lang w:val="en-GB"/>
        </w:rPr>
        <w:t>c</w:t>
      </w:r>
      <w:r>
        <w:rPr>
          <w:lang w:val="en-GB"/>
        </w:rPr>
        <w:tab/>
        <w:t>PDHPE: Personal development, health, and physical education.</w:t>
      </w:r>
    </w:p>
    <w:p w14:paraId="5B0E1A71" w14:textId="77777777" w:rsidR="00661052" w:rsidRDefault="00661052" w:rsidP="00661052">
      <w:r>
        <w:t xml:space="preserve">Two student cases attended a concert band rehearsal with the index case for two lessons during 9–12 August 2021. These lessons involved students playing brass and woodwind instruments and were conducted indoors in a dedicated music performance space. The risk of transmission in this class was not statistically significant (RR: 0.54; 95% CI: 0.12–2.48; </w:t>
      </w:r>
      <w:r w:rsidRPr="00BE1B3E">
        <w:rPr>
          <w:rStyle w:val="Emphasis"/>
          <w:b w:val="0"/>
          <w:bCs w:val="0"/>
        </w:rPr>
        <w:t>p</w:t>
      </w:r>
      <w:r>
        <w:t xml:space="preserve"> = 0.418). Two student cases also attended home group and a science class with the index case; however, these cases also attended the drama class. </w:t>
      </w:r>
    </w:p>
    <w:p w14:paraId="471936D8" w14:textId="77777777" w:rsidR="00661052" w:rsidRDefault="00661052" w:rsidP="00661052">
      <w:r>
        <w:t xml:space="preserve">Four school-associated cases were in a different grade to the index case. None of these four cases reported social interactions or timetabled classes with the index case, or with each other, and no likely sources of infection outside the educational setting were identified. Genomic analysis confirmed these four cases shared the same sequence as the index case. One of these four cases reported three timetabled practical PDHPE lessons with a different teacher at the same time as the index case, and both cases reported using the change rooms before and after each lesson. </w:t>
      </w:r>
      <w:r>
        <w:lastRenderedPageBreak/>
        <w:t xml:space="preserve">Although the lessons were conducted in different areas of the school, the repeated use of the change rooms may have provided an opportunity for transmission between the index case and this student. </w:t>
      </w:r>
    </w:p>
    <w:p w14:paraId="2D59D57C" w14:textId="6CC18C75" w:rsidR="00661052" w:rsidRDefault="00661052" w:rsidP="00661052">
      <w:r>
        <w:t xml:space="preserve">Two additional students reported sitting near the index case for recess and lunch periods during 9–12 August 2021. The seating area was </w:t>
      </w:r>
      <w:proofErr w:type="gramStart"/>
      <w:r>
        <w:t>indoors</w:t>
      </w:r>
      <w:proofErr w:type="gramEnd"/>
      <w:r>
        <w:t xml:space="preserve"> and an informal setting enabled students to move freely. There was potential for the virus to have been transmitted to students during the lunch and recess periods in this shared space. One student case had an unclear source of exposure. This student had practical PDHPE lessons timetabled directly after the index case on three days; however, they reported using different change rooms and a different PDHPE teacher. </w:t>
      </w:r>
    </w:p>
    <w:p w14:paraId="0E85DE9E" w14:textId="77777777" w:rsidR="00B83A7C" w:rsidRDefault="00B83A7C" w:rsidP="00661052">
      <w:pPr>
        <w:pStyle w:val="Heading2"/>
        <w:sectPr w:rsidR="00B83A7C"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2B45F300" w14:textId="031F78DC" w:rsidR="00B83A7C" w:rsidRPr="00014639" w:rsidRDefault="00B83A7C" w:rsidP="00B83A7C">
      <w:pPr>
        <w:pStyle w:val="CDIFigures"/>
      </w:pPr>
      <w:r w:rsidRPr="00014639">
        <w:rPr>
          <w:rStyle w:val="Strong"/>
          <w:b/>
          <w:bCs w:val="0"/>
        </w:rPr>
        <w:lastRenderedPageBreak/>
        <w:t>Table 2: Attack rates and relative risk of COVID-19 among students in different classes, B.1.617.2 high school outbreak, Australian Capital Territory, August 2021 (n</w:t>
      </w:r>
      <w:r w:rsidR="00443467">
        <w:rPr>
          <w:rStyle w:val="Strong"/>
          <w:b/>
          <w:bCs w:val="0"/>
        </w:rPr>
        <w:t> </w:t>
      </w:r>
      <w:r w:rsidRPr="00014639">
        <w:rPr>
          <w:rStyle w:val="Strong"/>
          <w:b/>
          <w:bCs w:val="0"/>
        </w:rPr>
        <w:t>=</w:t>
      </w:r>
      <w:r w:rsidR="00323C2A">
        <w:rPr>
          <w:rStyle w:val="Strong"/>
          <w:b/>
          <w:bCs w:val="0"/>
        </w:rPr>
        <w:t> </w:t>
      </w:r>
      <w:r w:rsidRPr="00014639">
        <w:rPr>
          <w:rStyle w:val="Strong"/>
          <w:b/>
          <w:bCs w:val="0"/>
        </w:rPr>
        <w:t>258)</w:t>
      </w:r>
      <w:r w:rsidRPr="00014639">
        <w:t xml:space="preserve"> </w:t>
      </w:r>
    </w:p>
    <w:tbl>
      <w:tblPr>
        <w:tblStyle w:val="CDI-StandardTable"/>
        <w:tblW w:w="14940" w:type="dxa"/>
        <w:tblLook w:val="04A0" w:firstRow="1" w:lastRow="0" w:firstColumn="1" w:lastColumn="0" w:noHBand="0" w:noVBand="1"/>
        <w:tblDescription w:val="This table shows the attack rate, relative risk, p value and 95% confidence interval for transmission of SARS-CoV-2 in different classes among students in the same grade as the index case. There are eight classes shown, and three of these classes do not have relative risk p values, or 95% confidence intervals as no student cases attended these classes with the index case."/>
      </w:tblPr>
      <w:tblGrid>
        <w:gridCol w:w="2552"/>
        <w:gridCol w:w="1843"/>
        <w:gridCol w:w="1984"/>
        <w:gridCol w:w="709"/>
        <w:gridCol w:w="1984"/>
        <w:gridCol w:w="1985"/>
        <w:gridCol w:w="1276"/>
        <w:gridCol w:w="1275"/>
        <w:gridCol w:w="1332"/>
      </w:tblGrid>
      <w:tr w:rsidR="00B83A7C" w:rsidRPr="003C14B4" w14:paraId="277E7D46" w14:textId="77777777" w:rsidTr="002A2DD2">
        <w:trPr>
          <w:cnfStyle w:val="100000000000" w:firstRow="1" w:lastRow="0" w:firstColumn="0" w:lastColumn="0" w:oddVBand="0" w:evenVBand="0" w:oddHBand="0" w:evenHBand="0" w:firstRowFirstColumn="0" w:firstRowLastColumn="0" w:lastRowFirstColumn="0" w:lastRowLastColumn="0"/>
        </w:trPr>
        <w:tc>
          <w:tcPr>
            <w:tcW w:w="2552" w:type="dxa"/>
            <w:tcBorders>
              <w:right w:val="single" w:sz="4" w:space="0" w:color="886E49"/>
            </w:tcBorders>
            <w:vAlign w:val="center"/>
            <w:hideMark/>
          </w:tcPr>
          <w:p w14:paraId="3588184C" w14:textId="77777777" w:rsidR="00B83A7C" w:rsidRPr="003C14B4" w:rsidRDefault="00B83A7C" w:rsidP="008D1E0E">
            <w:pPr>
              <w:pStyle w:val="NormalWeb"/>
              <w:rPr>
                <w:color w:val="FFFFFF" w:themeColor="background1"/>
                <w:sz w:val="18"/>
                <w:szCs w:val="18"/>
              </w:rPr>
            </w:pPr>
            <w:r w:rsidRPr="003C14B4">
              <w:rPr>
                <w:color w:val="FFFFFF" w:themeColor="background1"/>
                <w:sz w:val="18"/>
                <w:szCs w:val="18"/>
              </w:rPr>
              <w:t>Class</w:t>
            </w:r>
          </w:p>
        </w:tc>
        <w:tc>
          <w:tcPr>
            <w:tcW w:w="1843" w:type="dxa"/>
            <w:tcBorders>
              <w:left w:val="single" w:sz="4" w:space="0" w:color="886E49"/>
              <w:right w:val="single" w:sz="4" w:space="0" w:color="886E49"/>
            </w:tcBorders>
            <w:vAlign w:val="center"/>
            <w:hideMark/>
          </w:tcPr>
          <w:p w14:paraId="4118F885"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Student cases who attended the class</w:t>
            </w:r>
          </w:p>
        </w:tc>
        <w:tc>
          <w:tcPr>
            <w:tcW w:w="1984" w:type="dxa"/>
            <w:tcBorders>
              <w:left w:val="single" w:sz="4" w:space="0" w:color="886E49"/>
              <w:right w:val="single" w:sz="4" w:space="0" w:color="886E49"/>
            </w:tcBorders>
            <w:vAlign w:val="center"/>
            <w:hideMark/>
          </w:tcPr>
          <w:p w14:paraId="7602E925"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Student non-cases who attended the class</w:t>
            </w:r>
          </w:p>
        </w:tc>
        <w:tc>
          <w:tcPr>
            <w:tcW w:w="709" w:type="dxa"/>
            <w:tcBorders>
              <w:left w:val="single" w:sz="4" w:space="0" w:color="886E49"/>
              <w:right w:val="single" w:sz="4" w:space="0" w:color="886E49"/>
            </w:tcBorders>
            <w:vAlign w:val="center"/>
            <w:hideMark/>
          </w:tcPr>
          <w:p w14:paraId="68B720AF"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AR</w:t>
            </w:r>
          </w:p>
        </w:tc>
        <w:tc>
          <w:tcPr>
            <w:tcW w:w="1984" w:type="dxa"/>
            <w:tcBorders>
              <w:left w:val="single" w:sz="4" w:space="0" w:color="886E49"/>
              <w:right w:val="single" w:sz="4" w:space="0" w:color="886E49"/>
            </w:tcBorders>
            <w:vAlign w:val="center"/>
            <w:hideMark/>
          </w:tcPr>
          <w:p w14:paraId="546DB74F"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Student cases who did not attend the class</w:t>
            </w:r>
          </w:p>
        </w:tc>
        <w:tc>
          <w:tcPr>
            <w:tcW w:w="1985" w:type="dxa"/>
            <w:tcBorders>
              <w:left w:val="single" w:sz="4" w:space="0" w:color="886E49"/>
              <w:right w:val="single" w:sz="4" w:space="0" w:color="886E49"/>
            </w:tcBorders>
            <w:vAlign w:val="center"/>
            <w:hideMark/>
          </w:tcPr>
          <w:p w14:paraId="101E3475"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Student non-cases who did attend the class</w:t>
            </w:r>
          </w:p>
        </w:tc>
        <w:tc>
          <w:tcPr>
            <w:tcW w:w="1276" w:type="dxa"/>
            <w:tcBorders>
              <w:left w:val="single" w:sz="4" w:space="0" w:color="886E49"/>
              <w:right w:val="single" w:sz="4" w:space="0" w:color="886E49"/>
            </w:tcBorders>
            <w:vAlign w:val="center"/>
            <w:hideMark/>
          </w:tcPr>
          <w:p w14:paraId="71CF2F6A"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RR</w:t>
            </w:r>
          </w:p>
        </w:tc>
        <w:tc>
          <w:tcPr>
            <w:tcW w:w="1275" w:type="dxa"/>
            <w:tcBorders>
              <w:left w:val="single" w:sz="4" w:space="0" w:color="886E49"/>
              <w:right w:val="single" w:sz="4" w:space="0" w:color="886E49"/>
            </w:tcBorders>
            <w:vAlign w:val="center"/>
            <w:hideMark/>
          </w:tcPr>
          <w:p w14:paraId="345AD737"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p value</w:t>
            </w:r>
          </w:p>
        </w:tc>
        <w:tc>
          <w:tcPr>
            <w:tcW w:w="1332" w:type="dxa"/>
            <w:tcBorders>
              <w:left w:val="single" w:sz="4" w:space="0" w:color="886E49"/>
            </w:tcBorders>
            <w:vAlign w:val="center"/>
            <w:hideMark/>
          </w:tcPr>
          <w:p w14:paraId="1BFF2D6D" w14:textId="77777777" w:rsidR="00B83A7C" w:rsidRPr="003C14B4" w:rsidRDefault="00B83A7C" w:rsidP="008D1E0E">
            <w:pPr>
              <w:pStyle w:val="NormalWeb"/>
              <w:jc w:val="center"/>
              <w:rPr>
                <w:color w:val="FFFFFF" w:themeColor="background1"/>
                <w:sz w:val="18"/>
                <w:szCs w:val="18"/>
              </w:rPr>
            </w:pPr>
            <w:r w:rsidRPr="003C14B4">
              <w:rPr>
                <w:color w:val="FFFFFF" w:themeColor="background1"/>
                <w:sz w:val="18"/>
                <w:szCs w:val="18"/>
              </w:rPr>
              <w:t>95% CI</w:t>
            </w:r>
          </w:p>
        </w:tc>
      </w:tr>
      <w:tr w:rsidR="00B83A7C" w:rsidRPr="003C14B4" w14:paraId="6CA8C2DB" w14:textId="77777777" w:rsidTr="002A2DD2">
        <w:tblPrEx>
          <w:tblCellMar>
            <w:top w:w="57" w:type="dxa"/>
            <w:left w:w="57" w:type="dxa"/>
            <w:bottom w:w="57" w:type="dxa"/>
            <w:right w:w="57" w:type="dxa"/>
          </w:tblCellMar>
        </w:tblPrEx>
        <w:tc>
          <w:tcPr>
            <w:tcW w:w="2552" w:type="dxa"/>
            <w:hideMark/>
          </w:tcPr>
          <w:p w14:paraId="3A98B5A1" w14:textId="77777777" w:rsidR="00B83A7C" w:rsidRPr="003C14B4" w:rsidRDefault="00B83A7C" w:rsidP="00F13C1A">
            <w:pPr>
              <w:pStyle w:val="NormalWeb"/>
              <w:rPr>
                <w:sz w:val="18"/>
                <w:szCs w:val="18"/>
              </w:rPr>
            </w:pPr>
            <w:r w:rsidRPr="003C14B4">
              <w:rPr>
                <w:sz w:val="18"/>
                <w:szCs w:val="18"/>
              </w:rPr>
              <w:t>Home group</w:t>
            </w:r>
          </w:p>
        </w:tc>
        <w:tc>
          <w:tcPr>
            <w:tcW w:w="1843" w:type="dxa"/>
            <w:hideMark/>
          </w:tcPr>
          <w:p w14:paraId="0F7CBB1B" w14:textId="77777777" w:rsidR="00B83A7C" w:rsidRPr="003C14B4" w:rsidRDefault="00B83A7C" w:rsidP="00F13C1A">
            <w:pPr>
              <w:pStyle w:val="NormalWeb"/>
              <w:jc w:val="center"/>
              <w:rPr>
                <w:sz w:val="18"/>
                <w:szCs w:val="18"/>
              </w:rPr>
            </w:pPr>
            <w:r w:rsidRPr="003C14B4">
              <w:rPr>
                <w:sz w:val="18"/>
                <w:szCs w:val="18"/>
              </w:rPr>
              <w:t>2</w:t>
            </w:r>
          </w:p>
        </w:tc>
        <w:tc>
          <w:tcPr>
            <w:tcW w:w="1984" w:type="dxa"/>
            <w:hideMark/>
          </w:tcPr>
          <w:p w14:paraId="3F22B793" w14:textId="77777777" w:rsidR="00B83A7C" w:rsidRPr="003C14B4" w:rsidRDefault="00B83A7C" w:rsidP="00F13C1A">
            <w:pPr>
              <w:pStyle w:val="NormalWeb"/>
              <w:jc w:val="center"/>
              <w:rPr>
                <w:sz w:val="18"/>
                <w:szCs w:val="18"/>
              </w:rPr>
            </w:pPr>
            <w:r w:rsidRPr="003C14B4">
              <w:rPr>
                <w:sz w:val="18"/>
                <w:szCs w:val="18"/>
              </w:rPr>
              <w:t>18</w:t>
            </w:r>
          </w:p>
        </w:tc>
        <w:tc>
          <w:tcPr>
            <w:tcW w:w="709" w:type="dxa"/>
            <w:hideMark/>
          </w:tcPr>
          <w:p w14:paraId="31E96828" w14:textId="77777777" w:rsidR="00B83A7C" w:rsidRPr="003C14B4" w:rsidRDefault="00B83A7C" w:rsidP="00F13C1A">
            <w:pPr>
              <w:pStyle w:val="NormalWeb"/>
              <w:jc w:val="center"/>
              <w:rPr>
                <w:sz w:val="18"/>
                <w:szCs w:val="18"/>
              </w:rPr>
            </w:pPr>
            <w:r w:rsidRPr="003C14B4">
              <w:rPr>
                <w:sz w:val="18"/>
                <w:szCs w:val="18"/>
              </w:rPr>
              <w:t>10%</w:t>
            </w:r>
          </w:p>
        </w:tc>
        <w:tc>
          <w:tcPr>
            <w:tcW w:w="1984" w:type="dxa"/>
            <w:hideMark/>
          </w:tcPr>
          <w:p w14:paraId="624D93A1" w14:textId="77777777" w:rsidR="00B83A7C" w:rsidRPr="003C14B4" w:rsidRDefault="00B83A7C" w:rsidP="00F13C1A">
            <w:pPr>
              <w:pStyle w:val="NormalWeb"/>
              <w:jc w:val="center"/>
              <w:rPr>
                <w:sz w:val="18"/>
                <w:szCs w:val="18"/>
              </w:rPr>
            </w:pPr>
            <w:r w:rsidRPr="003C14B4">
              <w:rPr>
                <w:sz w:val="18"/>
                <w:szCs w:val="18"/>
              </w:rPr>
              <w:t>8</w:t>
            </w:r>
          </w:p>
        </w:tc>
        <w:tc>
          <w:tcPr>
            <w:tcW w:w="1985" w:type="dxa"/>
            <w:hideMark/>
          </w:tcPr>
          <w:p w14:paraId="5525842B" w14:textId="77777777" w:rsidR="00B83A7C" w:rsidRPr="003C14B4" w:rsidRDefault="00B83A7C" w:rsidP="00F13C1A">
            <w:pPr>
              <w:pStyle w:val="NormalWeb"/>
              <w:jc w:val="center"/>
              <w:rPr>
                <w:sz w:val="18"/>
                <w:szCs w:val="18"/>
              </w:rPr>
            </w:pPr>
            <w:r w:rsidRPr="003C14B4">
              <w:rPr>
                <w:sz w:val="18"/>
                <w:szCs w:val="18"/>
              </w:rPr>
              <w:t>240</w:t>
            </w:r>
          </w:p>
        </w:tc>
        <w:tc>
          <w:tcPr>
            <w:tcW w:w="1276" w:type="dxa"/>
            <w:hideMark/>
          </w:tcPr>
          <w:p w14:paraId="1B4C490E" w14:textId="77777777" w:rsidR="00B83A7C" w:rsidRPr="003C14B4" w:rsidRDefault="00B83A7C" w:rsidP="00F13C1A">
            <w:pPr>
              <w:pStyle w:val="NormalWeb"/>
              <w:jc w:val="center"/>
              <w:rPr>
                <w:sz w:val="18"/>
                <w:szCs w:val="18"/>
              </w:rPr>
            </w:pPr>
            <w:r w:rsidRPr="003C14B4">
              <w:rPr>
                <w:sz w:val="18"/>
                <w:szCs w:val="18"/>
              </w:rPr>
              <w:t>3.10</w:t>
            </w:r>
          </w:p>
        </w:tc>
        <w:tc>
          <w:tcPr>
            <w:tcW w:w="1275" w:type="dxa"/>
            <w:hideMark/>
          </w:tcPr>
          <w:p w14:paraId="589B52FC" w14:textId="77777777" w:rsidR="00B83A7C" w:rsidRPr="003C14B4" w:rsidRDefault="00B83A7C" w:rsidP="00F13C1A">
            <w:pPr>
              <w:pStyle w:val="NormalWeb"/>
              <w:jc w:val="center"/>
              <w:rPr>
                <w:sz w:val="18"/>
                <w:szCs w:val="18"/>
              </w:rPr>
            </w:pPr>
            <w:r w:rsidRPr="003C14B4">
              <w:rPr>
                <w:sz w:val="18"/>
                <w:szCs w:val="18"/>
              </w:rPr>
              <w:t>0.124</w:t>
            </w:r>
          </w:p>
        </w:tc>
        <w:tc>
          <w:tcPr>
            <w:tcW w:w="1332" w:type="dxa"/>
            <w:hideMark/>
          </w:tcPr>
          <w:p w14:paraId="59CB7087" w14:textId="77777777" w:rsidR="00B83A7C" w:rsidRPr="003C14B4" w:rsidRDefault="00B83A7C" w:rsidP="00F13C1A">
            <w:pPr>
              <w:pStyle w:val="NormalWeb"/>
              <w:jc w:val="center"/>
              <w:rPr>
                <w:sz w:val="18"/>
                <w:szCs w:val="18"/>
              </w:rPr>
            </w:pPr>
            <w:r w:rsidRPr="003C14B4">
              <w:rPr>
                <w:sz w:val="18"/>
                <w:szCs w:val="18"/>
              </w:rPr>
              <w:t>0.70–13.63</w:t>
            </w:r>
          </w:p>
        </w:tc>
      </w:tr>
      <w:tr w:rsidR="00B83A7C" w:rsidRPr="003C14B4" w14:paraId="0456E4C1" w14:textId="77777777" w:rsidTr="002A2DD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21484744" w14:textId="77777777" w:rsidR="00B83A7C" w:rsidRPr="003C14B4" w:rsidRDefault="00B83A7C" w:rsidP="00F13C1A">
            <w:pPr>
              <w:pStyle w:val="NormalWeb"/>
              <w:rPr>
                <w:sz w:val="18"/>
                <w:szCs w:val="18"/>
              </w:rPr>
            </w:pPr>
            <w:proofErr w:type="spellStart"/>
            <w:r w:rsidRPr="003C14B4">
              <w:rPr>
                <w:sz w:val="18"/>
                <w:szCs w:val="18"/>
              </w:rPr>
              <w:t>PDHPE</w:t>
            </w:r>
            <w:r w:rsidRPr="003C14B4">
              <w:rPr>
                <w:sz w:val="18"/>
                <w:szCs w:val="18"/>
                <w:vertAlign w:val="superscript"/>
              </w:rPr>
              <w:t>a</w:t>
            </w:r>
            <w:proofErr w:type="spellEnd"/>
          </w:p>
        </w:tc>
        <w:tc>
          <w:tcPr>
            <w:tcW w:w="1843" w:type="dxa"/>
            <w:hideMark/>
          </w:tcPr>
          <w:p w14:paraId="6CE2D158" w14:textId="77777777" w:rsidR="00B83A7C" w:rsidRPr="003C14B4" w:rsidRDefault="00B83A7C" w:rsidP="00F13C1A">
            <w:pPr>
              <w:pStyle w:val="NormalWeb"/>
              <w:jc w:val="center"/>
              <w:rPr>
                <w:sz w:val="18"/>
                <w:szCs w:val="18"/>
              </w:rPr>
            </w:pPr>
            <w:r w:rsidRPr="003C14B4">
              <w:rPr>
                <w:sz w:val="18"/>
                <w:szCs w:val="18"/>
              </w:rPr>
              <w:t>4</w:t>
            </w:r>
          </w:p>
        </w:tc>
        <w:tc>
          <w:tcPr>
            <w:tcW w:w="1984" w:type="dxa"/>
            <w:hideMark/>
          </w:tcPr>
          <w:p w14:paraId="54860E69" w14:textId="77777777" w:rsidR="00B83A7C" w:rsidRPr="003C14B4" w:rsidRDefault="00B83A7C" w:rsidP="00F13C1A">
            <w:pPr>
              <w:pStyle w:val="NormalWeb"/>
              <w:jc w:val="center"/>
              <w:rPr>
                <w:sz w:val="18"/>
                <w:szCs w:val="18"/>
              </w:rPr>
            </w:pPr>
            <w:r w:rsidRPr="003C14B4">
              <w:rPr>
                <w:sz w:val="18"/>
                <w:szCs w:val="18"/>
              </w:rPr>
              <w:t>18</w:t>
            </w:r>
          </w:p>
        </w:tc>
        <w:tc>
          <w:tcPr>
            <w:tcW w:w="709" w:type="dxa"/>
            <w:hideMark/>
          </w:tcPr>
          <w:p w14:paraId="35E3AC49" w14:textId="77777777" w:rsidR="00B83A7C" w:rsidRPr="003C14B4" w:rsidRDefault="00B83A7C" w:rsidP="00F13C1A">
            <w:pPr>
              <w:pStyle w:val="NormalWeb"/>
              <w:jc w:val="center"/>
              <w:rPr>
                <w:sz w:val="18"/>
                <w:szCs w:val="18"/>
              </w:rPr>
            </w:pPr>
            <w:r w:rsidRPr="003C14B4">
              <w:rPr>
                <w:sz w:val="18"/>
                <w:szCs w:val="18"/>
              </w:rPr>
              <w:t>18%</w:t>
            </w:r>
          </w:p>
        </w:tc>
        <w:tc>
          <w:tcPr>
            <w:tcW w:w="1984" w:type="dxa"/>
            <w:hideMark/>
          </w:tcPr>
          <w:p w14:paraId="7A5533B3" w14:textId="77777777" w:rsidR="00B83A7C" w:rsidRPr="003C14B4" w:rsidRDefault="00B83A7C" w:rsidP="00F13C1A">
            <w:pPr>
              <w:pStyle w:val="NormalWeb"/>
              <w:jc w:val="center"/>
              <w:rPr>
                <w:sz w:val="18"/>
                <w:szCs w:val="18"/>
              </w:rPr>
            </w:pPr>
            <w:r w:rsidRPr="003C14B4">
              <w:rPr>
                <w:sz w:val="18"/>
                <w:szCs w:val="18"/>
              </w:rPr>
              <w:t>6</w:t>
            </w:r>
          </w:p>
        </w:tc>
        <w:tc>
          <w:tcPr>
            <w:tcW w:w="1985" w:type="dxa"/>
            <w:hideMark/>
          </w:tcPr>
          <w:p w14:paraId="31AD494C" w14:textId="77777777" w:rsidR="00B83A7C" w:rsidRPr="003C14B4" w:rsidRDefault="00B83A7C" w:rsidP="00F13C1A">
            <w:pPr>
              <w:pStyle w:val="NormalWeb"/>
              <w:jc w:val="center"/>
              <w:rPr>
                <w:sz w:val="18"/>
                <w:szCs w:val="18"/>
              </w:rPr>
            </w:pPr>
            <w:r w:rsidRPr="003C14B4">
              <w:rPr>
                <w:sz w:val="18"/>
                <w:szCs w:val="18"/>
              </w:rPr>
              <w:t>240</w:t>
            </w:r>
          </w:p>
        </w:tc>
        <w:tc>
          <w:tcPr>
            <w:tcW w:w="1276" w:type="dxa"/>
            <w:hideMark/>
          </w:tcPr>
          <w:p w14:paraId="5FE1B868" w14:textId="77777777" w:rsidR="00B83A7C" w:rsidRPr="003C14B4" w:rsidRDefault="00B83A7C" w:rsidP="00F13C1A">
            <w:pPr>
              <w:pStyle w:val="NormalWeb"/>
              <w:jc w:val="center"/>
              <w:rPr>
                <w:sz w:val="18"/>
                <w:szCs w:val="18"/>
              </w:rPr>
            </w:pPr>
            <w:r w:rsidRPr="003C14B4">
              <w:rPr>
                <w:sz w:val="18"/>
                <w:szCs w:val="18"/>
              </w:rPr>
              <w:t>7.45</w:t>
            </w:r>
          </w:p>
        </w:tc>
        <w:tc>
          <w:tcPr>
            <w:tcW w:w="1275" w:type="dxa"/>
            <w:hideMark/>
          </w:tcPr>
          <w:p w14:paraId="716C58C7" w14:textId="77777777" w:rsidR="00B83A7C" w:rsidRPr="003C14B4" w:rsidRDefault="00B83A7C" w:rsidP="00F13C1A">
            <w:pPr>
              <w:pStyle w:val="NormalWeb"/>
              <w:jc w:val="center"/>
              <w:rPr>
                <w:sz w:val="18"/>
                <w:szCs w:val="18"/>
              </w:rPr>
            </w:pPr>
            <w:r w:rsidRPr="003C14B4">
              <w:rPr>
                <w:sz w:val="18"/>
                <w:szCs w:val="18"/>
              </w:rPr>
              <w:t>&lt; 0.001</w:t>
            </w:r>
          </w:p>
        </w:tc>
        <w:tc>
          <w:tcPr>
            <w:tcW w:w="1332" w:type="dxa"/>
            <w:hideMark/>
          </w:tcPr>
          <w:p w14:paraId="6496B2D1" w14:textId="77777777" w:rsidR="00B83A7C" w:rsidRPr="003C14B4" w:rsidRDefault="00B83A7C" w:rsidP="00F13C1A">
            <w:pPr>
              <w:pStyle w:val="NormalWeb"/>
              <w:jc w:val="center"/>
              <w:rPr>
                <w:sz w:val="18"/>
                <w:szCs w:val="18"/>
              </w:rPr>
            </w:pPr>
            <w:r w:rsidRPr="003C14B4">
              <w:rPr>
                <w:sz w:val="18"/>
                <w:szCs w:val="18"/>
              </w:rPr>
              <w:t>2.27–24.44</w:t>
            </w:r>
          </w:p>
        </w:tc>
      </w:tr>
      <w:tr w:rsidR="00B83A7C" w:rsidRPr="003C14B4" w14:paraId="39AA6D54" w14:textId="77777777" w:rsidTr="002A2DD2">
        <w:tblPrEx>
          <w:tblCellMar>
            <w:top w:w="57" w:type="dxa"/>
            <w:left w:w="57" w:type="dxa"/>
            <w:bottom w:w="57" w:type="dxa"/>
            <w:right w:w="57" w:type="dxa"/>
          </w:tblCellMar>
        </w:tblPrEx>
        <w:tc>
          <w:tcPr>
            <w:tcW w:w="2552" w:type="dxa"/>
            <w:hideMark/>
          </w:tcPr>
          <w:p w14:paraId="14927803" w14:textId="77777777" w:rsidR="00B83A7C" w:rsidRPr="003C14B4" w:rsidRDefault="00B83A7C" w:rsidP="00F13C1A">
            <w:pPr>
              <w:pStyle w:val="NormalWeb"/>
              <w:rPr>
                <w:sz w:val="18"/>
                <w:szCs w:val="18"/>
              </w:rPr>
            </w:pPr>
            <w:r w:rsidRPr="003C14B4">
              <w:rPr>
                <w:sz w:val="18"/>
                <w:szCs w:val="18"/>
              </w:rPr>
              <w:t>History and social sciences</w:t>
            </w:r>
          </w:p>
        </w:tc>
        <w:tc>
          <w:tcPr>
            <w:tcW w:w="1843" w:type="dxa"/>
            <w:hideMark/>
          </w:tcPr>
          <w:p w14:paraId="5212D1E5"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370B30FB" w14:textId="77777777" w:rsidR="00B83A7C" w:rsidRPr="003C14B4" w:rsidRDefault="00B83A7C" w:rsidP="00F13C1A">
            <w:pPr>
              <w:pStyle w:val="NormalWeb"/>
              <w:jc w:val="center"/>
              <w:rPr>
                <w:sz w:val="18"/>
                <w:szCs w:val="18"/>
              </w:rPr>
            </w:pPr>
            <w:r w:rsidRPr="003C14B4">
              <w:rPr>
                <w:sz w:val="18"/>
                <w:szCs w:val="18"/>
              </w:rPr>
              <w:t>24</w:t>
            </w:r>
          </w:p>
        </w:tc>
        <w:tc>
          <w:tcPr>
            <w:tcW w:w="709" w:type="dxa"/>
            <w:hideMark/>
          </w:tcPr>
          <w:p w14:paraId="4362F183"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45D810BF" w14:textId="77777777" w:rsidR="00B83A7C" w:rsidRPr="003C14B4" w:rsidRDefault="00B83A7C" w:rsidP="00F13C1A">
            <w:pPr>
              <w:pStyle w:val="NormalWeb"/>
              <w:jc w:val="center"/>
              <w:rPr>
                <w:sz w:val="18"/>
                <w:szCs w:val="18"/>
              </w:rPr>
            </w:pPr>
            <w:r w:rsidRPr="003C14B4">
              <w:rPr>
                <w:sz w:val="18"/>
                <w:szCs w:val="18"/>
              </w:rPr>
              <w:t>10</w:t>
            </w:r>
          </w:p>
        </w:tc>
        <w:tc>
          <w:tcPr>
            <w:tcW w:w="1985" w:type="dxa"/>
            <w:hideMark/>
          </w:tcPr>
          <w:p w14:paraId="0D074748" w14:textId="77777777" w:rsidR="00B83A7C" w:rsidRPr="003C14B4" w:rsidRDefault="00B83A7C" w:rsidP="00F13C1A">
            <w:pPr>
              <w:pStyle w:val="NormalWeb"/>
              <w:jc w:val="center"/>
              <w:rPr>
                <w:sz w:val="18"/>
                <w:szCs w:val="18"/>
              </w:rPr>
            </w:pPr>
            <w:r w:rsidRPr="003C14B4">
              <w:rPr>
                <w:sz w:val="18"/>
                <w:szCs w:val="18"/>
              </w:rPr>
              <w:t>234</w:t>
            </w:r>
          </w:p>
        </w:tc>
        <w:tc>
          <w:tcPr>
            <w:tcW w:w="1276" w:type="dxa"/>
            <w:hideMark/>
          </w:tcPr>
          <w:p w14:paraId="6B464B1A" w14:textId="77777777" w:rsidR="00B83A7C" w:rsidRPr="003C14B4" w:rsidRDefault="00B83A7C" w:rsidP="00F13C1A">
            <w:pPr>
              <w:pStyle w:val="NormalWeb"/>
              <w:jc w:val="center"/>
              <w:rPr>
                <w:sz w:val="18"/>
                <w:szCs w:val="18"/>
              </w:rPr>
            </w:pPr>
            <w:r w:rsidRPr="003C14B4">
              <w:rPr>
                <w:sz w:val="18"/>
                <w:szCs w:val="18"/>
              </w:rPr>
              <w:t>—</w:t>
            </w:r>
          </w:p>
        </w:tc>
        <w:tc>
          <w:tcPr>
            <w:tcW w:w="1275" w:type="dxa"/>
            <w:hideMark/>
          </w:tcPr>
          <w:p w14:paraId="02BC1C42" w14:textId="77777777" w:rsidR="00B83A7C" w:rsidRPr="003C14B4" w:rsidRDefault="00B83A7C" w:rsidP="00F13C1A">
            <w:pPr>
              <w:pStyle w:val="NormalWeb"/>
              <w:jc w:val="center"/>
              <w:rPr>
                <w:sz w:val="18"/>
                <w:szCs w:val="18"/>
              </w:rPr>
            </w:pPr>
            <w:r w:rsidRPr="003C14B4">
              <w:rPr>
                <w:sz w:val="18"/>
                <w:szCs w:val="18"/>
              </w:rPr>
              <w:t>—</w:t>
            </w:r>
          </w:p>
        </w:tc>
        <w:tc>
          <w:tcPr>
            <w:tcW w:w="1332" w:type="dxa"/>
            <w:hideMark/>
          </w:tcPr>
          <w:p w14:paraId="0594D48A" w14:textId="77777777" w:rsidR="00B83A7C" w:rsidRPr="003C14B4" w:rsidRDefault="00B83A7C" w:rsidP="00F13C1A">
            <w:pPr>
              <w:pStyle w:val="NormalWeb"/>
              <w:jc w:val="center"/>
              <w:rPr>
                <w:sz w:val="18"/>
                <w:szCs w:val="18"/>
              </w:rPr>
            </w:pPr>
            <w:r w:rsidRPr="003C14B4">
              <w:rPr>
                <w:sz w:val="18"/>
                <w:szCs w:val="18"/>
              </w:rPr>
              <w:t>—</w:t>
            </w:r>
          </w:p>
        </w:tc>
      </w:tr>
      <w:tr w:rsidR="00B83A7C" w:rsidRPr="003C14B4" w14:paraId="033DA18C" w14:textId="77777777" w:rsidTr="002A2DD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5A310D04" w14:textId="77777777" w:rsidR="00B83A7C" w:rsidRPr="003C14B4" w:rsidRDefault="00B83A7C" w:rsidP="00F13C1A">
            <w:pPr>
              <w:pStyle w:val="NormalWeb"/>
              <w:rPr>
                <w:sz w:val="18"/>
                <w:szCs w:val="18"/>
              </w:rPr>
            </w:pPr>
            <w:r w:rsidRPr="003C14B4">
              <w:rPr>
                <w:sz w:val="18"/>
                <w:szCs w:val="18"/>
              </w:rPr>
              <w:t>Science</w:t>
            </w:r>
          </w:p>
        </w:tc>
        <w:tc>
          <w:tcPr>
            <w:tcW w:w="1843" w:type="dxa"/>
            <w:hideMark/>
          </w:tcPr>
          <w:p w14:paraId="26CD3762" w14:textId="77777777" w:rsidR="00B83A7C" w:rsidRPr="003C14B4" w:rsidRDefault="00B83A7C" w:rsidP="00F13C1A">
            <w:pPr>
              <w:pStyle w:val="NormalWeb"/>
              <w:jc w:val="center"/>
              <w:rPr>
                <w:sz w:val="18"/>
                <w:szCs w:val="18"/>
              </w:rPr>
            </w:pPr>
            <w:r w:rsidRPr="003C14B4">
              <w:rPr>
                <w:sz w:val="18"/>
                <w:szCs w:val="18"/>
              </w:rPr>
              <w:t>1</w:t>
            </w:r>
          </w:p>
        </w:tc>
        <w:tc>
          <w:tcPr>
            <w:tcW w:w="1984" w:type="dxa"/>
            <w:hideMark/>
          </w:tcPr>
          <w:p w14:paraId="29D277C8" w14:textId="77777777" w:rsidR="00B83A7C" w:rsidRPr="003C14B4" w:rsidRDefault="00B83A7C" w:rsidP="00F13C1A">
            <w:pPr>
              <w:pStyle w:val="NormalWeb"/>
              <w:jc w:val="center"/>
              <w:rPr>
                <w:sz w:val="18"/>
                <w:szCs w:val="18"/>
              </w:rPr>
            </w:pPr>
            <w:r w:rsidRPr="003C14B4">
              <w:rPr>
                <w:sz w:val="18"/>
                <w:szCs w:val="18"/>
              </w:rPr>
              <w:t>24</w:t>
            </w:r>
          </w:p>
        </w:tc>
        <w:tc>
          <w:tcPr>
            <w:tcW w:w="709" w:type="dxa"/>
            <w:hideMark/>
          </w:tcPr>
          <w:p w14:paraId="0A49EA95" w14:textId="77777777" w:rsidR="00B83A7C" w:rsidRPr="003C14B4" w:rsidRDefault="00B83A7C" w:rsidP="00F13C1A">
            <w:pPr>
              <w:pStyle w:val="NormalWeb"/>
              <w:jc w:val="center"/>
              <w:rPr>
                <w:sz w:val="18"/>
                <w:szCs w:val="18"/>
              </w:rPr>
            </w:pPr>
            <w:r w:rsidRPr="003C14B4">
              <w:rPr>
                <w:sz w:val="18"/>
                <w:szCs w:val="18"/>
              </w:rPr>
              <w:t>4%</w:t>
            </w:r>
          </w:p>
        </w:tc>
        <w:tc>
          <w:tcPr>
            <w:tcW w:w="1984" w:type="dxa"/>
            <w:hideMark/>
          </w:tcPr>
          <w:p w14:paraId="50B90F13" w14:textId="77777777" w:rsidR="00B83A7C" w:rsidRPr="003C14B4" w:rsidRDefault="00B83A7C" w:rsidP="00F13C1A">
            <w:pPr>
              <w:pStyle w:val="NormalWeb"/>
              <w:jc w:val="center"/>
              <w:rPr>
                <w:sz w:val="18"/>
                <w:szCs w:val="18"/>
              </w:rPr>
            </w:pPr>
            <w:r w:rsidRPr="003C14B4">
              <w:rPr>
                <w:sz w:val="18"/>
                <w:szCs w:val="18"/>
              </w:rPr>
              <w:t>9</w:t>
            </w:r>
          </w:p>
        </w:tc>
        <w:tc>
          <w:tcPr>
            <w:tcW w:w="1985" w:type="dxa"/>
            <w:hideMark/>
          </w:tcPr>
          <w:p w14:paraId="6684278A" w14:textId="77777777" w:rsidR="00B83A7C" w:rsidRPr="003C14B4" w:rsidRDefault="00B83A7C" w:rsidP="00F13C1A">
            <w:pPr>
              <w:pStyle w:val="NormalWeb"/>
              <w:jc w:val="center"/>
              <w:rPr>
                <w:sz w:val="18"/>
                <w:szCs w:val="18"/>
              </w:rPr>
            </w:pPr>
            <w:r w:rsidRPr="003C14B4">
              <w:rPr>
                <w:sz w:val="18"/>
                <w:szCs w:val="18"/>
              </w:rPr>
              <w:t>234</w:t>
            </w:r>
          </w:p>
        </w:tc>
        <w:tc>
          <w:tcPr>
            <w:tcW w:w="1276" w:type="dxa"/>
            <w:hideMark/>
          </w:tcPr>
          <w:p w14:paraId="76EDB897" w14:textId="77777777" w:rsidR="00B83A7C" w:rsidRPr="003C14B4" w:rsidRDefault="00B83A7C" w:rsidP="00F13C1A">
            <w:pPr>
              <w:pStyle w:val="NormalWeb"/>
              <w:jc w:val="center"/>
              <w:rPr>
                <w:sz w:val="18"/>
                <w:szCs w:val="18"/>
              </w:rPr>
            </w:pPr>
            <w:r w:rsidRPr="003C14B4">
              <w:rPr>
                <w:sz w:val="18"/>
                <w:szCs w:val="18"/>
              </w:rPr>
              <w:t>1.08</w:t>
            </w:r>
          </w:p>
        </w:tc>
        <w:tc>
          <w:tcPr>
            <w:tcW w:w="1275" w:type="dxa"/>
            <w:hideMark/>
          </w:tcPr>
          <w:p w14:paraId="18CF626F" w14:textId="77777777" w:rsidR="00B83A7C" w:rsidRPr="003C14B4" w:rsidRDefault="00B83A7C" w:rsidP="00F13C1A">
            <w:pPr>
              <w:pStyle w:val="NormalWeb"/>
              <w:jc w:val="center"/>
              <w:rPr>
                <w:sz w:val="18"/>
                <w:szCs w:val="18"/>
              </w:rPr>
            </w:pPr>
            <w:r w:rsidRPr="003C14B4">
              <w:rPr>
                <w:sz w:val="18"/>
                <w:szCs w:val="18"/>
              </w:rPr>
              <w:t>0.941</w:t>
            </w:r>
          </w:p>
        </w:tc>
        <w:tc>
          <w:tcPr>
            <w:tcW w:w="1332" w:type="dxa"/>
            <w:hideMark/>
          </w:tcPr>
          <w:p w14:paraId="66FFED40" w14:textId="77777777" w:rsidR="00B83A7C" w:rsidRPr="003C14B4" w:rsidRDefault="00B83A7C" w:rsidP="00F13C1A">
            <w:pPr>
              <w:pStyle w:val="NormalWeb"/>
              <w:jc w:val="center"/>
              <w:rPr>
                <w:sz w:val="18"/>
                <w:szCs w:val="18"/>
              </w:rPr>
            </w:pPr>
            <w:r w:rsidRPr="003C14B4">
              <w:rPr>
                <w:sz w:val="18"/>
                <w:szCs w:val="18"/>
              </w:rPr>
              <w:t>0.14–8.18</w:t>
            </w:r>
          </w:p>
        </w:tc>
      </w:tr>
      <w:tr w:rsidR="00B83A7C" w:rsidRPr="003C14B4" w14:paraId="504BBB36" w14:textId="77777777" w:rsidTr="002A2DD2">
        <w:tblPrEx>
          <w:tblCellMar>
            <w:top w:w="57" w:type="dxa"/>
            <w:left w:w="57" w:type="dxa"/>
            <w:bottom w:w="57" w:type="dxa"/>
            <w:right w:w="57" w:type="dxa"/>
          </w:tblCellMar>
        </w:tblPrEx>
        <w:tc>
          <w:tcPr>
            <w:tcW w:w="2552" w:type="dxa"/>
            <w:hideMark/>
          </w:tcPr>
          <w:p w14:paraId="6E6B1D8C" w14:textId="77777777" w:rsidR="00B83A7C" w:rsidRPr="003C14B4" w:rsidRDefault="00B83A7C" w:rsidP="00F13C1A">
            <w:pPr>
              <w:pStyle w:val="NormalWeb"/>
              <w:rPr>
                <w:sz w:val="18"/>
                <w:szCs w:val="18"/>
              </w:rPr>
            </w:pPr>
            <w:r w:rsidRPr="003C14B4">
              <w:rPr>
                <w:sz w:val="18"/>
                <w:szCs w:val="18"/>
              </w:rPr>
              <w:t>Drama</w:t>
            </w:r>
          </w:p>
        </w:tc>
        <w:tc>
          <w:tcPr>
            <w:tcW w:w="1843" w:type="dxa"/>
            <w:hideMark/>
          </w:tcPr>
          <w:p w14:paraId="1E596BB7" w14:textId="77777777" w:rsidR="00B83A7C" w:rsidRPr="003C14B4" w:rsidRDefault="00B83A7C" w:rsidP="00F13C1A">
            <w:pPr>
              <w:pStyle w:val="NormalWeb"/>
              <w:jc w:val="center"/>
              <w:rPr>
                <w:sz w:val="18"/>
                <w:szCs w:val="18"/>
              </w:rPr>
            </w:pPr>
            <w:r w:rsidRPr="003C14B4">
              <w:rPr>
                <w:sz w:val="18"/>
                <w:szCs w:val="18"/>
              </w:rPr>
              <w:t>9</w:t>
            </w:r>
          </w:p>
        </w:tc>
        <w:tc>
          <w:tcPr>
            <w:tcW w:w="1984" w:type="dxa"/>
            <w:hideMark/>
          </w:tcPr>
          <w:p w14:paraId="67860C97" w14:textId="77777777" w:rsidR="00B83A7C" w:rsidRPr="003C14B4" w:rsidRDefault="00B83A7C" w:rsidP="00F13C1A">
            <w:pPr>
              <w:pStyle w:val="NormalWeb"/>
              <w:jc w:val="center"/>
              <w:rPr>
                <w:sz w:val="18"/>
                <w:szCs w:val="18"/>
              </w:rPr>
            </w:pPr>
            <w:r w:rsidRPr="003C14B4">
              <w:rPr>
                <w:sz w:val="18"/>
                <w:szCs w:val="18"/>
              </w:rPr>
              <w:t>11</w:t>
            </w:r>
          </w:p>
        </w:tc>
        <w:tc>
          <w:tcPr>
            <w:tcW w:w="709" w:type="dxa"/>
            <w:hideMark/>
          </w:tcPr>
          <w:p w14:paraId="1C9DF724" w14:textId="77777777" w:rsidR="00B83A7C" w:rsidRPr="003C14B4" w:rsidRDefault="00B83A7C" w:rsidP="00F13C1A">
            <w:pPr>
              <w:pStyle w:val="NormalWeb"/>
              <w:jc w:val="center"/>
              <w:rPr>
                <w:sz w:val="18"/>
                <w:szCs w:val="18"/>
              </w:rPr>
            </w:pPr>
            <w:r w:rsidRPr="003C14B4">
              <w:rPr>
                <w:sz w:val="18"/>
                <w:szCs w:val="18"/>
              </w:rPr>
              <w:t>45%</w:t>
            </w:r>
          </w:p>
        </w:tc>
        <w:tc>
          <w:tcPr>
            <w:tcW w:w="1984" w:type="dxa"/>
            <w:hideMark/>
          </w:tcPr>
          <w:p w14:paraId="731EE456" w14:textId="77777777" w:rsidR="00B83A7C" w:rsidRPr="003C14B4" w:rsidRDefault="00B83A7C" w:rsidP="00F13C1A">
            <w:pPr>
              <w:pStyle w:val="NormalWeb"/>
              <w:jc w:val="center"/>
              <w:rPr>
                <w:sz w:val="18"/>
                <w:szCs w:val="18"/>
              </w:rPr>
            </w:pPr>
            <w:r w:rsidRPr="003C14B4">
              <w:rPr>
                <w:sz w:val="18"/>
                <w:szCs w:val="18"/>
              </w:rPr>
              <w:t>1</w:t>
            </w:r>
          </w:p>
        </w:tc>
        <w:tc>
          <w:tcPr>
            <w:tcW w:w="1985" w:type="dxa"/>
            <w:hideMark/>
          </w:tcPr>
          <w:p w14:paraId="032AA34B" w14:textId="77777777" w:rsidR="00B83A7C" w:rsidRPr="003C14B4" w:rsidRDefault="00B83A7C" w:rsidP="00F13C1A">
            <w:pPr>
              <w:pStyle w:val="NormalWeb"/>
              <w:jc w:val="center"/>
              <w:rPr>
                <w:sz w:val="18"/>
                <w:szCs w:val="18"/>
              </w:rPr>
            </w:pPr>
            <w:r w:rsidRPr="003C14B4">
              <w:rPr>
                <w:sz w:val="18"/>
                <w:szCs w:val="18"/>
              </w:rPr>
              <w:t>247</w:t>
            </w:r>
          </w:p>
        </w:tc>
        <w:tc>
          <w:tcPr>
            <w:tcW w:w="1276" w:type="dxa"/>
            <w:hideMark/>
          </w:tcPr>
          <w:p w14:paraId="15C72507" w14:textId="77777777" w:rsidR="00B83A7C" w:rsidRPr="003C14B4" w:rsidRDefault="00B83A7C" w:rsidP="00F13C1A">
            <w:pPr>
              <w:pStyle w:val="NormalWeb"/>
              <w:jc w:val="center"/>
              <w:rPr>
                <w:sz w:val="18"/>
                <w:szCs w:val="18"/>
              </w:rPr>
            </w:pPr>
            <w:r w:rsidRPr="003C14B4">
              <w:rPr>
                <w:sz w:val="18"/>
                <w:szCs w:val="18"/>
              </w:rPr>
              <w:t>111.6</w:t>
            </w:r>
          </w:p>
        </w:tc>
        <w:tc>
          <w:tcPr>
            <w:tcW w:w="1275" w:type="dxa"/>
            <w:hideMark/>
          </w:tcPr>
          <w:p w14:paraId="13E43A8A" w14:textId="77777777" w:rsidR="00B83A7C" w:rsidRPr="003C14B4" w:rsidRDefault="00B83A7C" w:rsidP="00F13C1A">
            <w:pPr>
              <w:pStyle w:val="NormalWeb"/>
              <w:jc w:val="center"/>
              <w:rPr>
                <w:sz w:val="18"/>
                <w:szCs w:val="18"/>
              </w:rPr>
            </w:pPr>
            <w:r w:rsidRPr="003C14B4">
              <w:rPr>
                <w:sz w:val="18"/>
                <w:szCs w:val="18"/>
              </w:rPr>
              <w:t>&lt;0.001</w:t>
            </w:r>
          </w:p>
        </w:tc>
        <w:tc>
          <w:tcPr>
            <w:tcW w:w="1332" w:type="dxa"/>
            <w:hideMark/>
          </w:tcPr>
          <w:p w14:paraId="35A68511" w14:textId="77777777" w:rsidR="00B83A7C" w:rsidRPr="003C14B4" w:rsidRDefault="00B83A7C" w:rsidP="00F13C1A">
            <w:pPr>
              <w:pStyle w:val="NormalWeb"/>
              <w:jc w:val="center"/>
              <w:rPr>
                <w:sz w:val="18"/>
                <w:szCs w:val="18"/>
              </w:rPr>
            </w:pPr>
            <w:r w:rsidRPr="003C14B4">
              <w:rPr>
                <w:sz w:val="18"/>
                <w:szCs w:val="18"/>
              </w:rPr>
              <w:t>14.88–837.19</w:t>
            </w:r>
          </w:p>
        </w:tc>
      </w:tr>
      <w:tr w:rsidR="00B83A7C" w:rsidRPr="003C14B4" w14:paraId="44059FD2" w14:textId="77777777" w:rsidTr="002A2DD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0459DEE3" w14:textId="77777777" w:rsidR="00B83A7C" w:rsidRPr="003C14B4" w:rsidRDefault="00B83A7C" w:rsidP="00F13C1A">
            <w:pPr>
              <w:pStyle w:val="NormalWeb"/>
              <w:rPr>
                <w:sz w:val="18"/>
                <w:szCs w:val="18"/>
              </w:rPr>
            </w:pPr>
            <w:r w:rsidRPr="003C14B4">
              <w:rPr>
                <w:sz w:val="18"/>
                <w:szCs w:val="18"/>
              </w:rPr>
              <w:t>English</w:t>
            </w:r>
          </w:p>
        </w:tc>
        <w:tc>
          <w:tcPr>
            <w:tcW w:w="1843" w:type="dxa"/>
            <w:hideMark/>
          </w:tcPr>
          <w:p w14:paraId="06C85CE5"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4FA07A08" w14:textId="77777777" w:rsidR="00B83A7C" w:rsidRPr="003C14B4" w:rsidRDefault="00B83A7C" w:rsidP="00F13C1A">
            <w:pPr>
              <w:pStyle w:val="NormalWeb"/>
              <w:jc w:val="center"/>
              <w:rPr>
                <w:sz w:val="18"/>
                <w:szCs w:val="18"/>
              </w:rPr>
            </w:pPr>
            <w:r w:rsidRPr="003C14B4">
              <w:rPr>
                <w:sz w:val="18"/>
                <w:szCs w:val="18"/>
              </w:rPr>
              <w:t>21</w:t>
            </w:r>
          </w:p>
        </w:tc>
        <w:tc>
          <w:tcPr>
            <w:tcW w:w="709" w:type="dxa"/>
            <w:hideMark/>
          </w:tcPr>
          <w:p w14:paraId="5A7671A0"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0CF1F679" w14:textId="77777777" w:rsidR="00B83A7C" w:rsidRPr="003C14B4" w:rsidRDefault="00B83A7C" w:rsidP="00F13C1A">
            <w:pPr>
              <w:pStyle w:val="NormalWeb"/>
              <w:jc w:val="center"/>
              <w:rPr>
                <w:sz w:val="18"/>
                <w:szCs w:val="18"/>
              </w:rPr>
            </w:pPr>
            <w:r w:rsidRPr="003C14B4">
              <w:rPr>
                <w:sz w:val="18"/>
                <w:szCs w:val="18"/>
              </w:rPr>
              <w:t>10</w:t>
            </w:r>
          </w:p>
        </w:tc>
        <w:tc>
          <w:tcPr>
            <w:tcW w:w="1985" w:type="dxa"/>
            <w:hideMark/>
          </w:tcPr>
          <w:p w14:paraId="39893049" w14:textId="77777777" w:rsidR="00B83A7C" w:rsidRPr="003C14B4" w:rsidRDefault="00B83A7C" w:rsidP="00F13C1A">
            <w:pPr>
              <w:pStyle w:val="NormalWeb"/>
              <w:jc w:val="center"/>
              <w:rPr>
                <w:sz w:val="18"/>
                <w:szCs w:val="18"/>
              </w:rPr>
            </w:pPr>
            <w:r w:rsidRPr="003C14B4">
              <w:rPr>
                <w:sz w:val="18"/>
                <w:szCs w:val="18"/>
              </w:rPr>
              <w:t>237</w:t>
            </w:r>
          </w:p>
        </w:tc>
        <w:tc>
          <w:tcPr>
            <w:tcW w:w="1276" w:type="dxa"/>
            <w:hideMark/>
          </w:tcPr>
          <w:p w14:paraId="5F0E406D" w14:textId="77777777" w:rsidR="00B83A7C" w:rsidRPr="003C14B4" w:rsidRDefault="00B83A7C" w:rsidP="00F13C1A">
            <w:pPr>
              <w:pStyle w:val="NormalWeb"/>
              <w:jc w:val="center"/>
              <w:rPr>
                <w:sz w:val="18"/>
                <w:szCs w:val="18"/>
              </w:rPr>
            </w:pPr>
            <w:r w:rsidRPr="003C14B4">
              <w:rPr>
                <w:sz w:val="18"/>
                <w:szCs w:val="18"/>
              </w:rPr>
              <w:t>—</w:t>
            </w:r>
          </w:p>
        </w:tc>
        <w:tc>
          <w:tcPr>
            <w:tcW w:w="1275" w:type="dxa"/>
            <w:hideMark/>
          </w:tcPr>
          <w:p w14:paraId="40CA829E" w14:textId="77777777" w:rsidR="00B83A7C" w:rsidRPr="003C14B4" w:rsidRDefault="00B83A7C" w:rsidP="00F13C1A">
            <w:pPr>
              <w:pStyle w:val="NormalWeb"/>
              <w:jc w:val="center"/>
              <w:rPr>
                <w:sz w:val="18"/>
                <w:szCs w:val="18"/>
              </w:rPr>
            </w:pPr>
            <w:r w:rsidRPr="003C14B4">
              <w:rPr>
                <w:sz w:val="18"/>
                <w:szCs w:val="18"/>
              </w:rPr>
              <w:t>—</w:t>
            </w:r>
          </w:p>
        </w:tc>
        <w:tc>
          <w:tcPr>
            <w:tcW w:w="1332" w:type="dxa"/>
            <w:hideMark/>
          </w:tcPr>
          <w:p w14:paraId="3401CC41" w14:textId="77777777" w:rsidR="00B83A7C" w:rsidRPr="003C14B4" w:rsidRDefault="00B83A7C" w:rsidP="00F13C1A">
            <w:pPr>
              <w:pStyle w:val="NormalWeb"/>
              <w:jc w:val="center"/>
              <w:rPr>
                <w:sz w:val="18"/>
                <w:szCs w:val="18"/>
              </w:rPr>
            </w:pPr>
            <w:r w:rsidRPr="003C14B4">
              <w:rPr>
                <w:sz w:val="18"/>
                <w:szCs w:val="18"/>
              </w:rPr>
              <w:t>—</w:t>
            </w:r>
          </w:p>
        </w:tc>
      </w:tr>
      <w:tr w:rsidR="00B83A7C" w:rsidRPr="003C14B4" w14:paraId="06A3E9CF" w14:textId="77777777" w:rsidTr="002A2DD2">
        <w:tblPrEx>
          <w:tblCellMar>
            <w:top w:w="57" w:type="dxa"/>
            <w:left w:w="57" w:type="dxa"/>
            <w:bottom w:w="57" w:type="dxa"/>
            <w:right w:w="57" w:type="dxa"/>
          </w:tblCellMar>
        </w:tblPrEx>
        <w:tc>
          <w:tcPr>
            <w:tcW w:w="2552" w:type="dxa"/>
            <w:hideMark/>
          </w:tcPr>
          <w:p w14:paraId="26D11CB3" w14:textId="77777777" w:rsidR="00B83A7C" w:rsidRPr="003C14B4" w:rsidRDefault="00B83A7C" w:rsidP="00F13C1A">
            <w:pPr>
              <w:pStyle w:val="NormalWeb"/>
              <w:rPr>
                <w:sz w:val="18"/>
                <w:szCs w:val="18"/>
              </w:rPr>
            </w:pPr>
            <w:r w:rsidRPr="003C14B4">
              <w:rPr>
                <w:sz w:val="18"/>
                <w:szCs w:val="18"/>
              </w:rPr>
              <w:t>Concert band</w:t>
            </w:r>
          </w:p>
        </w:tc>
        <w:tc>
          <w:tcPr>
            <w:tcW w:w="1843" w:type="dxa"/>
            <w:hideMark/>
          </w:tcPr>
          <w:p w14:paraId="3F46B799" w14:textId="77777777" w:rsidR="00B83A7C" w:rsidRPr="003C14B4" w:rsidRDefault="00B83A7C" w:rsidP="00F13C1A">
            <w:pPr>
              <w:pStyle w:val="NormalWeb"/>
              <w:jc w:val="center"/>
              <w:rPr>
                <w:sz w:val="18"/>
                <w:szCs w:val="18"/>
              </w:rPr>
            </w:pPr>
            <w:r w:rsidRPr="003C14B4">
              <w:rPr>
                <w:sz w:val="18"/>
                <w:szCs w:val="18"/>
              </w:rPr>
              <w:t>2</w:t>
            </w:r>
          </w:p>
        </w:tc>
        <w:tc>
          <w:tcPr>
            <w:tcW w:w="1984" w:type="dxa"/>
            <w:hideMark/>
          </w:tcPr>
          <w:p w14:paraId="16FE47BE" w14:textId="77777777" w:rsidR="00B83A7C" w:rsidRPr="003C14B4" w:rsidRDefault="00B83A7C" w:rsidP="00F13C1A">
            <w:pPr>
              <w:pStyle w:val="NormalWeb"/>
              <w:jc w:val="center"/>
              <w:rPr>
                <w:sz w:val="18"/>
                <w:szCs w:val="18"/>
              </w:rPr>
            </w:pPr>
            <w:r w:rsidRPr="003C14B4">
              <w:rPr>
                <w:sz w:val="18"/>
                <w:szCs w:val="18"/>
              </w:rPr>
              <w:t>83</w:t>
            </w:r>
          </w:p>
        </w:tc>
        <w:tc>
          <w:tcPr>
            <w:tcW w:w="709" w:type="dxa"/>
            <w:hideMark/>
          </w:tcPr>
          <w:p w14:paraId="341311BA" w14:textId="77777777" w:rsidR="00B83A7C" w:rsidRPr="003C14B4" w:rsidRDefault="00B83A7C" w:rsidP="00F13C1A">
            <w:pPr>
              <w:pStyle w:val="NormalWeb"/>
              <w:jc w:val="center"/>
              <w:rPr>
                <w:sz w:val="18"/>
                <w:szCs w:val="18"/>
              </w:rPr>
            </w:pPr>
            <w:r w:rsidRPr="003C14B4">
              <w:rPr>
                <w:sz w:val="18"/>
                <w:szCs w:val="18"/>
              </w:rPr>
              <w:t>2.4%</w:t>
            </w:r>
          </w:p>
        </w:tc>
        <w:tc>
          <w:tcPr>
            <w:tcW w:w="1984" w:type="dxa"/>
            <w:hideMark/>
          </w:tcPr>
          <w:p w14:paraId="5A9BCDE8" w14:textId="77777777" w:rsidR="00B83A7C" w:rsidRPr="003C14B4" w:rsidRDefault="00B83A7C" w:rsidP="00F13C1A">
            <w:pPr>
              <w:pStyle w:val="NormalWeb"/>
              <w:jc w:val="center"/>
              <w:rPr>
                <w:sz w:val="18"/>
                <w:szCs w:val="18"/>
              </w:rPr>
            </w:pPr>
            <w:r w:rsidRPr="003C14B4">
              <w:rPr>
                <w:sz w:val="18"/>
                <w:szCs w:val="18"/>
              </w:rPr>
              <w:t>8</w:t>
            </w:r>
          </w:p>
        </w:tc>
        <w:tc>
          <w:tcPr>
            <w:tcW w:w="1985" w:type="dxa"/>
            <w:hideMark/>
          </w:tcPr>
          <w:p w14:paraId="2637261C" w14:textId="77777777" w:rsidR="00B83A7C" w:rsidRPr="003C14B4" w:rsidRDefault="00B83A7C" w:rsidP="00F13C1A">
            <w:pPr>
              <w:pStyle w:val="NormalWeb"/>
              <w:jc w:val="center"/>
              <w:rPr>
                <w:sz w:val="18"/>
                <w:szCs w:val="18"/>
              </w:rPr>
            </w:pPr>
            <w:r w:rsidRPr="003C14B4">
              <w:rPr>
                <w:sz w:val="18"/>
                <w:szCs w:val="18"/>
              </w:rPr>
              <w:t>175</w:t>
            </w:r>
          </w:p>
        </w:tc>
        <w:tc>
          <w:tcPr>
            <w:tcW w:w="1276" w:type="dxa"/>
            <w:hideMark/>
          </w:tcPr>
          <w:p w14:paraId="2CBDB812" w14:textId="77777777" w:rsidR="00B83A7C" w:rsidRPr="003C14B4" w:rsidRDefault="00B83A7C" w:rsidP="00F13C1A">
            <w:pPr>
              <w:pStyle w:val="NormalWeb"/>
              <w:jc w:val="center"/>
              <w:rPr>
                <w:sz w:val="18"/>
                <w:szCs w:val="18"/>
              </w:rPr>
            </w:pPr>
            <w:r w:rsidRPr="003C14B4">
              <w:rPr>
                <w:sz w:val="18"/>
                <w:szCs w:val="18"/>
              </w:rPr>
              <w:t>0.54</w:t>
            </w:r>
          </w:p>
        </w:tc>
        <w:tc>
          <w:tcPr>
            <w:tcW w:w="1275" w:type="dxa"/>
            <w:hideMark/>
          </w:tcPr>
          <w:p w14:paraId="054B515A" w14:textId="77777777" w:rsidR="00B83A7C" w:rsidRPr="003C14B4" w:rsidRDefault="00B83A7C" w:rsidP="00F13C1A">
            <w:pPr>
              <w:pStyle w:val="NormalWeb"/>
              <w:jc w:val="center"/>
              <w:rPr>
                <w:sz w:val="18"/>
                <w:szCs w:val="18"/>
              </w:rPr>
            </w:pPr>
            <w:r w:rsidRPr="003C14B4">
              <w:rPr>
                <w:sz w:val="18"/>
                <w:szCs w:val="18"/>
              </w:rPr>
              <w:t>0.417</w:t>
            </w:r>
          </w:p>
        </w:tc>
        <w:tc>
          <w:tcPr>
            <w:tcW w:w="1332" w:type="dxa"/>
            <w:hideMark/>
          </w:tcPr>
          <w:p w14:paraId="357C8FC3" w14:textId="77777777" w:rsidR="00B83A7C" w:rsidRPr="003C14B4" w:rsidRDefault="00B83A7C" w:rsidP="00F13C1A">
            <w:pPr>
              <w:pStyle w:val="NormalWeb"/>
              <w:jc w:val="center"/>
              <w:rPr>
                <w:sz w:val="18"/>
                <w:szCs w:val="18"/>
              </w:rPr>
            </w:pPr>
            <w:r w:rsidRPr="003C14B4">
              <w:rPr>
                <w:sz w:val="18"/>
                <w:szCs w:val="18"/>
              </w:rPr>
              <w:t>0.12–2.48</w:t>
            </w:r>
          </w:p>
        </w:tc>
      </w:tr>
      <w:tr w:rsidR="00B83A7C" w:rsidRPr="003C14B4" w14:paraId="120072EC" w14:textId="77777777" w:rsidTr="002A2DD2">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2552" w:type="dxa"/>
            <w:hideMark/>
          </w:tcPr>
          <w:p w14:paraId="594D65FE" w14:textId="77777777" w:rsidR="00B83A7C" w:rsidRPr="003C14B4" w:rsidRDefault="00B83A7C" w:rsidP="00F13C1A">
            <w:pPr>
              <w:pStyle w:val="NormalWeb"/>
              <w:rPr>
                <w:sz w:val="18"/>
                <w:szCs w:val="18"/>
              </w:rPr>
            </w:pPr>
            <w:r w:rsidRPr="003C14B4">
              <w:rPr>
                <w:sz w:val="18"/>
                <w:szCs w:val="18"/>
              </w:rPr>
              <w:t>Maths</w:t>
            </w:r>
          </w:p>
        </w:tc>
        <w:tc>
          <w:tcPr>
            <w:tcW w:w="1843" w:type="dxa"/>
            <w:hideMark/>
          </w:tcPr>
          <w:p w14:paraId="094E992B"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2756BC92" w14:textId="77777777" w:rsidR="00B83A7C" w:rsidRPr="003C14B4" w:rsidRDefault="00B83A7C" w:rsidP="00F13C1A">
            <w:pPr>
              <w:pStyle w:val="NormalWeb"/>
              <w:jc w:val="center"/>
              <w:rPr>
                <w:sz w:val="18"/>
                <w:szCs w:val="18"/>
              </w:rPr>
            </w:pPr>
            <w:r w:rsidRPr="003C14B4">
              <w:rPr>
                <w:sz w:val="18"/>
                <w:szCs w:val="18"/>
              </w:rPr>
              <w:t>25</w:t>
            </w:r>
          </w:p>
        </w:tc>
        <w:tc>
          <w:tcPr>
            <w:tcW w:w="709" w:type="dxa"/>
            <w:hideMark/>
          </w:tcPr>
          <w:p w14:paraId="458CFE7C" w14:textId="77777777" w:rsidR="00B83A7C" w:rsidRPr="003C14B4" w:rsidRDefault="00B83A7C" w:rsidP="00F13C1A">
            <w:pPr>
              <w:pStyle w:val="NormalWeb"/>
              <w:jc w:val="center"/>
              <w:rPr>
                <w:sz w:val="18"/>
                <w:szCs w:val="18"/>
              </w:rPr>
            </w:pPr>
            <w:r w:rsidRPr="003C14B4">
              <w:rPr>
                <w:sz w:val="18"/>
                <w:szCs w:val="18"/>
              </w:rPr>
              <w:t>0%</w:t>
            </w:r>
          </w:p>
        </w:tc>
        <w:tc>
          <w:tcPr>
            <w:tcW w:w="1984" w:type="dxa"/>
            <w:hideMark/>
          </w:tcPr>
          <w:p w14:paraId="4D0BC5E5" w14:textId="77777777" w:rsidR="00B83A7C" w:rsidRPr="003C14B4" w:rsidRDefault="00B83A7C" w:rsidP="00F13C1A">
            <w:pPr>
              <w:pStyle w:val="NormalWeb"/>
              <w:jc w:val="center"/>
              <w:rPr>
                <w:sz w:val="18"/>
                <w:szCs w:val="18"/>
              </w:rPr>
            </w:pPr>
            <w:r w:rsidRPr="003C14B4">
              <w:rPr>
                <w:sz w:val="18"/>
                <w:szCs w:val="18"/>
              </w:rPr>
              <w:t>10</w:t>
            </w:r>
          </w:p>
        </w:tc>
        <w:tc>
          <w:tcPr>
            <w:tcW w:w="1985" w:type="dxa"/>
            <w:hideMark/>
          </w:tcPr>
          <w:p w14:paraId="57B3BCC7" w14:textId="77777777" w:rsidR="00B83A7C" w:rsidRPr="003C14B4" w:rsidRDefault="00B83A7C" w:rsidP="00F13C1A">
            <w:pPr>
              <w:pStyle w:val="NormalWeb"/>
              <w:jc w:val="center"/>
              <w:rPr>
                <w:sz w:val="18"/>
                <w:szCs w:val="18"/>
              </w:rPr>
            </w:pPr>
            <w:r w:rsidRPr="003C14B4">
              <w:rPr>
                <w:sz w:val="18"/>
                <w:szCs w:val="18"/>
              </w:rPr>
              <w:t>233</w:t>
            </w:r>
          </w:p>
        </w:tc>
        <w:tc>
          <w:tcPr>
            <w:tcW w:w="1276" w:type="dxa"/>
            <w:hideMark/>
          </w:tcPr>
          <w:p w14:paraId="255E0F49" w14:textId="77777777" w:rsidR="00B83A7C" w:rsidRPr="003C14B4" w:rsidRDefault="00B83A7C" w:rsidP="00F13C1A">
            <w:pPr>
              <w:pStyle w:val="NormalWeb"/>
              <w:jc w:val="center"/>
              <w:rPr>
                <w:sz w:val="18"/>
                <w:szCs w:val="18"/>
              </w:rPr>
            </w:pPr>
            <w:r w:rsidRPr="003C14B4">
              <w:rPr>
                <w:sz w:val="18"/>
                <w:szCs w:val="18"/>
              </w:rPr>
              <w:t>—</w:t>
            </w:r>
          </w:p>
        </w:tc>
        <w:tc>
          <w:tcPr>
            <w:tcW w:w="1275" w:type="dxa"/>
            <w:hideMark/>
          </w:tcPr>
          <w:p w14:paraId="247D3A10" w14:textId="77777777" w:rsidR="00B83A7C" w:rsidRPr="003C14B4" w:rsidRDefault="00B83A7C" w:rsidP="00F13C1A">
            <w:pPr>
              <w:pStyle w:val="NormalWeb"/>
              <w:jc w:val="center"/>
              <w:rPr>
                <w:sz w:val="18"/>
                <w:szCs w:val="18"/>
              </w:rPr>
            </w:pPr>
            <w:r w:rsidRPr="003C14B4">
              <w:rPr>
                <w:sz w:val="18"/>
                <w:szCs w:val="18"/>
              </w:rPr>
              <w:t>—</w:t>
            </w:r>
          </w:p>
        </w:tc>
        <w:tc>
          <w:tcPr>
            <w:tcW w:w="1332" w:type="dxa"/>
            <w:hideMark/>
          </w:tcPr>
          <w:p w14:paraId="732949C8" w14:textId="77777777" w:rsidR="00B83A7C" w:rsidRPr="003C14B4" w:rsidRDefault="00B83A7C" w:rsidP="00F13C1A">
            <w:pPr>
              <w:pStyle w:val="NormalWeb"/>
              <w:jc w:val="center"/>
              <w:rPr>
                <w:sz w:val="18"/>
                <w:szCs w:val="18"/>
              </w:rPr>
            </w:pPr>
            <w:r w:rsidRPr="003C14B4">
              <w:rPr>
                <w:sz w:val="18"/>
                <w:szCs w:val="18"/>
              </w:rPr>
              <w:t>—</w:t>
            </w:r>
          </w:p>
        </w:tc>
      </w:tr>
    </w:tbl>
    <w:p w14:paraId="29679B87" w14:textId="7CB7B4EB" w:rsidR="00B83A7C" w:rsidRPr="002A2DD2" w:rsidRDefault="00B83A7C" w:rsidP="002A2DD2">
      <w:pPr>
        <w:pStyle w:val="CDIfootnotes"/>
        <w:rPr>
          <w:lang w:val="en-GB"/>
        </w:rPr>
      </w:pPr>
      <w:r>
        <w:rPr>
          <w:lang w:val="en-GB"/>
        </w:rPr>
        <w:t>a</w:t>
      </w:r>
      <w:r>
        <w:rPr>
          <w:lang w:val="en-GB"/>
        </w:rPr>
        <w:tab/>
        <w:t>PDHPE: Personal development, health, and physical education.</w:t>
      </w:r>
    </w:p>
    <w:p w14:paraId="06C64158" w14:textId="77777777" w:rsidR="002A2DD2" w:rsidRPr="00A10ABE" w:rsidRDefault="002A2DD2" w:rsidP="002A2DD2">
      <w:pPr>
        <w:pStyle w:val="CDIFigures"/>
      </w:pPr>
      <w:r w:rsidRPr="00A10ABE">
        <w:rPr>
          <w:rStyle w:val="Strong"/>
          <w:b/>
          <w:bCs w:val="0"/>
        </w:rPr>
        <w:t>Table 3: The risk of transmission to household contacts (n = 52) by vaccination status among cases associated with the B.1.617.2 high school outbreak, Australian Capital Territory, August 2021</w:t>
      </w:r>
      <w:r w:rsidRPr="00A10ABE">
        <w:t xml:space="preserve"> </w:t>
      </w:r>
    </w:p>
    <w:tbl>
      <w:tblPr>
        <w:tblStyle w:val="CDI-StandardTable"/>
        <w:tblW w:w="0" w:type="auto"/>
        <w:tblCellMar>
          <w:left w:w="284" w:type="dxa"/>
          <w:right w:w="284" w:type="dxa"/>
        </w:tblCellMar>
        <w:tblLook w:val="04A0" w:firstRow="1" w:lastRow="0" w:firstColumn="1" w:lastColumn="0" w:noHBand="0" w:noVBand="1"/>
        <w:tblDescription w:val="This table shows the attack rate, relative risk, p value, and 95% confidence interval for the association between vaccination status and being a confirmed case of COVID-19. "/>
      </w:tblPr>
      <w:tblGrid>
        <w:gridCol w:w="2490"/>
        <w:gridCol w:w="2490"/>
        <w:gridCol w:w="2490"/>
        <w:gridCol w:w="2490"/>
        <w:gridCol w:w="2490"/>
        <w:gridCol w:w="2490"/>
      </w:tblGrid>
      <w:tr w:rsidR="002A2DD2" w:rsidRPr="003C14B4" w14:paraId="0A61717E" w14:textId="77777777" w:rsidTr="002A2DD2">
        <w:trPr>
          <w:cnfStyle w:val="100000000000" w:firstRow="1" w:lastRow="0" w:firstColumn="0" w:lastColumn="0" w:oddVBand="0" w:evenVBand="0" w:oddHBand="0" w:evenHBand="0" w:firstRowFirstColumn="0" w:firstRowLastColumn="0" w:lastRowFirstColumn="0" w:lastRowLastColumn="0"/>
        </w:trPr>
        <w:tc>
          <w:tcPr>
            <w:tcW w:w="2490" w:type="dxa"/>
            <w:tcBorders>
              <w:bottom w:val="single" w:sz="2" w:space="0" w:color="7F7F7F" w:themeColor="text1" w:themeTint="80"/>
              <w:right w:val="single" w:sz="4" w:space="0" w:color="886E49"/>
            </w:tcBorders>
            <w:hideMark/>
          </w:tcPr>
          <w:p w14:paraId="7EC58264" w14:textId="77777777" w:rsidR="002A2DD2" w:rsidRPr="003C14B4" w:rsidRDefault="002A2DD2" w:rsidP="00F13C1A">
            <w:pPr>
              <w:pStyle w:val="NormalWeb"/>
              <w:rPr>
                <w:color w:val="FFFFFF" w:themeColor="background1"/>
                <w:sz w:val="18"/>
                <w:szCs w:val="18"/>
              </w:rPr>
            </w:pPr>
            <w:r w:rsidRPr="003C14B4">
              <w:rPr>
                <w:color w:val="FFFFFF" w:themeColor="background1"/>
                <w:sz w:val="18"/>
                <w:szCs w:val="18"/>
              </w:rPr>
              <w:t xml:space="preserve">Vaccination </w:t>
            </w:r>
            <w:proofErr w:type="spellStart"/>
            <w:r w:rsidRPr="003C14B4">
              <w:rPr>
                <w:color w:val="FFFFFF" w:themeColor="background1"/>
                <w:sz w:val="18"/>
                <w:szCs w:val="18"/>
              </w:rPr>
              <w:t>status</w:t>
            </w:r>
            <w:r w:rsidRPr="003C14B4">
              <w:rPr>
                <w:color w:val="FFFFFF" w:themeColor="background1"/>
                <w:sz w:val="18"/>
                <w:szCs w:val="18"/>
                <w:vertAlign w:val="superscript"/>
              </w:rPr>
              <w:t>a</w:t>
            </w:r>
            <w:proofErr w:type="spellEnd"/>
          </w:p>
        </w:tc>
        <w:tc>
          <w:tcPr>
            <w:tcW w:w="2490" w:type="dxa"/>
            <w:tcBorders>
              <w:left w:val="single" w:sz="4" w:space="0" w:color="886E49"/>
              <w:bottom w:val="single" w:sz="2" w:space="0" w:color="7F7F7F" w:themeColor="text1" w:themeTint="80"/>
              <w:right w:val="single" w:sz="4" w:space="0" w:color="886E49"/>
            </w:tcBorders>
            <w:hideMark/>
          </w:tcPr>
          <w:p w14:paraId="7A2823B8" w14:textId="77777777" w:rsidR="002A2DD2" w:rsidRPr="003C14B4" w:rsidRDefault="002A2DD2" w:rsidP="00F13C1A">
            <w:pPr>
              <w:pStyle w:val="NormalWeb"/>
              <w:jc w:val="center"/>
              <w:rPr>
                <w:color w:val="FFFFFF" w:themeColor="background1"/>
                <w:sz w:val="18"/>
                <w:szCs w:val="18"/>
              </w:rPr>
            </w:pPr>
            <w:r w:rsidRPr="003C14B4">
              <w:rPr>
                <w:color w:val="FFFFFF" w:themeColor="background1"/>
                <w:sz w:val="18"/>
                <w:szCs w:val="18"/>
              </w:rPr>
              <w:t>Case</w:t>
            </w:r>
          </w:p>
        </w:tc>
        <w:tc>
          <w:tcPr>
            <w:tcW w:w="2490" w:type="dxa"/>
            <w:tcBorders>
              <w:left w:val="single" w:sz="4" w:space="0" w:color="886E49"/>
              <w:bottom w:val="single" w:sz="2" w:space="0" w:color="7F7F7F" w:themeColor="text1" w:themeTint="80"/>
              <w:right w:val="single" w:sz="4" w:space="0" w:color="886E49"/>
            </w:tcBorders>
            <w:hideMark/>
          </w:tcPr>
          <w:p w14:paraId="70EF5189" w14:textId="77777777" w:rsidR="002A2DD2" w:rsidRPr="003C14B4" w:rsidRDefault="002A2DD2" w:rsidP="00F13C1A">
            <w:pPr>
              <w:pStyle w:val="NormalWeb"/>
              <w:jc w:val="center"/>
              <w:rPr>
                <w:color w:val="FFFFFF" w:themeColor="background1"/>
                <w:sz w:val="18"/>
                <w:szCs w:val="18"/>
              </w:rPr>
            </w:pPr>
            <w:r w:rsidRPr="003C14B4">
              <w:rPr>
                <w:color w:val="FFFFFF" w:themeColor="background1"/>
                <w:sz w:val="18"/>
                <w:szCs w:val="18"/>
              </w:rPr>
              <w:t>Negative contact</w:t>
            </w:r>
          </w:p>
        </w:tc>
        <w:tc>
          <w:tcPr>
            <w:tcW w:w="2490" w:type="dxa"/>
            <w:tcBorders>
              <w:left w:val="single" w:sz="4" w:space="0" w:color="886E49"/>
              <w:bottom w:val="single" w:sz="2" w:space="0" w:color="7F7F7F" w:themeColor="text1" w:themeTint="80"/>
              <w:right w:val="single" w:sz="4" w:space="0" w:color="886E49"/>
            </w:tcBorders>
            <w:hideMark/>
          </w:tcPr>
          <w:p w14:paraId="2817F32D" w14:textId="77777777" w:rsidR="002A2DD2" w:rsidRPr="003C14B4" w:rsidRDefault="002A2DD2" w:rsidP="00F13C1A">
            <w:pPr>
              <w:pStyle w:val="NormalWeb"/>
              <w:jc w:val="center"/>
              <w:rPr>
                <w:color w:val="FFFFFF" w:themeColor="background1"/>
                <w:sz w:val="18"/>
                <w:szCs w:val="18"/>
              </w:rPr>
            </w:pPr>
            <w:r w:rsidRPr="003C14B4">
              <w:rPr>
                <w:color w:val="FFFFFF" w:themeColor="background1"/>
                <w:sz w:val="18"/>
                <w:szCs w:val="18"/>
              </w:rPr>
              <w:t>Total</w:t>
            </w:r>
          </w:p>
        </w:tc>
        <w:tc>
          <w:tcPr>
            <w:tcW w:w="2490" w:type="dxa"/>
            <w:tcBorders>
              <w:left w:val="single" w:sz="4" w:space="0" w:color="886E49"/>
              <w:bottom w:val="single" w:sz="2" w:space="0" w:color="7F7F7F" w:themeColor="text1" w:themeTint="80"/>
              <w:right w:val="single" w:sz="4" w:space="0" w:color="886E49"/>
            </w:tcBorders>
            <w:hideMark/>
          </w:tcPr>
          <w:p w14:paraId="39D8C94F" w14:textId="77777777" w:rsidR="002A2DD2" w:rsidRPr="003C14B4" w:rsidRDefault="002A2DD2" w:rsidP="00F13C1A">
            <w:pPr>
              <w:pStyle w:val="NormalWeb"/>
              <w:jc w:val="center"/>
              <w:rPr>
                <w:color w:val="FFFFFF" w:themeColor="background1"/>
                <w:sz w:val="18"/>
                <w:szCs w:val="18"/>
              </w:rPr>
            </w:pPr>
            <w:r w:rsidRPr="003C14B4">
              <w:rPr>
                <w:color w:val="FFFFFF" w:themeColor="background1"/>
                <w:sz w:val="18"/>
                <w:szCs w:val="18"/>
              </w:rPr>
              <w:t>AR</w:t>
            </w:r>
          </w:p>
        </w:tc>
        <w:tc>
          <w:tcPr>
            <w:tcW w:w="2490" w:type="dxa"/>
            <w:tcBorders>
              <w:left w:val="single" w:sz="4" w:space="0" w:color="886E49"/>
              <w:bottom w:val="single" w:sz="2" w:space="0" w:color="7F7F7F" w:themeColor="text1" w:themeTint="80"/>
            </w:tcBorders>
            <w:hideMark/>
          </w:tcPr>
          <w:p w14:paraId="4CAFABDF" w14:textId="77777777" w:rsidR="002A2DD2" w:rsidRPr="003C14B4" w:rsidRDefault="002A2DD2" w:rsidP="00F13C1A">
            <w:pPr>
              <w:pStyle w:val="NormalWeb"/>
              <w:jc w:val="center"/>
              <w:rPr>
                <w:color w:val="FFFFFF" w:themeColor="background1"/>
                <w:sz w:val="18"/>
                <w:szCs w:val="18"/>
              </w:rPr>
            </w:pPr>
            <w:r w:rsidRPr="003C14B4">
              <w:rPr>
                <w:color w:val="FFFFFF" w:themeColor="background1"/>
                <w:sz w:val="18"/>
                <w:szCs w:val="18"/>
              </w:rPr>
              <w:t>RR</w:t>
            </w:r>
          </w:p>
        </w:tc>
      </w:tr>
      <w:tr w:rsidR="002A2DD2" w:rsidRPr="003C14B4" w14:paraId="6428FE2F" w14:textId="77777777" w:rsidTr="002A2DD2">
        <w:tblPrEx>
          <w:tblCellMar>
            <w:top w:w="57" w:type="dxa"/>
            <w:bottom w:w="57" w:type="dxa"/>
          </w:tblCellMar>
        </w:tblPrEx>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74B9C54" w14:textId="77777777" w:rsidR="002A2DD2" w:rsidRPr="003C14B4" w:rsidRDefault="002A2DD2" w:rsidP="00F13C1A">
            <w:pPr>
              <w:pStyle w:val="NormalWeb"/>
              <w:rPr>
                <w:sz w:val="18"/>
                <w:szCs w:val="18"/>
              </w:rPr>
            </w:pPr>
            <w:r w:rsidRPr="003C14B4">
              <w:rPr>
                <w:sz w:val="18"/>
                <w:szCs w:val="18"/>
              </w:rPr>
              <w:t>Fully vaccinated</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0AB92D24" w14:textId="77777777" w:rsidR="002A2DD2" w:rsidRPr="003C14B4" w:rsidRDefault="002A2DD2" w:rsidP="00F13C1A">
            <w:pPr>
              <w:pStyle w:val="NormalWeb"/>
              <w:jc w:val="center"/>
              <w:rPr>
                <w:sz w:val="18"/>
                <w:szCs w:val="18"/>
              </w:rPr>
            </w:pPr>
            <w:r w:rsidRPr="003C14B4">
              <w:rPr>
                <w:sz w:val="18"/>
                <w:szCs w:val="18"/>
              </w:rPr>
              <w:t>3</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7D0583C2" w14:textId="77777777" w:rsidR="002A2DD2" w:rsidRPr="003C14B4" w:rsidRDefault="002A2DD2" w:rsidP="00F13C1A">
            <w:pPr>
              <w:pStyle w:val="NormalWeb"/>
              <w:jc w:val="center"/>
              <w:rPr>
                <w:sz w:val="18"/>
                <w:szCs w:val="18"/>
              </w:rPr>
            </w:pPr>
            <w:r w:rsidRPr="003C14B4">
              <w:rPr>
                <w:sz w:val="18"/>
                <w:szCs w:val="18"/>
              </w:rPr>
              <w:t>9</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579CA6D5" w14:textId="77777777" w:rsidR="002A2DD2" w:rsidRPr="003C14B4" w:rsidRDefault="002A2DD2" w:rsidP="00F13C1A">
            <w:pPr>
              <w:pStyle w:val="NormalWeb"/>
              <w:jc w:val="center"/>
              <w:rPr>
                <w:sz w:val="18"/>
                <w:szCs w:val="18"/>
              </w:rPr>
            </w:pPr>
            <w:r w:rsidRPr="003C14B4">
              <w:rPr>
                <w:sz w:val="18"/>
                <w:szCs w:val="18"/>
              </w:rPr>
              <w:t>12</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2FB90EE0" w14:textId="77777777" w:rsidR="002A2DD2" w:rsidRPr="003C14B4" w:rsidRDefault="002A2DD2" w:rsidP="00F13C1A">
            <w:pPr>
              <w:pStyle w:val="NormalWeb"/>
              <w:jc w:val="center"/>
              <w:rPr>
                <w:sz w:val="18"/>
                <w:szCs w:val="18"/>
              </w:rPr>
            </w:pPr>
            <w:r w:rsidRPr="003C14B4">
              <w:rPr>
                <w:sz w:val="18"/>
                <w:szCs w:val="18"/>
              </w:rPr>
              <w:t>25%</w:t>
            </w:r>
          </w:p>
        </w:tc>
        <w:tc>
          <w:tcPr>
            <w:tcW w:w="2490" w:type="dxa"/>
            <w:vMerge w:val="restart"/>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hideMark/>
          </w:tcPr>
          <w:p w14:paraId="697C6484" w14:textId="77777777" w:rsidR="002A2DD2" w:rsidRPr="003C14B4" w:rsidRDefault="002A2DD2" w:rsidP="00F13C1A">
            <w:pPr>
              <w:pStyle w:val="NormalWeb"/>
              <w:jc w:val="center"/>
              <w:rPr>
                <w:sz w:val="18"/>
                <w:szCs w:val="18"/>
              </w:rPr>
            </w:pPr>
            <w:r w:rsidRPr="003C14B4">
              <w:rPr>
                <w:sz w:val="18"/>
                <w:szCs w:val="18"/>
              </w:rPr>
              <w:t>2.9</w:t>
            </w:r>
            <w:r w:rsidRPr="003C14B4">
              <w:rPr>
                <w:sz w:val="18"/>
                <w:szCs w:val="18"/>
                <w:vertAlign w:val="superscript"/>
              </w:rPr>
              <w:t>b</w:t>
            </w:r>
          </w:p>
        </w:tc>
      </w:tr>
      <w:tr w:rsidR="002A2DD2" w:rsidRPr="003C14B4" w14:paraId="74876342" w14:textId="77777777" w:rsidTr="002A2DD2">
        <w:tblPrEx>
          <w:tblCellMar>
            <w:top w:w="57" w:type="dxa"/>
            <w:bottom w:w="57" w:type="dxa"/>
          </w:tblCellMar>
        </w:tblPrEx>
        <w:trPr>
          <w:cnfStyle w:val="000000010000" w:firstRow="0" w:lastRow="0" w:firstColumn="0" w:lastColumn="0" w:oddVBand="0" w:evenVBand="0" w:oddHBand="0" w:evenHBand="1" w:firstRowFirstColumn="0" w:firstRowLastColumn="0" w:lastRowFirstColumn="0" w:lastRowLastColumn="0"/>
        </w:trPr>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13AC2FF0" w14:textId="77777777" w:rsidR="002A2DD2" w:rsidRPr="003C14B4" w:rsidRDefault="002A2DD2" w:rsidP="00F13C1A">
            <w:pPr>
              <w:pStyle w:val="NormalWeb"/>
              <w:rPr>
                <w:sz w:val="18"/>
                <w:szCs w:val="18"/>
              </w:rPr>
            </w:pPr>
            <w:r w:rsidRPr="003C14B4">
              <w:rPr>
                <w:sz w:val="18"/>
                <w:szCs w:val="18"/>
              </w:rPr>
              <w:t>Not fully vaccinated</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4FB7BC04" w14:textId="77777777" w:rsidR="002A2DD2" w:rsidRPr="003C14B4" w:rsidRDefault="002A2DD2" w:rsidP="00F13C1A">
            <w:pPr>
              <w:pStyle w:val="NormalWeb"/>
              <w:jc w:val="center"/>
              <w:rPr>
                <w:sz w:val="18"/>
                <w:szCs w:val="18"/>
              </w:rPr>
            </w:pPr>
            <w:r w:rsidRPr="003C14B4">
              <w:rPr>
                <w:sz w:val="18"/>
                <w:szCs w:val="18"/>
              </w:rPr>
              <w:t>29</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56B4B746" w14:textId="77777777" w:rsidR="002A2DD2" w:rsidRPr="003C14B4" w:rsidRDefault="002A2DD2" w:rsidP="00F13C1A">
            <w:pPr>
              <w:pStyle w:val="NormalWeb"/>
              <w:jc w:val="center"/>
              <w:rPr>
                <w:sz w:val="18"/>
                <w:szCs w:val="18"/>
              </w:rPr>
            </w:pPr>
            <w:r w:rsidRPr="003C14B4">
              <w:rPr>
                <w:sz w:val="18"/>
                <w:szCs w:val="18"/>
              </w:rPr>
              <w:t>11</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6DE7DFC1" w14:textId="77777777" w:rsidR="002A2DD2" w:rsidRPr="003C14B4" w:rsidRDefault="002A2DD2" w:rsidP="00F13C1A">
            <w:pPr>
              <w:pStyle w:val="NormalWeb"/>
              <w:jc w:val="center"/>
              <w:rPr>
                <w:sz w:val="18"/>
                <w:szCs w:val="18"/>
              </w:rPr>
            </w:pPr>
            <w:r w:rsidRPr="003C14B4">
              <w:rPr>
                <w:sz w:val="18"/>
                <w:szCs w:val="18"/>
              </w:rPr>
              <w:t>40</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737FDB75" w14:textId="77777777" w:rsidR="002A2DD2" w:rsidRPr="003C14B4" w:rsidRDefault="002A2DD2" w:rsidP="00F13C1A">
            <w:pPr>
              <w:pStyle w:val="NormalWeb"/>
              <w:jc w:val="center"/>
              <w:rPr>
                <w:sz w:val="18"/>
                <w:szCs w:val="18"/>
              </w:rPr>
            </w:pPr>
            <w:r w:rsidRPr="003C14B4">
              <w:rPr>
                <w:sz w:val="18"/>
                <w:szCs w:val="18"/>
              </w:rPr>
              <w:t>73%</w:t>
            </w:r>
          </w:p>
        </w:tc>
        <w:tc>
          <w:tcPr>
            <w:tcW w:w="2490" w:type="dxa"/>
            <w:vMerge/>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auto"/>
            <w:vAlign w:val="center"/>
            <w:hideMark/>
          </w:tcPr>
          <w:p w14:paraId="0B130A86" w14:textId="77777777" w:rsidR="002A2DD2" w:rsidRPr="003C14B4" w:rsidRDefault="002A2DD2" w:rsidP="00F13C1A">
            <w:pPr>
              <w:jc w:val="center"/>
              <w:rPr>
                <w:sz w:val="18"/>
                <w:szCs w:val="18"/>
              </w:rPr>
            </w:pPr>
          </w:p>
        </w:tc>
      </w:tr>
      <w:tr w:rsidR="002A2DD2" w:rsidRPr="003C14B4" w14:paraId="45F89B94" w14:textId="77777777" w:rsidTr="002A2DD2">
        <w:tblPrEx>
          <w:tblCellMar>
            <w:top w:w="57" w:type="dxa"/>
            <w:bottom w:w="57" w:type="dxa"/>
          </w:tblCellMar>
        </w:tblPrEx>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08F7DE1B" w14:textId="77777777" w:rsidR="002A2DD2" w:rsidRPr="003C14B4" w:rsidRDefault="002A2DD2" w:rsidP="00F13C1A">
            <w:pPr>
              <w:pStyle w:val="NormalWeb"/>
              <w:rPr>
                <w:b/>
                <w:bCs/>
                <w:sz w:val="18"/>
                <w:szCs w:val="18"/>
              </w:rPr>
            </w:pPr>
            <w:r w:rsidRPr="003C14B4">
              <w:rPr>
                <w:b/>
                <w:bCs/>
                <w:sz w:val="18"/>
                <w:szCs w:val="18"/>
              </w:rPr>
              <w:t>Total</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2810607E" w14:textId="77777777" w:rsidR="002A2DD2" w:rsidRPr="003C14B4" w:rsidRDefault="002A2DD2" w:rsidP="00F13C1A">
            <w:pPr>
              <w:pStyle w:val="NormalWeb"/>
              <w:jc w:val="center"/>
              <w:rPr>
                <w:b/>
                <w:bCs/>
                <w:sz w:val="18"/>
                <w:szCs w:val="18"/>
              </w:rPr>
            </w:pPr>
            <w:r w:rsidRPr="003C14B4">
              <w:rPr>
                <w:b/>
                <w:bCs/>
                <w:sz w:val="18"/>
                <w:szCs w:val="18"/>
              </w:rPr>
              <w:t>32</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17527B79" w14:textId="77777777" w:rsidR="002A2DD2" w:rsidRPr="003C14B4" w:rsidRDefault="002A2DD2" w:rsidP="00F13C1A">
            <w:pPr>
              <w:pStyle w:val="NormalWeb"/>
              <w:jc w:val="center"/>
              <w:rPr>
                <w:b/>
                <w:bCs/>
                <w:sz w:val="18"/>
                <w:szCs w:val="18"/>
              </w:rPr>
            </w:pPr>
            <w:r w:rsidRPr="003C14B4">
              <w:rPr>
                <w:b/>
                <w:bCs/>
                <w:sz w:val="18"/>
                <w:szCs w:val="18"/>
              </w:rPr>
              <w:t>20</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52577F30" w14:textId="77777777" w:rsidR="002A2DD2" w:rsidRPr="003C14B4" w:rsidRDefault="002A2DD2" w:rsidP="00F13C1A">
            <w:pPr>
              <w:pStyle w:val="NormalWeb"/>
              <w:jc w:val="center"/>
              <w:rPr>
                <w:b/>
                <w:bCs/>
                <w:sz w:val="18"/>
                <w:szCs w:val="18"/>
              </w:rPr>
            </w:pPr>
            <w:r w:rsidRPr="003C14B4">
              <w:rPr>
                <w:b/>
                <w:bCs/>
                <w:sz w:val="18"/>
                <w:szCs w:val="18"/>
              </w:rPr>
              <w:t>52</w:t>
            </w: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01B7310E" w14:textId="77777777" w:rsidR="002A2DD2" w:rsidRPr="003C14B4" w:rsidRDefault="002A2DD2" w:rsidP="00F13C1A">
            <w:pPr>
              <w:jc w:val="center"/>
              <w:rPr>
                <w:b/>
                <w:bCs/>
                <w:sz w:val="18"/>
                <w:szCs w:val="18"/>
              </w:rPr>
            </w:pPr>
          </w:p>
        </w:tc>
        <w:tc>
          <w:tcPr>
            <w:tcW w:w="2490"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shd w:val="clear" w:color="auto" w:fill="FAF1E6"/>
            <w:hideMark/>
          </w:tcPr>
          <w:p w14:paraId="6BE186AD" w14:textId="77777777" w:rsidR="002A2DD2" w:rsidRPr="003C14B4" w:rsidRDefault="002A2DD2" w:rsidP="00F13C1A">
            <w:pPr>
              <w:jc w:val="center"/>
              <w:rPr>
                <w:rFonts w:eastAsia="Times New Roman"/>
                <w:b/>
                <w:bCs/>
                <w:sz w:val="18"/>
                <w:szCs w:val="18"/>
              </w:rPr>
            </w:pPr>
          </w:p>
        </w:tc>
      </w:tr>
    </w:tbl>
    <w:p w14:paraId="6D754991" w14:textId="77777777" w:rsidR="002A2DD2" w:rsidRDefault="002A2DD2" w:rsidP="002A2DD2">
      <w:pPr>
        <w:pStyle w:val="CDIfootnotes"/>
        <w:rPr>
          <w:sz w:val="24"/>
          <w:szCs w:val="24"/>
          <w:lang w:val="en-GB"/>
        </w:rPr>
      </w:pPr>
      <w:proofErr w:type="spellStart"/>
      <w:r>
        <w:rPr>
          <w:lang w:val="en-GB"/>
        </w:rPr>
        <w:t>a</w:t>
      </w:r>
      <w:proofErr w:type="spellEnd"/>
      <w:r>
        <w:rPr>
          <w:lang w:val="en-GB"/>
        </w:rPr>
        <w:tab/>
      </w:r>
      <w:proofErr w:type="gramStart"/>
      <w:r>
        <w:rPr>
          <w:lang w:val="en-GB"/>
        </w:rPr>
        <w:t>For</w:t>
      </w:r>
      <w:proofErr w:type="gramEnd"/>
      <w:r>
        <w:rPr>
          <w:lang w:val="en-GB"/>
        </w:rPr>
        <w:t xml:space="preserve"> this analysis, fully vaccinated was defined as receiving 2 doses &gt; 14 days before the start of the infectious period for of the first case in the household.</w:t>
      </w:r>
    </w:p>
    <w:p w14:paraId="4794207C" w14:textId="77777777" w:rsidR="002A2DD2" w:rsidRDefault="002A2DD2" w:rsidP="002A2DD2">
      <w:pPr>
        <w:pStyle w:val="CDIfootnotes"/>
        <w:rPr>
          <w:lang w:val="en-GB"/>
        </w:rPr>
      </w:pPr>
      <w:r>
        <w:rPr>
          <w:lang w:val="en-GB"/>
        </w:rPr>
        <w:t>b</w:t>
      </w:r>
      <w:r>
        <w:rPr>
          <w:lang w:val="en-GB"/>
        </w:rPr>
        <w:tab/>
        <w:t xml:space="preserve">95% CI: 1.07–7.87; </w:t>
      </w:r>
      <w:r w:rsidRPr="00DF651C">
        <w:rPr>
          <w:i/>
          <w:iCs/>
          <w:lang w:val="en-GB"/>
        </w:rPr>
        <w:t>p</w:t>
      </w:r>
      <w:r>
        <w:rPr>
          <w:lang w:val="en-GB"/>
        </w:rPr>
        <w:t xml:space="preserve"> = 0.003.</w:t>
      </w:r>
    </w:p>
    <w:p w14:paraId="3CA94568" w14:textId="081504D9" w:rsidR="002A2DD2" w:rsidRPr="002A2DD2" w:rsidRDefault="002A2DD2" w:rsidP="002A2DD2">
      <w:pPr>
        <w:sectPr w:rsidR="002A2DD2" w:rsidRPr="002A2DD2" w:rsidSect="00B83A7C">
          <w:footnotePr>
            <w:numFmt w:val="lowerRoman"/>
          </w:footnotePr>
          <w:pgSz w:w="16838" w:h="11906" w:orient="landscape"/>
          <w:pgMar w:top="720" w:right="720" w:bottom="720" w:left="1134" w:header="709" w:footer="284" w:gutter="0"/>
          <w:cols w:space="708"/>
          <w:titlePg/>
          <w:docGrid w:linePitch="360"/>
        </w:sectPr>
      </w:pPr>
    </w:p>
    <w:p w14:paraId="6A5FC7CB" w14:textId="40BA0D9E" w:rsidR="00661052" w:rsidRPr="00661052" w:rsidRDefault="00661052" w:rsidP="00661052">
      <w:pPr>
        <w:pStyle w:val="Heading2"/>
      </w:pPr>
      <w:r w:rsidRPr="00661052">
        <w:lastRenderedPageBreak/>
        <w:t xml:space="preserve">Household transmission </w:t>
      </w:r>
    </w:p>
    <w:p w14:paraId="7780971A" w14:textId="77777777" w:rsidR="00661052" w:rsidRDefault="00661052" w:rsidP="00661052">
      <w:r>
        <w:t xml:space="preserve">Household size ranged from three to six people with a median of four residents. Twelve school-associated cases led to onward transmission within their household. Household attack rates ranged from 33% to 100% of household contacts and the overall attack rate among household contacts was 57% (30/56). Three school-associated cases did not lead to onward transmission at home. The median household size was the same for households with transmission (four residents) and households with no transmission (four residents). </w:t>
      </w:r>
    </w:p>
    <w:p w14:paraId="1B31B0EA" w14:textId="77777777" w:rsidR="00661052" w:rsidRDefault="00661052" w:rsidP="00661052">
      <w:r>
        <w:t xml:space="preserve">The relative risk of a household contact becoming a COVID-19 case was 2.9 times higher (95% CI: 1.07–7.87; </w:t>
      </w:r>
      <w:r w:rsidRPr="00BE1B3E">
        <w:rPr>
          <w:rStyle w:val="Emphasis"/>
          <w:b w:val="0"/>
          <w:bCs w:val="0"/>
        </w:rPr>
        <w:t>p</w:t>
      </w:r>
      <w:r>
        <w:t xml:space="preserve"> = 0.003) among household contacts who were not fully vaccinated than among those who had received two doses of COVID-19 vaccine at least 14 days before the infectious period of the outbreak case (Table 3). </w:t>
      </w:r>
    </w:p>
    <w:p w14:paraId="5C5CCD35" w14:textId="77777777" w:rsidR="00661052" w:rsidRDefault="00661052" w:rsidP="00661052">
      <w:r>
        <w:t xml:space="preserve">The outbreak was declared over on 12 September 2021, fourteen days after the notification of the final household-associated case. </w:t>
      </w:r>
    </w:p>
    <w:p w14:paraId="6F39600A" w14:textId="77777777" w:rsidR="00661052" w:rsidRPr="00661052" w:rsidRDefault="00661052" w:rsidP="00661052">
      <w:pPr>
        <w:pStyle w:val="Heading1"/>
      </w:pPr>
      <w:r w:rsidRPr="00661052">
        <w:t xml:space="preserve">Discussion </w:t>
      </w:r>
    </w:p>
    <w:p w14:paraId="07264E28" w14:textId="77777777" w:rsidR="00661052" w:rsidRDefault="00661052" w:rsidP="00661052">
      <w:r>
        <w:t>This high school outbreak demonstrates the transmission of the Delta variant of COVID-19, in an education setting with limited mitigation measures in place, during a period of low incidence. Masks were not worn during indoor lessons and public health and social measures in place had focused on surface cleaning and hand hygiene. These conditions promoted transmission among young adolescents in class and have been associated with in-school transmission in other COVID-19 outbreaks.</w:t>
      </w:r>
      <w:r>
        <w:rPr>
          <w:vertAlign w:val="superscript"/>
        </w:rPr>
        <w:t xml:space="preserve">7–14 </w:t>
      </w:r>
    </w:p>
    <w:p w14:paraId="63910502" w14:textId="77777777" w:rsidR="00661052" w:rsidRDefault="00661052" w:rsidP="00661052">
      <w:r>
        <w:t>Transmission in this outbreak was largely associated with active, practical lessons that had close contact between students. The drama, PDHPE and concert band classes all involved activities—including students mingling throughout the room, raised voices, physical activity, and playing musical instruments—with greater aerosol-generating potential than did quietly sitting at a desk. Transmission of SARS-CoV-2 has been documented in PDHPE classes in other jurisdictions,</w:t>
      </w:r>
      <w:r>
        <w:rPr>
          <w:vertAlign w:val="superscript"/>
        </w:rPr>
        <w:t>8,9,15,16</w:t>
      </w:r>
      <w:r>
        <w:t xml:space="preserve"> and in classes and extracurricular activities with raised voices from teachers and students.</w:t>
      </w:r>
      <w:r>
        <w:rPr>
          <w:vertAlign w:val="superscript"/>
        </w:rPr>
        <w:t xml:space="preserve">7,11,17,18 </w:t>
      </w:r>
      <w:r>
        <w:t xml:space="preserve">These activities may explain why transmission occurred in these classes and not during didactic lessons, where students are more often passive listeners as a teacher gives a lecture. Practical lessons are core components to student learning and safe face-to-face learning will require adherence to public health and social measures, such as mask wearing among staff and students, and conducting practical lessons outdoors where feasible. </w:t>
      </w:r>
    </w:p>
    <w:p w14:paraId="4D7A0B92" w14:textId="77777777" w:rsidR="00661052" w:rsidRDefault="00661052" w:rsidP="00661052">
      <w:r>
        <w:t>Although schools and students were previously considered to play limited roles in transmission for ancestral strains of SARS-CoV-2 in Australia and internationally,</w:t>
      </w:r>
      <w:r>
        <w:rPr>
          <w:vertAlign w:val="superscript"/>
        </w:rPr>
        <w:t>19–22</w:t>
      </w:r>
      <w:r>
        <w:t xml:space="preserve"> this investigation suggests that new variants may have greater potential for transmission within educational settings. Investigations of outbreak of the B.1.617.2, B.1.1.57 (Alpha), and B.1.1.159 (Omicron) variants within schools have found higher attack rates compared to ancestral strains, and more frequent student-to-student and student-to-staff transmission.</w:t>
      </w:r>
      <w:r>
        <w:rPr>
          <w:vertAlign w:val="superscript"/>
        </w:rPr>
        <w:t>7,11,21,23–26</w:t>
      </w:r>
      <w:r>
        <w:t xml:space="preserve"> The introduction of mask wearing in high schools and of vaccinations for children have been shown to reduce attack rates of the B.1.617.2 variant compared to ancestral SARS-CoV-2 in schools elsewhere in Australia,</w:t>
      </w:r>
      <w:r>
        <w:rPr>
          <w:vertAlign w:val="superscript"/>
        </w:rPr>
        <w:t>21</w:t>
      </w:r>
      <w:r>
        <w:t xml:space="preserve"> demonstrating the value of public health and social measures to reduce transmission. </w:t>
      </w:r>
    </w:p>
    <w:p w14:paraId="5E1AC4D1" w14:textId="77777777" w:rsidR="00661052" w:rsidRDefault="00661052" w:rsidP="00661052">
      <w:r>
        <w:t>It is evident from this outbreak investigation that children experience symptoms and can play an important role in the transmission of the B.1.617.2 variant of COVID-19, particularly when limited public health mitigation measures are in place. Only one child case (2%) in this outbreak reported no symptoms. This is a lower proportion of asymptomatic cases than in previously-reported symptom profiles among children with B.1.617.2 infection.</w:t>
      </w:r>
      <w:r>
        <w:rPr>
          <w:vertAlign w:val="superscript"/>
        </w:rPr>
        <w:t>27–32</w:t>
      </w:r>
      <w:r>
        <w:t xml:space="preserve"> The household attack rate in this outbreak indicates the potential for increased transmissibility of the Delta variant compared with other variants.</w:t>
      </w:r>
      <w:r>
        <w:rPr>
          <w:vertAlign w:val="superscript"/>
        </w:rPr>
        <w:t xml:space="preserve">33–38 </w:t>
      </w:r>
    </w:p>
    <w:p w14:paraId="43FD6B87" w14:textId="77777777" w:rsidR="00661052" w:rsidRDefault="00661052" w:rsidP="00661052">
      <w:r>
        <w:lastRenderedPageBreak/>
        <w:t xml:space="preserve">The findings of this outbreak investigation are subject to some limitations. Firstly, not every student and staff member </w:t>
      </w:r>
      <w:proofErr w:type="gramStart"/>
      <w:r>
        <w:t>was</w:t>
      </w:r>
      <w:proofErr w:type="gramEnd"/>
      <w:r>
        <w:t xml:space="preserve"> recorded in ACT Health’s quarantine database or had testing records identified. This may have resulted in under-ascertainment of cases. Further, the exact number of household contacts of staff and students is unknown, limiting our understanding of the extent of those impacted by the outbreak. Secondly, while all cases were able to be interviewed, the school-specific interviews took place up to two weeks after last attending the school campus. Recall bias may have affected the quality of data collected; the recall was particularly low for the use of toilets and attending non-timetabled areas of the school such as the library or the office. Thirdly, six cases were unable to have their samples sequenced to confirm their lineage and relatedness to other outbreak associated cases. Despite these limitations, these findings demonstrate transmission between young adolescents in an educational setting. </w:t>
      </w:r>
    </w:p>
    <w:p w14:paraId="6C12FF92" w14:textId="77777777" w:rsidR="00661052" w:rsidRDefault="00661052" w:rsidP="00661052">
      <w:r>
        <w:t xml:space="preserve">The transmission events in this outbreak demonstrate that the absence of public health and social measures in a low prevalence setting resulted in rapid spread in an educational setting. Promoting vaccination among eligible populations; mask wearing during class; improving indoor ventilation; encouraging outdoor rest periods and lessons (especially for practical classes); physical distancing of students; and staying home when symptomatic all remain crucial components to limit transmission and to enable a safe face-to-face learning environment for children and school staff. </w:t>
      </w:r>
    </w:p>
    <w:p w14:paraId="2FE3629A" w14:textId="77777777" w:rsidR="00661052" w:rsidRPr="00661052" w:rsidRDefault="00661052" w:rsidP="00661052">
      <w:pPr>
        <w:pStyle w:val="Heading1"/>
      </w:pPr>
      <w:r w:rsidRPr="00661052">
        <w:t xml:space="preserve">Acknowledgements </w:t>
      </w:r>
    </w:p>
    <w:p w14:paraId="414A6A6A" w14:textId="77777777" w:rsidR="00661052" w:rsidRDefault="00661052" w:rsidP="00661052">
      <w:r>
        <w:t xml:space="preserve">The authors would like to thank the following case investigators for their efforts conducting initial case interviews: Charissa Hayward, Regan Bartholomew, Kari </w:t>
      </w:r>
      <w:proofErr w:type="spellStart"/>
      <w:r>
        <w:t>Tveit</w:t>
      </w:r>
      <w:proofErr w:type="spellEnd"/>
      <w:r>
        <w:t xml:space="preserve">, Margaret Curran, Brody Bamford, </w:t>
      </w:r>
      <w:proofErr w:type="spellStart"/>
      <w:r>
        <w:t>Algreg</w:t>
      </w:r>
      <w:proofErr w:type="spellEnd"/>
      <w:r>
        <w:t xml:space="preserve"> Gomez, Gabrielle </w:t>
      </w:r>
      <w:proofErr w:type="spellStart"/>
      <w:r>
        <w:t>Robens</w:t>
      </w:r>
      <w:proofErr w:type="spellEnd"/>
      <w:r>
        <w:t xml:space="preserve">, Leonie Williamson, Yasmin </w:t>
      </w:r>
      <w:proofErr w:type="spellStart"/>
      <w:r>
        <w:t>Lisson</w:t>
      </w:r>
      <w:proofErr w:type="spellEnd"/>
      <w:r>
        <w:t xml:space="preserve">, Mary Brunton, </w:t>
      </w:r>
      <w:proofErr w:type="spellStart"/>
      <w:r>
        <w:t>Aruna</w:t>
      </w:r>
      <w:proofErr w:type="spellEnd"/>
      <w:r>
        <w:t xml:space="preserve"> </w:t>
      </w:r>
      <w:proofErr w:type="spellStart"/>
      <w:r>
        <w:t>Phabmixay</w:t>
      </w:r>
      <w:proofErr w:type="spellEnd"/>
      <w:r>
        <w:t xml:space="preserve">, Christopher Harris, Rebekah Bowman, Pallavi Venkatesh. We also thank Dr Nevada </w:t>
      </w:r>
      <w:proofErr w:type="spellStart"/>
      <w:r>
        <w:t>Pingault</w:t>
      </w:r>
      <w:proofErr w:type="spellEnd"/>
      <w:r>
        <w:t xml:space="preserve"> and Timothy Sloan-Gardner for their review of the manuscript and subsequent suggestions. We would also like to thank the school, the ACT Education Directorate, and Dr Sally Singleton for their collaboration and collation of data. The Master of Philosophy (Applied Epidemiology) (MAE Program) is funded by Australian federal and state and territory health departments.</w:t>
      </w:r>
    </w:p>
    <w:p w14:paraId="5EE12E63" w14:textId="77777777" w:rsidR="00661052" w:rsidRPr="00661052" w:rsidRDefault="00661052" w:rsidP="00661052">
      <w:pPr>
        <w:pStyle w:val="Heading1"/>
      </w:pPr>
      <w:r w:rsidRPr="00661052">
        <w:t xml:space="preserve">Author details </w:t>
      </w:r>
    </w:p>
    <w:p w14:paraId="7FBD698C" w14:textId="77777777" w:rsidR="00661052" w:rsidRDefault="00661052" w:rsidP="00661052">
      <w:r>
        <w:t>Keeley Allen1,2 Alexandra Marmor</w:t>
      </w:r>
      <w:r w:rsidRPr="002C6DB5">
        <w:rPr>
          <w:vertAlign w:val="superscript"/>
        </w:rPr>
        <w:t>2</w:t>
      </w:r>
      <w:r>
        <w:t xml:space="preserve"> Dr </w:t>
      </w:r>
      <w:proofErr w:type="spellStart"/>
      <w:r>
        <w:t>Davoud</w:t>
      </w:r>
      <w:proofErr w:type="spellEnd"/>
      <w:r>
        <w:t xml:space="preserve"> Pourmarzi</w:t>
      </w:r>
      <w:r w:rsidRPr="002C6DB5">
        <w:rPr>
          <w:vertAlign w:val="superscript"/>
        </w:rPr>
        <w:t>1</w:t>
      </w:r>
      <w:r>
        <w:t xml:space="preserve"> </w:t>
      </w:r>
    </w:p>
    <w:p w14:paraId="20871B0B" w14:textId="77777777" w:rsidR="00661052" w:rsidRPr="00661052" w:rsidRDefault="00661052" w:rsidP="00661052">
      <w:pPr>
        <w:pStyle w:val="ListParagraph"/>
        <w:numPr>
          <w:ilvl w:val="0"/>
          <w:numId w:val="9"/>
        </w:numPr>
        <w:rPr>
          <w:rFonts w:eastAsia="Times New Roman"/>
        </w:rPr>
      </w:pPr>
      <w:r w:rsidRPr="00661052">
        <w:rPr>
          <w:rFonts w:eastAsia="Times New Roman"/>
        </w:rPr>
        <w:t xml:space="preserve">National Centre for Epidemiology and Population Health, Australian National University, Acton, ACT, Australia. </w:t>
      </w:r>
    </w:p>
    <w:p w14:paraId="7A254025" w14:textId="77777777" w:rsidR="00661052" w:rsidRPr="00661052" w:rsidRDefault="00661052" w:rsidP="00661052">
      <w:pPr>
        <w:pStyle w:val="ListParagraph"/>
        <w:numPr>
          <w:ilvl w:val="0"/>
          <w:numId w:val="9"/>
        </w:numPr>
        <w:rPr>
          <w:rFonts w:eastAsia="Times New Roman"/>
        </w:rPr>
      </w:pPr>
      <w:r w:rsidRPr="00661052">
        <w:rPr>
          <w:rFonts w:eastAsia="Times New Roman"/>
        </w:rPr>
        <w:t xml:space="preserve">Communicable Disease Control, ACT Health, Holder, ACT, Australia. </w:t>
      </w:r>
    </w:p>
    <w:p w14:paraId="021AD2C4" w14:textId="77777777" w:rsidR="00661052" w:rsidRPr="00661052" w:rsidRDefault="00661052" w:rsidP="002C6DB5">
      <w:pPr>
        <w:pStyle w:val="Heading2"/>
        <w:spacing w:after="200"/>
      </w:pPr>
      <w:r w:rsidRPr="00661052">
        <w:t xml:space="preserve">Corresponding author </w:t>
      </w:r>
    </w:p>
    <w:p w14:paraId="5A145E7A" w14:textId="77777777" w:rsidR="00661052" w:rsidRDefault="00661052" w:rsidP="00661052">
      <w:r>
        <w:t xml:space="preserve">Keeley Allen </w:t>
      </w:r>
    </w:p>
    <w:p w14:paraId="5EFEF829" w14:textId="1696A5C7" w:rsidR="00661052" w:rsidRDefault="00661052" w:rsidP="00661052">
      <w:r>
        <w:t xml:space="preserve">National Centre for Epidemiology and Population Health, Australian National University, Acton, ACT </w:t>
      </w:r>
      <w:r w:rsidR="002C6DB5">
        <w:br/>
      </w:r>
      <w:r>
        <w:t xml:space="preserve">Phone: (02) 5124 6215 </w:t>
      </w:r>
      <w:r w:rsidR="002C6DB5">
        <w:br/>
      </w:r>
      <w:r>
        <w:t>Email address: keeley.allen@anu.edu.au</w:t>
      </w:r>
    </w:p>
    <w:p w14:paraId="752CF522" w14:textId="77777777" w:rsidR="00E821DF" w:rsidRDefault="00E821DF">
      <w:pPr>
        <w:rPr>
          <w:rFonts w:asciiTheme="majorHAnsi" w:eastAsiaTheme="majorEastAsia" w:hAnsiTheme="majorHAnsi" w:cstheme="majorBidi"/>
          <w:b/>
          <w:bCs/>
          <w:sz w:val="32"/>
          <w:szCs w:val="28"/>
        </w:rPr>
      </w:pPr>
      <w:r>
        <w:br w:type="page"/>
      </w:r>
    </w:p>
    <w:p w14:paraId="7683281D" w14:textId="15D706CF" w:rsidR="00661052" w:rsidRPr="00661052" w:rsidRDefault="00661052" w:rsidP="00661052">
      <w:pPr>
        <w:pStyle w:val="Heading1"/>
      </w:pPr>
      <w:r w:rsidRPr="00661052">
        <w:lastRenderedPageBreak/>
        <w:t xml:space="preserve">References </w:t>
      </w:r>
    </w:p>
    <w:p w14:paraId="20A6DDF8" w14:textId="77777777" w:rsidR="00661052" w:rsidRPr="00661052" w:rsidRDefault="00661052" w:rsidP="00661052">
      <w:pPr>
        <w:pStyle w:val="ListParagraph"/>
        <w:numPr>
          <w:ilvl w:val="0"/>
          <w:numId w:val="10"/>
        </w:numPr>
        <w:rPr>
          <w:rFonts w:eastAsia="Times New Roman"/>
        </w:rPr>
      </w:pPr>
      <w:proofErr w:type="gramStart"/>
      <w:r w:rsidRPr="00661052">
        <w:rPr>
          <w:rFonts w:eastAsia="Times New Roman"/>
        </w:rPr>
        <w:t>Australian Capital Territory Government (ACT Government),</w:t>
      </w:r>
      <w:proofErr w:type="gramEnd"/>
      <w:r w:rsidRPr="00661052">
        <w:rPr>
          <w:rFonts w:eastAsia="Times New Roman"/>
        </w:rPr>
        <w:t xml:space="preserve"> ACT Legislation Register. </w:t>
      </w:r>
      <w:r w:rsidRPr="00BE1B3E">
        <w:rPr>
          <w:rStyle w:val="Emphasis"/>
          <w:rFonts w:eastAsia="Times New Roman"/>
          <w:b w:val="0"/>
          <w:bCs w:val="0"/>
        </w:rPr>
        <w:t>Public Health (Lockdown Restrictions) Emergency Direction 2021 (No 1)</w:t>
      </w:r>
      <w:r w:rsidRPr="00661052">
        <w:rPr>
          <w:rFonts w:eastAsia="Times New Roman"/>
        </w:rPr>
        <w:t xml:space="preserve">. ((ACT) NI2021-480). [Legislation.] Canberra: ACT Government; 12 August 2021. Available from: https://www.legislation.act.gov.au/ni/2021-480/. </w:t>
      </w:r>
    </w:p>
    <w:p w14:paraId="3C9E2944" w14:textId="77777777" w:rsidR="00661052" w:rsidRPr="00661052" w:rsidRDefault="00661052" w:rsidP="00661052">
      <w:pPr>
        <w:pStyle w:val="ListParagraph"/>
        <w:numPr>
          <w:ilvl w:val="0"/>
          <w:numId w:val="10"/>
        </w:numPr>
        <w:rPr>
          <w:rFonts w:eastAsia="Times New Roman"/>
        </w:rPr>
      </w:pPr>
      <w:r w:rsidRPr="00661052">
        <w:rPr>
          <w:rFonts w:eastAsia="Times New Roman"/>
        </w:rPr>
        <w:t>ACT Government. COVID-19 vaccine bookings open for 16–</w:t>
      </w:r>
      <w:proofErr w:type="gramStart"/>
      <w:r w:rsidRPr="00661052">
        <w:rPr>
          <w:rFonts w:eastAsia="Times New Roman"/>
        </w:rPr>
        <w:t>29 year old</w:t>
      </w:r>
      <w:proofErr w:type="gramEnd"/>
      <w:r w:rsidRPr="00661052">
        <w:rPr>
          <w:rFonts w:eastAsia="Times New Roman"/>
        </w:rPr>
        <w:t xml:space="preserve"> Canberrans. [Internet.] Canberra: ACT Government; 1 September 2021. Available from: https://www.covid19.act.gov.au/news-articles/covid-19-vaccine-bookings-open-for-16-29-year-old-canberrans. </w:t>
      </w:r>
    </w:p>
    <w:p w14:paraId="1AA1FC0F"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Australian Government Department of Health. Coronavirus Disease 2019 (COVID-19). CDNA National guidelines for public health units. Version 4.7. [Internet.] Canberra: Australian Government Department of Health; 2021. Available from: https://www1.health.gov.au/internet/main/publishing.nsf/Content/cdna-song-novel-coronavirus.htm. </w:t>
      </w:r>
    </w:p>
    <w:p w14:paraId="534F8392" w14:textId="77777777" w:rsidR="00661052" w:rsidRPr="00661052" w:rsidRDefault="00661052" w:rsidP="00661052">
      <w:pPr>
        <w:pStyle w:val="ListParagraph"/>
        <w:numPr>
          <w:ilvl w:val="0"/>
          <w:numId w:val="10"/>
        </w:numPr>
        <w:rPr>
          <w:rFonts w:eastAsia="Times New Roman"/>
        </w:rPr>
      </w:pPr>
      <w:proofErr w:type="gramStart"/>
      <w:r w:rsidRPr="00661052">
        <w:rPr>
          <w:rFonts w:eastAsia="Times New Roman"/>
        </w:rPr>
        <w:t>ACT Government,</w:t>
      </w:r>
      <w:proofErr w:type="gramEnd"/>
      <w:r w:rsidRPr="00661052">
        <w:rPr>
          <w:rFonts w:eastAsia="Times New Roman"/>
        </w:rPr>
        <w:t xml:space="preserve"> ACT Legislation Register. </w:t>
      </w:r>
      <w:r w:rsidRPr="00BE1B3E">
        <w:rPr>
          <w:rStyle w:val="Emphasis"/>
          <w:rFonts w:eastAsia="Times New Roman"/>
          <w:b w:val="0"/>
          <w:bCs w:val="0"/>
        </w:rPr>
        <w:t>Public Health (Diagnosed People and Close Contacts) Emergency Direction 2021 (No 1)</w:t>
      </w:r>
      <w:r w:rsidRPr="00661052">
        <w:rPr>
          <w:rFonts w:eastAsia="Times New Roman"/>
        </w:rPr>
        <w:t xml:space="preserve">. ((ACT) NI2021–421). [Legislation.] Canberra: ACT Government; 9 July 2021. Available from: https://www.legislation.act.gov.au/ni/2021-421/. </w:t>
      </w:r>
    </w:p>
    <w:p w14:paraId="2C7753C1"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Harris PA, Taylor R, Minor BL, Elliott V, Fernandez M, O’Neal L et al. The </w:t>
      </w:r>
      <w:proofErr w:type="spellStart"/>
      <w:r w:rsidRPr="00661052">
        <w:rPr>
          <w:rFonts w:eastAsia="Times New Roman"/>
        </w:rPr>
        <w:t>REDCap</w:t>
      </w:r>
      <w:proofErr w:type="spellEnd"/>
      <w:r w:rsidRPr="00661052">
        <w:rPr>
          <w:rFonts w:eastAsia="Times New Roman"/>
        </w:rPr>
        <w:t xml:space="preserve"> consortium: building an international community of software platform partners. </w:t>
      </w:r>
      <w:r w:rsidRPr="00BE1B3E">
        <w:rPr>
          <w:rStyle w:val="Emphasis"/>
          <w:rFonts w:eastAsia="Times New Roman"/>
          <w:b w:val="0"/>
          <w:bCs w:val="0"/>
        </w:rPr>
        <w:t>J Biomed Inform</w:t>
      </w:r>
      <w:r w:rsidRPr="00661052">
        <w:rPr>
          <w:rFonts w:eastAsia="Times New Roman"/>
        </w:rPr>
        <w:t xml:space="preserve">. </w:t>
      </w:r>
      <w:proofErr w:type="gramStart"/>
      <w:r w:rsidRPr="00661052">
        <w:rPr>
          <w:rFonts w:eastAsia="Times New Roman"/>
        </w:rPr>
        <w:t>2019;95:103208</w:t>
      </w:r>
      <w:proofErr w:type="gramEnd"/>
      <w:r w:rsidRPr="00661052">
        <w:rPr>
          <w:rFonts w:eastAsia="Times New Roman"/>
        </w:rPr>
        <w:t xml:space="preserve">. </w:t>
      </w:r>
      <w:proofErr w:type="spellStart"/>
      <w:r w:rsidRPr="00661052">
        <w:rPr>
          <w:rFonts w:eastAsia="Times New Roman"/>
        </w:rPr>
        <w:t>doi</w:t>
      </w:r>
      <w:proofErr w:type="spellEnd"/>
      <w:r w:rsidRPr="00661052">
        <w:rPr>
          <w:rFonts w:eastAsia="Times New Roman"/>
        </w:rPr>
        <w:t xml:space="preserve">: https://doi.org/10.1016/j.jbi.2019.103208. </w:t>
      </w:r>
    </w:p>
    <w:p w14:paraId="78D4D32D"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Harris PA, Taylor R, </w:t>
      </w:r>
      <w:proofErr w:type="spellStart"/>
      <w:r w:rsidRPr="00661052">
        <w:rPr>
          <w:rFonts w:eastAsia="Times New Roman"/>
        </w:rPr>
        <w:t>Thielke</w:t>
      </w:r>
      <w:proofErr w:type="spellEnd"/>
      <w:r w:rsidRPr="00661052">
        <w:rPr>
          <w:rFonts w:eastAsia="Times New Roman"/>
        </w:rPr>
        <w:t xml:space="preserve"> R, Payne J, Gonzalez N, Conde JG. Research electronic data capture (</w:t>
      </w:r>
      <w:proofErr w:type="spellStart"/>
      <w:r w:rsidRPr="00661052">
        <w:rPr>
          <w:rFonts w:eastAsia="Times New Roman"/>
        </w:rPr>
        <w:t>REDCap</w:t>
      </w:r>
      <w:proofErr w:type="spellEnd"/>
      <w:r w:rsidRPr="00661052">
        <w:rPr>
          <w:rFonts w:eastAsia="Times New Roman"/>
        </w:rPr>
        <w:t xml:space="preserve">)—a metadata-driven methodology and workflow process for providing translational research informatics support. </w:t>
      </w:r>
      <w:r w:rsidRPr="00BE1B3E">
        <w:rPr>
          <w:rStyle w:val="Emphasis"/>
          <w:rFonts w:eastAsia="Times New Roman"/>
          <w:b w:val="0"/>
          <w:bCs w:val="0"/>
        </w:rPr>
        <w:t>J Biomed Inform</w:t>
      </w:r>
      <w:r w:rsidRPr="00661052">
        <w:rPr>
          <w:rFonts w:eastAsia="Times New Roman"/>
        </w:rPr>
        <w:t xml:space="preserve">. 2009;42(2):377–81. </w:t>
      </w:r>
      <w:proofErr w:type="spellStart"/>
      <w:r w:rsidRPr="00661052">
        <w:rPr>
          <w:rFonts w:eastAsia="Times New Roman"/>
        </w:rPr>
        <w:t>doi</w:t>
      </w:r>
      <w:proofErr w:type="spellEnd"/>
      <w:r w:rsidRPr="00661052">
        <w:rPr>
          <w:rFonts w:eastAsia="Times New Roman"/>
        </w:rPr>
        <w:t xml:space="preserve">: https//doi.org/10.1016/j.jbi.2008.08.010. </w:t>
      </w:r>
    </w:p>
    <w:p w14:paraId="17B64ACE"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Baumgarte</w:t>
      </w:r>
      <w:proofErr w:type="spellEnd"/>
      <w:r w:rsidRPr="00661052">
        <w:rPr>
          <w:rFonts w:eastAsia="Times New Roman"/>
        </w:rPr>
        <w:t xml:space="preserve"> S, </w:t>
      </w:r>
      <w:proofErr w:type="spellStart"/>
      <w:r w:rsidRPr="00661052">
        <w:rPr>
          <w:rFonts w:eastAsia="Times New Roman"/>
        </w:rPr>
        <w:t>Hartkopf</w:t>
      </w:r>
      <w:proofErr w:type="spellEnd"/>
      <w:r w:rsidRPr="00661052">
        <w:rPr>
          <w:rFonts w:eastAsia="Times New Roman"/>
        </w:rPr>
        <w:t xml:space="preserve"> F, </w:t>
      </w:r>
      <w:proofErr w:type="spellStart"/>
      <w:r w:rsidRPr="00661052">
        <w:rPr>
          <w:rFonts w:eastAsia="Times New Roman"/>
        </w:rPr>
        <w:t>Hölzer</w:t>
      </w:r>
      <w:proofErr w:type="spellEnd"/>
      <w:r w:rsidRPr="00661052">
        <w:rPr>
          <w:rFonts w:eastAsia="Times New Roman"/>
        </w:rPr>
        <w:t xml:space="preserve"> M, von Kleist M, </w:t>
      </w:r>
      <w:proofErr w:type="spellStart"/>
      <w:r w:rsidRPr="00661052">
        <w:rPr>
          <w:rFonts w:eastAsia="Times New Roman"/>
        </w:rPr>
        <w:t>Neitz</w:t>
      </w:r>
      <w:proofErr w:type="spellEnd"/>
      <w:r w:rsidRPr="00661052">
        <w:rPr>
          <w:rFonts w:eastAsia="Times New Roman"/>
        </w:rPr>
        <w:t xml:space="preserve"> S, </w:t>
      </w:r>
      <w:proofErr w:type="spellStart"/>
      <w:r w:rsidRPr="00661052">
        <w:rPr>
          <w:rFonts w:eastAsia="Times New Roman"/>
        </w:rPr>
        <w:t>Kriegel</w:t>
      </w:r>
      <w:proofErr w:type="spellEnd"/>
      <w:r w:rsidRPr="00661052">
        <w:rPr>
          <w:rFonts w:eastAsia="Times New Roman"/>
        </w:rPr>
        <w:t xml:space="preserve"> M et al. Investigation of a limited but explosive COVID-19 outbreak in a German secondary school. </w:t>
      </w:r>
      <w:r w:rsidRPr="00BE1B3E">
        <w:rPr>
          <w:rStyle w:val="Emphasis"/>
          <w:rFonts w:eastAsia="Times New Roman"/>
          <w:b w:val="0"/>
          <w:bCs w:val="0"/>
        </w:rPr>
        <w:t>Viruses</w:t>
      </w:r>
      <w:r w:rsidRPr="00661052">
        <w:rPr>
          <w:rFonts w:eastAsia="Times New Roman"/>
        </w:rPr>
        <w:t xml:space="preserve">. 2022;14(1):87. </w:t>
      </w:r>
      <w:proofErr w:type="spellStart"/>
      <w:r w:rsidRPr="00661052">
        <w:rPr>
          <w:rFonts w:eastAsia="Times New Roman"/>
        </w:rPr>
        <w:t>doi</w:t>
      </w:r>
      <w:proofErr w:type="spellEnd"/>
      <w:r w:rsidRPr="00661052">
        <w:rPr>
          <w:rFonts w:eastAsia="Times New Roman"/>
        </w:rPr>
        <w:t xml:space="preserve">: https://doi.org/10.3390/v14010087. </w:t>
      </w:r>
    </w:p>
    <w:p w14:paraId="47607237"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Gettings</w:t>
      </w:r>
      <w:proofErr w:type="spellEnd"/>
      <w:r w:rsidRPr="00661052">
        <w:rPr>
          <w:rFonts w:eastAsia="Times New Roman"/>
        </w:rPr>
        <w:t xml:space="preserve"> JR, Gold JAW, Kimball A, Forsberg K, Scott C, Uehara A et al. SARS-CoV-2 transmission in a Georgia school district – United States, December 2020–January 2021. </w:t>
      </w:r>
      <w:r w:rsidRPr="00BE1B3E">
        <w:rPr>
          <w:rStyle w:val="Emphasis"/>
          <w:rFonts w:eastAsia="Times New Roman"/>
          <w:b w:val="0"/>
          <w:bCs w:val="0"/>
        </w:rPr>
        <w:t>Clin Infect Dis</w:t>
      </w:r>
      <w:r w:rsidRPr="00661052">
        <w:rPr>
          <w:rFonts w:eastAsia="Times New Roman"/>
        </w:rPr>
        <w:t xml:space="preserve">. 2022;74(2):319–26. </w:t>
      </w:r>
      <w:proofErr w:type="spellStart"/>
      <w:r w:rsidRPr="00661052">
        <w:rPr>
          <w:rFonts w:eastAsia="Times New Roman"/>
        </w:rPr>
        <w:t>doi</w:t>
      </w:r>
      <w:proofErr w:type="spellEnd"/>
      <w:r w:rsidRPr="00661052">
        <w:rPr>
          <w:rFonts w:eastAsia="Times New Roman"/>
        </w:rPr>
        <w:t xml:space="preserve">: https://doi.org/10.1093/cid/ciab332. </w:t>
      </w:r>
    </w:p>
    <w:p w14:paraId="5A0A765B"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Gold JAW, </w:t>
      </w:r>
      <w:proofErr w:type="spellStart"/>
      <w:r w:rsidRPr="00661052">
        <w:rPr>
          <w:rFonts w:eastAsia="Times New Roman"/>
        </w:rPr>
        <w:t>Gettings</w:t>
      </w:r>
      <w:proofErr w:type="spellEnd"/>
      <w:r w:rsidRPr="00661052">
        <w:rPr>
          <w:rFonts w:eastAsia="Times New Roman"/>
        </w:rPr>
        <w:t xml:space="preserve"> JR, Kimball A, Franklin R, Rivera G, Morris E et al. Clusters of SARS-CoV-2 infection among elementary school educators and students in one school district – Georgia, December 2020–January 2021.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2021;70(8):289–92. </w:t>
      </w:r>
      <w:proofErr w:type="spellStart"/>
      <w:r w:rsidRPr="00661052">
        <w:rPr>
          <w:rFonts w:eastAsia="Times New Roman"/>
        </w:rPr>
        <w:t>doi</w:t>
      </w:r>
      <w:proofErr w:type="spellEnd"/>
      <w:r w:rsidRPr="00661052">
        <w:rPr>
          <w:rFonts w:eastAsia="Times New Roman"/>
        </w:rPr>
        <w:t xml:space="preserve">: https://doi.org/10.15585/mmwr.mm7008e4. </w:t>
      </w:r>
    </w:p>
    <w:p w14:paraId="5E6B5ABF"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Jehn</w:t>
      </w:r>
      <w:proofErr w:type="spellEnd"/>
      <w:r w:rsidRPr="00661052">
        <w:rPr>
          <w:rFonts w:eastAsia="Times New Roman"/>
        </w:rPr>
        <w:t xml:space="preserve"> M, McCullough JM, Dale AP, </w:t>
      </w:r>
      <w:proofErr w:type="spellStart"/>
      <w:r w:rsidRPr="00661052">
        <w:rPr>
          <w:rFonts w:eastAsia="Times New Roman"/>
        </w:rPr>
        <w:t>Gue</w:t>
      </w:r>
      <w:proofErr w:type="spellEnd"/>
      <w:r w:rsidRPr="00661052">
        <w:rPr>
          <w:rFonts w:eastAsia="Times New Roman"/>
        </w:rPr>
        <w:t xml:space="preserve"> M, Eller B, Cullen T et al. Association between K–12 school mask policies and school-associated COVID-19 outbreaks – Maricopa and Pima Counties, Arizona, July–August 2021.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2021;70(39):1372–3. </w:t>
      </w:r>
      <w:proofErr w:type="spellStart"/>
      <w:r w:rsidRPr="00661052">
        <w:rPr>
          <w:rFonts w:eastAsia="Times New Roman"/>
        </w:rPr>
        <w:t>doi</w:t>
      </w:r>
      <w:proofErr w:type="spellEnd"/>
      <w:r w:rsidRPr="00661052">
        <w:rPr>
          <w:rFonts w:eastAsia="Times New Roman"/>
        </w:rPr>
        <w:t xml:space="preserve">: https://doi.org/10.15585/mmwr.mm7039e1. </w:t>
      </w:r>
    </w:p>
    <w:p w14:paraId="57853B7C" w14:textId="77777777" w:rsidR="00661052" w:rsidRPr="00661052" w:rsidRDefault="00661052" w:rsidP="00661052">
      <w:pPr>
        <w:pStyle w:val="ListParagraph"/>
        <w:numPr>
          <w:ilvl w:val="0"/>
          <w:numId w:val="10"/>
        </w:numPr>
        <w:rPr>
          <w:rFonts w:eastAsia="Times New Roman"/>
        </w:rPr>
      </w:pPr>
      <w:r w:rsidRPr="00661052">
        <w:rPr>
          <w:rFonts w:eastAsia="Times New Roman"/>
        </w:rPr>
        <w:t>Lam-Hine T, McCurdy SA, Santora L, Duncan L, Corbett-</w:t>
      </w:r>
      <w:proofErr w:type="spellStart"/>
      <w:r w:rsidRPr="00661052">
        <w:rPr>
          <w:rFonts w:eastAsia="Times New Roman"/>
        </w:rPr>
        <w:t>Detig</w:t>
      </w:r>
      <w:proofErr w:type="spellEnd"/>
      <w:r w:rsidRPr="00661052">
        <w:rPr>
          <w:rFonts w:eastAsia="Times New Roman"/>
        </w:rPr>
        <w:t xml:space="preserve"> R, </w:t>
      </w:r>
      <w:proofErr w:type="spellStart"/>
      <w:r w:rsidRPr="00661052">
        <w:rPr>
          <w:rFonts w:eastAsia="Times New Roman"/>
        </w:rPr>
        <w:t>Kapusinszky</w:t>
      </w:r>
      <w:proofErr w:type="spellEnd"/>
      <w:r w:rsidRPr="00661052">
        <w:rPr>
          <w:rFonts w:eastAsia="Times New Roman"/>
        </w:rPr>
        <w:t xml:space="preserve"> B et al. Outbreak associated with SARS-CoV-2 B.1.617.2 (Delta) variant in an elementary school – Marin County, California, May–June 2021.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2021;70(35):1214–9. </w:t>
      </w:r>
      <w:proofErr w:type="spellStart"/>
      <w:r w:rsidRPr="00661052">
        <w:rPr>
          <w:rFonts w:eastAsia="Times New Roman"/>
        </w:rPr>
        <w:t>doi</w:t>
      </w:r>
      <w:proofErr w:type="spellEnd"/>
      <w:r w:rsidRPr="00661052">
        <w:rPr>
          <w:rFonts w:eastAsia="Times New Roman"/>
        </w:rPr>
        <w:t xml:space="preserve">: https://doi.org/10.15585/mmwr.mm7035e2. </w:t>
      </w:r>
    </w:p>
    <w:p w14:paraId="2D47E5AE"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Schoeps</w:t>
      </w:r>
      <w:proofErr w:type="spellEnd"/>
      <w:r w:rsidRPr="00661052">
        <w:rPr>
          <w:rFonts w:eastAsia="Times New Roman"/>
        </w:rPr>
        <w:t xml:space="preserve"> A, Hoffmann D, Tamm C, Vollmer B, Haag S, </w:t>
      </w:r>
      <w:proofErr w:type="spellStart"/>
      <w:r w:rsidRPr="00661052">
        <w:rPr>
          <w:rFonts w:eastAsia="Times New Roman"/>
        </w:rPr>
        <w:t>Kaffenberger</w:t>
      </w:r>
      <w:proofErr w:type="spellEnd"/>
      <w:r w:rsidRPr="00661052">
        <w:rPr>
          <w:rFonts w:eastAsia="Times New Roman"/>
        </w:rPr>
        <w:t xml:space="preserve"> T et al. Surveillance of SARS-CoV-2 transmission in educational institutions, August to December 2020, Germany. </w:t>
      </w:r>
      <w:r w:rsidRPr="00BE1B3E">
        <w:rPr>
          <w:rStyle w:val="Emphasis"/>
          <w:rFonts w:eastAsia="Times New Roman"/>
          <w:b w:val="0"/>
          <w:bCs w:val="0"/>
        </w:rPr>
        <w:t>Epidemiol Infect</w:t>
      </w:r>
      <w:r w:rsidRPr="00661052">
        <w:rPr>
          <w:rFonts w:eastAsia="Times New Roman"/>
        </w:rPr>
        <w:t>. 2021;</w:t>
      </w:r>
      <w:proofErr w:type="gramStart"/>
      <w:r w:rsidRPr="00661052">
        <w:rPr>
          <w:rFonts w:eastAsia="Times New Roman"/>
        </w:rPr>
        <w:t>149:e</w:t>
      </w:r>
      <w:proofErr w:type="gramEnd"/>
      <w:r w:rsidRPr="00661052">
        <w:rPr>
          <w:rFonts w:eastAsia="Times New Roman"/>
        </w:rPr>
        <w:t xml:space="preserve">213. </w:t>
      </w:r>
      <w:proofErr w:type="spellStart"/>
      <w:r w:rsidRPr="00661052">
        <w:rPr>
          <w:rFonts w:eastAsia="Times New Roman"/>
        </w:rPr>
        <w:t>doi</w:t>
      </w:r>
      <w:proofErr w:type="spellEnd"/>
      <w:r w:rsidRPr="00661052">
        <w:rPr>
          <w:rFonts w:eastAsia="Times New Roman"/>
        </w:rPr>
        <w:t xml:space="preserve">: https://doi.org/10.1017/S0950268821002077. </w:t>
      </w:r>
    </w:p>
    <w:p w14:paraId="3A4311B0"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Stein-Zamir C, Abramson N, </w:t>
      </w:r>
      <w:proofErr w:type="spellStart"/>
      <w:r w:rsidRPr="00661052">
        <w:rPr>
          <w:rFonts w:eastAsia="Times New Roman"/>
        </w:rPr>
        <w:t>Shoob</w:t>
      </w:r>
      <w:proofErr w:type="spellEnd"/>
      <w:r w:rsidRPr="00661052">
        <w:rPr>
          <w:rFonts w:eastAsia="Times New Roman"/>
        </w:rPr>
        <w:t xml:space="preserve"> H, </w:t>
      </w:r>
      <w:proofErr w:type="spellStart"/>
      <w:r w:rsidRPr="00661052">
        <w:rPr>
          <w:rFonts w:eastAsia="Times New Roman"/>
        </w:rPr>
        <w:t>Libal</w:t>
      </w:r>
      <w:proofErr w:type="spellEnd"/>
      <w:r w:rsidRPr="00661052">
        <w:rPr>
          <w:rFonts w:eastAsia="Times New Roman"/>
        </w:rPr>
        <w:t xml:space="preserve"> E, </w:t>
      </w:r>
      <w:proofErr w:type="spellStart"/>
      <w:r w:rsidRPr="00661052">
        <w:rPr>
          <w:rFonts w:eastAsia="Times New Roman"/>
        </w:rPr>
        <w:t>Bitan</w:t>
      </w:r>
      <w:proofErr w:type="spellEnd"/>
      <w:r w:rsidRPr="00661052">
        <w:rPr>
          <w:rFonts w:eastAsia="Times New Roman"/>
        </w:rPr>
        <w:t xml:space="preserve"> M, </w:t>
      </w:r>
      <w:proofErr w:type="spellStart"/>
      <w:r w:rsidRPr="00661052">
        <w:rPr>
          <w:rFonts w:eastAsia="Times New Roman"/>
        </w:rPr>
        <w:t>Cardash</w:t>
      </w:r>
      <w:proofErr w:type="spellEnd"/>
      <w:r w:rsidRPr="00661052">
        <w:rPr>
          <w:rFonts w:eastAsia="Times New Roman"/>
        </w:rPr>
        <w:t xml:space="preserve"> T et al. A large COVID-19 outbreak in a high school 10 days after schools’ reopening, Israel, May 2020. </w:t>
      </w:r>
      <w:r w:rsidRPr="00BE1B3E">
        <w:rPr>
          <w:rStyle w:val="Emphasis"/>
          <w:rFonts w:eastAsia="Times New Roman"/>
          <w:b w:val="0"/>
          <w:bCs w:val="0"/>
        </w:rPr>
        <w:t xml:space="preserve">Euro </w:t>
      </w:r>
      <w:proofErr w:type="spellStart"/>
      <w:r w:rsidRPr="00BE1B3E">
        <w:rPr>
          <w:rStyle w:val="Emphasis"/>
          <w:rFonts w:eastAsia="Times New Roman"/>
          <w:b w:val="0"/>
          <w:bCs w:val="0"/>
        </w:rPr>
        <w:t>Surveill</w:t>
      </w:r>
      <w:proofErr w:type="spellEnd"/>
      <w:r w:rsidRPr="00661052">
        <w:rPr>
          <w:rFonts w:eastAsia="Times New Roman"/>
        </w:rPr>
        <w:t xml:space="preserve">. 2020;25(29):2001352. </w:t>
      </w:r>
      <w:proofErr w:type="spellStart"/>
      <w:r w:rsidRPr="00661052">
        <w:rPr>
          <w:rFonts w:eastAsia="Times New Roman"/>
        </w:rPr>
        <w:t>doi</w:t>
      </w:r>
      <w:proofErr w:type="spellEnd"/>
      <w:r w:rsidRPr="00661052">
        <w:rPr>
          <w:rFonts w:eastAsia="Times New Roman"/>
        </w:rPr>
        <w:t xml:space="preserve">: https://doi.org/10.2807/1560-7917.ES.2020.25.29.2001352. </w:t>
      </w:r>
    </w:p>
    <w:p w14:paraId="3A0A5FBC"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Torres JP, </w:t>
      </w:r>
      <w:proofErr w:type="spellStart"/>
      <w:r w:rsidRPr="00661052">
        <w:rPr>
          <w:rFonts w:eastAsia="Times New Roman"/>
        </w:rPr>
        <w:t>Piñera</w:t>
      </w:r>
      <w:proofErr w:type="spellEnd"/>
      <w:r w:rsidRPr="00661052">
        <w:rPr>
          <w:rFonts w:eastAsia="Times New Roman"/>
        </w:rPr>
        <w:t xml:space="preserve"> C, De La </w:t>
      </w:r>
      <w:proofErr w:type="spellStart"/>
      <w:r w:rsidRPr="00661052">
        <w:rPr>
          <w:rFonts w:eastAsia="Times New Roman"/>
        </w:rPr>
        <w:t>Maza</w:t>
      </w:r>
      <w:proofErr w:type="spellEnd"/>
      <w:r w:rsidRPr="00661052">
        <w:rPr>
          <w:rFonts w:eastAsia="Times New Roman"/>
        </w:rPr>
        <w:t xml:space="preserve"> V, </w:t>
      </w:r>
      <w:proofErr w:type="spellStart"/>
      <w:r w:rsidRPr="00661052">
        <w:rPr>
          <w:rFonts w:eastAsia="Times New Roman"/>
        </w:rPr>
        <w:t>Lagomarcino</w:t>
      </w:r>
      <w:proofErr w:type="spellEnd"/>
      <w:r w:rsidRPr="00661052">
        <w:rPr>
          <w:rFonts w:eastAsia="Times New Roman"/>
        </w:rPr>
        <w:t xml:space="preserve"> AJ, Simian D, Torres B et al. Severe acute respiratory syndrome coronavirus 2 antibody prevalence in blood in a large school community subject to a coronavirus </w:t>
      </w:r>
      <w:r w:rsidRPr="00661052">
        <w:rPr>
          <w:rFonts w:eastAsia="Times New Roman"/>
        </w:rPr>
        <w:lastRenderedPageBreak/>
        <w:t xml:space="preserve">disease 2019 outbreak: a cross-sectional study. </w:t>
      </w:r>
      <w:r w:rsidRPr="00BE1B3E">
        <w:rPr>
          <w:rStyle w:val="Emphasis"/>
          <w:rFonts w:eastAsia="Times New Roman"/>
          <w:b w:val="0"/>
          <w:bCs w:val="0"/>
        </w:rPr>
        <w:t>Clin Infect Dis</w:t>
      </w:r>
      <w:r w:rsidRPr="00661052">
        <w:rPr>
          <w:rFonts w:eastAsia="Times New Roman"/>
        </w:rPr>
        <w:t>. 2021;73(2</w:t>
      </w:r>
      <w:proofErr w:type="gramStart"/>
      <w:r w:rsidRPr="00661052">
        <w:rPr>
          <w:rFonts w:eastAsia="Times New Roman"/>
        </w:rPr>
        <w:t>):e</w:t>
      </w:r>
      <w:proofErr w:type="gramEnd"/>
      <w:r w:rsidRPr="00661052">
        <w:rPr>
          <w:rFonts w:eastAsia="Times New Roman"/>
        </w:rPr>
        <w:t xml:space="preserve">458–65. </w:t>
      </w:r>
      <w:proofErr w:type="spellStart"/>
      <w:r w:rsidRPr="00661052">
        <w:rPr>
          <w:rFonts w:eastAsia="Times New Roman"/>
        </w:rPr>
        <w:t>doi</w:t>
      </w:r>
      <w:proofErr w:type="spellEnd"/>
      <w:r w:rsidRPr="00661052">
        <w:rPr>
          <w:rFonts w:eastAsia="Times New Roman"/>
        </w:rPr>
        <w:t xml:space="preserve">: https://doi.org/10.1093/cid/ciaa955. </w:t>
      </w:r>
    </w:p>
    <w:p w14:paraId="3B077E1F"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Atherstone</w:t>
      </w:r>
      <w:proofErr w:type="spellEnd"/>
      <w:r w:rsidRPr="00661052">
        <w:rPr>
          <w:rFonts w:eastAsia="Times New Roman"/>
        </w:rPr>
        <w:t xml:space="preserve"> C, Siegel M, Schmitt-</w:t>
      </w:r>
      <w:proofErr w:type="spellStart"/>
      <w:r w:rsidRPr="00661052">
        <w:rPr>
          <w:rFonts w:eastAsia="Times New Roman"/>
        </w:rPr>
        <w:t>Matzen</w:t>
      </w:r>
      <w:proofErr w:type="spellEnd"/>
      <w:r w:rsidRPr="00661052">
        <w:rPr>
          <w:rFonts w:eastAsia="Times New Roman"/>
        </w:rPr>
        <w:t xml:space="preserve"> E, </w:t>
      </w:r>
      <w:proofErr w:type="spellStart"/>
      <w:r w:rsidRPr="00661052">
        <w:rPr>
          <w:rFonts w:eastAsia="Times New Roman"/>
        </w:rPr>
        <w:t>Sjoblom</w:t>
      </w:r>
      <w:proofErr w:type="spellEnd"/>
      <w:r w:rsidRPr="00661052">
        <w:rPr>
          <w:rFonts w:eastAsia="Times New Roman"/>
        </w:rPr>
        <w:t xml:space="preserve"> S, Jackson J, Blackmore C et al. SARS-CoV-2 transmission associated with high school wrestling tournaments – Florida, December 2020–January 2021.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2021;70(4):141–3. </w:t>
      </w:r>
      <w:proofErr w:type="spellStart"/>
      <w:r w:rsidRPr="00661052">
        <w:rPr>
          <w:rFonts w:eastAsia="Times New Roman"/>
        </w:rPr>
        <w:t>doi</w:t>
      </w:r>
      <w:proofErr w:type="spellEnd"/>
      <w:r w:rsidRPr="00661052">
        <w:rPr>
          <w:rFonts w:eastAsia="Times New Roman"/>
        </w:rPr>
        <w:t xml:space="preserve">: https://doi.org/10.15585/mmwr.mm7004e4. </w:t>
      </w:r>
    </w:p>
    <w:p w14:paraId="297E4866"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Zimmerman KO, Brookhart MA, Kalu IC, </w:t>
      </w:r>
      <w:proofErr w:type="spellStart"/>
      <w:r w:rsidRPr="00661052">
        <w:rPr>
          <w:rFonts w:eastAsia="Times New Roman"/>
        </w:rPr>
        <w:t>Boutzoukas</w:t>
      </w:r>
      <w:proofErr w:type="spellEnd"/>
      <w:r w:rsidRPr="00661052">
        <w:rPr>
          <w:rFonts w:eastAsia="Times New Roman"/>
        </w:rPr>
        <w:t xml:space="preserve"> AE, McGann KA, Smith MJ et al. Community SARS-CoV-2 surge and within-school transmission. </w:t>
      </w:r>
      <w:proofErr w:type="spellStart"/>
      <w:r w:rsidRPr="00BE1B3E">
        <w:rPr>
          <w:rStyle w:val="Emphasis"/>
          <w:rFonts w:eastAsia="Times New Roman"/>
          <w:b w:val="0"/>
          <w:bCs w:val="0"/>
        </w:rPr>
        <w:t>Pediatrics</w:t>
      </w:r>
      <w:proofErr w:type="spellEnd"/>
      <w:r w:rsidRPr="00661052">
        <w:rPr>
          <w:rFonts w:eastAsia="Times New Roman"/>
        </w:rPr>
        <w:t xml:space="preserve">. 2021;148(4). </w:t>
      </w:r>
      <w:proofErr w:type="spellStart"/>
      <w:r w:rsidRPr="00661052">
        <w:rPr>
          <w:rFonts w:eastAsia="Times New Roman"/>
        </w:rPr>
        <w:t>doi</w:t>
      </w:r>
      <w:proofErr w:type="spellEnd"/>
      <w:r w:rsidRPr="00661052">
        <w:rPr>
          <w:rFonts w:eastAsia="Times New Roman"/>
        </w:rPr>
        <w:t xml:space="preserve">: https://doi.org/10.1542/peds.2021-052686. </w:t>
      </w:r>
    </w:p>
    <w:p w14:paraId="6CAC426D" w14:textId="77777777" w:rsidR="00661052" w:rsidRPr="00661052" w:rsidRDefault="00661052" w:rsidP="00661052">
      <w:pPr>
        <w:pStyle w:val="ListParagraph"/>
        <w:numPr>
          <w:ilvl w:val="0"/>
          <w:numId w:val="10"/>
        </w:numPr>
        <w:rPr>
          <w:rFonts w:eastAsia="Times New Roman"/>
        </w:rPr>
      </w:pPr>
      <w:r w:rsidRPr="00661052">
        <w:rPr>
          <w:rFonts w:eastAsia="Times New Roman"/>
        </w:rPr>
        <w:t>Pray IW, Gibbons-</w:t>
      </w:r>
      <w:proofErr w:type="spellStart"/>
      <w:r w:rsidRPr="00661052">
        <w:rPr>
          <w:rFonts w:eastAsia="Times New Roman"/>
        </w:rPr>
        <w:t>Burgener</w:t>
      </w:r>
      <w:proofErr w:type="spellEnd"/>
      <w:r w:rsidRPr="00661052">
        <w:rPr>
          <w:rFonts w:eastAsia="Times New Roman"/>
        </w:rPr>
        <w:t xml:space="preserve"> SN, Rosenberg AZ, Cole D, </w:t>
      </w:r>
      <w:proofErr w:type="spellStart"/>
      <w:r w:rsidRPr="00661052">
        <w:rPr>
          <w:rFonts w:eastAsia="Times New Roman"/>
        </w:rPr>
        <w:t>Borenstein</w:t>
      </w:r>
      <w:proofErr w:type="spellEnd"/>
      <w:r w:rsidRPr="00661052">
        <w:rPr>
          <w:rFonts w:eastAsia="Times New Roman"/>
        </w:rPr>
        <w:t xml:space="preserve"> S, Bateman A et al. COVID-19 outbreak at an overnight summer school retreat – Wisconsin, July-August 2020.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2020;69(43):1600–4. </w:t>
      </w:r>
      <w:proofErr w:type="spellStart"/>
      <w:r w:rsidRPr="00661052">
        <w:rPr>
          <w:rFonts w:eastAsia="Times New Roman"/>
        </w:rPr>
        <w:t>doi</w:t>
      </w:r>
      <w:proofErr w:type="spellEnd"/>
      <w:r w:rsidRPr="00661052">
        <w:rPr>
          <w:rFonts w:eastAsia="Times New Roman"/>
        </w:rPr>
        <w:t xml:space="preserve">: https://doi.org/10.15585/mmwr.mm6943a4. </w:t>
      </w:r>
    </w:p>
    <w:p w14:paraId="277D337B"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Vishnu Prasad S, Mukherjee G, </w:t>
      </w:r>
      <w:proofErr w:type="spellStart"/>
      <w:r w:rsidRPr="00661052">
        <w:rPr>
          <w:rFonts w:eastAsia="Times New Roman"/>
        </w:rPr>
        <w:t>Bobdey</w:t>
      </w:r>
      <w:proofErr w:type="spellEnd"/>
      <w:r w:rsidRPr="00661052">
        <w:rPr>
          <w:rFonts w:eastAsia="Times New Roman"/>
        </w:rPr>
        <w:t xml:space="preserve"> S, Kaushik SK, Yadav AK, </w:t>
      </w:r>
      <w:proofErr w:type="spellStart"/>
      <w:r w:rsidRPr="00661052">
        <w:rPr>
          <w:rFonts w:eastAsia="Times New Roman"/>
        </w:rPr>
        <w:t>Teli</w:t>
      </w:r>
      <w:proofErr w:type="spellEnd"/>
      <w:r w:rsidRPr="00661052">
        <w:rPr>
          <w:rFonts w:eastAsia="Times New Roman"/>
        </w:rPr>
        <w:t xml:space="preserve"> P et al. Epidemiological analysis of SARS-COV-2 B.1.617.2 (delta variant) transmission in an educational institute. </w:t>
      </w:r>
      <w:r w:rsidRPr="00BE1B3E">
        <w:rPr>
          <w:rStyle w:val="Emphasis"/>
          <w:rFonts w:eastAsia="Times New Roman"/>
          <w:b w:val="0"/>
          <w:bCs w:val="0"/>
        </w:rPr>
        <w:t>Med J Armed Forces India</w:t>
      </w:r>
      <w:r w:rsidRPr="00661052">
        <w:rPr>
          <w:rFonts w:eastAsia="Times New Roman"/>
        </w:rPr>
        <w:t xml:space="preserve">. 2022. </w:t>
      </w:r>
      <w:proofErr w:type="spellStart"/>
      <w:r w:rsidRPr="00661052">
        <w:rPr>
          <w:rFonts w:eastAsia="Times New Roman"/>
        </w:rPr>
        <w:t>doi</w:t>
      </w:r>
      <w:proofErr w:type="spellEnd"/>
      <w:r w:rsidRPr="00661052">
        <w:rPr>
          <w:rFonts w:eastAsia="Times New Roman"/>
        </w:rPr>
        <w:t xml:space="preserve">: https://doi.org/10.1016/j.mjafi.2022.02.008. </w:t>
      </w:r>
    </w:p>
    <w:p w14:paraId="092CAE1C"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Brandal</w:t>
      </w:r>
      <w:proofErr w:type="spellEnd"/>
      <w:r w:rsidRPr="00661052">
        <w:rPr>
          <w:rFonts w:eastAsia="Times New Roman"/>
        </w:rPr>
        <w:t xml:space="preserve"> LT, </w:t>
      </w:r>
      <w:proofErr w:type="spellStart"/>
      <w:r w:rsidRPr="00661052">
        <w:rPr>
          <w:rFonts w:eastAsia="Times New Roman"/>
        </w:rPr>
        <w:t>Ofitserova</w:t>
      </w:r>
      <w:proofErr w:type="spellEnd"/>
      <w:r w:rsidRPr="00661052">
        <w:rPr>
          <w:rFonts w:eastAsia="Times New Roman"/>
        </w:rPr>
        <w:t xml:space="preserve"> TS, </w:t>
      </w:r>
      <w:proofErr w:type="spellStart"/>
      <w:r w:rsidRPr="00661052">
        <w:rPr>
          <w:rFonts w:eastAsia="Times New Roman"/>
        </w:rPr>
        <w:t>Meijerink</w:t>
      </w:r>
      <w:proofErr w:type="spellEnd"/>
      <w:r w:rsidRPr="00661052">
        <w:rPr>
          <w:rFonts w:eastAsia="Times New Roman"/>
        </w:rPr>
        <w:t xml:space="preserve"> H, </w:t>
      </w:r>
      <w:proofErr w:type="spellStart"/>
      <w:r w:rsidRPr="00661052">
        <w:rPr>
          <w:rFonts w:eastAsia="Times New Roman"/>
        </w:rPr>
        <w:t>Rykkvin</w:t>
      </w:r>
      <w:proofErr w:type="spellEnd"/>
      <w:r w:rsidRPr="00661052">
        <w:rPr>
          <w:rFonts w:eastAsia="Times New Roman"/>
        </w:rPr>
        <w:t xml:space="preserve"> R, Lund HM, </w:t>
      </w:r>
      <w:proofErr w:type="spellStart"/>
      <w:r w:rsidRPr="00661052">
        <w:rPr>
          <w:rFonts w:eastAsia="Times New Roman"/>
        </w:rPr>
        <w:t>Hungnes</w:t>
      </w:r>
      <w:proofErr w:type="spellEnd"/>
      <w:r w:rsidRPr="00661052">
        <w:rPr>
          <w:rFonts w:eastAsia="Times New Roman"/>
        </w:rPr>
        <w:t xml:space="preserve"> O et al. Minimal transmission of SARS-CoV-2 from paediatric COVID-19 cases in primary schools, Norway, August to November 2020. </w:t>
      </w:r>
      <w:r w:rsidRPr="00BE1B3E">
        <w:rPr>
          <w:rStyle w:val="Emphasis"/>
          <w:rFonts w:eastAsia="Times New Roman"/>
          <w:b w:val="0"/>
          <w:bCs w:val="0"/>
        </w:rPr>
        <w:t xml:space="preserve">Euro </w:t>
      </w:r>
      <w:proofErr w:type="spellStart"/>
      <w:r w:rsidRPr="00BE1B3E">
        <w:rPr>
          <w:rStyle w:val="Emphasis"/>
          <w:rFonts w:eastAsia="Times New Roman"/>
          <w:b w:val="0"/>
          <w:bCs w:val="0"/>
        </w:rPr>
        <w:t>Surveill</w:t>
      </w:r>
      <w:proofErr w:type="spellEnd"/>
      <w:r w:rsidRPr="00661052">
        <w:rPr>
          <w:rFonts w:eastAsia="Times New Roman"/>
        </w:rPr>
        <w:t xml:space="preserve">. 2021;26(1):2002011. </w:t>
      </w:r>
      <w:proofErr w:type="spellStart"/>
      <w:r w:rsidRPr="00661052">
        <w:rPr>
          <w:rFonts w:eastAsia="Times New Roman"/>
        </w:rPr>
        <w:t>doi</w:t>
      </w:r>
      <w:proofErr w:type="spellEnd"/>
      <w:r w:rsidRPr="00661052">
        <w:rPr>
          <w:rFonts w:eastAsia="Times New Roman"/>
        </w:rPr>
        <w:t xml:space="preserve">: https://doi.org/10.2807/1560-7917.ES.2020.26.1.2002011. </w:t>
      </w:r>
    </w:p>
    <w:p w14:paraId="12201309"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Macartney K, Quinn HE, Pillsbury AJ, Koirala A, Deng L, Winkler N et al. Transmission of SARS-CoV-2 in Australian educational settings: a prospective cohort study. </w:t>
      </w:r>
      <w:r w:rsidRPr="00BE1B3E">
        <w:rPr>
          <w:rStyle w:val="Emphasis"/>
          <w:rFonts w:eastAsia="Times New Roman"/>
          <w:b w:val="0"/>
          <w:bCs w:val="0"/>
        </w:rPr>
        <w:t xml:space="preserve">Lancet Child </w:t>
      </w:r>
      <w:proofErr w:type="spellStart"/>
      <w:r w:rsidRPr="00BE1B3E">
        <w:rPr>
          <w:rStyle w:val="Emphasis"/>
          <w:rFonts w:eastAsia="Times New Roman"/>
          <w:b w:val="0"/>
          <w:bCs w:val="0"/>
        </w:rPr>
        <w:t>Adolesc</w:t>
      </w:r>
      <w:proofErr w:type="spellEnd"/>
      <w:r w:rsidRPr="00BE1B3E">
        <w:rPr>
          <w:rStyle w:val="Emphasis"/>
          <w:rFonts w:eastAsia="Times New Roman"/>
          <w:b w:val="0"/>
          <w:bCs w:val="0"/>
        </w:rPr>
        <w:t xml:space="preserve"> Health</w:t>
      </w:r>
      <w:r w:rsidRPr="00661052">
        <w:rPr>
          <w:rFonts w:eastAsia="Times New Roman"/>
        </w:rPr>
        <w:t xml:space="preserve">. 2020;4(11):807–16. </w:t>
      </w:r>
      <w:proofErr w:type="spellStart"/>
      <w:r w:rsidRPr="00661052">
        <w:rPr>
          <w:rFonts w:eastAsia="Times New Roman"/>
        </w:rPr>
        <w:t>doi</w:t>
      </w:r>
      <w:proofErr w:type="spellEnd"/>
      <w:r w:rsidRPr="00661052">
        <w:rPr>
          <w:rFonts w:eastAsia="Times New Roman"/>
        </w:rPr>
        <w:t xml:space="preserve">: https://doi.org/10.1016/S2352-4642(20)30251-0. </w:t>
      </w:r>
    </w:p>
    <w:p w14:paraId="7386EFD9"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National Centre for Immunisation Research and Surveillance (NCIRS), New South Wales Government Department of Health (NSW Health). </w:t>
      </w:r>
      <w:r w:rsidRPr="00BE1B3E">
        <w:rPr>
          <w:rStyle w:val="Emphasis"/>
          <w:rFonts w:eastAsia="Times New Roman"/>
          <w:b w:val="0"/>
          <w:bCs w:val="0"/>
        </w:rPr>
        <w:t>COVID-19 in schools – the experience in NSW: 18 October 2021 to 17 December 2021</w:t>
      </w:r>
      <w:r w:rsidRPr="00661052">
        <w:rPr>
          <w:rFonts w:eastAsia="Times New Roman"/>
        </w:rPr>
        <w:t xml:space="preserve">. Sydney: NCIRS, NSW Health; 18 February 2022. Available from: https://www.ncirs.org.au/sites/default/files/2022-02/NCIRS_NSW_Schools_COVID_Summary_Term_4_2021_Report%20-%2024-02-2022_Final.pdf. </w:t>
      </w:r>
    </w:p>
    <w:p w14:paraId="1AAC3EC9"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Otte</w:t>
      </w:r>
      <w:proofErr w:type="spellEnd"/>
      <w:r w:rsidRPr="00661052">
        <w:rPr>
          <w:rFonts w:eastAsia="Times New Roman"/>
        </w:rPr>
        <w:t xml:space="preserve"> </w:t>
      </w:r>
      <w:proofErr w:type="spellStart"/>
      <w:r w:rsidRPr="00661052">
        <w:rPr>
          <w:rFonts w:eastAsia="Times New Roman"/>
        </w:rPr>
        <w:t>Im</w:t>
      </w:r>
      <w:proofErr w:type="spellEnd"/>
      <w:r w:rsidRPr="00661052">
        <w:rPr>
          <w:rFonts w:eastAsia="Times New Roman"/>
        </w:rPr>
        <w:t xml:space="preserve"> </w:t>
      </w:r>
      <w:proofErr w:type="spellStart"/>
      <w:r w:rsidRPr="00661052">
        <w:rPr>
          <w:rFonts w:eastAsia="Times New Roman"/>
        </w:rPr>
        <w:t>Kampe</w:t>
      </w:r>
      <w:proofErr w:type="spellEnd"/>
      <w:r w:rsidRPr="00661052">
        <w:rPr>
          <w:rFonts w:eastAsia="Times New Roman"/>
        </w:rPr>
        <w:t xml:space="preserve"> E, </w:t>
      </w:r>
      <w:proofErr w:type="spellStart"/>
      <w:r w:rsidRPr="00661052">
        <w:rPr>
          <w:rFonts w:eastAsia="Times New Roman"/>
        </w:rPr>
        <w:t>Lehfeld</w:t>
      </w:r>
      <w:proofErr w:type="spellEnd"/>
      <w:r w:rsidRPr="00661052">
        <w:rPr>
          <w:rFonts w:eastAsia="Times New Roman"/>
        </w:rPr>
        <w:t xml:space="preserve"> AS, Buda S, Buchholz U, Haas W. Surveillance of COVID-19 school outbreaks, Germany, March to August 2020. </w:t>
      </w:r>
      <w:r w:rsidRPr="00BE1B3E">
        <w:rPr>
          <w:rStyle w:val="Emphasis"/>
          <w:rFonts w:eastAsia="Times New Roman"/>
          <w:b w:val="0"/>
          <w:bCs w:val="0"/>
        </w:rPr>
        <w:t xml:space="preserve">Euro </w:t>
      </w:r>
      <w:proofErr w:type="spellStart"/>
      <w:r w:rsidRPr="00BE1B3E">
        <w:rPr>
          <w:rStyle w:val="Emphasis"/>
          <w:rFonts w:eastAsia="Times New Roman"/>
          <w:b w:val="0"/>
          <w:bCs w:val="0"/>
        </w:rPr>
        <w:t>Surveill</w:t>
      </w:r>
      <w:proofErr w:type="spellEnd"/>
      <w:r w:rsidRPr="00661052">
        <w:rPr>
          <w:rFonts w:eastAsia="Times New Roman"/>
        </w:rPr>
        <w:t xml:space="preserve">. 2020;25(38):2001645. </w:t>
      </w:r>
      <w:proofErr w:type="spellStart"/>
      <w:r w:rsidRPr="00661052">
        <w:rPr>
          <w:rFonts w:eastAsia="Times New Roman"/>
        </w:rPr>
        <w:t>doi</w:t>
      </w:r>
      <w:proofErr w:type="spellEnd"/>
      <w:r w:rsidRPr="00661052">
        <w:rPr>
          <w:rFonts w:eastAsia="Times New Roman"/>
        </w:rPr>
        <w:t xml:space="preserve">: https://doi.org/10.2807/1560-7917.ES.2020.25.38.2001645. </w:t>
      </w:r>
    </w:p>
    <w:p w14:paraId="5CF16EAC"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Hwang H, Lim JS, Song SA, </w:t>
      </w:r>
      <w:proofErr w:type="spellStart"/>
      <w:r w:rsidRPr="00661052">
        <w:rPr>
          <w:rFonts w:eastAsia="Times New Roman"/>
        </w:rPr>
        <w:t>Achangwa</w:t>
      </w:r>
      <w:proofErr w:type="spellEnd"/>
      <w:r w:rsidRPr="00661052">
        <w:rPr>
          <w:rFonts w:eastAsia="Times New Roman"/>
        </w:rPr>
        <w:t xml:space="preserve"> C, Sim W, Kim G et al. Transmission dynamics of the Delta variant of SARS-CoV-2 infections in South Korea. </w:t>
      </w:r>
      <w:r w:rsidRPr="00BE1B3E">
        <w:rPr>
          <w:rStyle w:val="Emphasis"/>
          <w:rFonts w:eastAsia="Times New Roman"/>
          <w:b w:val="0"/>
          <w:bCs w:val="0"/>
        </w:rPr>
        <w:t>J Infect Dis</w:t>
      </w:r>
      <w:r w:rsidRPr="00661052">
        <w:rPr>
          <w:rFonts w:eastAsia="Times New Roman"/>
        </w:rPr>
        <w:t xml:space="preserve">. 2021;225(5):793–9. </w:t>
      </w:r>
      <w:proofErr w:type="spellStart"/>
      <w:r w:rsidRPr="00661052">
        <w:rPr>
          <w:rFonts w:eastAsia="Times New Roman"/>
        </w:rPr>
        <w:t>doi</w:t>
      </w:r>
      <w:proofErr w:type="spellEnd"/>
      <w:r w:rsidRPr="00661052">
        <w:rPr>
          <w:rFonts w:eastAsia="Times New Roman"/>
        </w:rPr>
        <w:t xml:space="preserve">: https://doi.org/10.1093/infdis/jiab586. </w:t>
      </w:r>
    </w:p>
    <w:p w14:paraId="352FAB87"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Li YF, Fan W, Wang WH et al. A school cluster outbreak of COVID-19 caused by SARS-CoV-2 Omicron variant. </w:t>
      </w:r>
      <w:r w:rsidRPr="00BE1B3E">
        <w:rPr>
          <w:rStyle w:val="Emphasis"/>
          <w:rFonts w:eastAsia="Times New Roman"/>
          <w:b w:val="0"/>
          <w:bCs w:val="0"/>
        </w:rPr>
        <w:t>Chin J Public Health</w:t>
      </w:r>
      <w:r w:rsidRPr="00661052">
        <w:rPr>
          <w:rFonts w:eastAsia="Times New Roman"/>
        </w:rPr>
        <w:t xml:space="preserve">. 2022;38(5):614–8. </w:t>
      </w:r>
      <w:proofErr w:type="spellStart"/>
      <w:r w:rsidRPr="00661052">
        <w:rPr>
          <w:rFonts w:eastAsia="Times New Roman"/>
        </w:rPr>
        <w:t>doi</w:t>
      </w:r>
      <w:proofErr w:type="spellEnd"/>
      <w:r w:rsidRPr="00661052">
        <w:rPr>
          <w:rFonts w:eastAsia="Times New Roman"/>
        </w:rPr>
        <w:t xml:space="preserve">: https://doi.org/10.11847/zgggws1138512. </w:t>
      </w:r>
    </w:p>
    <w:p w14:paraId="00D43B3B"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Lorthe</w:t>
      </w:r>
      <w:proofErr w:type="spellEnd"/>
      <w:r w:rsidRPr="00661052">
        <w:rPr>
          <w:rFonts w:eastAsia="Times New Roman"/>
        </w:rPr>
        <w:t xml:space="preserve"> E, </w:t>
      </w:r>
      <w:proofErr w:type="spellStart"/>
      <w:r w:rsidRPr="00661052">
        <w:rPr>
          <w:rFonts w:eastAsia="Times New Roman"/>
        </w:rPr>
        <w:t>Bellon</w:t>
      </w:r>
      <w:proofErr w:type="spellEnd"/>
      <w:r w:rsidRPr="00661052">
        <w:rPr>
          <w:rFonts w:eastAsia="Times New Roman"/>
        </w:rPr>
        <w:t xml:space="preserve"> M, Berthelot J, </w:t>
      </w:r>
      <w:proofErr w:type="spellStart"/>
      <w:r w:rsidRPr="00661052">
        <w:rPr>
          <w:rFonts w:eastAsia="Times New Roman"/>
        </w:rPr>
        <w:t>Michielin</w:t>
      </w:r>
      <w:proofErr w:type="spellEnd"/>
      <w:r w:rsidRPr="00661052">
        <w:rPr>
          <w:rFonts w:eastAsia="Times New Roman"/>
        </w:rPr>
        <w:t xml:space="preserve"> G, </w:t>
      </w:r>
      <w:proofErr w:type="spellStart"/>
      <w:r w:rsidRPr="00661052">
        <w:rPr>
          <w:rFonts w:eastAsia="Times New Roman"/>
        </w:rPr>
        <w:t>L’Huillier</w:t>
      </w:r>
      <w:proofErr w:type="spellEnd"/>
      <w:r w:rsidRPr="00661052">
        <w:rPr>
          <w:rFonts w:eastAsia="Times New Roman"/>
        </w:rPr>
        <w:t xml:space="preserve"> AG, </w:t>
      </w:r>
      <w:proofErr w:type="spellStart"/>
      <w:r w:rsidRPr="00661052">
        <w:rPr>
          <w:rFonts w:eastAsia="Times New Roman"/>
        </w:rPr>
        <w:t>Posfay</w:t>
      </w:r>
      <w:proofErr w:type="spellEnd"/>
      <w:r w:rsidRPr="00661052">
        <w:rPr>
          <w:rFonts w:eastAsia="Times New Roman"/>
        </w:rPr>
        <w:t xml:space="preserve">-Barbe KM et al. A SARS-CoV-2 omicron (B.1.1.529) variant outbreak in a primary school in Geneva, Switzerland. </w:t>
      </w:r>
      <w:r w:rsidRPr="00BE1B3E">
        <w:rPr>
          <w:rStyle w:val="Emphasis"/>
          <w:rFonts w:eastAsia="Times New Roman"/>
          <w:b w:val="0"/>
          <w:bCs w:val="0"/>
        </w:rPr>
        <w:t>Lancet Infect Dis</w:t>
      </w:r>
      <w:r w:rsidRPr="00661052">
        <w:rPr>
          <w:rFonts w:eastAsia="Times New Roman"/>
        </w:rPr>
        <w:t xml:space="preserve">. </w:t>
      </w:r>
      <w:proofErr w:type="gramStart"/>
      <w:r w:rsidRPr="00661052">
        <w:rPr>
          <w:rFonts w:eastAsia="Times New Roman"/>
        </w:rPr>
        <w:t>2022;S</w:t>
      </w:r>
      <w:proofErr w:type="gramEnd"/>
      <w:r w:rsidRPr="00661052">
        <w:rPr>
          <w:rFonts w:eastAsia="Times New Roman"/>
        </w:rPr>
        <w:t xml:space="preserve">1473-3099(22)00267-5. </w:t>
      </w:r>
      <w:proofErr w:type="spellStart"/>
      <w:r w:rsidRPr="00661052">
        <w:rPr>
          <w:rFonts w:eastAsia="Times New Roman"/>
        </w:rPr>
        <w:t>doi</w:t>
      </w:r>
      <w:proofErr w:type="spellEnd"/>
      <w:r w:rsidRPr="00661052">
        <w:rPr>
          <w:rFonts w:eastAsia="Times New Roman"/>
        </w:rPr>
        <w:t xml:space="preserve">: https://doi.org/10.1016/S1473-3099(22)00267-5. </w:t>
      </w:r>
    </w:p>
    <w:p w14:paraId="68F0EA19"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Grant R, </w:t>
      </w:r>
      <w:proofErr w:type="spellStart"/>
      <w:r w:rsidRPr="00661052">
        <w:rPr>
          <w:rFonts w:eastAsia="Times New Roman"/>
        </w:rPr>
        <w:t>Charmet</w:t>
      </w:r>
      <w:proofErr w:type="spellEnd"/>
      <w:r w:rsidRPr="00661052">
        <w:rPr>
          <w:rFonts w:eastAsia="Times New Roman"/>
        </w:rPr>
        <w:t xml:space="preserve"> T, Schaeffer L, </w:t>
      </w:r>
      <w:proofErr w:type="spellStart"/>
      <w:r w:rsidRPr="00661052">
        <w:rPr>
          <w:rFonts w:eastAsia="Times New Roman"/>
        </w:rPr>
        <w:t>Galmiche</w:t>
      </w:r>
      <w:proofErr w:type="spellEnd"/>
      <w:r w:rsidRPr="00661052">
        <w:rPr>
          <w:rFonts w:eastAsia="Times New Roman"/>
        </w:rPr>
        <w:t xml:space="preserve"> S, </w:t>
      </w:r>
      <w:proofErr w:type="spellStart"/>
      <w:r w:rsidRPr="00661052">
        <w:rPr>
          <w:rFonts w:eastAsia="Times New Roman"/>
        </w:rPr>
        <w:t>Madec</w:t>
      </w:r>
      <w:proofErr w:type="spellEnd"/>
      <w:r w:rsidRPr="00661052">
        <w:rPr>
          <w:rFonts w:eastAsia="Times New Roman"/>
        </w:rPr>
        <w:t xml:space="preserve"> Y, Von Platen C et al. Impact of SARS-CoV-2 Delta variant on incubation, transmission settings and vaccine effectiveness: results from a nationwide case-control study in France. </w:t>
      </w:r>
      <w:r w:rsidRPr="00BE1B3E">
        <w:rPr>
          <w:rStyle w:val="Emphasis"/>
          <w:rFonts w:eastAsia="Times New Roman"/>
          <w:b w:val="0"/>
          <w:bCs w:val="0"/>
        </w:rPr>
        <w:t>Lancet Reg Health Eur</w:t>
      </w:r>
      <w:r w:rsidRPr="00661052">
        <w:rPr>
          <w:rFonts w:eastAsia="Times New Roman"/>
        </w:rPr>
        <w:t xml:space="preserve">. </w:t>
      </w:r>
      <w:proofErr w:type="gramStart"/>
      <w:r w:rsidRPr="00661052">
        <w:rPr>
          <w:rFonts w:eastAsia="Times New Roman"/>
        </w:rPr>
        <w:t>2022;13:100278</w:t>
      </w:r>
      <w:proofErr w:type="gramEnd"/>
      <w:r w:rsidRPr="00661052">
        <w:rPr>
          <w:rFonts w:eastAsia="Times New Roman"/>
        </w:rPr>
        <w:t xml:space="preserve">. </w:t>
      </w:r>
      <w:proofErr w:type="spellStart"/>
      <w:r w:rsidRPr="00661052">
        <w:rPr>
          <w:rFonts w:eastAsia="Times New Roman"/>
        </w:rPr>
        <w:t>doi</w:t>
      </w:r>
      <w:proofErr w:type="spellEnd"/>
      <w:r w:rsidRPr="00661052">
        <w:rPr>
          <w:rFonts w:eastAsia="Times New Roman"/>
        </w:rPr>
        <w:t xml:space="preserve">: https://doi.org/10.1016/j.lanepe.2021.100278. </w:t>
      </w:r>
    </w:p>
    <w:p w14:paraId="7D51AC9A"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Assaker</w:t>
      </w:r>
      <w:proofErr w:type="spellEnd"/>
      <w:r w:rsidRPr="00661052">
        <w:rPr>
          <w:rFonts w:eastAsia="Times New Roman"/>
        </w:rPr>
        <w:t xml:space="preserve"> R, Colas AE, Julien-</w:t>
      </w:r>
      <w:proofErr w:type="spellStart"/>
      <w:r w:rsidRPr="00661052">
        <w:rPr>
          <w:rFonts w:eastAsia="Times New Roman"/>
        </w:rPr>
        <w:t>Marsollier</w:t>
      </w:r>
      <w:proofErr w:type="spellEnd"/>
      <w:r w:rsidRPr="00661052">
        <w:rPr>
          <w:rFonts w:eastAsia="Times New Roman"/>
        </w:rPr>
        <w:t xml:space="preserve"> F, Bruneau B, </w:t>
      </w:r>
      <w:proofErr w:type="spellStart"/>
      <w:r w:rsidRPr="00661052">
        <w:rPr>
          <w:rFonts w:eastAsia="Times New Roman"/>
        </w:rPr>
        <w:t>Marsac</w:t>
      </w:r>
      <w:proofErr w:type="spellEnd"/>
      <w:r w:rsidRPr="00661052">
        <w:rPr>
          <w:rFonts w:eastAsia="Times New Roman"/>
        </w:rPr>
        <w:t xml:space="preserve"> L, </w:t>
      </w:r>
      <w:proofErr w:type="spellStart"/>
      <w:r w:rsidRPr="00661052">
        <w:rPr>
          <w:rFonts w:eastAsia="Times New Roman"/>
        </w:rPr>
        <w:t>Greff</w:t>
      </w:r>
      <w:proofErr w:type="spellEnd"/>
      <w:r w:rsidRPr="00661052">
        <w:rPr>
          <w:rFonts w:eastAsia="Times New Roman"/>
        </w:rPr>
        <w:t xml:space="preserve"> B et al. Presenting symptoms of COVID-19 in children: a meta-analysis of published studies. </w:t>
      </w:r>
      <w:r w:rsidRPr="00BE1B3E">
        <w:rPr>
          <w:rStyle w:val="Emphasis"/>
          <w:rFonts w:eastAsia="Times New Roman"/>
          <w:b w:val="0"/>
          <w:bCs w:val="0"/>
        </w:rPr>
        <w:t xml:space="preserve">Br J </w:t>
      </w:r>
      <w:proofErr w:type="spellStart"/>
      <w:r w:rsidRPr="00BE1B3E">
        <w:rPr>
          <w:rStyle w:val="Emphasis"/>
          <w:rFonts w:eastAsia="Times New Roman"/>
          <w:b w:val="0"/>
          <w:bCs w:val="0"/>
        </w:rPr>
        <w:t>Anaesth</w:t>
      </w:r>
      <w:proofErr w:type="spellEnd"/>
      <w:r w:rsidRPr="00661052">
        <w:rPr>
          <w:rFonts w:eastAsia="Times New Roman"/>
        </w:rPr>
        <w:t>. 2020;125(3</w:t>
      </w:r>
      <w:proofErr w:type="gramStart"/>
      <w:r w:rsidRPr="00661052">
        <w:rPr>
          <w:rFonts w:eastAsia="Times New Roman"/>
        </w:rPr>
        <w:t>):e</w:t>
      </w:r>
      <w:proofErr w:type="gramEnd"/>
      <w:r w:rsidRPr="00661052">
        <w:rPr>
          <w:rFonts w:eastAsia="Times New Roman"/>
        </w:rPr>
        <w:t xml:space="preserve">330–2. </w:t>
      </w:r>
      <w:proofErr w:type="spellStart"/>
      <w:r w:rsidRPr="00661052">
        <w:rPr>
          <w:rFonts w:eastAsia="Times New Roman"/>
        </w:rPr>
        <w:t>doi</w:t>
      </w:r>
      <w:proofErr w:type="spellEnd"/>
      <w:r w:rsidRPr="00661052">
        <w:rPr>
          <w:rFonts w:eastAsia="Times New Roman"/>
        </w:rPr>
        <w:t xml:space="preserve">: https://doi.org/10.1016/j.bja.2020.05.026. </w:t>
      </w:r>
    </w:p>
    <w:p w14:paraId="41578E59"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Forrest CB, Burrows EK, </w:t>
      </w:r>
      <w:proofErr w:type="spellStart"/>
      <w:r w:rsidRPr="00661052">
        <w:rPr>
          <w:rFonts w:eastAsia="Times New Roman"/>
        </w:rPr>
        <w:t>Mejias</w:t>
      </w:r>
      <w:proofErr w:type="spellEnd"/>
      <w:r w:rsidRPr="00661052">
        <w:rPr>
          <w:rFonts w:eastAsia="Times New Roman"/>
        </w:rPr>
        <w:t xml:space="preserve"> A, </w:t>
      </w:r>
      <w:proofErr w:type="spellStart"/>
      <w:r w:rsidRPr="00661052">
        <w:rPr>
          <w:rFonts w:eastAsia="Times New Roman"/>
        </w:rPr>
        <w:t>Razzaghi</w:t>
      </w:r>
      <w:proofErr w:type="spellEnd"/>
      <w:r w:rsidRPr="00661052">
        <w:rPr>
          <w:rFonts w:eastAsia="Times New Roman"/>
        </w:rPr>
        <w:t xml:space="preserve"> H, Christakis D, </w:t>
      </w:r>
      <w:proofErr w:type="spellStart"/>
      <w:r w:rsidRPr="00661052">
        <w:rPr>
          <w:rFonts w:eastAsia="Times New Roman"/>
        </w:rPr>
        <w:t>Jhaveri</w:t>
      </w:r>
      <w:proofErr w:type="spellEnd"/>
      <w:r w:rsidRPr="00661052">
        <w:rPr>
          <w:rFonts w:eastAsia="Times New Roman"/>
        </w:rPr>
        <w:t xml:space="preserve"> R et al. Severity of acute COVID-19 in children &lt;18 years old March 2020 to December 2021. </w:t>
      </w:r>
      <w:proofErr w:type="spellStart"/>
      <w:r w:rsidRPr="00BE1B3E">
        <w:rPr>
          <w:rStyle w:val="Emphasis"/>
          <w:rFonts w:eastAsia="Times New Roman"/>
          <w:b w:val="0"/>
          <w:bCs w:val="0"/>
        </w:rPr>
        <w:t>Pediatrics</w:t>
      </w:r>
      <w:proofErr w:type="spellEnd"/>
      <w:r w:rsidRPr="00661052">
        <w:rPr>
          <w:rFonts w:eastAsia="Times New Roman"/>
        </w:rPr>
        <w:t>. 2022;149(4</w:t>
      </w:r>
      <w:proofErr w:type="gramStart"/>
      <w:r w:rsidRPr="00661052">
        <w:rPr>
          <w:rFonts w:eastAsia="Times New Roman"/>
        </w:rPr>
        <w:t>):e</w:t>
      </w:r>
      <w:proofErr w:type="gramEnd"/>
      <w:r w:rsidRPr="00661052">
        <w:rPr>
          <w:rFonts w:eastAsia="Times New Roman"/>
        </w:rPr>
        <w:t xml:space="preserve">2021055765. </w:t>
      </w:r>
      <w:proofErr w:type="spellStart"/>
      <w:r w:rsidRPr="00661052">
        <w:rPr>
          <w:rFonts w:eastAsia="Times New Roman"/>
        </w:rPr>
        <w:t>doi</w:t>
      </w:r>
      <w:proofErr w:type="spellEnd"/>
      <w:r w:rsidRPr="00661052">
        <w:rPr>
          <w:rFonts w:eastAsia="Times New Roman"/>
        </w:rPr>
        <w:t xml:space="preserve">: https://doi.org/10.1542/peds.2021-055765. </w:t>
      </w:r>
    </w:p>
    <w:p w14:paraId="56FCD6A7"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lastRenderedPageBreak/>
        <w:t>Meuris</w:t>
      </w:r>
      <w:proofErr w:type="spellEnd"/>
      <w:r w:rsidRPr="00661052">
        <w:rPr>
          <w:rFonts w:eastAsia="Times New Roman"/>
        </w:rPr>
        <w:t xml:space="preserve"> C, Kremer C, </w:t>
      </w:r>
      <w:proofErr w:type="spellStart"/>
      <w:r w:rsidRPr="00661052">
        <w:rPr>
          <w:rFonts w:eastAsia="Times New Roman"/>
        </w:rPr>
        <w:t>Geerinck</w:t>
      </w:r>
      <w:proofErr w:type="spellEnd"/>
      <w:r w:rsidRPr="00661052">
        <w:rPr>
          <w:rFonts w:eastAsia="Times New Roman"/>
        </w:rPr>
        <w:t xml:space="preserve"> A, </w:t>
      </w:r>
      <w:proofErr w:type="spellStart"/>
      <w:r w:rsidRPr="00661052">
        <w:rPr>
          <w:rFonts w:eastAsia="Times New Roman"/>
        </w:rPr>
        <w:t>Locquet</w:t>
      </w:r>
      <w:proofErr w:type="spellEnd"/>
      <w:r w:rsidRPr="00661052">
        <w:rPr>
          <w:rFonts w:eastAsia="Times New Roman"/>
        </w:rPr>
        <w:t xml:space="preserve"> M, </w:t>
      </w:r>
      <w:proofErr w:type="spellStart"/>
      <w:r w:rsidRPr="00661052">
        <w:rPr>
          <w:rFonts w:eastAsia="Times New Roman"/>
        </w:rPr>
        <w:t>Bruyère</w:t>
      </w:r>
      <w:proofErr w:type="spellEnd"/>
      <w:r w:rsidRPr="00661052">
        <w:rPr>
          <w:rFonts w:eastAsia="Times New Roman"/>
        </w:rPr>
        <w:t xml:space="preserve"> O, </w:t>
      </w:r>
      <w:proofErr w:type="spellStart"/>
      <w:r w:rsidRPr="00661052">
        <w:rPr>
          <w:rFonts w:eastAsia="Times New Roman"/>
        </w:rPr>
        <w:t>Defêche</w:t>
      </w:r>
      <w:proofErr w:type="spellEnd"/>
      <w:r w:rsidRPr="00661052">
        <w:rPr>
          <w:rFonts w:eastAsia="Times New Roman"/>
        </w:rPr>
        <w:t xml:space="preserve"> J et al. Transmission of SARS-CoV-2 after COVID-19 screening and mitigation measures for primary school children attending school in Liège, Belgium. </w:t>
      </w:r>
      <w:r w:rsidRPr="00BE1B3E">
        <w:rPr>
          <w:rStyle w:val="Emphasis"/>
          <w:rFonts w:eastAsia="Times New Roman"/>
          <w:b w:val="0"/>
          <w:bCs w:val="0"/>
        </w:rPr>
        <w:t xml:space="preserve">JAMA </w:t>
      </w:r>
      <w:proofErr w:type="spellStart"/>
      <w:r w:rsidRPr="00BE1B3E">
        <w:rPr>
          <w:rStyle w:val="Emphasis"/>
          <w:rFonts w:eastAsia="Times New Roman"/>
          <w:b w:val="0"/>
          <w:bCs w:val="0"/>
        </w:rPr>
        <w:t>Netw</w:t>
      </w:r>
      <w:proofErr w:type="spellEnd"/>
      <w:r w:rsidRPr="00BE1B3E">
        <w:rPr>
          <w:rStyle w:val="Emphasis"/>
          <w:rFonts w:eastAsia="Times New Roman"/>
          <w:b w:val="0"/>
          <w:bCs w:val="0"/>
        </w:rPr>
        <w:t xml:space="preserve"> Open</w:t>
      </w:r>
      <w:r w:rsidRPr="00661052">
        <w:rPr>
          <w:rFonts w:eastAsia="Times New Roman"/>
        </w:rPr>
        <w:t>. 2021;4(10</w:t>
      </w:r>
      <w:proofErr w:type="gramStart"/>
      <w:r w:rsidRPr="00661052">
        <w:rPr>
          <w:rFonts w:eastAsia="Times New Roman"/>
        </w:rPr>
        <w:t>):e</w:t>
      </w:r>
      <w:proofErr w:type="gramEnd"/>
      <w:r w:rsidRPr="00661052">
        <w:rPr>
          <w:rFonts w:eastAsia="Times New Roman"/>
        </w:rPr>
        <w:t xml:space="preserve">2128757. </w:t>
      </w:r>
      <w:proofErr w:type="spellStart"/>
      <w:r w:rsidRPr="00661052">
        <w:rPr>
          <w:rFonts w:eastAsia="Times New Roman"/>
        </w:rPr>
        <w:t>doi</w:t>
      </w:r>
      <w:proofErr w:type="spellEnd"/>
      <w:r w:rsidRPr="00661052">
        <w:rPr>
          <w:rFonts w:eastAsia="Times New Roman"/>
        </w:rPr>
        <w:t xml:space="preserve">: https://doi.org/10.1001/jamanetworkopen.2021.28757. </w:t>
      </w:r>
    </w:p>
    <w:p w14:paraId="3CC3BB34"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Shoji K, Akiyama T, Tsuzuki S, Matsunaga N, </w:t>
      </w:r>
      <w:proofErr w:type="spellStart"/>
      <w:r w:rsidRPr="00661052">
        <w:rPr>
          <w:rFonts w:eastAsia="Times New Roman"/>
        </w:rPr>
        <w:t>Asai</w:t>
      </w:r>
      <w:proofErr w:type="spellEnd"/>
      <w:r w:rsidRPr="00661052">
        <w:rPr>
          <w:rFonts w:eastAsia="Times New Roman"/>
        </w:rPr>
        <w:t xml:space="preserve"> Y, Suzuki S et al. Comparison of the clinical characteristics and outcomes of COVID-19 in children before and after the emergence of Delta variant of concern in Japan. </w:t>
      </w:r>
      <w:r w:rsidRPr="00BE1B3E">
        <w:rPr>
          <w:rStyle w:val="Emphasis"/>
          <w:rFonts w:eastAsia="Times New Roman"/>
          <w:b w:val="0"/>
          <w:bCs w:val="0"/>
        </w:rPr>
        <w:t>J Infect Chemother</w:t>
      </w:r>
      <w:r w:rsidRPr="00661052">
        <w:rPr>
          <w:rFonts w:eastAsia="Times New Roman"/>
        </w:rPr>
        <w:t xml:space="preserve">. 2022;28(4):591–4. </w:t>
      </w:r>
      <w:proofErr w:type="spellStart"/>
      <w:r w:rsidRPr="00661052">
        <w:rPr>
          <w:rFonts w:eastAsia="Times New Roman"/>
        </w:rPr>
        <w:t>doi</w:t>
      </w:r>
      <w:proofErr w:type="spellEnd"/>
      <w:r w:rsidRPr="00661052">
        <w:rPr>
          <w:rFonts w:eastAsia="Times New Roman"/>
        </w:rPr>
        <w:t xml:space="preserve">: https://doi.org/10.1016/j.jiac.2022.01.009. </w:t>
      </w:r>
    </w:p>
    <w:p w14:paraId="3BF1A15E"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Viner RM, Ward JL, Hudson LD, Ashe M, Patel SV, Hargreaves D et al. Systematic review of reviews of symptoms and signs of COVID-19 in children and adolescents. </w:t>
      </w:r>
      <w:r w:rsidRPr="00BE1B3E">
        <w:rPr>
          <w:rStyle w:val="Emphasis"/>
          <w:rFonts w:eastAsia="Times New Roman"/>
          <w:b w:val="0"/>
          <w:bCs w:val="0"/>
        </w:rPr>
        <w:t>Arch Dis Child</w:t>
      </w:r>
      <w:r w:rsidRPr="00661052">
        <w:rPr>
          <w:rFonts w:eastAsia="Times New Roman"/>
        </w:rPr>
        <w:t xml:space="preserve">. 2020. </w:t>
      </w:r>
      <w:proofErr w:type="spellStart"/>
      <w:r w:rsidRPr="00661052">
        <w:rPr>
          <w:rFonts w:eastAsia="Times New Roman"/>
        </w:rPr>
        <w:t>doi</w:t>
      </w:r>
      <w:proofErr w:type="spellEnd"/>
      <w:r w:rsidRPr="00661052">
        <w:rPr>
          <w:rFonts w:eastAsia="Times New Roman"/>
        </w:rPr>
        <w:t xml:space="preserve">: https://doi.org/10.1136/archdischild-2020-320972. </w:t>
      </w:r>
    </w:p>
    <w:p w14:paraId="3FC86712"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Yasuhara J, </w:t>
      </w:r>
      <w:proofErr w:type="spellStart"/>
      <w:r w:rsidRPr="00661052">
        <w:rPr>
          <w:rFonts w:eastAsia="Times New Roman"/>
        </w:rPr>
        <w:t>Kuno</w:t>
      </w:r>
      <w:proofErr w:type="spellEnd"/>
      <w:r w:rsidRPr="00661052">
        <w:rPr>
          <w:rFonts w:eastAsia="Times New Roman"/>
        </w:rPr>
        <w:t xml:space="preserve"> T, Takagi H, Sumitomo N. Clinical characteristics of COVID-19 in children: a systematic review. </w:t>
      </w:r>
      <w:proofErr w:type="spellStart"/>
      <w:r w:rsidRPr="00BE1B3E">
        <w:rPr>
          <w:rStyle w:val="Emphasis"/>
          <w:rFonts w:eastAsia="Times New Roman"/>
          <w:b w:val="0"/>
          <w:bCs w:val="0"/>
        </w:rPr>
        <w:t>Pediatr</w:t>
      </w:r>
      <w:proofErr w:type="spellEnd"/>
      <w:r w:rsidRPr="00BE1B3E">
        <w:rPr>
          <w:rStyle w:val="Emphasis"/>
          <w:rFonts w:eastAsia="Times New Roman"/>
          <w:b w:val="0"/>
          <w:bCs w:val="0"/>
        </w:rPr>
        <w:t xml:space="preserve"> </w:t>
      </w:r>
      <w:proofErr w:type="spellStart"/>
      <w:r w:rsidRPr="00BE1B3E">
        <w:rPr>
          <w:rStyle w:val="Emphasis"/>
          <w:rFonts w:eastAsia="Times New Roman"/>
          <w:b w:val="0"/>
          <w:bCs w:val="0"/>
        </w:rPr>
        <w:t>Pulmonol</w:t>
      </w:r>
      <w:proofErr w:type="spellEnd"/>
      <w:r w:rsidRPr="00661052">
        <w:rPr>
          <w:rFonts w:eastAsia="Times New Roman"/>
        </w:rPr>
        <w:t xml:space="preserve">. 2020;55(10):2565–75. </w:t>
      </w:r>
      <w:proofErr w:type="spellStart"/>
      <w:r w:rsidRPr="00661052">
        <w:rPr>
          <w:rFonts w:eastAsia="Times New Roman"/>
        </w:rPr>
        <w:t>doi</w:t>
      </w:r>
      <w:proofErr w:type="spellEnd"/>
      <w:r w:rsidRPr="00661052">
        <w:rPr>
          <w:rFonts w:eastAsia="Times New Roman"/>
        </w:rPr>
        <w:t xml:space="preserve">: https://doi.org/10.1002/ppul.24991. </w:t>
      </w:r>
    </w:p>
    <w:p w14:paraId="0626E1CD" w14:textId="77777777" w:rsidR="00661052" w:rsidRPr="00661052" w:rsidRDefault="00661052" w:rsidP="00661052">
      <w:pPr>
        <w:pStyle w:val="ListParagraph"/>
        <w:numPr>
          <w:ilvl w:val="0"/>
          <w:numId w:val="10"/>
        </w:numPr>
        <w:rPr>
          <w:rFonts w:eastAsia="Times New Roman"/>
        </w:rPr>
      </w:pPr>
      <w:proofErr w:type="spellStart"/>
      <w:r w:rsidRPr="00661052">
        <w:rPr>
          <w:rFonts w:eastAsia="Times New Roman"/>
        </w:rPr>
        <w:t>Chudasama</w:t>
      </w:r>
      <w:proofErr w:type="spellEnd"/>
      <w:r w:rsidRPr="00661052">
        <w:rPr>
          <w:rFonts w:eastAsia="Times New Roman"/>
        </w:rPr>
        <w:t xml:space="preserve"> DY, Tessier E, Flannagan J, Leeman D, Webster H, </w:t>
      </w:r>
      <w:proofErr w:type="spellStart"/>
      <w:r w:rsidRPr="00661052">
        <w:rPr>
          <w:rFonts w:eastAsia="Times New Roman"/>
        </w:rPr>
        <w:t>Demirjian</w:t>
      </w:r>
      <w:proofErr w:type="spellEnd"/>
      <w:r w:rsidRPr="00661052">
        <w:rPr>
          <w:rFonts w:eastAsia="Times New Roman"/>
        </w:rPr>
        <w:t xml:space="preserve"> A et al. Surge in SARS-CoV-2 transmission in school-aged children and household contacts, England, August to October 2021. </w:t>
      </w:r>
      <w:r w:rsidRPr="00BE1B3E">
        <w:rPr>
          <w:rStyle w:val="Emphasis"/>
          <w:rFonts w:eastAsia="Times New Roman"/>
          <w:b w:val="0"/>
          <w:bCs w:val="0"/>
        </w:rPr>
        <w:t xml:space="preserve">Euro </w:t>
      </w:r>
      <w:proofErr w:type="spellStart"/>
      <w:r w:rsidRPr="00BE1B3E">
        <w:rPr>
          <w:rStyle w:val="Emphasis"/>
          <w:rFonts w:eastAsia="Times New Roman"/>
          <w:b w:val="0"/>
          <w:bCs w:val="0"/>
        </w:rPr>
        <w:t>Surveill</w:t>
      </w:r>
      <w:proofErr w:type="spellEnd"/>
      <w:r w:rsidRPr="00661052">
        <w:rPr>
          <w:rFonts w:eastAsia="Times New Roman"/>
        </w:rPr>
        <w:t xml:space="preserve">. 2021;26(48):2101019. </w:t>
      </w:r>
      <w:proofErr w:type="spellStart"/>
      <w:r w:rsidRPr="00661052">
        <w:rPr>
          <w:rFonts w:eastAsia="Times New Roman"/>
        </w:rPr>
        <w:t>doi</w:t>
      </w:r>
      <w:proofErr w:type="spellEnd"/>
      <w:r w:rsidRPr="00661052">
        <w:rPr>
          <w:rFonts w:eastAsia="Times New Roman"/>
        </w:rPr>
        <w:t xml:space="preserve">: https://doi.org/10.2807/1560-7917.ES.2021.26.48.2101019. </w:t>
      </w:r>
    </w:p>
    <w:p w14:paraId="1CB13B29"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Dougherty K, </w:t>
      </w:r>
      <w:proofErr w:type="spellStart"/>
      <w:r w:rsidRPr="00661052">
        <w:rPr>
          <w:rFonts w:eastAsia="Times New Roman"/>
        </w:rPr>
        <w:t>Mannell</w:t>
      </w:r>
      <w:proofErr w:type="spellEnd"/>
      <w:r w:rsidRPr="00661052">
        <w:rPr>
          <w:rFonts w:eastAsia="Times New Roman"/>
        </w:rPr>
        <w:t xml:space="preserve"> M, Naqvi O, Matson D, Stone J. SARS-CoV-2 B. 1.617. 2 (Delta) variant COVID-19 </w:t>
      </w:r>
      <w:proofErr w:type="gramStart"/>
      <w:r w:rsidRPr="00661052">
        <w:rPr>
          <w:rFonts w:eastAsia="Times New Roman"/>
        </w:rPr>
        <w:t>outbreak</w:t>
      </w:r>
      <w:proofErr w:type="gramEnd"/>
      <w:r w:rsidRPr="00661052">
        <w:rPr>
          <w:rFonts w:eastAsia="Times New Roman"/>
        </w:rPr>
        <w:t xml:space="preserve"> associated with a gymnastics facility—Oklahoma, April–May 2021. </w:t>
      </w:r>
      <w:r w:rsidRPr="00BE1B3E">
        <w:rPr>
          <w:rStyle w:val="Emphasis"/>
          <w:rFonts w:eastAsia="Times New Roman"/>
          <w:b w:val="0"/>
          <w:bCs w:val="0"/>
        </w:rPr>
        <w:t xml:space="preserve">MMWR </w:t>
      </w:r>
      <w:proofErr w:type="spellStart"/>
      <w:r w:rsidRPr="00BE1B3E">
        <w:rPr>
          <w:rStyle w:val="Emphasis"/>
          <w:rFonts w:eastAsia="Times New Roman"/>
          <w:b w:val="0"/>
          <w:bCs w:val="0"/>
        </w:rPr>
        <w:t>Morb</w:t>
      </w:r>
      <w:proofErr w:type="spellEnd"/>
      <w:r w:rsidRPr="00BE1B3E">
        <w:rPr>
          <w:rStyle w:val="Emphasis"/>
          <w:rFonts w:eastAsia="Times New Roman"/>
          <w:b w:val="0"/>
          <w:bCs w:val="0"/>
        </w:rPr>
        <w:t xml:space="preserve"> Mortal </w:t>
      </w:r>
      <w:proofErr w:type="spellStart"/>
      <w:r w:rsidRPr="00BE1B3E">
        <w:rPr>
          <w:rStyle w:val="Emphasis"/>
          <w:rFonts w:eastAsia="Times New Roman"/>
          <w:b w:val="0"/>
          <w:bCs w:val="0"/>
        </w:rPr>
        <w:t>Wkly</w:t>
      </w:r>
      <w:proofErr w:type="spellEnd"/>
      <w:r w:rsidRPr="00BE1B3E">
        <w:rPr>
          <w:rStyle w:val="Emphasis"/>
          <w:rFonts w:eastAsia="Times New Roman"/>
          <w:b w:val="0"/>
          <w:bCs w:val="0"/>
        </w:rPr>
        <w:t xml:space="preserve"> Rep</w:t>
      </w:r>
      <w:r w:rsidRPr="00661052">
        <w:rPr>
          <w:rFonts w:eastAsia="Times New Roman"/>
        </w:rPr>
        <w:t xml:space="preserve">. 2021;70(28):1004. </w:t>
      </w:r>
      <w:proofErr w:type="spellStart"/>
      <w:r w:rsidRPr="00661052">
        <w:rPr>
          <w:rFonts w:eastAsia="Times New Roman"/>
        </w:rPr>
        <w:t>doi</w:t>
      </w:r>
      <w:proofErr w:type="spellEnd"/>
      <w:r w:rsidRPr="00661052">
        <w:rPr>
          <w:rFonts w:eastAsia="Times New Roman"/>
        </w:rPr>
        <w:t xml:space="preserve">: https://doi.org/10.15585/mmwr.mm7028e2. </w:t>
      </w:r>
    </w:p>
    <w:p w14:paraId="56374486"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Goldstein E, </w:t>
      </w:r>
      <w:proofErr w:type="spellStart"/>
      <w:r w:rsidRPr="00661052">
        <w:rPr>
          <w:rFonts w:eastAsia="Times New Roman"/>
        </w:rPr>
        <w:t>Lipsitch</w:t>
      </w:r>
      <w:proofErr w:type="spellEnd"/>
      <w:r w:rsidRPr="00661052">
        <w:rPr>
          <w:rFonts w:eastAsia="Times New Roman"/>
        </w:rPr>
        <w:t xml:space="preserve"> M, </w:t>
      </w:r>
      <w:proofErr w:type="spellStart"/>
      <w:r w:rsidRPr="00661052">
        <w:rPr>
          <w:rFonts w:eastAsia="Times New Roman"/>
        </w:rPr>
        <w:t>Cevik</w:t>
      </w:r>
      <w:proofErr w:type="spellEnd"/>
      <w:r w:rsidRPr="00661052">
        <w:rPr>
          <w:rFonts w:eastAsia="Times New Roman"/>
        </w:rPr>
        <w:t xml:space="preserve"> M. On the effect of age on the transmission of SARS-CoV-2 in households, schools, and the community. </w:t>
      </w:r>
      <w:r w:rsidRPr="00BE1B3E">
        <w:rPr>
          <w:rStyle w:val="Emphasis"/>
          <w:rFonts w:eastAsia="Times New Roman"/>
          <w:b w:val="0"/>
          <w:bCs w:val="0"/>
        </w:rPr>
        <w:t>J Infect Dis</w:t>
      </w:r>
      <w:r w:rsidRPr="00661052">
        <w:rPr>
          <w:rFonts w:eastAsia="Times New Roman"/>
        </w:rPr>
        <w:t xml:space="preserve">. 2020;223(3):362–9. </w:t>
      </w:r>
      <w:proofErr w:type="spellStart"/>
      <w:r w:rsidRPr="00661052">
        <w:rPr>
          <w:rFonts w:eastAsia="Times New Roman"/>
        </w:rPr>
        <w:t>doi</w:t>
      </w:r>
      <w:proofErr w:type="spellEnd"/>
      <w:r w:rsidRPr="00661052">
        <w:rPr>
          <w:rFonts w:eastAsia="Times New Roman"/>
        </w:rPr>
        <w:t xml:space="preserve">: https://doi.org/10.1093/infdis/jiaa691. </w:t>
      </w:r>
    </w:p>
    <w:p w14:paraId="214C9E1A"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Madewell ZJ, Yang Y, </w:t>
      </w:r>
      <w:proofErr w:type="spellStart"/>
      <w:r w:rsidRPr="00661052">
        <w:rPr>
          <w:rFonts w:eastAsia="Times New Roman"/>
        </w:rPr>
        <w:t>Longini</w:t>
      </w:r>
      <w:proofErr w:type="spellEnd"/>
      <w:r w:rsidRPr="00661052">
        <w:rPr>
          <w:rFonts w:eastAsia="Times New Roman"/>
        </w:rPr>
        <w:t xml:space="preserve"> IM, Halloran ME, Dean NE. Household transmission of SARS-CoV-2: a systematic review and meta-analysis. </w:t>
      </w:r>
      <w:r w:rsidRPr="00BE1B3E">
        <w:rPr>
          <w:rStyle w:val="Emphasis"/>
          <w:rFonts w:eastAsia="Times New Roman"/>
          <w:b w:val="0"/>
          <w:bCs w:val="0"/>
        </w:rPr>
        <w:t xml:space="preserve">JAMA </w:t>
      </w:r>
      <w:proofErr w:type="spellStart"/>
      <w:r w:rsidRPr="00BE1B3E">
        <w:rPr>
          <w:rStyle w:val="Emphasis"/>
          <w:rFonts w:eastAsia="Times New Roman"/>
          <w:b w:val="0"/>
          <w:bCs w:val="0"/>
        </w:rPr>
        <w:t>Netw</w:t>
      </w:r>
      <w:proofErr w:type="spellEnd"/>
      <w:r w:rsidRPr="00BE1B3E">
        <w:rPr>
          <w:rStyle w:val="Emphasis"/>
          <w:rFonts w:eastAsia="Times New Roman"/>
          <w:b w:val="0"/>
          <w:bCs w:val="0"/>
        </w:rPr>
        <w:t xml:space="preserve"> Open</w:t>
      </w:r>
      <w:r w:rsidRPr="00661052">
        <w:rPr>
          <w:rFonts w:eastAsia="Times New Roman"/>
        </w:rPr>
        <w:t>. 2020;3(12</w:t>
      </w:r>
      <w:proofErr w:type="gramStart"/>
      <w:r w:rsidRPr="00661052">
        <w:rPr>
          <w:rFonts w:eastAsia="Times New Roman"/>
        </w:rPr>
        <w:t>):e</w:t>
      </w:r>
      <w:proofErr w:type="gramEnd"/>
      <w:r w:rsidRPr="00661052">
        <w:rPr>
          <w:rFonts w:eastAsia="Times New Roman"/>
        </w:rPr>
        <w:t xml:space="preserve">2031756. </w:t>
      </w:r>
      <w:proofErr w:type="spellStart"/>
      <w:r w:rsidRPr="00661052">
        <w:rPr>
          <w:rFonts w:eastAsia="Times New Roman"/>
        </w:rPr>
        <w:t>doi</w:t>
      </w:r>
      <w:proofErr w:type="spellEnd"/>
      <w:r w:rsidRPr="00661052">
        <w:rPr>
          <w:rFonts w:eastAsia="Times New Roman"/>
        </w:rPr>
        <w:t xml:space="preserve">: https://doi.org/10.1001/jamanetworkopen.2020.31756. </w:t>
      </w:r>
    </w:p>
    <w:p w14:paraId="135A019F"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Peng J, Liu J, Mann SA, Mitchell AM, Laurie MT, Sunshine S et al. Estimation of secondary household attack rates for emergent spike L452R SARS-CoV-2 variants detected by genomic surveillance at a community-based testing site in San Francisco. </w:t>
      </w:r>
      <w:r w:rsidRPr="00BE1B3E">
        <w:rPr>
          <w:rStyle w:val="Emphasis"/>
          <w:rFonts w:eastAsia="Times New Roman"/>
          <w:b w:val="0"/>
          <w:bCs w:val="0"/>
        </w:rPr>
        <w:t>Clin Infect Dis</w:t>
      </w:r>
      <w:r w:rsidRPr="00661052">
        <w:rPr>
          <w:rFonts w:eastAsia="Times New Roman"/>
        </w:rPr>
        <w:t xml:space="preserve">. 2022;74(1):32–9. </w:t>
      </w:r>
      <w:proofErr w:type="spellStart"/>
      <w:r w:rsidRPr="00661052">
        <w:rPr>
          <w:rFonts w:eastAsia="Times New Roman"/>
        </w:rPr>
        <w:t>doi</w:t>
      </w:r>
      <w:proofErr w:type="spellEnd"/>
      <w:r w:rsidRPr="00661052">
        <w:rPr>
          <w:rFonts w:eastAsia="Times New Roman"/>
        </w:rPr>
        <w:t xml:space="preserve">: https://doi.org/10.1093/cid/ciab283. </w:t>
      </w:r>
    </w:p>
    <w:p w14:paraId="7EFCF0BF" w14:textId="77777777" w:rsidR="00661052" w:rsidRPr="00661052" w:rsidRDefault="00661052" w:rsidP="00661052">
      <w:pPr>
        <w:pStyle w:val="ListParagraph"/>
        <w:numPr>
          <w:ilvl w:val="0"/>
          <w:numId w:val="10"/>
        </w:numPr>
        <w:rPr>
          <w:rFonts w:eastAsia="Times New Roman"/>
        </w:rPr>
      </w:pPr>
      <w:r w:rsidRPr="00661052">
        <w:rPr>
          <w:rFonts w:eastAsia="Times New Roman"/>
        </w:rPr>
        <w:t xml:space="preserve">Tanaka H, Hirayama A, Nagai H, Shirai C, Takahashi Y, </w:t>
      </w:r>
      <w:proofErr w:type="spellStart"/>
      <w:r w:rsidRPr="00661052">
        <w:rPr>
          <w:rFonts w:eastAsia="Times New Roman"/>
        </w:rPr>
        <w:t>Shinomiya</w:t>
      </w:r>
      <w:proofErr w:type="spellEnd"/>
      <w:r w:rsidRPr="00661052">
        <w:rPr>
          <w:rFonts w:eastAsia="Times New Roman"/>
        </w:rPr>
        <w:t xml:space="preserve"> H et al. Increased transmissibility of the SARS-CoV-2 Alpha variant in a Japanese population.</w:t>
      </w:r>
      <w:r w:rsidRPr="00BE1B3E">
        <w:rPr>
          <w:rStyle w:val="Emphasis"/>
          <w:rFonts w:eastAsia="Times New Roman"/>
          <w:b w:val="0"/>
          <w:bCs w:val="0"/>
        </w:rPr>
        <w:t xml:space="preserve"> Int J Environ Res Public Health</w:t>
      </w:r>
      <w:r w:rsidRPr="00661052">
        <w:rPr>
          <w:rFonts w:eastAsia="Times New Roman"/>
        </w:rPr>
        <w:t xml:space="preserve">. 2021;18(15):7752. </w:t>
      </w:r>
      <w:proofErr w:type="spellStart"/>
      <w:r w:rsidRPr="00661052">
        <w:rPr>
          <w:rFonts w:eastAsia="Times New Roman"/>
        </w:rPr>
        <w:t>doi</w:t>
      </w:r>
      <w:proofErr w:type="spellEnd"/>
      <w:r w:rsidRPr="00661052">
        <w:rPr>
          <w:rFonts w:eastAsia="Times New Roman"/>
        </w:rPr>
        <w:t>: https://doi.org/10.3390/ijerph18157752.</w:t>
      </w:r>
    </w:p>
    <w:p w14:paraId="07317EF7" w14:textId="77777777" w:rsidR="00940A24" w:rsidRDefault="00940A24">
      <w:pPr>
        <w:rPr>
          <w:rStyle w:val="A10"/>
        </w:rPr>
      </w:pPr>
    </w:p>
    <w:p w14:paraId="62FA87AD" w14:textId="27446DB5" w:rsidR="00940A24" w:rsidRDefault="00940A24">
      <w:pPr>
        <w:rPr>
          <w:rStyle w:val="A10"/>
        </w:rPr>
        <w:sectPr w:rsidR="00940A24" w:rsidSect="00A30C37">
          <w:footnotePr>
            <w:numFmt w:val="lowerRoman"/>
          </w:footnotePr>
          <w:pgSz w:w="11906" w:h="16838"/>
          <w:pgMar w:top="720" w:right="720" w:bottom="1134" w:left="720" w:header="709" w:footer="284" w:gutter="0"/>
          <w:cols w:space="708"/>
          <w:titlePg/>
          <w:docGrid w:linePitch="360"/>
        </w:sectPr>
      </w:pPr>
    </w:p>
    <w:p w14:paraId="4033D582"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F92B80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AAA387C" w14:textId="77777777" w:rsidR="000A5F42" w:rsidRPr="000606CC" w:rsidRDefault="000A5F42" w:rsidP="000A5F42">
      <w:pPr>
        <w:pStyle w:val="NoSpacing"/>
        <w:rPr>
          <w:rStyle w:val="URI"/>
          <w:rFonts w:cstheme="minorHAnsi"/>
          <w:sz w:val="20"/>
          <w:szCs w:val="18"/>
        </w:rPr>
      </w:pPr>
    </w:p>
    <w:p w14:paraId="4F45CE61" w14:textId="52DE007C"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w:t>
      </w:r>
      <w:r w:rsidR="00A54A1F">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440B3734" w14:textId="77777777" w:rsidR="000A5F42" w:rsidRPr="000606CC" w:rsidRDefault="000A5F42" w:rsidP="000A5F42">
      <w:pPr>
        <w:pStyle w:val="NoSpacing"/>
        <w:rPr>
          <w:rStyle w:val="Strong"/>
          <w:rFonts w:cstheme="minorHAnsi"/>
          <w:sz w:val="20"/>
          <w:szCs w:val="18"/>
        </w:rPr>
      </w:pPr>
    </w:p>
    <w:p w14:paraId="7D51A92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40D3CA5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80523E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183FEBCE"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6745F3DB" w14:textId="77777777" w:rsidR="000A5F42" w:rsidRPr="000606CC" w:rsidRDefault="000A5F42" w:rsidP="000A5F42">
      <w:pPr>
        <w:pStyle w:val="NoSpacing"/>
        <w:rPr>
          <w:rStyle w:val="Strong"/>
          <w:rFonts w:cstheme="minorHAnsi"/>
          <w:sz w:val="20"/>
          <w:szCs w:val="18"/>
        </w:rPr>
      </w:pPr>
    </w:p>
    <w:p w14:paraId="01A91757" w14:textId="0C90622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EF124F8" w14:textId="77777777" w:rsidR="000A5F42" w:rsidRPr="000606CC" w:rsidRDefault="000A5F42" w:rsidP="000A5F42">
      <w:pPr>
        <w:pStyle w:val="NoSpacing"/>
        <w:rPr>
          <w:rStyle w:val="Strong"/>
          <w:rFonts w:cstheme="minorHAnsi"/>
          <w:sz w:val="20"/>
          <w:szCs w:val="18"/>
        </w:rPr>
      </w:pPr>
    </w:p>
    <w:p w14:paraId="14241910" w14:textId="19832660"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54A1F">
        <w:rPr>
          <w:rStyle w:val="Strong"/>
          <w:rFonts w:cs="Calibri"/>
          <w:b w:val="0"/>
          <w:bCs w:val="0"/>
          <w:sz w:val="20"/>
          <w:szCs w:val="18"/>
        </w:rPr>
        <w:t xml:space="preserve"> and Aged Care</w:t>
      </w:r>
      <w:r w:rsidR="00E54BBD" w:rsidRPr="00E54BBD">
        <w:rPr>
          <w:rFonts w:cstheme="minorHAnsi"/>
          <w:sz w:val="20"/>
          <w:szCs w:val="18"/>
        </w:rPr>
        <w:t>, GPO Box 9848, (MDP 6) CANBERRA ACT 2601</w:t>
      </w:r>
    </w:p>
    <w:p w14:paraId="47E22705" w14:textId="77777777" w:rsidR="000A5F42" w:rsidRPr="000606CC" w:rsidRDefault="000A5F42" w:rsidP="000A5F42">
      <w:pPr>
        <w:pStyle w:val="NoSpacing"/>
        <w:rPr>
          <w:rStyle w:val="Strong"/>
          <w:rFonts w:cstheme="minorHAnsi"/>
          <w:sz w:val="20"/>
          <w:szCs w:val="18"/>
        </w:rPr>
      </w:pPr>
    </w:p>
    <w:p w14:paraId="49FFCB19" w14:textId="1EFFAC2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51F6794" w14:textId="77777777" w:rsidR="000A5F42" w:rsidRPr="000606CC" w:rsidRDefault="000A5F42" w:rsidP="000A5F42">
      <w:pPr>
        <w:pStyle w:val="NoSpacing"/>
        <w:rPr>
          <w:rStyle w:val="Strong"/>
          <w:rFonts w:cstheme="minorHAnsi"/>
          <w:sz w:val="20"/>
          <w:szCs w:val="18"/>
        </w:rPr>
      </w:pPr>
    </w:p>
    <w:p w14:paraId="50D58F60" w14:textId="353AF53E"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BEA4465" w14:textId="544F2688"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554EAD75" w14:textId="77777777" w:rsidR="000A5F42" w:rsidRPr="000606CC" w:rsidRDefault="000A5F42" w:rsidP="000A5F42">
      <w:pPr>
        <w:pStyle w:val="NoSpacing"/>
        <w:pBdr>
          <w:bottom w:val="single" w:sz="6" w:space="1" w:color="auto"/>
        </w:pBdr>
        <w:rPr>
          <w:rStyle w:val="Strong"/>
          <w:rFonts w:cstheme="minorHAnsi"/>
          <w:sz w:val="12"/>
          <w:szCs w:val="18"/>
        </w:rPr>
      </w:pPr>
    </w:p>
    <w:p w14:paraId="46614861" w14:textId="77777777" w:rsidR="000A5F42" w:rsidRPr="000606CC" w:rsidRDefault="000A5F42" w:rsidP="000A5F42">
      <w:pPr>
        <w:pStyle w:val="NoSpacing"/>
        <w:rPr>
          <w:rFonts w:cstheme="minorHAnsi"/>
          <w:sz w:val="20"/>
          <w:szCs w:val="18"/>
        </w:rPr>
      </w:pPr>
    </w:p>
    <w:p w14:paraId="1D229A2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38015F1" w14:textId="77777777" w:rsidR="000A5F42" w:rsidRPr="000606CC" w:rsidRDefault="000A5F42" w:rsidP="000A5F42">
      <w:pPr>
        <w:pStyle w:val="NoSpacing"/>
        <w:rPr>
          <w:rFonts w:cstheme="minorHAnsi"/>
          <w:sz w:val="20"/>
          <w:szCs w:val="18"/>
        </w:rPr>
      </w:pPr>
    </w:p>
    <w:p w14:paraId="73D6A799"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0CE88BC0" w14:textId="242CB2AC"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BF47E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r w:rsidR="006E10CF">
        <w:rPr>
          <w:rFonts w:cstheme="minorHAnsi"/>
          <w:sz w:val="20"/>
          <w:szCs w:val="18"/>
        </w:rPr>
        <w:t xml:space="preserve"> and Aged Care</w:t>
      </w:r>
    </w:p>
    <w:p w14:paraId="5045FF45" w14:textId="2E81E2E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85ECE96" w14:textId="77777777" w:rsidR="000A5F42" w:rsidRPr="000606CC" w:rsidRDefault="000A5F42" w:rsidP="000A5F42">
      <w:pPr>
        <w:pStyle w:val="NoSpacing"/>
        <w:rPr>
          <w:rFonts w:cstheme="minorHAnsi"/>
          <w:sz w:val="20"/>
          <w:szCs w:val="18"/>
        </w:rPr>
      </w:pPr>
    </w:p>
    <w:p w14:paraId="582826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74BD7CC" w14:textId="1B6CC2F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53A260BC" w14:textId="39F0340A"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A54A1F">
        <w:rPr>
          <w:rFonts w:cstheme="minorHAnsi"/>
          <w:sz w:val="20"/>
          <w:szCs w:val="18"/>
        </w:rPr>
        <w:t xml:space="preserve">logo of the </w:t>
      </w:r>
      <w:r w:rsidRPr="000606CC">
        <w:rPr>
          <w:rFonts w:cstheme="minorHAnsi"/>
          <w:sz w:val="20"/>
          <w:szCs w:val="18"/>
        </w:rPr>
        <w:t>Department of Health</w:t>
      </w:r>
      <w:r w:rsidR="00A54A1F">
        <w:rPr>
          <w:rFonts w:cstheme="minorHAnsi"/>
          <w:sz w:val="20"/>
          <w:szCs w:val="18"/>
        </w:rPr>
        <w:t xml:space="preserve"> </w:t>
      </w:r>
      <w:r w:rsidR="00A54A1F">
        <w:rPr>
          <w:rStyle w:val="Strong"/>
          <w:rFonts w:cs="Calibri"/>
          <w:b w:val="0"/>
          <w:bCs w:val="0"/>
          <w:sz w:val="20"/>
          <w:szCs w:val="18"/>
        </w:rPr>
        <w:t>and Aged Care</w:t>
      </w:r>
      <w:r w:rsidRPr="000606CC">
        <w:rPr>
          <w:rFonts w:cstheme="minorHAnsi"/>
          <w:sz w:val="20"/>
          <w:szCs w:val="18"/>
        </w:rPr>
        <w:t xml:space="preserve">) and </w:t>
      </w:r>
      <w:proofErr w:type="gramStart"/>
      <w:r w:rsidRPr="000606CC">
        <w:rPr>
          <w:rFonts w:cstheme="minorHAnsi"/>
          <w:sz w:val="20"/>
          <w:szCs w:val="18"/>
        </w:rPr>
        <w:t>trademarks;</w:t>
      </w:r>
      <w:proofErr w:type="gramEnd"/>
    </w:p>
    <w:p w14:paraId="1765EBE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3C17F4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E08EEE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7C331E6" w14:textId="77777777" w:rsidR="000A5F42" w:rsidRPr="000606CC" w:rsidRDefault="000A5F42" w:rsidP="000A5F42">
      <w:pPr>
        <w:pStyle w:val="NoSpacing"/>
        <w:rPr>
          <w:rStyle w:val="Strong"/>
          <w:rFonts w:cstheme="minorHAnsi"/>
          <w:sz w:val="20"/>
          <w:szCs w:val="18"/>
        </w:rPr>
      </w:pPr>
    </w:p>
    <w:p w14:paraId="565E0DC2" w14:textId="4F094111"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w:t>
      </w:r>
      <w:r w:rsidR="00A54A1F">
        <w:rPr>
          <w:rStyle w:val="Strong"/>
          <w:rFonts w:cs="Calibri"/>
          <w:b w:val="0"/>
          <w:bCs w:val="0"/>
          <w:sz w:val="20"/>
          <w:szCs w:val="18"/>
        </w:rPr>
        <w:t xml:space="preserve"> and Aged Care</w:t>
      </w:r>
      <w:r w:rsidRPr="000606CC">
        <w:rPr>
          <w:rFonts w:cstheme="minorHAnsi"/>
          <w:sz w:val="20"/>
          <w:szCs w:val="18"/>
        </w:rPr>
        <w:t xml:space="preserve"> or the Communicable Diseases Network Australia. Data may be subject to revision.</w:t>
      </w:r>
    </w:p>
    <w:p w14:paraId="7142B712" w14:textId="77777777" w:rsidR="000A5F42" w:rsidRPr="000606CC" w:rsidRDefault="000A5F42" w:rsidP="000A5F42">
      <w:pPr>
        <w:pStyle w:val="NoSpacing"/>
        <w:rPr>
          <w:rStyle w:val="Strong"/>
          <w:rFonts w:cstheme="minorHAnsi"/>
          <w:sz w:val="20"/>
          <w:szCs w:val="18"/>
        </w:rPr>
      </w:pPr>
    </w:p>
    <w:p w14:paraId="27762773" w14:textId="15BF6F6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w:t>
      </w:r>
      <w:r w:rsidR="00A54A1F">
        <w:rPr>
          <w:rStyle w:val="Strong"/>
          <w:rFonts w:cs="Calibri"/>
          <w:b w:val="0"/>
          <w:bCs w:val="0"/>
          <w:sz w:val="20"/>
          <w:szCs w:val="18"/>
        </w:rPr>
        <w:t xml:space="preserve"> and Aged Care</w:t>
      </w:r>
      <w:r w:rsidRPr="000606CC">
        <w:rPr>
          <w:rFonts w:cstheme="minorHAnsi"/>
          <w:sz w:val="20"/>
          <w:szCs w:val="18"/>
        </w:rPr>
        <w:t xml:space="preserve">,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AD42EA1" w14:textId="77777777" w:rsidR="000A5F42" w:rsidRPr="000606CC" w:rsidRDefault="000A5F42" w:rsidP="000A5F42">
      <w:pPr>
        <w:pStyle w:val="NoSpacing"/>
        <w:rPr>
          <w:rStyle w:val="URI"/>
          <w:rFonts w:cstheme="minorHAnsi"/>
          <w:sz w:val="20"/>
          <w:szCs w:val="18"/>
        </w:rPr>
      </w:pPr>
    </w:p>
    <w:p w14:paraId="390DDE1C" w14:textId="1AA05412"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640EA951"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E1FC3" w14:textId="77777777" w:rsidR="00BF47EC" w:rsidRDefault="00BF47EC" w:rsidP="00E54DBA">
      <w:r>
        <w:separator/>
      </w:r>
    </w:p>
    <w:p w14:paraId="56C560FE" w14:textId="77777777" w:rsidR="00BF47EC" w:rsidRDefault="00BF47EC"/>
    <w:p w14:paraId="6D26D281" w14:textId="77777777" w:rsidR="00BF47EC" w:rsidRDefault="00BF47EC" w:rsidP="008714B0"/>
  </w:endnote>
  <w:endnote w:type="continuationSeparator" w:id="0">
    <w:p w14:paraId="47F1FA8C" w14:textId="77777777" w:rsidR="00BF47EC" w:rsidRDefault="00BF47EC" w:rsidP="00E54DBA">
      <w:r>
        <w:continuationSeparator/>
      </w:r>
    </w:p>
    <w:p w14:paraId="2925AC9F" w14:textId="77777777" w:rsidR="00BF47EC" w:rsidRDefault="00BF47EC"/>
    <w:p w14:paraId="255C087C" w14:textId="77777777" w:rsidR="00BF47EC" w:rsidRDefault="00BF47E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4357D748-2D0D-4411-B0DF-5A9EE27A1BA6}"/>
    <w:embedBold r:id="rId2" w:fontKey="{28C9D9D0-D322-4EB1-AC58-09A1B8B810AE}"/>
    <w:embedItalic r:id="rId3" w:fontKey="{18957B77-CC9A-4F6C-9BA7-EA492B948578}"/>
    <w:embedBoldItalic r:id="rId4" w:fontKey="{21DCBC95-7958-4957-A210-9FD6BFAA0804}"/>
  </w:font>
  <w:font w:name="Cambria">
    <w:panose1 w:val="02040503050406030204"/>
    <w:charset w:val="00"/>
    <w:family w:val="roman"/>
    <w:pitch w:val="variable"/>
    <w:sig w:usb0="E00006FF" w:usb1="420024FF" w:usb2="02000000" w:usb3="00000000" w:csb0="0000019F" w:csb1="00000000"/>
    <w:embedRegular r:id="rId5" w:fontKey="{7800F6D6-F016-4495-9442-B7AD1C2E820A}"/>
    <w:embedBold r:id="rId6" w:fontKey="{587498F0-8283-4C09-9C69-A183F7955D36}"/>
    <w:embedItalic r:id="rId7" w:fontKey="{28F60AAF-E9AA-4F52-9DA1-E42F0431FE36}"/>
    <w:embedBoldItalic r:id="rId8" w:fontKey="{3F6CC942-79E9-4C66-9707-FE0F87289B52}"/>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45B2B3D4-3A1E-479F-A1D5-75BE11838E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B6254" w14:textId="17CF0BA6"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E1B3E">
      <w:rPr>
        <w:i/>
        <w:sz w:val="18"/>
      </w:rPr>
      <w:t>Commun</w:t>
    </w:r>
    <w:proofErr w:type="spellEnd"/>
    <w:r w:rsidR="00CE342B" w:rsidRPr="00BE1B3E">
      <w:rPr>
        <w:i/>
        <w:sz w:val="18"/>
      </w:rPr>
      <w:t xml:space="preserve"> Dis </w:t>
    </w:r>
    <w:proofErr w:type="spellStart"/>
    <w:r w:rsidR="00CE342B" w:rsidRPr="00BE1B3E">
      <w:rPr>
        <w:i/>
        <w:sz w:val="18"/>
      </w:rPr>
      <w:t>Intell</w:t>
    </w:r>
    <w:proofErr w:type="spellEnd"/>
    <w:r w:rsidR="00CE342B" w:rsidRPr="00BE1B3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BF47E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BF47E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F07FA">
      <w:rPr>
        <w:sz w:val="18"/>
      </w:rPr>
      <w:t>https://doi.org/10.33321/cdi.2022.46.44</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6F07FA">
      <w:rPr>
        <w:sz w:val="18"/>
      </w:rPr>
      <w:t>21/7/2022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E7405" w14:textId="196661FC"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E1B3E">
      <w:rPr>
        <w:i/>
        <w:sz w:val="18"/>
      </w:rPr>
      <w:t>Commun</w:t>
    </w:r>
    <w:proofErr w:type="spellEnd"/>
    <w:r w:rsidR="00A164D5" w:rsidRPr="00BE1B3E">
      <w:rPr>
        <w:i/>
        <w:sz w:val="18"/>
      </w:rPr>
      <w:t xml:space="preserve"> Dis </w:t>
    </w:r>
    <w:proofErr w:type="spellStart"/>
    <w:r w:rsidR="00A164D5" w:rsidRPr="00BE1B3E">
      <w:rPr>
        <w:i/>
        <w:sz w:val="18"/>
      </w:rPr>
      <w:t>Intell</w:t>
    </w:r>
    <w:proofErr w:type="spellEnd"/>
    <w:r w:rsidR="00A164D5" w:rsidRPr="00BE1B3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BF47E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BF47E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F07FA">
      <w:rPr>
        <w:sz w:val="18"/>
      </w:rPr>
      <w:t>https://doi.org/10.33321/cdi.2022.46.44</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F07FA">
      <w:rPr>
        <w:sz w:val="18"/>
      </w:rPr>
      <w:t>21/7/2022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F8CEA" w14:textId="77777777" w:rsidR="00BF47EC" w:rsidRPr="00B91FB5" w:rsidRDefault="00BF47EC" w:rsidP="00B91FB5">
      <w:pPr>
        <w:spacing w:after="0" w:line="240" w:lineRule="auto"/>
        <w:rPr>
          <w:sz w:val="18"/>
          <w:szCs w:val="18"/>
        </w:rPr>
      </w:pPr>
      <w:r w:rsidRPr="00B91FB5">
        <w:rPr>
          <w:sz w:val="18"/>
          <w:szCs w:val="18"/>
        </w:rPr>
        <w:separator/>
      </w:r>
    </w:p>
  </w:footnote>
  <w:footnote w:type="continuationSeparator" w:id="0">
    <w:p w14:paraId="42F14158" w14:textId="77777777" w:rsidR="00BF47EC" w:rsidRDefault="00BF47EC" w:rsidP="00E54DBA">
      <w:r>
        <w:continuationSeparator/>
      </w:r>
    </w:p>
  </w:footnote>
  <w:footnote w:type="continuationNotice" w:id="1">
    <w:p w14:paraId="7C0CC89E" w14:textId="77777777" w:rsidR="00BF47EC" w:rsidRPr="00224EFF" w:rsidRDefault="00BF47EC" w:rsidP="00224EFF">
      <w:pPr>
        <w:pStyle w:val="Footer"/>
      </w:pPr>
    </w:p>
  </w:footnote>
  <w:footnote w:id="2">
    <w:p w14:paraId="498D89D6" w14:textId="63B2F981" w:rsidR="002D574E" w:rsidRPr="00FF575F" w:rsidRDefault="002D574E" w:rsidP="00FF575F">
      <w:pPr>
        <w:pStyle w:val="CDIfootnotes"/>
      </w:pPr>
      <w:r w:rsidRPr="00FF575F">
        <w:rPr>
          <w:rStyle w:val="FootnoteReference"/>
          <w:vertAlign w:val="baseline"/>
        </w:rPr>
        <w:footnoteRef/>
      </w:r>
      <w:r w:rsidRPr="00FF575F">
        <w:tab/>
        <w:t>https://cov-lineages.org/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B151D" w14:textId="03791E91" w:rsidR="00257484" w:rsidRPr="00A153B6" w:rsidRDefault="00EF51C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F1DCB">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4032A1"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6790FAE4" wp14:editId="7C0B514E">
          <wp:extent cx="1734206" cy="522828"/>
          <wp:effectExtent l="0" t="0" r="0" b="0"/>
          <wp:docPr id="1" name="Picture 1" descr="Australian Government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Department of Health and Aged Care"/>
                  <pic:cNvPicPr/>
                </pic:nvPicPr>
                <pic:blipFill>
                  <a:blip r:embed="rId1">
                    <a:extLst>
                      <a:ext uri="{28A0092B-C50C-407E-A947-70E740481C1C}">
                        <a14:useLocalDpi xmlns:a14="http://schemas.microsoft.com/office/drawing/2010/main" val="0"/>
                      </a:ext>
                    </a:extLst>
                  </a:blip>
                  <a:stretch>
                    <a:fillRect/>
                  </a:stretch>
                </pic:blipFill>
                <pic:spPr>
                  <a:xfrm>
                    <a:off x="0" y="0"/>
                    <a:ext cx="1788578" cy="5392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81FD7"/>
    <w:multiLevelType w:val="multilevel"/>
    <w:tmpl w:val="3FBC7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224BC9"/>
    <w:multiLevelType w:val="hybridMultilevel"/>
    <w:tmpl w:val="6AC8DB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05656A4"/>
    <w:multiLevelType w:val="multilevel"/>
    <w:tmpl w:val="314CB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EA02E0"/>
    <w:multiLevelType w:val="hybridMultilevel"/>
    <w:tmpl w:val="D83E705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7"/>
  </w:num>
  <w:num w:numId="4">
    <w:abstractNumId w:val="1"/>
  </w:num>
  <w:num w:numId="5">
    <w:abstractNumId w:val="8"/>
  </w:num>
  <w:num w:numId="6">
    <w:abstractNumId w:val="9"/>
  </w:num>
  <w:num w:numId="7">
    <w:abstractNumId w:val="4"/>
  </w:num>
  <w:num w:numId="8">
    <w:abstractNumId w:val="0"/>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proofState w:spelling="clean" w:grammar="clean"/>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7EC"/>
    <w:rsid w:val="00000B5B"/>
    <w:rsid w:val="00001611"/>
    <w:rsid w:val="000104A8"/>
    <w:rsid w:val="0001246E"/>
    <w:rsid w:val="000124B1"/>
    <w:rsid w:val="00014639"/>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2DD2"/>
    <w:rsid w:val="002A3799"/>
    <w:rsid w:val="002A3BCC"/>
    <w:rsid w:val="002A4516"/>
    <w:rsid w:val="002A569F"/>
    <w:rsid w:val="002A7066"/>
    <w:rsid w:val="002B001E"/>
    <w:rsid w:val="002B09B7"/>
    <w:rsid w:val="002B75A9"/>
    <w:rsid w:val="002C21B0"/>
    <w:rsid w:val="002C6DB5"/>
    <w:rsid w:val="002D574E"/>
    <w:rsid w:val="002E2FB3"/>
    <w:rsid w:val="002F327B"/>
    <w:rsid w:val="00301626"/>
    <w:rsid w:val="003059EC"/>
    <w:rsid w:val="00316CCD"/>
    <w:rsid w:val="00323C2A"/>
    <w:rsid w:val="00324F7E"/>
    <w:rsid w:val="003323BC"/>
    <w:rsid w:val="00346D42"/>
    <w:rsid w:val="00346E11"/>
    <w:rsid w:val="00355FA3"/>
    <w:rsid w:val="003601C0"/>
    <w:rsid w:val="003635F5"/>
    <w:rsid w:val="00364CBD"/>
    <w:rsid w:val="00372A88"/>
    <w:rsid w:val="00381A0F"/>
    <w:rsid w:val="003A1B3A"/>
    <w:rsid w:val="003A40F5"/>
    <w:rsid w:val="003B5B8C"/>
    <w:rsid w:val="003C0346"/>
    <w:rsid w:val="003C14B4"/>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43467"/>
    <w:rsid w:val="00464A58"/>
    <w:rsid w:val="00473D2D"/>
    <w:rsid w:val="004A2125"/>
    <w:rsid w:val="004A38F6"/>
    <w:rsid w:val="004B4EB6"/>
    <w:rsid w:val="004C083C"/>
    <w:rsid w:val="004C67C6"/>
    <w:rsid w:val="004D29DE"/>
    <w:rsid w:val="004F1DCB"/>
    <w:rsid w:val="00510EAC"/>
    <w:rsid w:val="00542A57"/>
    <w:rsid w:val="00565974"/>
    <w:rsid w:val="005732C0"/>
    <w:rsid w:val="0057336D"/>
    <w:rsid w:val="0057489A"/>
    <w:rsid w:val="00574ACF"/>
    <w:rsid w:val="00581408"/>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198E"/>
    <w:rsid w:val="00607115"/>
    <w:rsid w:val="00620768"/>
    <w:rsid w:val="0062594B"/>
    <w:rsid w:val="00631406"/>
    <w:rsid w:val="006324FF"/>
    <w:rsid w:val="006351D6"/>
    <w:rsid w:val="00636E0D"/>
    <w:rsid w:val="0064142F"/>
    <w:rsid w:val="00643CB4"/>
    <w:rsid w:val="00656427"/>
    <w:rsid w:val="00660255"/>
    <w:rsid w:val="00661052"/>
    <w:rsid w:val="00663EA5"/>
    <w:rsid w:val="006971F3"/>
    <w:rsid w:val="006C36BE"/>
    <w:rsid w:val="006C74A3"/>
    <w:rsid w:val="006D1381"/>
    <w:rsid w:val="006D31BC"/>
    <w:rsid w:val="006E10CF"/>
    <w:rsid w:val="006E7943"/>
    <w:rsid w:val="006F07FA"/>
    <w:rsid w:val="006F24EA"/>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461E5"/>
    <w:rsid w:val="00850D54"/>
    <w:rsid w:val="00852E2B"/>
    <w:rsid w:val="008714B0"/>
    <w:rsid w:val="00876331"/>
    <w:rsid w:val="00880726"/>
    <w:rsid w:val="008A3544"/>
    <w:rsid w:val="008B48B8"/>
    <w:rsid w:val="008B5348"/>
    <w:rsid w:val="008B58F8"/>
    <w:rsid w:val="008C0712"/>
    <w:rsid w:val="008C4520"/>
    <w:rsid w:val="008C5F09"/>
    <w:rsid w:val="008D1E0E"/>
    <w:rsid w:val="008D470F"/>
    <w:rsid w:val="008E1F8F"/>
    <w:rsid w:val="008E4768"/>
    <w:rsid w:val="008E761E"/>
    <w:rsid w:val="008F77B3"/>
    <w:rsid w:val="009008F5"/>
    <w:rsid w:val="00904CC1"/>
    <w:rsid w:val="009066AF"/>
    <w:rsid w:val="00912050"/>
    <w:rsid w:val="00912E48"/>
    <w:rsid w:val="0092746F"/>
    <w:rsid w:val="00935DC9"/>
    <w:rsid w:val="00940A24"/>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0ABE"/>
    <w:rsid w:val="00A153B6"/>
    <w:rsid w:val="00A164D5"/>
    <w:rsid w:val="00A273C3"/>
    <w:rsid w:val="00A30C37"/>
    <w:rsid w:val="00A36C65"/>
    <w:rsid w:val="00A41BBE"/>
    <w:rsid w:val="00A443E3"/>
    <w:rsid w:val="00A45BDD"/>
    <w:rsid w:val="00A46A0A"/>
    <w:rsid w:val="00A54A1F"/>
    <w:rsid w:val="00A553F8"/>
    <w:rsid w:val="00A6708F"/>
    <w:rsid w:val="00A71BF6"/>
    <w:rsid w:val="00A72AF9"/>
    <w:rsid w:val="00A86F9A"/>
    <w:rsid w:val="00AA35E6"/>
    <w:rsid w:val="00AA50B6"/>
    <w:rsid w:val="00AB3472"/>
    <w:rsid w:val="00AD0762"/>
    <w:rsid w:val="00AE3DCF"/>
    <w:rsid w:val="00AE4452"/>
    <w:rsid w:val="00AE7C38"/>
    <w:rsid w:val="00B01F99"/>
    <w:rsid w:val="00B02B37"/>
    <w:rsid w:val="00B05276"/>
    <w:rsid w:val="00B132DB"/>
    <w:rsid w:val="00B31427"/>
    <w:rsid w:val="00B33861"/>
    <w:rsid w:val="00B40DE2"/>
    <w:rsid w:val="00B50210"/>
    <w:rsid w:val="00B53955"/>
    <w:rsid w:val="00B6408A"/>
    <w:rsid w:val="00B714B8"/>
    <w:rsid w:val="00B82C2C"/>
    <w:rsid w:val="00B83A7C"/>
    <w:rsid w:val="00B8720B"/>
    <w:rsid w:val="00B876EF"/>
    <w:rsid w:val="00B91FB5"/>
    <w:rsid w:val="00BA4697"/>
    <w:rsid w:val="00BB5378"/>
    <w:rsid w:val="00BC0BD3"/>
    <w:rsid w:val="00BD0107"/>
    <w:rsid w:val="00BD1ACB"/>
    <w:rsid w:val="00BE0C33"/>
    <w:rsid w:val="00BE1B3E"/>
    <w:rsid w:val="00BE262C"/>
    <w:rsid w:val="00BE4C25"/>
    <w:rsid w:val="00BE6C3D"/>
    <w:rsid w:val="00BF47EC"/>
    <w:rsid w:val="00C07606"/>
    <w:rsid w:val="00C12542"/>
    <w:rsid w:val="00C24725"/>
    <w:rsid w:val="00C30BA9"/>
    <w:rsid w:val="00C3541E"/>
    <w:rsid w:val="00C36A8F"/>
    <w:rsid w:val="00C42834"/>
    <w:rsid w:val="00C42FFA"/>
    <w:rsid w:val="00C47087"/>
    <w:rsid w:val="00C507D8"/>
    <w:rsid w:val="00C62EAC"/>
    <w:rsid w:val="00C63F9F"/>
    <w:rsid w:val="00C7723C"/>
    <w:rsid w:val="00C838F5"/>
    <w:rsid w:val="00C841C0"/>
    <w:rsid w:val="00C910F3"/>
    <w:rsid w:val="00CA1AF4"/>
    <w:rsid w:val="00CA6068"/>
    <w:rsid w:val="00CB15E1"/>
    <w:rsid w:val="00CB3D46"/>
    <w:rsid w:val="00CD1A87"/>
    <w:rsid w:val="00CD35F3"/>
    <w:rsid w:val="00CD5C93"/>
    <w:rsid w:val="00CE342B"/>
    <w:rsid w:val="00CE5BF1"/>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74229"/>
    <w:rsid w:val="00DA6E56"/>
    <w:rsid w:val="00DC24E5"/>
    <w:rsid w:val="00DC6705"/>
    <w:rsid w:val="00DD2DE8"/>
    <w:rsid w:val="00DE38B4"/>
    <w:rsid w:val="00DE5D02"/>
    <w:rsid w:val="00DF651C"/>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821DF"/>
    <w:rsid w:val="00E92237"/>
    <w:rsid w:val="00E951EF"/>
    <w:rsid w:val="00EA3D54"/>
    <w:rsid w:val="00EA56D9"/>
    <w:rsid w:val="00EA5CE3"/>
    <w:rsid w:val="00EB51C1"/>
    <w:rsid w:val="00EB5AE1"/>
    <w:rsid w:val="00EB5E0B"/>
    <w:rsid w:val="00EC2171"/>
    <w:rsid w:val="00ED2146"/>
    <w:rsid w:val="00ED442D"/>
    <w:rsid w:val="00ED70C2"/>
    <w:rsid w:val="00EE18FF"/>
    <w:rsid w:val="00EE489F"/>
    <w:rsid w:val="00EF51C7"/>
    <w:rsid w:val="00F0647F"/>
    <w:rsid w:val="00F10CE3"/>
    <w:rsid w:val="00F12006"/>
    <w:rsid w:val="00F13443"/>
    <w:rsid w:val="00F14F3B"/>
    <w:rsid w:val="00F16362"/>
    <w:rsid w:val="00F207C7"/>
    <w:rsid w:val="00F36B6D"/>
    <w:rsid w:val="00F4169E"/>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 w:val="00FF57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112194B"/>
  <w15:docId w15:val="{4B8DDBD7-CA71-42E9-9AFE-CF2FDD7B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0418578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5459</Words>
  <Characters>32584</Characters>
  <Application>Microsoft Office Word</Application>
  <DocSecurity>0</DocSecurity>
  <Lines>271</Lines>
  <Paragraphs>75</Paragraphs>
  <ScaleCrop>false</ScaleCrop>
  <HeadingPairs>
    <vt:vector size="2" baseType="variant">
      <vt:variant>
        <vt:lpstr>Title</vt:lpstr>
      </vt:variant>
      <vt:variant>
        <vt:i4>1</vt:i4>
      </vt:variant>
    </vt:vector>
  </HeadingPairs>
  <TitlesOfParts>
    <vt:vector size="1" baseType="lpstr">
      <vt:lpstr>Communicable Diseases Intelligence 2022 - Pens down: An outbreak of the B.1.617.2 SARS-CoV-2 variant in an Australian high school, August 2021</vt:lpstr>
    </vt:vector>
  </TitlesOfParts>
  <Company>Australian Government, Department of Health</Company>
  <LinksUpToDate>false</LinksUpToDate>
  <CharactersWithSpaces>37968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Pens down: An outbreak of the B.1.617.2 SARS-CoV-2 variant in an Australian high school, August 2021</dc:title>
  <dc:subject>This article describes an outbreak of COVID-19 in a high school in the Australian Capital Territory. This article presents data on all cases associated with the outbreak, including a description of the cases and transmission events, classes associated with risk of transmission, and an analysis of the effect of vaccination status on transmission within households.</dc:subject>
  <dc:creator>Keeley Allen; Alexandra Marmor; Davoud Pourmarzi</dc:creator>
  <cp:keywords>COVID-19; SARS-CoV-2; schools; risk factors; outbreak; contact tracing; adolescent; child; transmission; classroom</cp:keywords>
  <dc:description>© Commonwealth of Australia CC BY-NC-ND ISSN: 2209-6051 (Online)</dc:description>
  <cp:lastModifiedBy>YOUSEFI, Kasra</cp:lastModifiedBy>
  <cp:revision>7</cp:revision>
  <cp:lastPrinted>2018-05-10T02:19:00Z</cp:lastPrinted>
  <dcterms:created xsi:type="dcterms:W3CDTF">2022-07-07T06:40:00Z</dcterms:created>
  <dcterms:modified xsi:type="dcterms:W3CDTF">2022-07-14T03:25:00Z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21/7/2022</vt:lpwstr>
  </property>
  <property fmtid="{D5CDD505-2E9C-101B-9397-08002B2CF9AE}" pid="5" name="DOI">
    <vt:lpwstr>https://doi.org/10.33321/cdi.2022.46.44</vt:lpwstr>
  </property>
</Properties>
</file>