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62F626" w14:textId="77777777" w:rsidR="00A34097" w:rsidRPr="00810B02" w:rsidRDefault="00A34097" w:rsidP="00810B02">
      <w:pPr>
        <w:pStyle w:val="Title"/>
      </w:pPr>
      <w:r w:rsidRPr="00810B02">
        <w:t>Epidemiological and clinical characteristics of legionellosis in Northern Australia, 2010–2021</w:t>
      </w:r>
    </w:p>
    <w:p w14:paraId="0E89D4D1" w14:textId="77777777" w:rsidR="00A34097" w:rsidRDefault="00A34097" w:rsidP="00810B02">
      <w:r>
        <w:t>Claire Waller, Kevin Freeman, Shereen Labib, Rob Baird</w:t>
      </w:r>
    </w:p>
    <w:p w14:paraId="58B61491" w14:textId="77777777" w:rsidR="00A34097" w:rsidRPr="00A34097" w:rsidRDefault="00A34097" w:rsidP="00A34097">
      <w:pPr>
        <w:pStyle w:val="Heading1"/>
      </w:pPr>
      <w:r w:rsidRPr="00A34097">
        <w:t>Abstract</w:t>
      </w:r>
    </w:p>
    <w:p w14:paraId="5C3FD2D2" w14:textId="77777777" w:rsidR="00A34097" w:rsidRPr="00A34097" w:rsidRDefault="00A34097" w:rsidP="00A34097">
      <w:pPr>
        <w:pStyle w:val="Heading2"/>
      </w:pPr>
      <w:r w:rsidRPr="00A34097">
        <w:t>Objective</w:t>
      </w:r>
    </w:p>
    <w:p w14:paraId="17879B75" w14:textId="77777777" w:rsidR="00A34097" w:rsidRDefault="00A34097" w:rsidP="00A34097">
      <w:r>
        <w:t>This study describes characteristics of the legionellosis cases occurring between 2010 and 2021 in the Northern Territory (NT), Australia.</w:t>
      </w:r>
    </w:p>
    <w:p w14:paraId="486390D3" w14:textId="77777777" w:rsidR="00A34097" w:rsidRPr="00A34097" w:rsidRDefault="00A34097" w:rsidP="00A34097">
      <w:pPr>
        <w:pStyle w:val="Heading2"/>
      </w:pPr>
      <w:r w:rsidRPr="00A34097">
        <w:t>Methods</w:t>
      </w:r>
    </w:p>
    <w:p w14:paraId="2EB7C6C5" w14:textId="77777777" w:rsidR="00A34097" w:rsidRDefault="00A34097" w:rsidP="00A34097">
      <w:r>
        <w:t>We retrospectively reviewed 53 cases of legionellosis during the defined period and documented patient and clinical characteristics, diagnostics, and seasonality of infection.</w:t>
      </w:r>
    </w:p>
    <w:p w14:paraId="5B513E6B" w14:textId="77777777" w:rsidR="00A34097" w:rsidRPr="00A34097" w:rsidRDefault="00A34097" w:rsidP="00A34097">
      <w:pPr>
        <w:pStyle w:val="Heading2"/>
      </w:pPr>
      <w:r w:rsidRPr="00A34097">
        <w:t>Results</w:t>
      </w:r>
    </w:p>
    <w:p w14:paraId="56D47A51" w14:textId="77777777" w:rsidR="00A34097" w:rsidRDefault="00A34097" w:rsidP="00A34097">
      <w:r>
        <w:t xml:space="preserve">All cases were sporadic. The incidence rate in the NT was higher than the Australian median rate (2.1 and 1.5 per 100,000 population per year respectively). Aboriginal and Torres Strait Islander patients presented at a younger age than did non-Indigenous patients (median 41 and 60 years of age respectively), and </w:t>
      </w:r>
      <w:proofErr w:type="gramStart"/>
      <w:r>
        <w:t>overall</w:t>
      </w:r>
      <w:proofErr w:type="gramEnd"/>
      <w:r>
        <w:t xml:space="preserve"> there was a male preponderance. There was a higher proportion of legionellosis in the months with increased humidity, with a greater number of </w:t>
      </w:r>
      <w:r w:rsidRPr="009267FE">
        <w:rPr>
          <w:rStyle w:val="Emphasis"/>
          <w:b w:val="0"/>
          <w:bCs w:val="0"/>
        </w:rPr>
        <w:t xml:space="preserve">L. </w:t>
      </w:r>
      <w:proofErr w:type="spellStart"/>
      <w:r w:rsidRPr="009267FE">
        <w:rPr>
          <w:rStyle w:val="Emphasis"/>
          <w:b w:val="0"/>
          <w:bCs w:val="0"/>
        </w:rPr>
        <w:t>longbeachae</w:t>
      </w:r>
      <w:proofErr w:type="spellEnd"/>
      <w:r>
        <w:t xml:space="preserve"> infections detected overall (59%) than of </w:t>
      </w:r>
      <w:r w:rsidRPr="009267FE">
        <w:rPr>
          <w:rStyle w:val="Emphasis"/>
          <w:b w:val="0"/>
          <w:bCs w:val="0"/>
        </w:rPr>
        <w:t>L. pneumophila</w:t>
      </w:r>
      <w:r>
        <w:t xml:space="preserve"> (41%). The majority of cases were diagnosed serologically (57% of </w:t>
      </w:r>
      <w:r w:rsidRPr="009267FE">
        <w:rPr>
          <w:rStyle w:val="Emphasis"/>
          <w:b w:val="0"/>
          <w:bCs w:val="0"/>
        </w:rPr>
        <w:t>L. pneumophilia</w:t>
      </w:r>
      <w:r>
        <w:t xml:space="preserve"> and 93% of </w:t>
      </w:r>
      <w:r w:rsidRPr="009267FE">
        <w:rPr>
          <w:rStyle w:val="Emphasis"/>
          <w:b w:val="0"/>
          <w:bCs w:val="0"/>
        </w:rPr>
        <w:t xml:space="preserve">L. </w:t>
      </w:r>
      <w:proofErr w:type="spellStart"/>
      <w:proofErr w:type="gramStart"/>
      <w:r w:rsidRPr="009267FE">
        <w:rPr>
          <w:rStyle w:val="Emphasis"/>
          <w:b w:val="0"/>
          <w:bCs w:val="0"/>
        </w:rPr>
        <w:t>longbeachae</w:t>
      </w:r>
      <w:proofErr w:type="spellEnd"/>
      <w:r>
        <w:t xml:space="preserve"> )</w:t>
      </w:r>
      <w:proofErr w:type="gramEnd"/>
      <w:r>
        <w:t>.</w:t>
      </w:r>
    </w:p>
    <w:p w14:paraId="30656166" w14:textId="77777777" w:rsidR="00A34097" w:rsidRPr="00A34097" w:rsidRDefault="00A34097" w:rsidP="00A34097">
      <w:pPr>
        <w:pStyle w:val="Heading2"/>
      </w:pPr>
      <w:r w:rsidRPr="00A34097">
        <w:t>Conclusions</w:t>
      </w:r>
    </w:p>
    <w:p w14:paraId="3C565614" w14:textId="77777777" w:rsidR="00A34097" w:rsidRDefault="00A34097" w:rsidP="00A34097">
      <w:r>
        <w:t>Legionellosis in the NT is more common, seasonal, and may be underreported due to current reliance on serological testing for diagnosis. The higher incidence of legionellosis, and the younger age of Aboriginal and Torres Strait Islander patients of the NT, have public health implications, given that the clinical presentation of legionellosis is indistinguishable from other forms of pneumonia.</w:t>
      </w:r>
    </w:p>
    <w:p w14:paraId="573116CE" w14:textId="77777777" w:rsidR="00A34097" w:rsidRDefault="00A34097" w:rsidP="00A34097">
      <w:r>
        <w:t>Keywords: Legionella, legionellosis, Northern Territory</w:t>
      </w:r>
    </w:p>
    <w:p w14:paraId="1144B900" w14:textId="77777777" w:rsidR="00A34097" w:rsidRPr="00A34097" w:rsidRDefault="00A34097" w:rsidP="00A34097">
      <w:pPr>
        <w:pStyle w:val="Heading1"/>
      </w:pPr>
      <w:r w:rsidRPr="00A34097">
        <w:t>Introduction</w:t>
      </w:r>
    </w:p>
    <w:p w14:paraId="1479F883" w14:textId="6DEFB23F" w:rsidR="00A34097" w:rsidRDefault="00A34097" w:rsidP="00A34097">
      <w:r w:rsidRPr="009267FE">
        <w:rPr>
          <w:rStyle w:val="Emphasis"/>
          <w:b w:val="0"/>
          <w:bCs w:val="0"/>
        </w:rPr>
        <w:t>Legionella</w:t>
      </w:r>
      <w:r>
        <w:t xml:space="preserve"> bacteria are a group of gram-negative aerobic bacteria which are widespread in the environment. </w:t>
      </w:r>
      <w:r>
        <w:rPr>
          <w:vertAlign w:val="superscript"/>
        </w:rPr>
        <w:t>1</w:t>
      </w:r>
      <w:r>
        <w:t xml:space="preserve"> Although more than 90 different species of </w:t>
      </w:r>
      <w:r w:rsidRPr="009267FE">
        <w:rPr>
          <w:rStyle w:val="Emphasis"/>
          <w:b w:val="0"/>
          <w:bCs w:val="0"/>
        </w:rPr>
        <w:t>Legionella</w:t>
      </w:r>
      <w:r>
        <w:t xml:space="preserve"> have been reported, the most common pathogenic species in Australia are </w:t>
      </w:r>
      <w:r w:rsidRPr="009267FE">
        <w:rPr>
          <w:rStyle w:val="Emphasis"/>
          <w:b w:val="0"/>
          <w:bCs w:val="0"/>
        </w:rPr>
        <w:t>Legionella pneumophila</w:t>
      </w:r>
      <w:r>
        <w:t xml:space="preserve"> and </w:t>
      </w:r>
      <w:r w:rsidRPr="009267FE">
        <w:rPr>
          <w:rStyle w:val="Emphasis"/>
          <w:b w:val="0"/>
          <w:bCs w:val="0"/>
        </w:rPr>
        <w:t xml:space="preserve">L. </w:t>
      </w:r>
      <w:proofErr w:type="spellStart"/>
      <w:r w:rsidRPr="009267FE">
        <w:rPr>
          <w:rStyle w:val="Emphasis"/>
          <w:b w:val="0"/>
          <w:bCs w:val="0"/>
        </w:rPr>
        <w:t>longbeachae</w:t>
      </w:r>
      <w:proofErr w:type="spellEnd"/>
      <w:r>
        <w:t xml:space="preserve"> which together account for 99% of notified cases. </w:t>
      </w:r>
      <w:r>
        <w:rPr>
          <w:vertAlign w:val="superscript"/>
        </w:rPr>
        <w:t>2,3</w:t>
      </w:r>
      <w:r>
        <w:t xml:space="preserve"> </w:t>
      </w:r>
      <w:r w:rsidRPr="009267FE">
        <w:rPr>
          <w:rStyle w:val="Emphasis"/>
          <w:b w:val="0"/>
          <w:bCs w:val="0"/>
        </w:rPr>
        <w:t>Legionella</w:t>
      </w:r>
      <w:r>
        <w:t xml:space="preserve"> spp. are known as opportunistic pathogens which can cause an acute pneumonic illness in susceptible hosts (Legionnaire’s disease) that cannot be distinguished clinically from other forms of pneumonia.</w:t>
      </w:r>
      <w:r>
        <w:rPr>
          <w:vertAlign w:val="superscript"/>
        </w:rPr>
        <w:t>1</w:t>
      </w:r>
      <w:r>
        <w:t xml:space="preserve"> Infection can also cause a milder, flu-like illness known as Pontiac fever.</w:t>
      </w:r>
      <w:r>
        <w:rPr>
          <w:vertAlign w:val="superscript"/>
        </w:rPr>
        <w:t>1</w:t>
      </w:r>
      <w:r>
        <w:t xml:space="preserve"> Although legionellosis can occur in previously healthy individuals, host risk factors are those which reduce local or systemic cellular immunity or which increase the chances of exposure to the bacteria.</w:t>
      </w:r>
      <w:r>
        <w:rPr>
          <w:vertAlign w:val="superscript"/>
        </w:rPr>
        <w:t>1</w:t>
      </w:r>
      <w:r>
        <w:t xml:space="preserve"> Specific risk factors include male gender; cigarette smoking; chronic heart or pulmonary disease; diabetes; end stage renal failure; age greater than 50 years; and immunosuppression.</w:t>
      </w:r>
      <w:r>
        <w:rPr>
          <w:vertAlign w:val="superscript"/>
        </w:rPr>
        <w:t>4</w:t>
      </w:r>
      <w:r>
        <w:t xml:space="preserve"> </w:t>
      </w:r>
    </w:p>
    <w:p w14:paraId="263F8651" w14:textId="6580256B" w:rsidR="00A34097" w:rsidRDefault="00A34097" w:rsidP="00A34097">
      <w:r>
        <w:t xml:space="preserve">In the environment, </w:t>
      </w:r>
      <w:r w:rsidRPr="009267FE">
        <w:rPr>
          <w:rStyle w:val="Emphasis"/>
          <w:b w:val="0"/>
          <w:bCs w:val="0"/>
        </w:rPr>
        <w:t>Legionella</w:t>
      </w:r>
      <w:r>
        <w:t xml:space="preserve"> spp. can be found associated with natural aqueous environments and </w:t>
      </w:r>
      <w:proofErr w:type="gramStart"/>
      <w:r>
        <w:t>soil, and</w:t>
      </w:r>
      <w:proofErr w:type="gramEnd"/>
      <w:r>
        <w:t xml:space="preserve"> have also been isolated from man-made systems such as hot and warm water systems; evaporative cooling towers; respiratory therapy devices; shower heads; and potting mixes.</w:t>
      </w:r>
      <w:r>
        <w:rPr>
          <w:vertAlign w:val="superscript"/>
        </w:rPr>
        <w:t>1,5</w:t>
      </w:r>
      <w:r>
        <w:t xml:space="preserve"> </w:t>
      </w:r>
      <w:r w:rsidRPr="009267FE">
        <w:rPr>
          <w:rStyle w:val="Emphasis"/>
          <w:b w:val="0"/>
          <w:bCs w:val="0"/>
        </w:rPr>
        <w:t>Legionella</w:t>
      </w:r>
      <w:r>
        <w:t xml:space="preserve"> spp. are acquired via airborne </w:t>
      </w:r>
      <w:r>
        <w:lastRenderedPageBreak/>
        <w:t xml:space="preserve">transmission, involving inhalation of </w:t>
      </w:r>
      <w:r w:rsidRPr="009267FE">
        <w:rPr>
          <w:rStyle w:val="Emphasis"/>
          <w:b w:val="0"/>
          <w:bCs w:val="0"/>
        </w:rPr>
        <w:t>Legionella</w:t>
      </w:r>
      <w:r>
        <w:t xml:space="preserve"> -containing aerosols and dust or micro aspiration of contaminated water.</w:t>
      </w:r>
      <w:r>
        <w:rPr>
          <w:vertAlign w:val="superscript"/>
        </w:rPr>
        <w:t>1,4</w:t>
      </w:r>
      <w:r>
        <w:t xml:space="preserve"> </w:t>
      </w:r>
    </w:p>
    <w:p w14:paraId="6E10AB43" w14:textId="77777777" w:rsidR="00A34097" w:rsidRDefault="00A34097" w:rsidP="00A34097">
      <w:r>
        <w:t xml:space="preserve">Legionellosis is notifiable in Australia and occurs both sporadically and in clusters or outbreaks. In a prospective, multicentre study of community-acquired pneumonia across Australia, </w:t>
      </w:r>
      <w:r w:rsidRPr="009267FE">
        <w:rPr>
          <w:rStyle w:val="Emphasis"/>
          <w:b w:val="0"/>
          <w:bCs w:val="0"/>
        </w:rPr>
        <w:t>Legionella</w:t>
      </w:r>
      <w:r>
        <w:t xml:space="preserve"> spp. were identified as the causative pathogen in 3.4% of cases; however, this was based predominantly in temperate and urban regions of Australia. </w:t>
      </w:r>
      <w:r>
        <w:rPr>
          <w:vertAlign w:val="superscript"/>
        </w:rPr>
        <w:t>6</w:t>
      </w:r>
      <w:r>
        <w:t xml:space="preserve"> Underreporting of legionellosis is also common because many sporadic cases are treated empirically without diagnostic testing being performed.</w:t>
      </w:r>
    </w:p>
    <w:p w14:paraId="10872161" w14:textId="77777777" w:rsidR="00A34097" w:rsidRDefault="00A34097" w:rsidP="00A34097">
      <w:r>
        <w:t xml:space="preserve">The objective of surveillance for legionellosis in Australia is to identify common sources of infection, especially in relation to clusters and outbreaks, to enable environmental investigation and instigation of control measures. Surveillance is also important to monitor the epidemiology of legionellosis </w:t>
      </w:r>
      <w:proofErr w:type="gramStart"/>
      <w:r>
        <w:t>in order to</w:t>
      </w:r>
      <w:proofErr w:type="gramEnd"/>
      <w:r>
        <w:t xml:space="preserve"> inform better preventative measures.</w:t>
      </w:r>
    </w:p>
    <w:p w14:paraId="2B18396A" w14:textId="0028634D" w:rsidR="00A34097" w:rsidRDefault="00A34097" w:rsidP="00A34097">
      <w:r>
        <w:t>This report describes the profile, from January 2010 to April 2021, of legionellosis cases in the Northern Territory (NT), encompassing a diverse tropical and arid geographical region comprising rural and remote areas. In addition, Aboriginal and Torres Strait Islander people comprise one quarter of the population (25.5%).</w:t>
      </w:r>
      <w:r>
        <w:rPr>
          <w:vertAlign w:val="superscript"/>
        </w:rPr>
        <w:t>7</w:t>
      </w:r>
      <w:r>
        <w:t xml:space="preserve"> </w:t>
      </w:r>
    </w:p>
    <w:p w14:paraId="5B5F73AB" w14:textId="77777777" w:rsidR="00A34097" w:rsidRPr="00A34097" w:rsidRDefault="00A34097" w:rsidP="00A34097">
      <w:pPr>
        <w:pStyle w:val="Heading1"/>
      </w:pPr>
      <w:r w:rsidRPr="00A34097">
        <w:t>Methods</w:t>
      </w:r>
    </w:p>
    <w:p w14:paraId="77E550FE" w14:textId="77777777" w:rsidR="00A34097" w:rsidRDefault="00A34097" w:rsidP="00A34097">
      <w:r>
        <w:t xml:space="preserve">Patients with legionellosis in the NT, from January 2010 to April 2021, were identified retrospectively, based on the NT Centre for Disease Control (CDC) National Notifiable Disease Database (NNDS) and through laboratory records. These patients were then cross-checked using the centralised laboratory </w:t>
      </w:r>
      <w:proofErr w:type="spellStart"/>
      <w:r>
        <w:t>Labtrak</w:t>
      </w:r>
      <w:proofErr w:type="spellEnd"/>
      <w:r>
        <w:t xml:space="preserve"> database (</w:t>
      </w:r>
      <w:proofErr w:type="spellStart"/>
      <w:r>
        <w:t>Intersystems</w:t>
      </w:r>
      <w:proofErr w:type="spellEnd"/>
      <w:r>
        <w:t>, Cambridge), in addition to results being verified from the state referral laboratory, Westerns (Perth WA). Four additional cases that were not notified were identified through cross-checking with laboratory data.</w:t>
      </w:r>
    </w:p>
    <w:p w14:paraId="3361135D" w14:textId="77777777" w:rsidR="00A34097" w:rsidRDefault="00A34097" w:rsidP="00A34097">
      <w:r>
        <w:t>Testing for legionellosis in the NT is routinely performed on all respiratory presentations to the intensive care unit (ICU</w:t>
      </w:r>
      <w:proofErr w:type="gramStart"/>
      <w:r>
        <w:t>), but</w:t>
      </w:r>
      <w:proofErr w:type="gramEnd"/>
      <w:r>
        <w:t xml:space="preserve"> is not always performed on respiratory presentations to the general wards unless requested by the treating clinician. The specific testing performed is at the discretion of the treating clinician. This usually includes urinary antigen and serology </w:t>
      </w:r>
      <w:proofErr w:type="spellStart"/>
      <w:r>
        <w:t>for ward</w:t>
      </w:r>
      <w:proofErr w:type="spellEnd"/>
      <w:r>
        <w:t>-based respiratory inpatients, in addition to respiratory nasopharyngeal polymerase chain reaction (PCR) testing in ICU or high-risk inpatients.</w:t>
      </w:r>
    </w:p>
    <w:p w14:paraId="2E30B0A0" w14:textId="77777777" w:rsidR="00A34097" w:rsidRDefault="00A34097" w:rsidP="00A34097">
      <w:r>
        <w:t xml:space="preserve">Cases for inclusion were based on the Australian Government Department of Health legionellosis case definition, with both confirmed and probable cases notified in the NT and investigated. </w:t>
      </w:r>
      <w:r>
        <w:rPr>
          <w:vertAlign w:val="superscript"/>
        </w:rPr>
        <w:t>8</w:t>
      </w:r>
      <w:r>
        <w:t xml:space="preserve"> A confirmed case of legionellosis had the following: laboratory definitive evidence AND clinical evidence, comprising 1) isolation of </w:t>
      </w:r>
      <w:r w:rsidRPr="009267FE">
        <w:rPr>
          <w:rStyle w:val="Emphasis"/>
          <w:b w:val="0"/>
          <w:bCs w:val="0"/>
        </w:rPr>
        <w:t>Legionella</w:t>
      </w:r>
      <w:r>
        <w:t xml:space="preserve"> OR detection of </w:t>
      </w:r>
      <w:r w:rsidRPr="009267FE">
        <w:rPr>
          <w:rStyle w:val="Emphasis"/>
          <w:b w:val="0"/>
          <w:bCs w:val="0"/>
        </w:rPr>
        <w:t>Legionella</w:t>
      </w:r>
      <w:r>
        <w:t xml:space="preserve"> urinary antigen OR seroconversion OR significant increase in antibody level OR a fourfold or greater rise to </w:t>
      </w:r>
      <w:proofErr w:type="gramStart"/>
      <w:r w:rsidRPr="009267FE">
        <w:rPr>
          <w:rStyle w:val="Emphasis"/>
          <w:b w:val="0"/>
          <w:bCs w:val="0"/>
        </w:rPr>
        <w:t>Legionella</w:t>
      </w:r>
      <w:r>
        <w:t xml:space="preserve"> ,</w:t>
      </w:r>
      <w:proofErr w:type="gramEnd"/>
      <w:r>
        <w:t xml:space="preserve"> AND 2) fever OR cough OR pneumonia. A probable case had the following: suggestive laboratory criteria AND clinical evidence, comprising 1) single high titre to </w:t>
      </w:r>
      <w:r w:rsidRPr="009267FE">
        <w:rPr>
          <w:rStyle w:val="Emphasis"/>
          <w:b w:val="0"/>
          <w:bCs w:val="0"/>
        </w:rPr>
        <w:t>Legionella</w:t>
      </w:r>
      <w:r>
        <w:t xml:space="preserve"> OR detection of </w:t>
      </w:r>
      <w:r w:rsidRPr="009267FE">
        <w:rPr>
          <w:rStyle w:val="Emphasis"/>
          <w:b w:val="0"/>
          <w:bCs w:val="0"/>
        </w:rPr>
        <w:t>Legionella</w:t>
      </w:r>
      <w:r>
        <w:t xml:space="preserve"> by nucleic acid testing (NAAT) OR detection of </w:t>
      </w:r>
      <w:r w:rsidRPr="009267FE">
        <w:rPr>
          <w:rStyle w:val="Emphasis"/>
          <w:b w:val="0"/>
          <w:bCs w:val="0"/>
        </w:rPr>
        <w:t>Legionella</w:t>
      </w:r>
      <w:r>
        <w:t xml:space="preserve"> by direct fluorescence assay AND 2) fever AND cough OR pneumonia.</w:t>
      </w:r>
    </w:p>
    <w:p w14:paraId="1CF4BBCD" w14:textId="287623E4" w:rsidR="00A34097" w:rsidRDefault="00A34097" w:rsidP="00A34097">
      <w:r>
        <w:t xml:space="preserve">As per the Communicable Diseases Network Australia (CDNA) Legionellosis National Guidelines for Public Health Units, a cluster was defined as two or more cases, linked by area or residence or work, which have sufficient proximity in dates of onset of illness to warrant further investigation. </w:t>
      </w:r>
      <w:r>
        <w:rPr>
          <w:vertAlign w:val="superscript"/>
        </w:rPr>
        <w:t>9</w:t>
      </w:r>
      <w:r>
        <w:t xml:space="preserve"> An outbreak was defined as two or more cases where the onset of illness is closely linked in time and where there is epidemiological evidence of a common source of infection.</w:t>
      </w:r>
      <w:r>
        <w:rPr>
          <w:vertAlign w:val="superscript"/>
        </w:rPr>
        <w:t>9</w:t>
      </w:r>
      <w:r>
        <w:t xml:space="preserve"> </w:t>
      </w:r>
    </w:p>
    <w:p w14:paraId="73D55A7F" w14:textId="647B63C5" w:rsidR="00A34097" w:rsidRDefault="00A34097" w:rsidP="00A34097">
      <w:r>
        <w:lastRenderedPageBreak/>
        <w:t>Serology was tested using an immunofluorescent assay (IFA); a four-fold rise in antibody titre after three to six weeks is predictive of legionellosis.</w:t>
      </w:r>
      <w:r>
        <w:rPr>
          <w:vertAlign w:val="superscript"/>
        </w:rPr>
        <w:t>10</w:t>
      </w:r>
      <w:r>
        <w:t xml:space="preserve"> </w:t>
      </w:r>
      <w:r w:rsidRPr="009267FE">
        <w:rPr>
          <w:rStyle w:val="Emphasis"/>
          <w:b w:val="0"/>
          <w:bCs w:val="0"/>
        </w:rPr>
        <w:t>L. pneumophila</w:t>
      </w:r>
      <w:r>
        <w:t xml:space="preserve"> serogroup 1 urinary antigen testing was performed through BinaxNOW™ </w:t>
      </w:r>
      <w:r w:rsidRPr="009267FE">
        <w:rPr>
          <w:rStyle w:val="Emphasis"/>
          <w:b w:val="0"/>
          <w:bCs w:val="0"/>
        </w:rPr>
        <w:t>in vitro</w:t>
      </w:r>
      <w:r>
        <w:t xml:space="preserve"> rapid immunochromatographic assay. The peak of urinary antigen detection for </w:t>
      </w:r>
      <w:r w:rsidRPr="009267FE">
        <w:rPr>
          <w:rStyle w:val="Emphasis"/>
          <w:b w:val="0"/>
          <w:bCs w:val="0"/>
        </w:rPr>
        <w:t>L.</w:t>
      </w:r>
      <w:r>
        <w:t xml:space="preserve"> </w:t>
      </w:r>
      <w:r w:rsidRPr="009267FE">
        <w:rPr>
          <w:rStyle w:val="Emphasis"/>
          <w:b w:val="0"/>
          <w:bCs w:val="0"/>
        </w:rPr>
        <w:t>pneumophila</w:t>
      </w:r>
      <w:r>
        <w:t xml:space="preserve"> is found at 5–10 days after onset of symptoms.</w:t>
      </w:r>
      <w:r>
        <w:rPr>
          <w:vertAlign w:val="superscript"/>
        </w:rPr>
        <w:t>10</w:t>
      </w:r>
      <w:r>
        <w:t xml:space="preserve"> Respiratory </w:t>
      </w:r>
      <w:r w:rsidRPr="009267FE">
        <w:rPr>
          <w:rStyle w:val="Emphasis"/>
          <w:b w:val="0"/>
          <w:bCs w:val="0"/>
        </w:rPr>
        <w:t>Legionella</w:t>
      </w:r>
      <w:r>
        <w:t xml:space="preserve"> NAAT was performed by standard methods at accredited reference laboratories and included PCR for </w:t>
      </w:r>
      <w:r w:rsidRPr="009267FE">
        <w:rPr>
          <w:rStyle w:val="Emphasis"/>
          <w:b w:val="0"/>
          <w:bCs w:val="0"/>
        </w:rPr>
        <w:t>L. pneumophila</w:t>
      </w:r>
      <w:r>
        <w:t xml:space="preserve"> and </w:t>
      </w:r>
      <w:r w:rsidRPr="009267FE">
        <w:rPr>
          <w:rStyle w:val="Emphasis"/>
          <w:b w:val="0"/>
          <w:bCs w:val="0"/>
        </w:rPr>
        <w:t xml:space="preserve">L. </w:t>
      </w:r>
      <w:proofErr w:type="spellStart"/>
      <w:r w:rsidRPr="009267FE">
        <w:rPr>
          <w:rStyle w:val="Emphasis"/>
          <w:b w:val="0"/>
          <w:bCs w:val="0"/>
        </w:rPr>
        <w:t>longbeachae</w:t>
      </w:r>
      <w:proofErr w:type="spellEnd"/>
      <w:r>
        <w:t xml:space="preserve"> but not pan-</w:t>
      </w:r>
      <w:r w:rsidRPr="009267FE">
        <w:rPr>
          <w:rStyle w:val="Emphasis"/>
          <w:b w:val="0"/>
          <w:bCs w:val="0"/>
        </w:rPr>
        <w:t>Legionella</w:t>
      </w:r>
      <w:r>
        <w:t xml:space="preserve"> PCR. Culture was not performed.</w:t>
      </w:r>
    </w:p>
    <w:p w14:paraId="5AFDAEB9" w14:textId="4A7BDDDF" w:rsidR="00A34097" w:rsidRDefault="00A34097" w:rsidP="00A34097">
      <w:r>
        <w:t xml:space="preserve">The NT comprises two distinct geographical zones. The Top End of the Northern Territory (TENT) encompasses the northernmost section of Australia covering an area </w:t>
      </w:r>
      <w:proofErr w:type="gramStart"/>
      <w:r>
        <w:t>in excess of</w:t>
      </w:r>
      <w:proofErr w:type="gramEnd"/>
      <w:r>
        <w:t xml:space="preserve"> 500,000 km </w:t>
      </w:r>
      <w:r>
        <w:rPr>
          <w:vertAlign w:val="superscript"/>
        </w:rPr>
        <w:t>2</w:t>
      </w:r>
      <w:r>
        <w:t xml:space="preserve"> with a sparse population of 180,000 and a distinct tropical monsoonal season. The TENT includes the regions of Darwin urban, Litchfield, Daly-Tiwi-West Arnhem, East </w:t>
      </w:r>
      <w:proofErr w:type="gramStart"/>
      <w:r>
        <w:t>Arnhem</w:t>
      </w:r>
      <w:proofErr w:type="gramEnd"/>
      <w:r>
        <w:t xml:space="preserve"> and Katherine. The rest of the NT is arid and sparsely populated and encompasses 700,000 km </w:t>
      </w:r>
      <w:r>
        <w:rPr>
          <w:vertAlign w:val="superscript"/>
        </w:rPr>
        <w:t>2</w:t>
      </w:r>
      <w:r>
        <w:t xml:space="preserve"> and includes all other regions outside the TENT. The annualised disease incidence was calculated using the NT population data from the 2016 Australian Bureau of Statistics Census which included a population of 228,833 people, of whom one quarter (25.5%) identified as Aboriginal and/or Torres Strait Islander people (58,248 people). </w:t>
      </w:r>
      <w:r>
        <w:rPr>
          <w:vertAlign w:val="superscript"/>
        </w:rPr>
        <w:t>7</w:t>
      </w:r>
      <w:r>
        <w:t xml:space="preserve"> The median age of the NT population is 32 years, which is younger than the median age for the rest of Australia (38 years). </w:t>
      </w:r>
      <w:r>
        <w:rPr>
          <w:vertAlign w:val="superscript"/>
        </w:rPr>
        <w:t>7</w:t>
      </w:r>
      <w:r>
        <w:t xml:space="preserve"> Areas outside the urban centres of Greater Darwin (Darwin city, Darwin suburbs and Palmerston) were considered rural and remote, with approximately 40% of the NT population residing in rural or remote areas. </w:t>
      </w:r>
      <w:r>
        <w:rPr>
          <w:vertAlign w:val="superscript"/>
        </w:rPr>
        <w:t>7</w:t>
      </w:r>
      <w:r>
        <w:t xml:space="preserve"> Incidence rate calculation and descriptive analysis were performed using Microsoft Excel. Categorical variables were analysed with the two-tailed Fisher’s exact test using SPSS (IBM </w:t>
      </w:r>
      <w:r w:rsidRPr="009267FE">
        <w:rPr>
          <w:rStyle w:val="Emphasis"/>
          <w:b w:val="0"/>
          <w:bCs w:val="0"/>
        </w:rPr>
        <w:t xml:space="preserve">SPSS Statistics for </w:t>
      </w:r>
      <w:r w:rsidR="00396003" w:rsidRPr="009267FE">
        <w:rPr>
          <w:rStyle w:val="Emphasis"/>
          <w:b w:val="0"/>
          <w:bCs w:val="0"/>
        </w:rPr>
        <w:t>Windows</w:t>
      </w:r>
      <w:r w:rsidR="00396003">
        <w:t>,</w:t>
      </w:r>
      <w:r>
        <w:t xml:space="preserve"> version 25.0). The study was approved by the Human Research Ethics Committee of the Northern Territory Department of Health and Menzies School of Health Research (Human Research Ethics Committee 2021-3998).</w:t>
      </w:r>
    </w:p>
    <w:p w14:paraId="5124E152" w14:textId="77777777" w:rsidR="00A34097" w:rsidRPr="00A34097" w:rsidRDefault="00A34097" w:rsidP="00A34097">
      <w:pPr>
        <w:pStyle w:val="Heading1"/>
      </w:pPr>
      <w:r w:rsidRPr="00A34097">
        <w:t>Results</w:t>
      </w:r>
    </w:p>
    <w:p w14:paraId="0EE4F922" w14:textId="77777777" w:rsidR="00A34097" w:rsidRDefault="00A34097" w:rsidP="00A34097">
      <w:r>
        <w:t xml:space="preserve">Over the 11-year study period there were 53 patients with legionellosis; two of these cases could not be speciated. </w:t>
      </w:r>
      <w:proofErr w:type="gramStart"/>
      <w:r>
        <w:t>All of</w:t>
      </w:r>
      <w:proofErr w:type="gramEnd"/>
      <w:r>
        <w:t xml:space="preserve"> the cases in the NT were sporadic; there were no clusters or outbreaks. Eighteen of these were confirmed cases and 35 were probable cases based on the Australian Government Department of Health legionellosis case definition. The overall annual infection incidence was 2.1 per 100,000 population per year. The incidence rate was higher among Aboriginal and Torres Strait Islander people (2.5 per 100,000 population per year) than among non-Indigenous people (2.0 per 100,000 population per year). There was overall a higher number of legionellosis cases (38/46, 83%) in the months associated with increased humidity in the TENT, which includes the wet season ‘build-up’ (September–December: 16/46, 35%) and monsoon (January–April: 22/46, 48%) (Figure 1).</w:t>
      </w:r>
    </w:p>
    <w:p w14:paraId="013647E0" w14:textId="77777777" w:rsidR="00A34097" w:rsidRDefault="00A34097" w:rsidP="00A34097">
      <w:proofErr w:type="gramStart"/>
      <w:r>
        <w:t>All of</w:t>
      </w:r>
      <w:proofErr w:type="gramEnd"/>
      <w:r>
        <w:t xml:space="preserve"> the patients had a clinical presentation of pneumonia; there were no patients with Pontiac fever. Of the 53 cases, the median age was 54 years (interquartile range, IQR: 41–67), with a younger cohort found in Aboriginal and Torres Strait Islander patients (median age 41 years) than among non-Indigenous patients (median age 60 years), </w:t>
      </w:r>
      <w:r w:rsidRPr="009267FE">
        <w:rPr>
          <w:rStyle w:val="Emphasis"/>
          <w:b w:val="0"/>
          <w:bCs w:val="0"/>
        </w:rPr>
        <w:t>p</w:t>
      </w:r>
      <w:r>
        <w:t xml:space="preserve"> &lt; 0.01 (Table 1). There was a male preponderance (37/53, 70%). There was no significant difference in incidence rate between urban or rural and remote </w:t>
      </w:r>
      <w:proofErr w:type="gramStart"/>
      <w:r>
        <w:t>residence, when</w:t>
      </w:r>
      <w:proofErr w:type="gramEnd"/>
      <w:r>
        <w:t xml:space="preserve"> accounting for the NT population geographic distribution.</w:t>
      </w:r>
    </w:p>
    <w:p w14:paraId="1A700A89" w14:textId="79F28BE1" w:rsidR="00A34097" w:rsidRDefault="00A34097" w:rsidP="00A34097">
      <w:r>
        <w:t xml:space="preserve">Of the 51 cases that could be identified by species, there was a higher proportion of </w:t>
      </w:r>
      <w:r w:rsidRPr="009267FE">
        <w:rPr>
          <w:rStyle w:val="Emphasis"/>
          <w:b w:val="0"/>
          <w:bCs w:val="0"/>
        </w:rPr>
        <w:t xml:space="preserve">L. </w:t>
      </w:r>
      <w:proofErr w:type="spellStart"/>
      <w:r w:rsidRPr="009267FE">
        <w:rPr>
          <w:rStyle w:val="Emphasis"/>
          <w:b w:val="0"/>
          <w:bCs w:val="0"/>
        </w:rPr>
        <w:t>longbeachae</w:t>
      </w:r>
      <w:proofErr w:type="spellEnd"/>
      <w:r>
        <w:t xml:space="preserve"> 30/51; 59%) than of </w:t>
      </w:r>
      <w:r w:rsidRPr="009267FE">
        <w:rPr>
          <w:rStyle w:val="Emphasis"/>
          <w:b w:val="0"/>
          <w:bCs w:val="0"/>
        </w:rPr>
        <w:t>L. pneumophila</w:t>
      </w:r>
      <w:r>
        <w:t xml:space="preserve"> (21/51; 41 %) (</w:t>
      </w:r>
      <w:r w:rsidRPr="009267FE">
        <w:rPr>
          <w:rStyle w:val="Emphasis"/>
          <w:b w:val="0"/>
          <w:bCs w:val="0"/>
        </w:rPr>
        <w:t>p =</w:t>
      </w:r>
      <w:r>
        <w:t xml:space="preserve"> 0.21). These epidemiological data are presented in Table 2. Cases due to </w:t>
      </w:r>
      <w:r w:rsidRPr="009267FE">
        <w:rPr>
          <w:rStyle w:val="Emphasis"/>
          <w:b w:val="0"/>
          <w:bCs w:val="0"/>
        </w:rPr>
        <w:t xml:space="preserve">L. </w:t>
      </w:r>
      <w:proofErr w:type="spellStart"/>
      <w:r w:rsidRPr="009267FE">
        <w:rPr>
          <w:rStyle w:val="Emphasis"/>
          <w:b w:val="0"/>
          <w:bCs w:val="0"/>
        </w:rPr>
        <w:t>longbeachae</w:t>
      </w:r>
      <w:proofErr w:type="spellEnd"/>
      <w:r>
        <w:t xml:space="preserve"> were identified more frequently in the wet season ‘build-up’ (14/30; 47%) than were cases due to </w:t>
      </w:r>
      <w:r w:rsidRPr="009267FE">
        <w:rPr>
          <w:rStyle w:val="Emphasis"/>
          <w:b w:val="0"/>
          <w:bCs w:val="0"/>
        </w:rPr>
        <w:t>L. pneumophila</w:t>
      </w:r>
      <w:r>
        <w:t xml:space="preserve"> (4/21; 19%) (</w:t>
      </w:r>
      <w:r w:rsidRPr="009267FE">
        <w:rPr>
          <w:rStyle w:val="Emphasis"/>
          <w:b w:val="0"/>
          <w:bCs w:val="0"/>
        </w:rPr>
        <w:t>p</w:t>
      </w:r>
      <w:r>
        <w:t xml:space="preserve"> = 0.073); similar numbers of each species were detected in the monsoonal and dry seasons. Patients with </w:t>
      </w:r>
      <w:r w:rsidRPr="009267FE">
        <w:rPr>
          <w:rStyle w:val="Emphasis"/>
          <w:b w:val="0"/>
          <w:bCs w:val="0"/>
        </w:rPr>
        <w:t xml:space="preserve">L. </w:t>
      </w:r>
      <w:proofErr w:type="spellStart"/>
      <w:r w:rsidRPr="009267FE">
        <w:rPr>
          <w:rStyle w:val="Emphasis"/>
          <w:b w:val="0"/>
          <w:bCs w:val="0"/>
        </w:rPr>
        <w:t>longbeachae</w:t>
      </w:r>
      <w:proofErr w:type="spellEnd"/>
      <w:r>
        <w:t xml:space="preserve"> infection had documented underlying lung disease more commonly (15/27; 56%) than did those with </w:t>
      </w:r>
      <w:r w:rsidRPr="009267FE">
        <w:rPr>
          <w:rStyle w:val="Emphasis"/>
          <w:b w:val="0"/>
          <w:bCs w:val="0"/>
        </w:rPr>
        <w:t>L. pneumophila</w:t>
      </w:r>
      <w:r>
        <w:t xml:space="preserve"> (4/20; 20%). Smoking status was recorded for 13/21 (62%) </w:t>
      </w:r>
      <w:r w:rsidRPr="009267FE">
        <w:rPr>
          <w:rStyle w:val="Emphasis"/>
          <w:b w:val="0"/>
          <w:bCs w:val="0"/>
        </w:rPr>
        <w:t>L. pneumophila</w:t>
      </w:r>
      <w:r>
        <w:t xml:space="preserve"> and 17/30 (57%) </w:t>
      </w:r>
      <w:r w:rsidRPr="009267FE">
        <w:rPr>
          <w:rStyle w:val="Emphasis"/>
          <w:b w:val="0"/>
          <w:bCs w:val="0"/>
        </w:rPr>
        <w:t xml:space="preserve">L. </w:t>
      </w:r>
      <w:proofErr w:type="spellStart"/>
      <w:r w:rsidRPr="009267FE">
        <w:rPr>
          <w:rStyle w:val="Emphasis"/>
          <w:b w:val="0"/>
          <w:bCs w:val="0"/>
        </w:rPr>
        <w:t>longbeachae</w:t>
      </w:r>
      <w:proofErr w:type="spellEnd"/>
      <w:r>
        <w:t xml:space="preserve"> cases, with 10/13 (77%) </w:t>
      </w:r>
      <w:r w:rsidRPr="009267FE">
        <w:rPr>
          <w:rStyle w:val="Emphasis"/>
          <w:b w:val="0"/>
          <w:bCs w:val="0"/>
        </w:rPr>
        <w:t>L. pneumophila</w:t>
      </w:r>
      <w:r>
        <w:t xml:space="preserve"> and 11/17 (65%) </w:t>
      </w:r>
      <w:r w:rsidRPr="009267FE">
        <w:rPr>
          <w:rStyle w:val="Emphasis"/>
          <w:b w:val="0"/>
          <w:bCs w:val="0"/>
        </w:rPr>
        <w:t xml:space="preserve">L. </w:t>
      </w:r>
      <w:proofErr w:type="spellStart"/>
      <w:r w:rsidRPr="009267FE">
        <w:rPr>
          <w:rStyle w:val="Emphasis"/>
          <w:b w:val="0"/>
          <w:bCs w:val="0"/>
        </w:rPr>
        <w:t>longbeachae</w:t>
      </w:r>
      <w:proofErr w:type="spellEnd"/>
      <w:r>
        <w:t xml:space="preserve"> patients active or ex-smokers. Similar rates of other comorbidities between the two groups were </w:t>
      </w:r>
      <w:r>
        <w:lastRenderedPageBreak/>
        <w:t xml:space="preserve">observed (Table 3), with 15/20 (75%) </w:t>
      </w:r>
      <w:r w:rsidRPr="009267FE">
        <w:rPr>
          <w:rStyle w:val="Emphasis"/>
          <w:b w:val="0"/>
          <w:bCs w:val="0"/>
        </w:rPr>
        <w:t>L. pneumophila</w:t>
      </w:r>
      <w:r>
        <w:t xml:space="preserve"> and 22/27 (81%) </w:t>
      </w:r>
      <w:r w:rsidRPr="009267FE">
        <w:rPr>
          <w:rStyle w:val="Emphasis"/>
          <w:b w:val="0"/>
          <w:bCs w:val="0"/>
        </w:rPr>
        <w:t xml:space="preserve">L. </w:t>
      </w:r>
      <w:proofErr w:type="spellStart"/>
      <w:r w:rsidRPr="009267FE">
        <w:rPr>
          <w:rStyle w:val="Emphasis"/>
          <w:b w:val="0"/>
          <w:bCs w:val="0"/>
        </w:rPr>
        <w:t>longbeachae</w:t>
      </w:r>
      <w:proofErr w:type="spellEnd"/>
      <w:r>
        <w:t xml:space="preserve"> cases identified as having concurrent chronic medical conditions. The majority of patients in this study were hospitalised (42/45; 93%), with similar rates of hospitalisation between the </w:t>
      </w:r>
      <w:proofErr w:type="gramStart"/>
      <w:r>
        <w:t>two group</w:t>
      </w:r>
      <w:proofErr w:type="gramEnd"/>
      <w:r>
        <w:t xml:space="preserve"> based on species: 18/20 (90%) of </w:t>
      </w:r>
      <w:r w:rsidRPr="009267FE">
        <w:rPr>
          <w:rStyle w:val="Emphasis"/>
          <w:b w:val="0"/>
          <w:bCs w:val="0"/>
        </w:rPr>
        <w:t>L. pneumophila</w:t>
      </w:r>
      <w:r>
        <w:t xml:space="preserve"> cases and 24/25 (96%) of </w:t>
      </w:r>
      <w:r w:rsidRPr="009267FE">
        <w:rPr>
          <w:rStyle w:val="Emphasis"/>
          <w:b w:val="0"/>
          <w:bCs w:val="0"/>
        </w:rPr>
        <w:t xml:space="preserve">L. </w:t>
      </w:r>
      <w:proofErr w:type="spellStart"/>
      <w:r w:rsidRPr="009267FE">
        <w:rPr>
          <w:rStyle w:val="Emphasis"/>
          <w:b w:val="0"/>
          <w:bCs w:val="0"/>
        </w:rPr>
        <w:t>longbeachae</w:t>
      </w:r>
      <w:proofErr w:type="spellEnd"/>
      <w:r>
        <w:t xml:space="preserve"> cases. A greater proportion of patients in the </w:t>
      </w:r>
      <w:r w:rsidRPr="009267FE">
        <w:rPr>
          <w:rStyle w:val="Emphasis"/>
          <w:b w:val="0"/>
          <w:bCs w:val="0"/>
        </w:rPr>
        <w:t xml:space="preserve">L. </w:t>
      </w:r>
      <w:proofErr w:type="spellStart"/>
      <w:r w:rsidRPr="009267FE">
        <w:rPr>
          <w:rStyle w:val="Emphasis"/>
          <w:b w:val="0"/>
          <w:bCs w:val="0"/>
        </w:rPr>
        <w:t>longbeachae</w:t>
      </w:r>
      <w:proofErr w:type="spellEnd"/>
      <w:r>
        <w:t xml:space="preserve"> group (9/25; 36%) required admission to ICU than did those in the </w:t>
      </w:r>
      <w:r w:rsidRPr="009267FE">
        <w:rPr>
          <w:rStyle w:val="Emphasis"/>
          <w:b w:val="0"/>
          <w:bCs w:val="0"/>
        </w:rPr>
        <w:t>L. pneumophila</w:t>
      </w:r>
      <w:r>
        <w:t xml:space="preserve"> group (4/20; 20%) (</w:t>
      </w:r>
      <w:r w:rsidRPr="009267FE">
        <w:rPr>
          <w:rStyle w:val="Emphasis"/>
          <w:b w:val="0"/>
          <w:bCs w:val="0"/>
        </w:rPr>
        <w:t>p</w:t>
      </w:r>
      <w:r>
        <w:t xml:space="preserve"> = 0.327).</w:t>
      </w:r>
    </w:p>
    <w:p w14:paraId="1A5ECB5F" w14:textId="77777777" w:rsidR="00463661" w:rsidRPr="00801BC8" w:rsidRDefault="00463661" w:rsidP="00463661">
      <w:pPr>
        <w:pStyle w:val="CDIFigures"/>
      </w:pPr>
      <w:r w:rsidRPr="00801BC8">
        <w:rPr>
          <w:rStyle w:val="Strong"/>
          <w:b/>
          <w:bCs w:val="0"/>
        </w:rPr>
        <w:t>Figure 1: NT Legionella cases and humidity by month, January 2010 to April 2021</w:t>
      </w:r>
    </w:p>
    <w:p w14:paraId="41ACBF19" w14:textId="77777777" w:rsidR="00463661" w:rsidRDefault="00463661" w:rsidP="00463661">
      <w:pPr>
        <w:rPr>
          <w:rFonts w:eastAsia="Times New Roman"/>
          <w:lang w:val="en-GB"/>
        </w:rPr>
      </w:pPr>
      <w:r>
        <w:rPr>
          <w:rFonts w:eastAsia="Times New Roman"/>
          <w:noProof/>
          <w:lang w:val="en-GB"/>
        </w:rPr>
        <w:drawing>
          <wp:inline distT="0" distB="0" distL="0" distR="0" wp14:anchorId="1B2BF5C8" wp14:editId="6D073CC2">
            <wp:extent cx="6625742" cy="4405044"/>
            <wp:effectExtent l="0" t="0" r="3810" b="0"/>
            <wp:docPr id="2" name="Picture 2" descr="NT Legionella cases and humidity by month, January 2010 to April 2021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T Legionella cases and humidity by month, January 2010 to April 2021 "/>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6631415" cy="4408816"/>
                    </a:xfrm>
                    <a:prstGeom prst="rect">
                      <a:avLst/>
                    </a:prstGeom>
                  </pic:spPr>
                </pic:pic>
              </a:graphicData>
            </a:graphic>
          </wp:inline>
        </w:drawing>
      </w:r>
    </w:p>
    <w:p w14:paraId="5750D90D" w14:textId="77777777" w:rsidR="00A34097" w:rsidRPr="00A34097" w:rsidRDefault="00A34097" w:rsidP="00A34097">
      <w:pPr>
        <w:pStyle w:val="Heading1"/>
      </w:pPr>
      <w:r w:rsidRPr="00A34097">
        <w:t>Diagnostics</w:t>
      </w:r>
    </w:p>
    <w:p w14:paraId="53A39E4D" w14:textId="70DA1C6E" w:rsidR="00A34097" w:rsidRDefault="00A34097" w:rsidP="00A34097">
      <w:r>
        <w:t xml:space="preserve">Overall, of the probable cases, 3/35 (9%) were determined as probable based on detection through NAAT alone and 32/35 (91%) </w:t>
      </w:r>
      <w:proofErr w:type="gramStart"/>
      <w:r>
        <w:t xml:space="preserve">( </w:t>
      </w:r>
      <w:r w:rsidRPr="009267FE">
        <w:rPr>
          <w:rStyle w:val="Emphasis"/>
          <w:b w:val="0"/>
          <w:bCs w:val="0"/>
        </w:rPr>
        <w:t>p</w:t>
      </w:r>
      <w:proofErr w:type="gramEnd"/>
      <w:r>
        <w:t xml:space="preserve"> = 0.55) were classified based on a single high antibody titre. Fifty-seven percent of </w:t>
      </w:r>
      <w:r w:rsidRPr="009267FE">
        <w:rPr>
          <w:rStyle w:val="Emphasis"/>
          <w:b w:val="0"/>
          <w:bCs w:val="0"/>
        </w:rPr>
        <w:t>L. pneumophila</w:t>
      </w:r>
      <w:r>
        <w:t xml:space="preserve"> patients (12/21) and 93% of </w:t>
      </w:r>
      <w:r w:rsidRPr="009267FE">
        <w:rPr>
          <w:rStyle w:val="Emphasis"/>
          <w:b w:val="0"/>
          <w:bCs w:val="0"/>
        </w:rPr>
        <w:t xml:space="preserve">L. </w:t>
      </w:r>
      <w:proofErr w:type="spellStart"/>
      <w:r w:rsidRPr="009267FE">
        <w:rPr>
          <w:rStyle w:val="Emphasis"/>
          <w:b w:val="0"/>
          <w:bCs w:val="0"/>
        </w:rPr>
        <w:t>longbeachae</w:t>
      </w:r>
      <w:proofErr w:type="spellEnd"/>
      <w:r>
        <w:t xml:space="preserve"> patients (28/30) were diagnosed serologically. Of the patients who underwent serological testing, the majority were diagnosed based on acute serology, with 10/12 </w:t>
      </w:r>
      <w:r w:rsidRPr="009267FE">
        <w:rPr>
          <w:rStyle w:val="Emphasis"/>
          <w:b w:val="0"/>
          <w:bCs w:val="0"/>
        </w:rPr>
        <w:t>L. pneumophila</w:t>
      </w:r>
      <w:r>
        <w:t xml:space="preserve"> patients (83%) and 19/28 </w:t>
      </w:r>
      <w:r w:rsidRPr="009267FE">
        <w:rPr>
          <w:rStyle w:val="Emphasis"/>
          <w:b w:val="0"/>
          <w:bCs w:val="0"/>
        </w:rPr>
        <w:t xml:space="preserve">L. </w:t>
      </w:r>
      <w:proofErr w:type="spellStart"/>
      <w:r w:rsidRPr="009267FE">
        <w:rPr>
          <w:rStyle w:val="Emphasis"/>
          <w:b w:val="0"/>
          <w:bCs w:val="0"/>
        </w:rPr>
        <w:t>longbeachae</w:t>
      </w:r>
      <w:proofErr w:type="spellEnd"/>
      <w:r>
        <w:t xml:space="preserve"> patients (68%) having positive acute serology. Serological titres ranged from 1:64 to 1:&gt;16384 for </w:t>
      </w:r>
      <w:r w:rsidRPr="009267FE">
        <w:rPr>
          <w:rStyle w:val="Emphasis"/>
          <w:b w:val="0"/>
          <w:bCs w:val="0"/>
        </w:rPr>
        <w:t>L. pneumophilia</w:t>
      </w:r>
      <w:r>
        <w:t xml:space="preserve"> and from 1:64 to 1:2048 for </w:t>
      </w:r>
      <w:r w:rsidRPr="009267FE">
        <w:rPr>
          <w:rStyle w:val="Emphasis"/>
          <w:b w:val="0"/>
          <w:bCs w:val="0"/>
        </w:rPr>
        <w:t xml:space="preserve">L. </w:t>
      </w:r>
      <w:proofErr w:type="spellStart"/>
      <w:r w:rsidRPr="009267FE">
        <w:rPr>
          <w:rStyle w:val="Emphasis"/>
          <w:b w:val="0"/>
          <w:bCs w:val="0"/>
        </w:rPr>
        <w:t>longbeachae</w:t>
      </w:r>
      <w:proofErr w:type="spellEnd"/>
      <w:r>
        <w:t xml:space="preserve">. NAAT was more frequently positive in patients with </w:t>
      </w:r>
      <w:r w:rsidRPr="009267FE">
        <w:rPr>
          <w:rStyle w:val="Emphasis"/>
          <w:b w:val="0"/>
          <w:bCs w:val="0"/>
        </w:rPr>
        <w:t>L. pneumophilia</w:t>
      </w:r>
      <w:r>
        <w:t xml:space="preserve"> (4/5; 80%) than those with </w:t>
      </w:r>
      <w:r w:rsidRPr="009267FE">
        <w:rPr>
          <w:rStyle w:val="Emphasis"/>
          <w:b w:val="0"/>
          <w:bCs w:val="0"/>
        </w:rPr>
        <w:t xml:space="preserve">L. </w:t>
      </w:r>
      <w:proofErr w:type="spellStart"/>
      <w:r w:rsidRPr="009267FE">
        <w:rPr>
          <w:rStyle w:val="Emphasis"/>
          <w:b w:val="0"/>
          <w:bCs w:val="0"/>
        </w:rPr>
        <w:t>longbeachae</w:t>
      </w:r>
      <w:proofErr w:type="spellEnd"/>
      <w:r>
        <w:t xml:space="preserve"> (3/6; 50%) (</w:t>
      </w:r>
      <w:r w:rsidRPr="009267FE">
        <w:rPr>
          <w:rStyle w:val="Emphasis"/>
          <w:b w:val="0"/>
          <w:bCs w:val="0"/>
        </w:rPr>
        <w:t>p</w:t>
      </w:r>
      <w:r>
        <w:t xml:space="preserve"> = 0.545</w:t>
      </w:r>
      <w:proofErr w:type="gramStart"/>
      <w:r>
        <w:t>), and</w:t>
      </w:r>
      <w:proofErr w:type="gramEnd"/>
      <w:r>
        <w:t xml:space="preserve"> was the sole method of diagnosis in 1/5 (20%) </w:t>
      </w:r>
      <w:r w:rsidRPr="009267FE">
        <w:rPr>
          <w:rStyle w:val="Emphasis"/>
          <w:b w:val="0"/>
          <w:bCs w:val="0"/>
        </w:rPr>
        <w:t>L. pneumophilia</w:t>
      </w:r>
      <w:r>
        <w:t xml:space="preserve"> and 2/6 (33%) </w:t>
      </w:r>
      <w:r w:rsidRPr="009267FE">
        <w:rPr>
          <w:rStyle w:val="Emphasis"/>
          <w:b w:val="0"/>
          <w:bCs w:val="0"/>
        </w:rPr>
        <w:t xml:space="preserve">L. </w:t>
      </w:r>
      <w:proofErr w:type="spellStart"/>
      <w:r w:rsidRPr="009267FE">
        <w:rPr>
          <w:rStyle w:val="Emphasis"/>
          <w:b w:val="0"/>
          <w:bCs w:val="0"/>
        </w:rPr>
        <w:t>longbeachae</w:t>
      </w:r>
      <w:proofErr w:type="spellEnd"/>
      <w:r>
        <w:t xml:space="preserve"> patients. Urinary antigen was positive for </w:t>
      </w:r>
      <w:r w:rsidRPr="009267FE">
        <w:rPr>
          <w:rStyle w:val="Emphasis"/>
          <w:b w:val="0"/>
          <w:bCs w:val="0"/>
        </w:rPr>
        <w:t>L. pneumophila</w:t>
      </w:r>
      <w:r>
        <w:t xml:space="preserve"> in 8/16 (50%) of those who were tested, and was the sole diagnostic means in 5/8 (63%) patients. Three patients with positive urinary antigen had concurrent positive NAAT on respiratory specimen (3/8; 37%).</w:t>
      </w:r>
    </w:p>
    <w:p w14:paraId="46FCD893" w14:textId="2CD62537" w:rsidR="00A34097" w:rsidRDefault="00A34097" w:rsidP="00A34097">
      <w:r>
        <w:lastRenderedPageBreak/>
        <w:t>This study was not designed to evaluate clinical management and therefore data on treatment were not obtained. Standard empiric treatment for Legionnaire’s disease in the NT follows national recommendations and includes azithromycin for low-moderate severity pneumonia (three to seven days) or doxycycline (ten to fourteen days) and for patients with high severity disease, azithromycin for seven to ten days.</w:t>
      </w:r>
      <w:r>
        <w:rPr>
          <w:vertAlign w:val="superscript"/>
        </w:rPr>
        <w:t>11</w:t>
      </w:r>
      <w:r>
        <w:t xml:space="preserve"> </w:t>
      </w:r>
    </w:p>
    <w:p w14:paraId="79DF270A" w14:textId="77777777" w:rsidR="00DA439E" w:rsidRPr="00801BC8" w:rsidRDefault="00DA439E" w:rsidP="00DA439E">
      <w:pPr>
        <w:pStyle w:val="CDIFigures"/>
      </w:pPr>
      <w:r w:rsidRPr="00801BC8">
        <w:rPr>
          <w:rStyle w:val="Strong"/>
          <w:b/>
          <w:bCs w:val="0"/>
        </w:rPr>
        <w:t xml:space="preserve">Table 1: Demographics of patients with </w:t>
      </w:r>
      <w:r w:rsidRPr="00C558E5">
        <w:rPr>
          <w:rStyle w:val="Strong"/>
          <w:b/>
          <w:bCs w:val="0"/>
          <w:i/>
          <w:iCs/>
        </w:rPr>
        <w:t>Legionella</w:t>
      </w:r>
      <w:r w:rsidRPr="00801BC8">
        <w:rPr>
          <w:rStyle w:val="Strong"/>
          <w:b/>
          <w:bCs w:val="0"/>
        </w:rPr>
        <w:t xml:space="preserve"> infection in the NT from January 2010 to April 2021</w:t>
      </w:r>
    </w:p>
    <w:tbl>
      <w:tblPr>
        <w:tblStyle w:val="CDI-StandardTable"/>
        <w:tblW w:w="0" w:type="auto"/>
        <w:tblCellMar>
          <w:top w:w="28" w:type="dxa"/>
          <w:bottom w:w="28" w:type="dxa"/>
        </w:tblCellMar>
        <w:tblLook w:val="04A0" w:firstRow="1" w:lastRow="0" w:firstColumn="1" w:lastColumn="0" w:noHBand="0" w:noVBand="1"/>
        <w:tblDescription w:val="Demographics of Patients with Legionella Infection in the NT from January 2010 to April 2021. "/>
      </w:tblPr>
      <w:tblGrid>
        <w:gridCol w:w="2127"/>
        <w:gridCol w:w="3749"/>
        <w:gridCol w:w="2251"/>
        <w:gridCol w:w="1538"/>
        <w:gridCol w:w="801"/>
      </w:tblGrid>
      <w:tr w:rsidR="00DA439E" w:rsidRPr="00CD488A" w14:paraId="406D96ED" w14:textId="77777777" w:rsidTr="002451B6">
        <w:trPr>
          <w:cnfStyle w:val="100000000000" w:firstRow="1" w:lastRow="0" w:firstColumn="0" w:lastColumn="0" w:oddVBand="0" w:evenVBand="0" w:oddHBand="0" w:evenHBand="0" w:firstRowFirstColumn="0" w:firstRowLastColumn="0" w:lastRowFirstColumn="0" w:lastRowLastColumn="0"/>
        </w:trPr>
        <w:tc>
          <w:tcPr>
            <w:tcW w:w="2127" w:type="dxa"/>
            <w:tcBorders>
              <w:right w:val="single" w:sz="2" w:space="0" w:color="886E49"/>
            </w:tcBorders>
            <w:hideMark/>
          </w:tcPr>
          <w:p w14:paraId="00E99795" w14:textId="77777777" w:rsidR="00DA439E" w:rsidRPr="00CD488A" w:rsidRDefault="00DA439E" w:rsidP="00D563AD">
            <w:pPr>
              <w:pStyle w:val="NormalWeb"/>
              <w:rPr>
                <w:color w:val="FFFFFF" w:themeColor="background1"/>
                <w:sz w:val="18"/>
                <w:szCs w:val="18"/>
              </w:rPr>
            </w:pPr>
            <w:r w:rsidRPr="00CD488A">
              <w:rPr>
                <w:color w:val="FFFFFF" w:themeColor="background1"/>
                <w:sz w:val="18"/>
                <w:szCs w:val="18"/>
              </w:rPr>
              <w:t>Parameter</w:t>
            </w:r>
          </w:p>
        </w:tc>
        <w:tc>
          <w:tcPr>
            <w:tcW w:w="3749" w:type="dxa"/>
            <w:tcBorders>
              <w:left w:val="single" w:sz="2" w:space="0" w:color="886E49"/>
              <w:right w:val="single" w:sz="2" w:space="0" w:color="886E49"/>
            </w:tcBorders>
            <w:hideMark/>
          </w:tcPr>
          <w:p w14:paraId="1C68E6CE" w14:textId="77777777" w:rsidR="00DA439E" w:rsidRPr="00CD488A" w:rsidRDefault="00DA439E" w:rsidP="00D563AD">
            <w:pPr>
              <w:pStyle w:val="NormalWeb"/>
              <w:jc w:val="center"/>
              <w:rPr>
                <w:color w:val="FFFFFF" w:themeColor="background1"/>
                <w:sz w:val="18"/>
                <w:szCs w:val="18"/>
              </w:rPr>
            </w:pPr>
            <w:r w:rsidRPr="00CD488A">
              <w:rPr>
                <w:color w:val="FFFFFF" w:themeColor="background1"/>
                <w:sz w:val="18"/>
                <w:szCs w:val="18"/>
              </w:rPr>
              <w:t>Aboriginal and/or Torres Strait Islander (% of total)</w:t>
            </w:r>
          </w:p>
        </w:tc>
        <w:tc>
          <w:tcPr>
            <w:tcW w:w="0" w:type="auto"/>
            <w:tcBorders>
              <w:left w:val="single" w:sz="2" w:space="0" w:color="886E49"/>
              <w:right w:val="single" w:sz="2" w:space="0" w:color="886E49"/>
            </w:tcBorders>
            <w:hideMark/>
          </w:tcPr>
          <w:p w14:paraId="7F6B1EBC" w14:textId="77777777" w:rsidR="00DA439E" w:rsidRPr="00CD488A" w:rsidRDefault="00DA439E" w:rsidP="00D563AD">
            <w:pPr>
              <w:pStyle w:val="NormalWeb"/>
              <w:jc w:val="center"/>
              <w:rPr>
                <w:color w:val="FFFFFF" w:themeColor="background1"/>
                <w:sz w:val="18"/>
                <w:szCs w:val="18"/>
              </w:rPr>
            </w:pPr>
            <w:r w:rsidRPr="00CD488A">
              <w:rPr>
                <w:color w:val="FFFFFF" w:themeColor="background1"/>
                <w:sz w:val="18"/>
                <w:szCs w:val="18"/>
              </w:rPr>
              <w:t>Non-Indigenous (% of total)</w:t>
            </w:r>
          </w:p>
        </w:tc>
        <w:tc>
          <w:tcPr>
            <w:tcW w:w="1538" w:type="dxa"/>
            <w:tcBorders>
              <w:left w:val="single" w:sz="2" w:space="0" w:color="886E49"/>
              <w:right w:val="single" w:sz="2" w:space="0" w:color="886E49"/>
            </w:tcBorders>
            <w:hideMark/>
          </w:tcPr>
          <w:p w14:paraId="4B871CF4" w14:textId="77777777" w:rsidR="00DA439E" w:rsidRPr="00CD488A" w:rsidRDefault="00DA439E" w:rsidP="00D563AD">
            <w:pPr>
              <w:pStyle w:val="NormalWeb"/>
              <w:jc w:val="center"/>
              <w:rPr>
                <w:color w:val="FFFFFF" w:themeColor="background1"/>
                <w:sz w:val="18"/>
                <w:szCs w:val="18"/>
              </w:rPr>
            </w:pPr>
            <w:r w:rsidRPr="00CD488A">
              <w:rPr>
                <w:color w:val="FFFFFF" w:themeColor="background1"/>
                <w:sz w:val="18"/>
                <w:szCs w:val="18"/>
              </w:rPr>
              <w:t>Total (%)</w:t>
            </w:r>
          </w:p>
        </w:tc>
        <w:tc>
          <w:tcPr>
            <w:tcW w:w="801" w:type="dxa"/>
            <w:tcBorders>
              <w:left w:val="single" w:sz="2" w:space="0" w:color="886E49"/>
            </w:tcBorders>
            <w:hideMark/>
          </w:tcPr>
          <w:p w14:paraId="196E883F" w14:textId="77777777" w:rsidR="00DA439E" w:rsidRPr="00CD488A" w:rsidRDefault="00DA439E" w:rsidP="00D563AD">
            <w:pPr>
              <w:pStyle w:val="NormalWeb"/>
              <w:jc w:val="center"/>
              <w:rPr>
                <w:color w:val="FFFFFF" w:themeColor="background1"/>
                <w:sz w:val="18"/>
                <w:szCs w:val="18"/>
              </w:rPr>
            </w:pPr>
            <w:r w:rsidRPr="00C558E5">
              <w:rPr>
                <w:i/>
                <w:iCs/>
                <w:color w:val="FFFFFF" w:themeColor="background1"/>
                <w:sz w:val="18"/>
                <w:szCs w:val="18"/>
              </w:rPr>
              <w:t>p</w:t>
            </w:r>
            <w:r w:rsidRPr="00CD488A">
              <w:rPr>
                <w:color w:val="FFFFFF" w:themeColor="background1"/>
                <w:sz w:val="18"/>
                <w:szCs w:val="18"/>
              </w:rPr>
              <w:t xml:space="preserve"> value</w:t>
            </w:r>
          </w:p>
        </w:tc>
      </w:tr>
      <w:tr w:rsidR="00DA439E" w:rsidRPr="00CD488A" w14:paraId="4B50231B" w14:textId="77777777" w:rsidTr="002451B6">
        <w:tblPrEx>
          <w:tblCellMar>
            <w:left w:w="57" w:type="dxa"/>
            <w:right w:w="57" w:type="dxa"/>
          </w:tblCellMar>
        </w:tblPrEx>
        <w:tc>
          <w:tcPr>
            <w:tcW w:w="2127" w:type="dxa"/>
            <w:hideMark/>
          </w:tcPr>
          <w:p w14:paraId="4743EB39" w14:textId="77777777" w:rsidR="00DA439E" w:rsidRPr="00CD488A" w:rsidRDefault="00DA439E" w:rsidP="00D563AD">
            <w:pPr>
              <w:pStyle w:val="NormalWeb"/>
              <w:rPr>
                <w:sz w:val="18"/>
                <w:szCs w:val="18"/>
              </w:rPr>
            </w:pPr>
            <w:r w:rsidRPr="00CD488A">
              <w:rPr>
                <w:sz w:val="18"/>
                <w:szCs w:val="18"/>
              </w:rPr>
              <w:t>Number</w:t>
            </w:r>
          </w:p>
        </w:tc>
        <w:tc>
          <w:tcPr>
            <w:tcW w:w="3749" w:type="dxa"/>
            <w:hideMark/>
          </w:tcPr>
          <w:p w14:paraId="13A3BD7B" w14:textId="77777777" w:rsidR="00DA439E" w:rsidRPr="00CD488A" w:rsidRDefault="00DA439E" w:rsidP="00D563AD">
            <w:pPr>
              <w:pStyle w:val="NormalWeb"/>
              <w:jc w:val="center"/>
              <w:rPr>
                <w:sz w:val="18"/>
                <w:szCs w:val="18"/>
              </w:rPr>
            </w:pPr>
            <w:r w:rsidRPr="00CD488A">
              <w:rPr>
                <w:sz w:val="18"/>
                <w:szCs w:val="18"/>
              </w:rPr>
              <w:t>16 (30)</w:t>
            </w:r>
          </w:p>
        </w:tc>
        <w:tc>
          <w:tcPr>
            <w:tcW w:w="0" w:type="auto"/>
            <w:hideMark/>
          </w:tcPr>
          <w:p w14:paraId="0BA8CE03" w14:textId="77777777" w:rsidR="00DA439E" w:rsidRPr="00CD488A" w:rsidRDefault="00DA439E" w:rsidP="00D563AD">
            <w:pPr>
              <w:pStyle w:val="NormalWeb"/>
              <w:jc w:val="center"/>
              <w:rPr>
                <w:sz w:val="18"/>
                <w:szCs w:val="18"/>
              </w:rPr>
            </w:pPr>
            <w:r w:rsidRPr="00CD488A">
              <w:rPr>
                <w:sz w:val="18"/>
                <w:szCs w:val="18"/>
              </w:rPr>
              <w:t>37 (70)</w:t>
            </w:r>
          </w:p>
        </w:tc>
        <w:tc>
          <w:tcPr>
            <w:tcW w:w="1538" w:type="dxa"/>
            <w:hideMark/>
          </w:tcPr>
          <w:p w14:paraId="65F3F0A6" w14:textId="77777777" w:rsidR="00DA439E" w:rsidRPr="00CD488A" w:rsidRDefault="00DA439E" w:rsidP="00D563AD">
            <w:pPr>
              <w:pStyle w:val="NormalWeb"/>
              <w:jc w:val="center"/>
              <w:rPr>
                <w:sz w:val="18"/>
                <w:szCs w:val="18"/>
              </w:rPr>
            </w:pPr>
            <w:r w:rsidRPr="00CD488A">
              <w:rPr>
                <w:sz w:val="18"/>
                <w:szCs w:val="18"/>
              </w:rPr>
              <w:t>53 (100)</w:t>
            </w:r>
          </w:p>
        </w:tc>
        <w:tc>
          <w:tcPr>
            <w:tcW w:w="801" w:type="dxa"/>
            <w:hideMark/>
          </w:tcPr>
          <w:p w14:paraId="5A640CE9" w14:textId="77777777" w:rsidR="00DA439E" w:rsidRPr="00CD488A" w:rsidRDefault="00DA439E" w:rsidP="00D563AD">
            <w:pPr>
              <w:jc w:val="center"/>
              <w:rPr>
                <w:sz w:val="18"/>
                <w:szCs w:val="18"/>
              </w:rPr>
            </w:pPr>
          </w:p>
        </w:tc>
      </w:tr>
      <w:tr w:rsidR="00DA439E" w:rsidRPr="00CD488A" w14:paraId="2552F981" w14:textId="77777777" w:rsidTr="002451B6">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27" w:type="dxa"/>
            <w:hideMark/>
          </w:tcPr>
          <w:p w14:paraId="5C5FA231" w14:textId="77777777" w:rsidR="00DA439E" w:rsidRPr="00CD488A" w:rsidRDefault="00DA439E" w:rsidP="00D563AD">
            <w:pPr>
              <w:pStyle w:val="NormalWeb"/>
              <w:rPr>
                <w:sz w:val="18"/>
                <w:szCs w:val="18"/>
              </w:rPr>
            </w:pPr>
            <w:r w:rsidRPr="00CD488A">
              <w:rPr>
                <w:sz w:val="18"/>
                <w:szCs w:val="18"/>
              </w:rPr>
              <w:t>Median age in years (IQR)</w:t>
            </w:r>
          </w:p>
        </w:tc>
        <w:tc>
          <w:tcPr>
            <w:tcW w:w="3749" w:type="dxa"/>
            <w:hideMark/>
          </w:tcPr>
          <w:p w14:paraId="5BDE1468" w14:textId="77777777" w:rsidR="00DA439E" w:rsidRPr="00CD488A" w:rsidRDefault="00DA439E" w:rsidP="00D563AD">
            <w:pPr>
              <w:pStyle w:val="NormalWeb"/>
              <w:jc w:val="center"/>
              <w:rPr>
                <w:sz w:val="18"/>
                <w:szCs w:val="18"/>
              </w:rPr>
            </w:pPr>
            <w:r w:rsidRPr="00CD488A">
              <w:rPr>
                <w:sz w:val="18"/>
                <w:szCs w:val="18"/>
              </w:rPr>
              <w:t>41 (39–54)</w:t>
            </w:r>
          </w:p>
        </w:tc>
        <w:tc>
          <w:tcPr>
            <w:tcW w:w="0" w:type="auto"/>
            <w:hideMark/>
          </w:tcPr>
          <w:p w14:paraId="71C1B51E" w14:textId="77777777" w:rsidR="00DA439E" w:rsidRPr="00CD488A" w:rsidRDefault="00DA439E" w:rsidP="00D563AD">
            <w:pPr>
              <w:pStyle w:val="NormalWeb"/>
              <w:jc w:val="center"/>
              <w:rPr>
                <w:sz w:val="18"/>
                <w:szCs w:val="18"/>
              </w:rPr>
            </w:pPr>
            <w:r w:rsidRPr="00CD488A">
              <w:rPr>
                <w:sz w:val="18"/>
                <w:szCs w:val="18"/>
              </w:rPr>
              <w:t>60 (50–70)</w:t>
            </w:r>
          </w:p>
        </w:tc>
        <w:tc>
          <w:tcPr>
            <w:tcW w:w="1538" w:type="dxa"/>
            <w:hideMark/>
          </w:tcPr>
          <w:p w14:paraId="2F4E29D9" w14:textId="77777777" w:rsidR="00DA439E" w:rsidRPr="00CD488A" w:rsidRDefault="00DA439E" w:rsidP="00D563AD">
            <w:pPr>
              <w:pStyle w:val="NormalWeb"/>
              <w:jc w:val="center"/>
              <w:rPr>
                <w:sz w:val="18"/>
                <w:szCs w:val="18"/>
              </w:rPr>
            </w:pPr>
            <w:r w:rsidRPr="00CD488A">
              <w:rPr>
                <w:sz w:val="18"/>
                <w:szCs w:val="18"/>
              </w:rPr>
              <w:t>54 (41–67)</w:t>
            </w:r>
          </w:p>
        </w:tc>
        <w:tc>
          <w:tcPr>
            <w:tcW w:w="801" w:type="dxa"/>
            <w:hideMark/>
          </w:tcPr>
          <w:p w14:paraId="64A83DAD" w14:textId="77777777" w:rsidR="00DA439E" w:rsidRPr="00CD488A" w:rsidRDefault="00DA439E" w:rsidP="00D563AD">
            <w:pPr>
              <w:pStyle w:val="NormalWeb"/>
              <w:jc w:val="center"/>
              <w:rPr>
                <w:sz w:val="18"/>
                <w:szCs w:val="18"/>
              </w:rPr>
            </w:pPr>
            <w:r w:rsidRPr="00CD488A">
              <w:rPr>
                <w:sz w:val="18"/>
                <w:szCs w:val="18"/>
              </w:rPr>
              <w:t>0.01</w:t>
            </w:r>
          </w:p>
        </w:tc>
      </w:tr>
      <w:tr w:rsidR="00DA439E" w:rsidRPr="00097027" w14:paraId="113FDDBE" w14:textId="77777777" w:rsidTr="002451B6">
        <w:tblPrEx>
          <w:tblCellMar>
            <w:left w:w="57" w:type="dxa"/>
            <w:right w:w="57" w:type="dxa"/>
          </w:tblCellMar>
        </w:tblPrEx>
        <w:tc>
          <w:tcPr>
            <w:tcW w:w="10466" w:type="dxa"/>
            <w:gridSpan w:val="5"/>
            <w:shd w:val="clear" w:color="auto" w:fill="E0C198"/>
            <w:hideMark/>
          </w:tcPr>
          <w:p w14:paraId="7B3A93AA" w14:textId="77777777" w:rsidR="00DA439E" w:rsidRPr="00097027" w:rsidRDefault="00DA439E" w:rsidP="00D563AD">
            <w:pPr>
              <w:pStyle w:val="NormalWeb"/>
              <w:rPr>
                <w:b/>
                <w:bCs/>
                <w:sz w:val="18"/>
                <w:szCs w:val="18"/>
              </w:rPr>
            </w:pPr>
            <w:r w:rsidRPr="00097027">
              <w:rPr>
                <w:b/>
                <w:bCs/>
                <w:sz w:val="18"/>
                <w:szCs w:val="18"/>
              </w:rPr>
              <w:t>Sex</w:t>
            </w:r>
          </w:p>
        </w:tc>
      </w:tr>
      <w:tr w:rsidR="00DA439E" w:rsidRPr="00CD488A" w14:paraId="7D2999B3" w14:textId="77777777" w:rsidTr="002451B6">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27" w:type="dxa"/>
            <w:hideMark/>
          </w:tcPr>
          <w:p w14:paraId="5A2A7499" w14:textId="77777777" w:rsidR="00DA439E" w:rsidRPr="00CD488A" w:rsidRDefault="00DA439E" w:rsidP="00D563AD">
            <w:pPr>
              <w:pStyle w:val="NormalWeb"/>
              <w:rPr>
                <w:sz w:val="18"/>
                <w:szCs w:val="18"/>
              </w:rPr>
            </w:pPr>
            <w:r w:rsidRPr="00CD488A">
              <w:rPr>
                <w:sz w:val="18"/>
                <w:szCs w:val="18"/>
              </w:rPr>
              <w:t>Male</w:t>
            </w:r>
          </w:p>
        </w:tc>
        <w:tc>
          <w:tcPr>
            <w:tcW w:w="3749" w:type="dxa"/>
            <w:hideMark/>
          </w:tcPr>
          <w:p w14:paraId="29C802BA" w14:textId="77777777" w:rsidR="00DA439E" w:rsidRPr="00CD488A" w:rsidRDefault="00DA439E" w:rsidP="00D563AD">
            <w:pPr>
              <w:pStyle w:val="NormalWeb"/>
              <w:jc w:val="center"/>
              <w:rPr>
                <w:sz w:val="18"/>
                <w:szCs w:val="18"/>
              </w:rPr>
            </w:pPr>
            <w:r w:rsidRPr="00CD488A">
              <w:rPr>
                <w:sz w:val="18"/>
                <w:szCs w:val="18"/>
              </w:rPr>
              <w:t>10 (63)</w:t>
            </w:r>
          </w:p>
        </w:tc>
        <w:tc>
          <w:tcPr>
            <w:tcW w:w="0" w:type="auto"/>
            <w:hideMark/>
          </w:tcPr>
          <w:p w14:paraId="791D57AF" w14:textId="77777777" w:rsidR="00DA439E" w:rsidRPr="00CD488A" w:rsidRDefault="00DA439E" w:rsidP="00D563AD">
            <w:pPr>
              <w:pStyle w:val="NormalWeb"/>
              <w:jc w:val="center"/>
              <w:rPr>
                <w:sz w:val="18"/>
                <w:szCs w:val="18"/>
              </w:rPr>
            </w:pPr>
            <w:r w:rsidRPr="00CD488A">
              <w:rPr>
                <w:sz w:val="18"/>
                <w:szCs w:val="18"/>
              </w:rPr>
              <w:t>27 (73)</w:t>
            </w:r>
          </w:p>
        </w:tc>
        <w:tc>
          <w:tcPr>
            <w:tcW w:w="1538" w:type="dxa"/>
            <w:hideMark/>
          </w:tcPr>
          <w:p w14:paraId="75B9C4AA" w14:textId="77777777" w:rsidR="00DA439E" w:rsidRPr="00CD488A" w:rsidRDefault="00DA439E" w:rsidP="00D563AD">
            <w:pPr>
              <w:pStyle w:val="NormalWeb"/>
              <w:jc w:val="center"/>
              <w:rPr>
                <w:sz w:val="18"/>
                <w:szCs w:val="18"/>
              </w:rPr>
            </w:pPr>
            <w:r w:rsidRPr="00CD488A">
              <w:rPr>
                <w:sz w:val="18"/>
                <w:szCs w:val="18"/>
              </w:rPr>
              <w:t>37 (70)</w:t>
            </w:r>
          </w:p>
        </w:tc>
        <w:tc>
          <w:tcPr>
            <w:tcW w:w="801" w:type="dxa"/>
            <w:hideMark/>
          </w:tcPr>
          <w:p w14:paraId="72BAA3C4" w14:textId="77777777" w:rsidR="00DA439E" w:rsidRPr="00CD488A" w:rsidRDefault="00DA439E" w:rsidP="00D563AD">
            <w:pPr>
              <w:jc w:val="center"/>
              <w:rPr>
                <w:sz w:val="18"/>
                <w:szCs w:val="18"/>
              </w:rPr>
            </w:pPr>
          </w:p>
        </w:tc>
      </w:tr>
      <w:tr w:rsidR="00DA439E" w:rsidRPr="00CD488A" w14:paraId="2D29D1C6" w14:textId="77777777" w:rsidTr="002451B6">
        <w:tblPrEx>
          <w:tblCellMar>
            <w:left w:w="57" w:type="dxa"/>
            <w:right w:w="57" w:type="dxa"/>
          </w:tblCellMar>
        </w:tblPrEx>
        <w:tc>
          <w:tcPr>
            <w:tcW w:w="2127" w:type="dxa"/>
            <w:hideMark/>
          </w:tcPr>
          <w:p w14:paraId="3FFA5FD7" w14:textId="77777777" w:rsidR="00DA439E" w:rsidRPr="00CD488A" w:rsidRDefault="00DA439E" w:rsidP="00D563AD">
            <w:pPr>
              <w:pStyle w:val="NormalWeb"/>
              <w:rPr>
                <w:sz w:val="18"/>
                <w:szCs w:val="18"/>
              </w:rPr>
            </w:pPr>
            <w:r w:rsidRPr="00CD488A">
              <w:rPr>
                <w:sz w:val="18"/>
                <w:szCs w:val="18"/>
              </w:rPr>
              <w:t>Female</w:t>
            </w:r>
          </w:p>
        </w:tc>
        <w:tc>
          <w:tcPr>
            <w:tcW w:w="3749" w:type="dxa"/>
            <w:hideMark/>
          </w:tcPr>
          <w:p w14:paraId="033B7FAB" w14:textId="77777777" w:rsidR="00DA439E" w:rsidRPr="00CD488A" w:rsidRDefault="00DA439E" w:rsidP="00D563AD">
            <w:pPr>
              <w:pStyle w:val="NormalWeb"/>
              <w:jc w:val="center"/>
              <w:rPr>
                <w:sz w:val="18"/>
                <w:szCs w:val="18"/>
              </w:rPr>
            </w:pPr>
            <w:r w:rsidRPr="00CD488A">
              <w:rPr>
                <w:sz w:val="18"/>
                <w:szCs w:val="18"/>
              </w:rPr>
              <w:t>6 (37)</w:t>
            </w:r>
          </w:p>
        </w:tc>
        <w:tc>
          <w:tcPr>
            <w:tcW w:w="0" w:type="auto"/>
            <w:hideMark/>
          </w:tcPr>
          <w:p w14:paraId="1C9D7E51" w14:textId="77777777" w:rsidR="00DA439E" w:rsidRPr="00CD488A" w:rsidRDefault="00DA439E" w:rsidP="00D563AD">
            <w:pPr>
              <w:pStyle w:val="NormalWeb"/>
              <w:jc w:val="center"/>
              <w:rPr>
                <w:sz w:val="18"/>
                <w:szCs w:val="18"/>
              </w:rPr>
            </w:pPr>
            <w:r w:rsidRPr="00CD488A">
              <w:rPr>
                <w:sz w:val="18"/>
                <w:szCs w:val="18"/>
              </w:rPr>
              <w:t>10 (27)</w:t>
            </w:r>
          </w:p>
        </w:tc>
        <w:tc>
          <w:tcPr>
            <w:tcW w:w="1538" w:type="dxa"/>
            <w:hideMark/>
          </w:tcPr>
          <w:p w14:paraId="6103AFEF" w14:textId="77777777" w:rsidR="00DA439E" w:rsidRPr="00CD488A" w:rsidRDefault="00DA439E" w:rsidP="00D563AD">
            <w:pPr>
              <w:pStyle w:val="NormalWeb"/>
              <w:jc w:val="center"/>
              <w:rPr>
                <w:sz w:val="18"/>
                <w:szCs w:val="18"/>
              </w:rPr>
            </w:pPr>
            <w:r w:rsidRPr="00CD488A">
              <w:rPr>
                <w:sz w:val="18"/>
                <w:szCs w:val="18"/>
              </w:rPr>
              <w:t>16 (30)</w:t>
            </w:r>
          </w:p>
        </w:tc>
        <w:tc>
          <w:tcPr>
            <w:tcW w:w="801" w:type="dxa"/>
            <w:hideMark/>
          </w:tcPr>
          <w:p w14:paraId="658151BE" w14:textId="77777777" w:rsidR="00DA439E" w:rsidRPr="00CD488A" w:rsidRDefault="00DA439E" w:rsidP="00D563AD">
            <w:pPr>
              <w:jc w:val="center"/>
              <w:rPr>
                <w:sz w:val="18"/>
                <w:szCs w:val="18"/>
              </w:rPr>
            </w:pPr>
          </w:p>
        </w:tc>
      </w:tr>
      <w:tr w:rsidR="00DA439E" w:rsidRPr="00097027" w14:paraId="08E23644" w14:textId="77777777" w:rsidTr="002451B6">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0466" w:type="dxa"/>
            <w:gridSpan w:val="5"/>
            <w:shd w:val="clear" w:color="auto" w:fill="E0C198"/>
            <w:hideMark/>
          </w:tcPr>
          <w:p w14:paraId="3861540D" w14:textId="77777777" w:rsidR="00DA439E" w:rsidRPr="00097027" w:rsidRDefault="00DA439E" w:rsidP="00D563AD">
            <w:pPr>
              <w:pStyle w:val="NormalWeb"/>
              <w:rPr>
                <w:b/>
                <w:bCs/>
                <w:sz w:val="18"/>
                <w:szCs w:val="18"/>
              </w:rPr>
            </w:pPr>
            <w:r w:rsidRPr="00097027">
              <w:rPr>
                <w:b/>
                <w:bCs/>
                <w:sz w:val="18"/>
                <w:szCs w:val="18"/>
              </w:rPr>
              <w:t>Residence</w:t>
            </w:r>
          </w:p>
        </w:tc>
      </w:tr>
      <w:tr w:rsidR="00DA439E" w:rsidRPr="00CD488A" w14:paraId="44BE7018" w14:textId="77777777" w:rsidTr="002451B6">
        <w:tblPrEx>
          <w:tblCellMar>
            <w:left w:w="57" w:type="dxa"/>
            <w:right w:w="57" w:type="dxa"/>
          </w:tblCellMar>
        </w:tblPrEx>
        <w:tc>
          <w:tcPr>
            <w:tcW w:w="2127" w:type="dxa"/>
            <w:hideMark/>
          </w:tcPr>
          <w:p w14:paraId="69488360" w14:textId="77777777" w:rsidR="00DA439E" w:rsidRPr="00CD488A" w:rsidRDefault="00DA439E" w:rsidP="00D563AD">
            <w:pPr>
              <w:pStyle w:val="NormalWeb"/>
              <w:rPr>
                <w:sz w:val="18"/>
                <w:szCs w:val="18"/>
              </w:rPr>
            </w:pPr>
            <w:r w:rsidRPr="00CD488A">
              <w:rPr>
                <w:sz w:val="18"/>
                <w:szCs w:val="18"/>
              </w:rPr>
              <w:t>Urban</w:t>
            </w:r>
          </w:p>
        </w:tc>
        <w:tc>
          <w:tcPr>
            <w:tcW w:w="3749" w:type="dxa"/>
            <w:hideMark/>
          </w:tcPr>
          <w:p w14:paraId="1DE4EE51" w14:textId="77777777" w:rsidR="00DA439E" w:rsidRPr="00CD488A" w:rsidRDefault="00DA439E" w:rsidP="00D563AD">
            <w:pPr>
              <w:pStyle w:val="NormalWeb"/>
              <w:jc w:val="center"/>
              <w:rPr>
                <w:sz w:val="18"/>
                <w:szCs w:val="18"/>
              </w:rPr>
            </w:pPr>
            <w:r w:rsidRPr="00CD488A">
              <w:rPr>
                <w:sz w:val="18"/>
                <w:szCs w:val="18"/>
              </w:rPr>
              <w:t>7 (44)</w:t>
            </w:r>
          </w:p>
        </w:tc>
        <w:tc>
          <w:tcPr>
            <w:tcW w:w="0" w:type="auto"/>
            <w:hideMark/>
          </w:tcPr>
          <w:p w14:paraId="7297573D" w14:textId="77777777" w:rsidR="00DA439E" w:rsidRPr="00CD488A" w:rsidRDefault="00DA439E" w:rsidP="00D563AD">
            <w:pPr>
              <w:pStyle w:val="NormalWeb"/>
              <w:jc w:val="center"/>
              <w:rPr>
                <w:sz w:val="18"/>
                <w:szCs w:val="18"/>
              </w:rPr>
            </w:pPr>
            <w:r w:rsidRPr="00CD488A">
              <w:rPr>
                <w:sz w:val="18"/>
                <w:szCs w:val="18"/>
              </w:rPr>
              <w:t>30 (81)</w:t>
            </w:r>
          </w:p>
        </w:tc>
        <w:tc>
          <w:tcPr>
            <w:tcW w:w="1538" w:type="dxa"/>
            <w:hideMark/>
          </w:tcPr>
          <w:p w14:paraId="32FAB9BE" w14:textId="77777777" w:rsidR="00DA439E" w:rsidRPr="00CD488A" w:rsidRDefault="00DA439E" w:rsidP="00D563AD">
            <w:pPr>
              <w:pStyle w:val="NormalWeb"/>
              <w:jc w:val="center"/>
              <w:rPr>
                <w:sz w:val="18"/>
                <w:szCs w:val="18"/>
              </w:rPr>
            </w:pPr>
            <w:r w:rsidRPr="00CD488A">
              <w:rPr>
                <w:sz w:val="18"/>
                <w:szCs w:val="18"/>
              </w:rPr>
              <w:t>37 (70)</w:t>
            </w:r>
          </w:p>
        </w:tc>
        <w:tc>
          <w:tcPr>
            <w:tcW w:w="801" w:type="dxa"/>
            <w:hideMark/>
          </w:tcPr>
          <w:p w14:paraId="57B48E28" w14:textId="77777777" w:rsidR="00DA439E" w:rsidRPr="00CD488A" w:rsidRDefault="00DA439E" w:rsidP="00D563AD">
            <w:pPr>
              <w:jc w:val="center"/>
              <w:rPr>
                <w:sz w:val="18"/>
                <w:szCs w:val="18"/>
              </w:rPr>
            </w:pPr>
          </w:p>
        </w:tc>
      </w:tr>
      <w:tr w:rsidR="00DA439E" w:rsidRPr="00CD488A" w14:paraId="39C3BB60" w14:textId="77777777" w:rsidTr="002451B6">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27" w:type="dxa"/>
            <w:hideMark/>
          </w:tcPr>
          <w:p w14:paraId="58DF2135" w14:textId="77777777" w:rsidR="00DA439E" w:rsidRPr="00CD488A" w:rsidRDefault="00DA439E" w:rsidP="00D563AD">
            <w:pPr>
              <w:pStyle w:val="NormalWeb"/>
              <w:rPr>
                <w:sz w:val="18"/>
                <w:szCs w:val="18"/>
              </w:rPr>
            </w:pPr>
            <w:r w:rsidRPr="00CD488A">
              <w:rPr>
                <w:sz w:val="18"/>
                <w:szCs w:val="18"/>
              </w:rPr>
              <w:t>Rural and remote</w:t>
            </w:r>
          </w:p>
        </w:tc>
        <w:tc>
          <w:tcPr>
            <w:tcW w:w="3749" w:type="dxa"/>
            <w:hideMark/>
          </w:tcPr>
          <w:p w14:paraId="0309DBF4" w14:textId="77777777" w:rsidR="00DA439E" w:rsidRPr="00CD488A" w:rsidRDefault="00DA439E" w:rsidP="00D563AD">
            <w:pPr>
              <w:pStyle w:val="NormalWeb"/>
              <w:jc w:val="center"/>
              <w:rPr>
                <w:sz w:val="18"/>
                <w:szCs w:val="18"/>
              </w:rPr>
            </w:pPr>
            <w:r w:rsidRPr="00CD488A">
              <w:rPr>
                <w:sz w:val="18"/>
                <w:szCs w:val="18"/>
              </w:rPr>
              <w:t>9 (56)</w:t>
            </w:r>
          </w:p>
        </w:tc>
        <w:tc>
          <w:tcPr>
            <w:tcW w:w="0" w:type="auto"/>
            <w:hideMark/>
          </w:tcPr>
          <w:p w14:paraId="2C47D01F" w14:textId="77777777" w:rsidR="00DA439E" w:rsidRPr="00CD488A" w:rsidRDefault="00DA439E" w:rsidP="00D563AD">
            <w:pPr>
              <w:pStyle w:val="NormalWeb"/>
              <w:jc w:val="center"/>
              <w:rPr>
                <w:sz w:val="18"/>
                <w:szCs w:val="18"/>
              </w:rPr>
            </w:pPr>
            <w:r w:rsidRPr="00CD488A">
              <w:rPr>
                <w:sz w:val="18"/>
                <w:szCs w:val="18"/>
              </w:rPr>
              <w:t>7 (19)</w:t>
            </w:r>
          </w:p>
        </w:tc>
        <w:tc>
          <w:tcPr>
            <w:tcW w:w="1538" w:type="dxa"/>
            <w:hideMark/>
          </w:tcPr>
          <w:p w14:paraId="5A07FCBF" w14:textId="77777777" w:rsidR="00DA439E" w:rsidRPr="00CD488A" w:rsidRDefault="00DA439E" w:rsidP="00D563AD">
            <w:pPr>
              <w:pStyle w:val="NormalWeb"/>
              <w:jc w:val="center"/>
              <w:rPr>
                <w:sz w:val="18"/>
                <w:szCs w:val="18"/>
              </w:rPr>
            </w:pPr>
            <w:r w:rsidRPr="00CD488A">
              <w:rPr>
                <w:sz w:val="18"/>
                <w:szCs w:val="18"/>
              </w:rPr>
              <w:t>16 (30)</w:t>
            </w:r>
          </w:p>
        </w:tc>
        <w:tc>
          <w:tcPr>
            <w:tcW w:w="801" w:type="dxa"/>
            <w:hideMark/>
          </w:tcPr>
          <w:p w14:paraId="7F7800CD" w14:textId="77777777" w:rsidR="00DA439E" w:rsidRPr="00CD488A" w:rsidRDefault="00DA439E" w:rsidP="00D563AD">
            <w:pPr>
              <w:jc w:val="center"/>
              <w:rPr>
                <w:sz w:val="18"/>
                <w:szCs w:val="18"/>
              </w:rPr>
            </w:pPr>
          </w:p>
        </w:tc>
      </w:tr>
      <w:tr w:rsidR="00DA439E" w:rsidRPr="00097027" w14:paraId="5BD509A4" w14:textId="77777777" w:rsidTr="002451B6">
        <w:tblPrEx>
          <w:tblCellMar>
            <w:left w:w="57" w:type="dxa"/>
            <w:right w:w="57" w:type="dxa"/>
          </w:tblCellMar>
        </w:tblPrEx>
        <w:tc>
          <w:tcPr>
            <w:tcW w:w="10466" w:type="dxa"/>
            <w:gridSpan w:val="5"/>
            <w:shd w:val="clear" w:color="auto" w:fill="E0C198"/>
            <w:hideMark/>
          </w:tcPr>
          <w:p w14:paraId="24F811F1" w14:textId="77777777" w:rsidR="00DA439E" w:rsidRPr="00097027" w:rsidRDefault="00DA439E" w:rsidP="00D563AD">
            <w:pPr>
              <w:pStyle w:val="NormalWeb"/>
              <w:rPr>
                <w:b/>
                <w:bCs/>
                <w:sz w:val="18"/>
                <w:szCs w:val="18"/>
              </w:rPr>
            </w:pPr>
            <w:proofErr w:type="spellStart"/>
            <w:r w:rsidRPr="00097027">
              <w:rPr>
                <w:b/>
                <w:bCs/>
                <w:sz w:val="18"/>
                <w:szCs w:val="18"/>
              </w:rPr>
              <w:t>Comorbidities</w:t>
            </w:r>
            <w:r w:rsidRPr="00097027">
              <w:rPr>
                <w:b/>
                <w:bCs/>
                <w:sz w:val="18"/>
                <w:szCs w:val="18"/>
                <w:vertAlign w:val="superscript"/>
              </w:rPr>
              <w:t>a</w:t>
            </w:r>
            <w:proofErr w:type="spellEnd"/>
          </w:p>
        </w:tc>
      </w:tr>
      <w:tr w:rsidR="00DA439E" w:rsidRPr="00CD488A" w14:paraId="4538DEDF" w14:textId="77777777" w:rsidTr="002451B6">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27" w:type="dxa"/>
            <w:hideMark/>
          </w:tcPr>
          <w:p w14:paraId="16DFB02C" w14:textId="77777777" w:rsidR="00DA439E" w:rsidRPr="00CD488A" w:rsidRDefault="00DA439E" w:rsidP="00D563AD">
            <w:pPr>
              <w:pStyle w:val="NormalWeb"/>
              <w:rPr>
                <w:sz w:val="18"/>
                <w:szCs w:val="18"/>
              </w:rPr>
            </w:pPr>
            <w:r w:rsidRPr="00CD488A">
              <w:rPr>
                <w:sz w:val="18"/>
                <w:szCs w:val="18"/>
              </w:rPr>
              <w:t>Lung disease</w:t>
            </w:r>
          </w:p>
        </w:tc>
        <w:tc>
          <w:tcPr>
            <w:tcW w:w="3749" w:type="dxa"/>
            <w:hideMark/>
          </w:tcPr>
          <w:p w14:paraId="1E76486D" w14:textId="77777777" w:rsidR="00DA439E" w:rsidRPr="00CD488A" w:rsidRDefault="00DA439E" w:rsidP="00D563AD">
            <w:pPr>
              <w:pStyle w:val="NormalWeb"/>
              <w:jc w:val="center"/>
              <w:rPr>
                <w:sz w:val="18"/>
                <w:szCs w:val="18"/>
              </w:rPr>
            </w:pPr>
            <w:r w:rsidRPr="00CD488A">
              <w:rPr>
                <w:sz w:val="18"/>
                <w:szCs w:val="18"/>
              </w:rPr>
              <w:t>7 (44)</w:t>
            </w:r>
          </w:p>
        </w:tc>
        <w:tc>
          <w:tcPr>
            <w:tcW w:w="0" w:type="auto"/>
            <w:hideMark/>
          </w:tcPr>
          <w:p w14:paraId="3AC5392B" w14:textId="77777777" w:rsidR="00DA439E" w:rsidRPr="00CD488A" w:rsidRDefault="00DA439E" w:rsidP="00D563AD">
            <w:pPr>
              <w:pStyle w:val="NormalWeb"/>
              <w:jc w:val="center"/>
              <w:rPr>
                <w:sz w:val="18"/>
                <w:szCs w:val="18"/>
              </w:rPr>
            </w:pPr>
            <w:r w:rsidRPr="00CD488A">
              <w:rPr>
                <w:sz w:val="18"/>
                <w:szCs w:val="18"/>
              </w:rPr>
              <w:t>11 (34)</w:t>
            </w:r>
          </w:p>
        </w:tc>
        <w:tc>
          <w:tcPr>
            <w:tcW w:w="1538" w:type="dxa"/>
            <w:hideMark/>
          </w:tcPr>
          <w:p w14:paraId="3B2EE99C" w14:textId="77777777" w:rsidR="00DA439E" w:rsidRPr="00CD488A" w:rsidRDefault="00DA439E" w:rsidP="00D563AD">
            <w:pPr>
              <w:pStyle w:val="NormalWeb"/>
              <w:jc w:val="center"/>
              <w:rPr>
                <w:sz w:val="18"/>
                <w:szCs w:val="18"/>
              </w:rPr>
            </w:pPr>
            <w:r w:rsidRPr="00CD488A">
              <w:rPr>
                <w:sz w:val="18"/>
                <w:szCs w:val="18"/>
              </w:rPr>
              <w:t>18 (38)</w:t>
            </w:r>
          </w:p>
        </w:tc>
        <w:tc>
          <w:tcPr>
            <w:tcW w:w="801" w:type="dxa"/>
            <w:hideMark/>
          </w:tcPr>
          <w:p w14:paraId="11C4C7FD" w14:textId="77777777" w:rsidR="00DA439E" w:rsidRPr="00CD488A" w:rsidRDefault="00DA439E" w:rsidP="00D563AD">
            <w:pPr>
              <w:jc w:val="center"/>
              <w:rPr>
                <w:sz w:val="18"/>
                <w:szCs w:val="18"/>
              </w:rPr>
            </w:pPr>
          </w:p>
        </w:tc>
      </w:tr>
      <w:tr w:rsidR="00DA439E" w:rsidRPr="00CD488A" w14:paraId="3B55D64C" w14:textId="77777777" w:rsidTr="002451B6">
        <w:tblPrEx>
          <w:tblCellMar>
            <w:left w:w="57" w:type="dxa"/>
            <w:right w:w="57" w:type="dxa"/>
          </w:tblCellMar>
        </w:tblPrEx>
        <w:tc>
          <w:tcPr>
            <w:tcW w:w="2127" w:type="dxa"/>
            <w:hideMark/>
          </w:tcPr>
          <w:p w14:paraId="31CAE010" w14:textId="77777777" w:rsidR="00DA439E" w:rsidRPr="00CD488A" w:rsidRDefault="00DA439E" w:rsidP="00D563AD">
            <w:pPr>
              <w:pStyle w:val="NormalWeb"/>
              <w:rPr>
                <w:sz w:val="18"/>
                <w:szCs w:val="18"/>
              </w:rPr>
            </w:pPr>
            <w:r w:rsidRPr="00CD488A">
              <w:rPr>
                <w:sz w:val="18"/>
                <w:szCs w:val="18"/>
              </w:rPr>
              <w:t>Other health conditions</w:t>
            </w:r>
          </w:p>
        </w:tc>
        <w:tc>
          <w:tcPr>
            <w:tcW w:w="3749" w:type="dxa"/>
            <w:hideMark/>
          </w:tcPr>
          <w:p w14:paraId="4F02917D" w14:textId="77777777" w:rsidR="00DA439E" w:rsidRPr="00CD488A" w:rsidRDefault="00DA439E" w:rsidP="00D563AD">
            <w:pPr>
              <w:pStyle w:val="NormalWeb"/>
              <w:jc w:val="center"/>
              <w:rPr>
                <w:sz w:val="18"/>
                <w:szCs w:val="18"/>
              </w:rPr>
            </w:pPr>
            <w:r w:rsidRPr="00CD488A">
              <w:rPr>
                <w:sz w:val="18"/>
                <w:szCs w:val="18"/>
              </w:rPr>
              <w:t>10 (63)</w:t>
            </w:r>
          </w:p>
        </w:tc>
        <w:tc>
          <w:tcPr>
            <w:tcW w:w="0" w:type="auto"/>
            <w:hideMark/>
          </w:tcPr>
          <w:p w14:paraId="309453C9" w14:textId="77777777" w:rsidR="00DA439E" w:rsidRPr="00CD488A" w:rsidRDefault="00DA439E" w:rsidP="00D563AD">
            <w:pPr>
              <w:pStyle w:val="NormalWeb"/>
              <w:jc w:val="center"/>
              <w:rPr>
                <w:sz w:val="18"/>
                <w:szCs w:val="18"/>
              </w:rPr>
            </w:pPr>
            <w:r w:rsidRPr="00CD488A">
              <w:rPr>
                <w:sz w:val="18"/>
                <w:szCs w:val="18"/>
              </w:rPr>
              <w:t>25 (78)</w:t>
            </w:r>
          </w:p>
        </w:tc>
        <w:tc>
          <w:tcPr>
            <w:tcW w:w="1538" w:type="dxa"/>
            <w:hideMark/>
          </w:tcPr>
          <w:p w14:paraId="455F04A9" w14:textId="77777777" w:rsidR="00DA439E" w:rsidRPr="00CD488A" w:rsidRDefault="00DA439E" w:rsidP="00D563AD">
            <w:pPr>
              <w:pStyle w:val="NormalWeb"/>
              <w:jc w:val="center"/>
              <w:rPr>
                <w:sz w:val="18"/>
                <w:szCs w:val="18"/>
              </w:rPr>
            </w:pPr>
            <w:r w:rsidRPr="00CD488A">
              <w:rPr>
                <w:sz w:val="18"/>
                <w:szCs w:val="18"/>
              </w:rPr>
              <w:t>35 (73)</w:t>
            </w:r>
          </w:p>
        </w:tc>
        <w:tc>
          <w:tcPr>
            <w:tcW w:w="801" w:type="dxa"/>
            <w:hideMark/>
          </w:tcPr>
          <w:p w14:paraId="69429B89" w14:textId="77777777" w:rsidR="00DA439E" w:rsidRPr="00CD488A" w:rsidRDefault="00DA439E" w:rsidP="00D563AD">
            <w:pPr>
              <w:jc w:val="center"/>
              <w:rPr>
                <w:sz w:val="18"/>
                <w:szCs w:val="18"/>
              </w:rPr>
            </w:pPr>
          </w:p>
        </w:tc>
      </w:tr>
      <w:tr w:rsidR="00DA439E" w:rsidRPr="00097027" w14:paraId="2C3D725D" w14:textId="77777777" w:rsidTr="002451B6">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0466" w:type="dxa"/>
            <w:gridSpan w:val="5"/>
            <w:shd w:val="clear" w:color="auto" w:fill="E0C198"/>
            <w:hideMark/>
          </w:tcPr>
          <w:p w14:paraId="670B014A" w14:textId="77777777" w:rsidR="00DA439E" w:rsidRPr="00097027" w:rsidRDefault="00DA439E" w:rsidP="00D563AD">
            <w:pPr>
              <w:pStyle w:val="NormalWeb"/>
              <w:rPr>
                <w:b/>
                <w:bCs/>
                <w:sz w:val="18"/>
                <w:szCs w:val="18"/>
              </w:rPr>
            </w:pPr>
            <w:r w:rsidRPr="00097027">
              <w:rPr>
                <w:b/>
                <w:bCs/>
                <w:sz w:val="18"/>
                <w:szCs w:val="18"/>
              </w:rPr>
              <w:t xml:space="preserve">Seasonality of </w:t>
            </w:r>
            <w:proofErr w:type="spellStart"/>
            <w:r w:rsidRPr="00097027">
              <w:rPr>
                <w:b/>
                <w:bCs/>
                <w:sz w:val="18"/>
                <w:szCs w:val="18"/>
              </w:rPr>
              <w:t>infection</w:t>
            </w:r>
            <w:r w:rsidRPr="00097027">
              <w:rPr>
                <w:b/>
                <w:bCs/>
                <w:sz w:val="18"/>
                <w:szCs w:val="18"/>
                <w:vertAlign w:val="superscript"/>
              </w:rPr>
              <w:t>b</w:t>
            </w:r>
            <w:proofErr w:type="spellEnd"/>
          </w:p>
        </w:tc>
      </w:tr>
      <w:tr w:rsidR="00DA439E" w:rsidRPr="00CD488A" w14:paraId="34B5FAEB" w14:textId="77777777" w:rsidTr="002451B6">
        <w:tblPrEx>
          <w:tblCellMar>
            <w:left w:w="57" w:type="dxa"/>
            <w:right w:w="57" w:type="dxa"/>
          </w:tblCellMar>
        </w:tblPrEx>
        <w:tc>
          <w:tcPr>
            <w:tcW w:w="2127" w:type="dxa"/>
            <w:hideMark/>
          </w:tcPr>
          <w:p w14:paraId="4C5924A3" w14:textId="77777777" w:rsidR="00DA439E" w:rsidRPr="00CD488A" w:rsidRDefault="00DA439E" w:rsidP="00D563AD">
            <w:pPr>
              <w:pStyle w:val="NormalWeb"/>
              <w:rPr>
                <w:sz w:val="18"/>
                <w:szCs w:val="18"/>
              </w:rPr>
            </w:pPr>
            <w:r w:rsidRPr="00CD488A">
              <w:rPr>
                <w:sz w:val="18"/>
                <w:szCs w:val="18"/>
              </w:rPr>
              <w:t>Monsoon</w:t>
            </w:r>
          </w:p>
        </w:tc>
        <w:tc>
          <w:tcPr>
            <w:tcW w:w="3749" w:type="dxa"/>
            <w:hideMark/>
          </w:tcPr>
          <w:p w14:paraId="12DF6CAA" w14:textId="77777777" w:rsidR="00DA439E" w:rsidRPr="00CD488A" w:rsidRDefault="00DA439E" w:rsidP="00D563AD">
            <w:pPr>
              <w:pStyle w:val="NormalWeb"/>
              <w:jc w:val="center"/>
              <w:rPr>
                <w:sz w:val="18"/>
                <w:szCs w:val="18"/>
              </w:rPr>
            </w:pPr>
            <w:r w:rsidRPr="00CD488A">
              <w:rPr>
                <w:sz w:val="18"/>
                <w:szCs w:val="18"/>
              </w:rPr>
              <w:t>7 (44)</w:t>
            </w:r>
          </w:p>
        </w:tc>
        <w:tc>
          <w:tcPr>
            <w:tcW w:w="0" w:type="auto"/>
            <w:hideMark/>
          </w:tcPr>
          <w:p w14:paraId="20587B5E" w14:textId="77777777" w:rsidR="00DA439E" w:rsidRPr="00CD488A" w:rsidRDefault="00DA439E" w:rsidP="00D563AD">
            <w:pPr>
              <w:pStyle w:val="NormalWeb"/>
              <w:jc w:val="center"/>
              <w:rPr>
                <w:sz w:val="18"/>
                <w:szCs w:val="18"/>
              </w:rPr>
            </w:pPr>
            <w:r w:rsidRPr="00CD488A">
              <w:rPr>
                <w:sz w:val="18"/>
                <w:szCs w:val="18"/>
              </w:rPr>
              <w:t>18 (49)</w:t>
            </w:r>
          </w:p>
        </w:tc>
        <w:tc>
          <w:tcPr>
            <w:tcW w:w="1538" w:type="dxa"/>
            <w:hideMark/>
          </w:tcPr>
          <w:p w14:paraId="7D81952B" w14:textId="77777777" w:rsidR="00DA439E" w:rsidRPr="00CD488A" w:rsidRDefault="00DA439E" w:rsidP="00D563AD">
            <w:pPr>
              <w:pStyle w:val="NormalWeb"/>
              <w:jc w:val="center"/>
              <w:rPr>
                <w:sz w:val="18"/>
                <w:szCs w:val="18"/>
              </w:rPr>
            </w:pPr>
            <w:r w:rsidRPr="00CD488A">
              <w:rPr>
                <w:sz w:val="18"/>
                <w:szCs w:val="18"/>
              </w:rPr>
              <w:t>25 (47)</w:t>
            </w:r>
          </w:p>
        </w:tc>
        <w:tc>
          <w:tcPr>
            <w:tcW w:w="801" w:type="dxa"/>
            <w:hideMark/>
          </w:tcPr>
          <w:p w14:paraId="6F449285" w14:textId="77777777" w:rsidR="00DA439E" w:rsidRPr="00CD488A" w:rsidRDefault="00DA439E" w:rsidP="00D563AD">
            <w:pPr>
              <w:jc w:val="center"/>
              <w:rPr>
                <w:sz w:val="18"/>
                <w:szCs w:val="18"/>
              </w:rPr>
            </w:pPr>
          </w:p>
        </w:tc>
      </w:tr>
      <w:tr w:rsidR="00DA439E" w:rsidRPr="00CD488A" w14:paraId="6F9BA515" w14:textId="77777777" w:rsidTr="002451B6">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2127" w:type="dxa"/>
            <w:hideMark/>
          </w:tcPr>
          <w:p w14:paraId="4467D3ED" w14:textId="77777777" w:rsidR="00DA439E" w:rsidRPr="00CD488A" w:rsidRDefault="00DA439E" w:rsidP="00D563AD">
            <w:pPr>
              <w:pStyle w:val="NormalWeb"/>
              <w:rPr>
                <w:sz w:val="18"/>
                <w:szCs w:val="18"/>
              </w:rPr>
            </w:pPr>
            <w:r w:rsidRPr="00CD488A">
              <w:rPr>
                <w:sz w:val="18"/>
                <w:szCs w:val="18"/>
              </w:rPr>
              <w:t>Dry</w:t>
            </w:r>
          </w:p>
        </w:tc>
        <w:tc>
          <w:tcPr>
            <w:tcW w:w="3749" w:type="dxa"/>
            <w:hideMark/>
          </w:tcPr>
          <w:p w14:paraId="5E39FAAC" w14:textId="77777777" w:rsidR="00DA439E" w:rsidRPr="00CD488A" w:rsidRDefault="00DA439E" w:rsidP="00D563AD">
            <w:pPr>
              <w:pStyle w:val="NormalWeb"/>
              <w:jc w:val="center"/>
              <w:rPr>
                <w:sz w:val="18"/>
                <w:szCs w:val="18"/>
              </w:rPr>
            </w:pPr>
            <w:r w:rsidRPr="00CD488A">
              <w:rPr>
                <w:sz w:val="18"/>
                <w:szCs w:val="18"/>
              </w:rPr>
              <w:t>3 (19)</w:t>
            </w:r>
          </w:p>
        </w:tc>
        <w:tc>
          <w:tcPr>
            <w:tcW w:w="0" w:type="auto"/>
            <w:hideMark/>
          </w:tcPr>
          <w:p w14:paraId="71526E93" w14:textId="77777777" w:rsidR="00DA439E" w:rsidRPr="00CD488A" w:rsidRDefault="00DA439E" w:rsidP="00D563AD">
            <w:pPr>
              <w:pStyle w:val="NormalWeb"/>
              <w:jc w:val="center"/>
              <w:rPr>
                <w:sz w:val="18"/>
                <w:szCs w:val="18"/>
              </w:rPr>
            </w:pPr>
            <w:r w:rsidRPr="00CD488A">
              <w:rPr>
                <w:sz w:val="18"/>
                <w:szCs w:val="18"/>
              </w:rPr>
              <w:t>7 (19)</w:t>
            </w:r>
          </w:p>
        </w:tc>
        <w:tc>
          <w:tcPr>
            <w:tcW w:w="1538" w:type="dxa"/>
            <w:hideMark/>
          </w:tcPr>
          <w:p w14:paraId="0268F24B" w14:textId="77777777" w:rsidR="00DA439E" w:rsidRPr="00CD488A" w:rsidRDefault="00DA439E" w:rsidP="00D563AD">
            <w:pPr>
              <w:pStyle w:val="NormalWeb"/>
              <w:jc w:val="center"/>
              <w:rPr>
                <w:sz w:val="18"/>
                <w:szCs w:val="18"/>
              </w:rPr>
            </w:pPr>
            <w:r w:rsidRPr="00CD488A">
              <w:rPr>
                <w:sz w:val="18"/>
                <w:szCs w:val="18"/>
              </w:rPr>
              <w:t>10 (19)</w:t>
            </w:r>
          </w:p>
        </w:tc>
        <w:tc>
          <w:tcPr>
            <w:tcW w:w="801" w:type="dxa"/>
            <w:hideMark/>
          </w:tcPr>
          <w:p w14:paraId="0F23E883" w14:textId="77777777" w:rsidR="00DA439E" w:rsidRPr="00CD488A" w:rsidRDefault="00DA439E" w:rsidP="00D563AD">
            <w:pPr>
              <w:jc w:val="center"/>
              <w:rPr>
                <w:sz w:val="18"/>
                <w:szCs w:val="18"/>
              </w:rPr>
            </w:pPr>
          </w:p>
        </w:tc>
      </w:tr>
      <w:tr w:rsidR="00DA439E" w:rsidRPr="00CD488A" w14:paraId="48566F5D" w14:textId="77777777" w:rsidTr="002451B6">
        <w:tblPrEx>
          <w:tblCellMar>
            <w:left w:w="57" w:type="dxa"/>
            <w:right w:w="57" w:type="dxa"/>
          </w:tblCellMar>
        </w:tblPrEx>
        <w:tc>
          <w:tcPr>
            <w:tcW w:w="2127" w:type="dxa"/>
            <w:tcBorders>
              <w:bottom w:val="single" w:sz="2" w:space="0" w:color="7F7F7F" w:themeColor="text1" w:themeTint="80"/>
            </w:tcBorders>
            <w:hideMark/>
          </w:tcPr>
          <w:p w14:paraId="41191003" w14:textId="77777777" w:rsidR="00DA439E" w:rsidRPr="00CD488A" w:rsidRDefault="00DA439E" w:rsidP="00D563AD">
            <w:pPr>
              <w:pStyle w:val="NormalWeb"/>
              <w:rPr>
                <w:sz w:val="18"/>
                <w:szCs w:val="18"/>
              </w:rPr>
            </w:pPr>
            <w:r w:rsidRPr="00CD488A">
              <w:rPr>
                <w:sz w:val="18"/>
                <w:szCs w:val="18"/>
              </w:rPr>
              <w:t>Wet season ‘build-up’</w:t>
            </w:r>
          </w:p>
        </w:tc>
        <w:tc>
          <w:tcPr>
            <w:tcW w:w="3749" w:type="dxa"/>
            <w:tcBorders>
              <w:bottom w:val="single" w:sz="2" w:space="0" w:color="7F7F7F" w:themeColor="text1" w:themeTint="80"/>
            </w:tcBorders>
            <w:hideMark/>
          </w:tcPr>
          <w:p w14:paraId="798826D1" w14:textId="77777777" w:rsidR="00DA439E" w:rsidRPr="00CD488A" w:rsidRDefault="00DA439E" w:rsidP="00D563AD">
            <w:pPr>
              <w:pStyle w:val="NormalWeb"/>
              <w:jc w:val="center"/>
              <w:rPr>
                <w:sz w:val="18"/>
                <w:szCs w:val="18"/>
              </w:rPr>
            </w:pPr>
            <w:r w:rsidRPr="00CD488A">
              <w:rPr>
                <w:sz w:val="18"/>
                <w:szCs w:val="18"/>
              </w:rPr>
              <w:t>6 (38)</w:t>
            </w:r>
          </w:p>
        </w:tc>
        <w:tc>
          <w:tcPr>
            <w:tcW w:w="0" w:type="auto"/>
            <w:tcBorders>
              <w:bottom w:val="single" w:sz="2" w:space="0" w:color="7F7F7F" w:themeColor="text1" w:themeTint="80"/>
            </w:tcBorders>
            <w:hideMark/>
          </w:tcPr>
          <w:p w14:paraId="7746170F" w14:textId="77777777" w:rsidR="00DA439E" w:rsidRPr="00CD488A" w:rsidRDefault="00DA439E" w:rsidP="00D563AD">
            <w:pPr>
              <w:pStyle w:val="NormalWeb"/>
              <w:jc w:val="center"/>
              <w:rPr>
                <w:sz w:val="18"/>
                <w:szCs w:val="18"/>
              </w:rPr>
            </w:pPr>
            <w:r w:rsidRPr="00CD488A">
              <w:rPr>
                <w:sz w:val="18"/>
                <w:szCs w:val="18"/>
              </w:rPr>
              <w:t>12 (32)</w:t>
            </w:r>
          </w:p>
        </w:tc>
        <w:tc>
          <w:tcPr>
            <w:tcW w:w="1538" w:type="dxa"/>
            <w:tcBorders>
              <w:bottom w:val="single" w:sz="2" w:space="0" w:color="7F7F7F" w:themeColor="text1" w:themeTint="80"/>
            </w:tcBorders>
            <w:hideMark/>
          </w:tcPr>
          <w:p w14:paraId="56EF9375" w14:textId="77777777" w:rsidR="00DA439E" w:rsidRPr="00CD488A" w:rsidRDefault="00DA439E" w:rsidP="00D563AD">
            <w:pPr>
              <w:pStyle w:val="NormalWeb"/>
              <w:jc w:val="center"/>
              <w:rPr>
                <w:sz w:val="18"/>
                <w:szCs w:val="18"/>
              </w:rPr>
            </w:pPr>
            <w:r w:rsidRPr="00CD488A">
              <w:rPr>
                <w:sz w:val="18"/>
                <w:szCs w:val="18"/>
              </w:rPr>
              <w:t>18 (34)</w:t>
            </w:r>
          </w:p>
        </w:tc>
        <w:tc>
          <w:tcPr>
            <w:tcW w:w="801" w:type="dxa"/>
            <w:tcBorders>
              <w:bottom w:val="single" w:sz="2" w:space="0" w:color="7F7F7F" w:themeColor="text1" w:themeTint="80"/>
            </w:tcBorders>
            <w:hideMark/>
          </w:tcPr>
          <w:p w14:paraId="3FF8D6D5" w14:textId="77777777" w:rsidR="00DA439E" w:rsidRPr="00CD488A" w:rsidRDefault="00DA439E" w:rsidP="00D563AD">
            <w:pPr>
              <w:jc w:val="center"/>
              <w:rPr>
                <w:sz w:val="18"/>
                <w:szCs w:val="18"/>
              </w:rPr>
            </w:pPr>
          </w:p>
        </w:tc>
      </w:tr>
    </w:tbl>
    <w:p w14:paraId="36FB0F4A" w14:textId="77777777" w:rsidR="00DA439E" w:rsidRDefault="00DA439E" w:rsidP="00DA439E">
      <w:pPr>
        <w:pStyle w:val="CDIfootnotes"/>
        <w:rPr>
          <w:sz w:val="24"/>
          <w:szCs w:val="24"/>
          <w:lang w:val="en-GB"/>
        </w:rPr>
      </w:pPr>
      <w:r>
        <w:rPr>
          <w:lang w:val="en-GB"/>
        </w:rPr>
        <w:t>a</w:t>
      </w:r>
      <w:r>
        <w:rPr>
          <w:lang w:val="en-GB"/>
        </w:rPr>
        <w:tab/>
        <w:t>Comorbidities were recorded for 16/16 Aboriginal and/or Torres Strait Islander patients and 32/37 non-Indigenous patients.</w:t>
      </w:r>
    </w:p>
    <w:p w14:paraId="58864ED1" w14:textId="77777777" w:rsidR="00DA439E" w:rsidRDefault="00DA439E" w:rsidP="00DA439E">
      <w:pPr>
        <w:pStyle w:val="CDIfootnotes"/>
        <w:rPr>
          <w:lang w:val="en-GB"/>
        </w:rPr>
      </w:pPr>
      <w:r>
        <w:rPr>
          <w:lang w:val="en-GB"/>
        </w:rPr>
        <w:t>b</w:t>
      </w:r>
      <w:r>
        <w:rPr>
          <w:lang w:val="en-GB"/>
        </w:rPr>
        <w:tab/>
        <w:t xml:space="preserve">In the Top End, the monsoon season spans the months January, February, March, April; the dry season spans the months of May, June, July, August; the wet season ‘build-up’ months are September, October, </w:t>
      </w:r>
      <w:proofErr w:type="gramStart"/>
      <w:r>
        <w:rPr>
          <w:lang w:val="en-GB"/>
        </w:rPr>
        <w:t>November</w:t>
      </w:r>
      <w:proofErr w:type="gramEnd"/>
      <w:r>
        <w:rPr>
          <w:lang w:val="en-GB"/>
        </w:rPr>
        <w:t xml:space="preserve"> and December.</w:t>
      </w:r>
    </w:p>
    <w:p w14:paraId="02D09883" w14:textId="77777777" w:rsidR="002451B6" w:rsidRPr="00801BC8" w:rsidRDefault="002451B6" w:rsidP="002451B6">
      <w:pPr>
        <w:pStyle w:val="CDIFigures"/>
      </w:pPr>
      <w:r w:rsidRPr="00801BC8">
        <w:rPr>
          <w:rStyle w:val="Strong"/>
          <w:b/>
          <w:bCs w:val="0"/>
        </w:rPr>
        <w:t xml:space="preserve">Table 2: Epidemiological features of patients with </w:t>
      </w:r>
      <w:r w:rsidRPr="00C558E5">
        <w:rPr>
          <w:rStyle w:val="Strong"/>
          <w:b/>
          <w:bCs w:val="0"/>
          <w:i/>
          <w:iCs/>
        </w:rPr>
        <w:t>Legionella</w:t>
      </w:r>
      <w:r w:rsidRPr="00801BC8">
        <w:rPr>
          <w:rStyle w:val="Strong"/>
          <w:b/>
          <w:bCs w:val="0"/>
        </w:rPr>
        <w:t xml:space="preserve"> infection in the NT from January 2010 to April 2021</w:t>
      </w:r>
    </w:p>
    <w:tbl>
      <w:tblPr>
        <w:tblStyle w:val="CDI-StandardTable"/>
        <w:tblW w:w="0" w:type="auto"/>
        <w:tblCellMar>
          <w:top w:w="28" w:type="dxa"/>
          <w:bottom w:w="28" w:type="dxa"/>
        </w:tblCellMar>
        <w:tblLook w:val="04A0" w:firstRow="1" w:lastRow="0" w:firstColumn="1" w:lastColumn="0" w:noHBand="0" w:noVBand="1"/>
        <w:tblDescription w:val="Epidemiological Features of Patients with Legionella Infection in the NT from January 2010 to April 2021.&#10;"/>
      </w:tblPr>
      <w:tblGrid>
        <w:gridCol w:w="4111"/>
        <w:gridCol w:w="2552"/>
        <w:gridCol w:w="2551"/>
        <w:gridCol w:w="1226"/>
      </w:tblGrid>
      <w:tr w:rsidR="002451B6" w:rsidRPr="00CD488A" w14:paraId="1E167D21" w14:textId="77777777" w:rsidTr="002451B6">
        <w:trPr>
          <w:cnfStyle w:val="100000000000" w:firstRow="1" w:lastRow="0" w:firstColumn="0" w:lastColumn="0" w:oddVBand="0" w:evenVBand="0" w:oddHBand="0" w:evenHBand="0" w:firstRowFirstColumn="0" w:firstRowLastColumn="0" w:lastRowFirstColumn="0" w:lastRowLastColumn="0"/>
        </w:trPr>
        <w:tc>
          <w:tcPr>
            <w:tcW w:w="4111" w:type="dxa"/>
            <w:tcBorders>
              <w:right w:val="single" w:sz="2" w:space="0" w:color="886E49"/>
            </w:tcBorders>
            <w:hideMark/>
          </w:tcPr>
          <w:p w14:paraId="177780B5" w14:textId="77777777" w:rsidR="002451B6" w:rsidRPr="00CD488A" w:rsidRDefault="002451B6" w:rsidP="00D563AD">
            <w:pPr>
              <w:pStyle w:val="NormalWeb"/>
              <w:rPr>
                <w:color w:val="FFFFFF" w:themeColor="background1"/>
                <w:sz w:val="18"/>
                <w:szCs w:val="18"/>
              </w:rPr>
            </w:pPr>
            <w:proofErr w:type="spellStart"/>
            <w:r w:rsidRPr="00CD488A">
              <w:rPr>
                <w:color w:val="FFFFFF" w:themeColor="background1"/>
                <w:sz w:val="18"/>
                <w:szCs w:val="18"/>
              </w:rPr>
              <w:t>Parameter</w:t>
            </w:r>
            <w:r w:rsidRPr="00CD488A">
              <w:rPr>
                <w:color w:val="FFFFFF" w:themeColor="background1"/>
                <w:sz w:val="18"/>
                <w:szCs w:val="18"/>
                <w:vertAlign w:val="superscript"/>
              </w:rPr>
              <w:t>a</w:t>
            </w:r>
            <w:proofErr w:type="spellEnd"/>
          </w:p>
        </w:tc>
        <w:tc>
          <w:tcPr>
            <w:tcW w:w="2552" w:type="dxa"/>
            <w:tcBorders>
              <w:left w:val="single" w:sz="2" w:space="0" w:color="886E49"/>
              <w:right w:val="single" w:sz="2" w:space="0" w:color="886E49"/>
            </w:tcBorders>
            <w:hideMark/>
          </w:tcPr>
          <w:p w14:paraId="5E914C30" w14:textId="77777777" w:rsidR="002451B6" w:rsidRPr="00CD488A" w:rsidRDefault="002451B6" w:rsidP="00D563AD">
            <w:pPr>
              <w:pStyle w:val="NormalWeb"/>
              <w:jc w:val="center"/>
              <w:rPr>
                <w:color w:val="FFFFFF" w:themeColor="background1"/>
                <w:sz w:val="18"/>
                <w:szCs w:val="18"/>
              </w:rPr>
            </w:pPr>
            <w:r w:rsidRPr="00C558E5">
              <w:rPr>
                <w:i/>
                <w:iCs/>
                <w:color w:val="FFFFFF" w:themeColor="background1"/>
                <w:sz w:val="18"/>
                <w:szCs w:val="18"/>
              </w:rPr>
              <w:t>Legionella pneumophila</w:t>
            </w:r>
            <w:r w:rsidRPr="00CD488A">
              <w:rPr>
                <w:color w:val="FFFFFF" w:themeColor="background1"/>
                <w:sz w:val="18"/>
                <w:szCs w:val="18"/>
              </w:rPr>
              <w:t xml:space="preserve"> (%)</w:t>
            </w:r>
          </w:p>
        </w:tc>
        <w:tc>
          <w:tcPr>
            <w:tcW w:w="2551" w:type="dxa"/>
            <w:tcBorders>
              <w:left w:val="single" w:sz="2" w:space="0" w:color="886E49"/>
              <w:right w:val="single" w:sz="2" w:space="0" w:color="886E49"/>
            </w:tcBorders>
            <w:hideMark/>
          </w:tcPr>
          <w:p w14:paraId="0724B345" w14:textId="77777777" w:rsidR="002451B6" w:rsidRPr="00CD488A" w:rsidRDefault="002451B6" w:rsidP="00D563AD">
            <w:pPr>
              <w:pStyle w:val="NormalWeb"/>
              <w:jc w:val="center"/>
              <w:rPr>
                <w:color w:val="FFFFFF" w:themeColor="background1"/>
                <w:sz w:val="18"/>
                <w:szCs w:val="18"/>
              </w:rPr>
            </w:pPr>
            <w:r w:rsidRPr="00C558E5">
              <w:rPr>
                <w:i/>
                <w:iCs/>
                <w:color w:val="FFFFFF" w:themeColor="background1"/>
                <w:sz w:val="18"/>
                <w:szCs w:val="18"/>
              </w:rPr>
              <w:t xml:space="preserve">Legionella </w:t>
            </w:r>
            <w:proofErr w:type="spellStart"/>
            <w:r w:rsidRPr="00C558E5">
              <w:rPr>
                <w:i/>
                <w:iCs/>
                <w:color w:val="FFFFFF" w:themeColor="background1"/>
                <w:sz w:val="18"/>
                <w:szCs w:val="18"/>
              </w:rPr>
              <w:t>longbeachae</w:t>
            </w:r>
            <w:proofErr w:type="spellEnd"/>
            <w:r w:rsidRPr="00CD488A">
              <w:rPr>
                <w:color w:val="FFFFFF" w:themeColor="background1"/>
                <w:sz w:val="18"/>
                <w:szCs w:val="18"/>
              </w:rPr>
              <w:t xml:space="preserve"> (%)</w:t>
            </w:r>
          </w:p>
        </w:tc>
        <w:tc>
          <w:tcPr>
            <w:tcW w:w="1226" w:type="dxa"/>
            <w:tcBorders>
              <w:left w:val="single" w:sz="2" w:space="0" w:color="886E49"/>
            </w:tcBorders>
            <w:hideMark/>
          </w:tcPr>
          <w:p w14:paraId="25FE0BC6" w14:textId="77777777" w:rsidR="002451B6" w:rsidRPr="00CD488A" w:rsidRDefault="002451B6" w:rsidP="00D563AD">
            <w:pPr>
              <w:pStyle w:val="NormalWeb"/>
              <w:jc w:val="center"/>
              <w:rPr>
                <w:color w:val="FFFFFF" w:themeColor="background1"/>
                <w:sz w:val="18"/>
                <w:szCs w:val="18"/>
              </w:rPr>
            </w:pPr>
            <w:r w:rsidRPr="00CD488A">
              <w:rPr>
                <w:color w:val="FFFFFF" w:themeColor="background1"/>
                <w:sz w:val="18"/>
                <w:szCs w:val="18"/>
              </w:rPr>
              <w:t>Total (%)</w:t>
            </w:r>
          </w:p>
        </w:tc>
      </w:tr>
      <w:tr w:rsidR="002451B6" w:rsidRPr="00CD488A" w14:paraId="2BDCE2EE" w14:textId="77777777" w:rsidTr="002451B6">
        <w:tblPrEx>
          <w:tblCellMar>
            <w:left w:w="57" w:type="dxa"/>
            <w:right w:w="57" w:type="dxa"/>
          </w:tblCellMar>
        </w:tblPrEx>
        <w:tc>
          <w:tcPr>
            <w:tcW w:w="4111" w:type="dxa"/>
            <w:hideMark/>
          </w:tcPr>
          <w:p w14:paraId="5FCB186E" w14:textId="77777777" w:rsidR="002451B6" w:rsidRPr="00CD488A" w:rsidRDefault="002451B6" w:rsidP="00D563AD">
            <w:pPr>
              <w:pStyle w:val="NormalWeb"/>
              <w:rPr>
                <w:sz w:val="18"/>
                <w:szCs w:val="18"/>
              </w:rPr>
            </w:pPr>
            <w:r w:rsidRPr="00CD488A">
              <w:rPr>
                <w:sz w:val="18"/>
                <w:szCs w:val="18"/>
              </w:rPr>
              <w:t>Number</w:t>
            </w:r>
          </w:p>
        </w:tc>
        <w:tc>
          <w:tcPr>
            <w:tcW w:w="2552" w:type="dxa"/>
            <w:hideMark/>
          </w:tcPr>
          <w:p w14:paraId="0D750BB5" w14:textId="77777777" w:rsidR="002451B6" w:rsidRPr="00CD488A" w:rsidRDefault="002451B6" w:rsidP="00D563AD">
            <w:pPr>
              <w:pStyle w:val="NormalWeb"/>
              <w:jc w:val="center"/>
              <w:rPr>
                <w:sz w:val="18"/>
                <w:szCs w:val="18"/>
              </w:rPr>
            </w:pPr>
            <w:r w:rsidRPr="00CD488A">
              <w:rPr>
                <w:sz w:val="18"/>
                <w:szCs w:val="18"/>
              </w:rPr>
              <w:t>21 (41)</w:t>
            </w:r>
          </w:p>
        </w:tc>
        <w:tc>
          <w:tcPr>
            <w:tcW w:w="2551" w:type="dxa"/>
            <w:hideMark/>
          </w:tcPr>
          <w:p w14:paraId="5E4EC6C4" w14:textId="77777777" w:rsidR="002451B6" w:rsidRPr="00CD488A" w:rsidRDefault="002451B6" w:rsidP="00D563AD">
            <w:pPr>
              <w:pStyle w:val="NormalWeb"/>
              <w:jc w:val="center"/>
              <w:rPr>
                <w:sz w:val="18"/>
                <w:szCs w:val="18"/>
              </w:rPr>
            </w:pPr>
            <w:r w:rsidRPr="00CD488A">
              <w:rPr>
                <w:sz w:val="18"/>
                <w:szCs w:val="18"/>
              </w:rPr>
              <w:t>30 (59)</w:t>
            </w:r>
          </w:p>
        </w:tc>
        <w:tc>
          <w:tcPr>
            <w:tcW w:w="1226" w:type="dxa"/>
            <w:hideMark/>
          </w:tcPr>
          <w:p w14:paraId="0F2C26E5" w14:textId="77777777" w:rsidR="002451B6" w:rsidRPr="00CD488A" w:rsidRDefault="002451B6" w:rsidP="00D563AD">
            <w:pPr>
              <w:pStyle w:val="NormalWeb"/>
              <w:jc w:val="center"/>
              <w:rPr>
                <w:sz w:val="18"/>
                <w:szCs w:val="18"/>
              </w:rPr>
            </w:pPr>
            <w:r w:rsidRPr="00CD488A">
              <w:rPr>
                <w:sz w:val="18"/>
                <w:szCs w:val="18"/>
              </w:rPr>
              <w:t>51 (100)</w:t>
            </w:r>
          </w:p>
        </w:tc>
      </w:tr>
      <w:tr w:rsidR="002451B6" w:rsidRPr="00CD488A" w14:paraId="1D694803" w14:textId="77777777" w:rsidTr="002451B6">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111" w:type="dxa"/>
            <w:hideMark/>
          </w:tcPr>
          <w:p w14:paraId="53FA7FBA" w14:textId="77777777" w:rsidR="002451B6" w:rsidRPr="00CD488A" w:rsidRDefault="002451B6" w:rsidP="00D563AD">
            <w:pPr>
              <w:pStyle w:val="NormalWeb"/>
              <w:rPr>
                <w:sz w:val="18"/>
                <w:szCs w:val="18"/>
              </w:rPr>
            </w:pPr>
            <w:r w:rsidRPr="00CD488A">
              <w:rPr>
                <w:sz w:val="18"/>
                <w:szCs w:val="18"/>
              </w:rPr>
              <w:t>Median age (IQR)</w:t>
            </w:r>
          </w:p>
        </w:tc>
        <w:tc>
          <w:tcPr>
            <w:tcW w:w="2552" w:type="dxa"/>
            <w:hideMark/>
          </w:tcPr>
          <w:p w14:paraId="4C02F669" w14:textId="77777777" w:rsidR="002451B6" w:rsidRPr="00CD488A" w:rsidRDefault="002451B6" w:rsidP="00D563AD">
            <w:pPr>
              <w:pStyle w:val="NormalWeb"/>
              <w:jc w:val="center"/>
              <w:rPr>
                <w:sz w:val="18"/>
                <w:szCs w:val="18"/>
              </w:rPr>
            </w:pPr>
            <w:r w:rsidRPr="00CD488A">
              <w:rPr>
                <w:sz w:val="18"/>
                <w:szCs w:val="18"/>
              </w:rPr>
              <w:t>56 (52–71)</w:t>
            </w:r>
          </w:p>
        </w:tc>
        <w:tc>
          <w:tcPr>
            <w:tcW w:w="2551" w:type="dxa"/>
            <w:hideMark/>
          </w:tcPr>
          <w:p w14:paraId="28B3ECF1" w14:textId="77777777" w:rsidR="002451B6" w:rsidRPr="00CD488A" w:rsidRDefault="002451B6" w:rsidP="00D563AD">
            <w:pPr>
              <w:pStyle w:val="NormalWeb"/>
              <w:jc w:val="center"/>
              <w:rPr>
                <w:sz w:val="18"/>
                <w:szCs w:val="18"/>
              </w:rPr>
            </w:pPr>
            <w:r w:rsidRPr="00CD488A">
              <w:rPr>
                <w:sz w:val="18"/>
                <w:szCs w:val="18"/>
              </w:rPr>
              <w:t>54 (41–65)</w:t>
            </w:r>
          </w:p>
        </w:tc>
        <w:tc>
          <w:tcPr>
            <w:tcW w:w="1226" w:type="dxa"/>
            <w:hideMark/>
          </w:tcPr>
          <w:p w14:paraId="1995A861" w14:textId="77777777" w:rsidR="002451B6" w:rsidRPr="00CD488A" w:rsidRDefault="002451B6" w:rsidP="00D563AD">
            <w:pPr>
              <w:pStyle w:val="NormalWeb"/>
              <w:jc w:val="center"/>
              <w:rPr>
                <w:sz w:val="18"/>
                <w:szCs w:val="18"/>
              </w:rPr>
            </w:pPr>
            <w:r w:rsidRPr="00CD488A">
              <w:rPr>
                <w:sz w:val="18"/>
                <w:szCs w:val="18"/>
              </w:rPr>
              <w:t>54 (41–67)</w:t>
            </w:r>
          </w:p>
        </w:tc>
      </w:tr>
      <w:tr w:rsidR="002451B6" w:rsidRPr="00D12683" w14:paraId="70D9CEBE" w14:textId="77777777" w:rsidTr="002451B6">
        <w:tblPrEx>
          <w:tblCellMar>
            <w:left w:w="57" w:type="dxa"/>
            <w:right w:w="57" w:type="dxa"/>
          </w:tblCellMar>
        </w:tblPrEx>
        <w:tc>
          <w:tcPr>
            <w:tcW w:w="10440" w:type="dxa"/>
            <w:gridSpan w:val="4"/>
            <w:shd w:val="clear" w:color="auto" w:fill="E0C198"/>
            <w:hideMark/>
          </w:tcPr>
          <w:p w14:paraId="6AFC6C76" w14:textId="77777777" w:rsidR="002451B6" w:rsidRPr="00D12683" w:rsidRDefault="002451B6" w:rsidP="00D563AD">
            <w:pPr>
              <w:pStyle w:val="NormalWeb"/>
              <w:rPr>
                <w:b/>
                <w:bCs/>
                <w:sz w:val="18"/>
                <w:szCs w:val="18"/>
              </w:rPr>
            </w:pPr>
            <w:r w:rsidRPr="00D12683">
              <w:rPr>
                <w:b/>
                <w:bCs/>
                <w:sz w:val="18"/>
                <w:szCs w:val="18"/>
              </w:rPr>
              <w:t>Sex</w:t>
            </w:r>
          </w:p>
        </w:tc>
      </w:tr>
      <w:tr w:rsidR="002451B6" w:rsidRPr="00CD488A" w14:paraId="492C937F" w14:textId="77777777" w:rsidTr="002451B6">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111" w:type="dxa"/>
            <w:hideMark/>
          </w:tcPr>
          <w:p w14:paraId="6EDD542B" w14:textId="77777777" w:rsidR="002451B6" w:rsidRPr="00CD488A" w:rsidRDefault="002451B6" w:rsidP="00D563AD">
            <w:pPr>
              <w:pStyle w:val="NormalWeb"/>
              <w:rPr>
                <w:sz w:val="18"/>
                <w:szCs w:val="18"/>
              </w:rPr>
            </w:pPr>
            <w:r w:rsidRPr="00CD488A">
              <w:rPr>
                <w:sz w:val="18"/>
                <w:szCs w:val="18"/>
              </w:rPr>
              <w:t>Male</w:t>
            </w:r>
          </w:p>
        </w:tc>
        <w:tc>
          <w:tcPr>
            <w:tcW w:w="2552" w:type="dxa"/>
            <w:hideMark/>
          </w:tcPr>
          <w:p w14:paraId="3BF2ED48" w14:textId="77777777" w:rsidR="002451B6" w:rsidRPr="00CD488A" w:rsidRDefault="002451B6" w:rsidP="00D563AD">
            <w:pPr>
              <w:pStyle w:val="NormalWeb"/>
              <w:jc w:val="center"/>
              <w:rPr>
                <w:sz w:val="18"/>
                <w:szCs w:val="18"/>
              </w:rPr>
            </w:pPr>
            <w:r w:rsidRPr="00CD488A">
              <w:rPr>
                <w:sz w:val="18"/>
                <w:szCs w:val="18"/>
              </w:rPr>
              <w:t>13 (62)</w:t>
            </w:r>
          </w:p>
        </w:tc>
        <w:tc>
          <w:tcPr>
            <w:tcW w:w="2551" w:type="dxa"/>
            <w:hideMark/>
          </w:tcPr>
          <w:p w14:paraId="7185C024" w14:textId="77777777" w:rsidR="002451B6" w:rsidRPr="00CD488A" w:rsidRDefault="002451B6" w:rsidP="00D563AD">
            <w:pPr>
              <w:pStyle w:val="NormalWeb"/>
              <w:jc w:val="center"/>
              <w:rPr>
                <w:sz w:val="18"/>
                <w:szCs w:val="18"/>
              </w:rPr>
            </w:pPr>
            <w:r w:rsidRPr="00CD488A">
              <w:rPr>
                <w:sz w:val="18"/>
                <w:szCs w:val="18"/>
              </w:rPr>
              <w:t>23 (77)</w:t>
            </w:r>
          </w:p>
        </w:tc>
        <w:tc>
          <w:tcPr>
            <w:tcW w:w="1226" w:type="dxa"/>
            <w:hideMark/>
          </w:tcPr>
          <w:p w14:paraId="33290EE1" w14:textId="77777777" w:rsidR="002451B6" w:rsidRPr="00CD488A" w:rsidRDefault="002451B6" w:rsidP="00D563AD">
            <w:pPr>
              <w:pStyle w:val="NormalWeb"/>
              <w:jc w:val="center"/>
              <w:rPr>
                <w:sz w:val="18"/>
                <w:szCs w:val="18"/>
              </w:rPr>
            </w:pPr>
            <w:r w:rsidRPr="00CD488A">
              <w:rPr>
                <w:sz w:val="18"/>
                <w:szCs w:val="18"/>
              </w:rPr>
              <w:t>36 (71)</w:t>
            </w:r>
          </w:p>
        </w:tc>
      </w:tr>
      <w:tr w:rsidR="002451B6" w:rsidRPr="00CD488A" w14:paraId="164DBE19" w14:textId="77777777" w:rsidTr="002451B6">
        <w:tblPrEx>
          <w:tblCellMar>
            <w:left w:w="57" w:type="dxa"/>
            <w:right w:w="57" w:type="dxa"/>
          </w:tblCellMar>
        </w:tblPrEx>
        <w:tc>
          <w:tcPr>
            <w:tcW w:w="4111" w:type="dxa"/>
            <w:hideMark/>
          </w:tcPr>
          <w:p w14:paraId="4E234D19" w14:textId="77777777" w:rsidR="002451B6" w:rsidRPr="00CD488A" w:rsidRDefault="002451B6" w:rsidP="00D563AD">
            <w:pPr>
              <w:pStyle w:val="NormalWeb"/>
              <w:rPr>
                <w:sz w:val="18"/>
                <w:szCs w:val="18"/>
              </w:rPr>
            </w:pPr>
            <w:r w:rsidRPr="00CD488A">
              <w:rPr>
                <w:sz w:val="18"/>
                <w:szCs w:val="18"/>
              </w:rPr>
              <w:t>Female</w:t>
            </w:r>
          </w:p>
        </w:tc>
        <w:tc>
          <w:tcPr>
            <w:tcW w:w="2552" w:type="dxa"/>
            <w:hideMark/>
          </w:tcPr>
          <w:p w14:paraId="3B518961" w14:textId="77777777" w:rsidR="002451B6" w:rsidRPr="00CD488A" w:rsidRDefault="002451B6" w:rsidP="00D563AD">
            <w:pPr>
              <w:pStyle w:val="NormalWeb"/>
              <w:jc w:val="center"/>
              <w:rPr>
                <w:sz w:val="18"/>
                <w:szCs w:val="18"/>
              </w:rPr>
            </w:pPr>
            <w:r w:rsidRPr="00CD488A">
              <w:rPr>
                <w:sz w:val="18"/>
                <w:szCs w:val="18"/>
              </w:rPr>
              <w:t>8 (38)</w:t>
            </w:r>
          </w:p>
        </w:tc>
        <w:tc>
          <w:tcPr>
            <w:tcW w:w="2551" w:type="dxa"/>
            <w:hideMark/>
          </w:tcPr>
          <w:p w14:paraId="42102B26" w14:textId="77777777" w:rsidR="002451B6" w:rsidRPr="00CD488A" w:rsidRDefault="002451B6" w:rsidP="00D563AD">
            <w:pPr>
              <w:pStyle w:val="NormalWeb"/>
              <w:jc w:val="center"/>
              <w:rPr>
                <w:sz w:val="18"/>
                <w:szCs w:val="18"/>
              </w:rPr>
            </w:pPr>
            <w:r w:rsidRPr="00CD488A">
              <w:rPr>
                <w:sz w:val="18"/>
                <w:szCs w:val="18"/>
              </w:rPr>
              <w:t>7 (23)</w:t>
            </w:r>
          </w:p>
        </w:tc>
        <w:tc>
          <w:tcPr>
            <w:tcW w:w="1226" w:type="dxa"/>
            <w:hideMark/>
          </w:tcPr>
          <w:p w14:paraId="015433A4" w14:textId="77777777" w:rsidR="002451B6" w:rsidRPr="00CD488A" w:rsidRDefault="002451B6" w:rsidP="00D563AD">
            <w:pPr>
              <w:pStyle w:val="NormalWeb"/>
              <w:jc w:val="center"/>
              <w:rPr>
                <w:sz w:val="18"/>
                <w:szCs w:val="18"/>
              </w:rPr>
            </w:pPr>
            <w:r w:rsidRPr="00CD488A">
              <w:rPr>
                <w:sz w:val="18"/>
                <w:szCs w:val="18"/>
              </w:rPr>
              <w:t>15 (29)</w:t>
            </w:r>
          </w:p>
        </w:tc>
      </w:tr>
      <w:tr w:rsidR="002451B6" w:rsidRPr="00D12683" w14:paraId="0BE79CA9" w14:textId="77777777" w:rsidTr="002451B6">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0440" w:type="dxa"/>
            <w:gridSpan w:val="4"/>
            <w:shd w:val="clear" w:color="auto" w:fill="E0C198"/>
            <w:hideMark/>
          </w:tcPr>
          <w:p w14:paraId="3F827C4E" w14:textId="77777777" w:rsidR="002451B6" w:rsidRPr="00D12683" w:rsidRDefault="002451B6" w:rsidP="00D563AD">
            <w:pPr>
              <w:pStyle w:val="NormalWeb"/>
              <w:rPr>
                <w:b/>
                <w:bCs/>
                <w:sz w:val="18"/>
                <w:szCs w:val="18"/>
              </w:rPr>
            </w:pPr>
            <w:r w:rsidRPr="00D12683">
              <w:rPr>
                <w:b/>
                <w:bCs/>
                <w:sz w:val="18"/>
                <w:szCs w:val="18"/>
              </w:rPr>
              <w:t>Ethnicity</w:t>
            </w:r>
          </w:p>
        </w:tc>
      </w:tr>
      <w:tr w:rsidR="002451B6" w:rsidRPr="00CD488A" w14:paraId="67DE3863" w14:textId="77777777" w:rsidTr="002451B6">
        <w:tblPrEx>
          <w:tblCellMar>
            <w:left w:w="57" w:type="dxa"/>
            <w:right w:w="57" w:type="dxa"/>
          </w:tblCellMar>
        </w:tblPrEx>
        <w:tc>
          <w:tcPr>
            <w:tcW w:w="4111" w:type="dxa"/>
            <w:hideMark/>
          </w:tcPr>
          <w:p w14:paraId="4F71B2CB" w14:textId="77777777" w:rsidR="002451B6" w:rsidRPr="00CD488A" w:rsidRDefault="002451B6" w:rsidP="00D563AD">
            <w:pPr>
              <w:pStyle w:val="NormalWeb"/>
              <w:rPr>
                <w:sz w:val="18"/>
                <w:szCs w:val="18"/>
              </w:rPr>
            </w:pPr>
            <w:r w:rsidRPr="00CD488A">
              <w:rPr>
                <w:sz w:val="18"/>
                <w:szCs w:val="18"/>
              </w:rPr>
              <w:t>Aboriginal and/or Torres Strait Islander</w:t>
            </w:r>
          </w:p>
        </w:tc>
        <w:tc>
          <w:tcPr>
            <w:tcW w:w="2552" w:type="dxa"/>
            <w:hideMark/>
          </w:tcPr>
          <w:p w14:paraId="57E506D0" w14:textId="77777777" w:rsidR="002451B6" w:rsidRPr="00CD488A" w:rsidRDefault="002451B6" w:rsidP="00D563AD">
            <w:pPr>
              <w:pStyle w:val="NormalWeb"/>
              <w:jc w:val="center"/>
              <w:rPr>
                <w:sz w:val="18"/>
                <w:szCs w:val="18"/>
              </w:rPr>
            </w:pPr>
            <w:r w:rsidRPr="00CD488A">
              <w:rPr>
                <w:sz w:val="18"/>
                <w:szCs w:val="18"/>
              </w:rPr>
              <w:t>7 (33)</w:t>
            </w:r>
          </w:p>
        </w:tc>
        <w:tc>
          <w:tcPr>
            <w:tcW w:w="2551" w:type="dxa"/>
            <w:hideMark/>
          </w:tcPr>
          <w:p w14:paraId="08433714" w14:textId="77777777" w:rsidR="002451B6" w:rsidRPr="00CD488A" w:rsidRDefault="002451B6" w:rsidP="00D563AD">
            <w:pPr>
              <w:pStyle w:val="NormalWeb"/>
              <w:jc w:val="center"/>
              <w:rPr>
                <w:sz w:val="18"/>
                <w:szCs w:val="18"/>
              </w:rPr>
            </w:pPr>
            <w:r w:rsidRPr="00CD488A">
              <w:rPr>
                <w:sz w:val="18"/>
                <w:szCs w:val="18"/>
              </w:rPr>
              <w:t>9 (30)</w:t>
            </w:r>
          </w:p>
        </w:tc>
        <w:tc>
          <w:tcPr>
            <w:tcW w:w="1226" w:type="dxa"/>
            <w:hideMark/>
          </w:tcPr>
          <w:p w14:paraId="15A4A1C1" w14:textId="77777777" w:rsidR="002451B6" w:rsidRPr="00CD488A" w:rsidRDefault="002451B6" w:rsidP="00D563AD">
            <w:pPr>
              <w:pStyle w:val="NormalWeb"/>
              <w:jc w:val="center"/>
              <w:rPr>
                <w:sz w:val="18"/>
                <w:szCs w:val="18"/>
              </w:rPr>
            </w:pPr>
            <w:r w:rsidRPr="00CD488A">
              <w:rPr>
                <w:sz w:val="18"/>
                <w:szCs w:val="18"/>
              </w:rPr>
              <w:t>16 (31)</w:t>
            </w:r>
          </w:p>
        </w:tc>
      </w:tr>
      <w:tr w:rsidR="002451B6" w:rsidRPr="00CD488A" w14:paraId="54D326F5" w14:textId="77777777" w:rsidTr="002451B6">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111" w:type="dxa"/>
            <w:hideMark/>
          </w:tcPr>
          <w:p w14:paraId="53260E8C" w14:textId="77777777" w:rsidR="002451B6" w:rsidRPr="00CD488A" w:rsidRDefault="002451B6" w:rsidP="00D563AD">
            <w:pPr>
              <w:pStyle w:val="NormalWeb"/>
              <w:rPr>
                <w:sz w:val="18"/>
                <w:szCs w:val="18"/>
              </w:rPr>
            </w:pPr>
            <w:r w:rsidRPr="00CD488A">
              <w:rPr>
                <w:sz w:val="18"/>
                <w:szCs w:val="18"/>
              </w:rPr>
              <w:t>Non-Indigenous</w:t>
            </w:r>
          </w:p>
        </w:tc>
        <w:tc>
          <w:tcPr>
            <w:tcW w:w="2552" w:type="dxa"/>
            <w:hideMark/>
          </w:tcPr>
          <w:p w14:paraId="7608EFDE" w14:textId="77777777" w:rsidR="002451B6" w:rsidRPr="00CD488A" w:rsidRDefault="002451B6" w:rsidP="00D563AD">
            <w:pPr>
              <w:pStyle w:val="NormalWeb"/>
              <w:jc w:val="center"/>
              <w:rPr>
                <w:sz w:val="18"/>
                <w:szCs w:val="18"/>
              </w:rPr>
            </w:pPr>
            <w:r w:rsidRPr="00CD488A">
              <w:rPr>
                <w:sz w:val="18"/>
                <w:szCs w:val="18"/>
              </w:rPr>
              <w:t>14 (67)</w:t>
            </w:r>
          </w:p>
        </w:tc>
        <w:tc>
          <w:tcPr>
            <w:tcW w:w="2551" w:type="dxa"/>
            <w:hideMark/>
          </w:tcPr>
          <w:p w14:paraId="4FE6FDC6" w14:textId="77777777" w:rsidR="002451B6" w:rsidRPr="00CD488A" w:rsidRDefault="002451B6" w:rsidP="00D563AD">
            <w:pPr>
              <w:pStyle w:val="NormalWeb"/>
              <w:jc w:val="center"/>
              <w:rPr>
                <w:sz w:val="18"/>
                <w:szCs w:val="18"/>
              </w:rPr>
            </w:pPr>
            <w:r w:rsidRPr="00CD488A">
              <w:rPr>
                <w:sz w:val="18"/>
                <w:szCs w:val="18"/>
              </w:rPr>
              <w:t>21 (70)</w:t>
            </w:r>
          </w:p>
        </w:tc>
        <w:tc>
          <w:tcPr>
            <w:tcW w:w="1226" w:type="dxa"/>
            <w:hideMark/>
          </w:tcPr>
          <w:p w14:paraId="6BA284F2" w14:textId="77777777" w:rsidR="002451B6" w:rsidRPr="00CD488A" w:rsidRDefault="002451B6" w:rsidP="00D563AD">
            <w:pPr>
              <w:pStyle w:val="NormalWeb"/>
              <w:jc w:val="center"/>
              <w:rPr>
                <w:sz w:val="18"/>
                <w:szCs w:val="18"/>
              </w:rPr>
            </w:pPr>
            <w:r w:rsidRPr="00CD488A">
              <w:rPr>
                <w:sz w:val="18"/>
                <w:szCs w:val="18"/>
              </w:rPr>
              <w:t>35 (69)</w:t>
            </w:r>
          </w:p>
        </w:tc>
      </w:tr>
      <w:tr w:rsidR="002451B6" w:rsidRPr="00D12683" w14:paraId="2F84C936" w14:textId="77777777" w:rsidTr="002451B6">
        <w:tblPrEx>
          <w:tblCellMar>
            <w:left w:w="57" w:type="dxa"/>
            <w:right w:w="57" w:type="dxa"/>
          </w:tblCellMar>
        </w:tblPrEx>
        <w:tc>
          <w:tcPr>
            <w:tcW w:w="10440" w:type="dxa"/>
            <w:gridSpan w:val="4"/>
            <w:shd w:val="clear" w:color="auto" w:fill="E0C198"/>
            <w:hideMark/>
          </w:tcPr>
          <w:p w14:paraId="438A6656" w14:textId="77777777" w:rsidR="002451B6" w:rsidRPr="00D12683" w:rsidRDefault="002451B6" w:rsidP="00D563AD">
            <w:pPr>
              <w:pStyle w:val="NormalWeb"/>
              <w:rPr>
                <w:b/>
                <w:bCs/>
                <w:sz w:val="18"/>
                <w:szCs w:val="18"/>
              </w:rPr>
            </w:pPr>
            <w:r w:rsidRPr="00D12683">
              <w:rPr>
                <w:b/>
                <w:bCs/>
                <w:sz w:val="18"/>
                <w:szCs w:val="18"/>
              </w:rPr>
              <w:t>Residence</w:t>
            </w:r>
          </w:p>
        </w:tc>
      </w:tr>
      <w:tr w:rsidR="002451B6" w:rsidRPr="00CD488A" w14:paraId="2BB8DAC9" w14:textId="77777777" w:rsidTr="002451B6">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111" w:type="dxa"/>
            <w:hideMark/>
          </w:tcPr>
          <w:p w14:paraId="1427D989" w14:textId="77777777" w:rsidR="002451B6" w:rsidRPr="00CD488A" w:rsidRDefault="002451B6" w:rsidP="00D563AD">
            <w:pPr>
              <w:pStyle w:val="NormalWeb"/>
              <w:rPr>
                <w:sz w:val="18"/>
                <w:szCs w:val="18"/>
              </w:rPr>
            </w:pPr>
            <w:r w:rsidRPr="00CD488A">
              <w:rPr>
                <w:sz w:val="18"/>
                <w:szCs w:val="18"/>
              </w:rPr>
              <w:t>Urban</w:t>
            </w:r>
          </w:p>
        </w:tc>
        <w:tc>
          <w:tcPr>
            <w:tcW w:w="2552" w:type="dxa"/>
            <w:hideMark/>
          </w:tcPr>
          <w:p w14:paraId="57D12A18" w14:textId="77777777" w:rsidR="002451B6" w:rsidRPr="00CD488A" w:rsidRDefault="002451B6" w:rsidP="00D563AD">
            <w:pPr>
              <w:pStyle w:val="NormalWeb"/>
              <w:jc w:val="center"/>
              <w:rPr>
                <w:sz w:val="18"/>
                <w:szCs w:val="18"/>
              </w:rPr>
            </w:pPr>
            <w:r w:rsidRPr="00CD488A">
              <w:rPr>
                <w:sz w:val="18"/>
                <w:szCs w:val="18"/>
              </w:rPr>
              <w:t>15 (71)</w:t>
            </w:r>
          </w:p>
        </w:tc>
        <w:tc>
          <w:tcPr>
            <w:tcW w:w="2551" w:type="dxa"/>
            <w:hideMark/>
          </w:tcPr>
          <w:p w14:paraId="0E48C5F2" w14:textId="77777777" w:rsidR="002451B6" w:rsidRPr="00CD488A" w:rsidRDefault="002451B6" w:rsidP="00D563AD">
            <w:pPr>
              <w:pStyle w:val="NormalWeb"/>
              <w:jc w:val="center"/>
              <w:rPr>
                <w:sz w:val="18"/>
                <w:szCs w:val="18"/>
              </w:rPr>
            </w:pPr>
            <w:r w:rsidRPr="00CD488A">
              <w:rPr>
                <w:sz w:val="18"/>
                <w:szCs w:val="18"/>
              </w:rPr>
              <w:t>20 (67)</w:t>
            </w:r>
          </w:p>
        </w:tc>
        <w:tc>
          <w:tcPr>
            <w:tcW w:w="1226" w:type="dxa"/>
            <w:hideMark/>
          </w:tcPr>
          <w:p w14:paraId="18DE859F" w14:textId="77777777" w:rsidR="002451B6" w:rsidRPr="00CD488A" w:rsidRDefault="002451B6" w:rsidP="00D563AD">
            <w:pPr>
              <w:pStyle w:val="NormalWeb"/>
              <w:jc w:val="center"/>
              <w:rPr>
                <w:sz w:val="18"/>
                <w:szCs w:val="18"/>
              </w:rPr>
            </w:pPr>
            <w:r w:rsidRPr="00CD488A">
              <w:rPr>
                <w:sz w:val="18"/>
                <w:szCs w:val="18"/>
              </w:rPr>
              <w:t>35 (69)</w:t>
            </w:r>
          </w:p>
        </w:tc>
      </w:tr>
      <w:tr w:rsidR="002451B6" w:rsidRPr="00CD488A" w14:paraId="189A3E31" w14:textId="77777777" w:rsidTr="002451B6">
        <w:tblPrEx>
          <w:tblCellMar>
            <w:left w:w="57" w:type="dxa"/>
            <w:right w:w="57" w:type="dxa"/>
          </w:tblCellMar>
        </w:tblPrEx>
        <w:tc>
          <w:tcPr>
            <w:tcW w:w="4111" w:type="dxa"/>
            <w:hideMark/>
          </w:tcPr>
          <w:p w14:paraId="6DAE296F" w14:textId="77777777" w:rsidR="002451B6" w:rsidRPr="00CD488A" w:rsidRDefault="002451B6" w:rsidP="00D563AD">
            <w:pPr>
              <w:pStyle w:val="NormalWeb"/>
              <w:rPr>
                <w:sz w:val="18"/>
                <w:szCs w:val="18"/>
              </w:rPr>
            </w:pPr>
            <w:r w:rsidRPr="00CD488A">
              <w:rPr>
                <w:sz w:val="18"/>
                <w:szCs w:val="18"/>
              </w:rPr>
              <w:t>Rural and remote</w:t>
            </w:r>
          </w:p>
        </w:tc>
        <w:tc>
          <w:tcPr>
            <w:tcW w:w="2552" w:type="dxa"/>
            <w:hideMark/>
          </w:tcPr>
          <w:p w14:paraId="4D786E0D" w14:textId="77777777" w:rsidR="002451B6" w:rsidRPr="00CD488A" w:rsidRDefault="002451B6" w:rsidP="00D563AD">
            <w:pPr>
              <w:pStyle w:val="NormalWeb"/>
              <w:jc w:val="center"/>
              <w:rPr>
                <w:sz w:val="18"/>
                <w:szCs w:val="18"/>
              </w:rPr>
            </w:pPr>
            <w:r w:rsidRPr="00CD488A">
              <w:rPr>
                <w:sz w:val="18"/>
                <w:szCs w:val="18"/>
              </w:rPr>
              <w:t>6 (29)</w:t>
            </w:r>
          </w:p>
        </w:tc>
        <w:tc>
          <w:tcPr>
            <w:tcW w:w="2551" w:type="dxa"/>
            <w:hideMark/>
          </w:tcPr>
          <w:p w14:paraId="2022C3C3" w14:textId="77777777" w:rsidR="002451B6" w:rsidRPr="00CD488A" w:rsidRDefault="002451B6" w:rsidP="00D563AD">
            <w:pPr>
              <w:pStyle w:val="NormalWeb"/>
              <w:jc w:val="center"/>
              <w:rPr>
                <w:sz w:val="18"/>
                <w:szCs w:val="18"/>
              </w:rPr>
            </w:pPr>
            <w:r w:rsidRPr="00CD488A">
              <w:rPr>
                <w:sz w:val="18"/>
                <w:szCs w:val="18"/>
              </w:rPr>
              <w:t>10 (33)</w:t>
            </w:r>
          </w:p>
        </w:tc>
        <w:tc>
          <w:tcPr>
            <w:tcW w:w="1226" w:type="dxa"/>
            <w:hideMark/>
          </w:tcPr>
          <w:p w14:paraId="70BCDDEA" w14:textId="77777777" w:rsidR="002451B6" w:rsidRPr="00CD488A" w:rsidRDefault="002451B6" w:rsidP="00D563AD">
            <w:pPr>
              <w:pStyle w:val="NormalWeb"/>
              <w:jc w:val="center"/>
              <w:rPr>
                <w:sz w:val="18"/>
                <w:szCs w:val="18"/>
              </w:rPr>
            </w:pPr>
            <w:r w:rsidRPr="00CD488A">
              <w:rPr>
                <w:sz w:val="18"/>
                <w:szCs w:val="18"/>
              </w:rPr>
              <w:t>16 (31)</w:t>
            </w:r>
          </w:p>
        </w:tc>
      </w:tr>
      <w:tr w:rsidR="002451B6" w:rsidRPr="00D12683" w14:paraId="5D0D6C09" w14:textId="77777777" w:rsidTr="002451B6">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0440" w:type="dxa"/>
            <w:gridSpan w:val="4"/>
            <w:shd w:val="clear" w:color="auto" w:fill="E0C198"/>
            <w:hideMark/>
          </w:tcPr>
          <w:p w14:paraId="70508BBB" w14:textId="77777777" w:rsidR="002451B6" w:rsidRPr="00D12683" w:rsidRDefault="002451B6" w:rsidP="00D563AD">
            <w:pPr>
              <w:pStyle w:val="NormalWeb"/>
              <w:rPr>
                <w:b/>
                <w:bCs/>
                <w:sz w:val="18"/>
                <w:szCs w:val="18"/>
              </w:rPr>
            </w:pPr>
            <w:r w:rsidRPr="00D12683">
              <w:rPr>
                <w:b/>
                <w:bCs/>
                <w:sz w:val="18"/>
                <w:szCs w:val="18"/>
              </w:rPr>
              <w:t>Seasonality of infection</w:t>
            </w:r>
          </w:p>
        </w:tc>
      </w:tr>
      <w:tr w:rsidR="002451B6" w:rsidRPr="00CD488A" w14:paraId="139E5CC1" w14:textId="77777777" w:rsidTr="002451B6">
        <w:tblPrEx>
          <w:tblCellMar>
            <w:left w:w="57" w:type="dxa"/>
            <w:right w:w="57" w:type="dxa"/>
          </w:tblCellMar>
        </w:tblPrEx>
        <w:tc>
          <w:tcPr>
            <w:tcW w:w="4111" w:type="dxa"/>
            <w:hideMark/>
          </w:tcPr>
          <w:p w14:paraId="66F66CB5" w14:textId="77777777" w:rsidR="002451B6" w:rsidRPr="00CD488A" w:rsidRDefault="002451B6" w:rsidP="00D563AD">
            <w:pPr>
              <w:pStyle w:val="NormalWeb"/>
              <w:rPr>
                <w:sz w:val="18"/>
                <w:szCs w:val="18"/>
              </w:rPr>
            </w:pPr>
            <w:r w:rsidRPr="00CD488A">
              <w:rPr>
                <w:sz w:val="18"/>
                <w:szCs w:val="18"/>
              </w:rPr>
              <w:t>Monsoon</w:t>
            </w:r>
          </w:p>
        </w:tc>
        <w:tc>
          <w:tcPr>
            <w:tcW w:w="2552" w:type="dxa"/>
            <w:hideMark/>
          </w:tcPr>
          <w:p w14:paraId="16B55AFC" w14:textId="77777777" w:rsidR="002451B6" w:rsidRPr="00CD488A" w:rsidRDefault="002451B6" w:rsidP="00D563AD">
            <w:pPr>
              <w:pStyle w:val="NormalWeb"/>
              <w:jc w:val="center"/>
              <w:rPr>
                <w:sz w:val="18"/>
                <w:szCs w:val="18"/>
              </w:rPr>
            </w:pPr>
            <w:r w:rsidRPr="00CD488A">
              <w:rPr>
                <w:sz w:val="18"/>
                <w:szCs w:val="18"/>
              </w:rPr>
              <w:t>11 (52)</w:t>
            </w:r>
          </w:p>
        </w:tc>
        <w:tc>
          <w:tcPr>
            <w:tcW w:w="2551" w:type="dxa"/>
            <w:hideMark/>
          </w:tcPr>
          <w:p w14:paraId="4670395B" w14:textId="77777777" w:rsidR="002451B6" w:rsidRPr="00CD488A" w:rsidRDefault="002451B6" w:rsidP="00D563AD">
            <w:pPr>
              <w:pStyle w:val="NormalWeb"/>
              <w:jc w:val="center"/>
              <w:rPr>
                <w:sz w:val="18"/>
                <w:szCs w:val="18"/>
              </w:rPr>
            </w:pPr>
            <w:r w:rsidRPr="00CD488A">
              <w:rPr>
                <w:sz w:val="18"/>
                <w:szCs w:val="18"/>
              </w:rPr>
              <w:t>12 (40)</w:t>
            </w:r>
          </w:p>
        </w:tc>
        <w:tc>
          <w:tcPr>
            <w:tcW w:w="1226" w:type="dxa"/>
            <w:hideMark/>
          </w:tcPr>
          <w:p w14:paraId="5A5540A8" w14:textId="77777777" w:rsidR="002451B6" w:rsidRPr="00CD488A" w:rsidRDefault="002451B6" w:rsidP="00D563AD">
            <w:pPr>
              <w:pStyle w:val="NormalWeb"/>
              <w:jc w:val="center"/>
              <w:rPr>
                <w:sz w:val="18"/>
                <w:szCs w:val="18"/>
              </w:rPr>
            </w:pPr>
            <w:r w:rsidRPr="00CD488A">
              <w:rPr>
                <w:sz w:val="18"/>
                <w:szCs w:val="18"/>
              </w:rPr>
              <w:t>23 (45)</w:t>
            </w:r>
          </w:p>
        </w:tc>
      </w:tr>
      <w:tr w:rsidR="002451B6" w:rsidRPr="00CD488A" w14:paraId="2225A623" w14:textId="77777777" w:rsidTr="002451B6">
        <w:tblPrEx>
          <w:tblCellMar>
            <w:left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4111" w:type="dxa"/>
            <w:hideMark/>
          </w:tcPr>
          <w:p w14:paraId="3D5904EC" w14:textId="77777777" w:rsidR="002451B6" w:rsidRPr="00CD488A" w:rsidRDefault="002451B6" w:rsidP="00D563AD">
            <w:pPr>
              <w:pStyle w:val="NormalWeb"/>
              <w:rPr>
                <w:sz w:val="18"/>
                <w:szCs w:val="18"/>
              </w:rPr>
            </w:pPr>
            <w:r w:rsidRPr="00CD488A">
              <w:rPr>
                <w:sz w:val="18"/>
                <w:szCs w:val="18"/>
              </w:rPr>
              <w:t>Dry</w:t>
            </w:r>
          </w:p>
        </w:tc>
        <w:tc>
          <w:tcPr>
            <w:tcW w:w="2552" w:type="dxa"/>
            <w:hideMark/>
          </w:tcPr>
          <w:p w14:paraId="1B1E9D0A" w14:textId="77777777" w:rsidR="002451B6" w:rsidRPr="00CD488A" w:rsidRDefault="002451B6" w:rsidP="00D563AD">
            <w:pPr>
              <w:pStyle w:val="NormalWeb"/>
              <w:jc w:val="center"/>
              <w:rPr>
                <w:sz w:val="18"/>
                <w:szCs w:val="18"/>
              </w:rPr>
            </w:pPr>
            <w:r w:rsidRPr="00CD488A">
              <w:rPr>
                <w:sz w:val="18"/>
                <w:szCs w:val="18"/>
              </w:rPr>
              <w:t>6 (29)</w:t>
            </w:r>
          </w:p>
        </w:tc>
        <w:tc>
          <w:tcPr>
            <w:tcW w:w="2551" w:type="dxa"/>
            <w:hideMark/>
          </w:tcPr>
          <w:p w14:paraId="007B512B" w14:textId="77777777" w:rsidR="002451B6" w:rsidRPr="00CD488A" w:rsidRDefault="002451B6" w:rsidP="00D563AD">
            <w:pPr>
              <w:pStyle w:val="NormalWeb"/>
              <w:jc w:val="center"/>
              <w:rPr>
                <w:sz w:val="18"/>
                <w:szCs w:val="18"/>
              </w:rPr>
            </w:pPr>
            <w:r w:rsidRPr="00CD488A">
              <w:rPr>
                <w:sz w:val="18"/>
                <w:szCs w:val="18"/>
              </w:rPr>
              <w:t>4 (13)</w:t>
            </w:r>
          </w:p>
        </w:tc>
        <w:tc>
          <w:tcPr>
            <w:tcW w:w="1226" w:type="dxa"/>
            <w:hideMark/>
          </w:tcPr>
          <w:p w14:paraId="15E58B82" w14:textId="77777777" w:rsidR="002451B6" w:rsidRPr="00CD488A" w:rsidRDefault="002451B6" w:rsidP="00D563AD">
            <w:pPr>
              <w:pStyle w:val="NormalWeb"/>
              <w:jc w:val="center"/>
              <w:rPr>
                <w:sz w:val="18"/>
                <w:szCs w:val="18"/>
              </w:rPr>
            </w:pPr>
            <w:r w:rsidRPr="00CD488A">
              <w:rPr>
                <w:sz w:val="18"/>
                <w:szCs w:val="18"/>
              </w:rPr>
              <w:t>10 (20)</w:t>
            </w:r>
          </w:p>
        </w:tc>
      </w:tr>
      <w:tr w:rsidR="002451B6" w:rsidRPr="00CD488A" w14:paraId="533EB233" w14:textId="77777777" w:rsidTr="002451B6">
        <w:tblPrEx>
          <w:tblCellMar>
            <w:left w:w="57" w:type="dxa"/>
            <w:right w:w="57" w:type="dxa"/>
          </w:tblCellMar>
        </w:tblPrEx>
        <w:tc>
          <w:tcPr>
            <w:tcW w:w="4111" w:type="dxa"/>
            <w:tcBorders>
              <w:bottom w:val="single" w:sz="2" w:space="0" w:color="7F7F7F" w:themeColor="text1" w:themeTint="80"/>
            </w:tcBorders>
            <w:hideMark/>
          </w:tcPr>
          <w:p w14:paraId="19635CA1" w14:textId="77777777" w:rsidR="002451B6" w:rsidRPr="00CD488A" w:rsidRDefault="002451B6" w:rsidP="00D563AD">
            <w:pPr>
              <w:pStyle w:val="NormalWeb"/>
              <w:rPr>
                <w:sz w:val="18"/>
                <w:szCs w:val="18"/>
              </w:rPr>
            </w:pPr>
            <w:r w:rsidRPr="00CD488A">
              <w:rPr>
                <w:sz w:val="18"/>
                <w:szCs w:val="18"/>
              </w:rPr>
              <w:t>Wet season ‘build-up’</w:t>
            </w:r>
          </w:p>
        </w:tc>
        <w:tc>
          <w:tcPr>
            <w:tcW w:w="2552" w:type="dxa"/>
            <w:tcBorders>
              <w:bottom w:val="single" w:sz="2" w:space="0" w:color="7F7F7F" w:themeColor="text1" w:themeTint="80"/>
            </w:tcBorders>
            <w:hideMark/>
          </w:tcPr>
          <w:p w14:paraId="13E54865" w14:textId="77777777" w:rsidR="002451B6" w:rsidRPr="00CD488A" w:rsidRDefault="002451B6" w:rsidP="00D563AD">
            <w:pPr>
              <w:pStyle w:val="NormalWeb"/>
              <w:jc w:val="center"/>
              <w:rPr>
                <w:sz w:val="18"/>
                <w:szCs w:val="18"/>
              </w:rPr>
            </w:pPr>
            <w:r w:rsidRPr="00CD488A">
              <w:rPr>
                <w:sz w:val="18"/>
                <w:szCs w:val="18"/>
              </w:rPr>
              <w:t>4 (19)</w:t>
            </w:r>
          </w:p>
        </w:tc>
        <w:tc>
          <w:tcPr>
            <w:tcW w:w="2551" w:type="dxa"/>
            <w:tcBorders>
              <w:bottom w:val="single" w:sz="2" w:space="0" w:color="7F7F7F" w:themeColor="text1" w:themeTint="80"/>
            </w:tcBorders>
            <w:hideMark/>
          </w:tcPr>
          <w:p w14:paraId="5E1719DA" w14:textId="77777777" w:rsidR="002451B6" w:rsidRPr="00CD488A" w:rsidRDefault="002451B6" w:rsidP="00D563AD">
            <w:pPr>
              <w:pStyle w:val="NormalWeb"/>
              <w:jc w:val="center"/>
              <w:rPr>
                <w:sz w:val="18"/>
                <w:szCs w:val="18"/>
              </w:rPr>
            </w:pPr>
            <w:r w:rsidRPr="00CD488A">
              <w:rPr>
                <w:sz w:val="18"/>
                <w:szCs w:val="18"/>
              </w:rPr>
              <w:t>14 (47)</w:t>
            </w:r>
          </w:p>
        </w:tc>
        <w:tc>
          <w:tcPr>
            <w:tcW w:w="1226" w:type="dxa"/>
            <w:tcBorders>
              <w:bottom w:val="single" w:sz="2" w:space="0" w:color="7F7F7F" w:themeColor="text1" w:themeTint="80"/>
            </w:tcBorders>
            <w:hideMark/>
          </w:tcPr>
          <w:p w14:paraId="3747A982" w14:textId="77777777" w:rsidR="002451B6" w:rsidRPr="00CD488A" w:rsidRDefault="002451B6" w:rsidP="00D563AD">
            <w:pPr>
              <w:pStyle w:val="NormalWeb"/>
              <w:jc w:val="center"/>
              <w:rPr>
                <w:sz w:val="18"/>
                <w:szCs w:val="18"/>
              </w:rPr>
            </w:pPr>
            <w:r w:rsidRPr="00CD488A">
              <w:rPr>
                <w:sz w:val="18"/>
                <w:szCs w:val="18"/>
              </w:rPr>
              <w:t>18 (35)</w:t>
            </w:r>
          </w:p>
        </w:tc>
      </w:tr>
    </w:tbl>
    <w:p w14:paraId="27471D6E" w14:textId="77777777" w:rsidR="002451B6" w:rsidRDefault="002451B6" w:rsidP="002451B6">
      <w:pPr>
        <w:pStyle w:val="CDIfootnotes"/>
        <w:rPr>
          <w:lang w:val="en-GB"/>
        </w:rPr>
      </w:pPr>
      <w:r>
        <w:rPr>
          <w:lang w:val="en-GB"/>
        </w:rPr>
        <w:t>a</w:t>
      </w:r>
      <w:r>
        <w:rPr>
          <w:lang w:val="en-GB"/>
        </w:rPr>
        <w:tab/>
        <w:t xml:space="preserve">Two cases of </w:t>
      </w:r>
      <w:r w:rsidRPr="00C558E5">
        <w:rPr>
          <w:i/>
          <w:iCs/>
          <w:lang w:val="en-US"/>
        </w:rPr>
        <w:t>Legionella</w:t>
      </w:r>
      <w:r>
        <w:rPr>
          <w:lang w:val="en-GB"/>
        </w:rPr>
        <w:t xml:space="preserve"> infection did not </w:t>
      </w:r>
      <w:proofErr w:type="gramStart"/>
      <w:r>
        <w:rPr>
          <w:lang w:val="en-GB"/>
        </w:rPr>
        <w:t>speciate, and</w:t>
      </w:r>
      <w:proofErr w:type="gramEnd"/>
      <w:r>
        <w:rPr>
          <w:lang w:val="en-GB"/>
        </w:rPr>
        <w:t xml:space="preserve"> are not included in the table.</w:t>
      </w:r>
    </w:p>
    <w:p w14:paraId="53B85294" w14:textId="77777777" w:rsidR="002451B6" w:rsidRDefault="002451B6">
      <w:pPr>
        <w:rPr>
          <w:rFonts w:asciiTheme="majorHAnsi" w:eastAsiaTheme="majorEastAsia" w:hAnsiTheme="majorHAnsi" w:cstheme="majorBidi"/>
          <w:b/>
          <w:bCs/>
          <w:sz w:val="32"/>
          <w:szCs w:val="28"/>
        </w:rPr>
      </w:pPr>
      <w:r>
        <w:br w:type="page"/>
      </w:r>
    </w:p>
    <w:p w14:paraId="19A9B31A" w14:textId="77777777" w:rsidR="00F802C4" w:rsidRPr="00801BC8" w:rsidRDefault="00F802C4" w:rsidP="00F802C4">
      <w:pPr>
        <w:pStyle w:val="CDIFigures"/>
      </w:pPr>
      <w:r w:rsidRPr="00801BC8">
        <w:rPr>
          <w:rStyle w:val="Strong"/>
          <w:b/>
          <w:bCs w:val="0"/>
        </w:rPr>
        <w:lastRenderedPageBreak/>
        <w:t xml:space="preserve">Table 3: Clinical characteristics of patients with </w:t>
      </w:r>
      <w:r w:rsidRPr="00C558E5">
        <w:rPr>
          <w:rStyle w:val="Strong"/>
          <w:b/>
          <w:bCs w:val="0"/>
          <w:i/>
          <w:iCs/>
        </w:rPr>
        <w:t>Legionella</w:t>
      </w:r>
      <w:r w:rsidRPr="00801BC8">
        <w:rPr>
          <w:rStyle w:val="Strong"/>
          <w:b/>
          <w:bCs w:val="0"/>
        </w:rPr>
        <w:t xml:space="preserve"> infection in the NT from January 2010 to April 2021</w:t>
      </w:r>
    </w:p>
    <w:tbl>
      <w:tblPr>
        <w:tblStyle w:val="CDI-StandardTable"/>
        <w:tblW w:w="0" w:type="auto"/>
        <w:tblLook w:val="04A0" w:firstRow="1" w:lastRow="0" w:firstColumn="1" w:lastColumn="0" w:noHBand="0" w:noVBand="1"/>
        <w:tblDescription w:val="Clinical and diagnostic characteristics of Patients with Legionella Infection in the NT from January 2010 to April 2021. "/>
      </w:tblPr>
      <w:tblGrid>
        <w:gridCol w:w="3686"/>
        <w:gridCol w:w="2487"/>
        <w:gridCol w:w="2341"/>
        <w:gridCol w:w="1926"/>
      </w:tblGrid>
      <w:tr w:rsidR="00F802C4" w:rsidRPr="00CD488A" w14:paraId="2658692D" w14:textId="77777777" w:rsidTr="00F802C4">
        <w:trPr>
          <w:cnfStyle w:val="100000000000" w:firstRow="1" w:lastRow="0" w:firstColumn="0" w:lastColumn="0" w:oddVBand="0" w:evenVBand="0" w:oddHBand="0" w:evenHBand="0" w:firstRowFirstColumn="0" w:firstRowLastColumn="0" w:lastRowFirstColumn="0" w:lastRowLastColumn="0"/>
        </w:trPr>
        <w:tc>
          <w:tcPr>
            <w:tcW w:w="3686" w:type="dxa"/>
            <w:tcBorders>
              <w:right w:val="single" w:sz="2" w:space="0" w:color="E0C198"/>
            </w:tcBorders>
            <w:hideMark/>
          </w:tcPr>
          <w:p w14:paraId="1E48A89D" w14:textId="77777777" w:rsidR="00F802C4" w:rsidRPr="00CD488A" w:rsidRDefault="00F802C4" w:rsidP="00D563AD">
            <w:pPr>
              <w:pStyle w:val="NormalWeb"/>
              <w:rPr>
                <w:color w:val="FFFFFF" w:themeColor="background1"/>
                <w:sz w:val="18"/>
                <w:szCs w:val="18"/>
              </w:rPr>
            </w:pPr>
            <w:r w:rsidRPr="00CD488A">
              <w:rPr>
                <w:color w:val="FFFFFF" w:themeColor="background1"/>
                <w:sz w:val="18"/>
                <w:szCs w:val="18"/>
              </w:rPr>
              <w:t>Parameter</w:t>
            </w:r>
          </w:p>
        </w:tc>
        <w:tc>
          <w:tcPr>
            <w:tcW w:w="2487" w:type="dxa"/>
            <w:tcBorders>
              <w:left w:val="single" w:sz="2" w:space="0" w:color="E0C198"/>
              <w:right w:val="single" w:sz="2" w:space="0" w:color="E0C198"/>
            </w:tcBorders>
            <w:hideMark/>
          </w:tcPr>
          <w:p w14:paraId="64796367" w14:textId="77777777" w:rsidR="00F802C4" w:rsidRPr="00CD488A" w:rsidRDefault="00F802C4" w:rsidP="00D563AD">
            <w:pPr>
              <w:pStyle w:val="NormalWeb"/>
              <w:jc w:val="center"/>
              <w:rPr>
                <w:color w:val="FFFFFF" w:themeColor="background1"/>
                <w:sz w:val="18"/>
                <w:szCs w:val="18"/>
              </w:rPr>
            </w:pPr>
            <w:r w:rsidRPr="00C558E5">
              <w:rPr>
                <w:i/>
                <w:iCs/>
                <w:color w:val="FFFFFF" w:themeColor="background1"/>
                <w:sz w:val="18"/>
                <w:szCs w:val="18"/>
              </w:rPr>
              <w:t>L. pneumophila</w:t>
            </w:r>
            <w:r w:rsidRPr="00CD488A">
              <w:rPr>
                <w:color w:val="FFFFFF" w:themeColor="background1"/>
                <w:sz w:val="18"/>
                <w:szCs w:val="18"/>
              </w:rPr>
              <w:br/>
              <w:t>Number (%)</w:t>
            </w:r>
          </w:p>
        </w:tc>
        <w:tc>
          <w:tcPr>
            <w:tcW w:w="2341" w:type="dxa"/>
            <w:tcBorders>
              <w:left w:val="single" w:sz="2" w:space="0" w:color="E0C198"/>
              <w:right w:val="single" w:sz="2" w:space="0" w:color="E0C198"/>
            </w:tcBorders>
            <w:hideMark/>
          </w:tcPr>
          <w:p w14:paraId="1FE7547D" w14:textId="7A818C83" w:rsidR="00F802C4" w:rsidRPr="00CD488A" w:rsidRDefault="00F802C4" w:rsidP="00D563AD">
            <w:pPr>
              <w:pStyle w:val="NormalWeb"/>
              <w:jc w:val="center"/>
              <w:rPr>
                <w:color w:val="FFFFFF" w:themeColor="background1"/>
                <w:sz w:val="18"/>
                <w:szCs w:val="18"/>
              </w:rPr>
            </w:pPr>
            <w:r w:rsidRPr="00C558E5">
              <w:rPr>
                <w:i/>
                <w:iCs/>
                <w:color w:val="FFFFFF" w:themeColor="background1"/>
                <w:sz w:val="18"/>
                <w:szCs w:val="18"/>
              </w:rPr>
              <w:t xml:space="preserve">L. </w:t>
            </w:r>
            <w:proofErr w:type="spellStart"/>
            <w:r w:rsidRPr="00C558E5">
              <w:rPr>
                <w:i/>
                <w:iCs/>
                <w:color w:val="FFFFFF" w:themeColor="background1"/>
                <w:sz w:val="18"/>
                <w:szCs w:val="18"/>
              </w:rPr>
              <w:t>longbeachae</w:t>
            </w:r>
            <w:proofErr w:type="spellEnd"/>
            <w:r w:rsidRPr="00CD488A">
              <w:rPr>
                <w:color w:val="FFFFFF" w:themeColor="background1"/>
                <w:sz w:val="18"/>
                <w:szCs w:val="18"/>
              </w:rPr>
              <w:t xml:space="preserve"> </w:t>
            </w:r>
            <w:r w:rsidR="00C558E5">
              <w:rPr>
                <w:color w:val="FFFFFF" w:themeColor="background1"/>
                <w:sz w:val="18"/>
                <w:szCs w:val="18"/>
              </w:rPr>
              <w:br/>
            </w:r>
            <w:r w:rsidRPr="00CD488A">
              <w:rPr>
                <w:color w:val="FFFFFF" w:themeColor="background1"/>
                <w:sz w:val="18"/>
                <w:szCs w:val="18"/>
              </w:rPr>
              <w:t>Number (%)</w:t>
            </w:r>
          </w:p>
        </w:tc>
        <w:tc>
          <w:tcPr>
            <w:tcW w:w="1926" w:type="dxa"/>
            <w:tcBorders>
              <w:left w:val="single" w:sz="2" w:space="0" w:color="E0C198"/>
            </w:tcBorders>
            <w:hideMark/>
          </w:tcPr>
          <w:p w14:paraId="08A112BC" w14:textId="77777777" w:rsidR="00F802C4" w:rsidRPr="00CD488A" w:rsidRDefault="00F802C4" w:rsidP="00D563AD">
            <w:pPr>
              <w:pStyle w:val="NormalWeb"/>
              <w:jc w:val="center"/>
              <w:rPr>
                <w:color w:val="FFFFFF" w:themeColor="background1"/>
                <w:sz w:val="18"/>
                <w:szCs w:val="18"/>
              </w:rPr>
            </w:pPr>
            <w:r w:rsidRPr="00CD488A">
              <w:rPr>
                <w:color w:val="FFFFFF" w:themeColor="background1"/>
                <w:sz w:val="18"/>
                <w:szCs w:val="18"/>
              </w:rPr>
              <w:t>Total (%)</w:t>
            </w:r>
          </w:p>
        </w:tc>
      </w:tr>
      <w:tr w:rsidR="00F802C4" w:rsidRPr="00CD488A" w14:paraId="3245320F" w14:textId="77777777" w:rsidTr="00F802C4">
        <w:tblPrEx>
          <w:tblCellMar>
            <w:top w:w="57" w:type="dxa"/>
            <w:left w:w="57" w:type="dxa"/>
            <w:bottom w:w="57" w:type="dxa"/>
            <w:right w:w="57" w:type="dxa"/>
          </w:tblCellMar>
        </w:tblPrEx>
        <w:tc>
          <w:tcPr>
            <w:tcW w:w="3686" w:type="dxa"/>
            <w:hideMark/>
          </w:tcPr>
          <w:p w14:paraId="28C7A3A3" w14:textId="77777777" w:rsidR="00F802C4" w:rsidRPr="00CD488A" w:rsidRDefault="00F802C4" w:rsidP="00D563AD">
            <w:pPr>
              <w:pStyle w:val="NormalWeb"/>
              <w:rPr>
                <w:sz w:val="18"/>
                <w:szCs w:val="18"/>
              </w:rPr>
            </w:pPr>
            <w:r w:rsidRPr="00CD488A">
              <w:rPr>
                <w:sz w:val="18"/>
                <w:szCs w:val="18"/>
              </w:rPr>
              <w:t>Number</w:t>
            </w:r>
          </w:p>
        </w:tc>
        <w:tc>
          <w:tcPr>
            <w:tcW w:w="2487" w:type="dxa"/>
            <w:hideMark/>
          </w:tcPr>
          <w:p w14:paraId="0DDD7836" w14:textId="77777777" w:rsidR="00F802C4" w:rsidRPr="00CD488A" w:rsidRDefault="00F802C4" w:rsidP="00D563AD">
            <w:pPr>
              <w:pStyle w:val="NormalWeb"/>
              <w:jc w:val="center"/>
              <w:rPr>
                <w:sz w:val="18"/>
                <w:szCs w:val="18"/>
              </w:rPr>
            </w:pPr>
            <w:r w:rsidRPr="00CD488A">
              <w:rPr>
                <w:sz w:val="18"/>
                <w:szCs w:val="18"/>
              </w:rPr>
              <w:t>21 (44)</w:t>
            </w:r>
          </w:p>
        </w:tc>
        <w:tc>
          <w:tcPr>
            <w:tcW w:w="2341" w:type="dxa"/>
            <w:hideMark/>
          </w:tcPr>
          <w:p w14:paraId="04597AD9" w14:textId="77777777" w:rsidR="00F802C4" w:rsidRPr="00CD488A" w:rsidRDefault="00F802C4" w:rsidP="00D563AD">
            <w:pPr>
              <w:pStyle w:val="NormalWeb"/>
              <w:jc w:val="center"/>
              <w:rPr>
                <w:sz w:val="18"/>
                <w:szCs w:val="18"/>
              </w:rPr>
            </w:pPr>
            <w:r w:rsidRPr="00CD488A">
              <w:rPr>
                <w:sz w:val="18"/>
                <w:szCs w:val="18"/>
              </w:rPr>
              <w:t>30 (59)</w:t>
            </w:r>
          </w:p>
        </w:tc>
        <w:tc>
          <w:tcPr>
            <w:tcW w:w="1926" w:type="dxa"/>
            <w:hideMark/>
          </w:tcPr>
          <w:p w14:paraId="77CA9864" w14:textId="77777777" w:rsidR="00F802C4" w:rsidRPr="00CD488A" w:rsidRDefault="00F802C4" w:rsidP="00D563AD">
            <w:pPr>
              <w:pStyle w:val="NormalWeb"/>
              <w:jc w:val="center"/>
              <w:rPr>
                <w:sz w:val="18"/>
                <w:szCs w:val="18"/>
              </w:rPr>
            </w:pPr>
            <w:r w:rsidRPr="00CD488A">
              <w:rPr>
                <w:sz w:val="18"/>
                <w:szCs w:val="18"/>
              </w:rPr>
              <w:t>51 (100)</w:t>
            </w:r>
          </w:p>
        </w:tc>
      </w:tr>
      <w:tr w:rsidR="00F802C4" w:rsidRPr="00D12683" w14:paraId="085D4D02" w14:textId="77777777" w:rsidTr="00F802C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10440" w:type="dxa"/>
            <w:gridSpan w:val="4"/>
            <w:shd w:val="clear" w:color="auto" w:fill="E0C198"/>
            <w:hideMark/>
          </w:tcPr>
          <w:p w14:paraId="239E3B7F" w14:textId="77777777" w:rsidR="00F802C4" w:rsidRPr="00D12683" w:rsidRDefault="00F802C4" w:rsidP="00D563AD">
            <w:pPr>
              <w:pStyle w:val="NormalWeb"/>
              <w:rPr>
                <w:b/>
                <w:bCs/>
                <w:sz w:val="18"/>
                <w:szCs w:val="18"/>
              </w:rPr>
            </w:pPr>
            <w:proofErr w:type="spellStart"/>
            <w:r w:rsidRPr="00D12683">
              <w:rPr>
                <w:b/>
                <w:bCs/>
                <w:sz w:val="18"/>
                <w:szCs w:val="18"/>
              </w:rPr>
              <w:t>Comorbidities</w:t>
            </w:r>
            <w:r w:rsidRPr="00D12683">
              <w:rPr>
                <w:b/>
                <w:bCs/>
                <w:sz w:val="18"/>
                <w:szCs w:val="18"/>
                <w:vertAlign w:val="superscript"/>
              </w:rPr>
              <w:t>a</w:t>
            </w:r>
            <w:proofErr w:type="spellEnd"/>
          </w:p>
        </w:tc>
      </w:tr>
      <w:tr w:rsidR="00F802C4" w:rsidRPr="00CD488A" w14:paraId="29F7AA69" w14:textId="77777777" w:rsidTr="00F802C4">
        <w:tblPrEx>
          <w:tblCellMar>
            <w:top w:w="57" w:type="dxa"/>
            <w:left w:w="57" w:type="dxa"/>
            <w:bottom w:w="57" w:type="dxa"/>
            <w:right w:w="57" w:type="dxa"/>
          </w:tblCellMar>
        </w:tblPrEx>
        <w:tc>
          <w:tcPr>
            <w:tcW w:w="3686" w:type="dxa"/>
            <w:hideMark/>
          </w:tcPr>
          <w:p w14:paraId="7E5FFF58" w14:textId="77777777" w:rsidR="00F802C4" w:rsidRPr="00CD488A" w:rsidRDefault="00F802C4" w:rsidP="00D563AD">
            <w:pPr>
              <w:pStyle w:val="NormalWeb"/>
              <w:rPr>
                <w:sz w:val="18"/>
                <w:szCs w:val="18"/>
              </w:rPr>
            </w:pPr>
            <w:r w:rsidRPr="00CD488A">
              <w:rPr>
                <w:sz w:val="18"/>
                <w:szCs w:val="18"/>
              </w:rPr>
              <w:t>Lung disease</w:t>
            </w:r>
          </w:p>
        </w:tc>
        <w:tc>
          <w:tcPr>
            <w:tcW w:w="2487" w:type="dxa"/>
            <w:hideMark/>
          </w:tcPr>
          <w:p w14:paraId="43D3C6F5" w14:textId="77777777" w:rsidR="00F802C4" w:rsidRPr="00CD488A" w:rsidRDefault="00F802C4" w:rsidP="00D563AD">
            <w:pPr>
              <w:pStyle w:val="NormalWeb"/>
              <w:jc w:val="center"/>
              <w:rPr>
                <w:sz w:val="18"/>
                <w:szCs w:val="18"/>
              </w:rPr>
            </w:pPr>
            <w:r w:rsidRPr="00CD488A">
              <w:rPr>
                <w:sz w:val="18"/>
                <w:szCs w:val="18"/>
              </w:rPr>
              <w:t>4 (20)</w:t>
            </w:r>
          </w:p>
        </w:tc>
        <w:tc>
          <w:tcPr>
            <w:tcW w:w="2341" w:type="dxa"/>
            <w:hideMark/>
          </w:tcPr>
          <w:p w14:paraId="2E8485BD" w14:textId="77777777" w:rsidR="00F802C4" w:rsidRPr="00CD488A" w:rsidRDefault="00F802C4" w:rsidP="00D563AD">
            <w:pPr>
              <w:pStyle w:val="NormalWeb"/>
              <w:jc w:val="center"/>
              <w:rPr>
                <w:sz w:val="18"/>
                <w:szCs w:val="18"/>
              </w:rPr>
            </w:pPr>
            <w:r w:rsidRPr="00CD488A">
              <w:rPr>
                <w:sz w:val="18"/>
                <w:szCs w:val="18"/>
              </w:rPr>
              <w:t>15 (56)</w:t>
            </w:r>
          </w:p>
        </w:tc>
        <w:tc>
          <w:tcPr>
            <w:tcW w:w="1926" w:type="dxa"/>
            <w:hideMark/>
          </w:tcPr>
          <w:p w14:paraId="2D0B6A3E" w14:textId="77777777" w:rsidR="00F802C4" w:rsidRPr="00CD488A" w:rsidRDefault="00F802C4" w:rsidP="00D563AD">
            <w:pPr>
              <w:pStyle w:val="NormalWeb"/>
              <w:jc w:val="center"/>
              <w:rPr>
                <w:sz w:val="18"/>
                <w:szCs w:val="18"/>
              </w:rPr>
            </w:pPr>
            <w:r w:rsidRPr="00CD488A">
              <w:rPr>
                <w:sz w:val="18"/>
                <w:szCs w:val="18"/>
              </w:rPr>
              <w:t>19 (40)</w:t>
            </w:r>
          </w:p>
        </w:tc>
      </w:tr>
      <w:tr w:rsidR="00F802C4" w:rsidRPr="00CD488A" w14:paraId="0B95620E" w14:textId="77777777" w:rsidTr="00F802C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686" w:type="dxa"/>
            <w:hideMark/>
          </w:tcPr>
          <w:p w14:paraId="1D51487A" w14:textId="77777777" w:rsidR="00F802C4" w:rsidRPr="00CD488A" w:rsidRDefault="00F802C4" w:rsidP="00D563AD">
            <w:pPr>
              <w:pStyle w:val="NormalWeb"/>
              <w:rPr>
                <w:sz w:val="18"/>
                <w:szCs w:val="18"/>
              </w:rPr>
            </w:pPr>
            <w:r w:rsidRPr="00CD488A">
              <w:rPr>
                <w:sz w:val="18"/>
                <w:szCs w:val="18"/>
              </w:rPr>
              <w:t>Other health conditions</w:t>
            </w:r>
          </w:p>
        </w:tc>
        <w:tc>
          <w:tcPr>
            <w:tcW w:w="2487" w:type="dxa"/>
            <w:hideMark/>
          </w:tcPr>
          <w:p w14:paraId="52562AFD" w14:textId="77777777" w:rsidR="00F802C4" w:rsidRPr="00CD488A" w:rsidRDefault="00F802C4" w:rsidP="00D563AD">
            <w:pPr>
              <w:pStyle w:val="NormalWeb"/>
              <w:jc w:val="center"/>
              <w:rPr>
                <w:sz w:val="18"/>
                <w:szCs w:val="18"/>
              </w:rPr>
            </w:pPr>
            <w:r w:rsidRPr="00CD488A">
              <w:rPr>
                <w:sz w:val="18"/>
                <w:szCs w:val="18"/>
              </w:rPr>
              <w:t>15 (75)</w:t>
            </w:r>
          </w:p>
        </w:tc>
        <w:tc>
          <w:tcPr>
            <w:tcW w:w="2341" w:type="dxa"/>
            <w:hideMark/>
          </w:tcPr>
          <w:p w14:paraId="4EBC0E5E" w14:textId="77777777" w:rsidR="00F802C4" w:rsidRPr="00CD488A" w:rsidRDefault="00F802C4" w:rsidP="00D563AD">
            <w:pPr>
              <w:pStyle w:val="NormalWeb"/>
              <w:jc w:val="center"/>
              <w:rPr>
                <w:sz w:val="18"/>
                <w:szCs w:val="18"/>
              </w:rPr>
            </w:pPr>
            <w:r w:rsidRPr="00CD488A">
              <w:rPr>
                <w:sz w:val="18"/>
                <w:szCs w:val="18"/>
              </w:rPr>
              <w:t>22 (81)</w:t>
            </w:r>
          </w:p>
        </w:tc>
        <w:tc>
          <w:tcPr>
            <w:tcW w:w="1926" w:type="dxa"/>
            <w:hideMark/>
          </w:tcPr>
          <w:p w14:paraId="1F7FF98D" w14:textId="77777777" w:rsidR="00F802C4" w:rsidRPr="00CD488A" w:rsidRDefault="00F802C4" w:rsidP="00D563AD">
            <w:pPr>
              <w:pStyle w:val="NormalWeb"/>
              <w:jc w:val="center"/>
              <w:rPr>
                <w:sz w:val="18"/>
                <w:szCs w:val="18"/>
              </w:rPr>
            </w:pPr>
            <w:r w:rsidRPr="00CD488A">
              <w:rPr>
                <w:sz w:val="18"/>
                <w:szCs w:val="18"/>
              </w:rPr>
              <w:t>37 (79)</w:t>
            </w:r>
          </w:p>
        </w:tc>
      </w:tr>
      <w:tr w:rsidR="00F802C4" w:rsidRPr="00D12683" w14:paraId="09BA6819" w14:textId="77777777" w:rsidTr="00F802C4">
        <w:tblPrEx>
          <w:tblCellMar>
            <w:top w:w="57" w:type="dxa"/>
            <w:left w:w="57" w:type="dxa"/>
            <w:bottom w:w="57" w:type="dxa"/>
            <w:right w:w="57" w:type="dxa"/>
          </w:tblCellMar>
        </w:tblPrEx>
        <w:tc>
          <w:tcPr>
            <w:tcW w:w="3686" w:type="dxa"/>
            <w:shd w:val="clear" w:color="auto" w:fill="E0C198"/>
            <w:hideMark/>
          </w:tcPr>
          <w:p w14:paraId="7CDF5FAA" w14:textId="77777777" w:rsidR="00F802C4" w:rsidRPr="00D12683" w:rsidRDefault="00F802C4" w:rsidP="00D563AD">
            <w:pPr>
              <w:pStyle w:val="NormalWeb"/>
              <w:rPr>
                <w:b/>
                <w:bCs/>
                <w:sz w:val="18"/>
                <w:szCs w:val="18"/>
              </w:rPr>
            </w:pPr>
            <w:proofErr w:type="spellStart"/>
            <w:r w:rsidRPr="00D12683">
              <w:rPr>
                <w:b/>
                <w:bCs/>
                <w:sz w:val="18"/>
                <w:szCs w:val="18"/>
              </w:rPr>
              <w:t>Diagnostic</w:t>
            </w:r>
            <w:r w:rsidRPr="00D12683">
              <w:rPr>
                <w:b/>
                <w:bCs/>
                <w:sz w:val="18"/>
                <w:szCs w:val="18"/>
                <w:vertAlign w:val="superscript"/>
              </w:rPr>
              <w:t>b</w:t>
            </w:r>
            <w:proofErr w:type="spellEnd"/>
          </w:p>
        </w:tc>
        <w:tc>
          <w:tcPr>
            <w:tcW w:w="2487" w:type="dxa"/>
            <w:shd w:val="clear" w:color="auto" w:fill="E0C198"/>
            <w:hideMark/>
          </w:tcPr>
          <w:p w14:paraId="2065FFE2" w14:textId="77777777" w:rsidR="00F802C4" w:rsidRPr="00D12683" w:rsidRDefault="00F802C4" w:rsidP="00D563AD">
            <w:pPr>
              <w:jc w:val="center"/>
              <w:rPr>
                <w:b/>
                <w:bCs/>
                <w:sz w:val="18"/>
                <w:szCs w:val="18"/>
              </w:rPr>
            </w:pPr>
          </w:p>
        </w:tc>
        <w:tc>
          <w:tcPr>
            <w:tcW w:w="2341" w:type="dxa"/>
            <w:shd w:val="clear" w:color="auto" w:fill="E0C198"/>
            <w:hideMark/>
          </w:tcPr>
          <w:p w14:paraId="04165626" w14:textId="77777777" w:rsidR="00F802C4" w:rsidRPr="00D12683" w:rsidRDefault="00F802C4" w:rsidP="00D563AD">
            <w:pPr>
              <w:jc w:val="center"/>
              <w:rPr>
                <w:rFonts w:eastAsia="Times New Roman"/>
                <w:b/>
                <w:bCs/>
                <w:sz w:val="18"/>
                <w:szCs w:val="18"/>
              </w:rPr>
            </w:pPr>
          </w:p>
        </w:tc>
        <w:tc>
          <w:tcPr>
            <w:tcW w:w="1926" w:type="dxa"/>
            <w:shd w:val="clear" w:color="auto" w:fill="E0C198"/>
            <w:hideMark/>
          </w:tcPr>
          <w:p w14:paraId="67F3A97F" w14:textId="77777777" w:rsidR="00F802C4" w:rsidRPr="00D12683" w:rsidRDefault="00F802C4" w:rsidP="00D563AD">
            <w:pPr>
              <w:jc w:val="center"/>
              <w:rPr>
                <w:rFonts w:eastAsia="Times New Roman"/>
                <w:b/>
                <w:bCs/>
                <w:sz w:val="18"/>
                <w:szCs w:val="18"/>
              </w:rPr>
            </w:pPr>
          </w:p>
        </w:tc>
      </w:tr>
      <w:tr w:rsidR="00F802C4" w:rsidRPr="00CD488A" w14:paraId="636AC72B" w14:textId="77777777" w:rsidTr="00F802C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686" w:type="dxa"/>
            <w:hideMark/>
          </w:tcPr>
          <w:p w14:paraId="4F383D54" w14:textId="77777777" w:rsidR="00F802C4" w:rsidRPr="00CD488A" w:rsidRDefault="00F802C4" w:rsidP="00D563AD">
            <w:pPr>
              <w:pStyle w:val="NormalWeb"/>
              <w:rPr>
                <w:sz w:val="18"/>
                <w:szCs w:val="18"/>
              </w:rPr>
            </w:pPr>
            <w:r w:rsidRPr="00CD488A">
              <w:rPr>
                <w:sz w:val="18"/>
                <w:szCs w:val="18"/>
              </w:rPr>
              <w:t>Acute serology</w:t>
            </w:r>
          </w:p>
        </w:tc>
        <w:tc>
          <w:tcPr>
            <w:tcW w:w="2487" w:type="dxa"/>
            <w:hideMark/>
          </w:tcPr>
          <w:p w14:paraId="3B95ACD6" w14:textId="77777777" w:rsidR="00F802C4" w:rsidRPr="00CD488A" w:rsidRDefault="00F802C4" w:rsidP="00D563AD">
            <w:pPr>
              <w:pStyle w:val="NormalWeb"/>
              <w:jc w:val="center"/>
              <w:rPr>
                <w:sz w:val="18"/>
                <w:szCs w:val="18"/>
              </w:rPr>
            </w:pPr>
            <w:r w:rsidRPr="00CD488A">
              <w:rPr>
                <w:sz w:val="18"/>
                <w:szCs w:val="18"/>
              </w:rPr>
              <w:t>10 (83)</w:t>
            </w:r>
          </w:p>
        </w:tc>
        <w:tc>
          <w:tcPr>
            <w:tcW w:w="2341" w:type="dxa"/>
            <w:hideMark/>
          </w:tcPr>
          <w:p w14:paraId="7814681A" w14:textId="77777777" w:rsidR="00F802C4" w:rsidRPr="00CD488A" w:rsidRDefault="00F802C4" w:rsidP="00D563AD">
            <w:pPr>
              <w:pStyle w:val="NormalWeb"/>
              <w:jc w:val="center"/>
              <w:rPr>
                <w:sz w:val="18"/>
                <w:szCs w:val="18"/>
              </w:rPr>
            </w:pPr>
            <w:r w:rsidRPr="00CD488A">
              <w:rPr>
                <w:sz w:val="18"/>
                <w:szCs w:val="18"/>
              </w:rPr>
              <w:t>19 (68)</w:t>
            </w:r>
          </w:p>
        </w:tc>
        <w:tc>
          <w:tcPr>
            <w:tcW w:w="1926" w:type="dxa"/>
            <w:hideMark/>
          </w:tcPr>
          <w:p w14:paraId="41EAAFE5" w14:textId="77777777" w:rsidR="00F802C4" w:rsidRPr="00CD488A" w:rsidRDefault="00F802C4" w:rsidP="00D563AD">
            <w:pPr>
              <w:pStyle w:val="NormalWeb"/>
              <w:jc w:val="center"/>
              <w:rPr>
                <w:sz w:val="18"/>
                <w:szCs w:val="18"/>
              </w:rPr>
            </w:pPr>
            <w:r w:rsidRPr="00CD488A">
              <w:rPr>
                <w:sz w:val="18"/>
                <w:szCs w:val="18"/>
              </w:rPr>
              <w:t>29 (66)</w:t>
            </w:r>
          </w:p>
        </w:tc>
      </w:tr>
      <w:tr w:rsidR="00F802C4" w:rsidRPr="00CD488A" w14:paraId="7CE7A4FE" w14:textId="77777777" w:rsidTr="00F802C4">
        <w:tblPrEx>
          <w:tblCellMar>
            <w:top w:w="57" w:type="dxa"/>
            <w:left w:w="57" w:type="dxa"/>
            <w:bottom w:w="57" w:type="dxa"/>
            <w:right w:w="57" w:type="dxa"/>
          </w:tblCellMar>
        </w:tblPrEx>
        <w:tc>
          <w:tcPr>
            <w:tcW w:w="3686" w:type="dxa"/>
            <w:hideMark/>
          </w:tcPr>
          <w:p w14:paraId="1267BACE" w14:textId="77777777" w:rsidR="00F802C4" w:rsidRPr="00CD488A" w:rsidRDefault="00F802C4" w:rsidP="00D563AD">
            <w:pPr>
              <w:pStyle w:val="NormalWeb"/>
              <w:rPr>
                <w:sz w:val="18"/>
                <w:szCs w:val="18"/>
              </w:rPr>
            </w:pPr>
            <w:r w:rsidRPr="00CD488A">
              <w:rPr>
                <w:sz w:val="18"/>
                <w:szCs w:val="18"/>
              </w:rPr>
              <w:t>Convalescent serology</w:t>
            </w:r>
          </w:p>
        </w:tc>
        <w:tc>
          <w:tcPr>
            <w:tcW w:w="2487" w:type="dxa"/>
            <w:hideMark/>
          </w:tcPr>
          <w:p w14:paraId="30761FD1" w14:textId="77777777" w:rsidR="00F802C4" w:rsidRPr="00CD488A" w:rsidRDefault="00F802C4" w:rsidP="00D563AD">
            <w:pPr>
              <w:pStyle w:val="NormalWeb"/>
              <w:jc w:val="center"/>
              <w:rPr>
                <w:sz w:val="18"/>
                <w:szCs w:val="18"/>
              </w:rPr>
            </w:pPr>
            <w:r w:rsidRPr="00CD488A">
              <w:rPr>
                <w:sz w:val="18"/>
                <w:szCs w:val="18"/>
              </w:rPr>
              <w:t>2 (17)</w:t>
            </w:r>
          </w:p>
        </w:tc>
        <w:tc>
          <w:tcPr>
            <w:tcW w:w="2341" w:type="dxa"/>
            <w:hideMark/>
          </w:tcPr>
          <w:p w14:paraId="3EAF6A7F" w14:textId="77777777" w:rsidR="00F802C4" w:rsidRPr="00CD488A" w:rsidRDefault="00F802C4" w:rsidP="00D563AD">
            <w:pPr>
              <w:pStyle w:val="NormalWeb"/>
              <w:jc w:val="center"/>
              <w:rPr>
                <w:sz w:val="18"/>
                <w:szCs w:val="18"/>
              </w:rPr>
            </w:pPr>
            <w:r w:rsidRPr="00CD488A">
              <w:rPr>
                <w:sz w:val="18"/>
                <w:szCs w:val="18"/>
              </w:rPr>
              <w:t>9 (32)</w:t>
            </w:r>
          </w:p>
        </w:tc>
        <w:tc>
          <w:tcPr>
            <w:tcW w:w="1926" w:type="dxa"/>
            <w:hideMark/>
          </w:tcPr>
          <w:p w14:paraId="6A954E3F" w14:textId="77777777" w:rsidR="00F802C4" w:rsidRPr="00CD488A" w:rsidRDefault="00F802C4" w:rsidP="00D563AD">
            <w:pPr>
              <w:pStyle w:val="NormalWeb"/>
              <w:jc w:val="center"/>
              <w:rPr>
                <w:sz w:val="18"/>
                <w:szCs w:val="18"/>
              </w:rPr>
            </w:pPr>
            <w:r w:rsidRPr="00CD488A">
              <w:rPr>
                <w:sz w:val="18"/>
                <w:szCs w:val="18"/>
              </w:rPr>
              <w:t>11 (41)</w:t>
            </w:r>
          </w:p>
        </w:tc>
      </w:tr>
      <w:tr w:rsidR="00F802C4" w:rsidRPr="00CD488A" w14:paraId="34518F12" w14:textId="77777777" w:rsidTr="00F802C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686" w:type="dxa"/>
            <w:hideMark/>
          </w:tcPr>
          <w:p w14:paraId="5DB1A9DE" w14:textId="77777777" w:rsidR="00F802C4" w:rsidRPr="00CD488A" w:rsidRDefault="00F802C4" w:rsidP="00D563AD">
            <w:pPr>
              <w:pStyle w:val="NormalWeb"/>
              <w:rPr>
                <w:sz w:val="18"/>
                <w:szCs w:val="18"/>
              </w:rPr>
            </w:pPr>
            <w:r w:rsidRPr="00CD488A">
              <w:rPr>
                <w:sz w:val="18"/>
                <w:szCs w:val="18"/>
              </w:rPr>
              <w:t>NAAT positive</w:t>
            </w:r>
          </w:p>
        </w:tc>
        <w:tc>
          <w:tcPr>
            <w:tcW w:w="2487" w:type="dxa"/>
            <w:hideMark/>
          </w:tcPr>
          <w:p w14:paraId="03CEA4C2" w14:textId="77777777" w:rsidR="00F802C4" w:rsidRPr="00CD488A" w:rsidRDefault="00F802C4" w:rsidP="00D563AD">
            <w:pPr>
              <w:pStyle w:val="NormalWeb"/>
              <w:jc w:val="center"/>
              <w:rPr>
                <w:sz w:val="18"/>
                <w:szCs w:val="18"/>
              </w:rPr>
            </w:pPr>
            <w:r w:rsidRPr="00CD488A">
              <w:rPr>
                <w:sz w:val="18"/>
                <w:szCs w:val="18"/>
              </w:rPr>
              <w:t>4 (80)</w:t>
            </w:r>
          </w:p>
        </w:tc>
        <w:tc>
          <w:tcPr>
            <w:tcW w:w="2341" w:type="dxa"/>
            <w:hideMark/>
          </w:tcPr>
          <w:p w14:paraId="29936AAA" w14:textId="77777777" w:rsidR="00F802C4" w:rsidRPr="00CD488A" w:rsidRDefault="00F802C4" w:rsidP="00D563AD">
            <w:pPr>
              <w:pStyle w:val="NormalWeb"/>
              <w:jc w:val="center"/>
              <w:rPr>
                <w:sz w:val="18"/>
                <w:szCs w:val="18"/>
              </w:rPr>
            </w:pPr>
            <w:r w:rsidRPr="00CD488A">
              <w:rPr>
                <w:sz w:val="18"/>
                <w:szCs w:val="18"/>
              </w:rPr>
              <w:t>3 (50)</w:t>
            </w:r>
          </w:p>
        </w:tc>
        <w:tc>
          <w:tcPr>
            <w:tcW w:w="1926" w:type="dxa"/>
            <w:hideMark/>
          </w:tcPr>
          <w:p w14:paraId="176FBA7A" w14:textId="77777777" w:rsidR="00F802C4" w:rsidRPr="00CD488A" w:rsidRDefault="00F802C4" w:rsidP="00D563AD">
            <w:pPr>
              <w:pStyle w:val="NormalWeb"/>
              <w:jc w:val="center"/>
              <w:rPr>
                <w:sz w:val="18"/>
                <w:szCs w:val="18"/>
              </w:rPr>
            </w:pPr>
            <w:r w:rsidRPr="00CD488A">
              <w:rPr>
                <w:sz w:val="18"/>
                <w:szCs w:val="18"/>
              </w:rPr>
              <w:t>7 (64)</w:t>
            </w:r>
          </w:p>
        </w:tc>
      </w:tr>
      <w:tr w:rsidR="00F802C4" w:rsidRPr="00CD488A" w14:paraId="2C707C46" w14:textId="77777777" w:rsidTr="00F802C4">
        <w:tblPrEx>
          <w:tblCellMar>
            <w:top w:w="57" w:type="dxa"/>
            <w:left w:w="57" w:type="dxa"/>
            <w:bottom w:w="57" w:type="dxa"/>
            <w:right w:w="57" w:type="dxa"/>
          </w:tblCellMar>
        </w:tblPrEx>
        <w:tc>
          <w:tcPr>
            <w:tcW w:w="3686" w:type="dxa"/>
            <w:hideMark/>
          </w:tcPr>
          <w:p w14:paraId="37EA7A95" w14:textId="77777777" w:rsidR="00F802C4" w:rsidRPr="00CD488A" w:rsidRDefault="00F802C4" w:rsidP="00D563AD">
            <w:pPr>
              <w:pStyle w:val="NormalWeb"/>
              <w:rPr>
                <w:sz w:val="18"/>
                <w:szCs w:val="18"/>
              </w:rPr>
            </w:pPr>
            <w:r w:rsidRPr="00CD488A">
              <w:rPr>
                <w:sz w:val="18"/>
                <w:szCs w:val="18"/>
              </w:rPr>
              <w:t>NAAT negative</w:t>
            </w:r>
          </w:p>
        </w:tc>
        <w:tc>
          <w:tcPr>
            <w:tcW w:w="2487" w:type="dxa"/>
            <w:hideMark/>
          </w:tcPr>
          <w:p w14:paraId="396D8630" w14:textId="77777777" w:rsidR="00F802C4" w:rsidRPr="00CD488A" w:rsidRDefault="00F802C4" w:rsidP="00D563AD">
            <w:pPr>
              <w:pStyle w:val="NormalWeb"/>
              <w:jc w:val="center"/>
              <w:rPr>
                <w:sz w:val="18"/>
                <w:szCs w:val="18"/>
              </w:rPr>
            </w:pPr>
            <w:r w:rsidRPr="00CD488A">
              <w:rPr>
                <w:sz w:val="18"/>
                <w:szCs w:val="18"/>
              </w:rPr>
              <w:t>1 (20)</w:t>
            </w:r>
          </w:p>
        </w:tc>
        <w:tc>
          <w:tcPr>
            <w:tcW w:w="2341" w:type="dxa"/>
            <w:hideMark/>
          </w:tcPr>
          <w:p w14:paraId="39C1B408" w14:textId="77777777" w:rsidR="00F802C4" w:rsidRPr="00CD488A" w:rsidRDefault="00F802C4" w:rsidP="00D563AD">
            <w:pPr>
              <w:pStyle w:val="NormalWeb"/>
              <w:jc w:val="center"/>
              <w:rPr>
                <w:sz w:val="18"/>
                <w:szCs w:val="18"/>
              </w:rPr>
            </w:pPr>
            <w:r w:rsidRPr="00CD488A">
              <w:rPr>
                <w:sz w:val="18"/>
                <w:szCs w:val="18"/>
              </w:rPr>
              <w:t>3 (50)</w:t>
            </w:r>
          </w:p>
        </w:tc>
        <w:tc>
          <w:tcPr>
            <w:tcW w:w="1926" w:type="dxa"/>
            <w:hideMark/>
          </w:tcPr>
          <w:p w14:paraId="57247384" w14:textId="77777777" w:rsidR="00F802C4" w:rsidRPr="00CD488A" w:rsidRDefault="00F802C4" w:rsidP="00D563AD">
            <w:pPr>
              <w:pStyle w:val="NormalWeb"/>
              <w:jc w:val="center"/>
              <w:rPr>
                <w:sz w:val="18"/>
                <w:szCs w:val="18"/>
              </w:rPr>
            </w:pPr>
            <w:r w:rsidRPr="00CD488A">
              <w:rPr>
                <w:sz w:val="18"/>
                <w:szCs w:val="18"/>
              </w:rPr>
              <w:t>4 (36)</w:t>
            </w:r>
          </w:p>
        </w:tc>
      </w:tr>
      <w:tr w:rsidR="00F802C4" w:rsidRPr="00CD488A" w14:paraId="497E6A81" w14:textId="77777777" w:rsidTr="00F802C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686" w:type="dxa"/>
            <w:hideMark/>
          </w:tcPr>
          <w:p w14:paraId="725C63CA" w14:textId="77777777" w:rsidR="00F802C4" w:rsidRPr="00CD488A" w:rsidRDefault="00F802C4" w:rsidP="00D563AD">
            <w:pPr>
              <w:pStyle w:val="NormalWeb"/>
              <w:rPr>
                <w:sz w:val="18"/>
                <w:szCs w:val="18"/>
              </w:rPr>
            </w:pPr>
            <w:r w:rsidRPr="00CD488A">
              <w:rPr>
                <w:sz w:val="18"/>
                <w:szCs w:val="18"/>
              </w:rPr>
              <w:t>Urine antigen positive</w:t>
            </w:r>
          </w:p>
        </w:tc>
        <w:tc>
          <w:tcPr>
            <w:tcW w:w="2487" w:type="dxa"/>
            <w:hideMark/>
          </w:tcPr>
          <w:p w14:paraId="5D6D3ED5" w14:textId="77777777" w:rsidR="00F802C4" w:rsidRPr="00CD488A" w:rsidRDefault="00F802C4" w:rsidP="00D563AD">
            <w:pPr>
              <w:pStyle w:val="NormalWeb"/>
              <w:jc w:val="center"/>
              <w:rPr>
                <w:sz w:val="18"/>
                <w:szCs w:val="18"/>
              </w:rPr>
            </w:pPr>
            <w:r w:rsidRPr="00CD488A">
              <w:rPr>
                <w:sz w:val="18"/>
                <w:szCs w:val="18"/>
              </w:rPr>
              <w:t>8 (50)</w:t>
            </w:r>
          </w:p>
        </w:tc>
        <w:tc>
          <w:tcPr>
            <w:tcW w:w="2341" w:type="dxa"/>
            <w:hideMark/>
          </w:tcPr>
          <w:p w14:paraId="4310545C" w14:textId="77777777" w:rsidR="00F802C4" w:rsidRPr="00CD488A" w:rsidRDefault="00F802C4" w:rsidP="00D563AD">
            <w:pPr>
              <w:pStyle w:val="NormalWeb"/>
              <w:jc w:val="center"/>
              <w:rPr>
                <w:sz w:val="18"/>
                <w:szCs w:val="18"/>
              </w:rPr>
            </w:pPr>
            <w:proofErr w:type="spellStart"/>
            <w:r w:rsidRPr="00CD488A">
              <w:rPr>
                <w:sz w:val="18"/>
                <w:szCs w:val="18"/>
              </w:rPr>
              <w:t>NA</w:t>
            </w:r>
            <w:r w:rsidRPr="00C558E5">
              <w:rPr>
                <w:sz w:val="18"/>
                <w:szCs w:val="18"/>
                <w:vertAlign w:val="superscript"/>
              </w:rPr>
              <w:t>c</w:t>
            </w:r>
            <w:proofErr w:type="spellEnd"/>
          </w:p>
        </w:tc>
        <w:tc>
          <w:tcPr>
            <w:tcW w:w="1926" w:type="dxa"/>
            <w:hideMark/>
          </w:tcPr>
          <w:p w14:paraId="6481253C" w14:textId="77777777" w:rsidR="00F802C4" w:rsidRPr="00CD488A" w:rsidRDefault="00F802C4" w:rsidP="00D563AD">
            <w:pPr>
              <w:jc w:val="center"/>
              <w:rPr>
                <w:sz w:val="18"/>
                <w:szCs w:val="18"/>
              </w:rPr>
            </w:pPr>
          </w:p>
        </w:tc>
      </w:tr>
      <w:tr w:rsidR="00F802C4" w:rsidRPr="00CD488A" w14:paraId="3AF5099E" w14:textId="77777777" w:rsidTr="00F802C4">
        <w:tblPrEx>
          <w:tblCellMar>
            <w:top w:w="57" w:type="dxa"/>
            <w:left w:w="57" w:type="dxa"/>
            <w:bottom w:w="57" w:type="dxa"/>
            <w:right w:w="57" w:type="dxa"/>
          </w:tblCellMar>
        </w:tblPrEx>
        <w:tc>
          <w:tcPr>
            <w:tcW w:w="3686" w:type="dxa"/>
            <w:hideMark/>
          </w:tcPr>
          <w:p w14:paraId="11C8AC6F" w14:textId="77777777" w:rsidR="00F802C4" w:rsidRPr="00CD488A" w:rsidRDefault="00F802C4" w:rsidP="00D563AD">
            <w:pPr>
              <w:pStyle w:val="NormalWeb"/>
              <w:rPr>
                <w:sz w:val="18"/>
                <w:szCs w:val="18"/>
              </w:rPr>
            </w:pPr>
            <w:r w:rsidRPr="00CD488A">
              <w:rPr>
                <w:sz w:val="18"/>
                <w:szCs w:val="18"/>
              </w:rPr>
              <w:t>Urine antigen negative</w:t>
            </w:r>
          </w:p>
        </w:tc>
        <w:tc>
          <w:tcPr>
            <w:tcW w:w="2487" w:type="dxa"/>
            <w:hideMark/>
          </w:tcPr>
          <w:p w14:paraId="5A8BE26F" w14:textId="77777777" w:rsidR="00F802C4" w:rsidRPr="00CD488A" w:rsidRDefault="00F802C4" w:rsidP="00D563AD">
            <w:pPr>
              <w:pStyle w:val="NormalWeb"/>
              <w:jc w:val="center"/>
              <w:rPr>
                <w:sz w:val="18"/>
                <w:szCs w:val="18"/>
              </w:rPr>
            </w:pPr>
            <w:r w:rsidRPr="00CD488A">
              <w:rPr>
                <w:sz w:val="18"/>
                <w:szCs w:val="18"/>
              </w:rPr>
              <w:t>8 (50)</w:t>
            </w:r>
          </w:p>
        </w:tc>
        <w:tc>
          <w:tcPr>
            <w:tcW w:w="2341" w:type="dxa"/>
            <w:hideMark/>
          </w:tcPr>
          <w:p w14:paraId="437A9A6F" w14:textId="77777777" w:rsidR="00F802C4" w:rsidRPr="00CD488A" w:rsidRDefault="00F802C4" w:rsidP="00D563AD">
            <w:pPr>
              <w:pStyle w:val="NormalWeb"/>
              <w:jc w:val="center"/>
              <w:rPr>
                <w:sz w:val="18"/>
                <w:szCs w:val="18"/>
              </w:rPr>
            </w:pPr>
            <w:proofErr w:type="spellStart"/>
            <w:r w:rsidRPr="00CD488A">
              <w:rPr>
                <w:sz w:val="18"/>
                <w:szCs w:val="18"/>
              </w:rPr>
              <w:t>NA</w:t>
            </w:r>
            <w:r w:rsidRPr="00C558E5">
              <w:rPr>
                <w:sz w:val="18"/>
                <w:szCs w:val="18"/>
                <w:vertAlign w:val="superscript"/>
              </w:rPr>
              <w:t>c</w:t>
            </w:r>
            <w:proofErr w:type="spellEnd"/>
          </w:p>
        </w:tc>
        <w:tc>
          <w:tcPr>
            <w:tcW w:w="1926" w:type="dxa"/>
            <w:hideMark/>
          </w:tcPr>
          <w:p w14:paraId="5183738F" w14:textId="77777777" w:rsidR="00F802C4" w:rsidRPr="00CD488A" w:rsidRDefault="00F802C4" w:rsidP="00D563AD">
            <w:pPr>
              <w:jc w:val="center"/>
              <w:rPr>
                <w:sz w:val="18"/>
                <w:szCs w:val="18"/>
              </w:rPr>
            </w:pPr>
          </w:p>
        </w:tc>
      </w:tr>
      <w:tr w:rsidR="00F802C4" w:rsidRPr="00D12683" w14:paraId="3CD2F578" w14:textId="77777777" w:rsidTr="00F802C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686" w:type="dxa"/>
            <w:shd w:val="clear" w:color="auto" w:fill="E0C198"/>
            <w:hideMark/>
          </w:tcPr>
          <w:p w14:paraId="657ED5FA" w14:textId="77777777" w:rsidR="00F802C4" w:rsidRPr="00D12683" w:rsidRDefault="00F802C4" w:rsidP="00D563AD">
            <w:pPr>
              <w:pStyle w:val="NormalWeb"/>
              <w:rPr>
                <w:b/>
                <w:bCs/>
                <w:sz w:val="18"/>
                <w:szCs w:val="18"/>
              </w:rPr>
            </w:pPr>
            <w:proofErr w:type="spellStart"/>
            <w:r w:rsidRPr="00D12683">
              <w:rPr>
                <w:b/>
                <w:bCs/>
                <w:sz w:val="18"/>
                <w:szCs w:val="18"/>
              </w:rPr>
              <w:t>Clinical</w:t>
            </w:r>
            <w:r w:rsidRPr="00D12683">
              <w:rPr>
                <w:b/>
                <w:bCs/>
                <w:sz w:val="18"/>
                <w:szCs w:val="18"/>
                <w:vertAlign w:val="superscript"/>
              </w:rPr>
              <w:t>d</w:t>
            </w:r>
            <w:proofErr w:type="spellEnd"/>
          </w:p>
        </w:tc>
        <w:tc>
          <w:tcPr>
            <w:tcW w:w="2487" w:type="dxa"/>
            <w:shd w:val="clear" w:color="auto" w:fill="E0C198"/>
            <w:hideMark/>
          </w:tcPr>
          <w:p w14:paraId="4DE3C105" w14:textId="77777777" w:rsidR="00F802C4" w:rsidRPr="00D12683" w:rsidRDefault="00F802C4" w:rsidP="00D563AD">
            <w:pPr>
              <w:jc w:val="center"/>
              <w:rPr>
                <w:b/>
                <w:bCs/>
                <w:sz w:val="18"/>
                <w:szCs w:val="18"/>
              </w:rPr>
            </w:pPr>
          </w:p>
        </w:tc>
        <w:tc>
          <w:tcPr>
            <w:tcW w:w="2341" w:type="dxa"/>
            <w:shd w:val="clear" w:color="auto" w:fill="E0C198"/>
            <w:hideMark/>
          </w:tcPr>
          <w:p w14:paraId="3570B78E" w14:textId="77777777" w:rsidR="00F802C4" w:rsidRPr="00D12683" w:rsidRDefault="00F802C4" w:rsidP="00D563AD">
            <w:pPr>
              <w:jc w:val="center"/>
              <w:rPr>
                <w:rFonts w:eastAsia="Times New Roman"/>
                <w:b/>
                <w:bCs/>
                <w:sz w:val="18"/>
                <w:szCs w:val="18"/>
              </w:rPr>
            </w:pPr>
          </w:p>
        </w:tc>
        <w:tc>
          <w:tcPr>
            <w:tcW w:w="1926" w:type="dxa"/>
            <w:shd w:val="clear" w:color="auto" w:fill="E0C198"/>
            <w:hideMark/>
          </w:tcPr>
          <w:p w14:paraId="403E9B27" w14:textId="77777777" w:rsidR="00F802C4" w:rsidRPr="00D12683" w:rsidRDefault="00F802C4" w:rsidP="00D563AD">
            <w:pPr>
              <w:jc w:val="center"/>
              <w:rPr>
                <w:rFonts w:eastAsia="Times New Roman"/>
                <w:b/>
                <w:bCs/>
                <w:sz w:val="18"/>
                <w:szCs w:val="18"/>
              </w:rPr>
            </w:pPr>
          </w:p>
        </w:tc>
      </w:tr>
      <w:tr w:rsidR="00F802C4" w:rsidRPr="00CD488A" w14:paraId="45491C44" w14:textId="77777777" w:rsidTr="00F802C4">
        <w:tblPrEx>
          <w:tblCellMar>
            <w:top w:w="57" w:type="dxa"/>
            <w:left w:w="57" w:type="dxa"/>
            <w:bottom w:w="57" w:type="dxa"/>
            <w:right w:w="57" w:type="dxa"/>
          </w:tblCellMar>
        </w:tblPrEx>
        <w:tc>
          <w:tcPr>
            <w:tcW w:w="3686" w:type="dxa"/>
            <w:hideMark/>
          </w:tcPr>
          <w:p w14:paraId="041FCF52" w14:textId="77777777" w:rsidR="00F802C4" w:rsidRPr="00CD488A" w:rsidRDefault="00F802C4" w:rsidP="00D563AD">
            <w:pPr>
              <w:pStyle w:val="NormalWeb"/>
              <w:rPr>
                <w:sz w:val="18"/>
                <w:szCs w:val="18"/>
              </w:rPr>
            </w:pPr>
            <w:r w:rsidRPr="00CD488A">
              <w:rPr>
                <w:sz w:val="18"/>
                <w:szCs w:val="18"/>
              </w:rPr>
              <w:t>Hospitalised</w:t>
            </w:r>
          </w:p>
        </w:tc>
        <w:tc>
          <w:tcPr>
            <w:tcW w:w="2487" w:type="dxa"/>
            <w:hideMark/>
          </w:tcPr>
          <w:p w14:paraId="53611E48" w14:textId="77777777" w:rsidR="00F802C4" w:rsidRPr="00CD488A" w:rsidRDefault="00F802C4" w:rsidP="00D563AD">
            <w:pPr>
              <w:pStyle w:val="NormalWeb"/>
              <w:jc w:val="center"/>
              <w:rPr>
                <w:sz w:val="18"/>
                <w:szCs w:val="18"/>
              </w:rPr>
            </w:pPr>
            <w:r w:rsidRPr="00CD488A">
              <w:rPr>
                <w:sz w:val="18"/>
                <w:szCs w:val="18"/>
              </w:rPr>
              <w:t>18 (90)</w:t>
            </w:r>
          </w:p>
        </w:tc>
        <w:tc>
          <w:tcPr>
            <w:tcW w:w="2341" w:type="dxa"/>
            <w:hideMark/>
          </w:tcPr>
          <w:p w14:paraId="4FD3916A" w14:textId="77777777" w:rsidR="00F802C4" w:rsidRPr="00CD488A" w:rsidRDefault="00F802C4" w:rsidP="00D563AD">
            <w:pPr>
              <w:pStyle w:val="NormalWeb"/>
              <w:jc w:val="center"/>
              <w:rPr>
                <w:sz w:val="18"/>
                <w:szCs w:val="18"/>
              </w:rPr>
            </w:pPr>
            <w:r w:rsidRPr="00CD488A">
              <w:rPr>
                <w:sz w:val="18"/>
                <w:szCs w:val="18"/>
              </w:rPr>
              <w:t>24 (96)</w:t>
            </w:r>
          </w:p>
        </w:tc>
        <w:tc>
          <w:tcPr>
            <w:tcW w:w="1926" w:type="dxa"/>
            <w:hideMark/>
          </w:tcPr>
          <w:p w14:paraId="027E6082" w14:textId="77777777" w:rsidR="00F802C4" w:rsidRPr="00CD488A" w:rsidRDefault="00F802C4" w:rsidP="00D563AD">
            <w:pPr>
              <w:pStyle w:val="NormalWeb"/>
              <w:jc w:val="center"/>
              <w:rPr>
                <w:sz w:val="18"/>
                <w:szCs w:val="18"/>
              </w:rPr>
            </w:pPr>
            <w:r w:rsidRPr="00CD488A">
              <w:rPr>
                <w:sz w:val="18"/>
                <w:szCs w:val="18"/>
              </w:rPr>
              <w:t>42 (93)</w:t>
            </w:r>
          </w:p>
        </w:tc>
      </w:tr>
      <w:tr w:rsidR="00F802C4" w:rsidRPr="00CD488A" w14:paraId="7FF43DF5" w14:textId="77777777" w:rsidTr="00F802C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686" w:type="dxa"/>
            <w:hideMark/>
          </w:tcPr>
          <w:p w14:paraId="20CE29A9" w14:textId="77777777" w:rsidR="00F802C4" w:rsidRPr="00CD488A" w:rsidRDefault="00F802C4" w:rsidP="00D563AD">
            <w:pPr>
              <w:pStyle w:val="NormalWeb"/>
              <w:rPr>
                <w:sz w:val="18"/>
                <w:szCs w:val="18"/>
              </w:rPr>
            </w:pPr>
            <w:r w:rsidRPr="00CD488A">
              <w:rPr>
                <w:sz w:val="18"/>
                <w:szCs w:val="18"/>
              </w:rPr>
              <w:t>ICU admission</w:t>
            </w:r>
          </w:p>
        </w:tc>
        <w:tc>
          <w:tcPr>
            <w:tcW w:w="2487" w:type="dxa"/>
            <w:hideMark/>
          </w:tcPr>
          <w:p w14:paraId="2020F16B" w14:textId="77777777" w:rsidR="00F802C4" w:rsidRPr="00CD488A" w:rsidRDefault="00F802C4" w:rsidP="00D563AD">
            <w:pPr>
              <w:pStyle w:val="NormalWeb"/>
              <w:jc w:val="center"/>
              <w:rPr>
                <w:sz w:val="18"/>
                <w:szCs w:val="18"/>
              </w:rPr>
            </w:pPr>
            <w:r w:rsidRPr="00CD488A">
              <w:rPr>
                <w:sz w:val="18"/>
                <w:szCs w:val="18"/>
              </w:rPr>
              <w:t>4 (20)</w:t>
            </w:r>
          </w:p>
        </w:tc>
        <w:tc>
          <w:tcPr>
            <w:tcW w:w="2341" w:type="dxa"/>
            <w:hideMark/>
          </w:tcPr>
          <w:p w14:paraId="2ADA521D" w14:textId="77777777" w:rsidR="00F802C4" w:rsidRPr="00CD488A" w:rsidRDefault="00F802C4" w:rsidP="00D563AD">
            <w:pPr>
              <w:pStyle w:val="NormalWeb"/>
              <w:jc w:val="center"/>
              <w:rPr>
                <w:sz w:val="18"/>
                <w:szCs w:val="18"/>
              </w:rPr>
            </w:pPr>
            <w:r w:rsidRPr="00CD488A">
              <w:rPr>
                <w:sz w:val="18"/>
                <w:szCs w:val="18"/>
              </w:rPr>
              <w:t>9 (36)</w:t>
            </w:r>
          </w:p>
        </w:tc>
        <w:tc>
          <w:tcPr>
            <w:tcW w:w="1926" w:type="dxa"/>
            <w:hideMark/>
          </w:tcPr>
          <w:p w14:paraId="148CFDE0" w14:textId="77777777" w:rsidR="00F802C4" w:rsidRPr="00CD488A" w:rsidRDefault="00F802C4" w:rsidP="00D563AD">
            <w:pPr>
              <w:pStyle w:val="NormalWeb"/>
              <w:jc w:val="center"/>
              <w:rPr>
                <w:sz w:val="18"/>
                <w:szCs w:val="18"/>
              </w:rPr>
            </w:pPr>
            <w:r w:rsidRPr="00CD488A">
              <w:rPr>
                <w:sz w:val="18"/>
                <w:szCs w:val="18"/>
              </w:rPr>
              <w:t>13 (30)</w:t>
            </w:r>
          </w:p>
        </w:tc>
      </w:tr>
      <w:tr w:rsidR="00F802C4" w:rsidRPr="00CD488A" w14:paraId="797100E9" w14:textId="77777777" w:rsidTr="00F802C4">
        <w:tblPrEx>
          <w:tblCellMar>
            <w:top w:w="57" w:type="dxa"/>
            <w:left w:w="57" w:type="dxa"/>
            <w:bottom w:w="57" w:type="dxa"/>
            <w:right w:w="57" w:type="dxa"/>
          </w:tblCellMar>
        </w:tblPrEx>
        <w:tc>
          <w:tcPr>
            <w:tcW w:w="3686" w:type="dxa"/>
            <w:hideMark/>
          </w:tcPr>
          <w:p w14:paraId="57F9DA10" w14:textId="77777777" w:rsidR="00F802C4" w:rsidRPr="00CD488A" w:rsidRDefault="00F802C4" w:rsidP="00D563AD">
            <w:pPr>
              <w:pStyle w:val="NormalWeb"/>
              <w:rPr>
                <w:sz w:val="18"/>
                <w:szCs w:val="18"/>
              </w:rPr>
            </w:pPr>
            <w:r w:rsidRPr="00CD488A">
              <w:rPr>
                <w:sz w:val="18"/>
                <w:szCs w:val="18"/>
              </w:rPr>
              <w:t>Length of stay (days), median (IQR)</w:t>
            </w:r>
          </w:p>
        </w:tc>
        <w:tc>
          <w:tcPr>
            <w:tcW w:w="2487" w:type="dxa"/>
            <w:hideMark/>
          </w:tcPr>
          <w:p w14:paraId="272F6D9B" w14:textId="77777777" w:rsidR="00F802C4" w:rsidRPr="00CD488A" w:rsidRDefault="00F802C4" w:rsidP="00D563AD">
            <w:pPr>
              <w:pStyle w:val="NormalWeb"/>
              <w:jc w:val="center"/>
              <w:rPr>
                <w:sz w:val="18"/>
                <w:szCs w:val="18"/>
              </w:rPr>
            </w:pPr>
            <w:r w:rsidRPr="00CD488A">
              <w:rPr>
                <w:sz w:val="18"/>
                <w:szCs w:val="18"/>
              </w:rPr>
              <w:t>6 (5–10)</w:t>
            </w:r>
          </w:p>
        </w:tc>
        <w:tc>
          <w:tcPr>
            <w:tcW w:w="2341" w:type="dxa"/>
            <w:hideMark/>
          </w:tcPr>
          <w:p w14:paraId="618CAC52" w14:textId="77777777" w:rsidR="00F802C4" w:rsidRPr="00CD488A" w:rsidRDefault="00F802C4" w:rsidP="00D563AD">
            <w:pPr>
              <w:pStyle w:val="NormalWeb"/>
              <w:jc w:val="center"/>
              <w:rPr>
                <w:sz w:val="18"/>
                <w:szCs w:val="18"/>
              </w:rPr>
            </w:pPr>
            <w:r w:rsidRPr="00CD488A">
              <w:rPr>
                <w:sz w:val="18"/>
                <w:szCs w:val="18"/>
              </w:rPr>
              <w:t>6 (4–44)</w:t>
            </w:r>
          </w:p>
        </w:tc>
        <w:tc>
          <w:tcPr>
            <w:tcW w:w="1926" w:type="dxa"/>
            <w:hideMark/>
          </w:tcPr>
          <w:p w14:paraId="6CBBBDE6" w14:textId="77777777" w:rsidR="00F802C4" w:rsidRPr="00CD488A" w:rsidRDefault="00F802C4" w:rsidP="00D563AD">
            <w:pPr>
              <w:jc w:val="center"/>
              <w:rPr>
                <w:sz w:val="18"/>
                <w:szCs w:val="18"/>
              </w:rPr>
            </w:pPr>
          </w:p>
        </w:tc>
      </w:tr>
      <w:tr w:rsidR="00F802C4" w:rsidRPr="00CD488A" w14:paraId="32111634" w14:textId="77777777" w:rsidTr="00F802C4">
        <w:tblPrEx>
          <w:tblCellMar>
            <w:top w:w="57" w:type="dxa"/>
            <w:left w:w="57" w:type="dxa"/>
            <w:bottom w:w="57" w:type="dxa"/>
            <w:right w:w="57" w:type="dxa"/>
          </w:tblCellMar>
        </w:tblPrEx>
        <w:trPr>
          <w:cnfStyle w:val="000000010000" w:firstRow="0" w:lastRow="0" w:firstColumn="0" w:lastColumn="0" w:oddVBand="0" w:evenVBand="0" w:oddHBand="0" w:evenHBand="1" w:firstRowFirstColumn="0" w:firstRowLastColumn="0" w:lastRowFirstColumn="0" w:lastRowLastColumn="0"/>
        </w:trPr>
        <w:tc>
          <w:tcPr>
            <w:tcW w:w="3686" w:type="dxa"/>
            <w:hideMark/>
          </w:tcPr>
          <w:p w14:paraId="7F3CDB42" w14:textId="77777777" w:rsidR="00F802C4" w:rsidRPr="00CD488A" w:rsidRDefault="00F802C4" w:rsidP="00D563AD">
            <w:pPr>
              <w:pStyle w:val="NormalWeb"/>
              <w:rPr>
                <w:sz w:val="18"/>
                <w:szCs w:val="18"/>
              </w:rPr>
            </w:pPr>
            <w:proofErr w:type="gramStart"/>
            <w:r w:rsidRPr="00CD488A">
              <w:rPr>
                <w:sz w:val="18"/>
                <w:szCs w:val="18"/>
              </w:rPr>
              <w:t>30 day</w:t>
            </w:r>
            <w:proofErr w:type="gramEnd"/>
            <w:r w:rsidRPr="00CD488A">
              <w:rPr>
                <w:sz w:val="18"/>
                <w:szCs w:val="18"/>
              </w:rPr>
              <w:t xml:space="preserve"> mortality</w:t>
            </w:r>
          </w:p>
        </w:tc>
        <w:tc>
          <w:tcPr>
            <w:tcW w:w="2487" w:type="dxa"/>
            <w:hideMark/>
          </w:tcPr>
          <w:p w14:paraId="5CB4737A" w14:textId="77777777" w:rsidR="00F802C4" w:rsidRPr="00CD488A" w:rsidRDefault="00F802C4" w:rsidP="00D563AD">
            <w:pPr>
              <w:pStyle w:val="NormalWeb"/>
              <w:jc w:val="center"/>
              <w:rPr>
                <w:sz w:val="18"/>
                <w:szCs w:val="18"/>
              </w:rPr>
            </w:pPr>
            <w:r w:rsidRPr="00CD488A">
              <w:rPr>
                <w:sz w:val="18"/>
                <w:szCs w:val="18"/>
              </w:rPr>
              <w:t>1 (5)</w:t>
            </w:r>
          </w:p>
        </w:tc>
        <w:tc>
          <w:tcPr>
            <w:tcW w:w="2341" w:type="dxa"/>
            <w:hideMark/>
          </w:tcPr>
          <w:p w14:paraId="11BEFCF2" w14:textId="77777777" w:rsidR="00F802C4" w:rsidRPr="00CD488A" w:rsidRDefault="00F802C4" w:rsidP="00D563AD">
            <w:pPr>
              <w:pStyle w:val="NormalWeb"/>
              <w:jc w:val="center"/>
              <w:rPr>
                <w:sz w:val="18"/>
                <w:szCs w:val="18"/>
              </w:rPr>
            </w:pPr>
            <w:r w:rsidRPr="00CD488A">
              <w:rPr>
                <w:sz w:val="18"/>
                <w:szCs w:val="18"/>
              </w:rPr>
              <w:t>1 (4)</w:t>
            </w:r>
          </w:p>
        </w:tc>
        <w:tc>
          <w:tcPr>
            <w:tcW w:w="1926" w:type="dxa"/>
            <w:hideMark/>
          </w:tcPr>
          <w:p w14:paraId="66FA796C" w14:textId="77777777" w:rsidR="00F802C4" w:rsidRPr="00CD488A" w:rsidRDefault="00F802C4" w:rsidP="00D563AD">
            <w:pPr>
              <w:pStyle w:val="NormalWeb"/>
              <w:jc w:val="center"/>
              <w:rPr>
                <w:sz w:val="18"/>
                <w:szCs w:val="18"/>
              </w:rPr>
            </w:pPr>
            <w:r w:rsidRPr="00CD488A">
              <w:rPr>
                <w:sz w:val="18"/>
                <w:szCs w:val="18"/>
              </w:rPr>
              <w:t>2 (4)</w:t>
            </w:r>
          </w:p>
        </w:tc>
      </w:tr>
    </w:tbl>
    <w:p w14:paraId="548D86EE" w14:textId="77777777" w:rsidR="00F802C4" w:rsidRPr="00F802C4" w:rsidRDefault="00F802C4" w:rsidP="00F802C4">
      <w:pPr>
        <w:pStyle w:val="CDIfootnotes"/>
      </w:pPr>
      <w:r w:rsidRPr="00F802C4">
        <w:t>a</w:t>
      </w:r>
      <w:r w:rsidRPr="00F802C4">
        <w:tab/>
        <w:t xml:space="preserve">Comorbidities available for 20/21 </w:t>
      </w:r>
      <w:r w:rsidRPr="00C558E5">
        <w:rPr>
          <w:i/>
          <w:iCs/>
        </w:rPr>
        <w:t>L. pneumophila</w:t>
      </w:r>
      <w:r w:rsidRPr="00F802C4">
        <w:t xml:space="preserve"> and 27/30 </w:t>
      </w:r>
      <w:r w:rsidRPr="00C558E5">
        <w:rPr>
          <w:i/>
          <w:iCs/>
        </w:rPr>
        <w:t xml:space="preserve">L. </w:t>
      </w:r>
      <w:proofErr w:type="spellStart"/>
      <w:r w:rsidRPr="00C558E5">
        <w:rPr>
          <w:i/>
          <w:iCs/>
        </w:rPr>
        <w:t>longbeachae</w:t>
      </w:r>
      <w:proofErr w:type="spellEnd"/>
      <w:r w:rsidRPr="00F802C4">
        <w:t xml:space="preserve"> cases.</w:t>
      </w:r>
    </w:p>
    <w:p w14:paraId="547E4196" w14:textId="77777777" w:rsidR="00F802C4" w:rsidRPr="00F802C4" w:rsidRDefault="00F802C4" w:rsidP="00F802C4">
      <w:pPr>
        <w:pStyle w:val="CDIfootnotes"/>
      </w:pPr>
      <w:r w:rsidRPr="00F802C4">
        <w:t>b</w:t>
      </w:r>
      <w:r w:rsidRPr="00F802C4">
        <w:tab/>
        <w:t xml:space="preserve">Acute and convalescent serology performed on 16/21 and 11/21 </w:t>
      </w:r>
      <w:r w:rsidRPr="00C558E5">
        <w:rPr>
          <w:i/>
          <w:iCs/>
        </w:rPr>
        <w:t>L. pneumophila</w:t>
      </w:r>
      <w:r w:rsidRPr="00F802C4">
        <w:t xml:space="preserve"> and 28/30 and 16/30 </w:t>
      </w:r>
      <w:r w:rsidRPr="00C558E5">
        <w:rPr>
          <w:i/>
          <w:iCs/>
        </w:rPr>
        <w:t xml:space="preserve">L. </w:t>
      </w:r>
      <w:proofErr w:type="spellStart"/>
      <w:r w:rsidRPr="00C558E5">
        <w:rPr>
          <w:i/>
          <w:iCs/>
        </w:rPr>
        <w:t>longbeachae</w:t>
      </w:r>
      <w:proofErr w:type="spellEnd"/>
      <w:r w:rsidRPr="00F802C4">
        <w:t xml:space="preserve"> cases respectively. Nucleic amplification tests (NAAT) performed on 5/21 </w:t>
      </w:r>
      <w:r w:rsidRPr="00C558E5">
        <w:rPr>
          <w:i/>
          <w:iCs/>
        </w:rPr>
        <w:t>L. pneumophila</w:t>
      </w:r>
      <w:r w:rsidRPr="00F802C4">
        <w:t xml:space="preserve"> and 6/30 </w:t>
      </w:r>
      <w:r w:rsidRPr="00C558E5">
        <w:rPr>
          <w:i/>
          <w:iCs/>
        </w:rPr>
        <w:t xml:space="preserve">L. </w:t>
      </w:r>
      <w:proofErr w:type="spellStart"/>
      <w:r w:rsidRPr="00C558E5">
        <w:rPr>
          <w:i/>
          <w:iCs/>
        </w:rPr>
        <w:t>longbeachae</w:t>
      </w:r>
      <w:proofErr w:type="spellEnd"/>
      <w:r w:rsidRPr="00F802C4">
        <w:t xml:space="preserve"> cases.</w:t>
      </w:r>
    </w:p>
    <w:p w14:paraId="0AA6EB44" w14:textId="77777777" w:rsidR="00F802C4" w:rsidRPr="00F802C4" w:rsidRDefault="00F802C4" w:rsidP="00F802C4">
      <w:pPr>
        <w:pStyle w:val="CDIfootnotes"/>
      </w:pPr>
      <w:r w:rsidRPr="00F802C4">
        <w:t>c</w:t>
      </w:r>
      <w:r w:rsidRPr="00F802C4">
        <w:tab/>
        <w:t>NA not applicable.</w:t>
      </w:r>
    </w:p>
    <w:p w14:paraId="5488A834" w14:textId="31F46334" w:rsidR="00F802C4" w:rsidRPr="00F802C4" w:rsidRDefault="00F802C4" w:rsidP="00F802C4">
      <w:pPr>
        <w:pStyle w:val="CDIfootnotes"/>
      </w:pPr>
      <w:r w:rsidRPr="00F802C4">
        <w:t>d</w:t>
      </w:r>
      <w:r w:rsidRPr="00F802C4">
        <w:tab/>
        <w:t xml:space="preserve">Clinical information available on 20/21 </w:t>
      </w:r>
      <w:r w:rsidRPr="00C558E5">
        <w:rPr>
          <w:i/>
          <w:iCs/>
        </w:rPr>
        <w:t>L. pneumophila</w:t>
      </w:r>
      <w:r w:rsidRPr="00F802C4">
        <w:t xml:space="preserve"> and 25/30 </w:t>
      </w:r>
      <w:r w:rsidRPr="00C558E5">
        <w:rPr>
          <w:i/>
          <w:iCs/>
        </w:rPr>
        <w:t xml:space="preserve">L. </w:t>
      </w:r>
      <w:proofErr w:type="spellStart"/>
      <w:r w:rsidRPr="00C558E5">
        <w:rPr>
          <w:i/>
          <w:iCs/>
        </w:rPr>
        <w:t>longbeachae</w:t>
      </w:r>
      <w:proofErr w:type="spellEnd"/>
      <w:r w:rsidRPr="00F802C4">
        <w:t xml:space="preserve"> cases.</w:t>
      </w:r>
    </w:p>
    <w:p w14:paraId="6D0D48C1" w14:textId="11285D1C" w:rsidR="00A34097" w:rsidRPr="00A34097" w:rsidRDefault="00A34097" w:rsidP="00A34097">
      <w:pPr>
        <w:pStyle w:val="Heading1"/>
      </w:pPr>
      <w:r w:rsidRPr="00A34097">
        <w:t>Discussion</w:t>
      </w:r>
    </w:p>
    <w:p w14:paraId="31AD0DA6" w14:textId="77777777" w:rsidR="00A34097" w:rsidRDefault="00A34097" w:rsidP="00A34097">
      <w:r>
        <w:t xml:space="preserve">Our study of legionellosis in the NT noted differences in the disease incidence when compared to overall incidence in Australia. Australia has a national incidence of legionella infection of 1.5 per 100,000 population per year. </w:t>
      </w:r>
      <w:r>
        <w:rPr>
          <w:vertAlign w:val="superscript"/>
        </w:rPr>
        <w:t>3</w:t>
      </w:r>
      <w:r>
        <w:t xml:space="preserve"> The NT annualised rate over the 11 years of this study, of 2.1 per 100,000 population per year, is 40% higher than the national median incidence. Noting the relative youthfulness of the NT population (legionella infection classically occurs in the elderly), and the dry, arid conditions of the southern half of the NT </w:t>
      </w:r>
      <w:proofErr w:type="gramStart"/>
      <w:r>
        <w:t xml:space="preserve">( </w:t>
      </w:r>
      <w:r w:rsidRPr="009267FE">
        <w:rPr>
          <w:rStyle w:val="Emphasis"/>
          <w:b w:val="0"/>
          <w:bCs w:val="0"/>
        </w:rPr>
        <w:t>Legionella</w:t>
      </w:r>
      <w:proofErr w:type="gramEnd"/>
      <w:r>
        <w:t xml:space="preserve"> prefers a moist environment), this has significant disease projection implications for future case numbers with an aging NT population. Legionellosis in Aboriginal and Torres Strait Islander persons, who comprise twenty-five percent of the NT population, showed a higher incidence than in non-Indigenous Territorians (2.5 versus 2.0 per 100,000 population per year respectively); the median age of occurrence was 19 years less in Aboriginal and Torres Strait Islander Territorians </w:t>
      </w:r>
      <w:proofErr w:type="gramStart"/>
      <w:r>
        <w:t xml:space="preserve">( </w:t>
      </w:r>
      <w:r w:rsidRPr="009267FE">
        <w:rPr>
          <w:rStyle w:val="Emphasis"/>
          <w:b w:val="0"/>
          <w:bCs w:val="0"/>
        </w:rPr>
        <w:t>p</w:t>
      </w:r>
      <w:proofErr w:type="gramEnd"/>
      <w:r>
        <w:t xml:space="preserve"> &lt; 0.01), which may reflect the known higher rates of health hardware issues in this population. </w:t>
      </w:r>
      <w:r>
        <w:rPr>
          <w:vertAlign w:val="superscript"/>
        </w:rPr>
        <w:t>12</w:t>
      </w:r>
      <w:r>
        <w:t xml:space="preserve"> The male predominance of legionella infections (71%) in our cohort, and background rates of lung disease, smoking and comorbidities, are </w:t>
      </w:r>
      <w:proofErr w:type="gramStart"/>
      <w:r>
        <w:t>similar to</w:t>
      </w:r>
      <w:proofErr w:type="gramEnd"/>
      <w:r>
        <w:t xml:space="preserve"> previous studies in New Zealand and Australia. </w:t>
      </w:r>
      <w:r>
        <w:rPr>
          <w:vertAlign w:val="superscript"/>
        </w:rPr>
        <w:t>3,5,13,14</w:t>
      </w:r>
      <w:r>
        <w:t xml:space="preserve"> Admission rates to ICU were higher in the NT (13/45; 30%) than in other studies which reported rates of ICU admission up to 16%; this may reflect diagnostic rigour in patients admitted to ICU, who are routinely tested for legionellosis if they have respiratory symptoms. </w:t>
      </w:r>
      <w:r>
        <w:rPr>
          <w:vertAlign w:val="superscript"/>
        </w:rPr>
        <w:t>15</w:t>
      </w:r>
      <w:r>
        <w:t xml:space="preserve"> Thirty-day mortality was lower in the NT (2/45; 4%) than the national notified rate of 6%; however, this is within the margin of error for this small sample size. </w:t>
      </w:r>
      <w:r>
        <w:rPr>
          <w:vertAlign w:val="superscript"/>
        </w:rPr>
        <w:t>3</w:t>
      </w:r>
      <w:r>
        <w:t xml:space="preserve"> These mortality rates are still lower than </w:t>
      </w:r>
      <w:r>
        <w:lastRenderedPageBreak/>
        <w:t xml:space="preserve">the rates reported internationally, with case fatality rates ranging between 8 and 12%; this may reflect differences in the environment and population characteristics as well as increased active case finding in Australasian countries. </w:t>
      </w:r>
      <w:r>
        <w:rPr>
          <w:vertAlign w:val="superscript"/>
        </w:rPr>
        <w:t>16</w:t>
      </w:r>
      <w:r>
        <w:t xml:space="preserve"> </w:t>
      </w:r>
    </w:p>
    <w:p w14:paraId="56F164C2" w14:textId="77777777" w:rsidR="00A34097" w:rsidRPr="00A34097" w:rsidRDefault="00A34097" w:rsidP="00A34097">
      <w:pPr>
        <w:pStyle w:val="Heading2"/>
      </w:pPr>
      <w:r w:rsidRPr="00A34097">
        <w:t>Seasonality in NT</w:t>
      </w:r>
    </w:p>
    <w:p w14:paraId="05B33CF3" w14:textId="56F874CD" w:rsidR="00A34097" w:rsidRDefault="00A34097" w:rsidP="00A34097">
      <w:r>
        <w:t xml:space="preserve">Our data showed a trend towards cases occurring in the humid months. Internationally, a striking epidemiologic feature of </w:t>
      </w:r>
      <w:r w:rsidRPr="00810B02">
        <w:rPr>
          <w:rStyle w:val="Strong"/>
          <w:b w:val="0"/>
          <w:bCs w:val="0"/>
        </w:rPr>
        <w:t>legionellosis</w:t>
      </w:r>
      <w:r>
        <w:t xml:space="preserve"> is its seasonality: more cases are reported during the summer. </w:t>
      </w:r>
      <w:r>
        <w:rPr>
          <w:vertAlign w:val="superscript"/>
        </w:rPr>
        <w:t>3,16,17</w:t>
      </w:r>
      <w:r>
        <w:t xml:space="preserve"> However, strong evidence indicates that weather—particularly temperature and humidity—drives the summer spike in incidence. </w:t>
      </w:r>
      <w:r>
        <w:rPr>
          <w:vertAlign w:val="superscript"/>
        </w:rPr>
        <w:t>17</w:t>
      </w:r>
      <w:r>
        <w:t xml:space="preserve"> </w:t>
      </w:r>
      <w:proofErr w:type="gramStart"/>
      <w:r>
        <w:t xml:space="preserve">Although  </w:t>
      </w:r>
      <w:r w:rsidRPr="009267FE">
        <w:rPr>
          <w:rStyle w:val="Emphasis"/>
          <w:b w:val="0"/>
          <w:bCs w:val="0"/>
        </w:rPr>
        <w:t>Legionella</w:t>
      </w:r>
      <w:proofErr w:type="gramEnd"/>
      <w:r>
        <w:t xml:space="preserve"> spp. are common in the environment, dry environments do not support them, </w:t>
      </w:r>
      <w:r>
        <w:rPr>
          <w:vertAlign w:val="superscript"/>
        </w:rPr>
        <w:t>2</w:t>
      </w:r>
      <w:r>
        <w:t xml:space="preserve"> and  </w:t>
      </w:r>
      <w:r w:rsidRPr="009267FE">
        <w:rPr>
          <w:rStyle w:val="Emphasis"/>
          <w:b w:val="0"/>
          <w:bCs w:val="0"/>
        </w:rPr>
        <w:t>Legionella</w:t>
      </w:r>
      <w:r>
        <w:t xml:space="preserve"> spp. are more sensitive than other pathogens to drying conditions. </w:t>
      </w:r>
      <w:r>
        <w:rPr>
          <w:vertAlign w:val="superscript"/>
        </w:rPr>
        <w:t>1</w:t>
      </w:r>
      <w:r>
        <w:t xml:space="preserve"> In contrast, warm and humid weather tends to support pathogen survival, growth, and the potential for aerosol exposures, increasing disease risk. </w:t>
      </w:r>
      <w:r>
        <w:rPr>
          <w:vertAlign w:val="superscript"/>
        </w:rPr>
        <w:t>1</w:t>
      </w:r>
      <w:r>
        <w:t xml:space="preserve"> Legionnaires’ disease caused by </w:t>
      </w:r>
      <w:r w:rsidRPr="009267FE">
        <w:rPr>
          <w:rStyle w:val="Emphasis"/>
          <w:b w:val="0"/>
          <w:bCs w:val="0"/>
        </w:rPr>
        <w:t>L. pneumophila</w:t>
      </w:r>
      <w:r>
        <w:t xml:space="preserve"> is possibly more common in late summer and early autumn, </w:t>
      </w:r>
      <w:r>
        <w:rPr>
          <w:vertAlign w:val="superscript"/>
        </w:rPr>
        <w:t>17</w:t>
      </w:r>
      <w:r>
        <w:t xml:space="preserve"> whereas that caused by </w:t>
      </w:r>
      <w:r w:rsidRPr="009267FE">
        <w:rPr>
          <w:rStyle w:val="Emphasis"/>
          <w:b w:val="0"/>
          <w:bCs w:val="0"/>
        </w:rPr>
        <w:t xml:space="preserve">L. </w:t>
      </w:r>
      <w:proofErr w:type="spellStart"/>
      <w:r w:rsidRPr="009267FE">
        <w:rPr>
          <w:rStyle w:val="Emphasis"/>
          <w:b w:val="0"/>
          <w:bCs w:val="0"/>
        </w:rPr>
        <w:t>longbeachae</w:t>
      </w:r>
      <w:proofErr w:type="spellEnd"/>
      <w:r>
        <w:t xml:space="preserve"> peaks in spring and early summer. </w:t>
      </w:r>
      <w:r>
        <w:rPr>
          <w:vertAlign w:val="superscript"/>
        </w:rPr>
        <w:t>13</w:t>
      </w:r>
      <w:r>
        <w:t xml:space="preserve"> Most </w:t>
      </w:r>
      <w:proofErr w:type="gramStart"/>
      <w:r w:rsidRPr="009267FE">
        <w:rPr>
          <w:rStyle w:val="Emphasis"/>
          <w:b w:val="0"/>
          <w:bCs w:val="0"/>
        </w:rPr>
        <w:t>Legionella </w:t>
      </w:r>
      <w:r>
        <w:t xml:space="preserve"> spp.</w:t>
      </w:r>
      <w:proofErr w:type="gramEnd"/>
      <w:r>
        <w:t xml:space="preserve">, including </w:t>
      </w:r>
      <w:r w:rsidRPr="009267FE">
        <w:rPr>
          <w:rStyle w:val="Emphasis"/>
          <w:b w:val="0"/>
          <w:bCs w:val="0"/>
        </w:rPr>
        <w:t>L. pneumophila</w:t>
      </w:r>
      <w:r>
        <w:t xml:space="preserve"> , mainly reside in bodies of water. Additional factors that promote growth in water include warm temperatures (25 to 42 °C). By </w:t>
      </w:r>
      <w:proofErr w:type="gramStart"/>
      <w:r>
        <w:t xml:space="preserve">contrast,  </w:t>
      </w:r>
      <w:r w:rsidRPr="009267FE">
        <w:rPr>
          <w:rStyle w:val="Emphasis"/>
          <w:b w:val="0"/>
          <w:bCs w:val="0"/>
        </w:rPr>
        <w:t>L.</w:t>
      </w:r>
      <w:proofErr w:type="gramEnd"/>
      <w:r w:rsidRPr="009267FE">
        <w:rPr>
          <w:rStyle w:val="Emphasis"/>
          <w:b w:val="0"/>
          <w:bCs w:val="0"/>
        </w:rPr>
        <w:t xml:space="preserve"> </w:t>
      </w:r>
      <w:proofErr w:type="spellStart"/>
      <w:r w:rsidRPr="009267FE">
        <w:rPr>
          <w:rStyle w:val="Emphasis"/>
          <w:b w:val="0"/>
          <w:bCs w:val="0"/>
        </w:rPr>
        <w:t>longbeachae</w:t>
      </w:r>
      <w:proofErr w:type="spellEnd"/>
      <w:r>
        <w:t xml:space="preserve"> is genetically adapted to invade plant material and primarily resides in soil and compost. </w:t>
      </w:r>
      <w:r>
        <w:rPr>
          <w:vertAlign w:val="superscript"/>
        </w:rPr>
        <w:t>2</w:t>
      </w:r>
      <w:r>
        <w:t xml:space="preserve"> Among cases reported in the NT from January 2010 to April 2021, </w:t>
      </w:r>
      <w:r w:rsidRPr="009267FE">
        <w:rPr>
          <w:rStyle w:val="Emphasis"/>
          <w:b w:val="0"/>
          <w:bCs w:val="0"/>
        </w:rPr>
        <w:t xml:space="preserve">L. </w:t>
      </w:r>
      <w:proofErr w:type="spellStart"/>
      <w:r w:rsidRPr="009267FE">
        <w:rPr>
          <w:rStyle w:val="Emphasis"/>
          <w:b w:val="0"/>
          <w:bCs w:val="0"/>
        </w:rPr>
        <w:t>longbeachae</w:t>
      </w:r>
      <w:proofErr w:type="spellEnd"/>
      <w:r>
        <w:t xml:space="preserve"> was more common (30/51; 59%) than </w:t>
      </w:r>
      <w:r w:rsidRPr="009267FE">
        <w:rPr>
          <w:rStyle w:val="Emphasis"/>
          <w:b w:val="0"/>
          <w:bCs w:val="0"/>
        </w:rPr>
        <w:t>L. pneumophilia</w:t>
      </w:r>
      <w:r>
        <w:t xml:space="preserve"> (21/51; 41%</w:t>
      </w:r>
      <w:proofErr w:type="gramStart"/>
      <w:r>
        <w:t xml:space="preserve">) </w:t>
      </w:r>
      <w:r w:rsidRPr="009267FE">
        <w:rPr>
          <w:rStyle w:val="Emphasis"/>
          <w:b w:val="0"/>
          <w:bCs w:val="0"/>
        </w:rPr>
        <w:t>.</w:t>
      </w:r>
      <w:proofErr w:type="gramEnd"/>
      <w:r>
        <w:t xml:space="preserve"> This may relate to the environmental conditions that promote survival of </w:t>
      </w:r>
      <w:r w:rsidRPr="009267FE">
        <w:rPr>
          <w:rStyle w:val="Emphasis"/>
          <w:b w:val="0"/>
          <w:bCs w:val="0"/>
        </w:rPr>
        <w:t xml:space="preserve">L. </w:t>
      </w:r>
      <w:proofErr w:type="spellStart"/>
      <w:r w:rsidRPr="009267FE">
        <w:rPr>
          <w:rStyle w:val="Emphasis"/>
          <w:b w:val="0"/>
          <w:bCs w:val="0"/>
        </w:rPr>
        <w:t>longbeachae</w:t>
      </w:r>
      <w:proofErr w:type="spellEnd"/>
      <w:r>
        <w:t>.</w:t>
      </w:r>
    </w:p>
    <w:p w14:paraId="4835DAEB" w14:textId="77777777" w:rsidR="00A34097" w:rsidRPr="00A34097" w:rsidRDefault="00A34097" w:rsidP="00A34097">
      <w:pPr>
        <w:pStyle w:val="Heading2"/>
      </w:pPr>
      <w:r w:rsidRPr="00A34097">
        <w:t>Diagnosis</w:t>
      </w:r>
    </w:p>
    <w:p w14:paraId="551C3C64" w14:textId="77777777" w:rsidR="00A34097" w:rsidRDefault="00A34097" w:rsidP="00A34097">
      <w:r>
        <w:t xml:space="preserve">The Northern Territory has access to three of the four methods of </w:t>
      </w:r>
      <w:r w:rsidRPr="009267FE">
        <w:rPr>
          <w:rStyle w:val="Emphasis"/>
          <w:b w:val="0"/>
          <w:bCs w:val="0"/>
        </w:rPr>
        <w:t>Legionella</w:t>
      </w:r>
      <w:r>
        <w:t xml:space="preserve"> species diagnosis (culture not available), all of which are complementary. </w:t>
      </w:r>
      <w:r w:rsidRPr="009267FE">
        <w:rPr>
          <w:rStyle w:val="Emphasis"/>
          <w:b w:val="0"/>
          <w:bCs w:val="0"/>
        </w:rPr>
        <w:t>L. pneumophila</w:t>
      </w:r>
      <w:r>
        <w:t xml:space="preserve"> urinary antigen was the diagnostic in 50% of </w:t>
      </w:r>
      <w:proofErr w:type="gramStart"/>
      <w:r>
        <w:t>patients, but</w:t>
      </w:r>
      <w:proofErr w:type="gramEnd"/>
      <w:r>
        <w:t xml:space="preserve"> is not available for other legionella species. </w:t>
      </w:r>
      <w:r w:rsidRPr="009267FE">
        <w:rPr>
          <w:rStyle w:val="Emphasis"/>
          <w:b w:val="0"/>
          <w:bCs w:val="0"/>
        </w:rPr>
        <w:t xml:space="preserve">L. </w:t>
      </w:r>
      <w:proofErr w:type="spellStart"/>
      <w:r w:rsidRPr="009267FE">
        <w:rPr>
          <w:rStyle w:val="Emphasis"/>
          <w:b w:val="0"/>
          <w:bCs w:val="0"/>
        </w:rPr>
        <w:t>longbeachae</w:t>
      </w:r>
      <w:proofErr w:type="spellEnd"/>
      <w:r>
        <w:t xml:space="preserve"> diagnosis was predominantly serological; however, with increasing use of multiplex respiratory NAAT testing, this may alter in the future. No one method meets the requires specificity and sensitivity and our data emphasises the need for a full diagnostic panel if legionella is being considered.</w:t>
      </w:r>
    </w:p>
    <w:p w14:paraId="3745AC0F" w14:textId="77777777" w:rsidR="00A34097" w:rsidRDefault="00A34097" w:rsidP="00A34097">
      <w:r>
        <w:t xml:space="preserve">Of the 12 </w:t>
      </w:r>
      <w:r w:rsidRPr="009267FE">
        <w:rPr>
          <w:rStyle w:val="Emphasis"/>
          <w:b w:val="0"/>
          <w:bCs w:val="0"/>
        </w:rPr>
        <w:t>L. pneumophila</w:t>
      </w:r>
      <w:r>
        <w:t xml:space="preserve"> cases diagnosed serologically, ten (83%) were diagnosed from acute sera samples, compared to the 28 </w:t>
      </w:r>
      <w:r w:rsidRPr="009267FE">
        <w:rPr>
          <w:rStyle w:val="Emphasis"/>
          <w:b w:val="0"/>
          <w:bCs w:val="0"/>
        </w:rPr>
        <w:t xml:space="preserve">L. </w:t>
      </w:r>
      <w:proofErr w:type="spellStart"/>
      <w:r w:rsidRPr="009267FE">
        <w:rPr>
          <w:rStyle w:val="Emphasis"/>
          <w:b w:val="0"/>
          <w:bCs w:val="0"/>
        </w:rPr>
        <w:t>longbeachae</w:t>
      </w:r>
      <w:proofErr w:type="spellEnd"/>
      <w:r>
        <w:t xml:space="preserve"> that were serologically diagnosed where only 19 (68%) of cases had positive acute serology, and nine patients (32%) subsequently seroconverted. As acute diagnostic specimens are generally taken on presentation to hospital, it may suggest that </w:t>
      </w:r>
      <w:r w:rsidRPr="009267FE">
        <w:rPr>
          <w:rStyle w:val="Emphasis"/>
          <w:b w:val="0"/>
          <w:bCs w:val="0"/>
        </w:rPr>
        <w:t xml:space="preserve">L. </w:t>
      </w:r>
      <w:proofErr w:type="spellStart"/>
      <w:r w:rsidRPr="009267FE">
        <w:rPr>
          <w:rStyle w:val="Emphasis"/>
          <w:b w:val="0"/>
          <w:bCs w:val="0"/>
        </w:rPr>
        <w:t>longbeachae</w:t>
      </w:r>
      <w:proofErr w:type="spellEnd"/>
      <w:r>
        <w:t xml:space="preserve"> is a more rapidly progressive infection, and more likely seronegative on acute presentation serology, compared to </w:t>
      </w:r>
      <w:r w:rsidRPr="009267FE">
        <w:rPr>
          <w:rStyle w:val="Emphasis"/>
          <w:b w:val="0"/>
          <w:bCs w:val="0"/>
        </w:rPr>
        <w:t>L. pneumophila</w:t>
      </w:r>
      <w:r>
        <w:t xml:space="preserve"> with a higher (10/12, 83%) rate of diagnosis based on acute serology. However, these findings do emphasise the need for convalescent serology in all undiagnosed pneumonia cases, to improve diagnostic yield.</w:t>
      </w:r>
    </w:p>
    <w:p w14:paraId="06E68C3A" w14:textId="77777777" w:rsidR="00A34097" w:rsidRDefault="00A34097" w:rsidP="00A34097">
      <w:r>
        <w:t xml:space="preserve">For three patients, PCR was the sole diagnostic means, but these were all listed as probable cases as PCR diagnosis is not yet defined as a confirmed case in the NNDSS definition but is included in the Public Health Laboratory Network (PHLN) laboratory confirmed definition. The experience in New Zealand </w:t>
      </w:r>
      <w:r>
        <w:rPr>
          <w:vertAlign w:val="superscript"/>
        </w:rPr>
        <w:t>15,18</w:t>
      </w:r>
      <w:r>
        <w:t xml:space="preserve"> has shown that NAAT is much more effective at diagnosing legionellosis, </w:t>
      </w:r>
      <w:proofErr w:type="gramStart"/>
      <w:r>
        <w:t>in particular because</w:t>
      </w:r>
      <w:proofErr w:type="gramEnd"/>
      <w:r>
        <w:t xml:space="preserve"> serology is not rapidly available to guide clinical management and because a substantial proportion of patients (20–30%) do not develop detectable antibody response if tested too early in the disease process or at all. </w:t>
      </w:r>
      <w:r>
        <w:rPr>
          <w:vertAlign w:val="superscript"/>
        </w:rPr>
        <w:t>19</w:t>
      </w:r>
      <w:r>
        <w:t xml:space="preserve"> Whilst urinary antigen in this study was shown to diagnose 50% of </w:t>
      </w:r>
      <w:r w:rsidRPr="009267FE">
        <w:rPr>
          <w:rStyle w:val="Emphasis"/>
          <w:b w:val="0"/>
          <w:bCs w:val="0"/>
        </w:rPr>
        <w:t>L. pneumophila</w:t>
      </w:r>
      <w:r>
        <w:t xml:space="preserve"> cases (8/16), it is of less utility in the NT context when </w:t>
      </w:r>
      <w:r w:rsidRPr="009267FE">
        <w:rPr>
          <w:rStyle w:val="Emphasis"/>
          <w:b w:val="0"/>
          <w:bCs w:val="0"/>
        </w:rPr>
        <w:t xml:space="preserve">L. </w:t>
      </w:r>
      <w:proofErr w:type="spellStart"/>
      <w:r w:rsidRPr="009267FE">
        <w:rPr>
          <w:rStyle w:val="Emphasis"/>
          <w:b w:val="0"/>
          <w:bCs w:val="0"/>
        </w:rPr>
        <w:t>longbeachae</w:t>
      </w:r>
      <w:proofErr w:type="spellEnd"/>
      <w:r>
        <w:t xml:space="preserve"> is the predominant species. Harmonisation of notified and laboratory case definitions would aid in epidemiological research. Greater use of NAAT for diagnosis rather that serology may uncover an increased number of legionellosis cases, particularly </w:t>
      </w:r>
      <w:r w:rsidRPr="009267FE">
        <w:rPr>
          <w:rStyle w:val="Emphasis"/>
          <w:b w:val="0"/>
          <w:bCs w:val="0"/>
        </w:rPr>
        <w:t xml:space="preserve">L. </w:t>
      </w:r>
      <w:proofErr w:type="spellStart"/>
      <w:proofErr w:type="gramStart"/>
      <w:r w:rsidRPr="009267FE">
        <w:rPr>
          <w:rStyle w:val="Emphasis"/>
          <w:b w:val="0"/>
          <w:bCs w:val="0"/>
        </w:rPr>
        <w:t>longbeachae</w:t>
      </w:r>
      <w:proofErr w:type="spellEnd"/>
      <w:r>
        <w:t xml:space="preserve"> ,</w:t>
      </w:r>
      <w:proofErr w:type="gramEnd"/>
      <w:r>
        <w:t xml:space="preserve"> which could allow preventative public health interventions, and more targeted antimicrobial therapy. This was evidenced in New Zealand when active case finding through systematic NAAT testing uncovered an otherwise hidden burden of disease, almost quadrupling the case finding during the period of the study. </w:t>
      </w:r>
      <w:r>
        <w:rPr>
          <w:vertAlign w:val="superscript"/>
        </w:rPr>
        <w:t>18</w:t>
      </w:r>
      <w:r>
        <w:t xml:space="preserve"> Active case finding in New Zealand identified that the overall incidence in 20 participating hospitals was 5.4 per 100 000 people per year. </w:t>
      </w:r>
      <w:r>
        <w:rPr>
          <w:vertAlign w:val="superscript"/>
        </w:rPr>
        <w:t>15</w:t>
      </w:r>
      <w:r>
        <w:t xml:space="preserve"> </w:t>
      </w:r>
    </w:p>
    <w:p w14:paraId="559E3934" w14:textId="77777777" w:rsidR="00A34097" w:rsidRPr="00A34097" w:rsidRDefault="00A34097" w:rsidP="00A34097">
      <w:pPr>
        <w:pStyle w:val="Heading2"/>
      </w:pPr>
      <w:r w:rsidRPr="00A34097">
        <w:lastRenderedPageBreak/>
        <w:t>Strengths and limitations</w:t>
      </w:r>
    </w:p>
    <w:p w14:paraId="32055935" w14:textId="77777777" w:rsidR="00A34097" w:rsidRDefault="00A34097" w:rsidP="00A34097">
      <w:r>
        <w:t xml:space="preserve">This study has </w:t>
      </w:r>
      <w:proofErr w:type="gramStart"/>
      <w:r>
        <w:t>a number of</w:t>
      </w:r>
      <w:proofErr w:type="gramEnd"/>
      <w:r>
        <w:t xml:space="preserve"> limitations. Firstly, it was a retrospective study, and may have missed cases that did not come through the public hospital system or pneumonic cases that did not have legionella diagnostics performed. Secondly, the diagnostic algorithms in place in the NT are heavily weighted towards diagnosing the common Australian species of </w:t>
      </w:r>
      <w:r w:rsidRPr="009267FE">
        <w:rPr>
          <w:rStyle w:val="Emphasis"/>
          <w:b w:val="0"/>
          <w:bCs w:val="0"/>
        </w:rPr>
        <w:t>L. pneumophila</w:t>
      </w:r>
      <w:r>
        <w:t xml:space="preserve"> and </w:t>
      </w:r>
      <w:r w:rsidRPr="009267FE">
        <w:rPr>
          <w:rStyle w:val="Emphasis"/>
          <w:b w:val="0"/>
          <w:bCs w:val="0"/>
        </w:rPr>
        <w:t xml:space="preserve">L. </w:t>
      </w:r>
      <w:proofErr w:type="spellStart"/>
      <w:proofErr w:type="gramStart"/>
      <w:r w:rsidRPr="009267FE">
        <w:rPr>
          <w:rStyle w:val="Emphasis"/>
          <w:b w:val="0"/>
          <w:bCs w:val="0"/>
        </w:rPr>
        <w:t>longbeachae</w:t>
      </w:r>
      <w:proofErr w:type="spellEnd"/>
      <w:r>
        <w:t xml:space="preserve"> .</w:t>
      </w:r>
      <w:proofErr w:type="gramEnd"/>
      <w:r>
        <w:t xml:space="preserve"> Other species causing clinical disease may be missed as </w:t>
      </w:r>
      <w:r w:rsidRPr="009267FE">
        <w:rPr>
          <w:rStyle w:val="Emphasis"/>
          <w:b w:val="0"/>
          <w:bCs w:val="0"/>
        </w:rPr>
        <w:t>Legionella</w:t>
      </w:r>
      <w:r>
        <w:t xml:space="preserve"> culture is not routinely performed nor pan- </w:t>
      </w:r>
      <w:r w:rsidRPr="009267FE">
        <w:rPr>
          <w:rStyle w:val="Emphasis"/>
          <w:b w:val="0"/>
          <w:bCs w:val="0"/>
        </w:rPr>
        <w:t>Legionella</w:t>
      </w:r>
      <w:r>
        <w:t xml:space="preserve"> PCR. With the advent of multiplex respiratory PCR, addition of pan- </w:t>
      </w:r>
      <w:r w:rsidRPr="009267FE">
        <w:rPr>
          <w:rStyle w:val="Emphasis"/>
          <w:b w:val="0"/>
          <w:bCs w:val="0"/>
        </w:rPr>
        <w:t>Legionella</w:t>
      </w:r>
      <w:r>
        <w:t xml:space="preserve"> PCR targets may help to characterise the full spectrum of legionellosis in the NT, and as per the New Zealand experience may increase case finding in pneumonia patients. Differences in the reporting definition and laboratory definition mentioned do not change this study’s overall conclusions. Finally, this study did not evaluate detailed clinical presentation or individual risk factors for </w:t>
      </w:r>
      <w:r w:rsidRPr="009267FE">
        <w:rPr>
          <w:rStyle w:val="Emphasis"/>
          <w:b w:val="0"/>
          <w:bCs w:val="0"/>
        </w:rPr>
        <w:t>Legionella</w:t>
      </w:r>
      <w:r>
        <w:t xml:space="preserve"> species acquisition (specifically: individual exposures to soil or compost). It also did not evaluate treatment and management of legionellosis and how this influenced hospital length of stay and mortality.</w:t>
      </w:r>
    </w:p>
    <w:p w14:paraId="123C0D84" w14:textId="77777777" w:rsidR="00A34097" w:rsidRPr="00A34097" w:rsidRDefault="00A34097" w:rsidP="00A34097">
      <w:pPr>
        <w:pStyle w:val="Heading1"/>
      </w:pPr>
      <w:r w:rsidRPr="00A34097">
        <w:t>Conclusion</w:t>
      </w:r>
    </w:p>
    <w:p w14:paraId="24DF2A77" w14:textId="77777777" w:rsidR="00A34097" w:rsidRDefault="00A34097" w:rsidP="00A34097">
      <w:r>
        <w:t xml:space="preserve">Legionnaire’s disease is a serious cause of pneumonia and has a high mortality rate, particularly if it is untreated or occurs in the immunocompromised. </w:t>
      </w:r>
      <w:r>
        <w:rPr>
          <w:vertAlign w:val="superscript"/>
        </w:rPr>
        <w:t>20</w:t>
      </w:r>
      <w:r>
        <w:t xml:space="preserve"> The higher incidence of disease in the NT has public health implications, given that the population is younger and relatively dispersed, which has impacts on access to, and delivery of, healthcare. Reliance on serological testing and urinary antigen in this retrospective study, rather than NAAT detection, means that the true burden of disease may be significantly underreported. Improved clinical recognition and use of diagnostics will allow public health preventative interventions and targeted </w:t>
      </w:r>
      <w:proofErr w:type="gramStart"/>
      <w:r>
        <w:t>treatment, and</w:t>
      </w:r>
      <w:proofErr w:type="gramEnd"/>
      <w:r>
        <w:t xml:space="preserve"> has the potential to improve patient outcomes.</w:t>
      </w:r>
    </w:p>
    <w:p w14:paraId="206CE2D6" w14:textId="77777777" w:rsidR="00A34097" w:rsidRPr="00A34097" w:rsidRDefault="00A34097" w:rsidP="00A34097">
      <w:pPr>
        <w:pStyle w:val="Heading1"/>
      </w:pPr>
      <w:r w:rsidRPr="00A34097">
        <w:t>Acknowledgements</w:t>
      </w:r>
    </w:p>
    <w:p w14:paraId="0C46E9C9" w14:textId="1B070ACF" w:rsidR="00A34097" w:rsidRDefault="00A34097" w:rsidP="00A34097">
      <w:r>
        <w:t>The authors would like to thank Linda Ward from the Menzies School of Research for her assistance with statistical</w:t>
      </w:r>
      <w:r w:rsidR="008C63BC">
        <w:t> </w:t>
      </w:r>
      <w:r>
        <w:t>analysis.</w:t>
      </w:r>
    </w:p>
    <w:p w14:paraId="5593C8C0" w14:textId="77777777" w:rsidR="005A1B29" w:rsidRDefault="005A1B29">
      <w:pPr>
        <w:rPr>
          <w:rFonts w:asciiTheme="majorHAnsi" w:eastAsiaTheme="majorEastAsia" w:hAnsiTheme="majorHAnsi" w:cstheme="majorBidi"/>
          <w:b/>
          <w:bCs/>
          <w:sz w:val="32"/>
          <w:szCs w:val="28"/>
        </w:rPr>
      </w:pPr>
      <w:r>
        <w:br w:type="page"/>
      </w:r>
    </w:p>
    <w:p w14:paraId="178386C9" w14:textId="36116D1D" w:rsidR="00A34097" w:rsidRPr="00A34097" w:rsidRDefault="00A34097" w:rsidP="00A34097">
      <w:pPr>
        <w:pStyle w:val="Heading1"/>
      </w:pPr>
      <w:r w:rsidRPr="00A34097">
        <w:lastRenderedPageBreak/>
        <w:t>Author details</w:t>
      </w:r>
    </w:p>
    <w:p w14:paraId="2BD67A6D" w14:textId="25A43D61" w:rsidR="00A34097" w:rsidRDefault="00A34097" w:rsidP="00A34097">
      <w:r>
        <w:t xml:space="preserve">Claire Waller </w:t>
      </w:r>
      <w:r>
        <w:rPr>
          <w:vertAlign w:val="superscript"/>
        </w:rPr>
        <w:t>1</w:t>
      </w:r>
      <w:r>
        <w:t xml:space="preserve"> </w:t>
      </w:r>
      <w:r w:rsidR="005A1B29">
        <w:br/>
      </w:r>
      <w:r>
        <w:t xml:space="preserve">Kevin Freeman </w:t>
      </w:r>
      <w:r>
        <w:rPr>
          <w:vertAlign w:val="superscript"/>
        </w:rPr>
        <w:t>1</w:t>
      </w:r>
      <w:r>
        <w:t xml:space="preserve"> </w:t>
      </w:r>
      <w:r w:rsidR="005A1B29">
        <w:br/>
      </w:r>
      <w:r>
        <w:t xml:space="preserve">Shereen Labib </w:t>
      </w:r>
      <w:r>
        <w:rPr>
          <w:vertAlign w:val="superscript"/>
        </w:rPr>
        <w:t>2</w:t>
      </w:r>
      <w:r>
        <w:t xml:space="preserve"> </w:t>
      </w:r>
      <w:r w:rsidR="005A1B29">
        <w:br/>
      </w:r>
      <w:r>
        <w:t xml:space="preserve">Rob Baird </w:t>
      </w:r>
      <w:r>
        <w:rPr>
          <w:vertAlign w:val="superscript"/>
        </w:rPr>
        <w:t>1</w:t>
      </w:r>
      <w:r>
        <w:t xml:space="preserve"> </w:t>
      </w:r>
    </w:p>
    <w:p w14:paraId="5E238448" w14:textId="77777777" w:rsidR="00A34097" w:rsidRPr="002C1274" w:rsidRDefault="00A34097" w:rsidP="002C1274">
      <w:pPr>
        <w:pStyle w:val="ListParagraph"/>
        <w:numPr>
          <w:ilvl w:val="0"/>
          <w:numId w:val="10"/>
        </w:numPr>
        <w:rPr>
          <w:rFonts w:eastAsia="Times New Roman"/>
        </w:rPr>
      </w:pPr>
      <w:r w:rsidRPr="002C1274">
        <w:rPr>
          <w:rFonts w:eastAsia="Times New Roman"/>
        </w:rPr>
        <w:t>c/o Territory Pathology, Building 13, Royal Darwin Hospital, Rocklands Drive, Tiwi, NT, 0810</w:t>
      </w:r>
    </w:p>
    <w:p w14:paraId="1396B273" w14:textId="77777777" w:rsidR="00A34097" w:rsidRPr="002C1274" w:rsidRDefault="00A34097" w:rsidP="002C1274">
      <w:pPr>
        <w:pStyle w:val="ListParagraph"/>
        <w:numPr>
          <w:ilvl w:val="0"/>
          <w:numId w:val="10"/>
        </w:numPr>
        <w:rPr>
          <w:rFonts w:eastAsia="Times New Roman"/>
        </w:rPr>
      </w:pPr>
      <w:r w:rsidRPr="002C1274">
        <w:rPr>
          <w:rFonts w:eastAsia="Times New Roman"/>
        </w:rPr>
        <w:t>Centre for Disease Control, Building 4, Royal Darwin Hospital, Rocklands Drive, Tiwi, NT, 0810</w:t>
      </w:r>
    </w:p>
    <w:p w14:paraId="174895A9" w14:textId="77777777" w:rsidR="00A34097" w:rsidRPr="00A34097" w:rsidRDefault="00A34097" w:rsidP="00A34097">
      <w:pPr>
        <w:pStyle w:val="Heading2"/>
      </w:pPr>
      <w:r w:rsidRPr="00A34097">
        <w:t>Corresponding author</w:t>
      </w:r>
    </w:p>
    <w:p w14:paraId="53464458" w14:textId="77777777" w:rsidR="002C1274" w:rsidRDefault="002C1274" w:rsidP="00A34097"/>
    <w:p w14:paraId="56A22A7E" w14:textId="2F14FD4D" w:rsidR="00A34097" w:rsidRDefault="00A34097" w:rsidP="00A34097">
      <w:r>
        <w:t>Claire Waller</w:t>
      </w:r>
    </w:p>
    <w:p w14:paraId="26450329" w14:textId="77777777" w:rsidR="00A34097" w:rsidRDefault="00A34097" w:rsidP="00A34097">
      <w:r>
        <w:t>Infectious Diseases Registrar, Royal Darwin Hospital, 105 Rocklands Drive, Tiwi, NT, 0810</w:t>
      </w:r>
    </w:p>
    <w:p w14:paraId="4096F823" w14:textId="77777777" w:rsidR="00A34097" w:rsidRDefault="00A34097" w:rsidP="00A34097">
      <w:r>
        <w:t>Email: Claire.Waller@nt.gov.au</w:t>
      </w:r>
    </w:p>
    <w:p w14:paraId="50D7AE8A" w14:textId="77777777" w:rsidR="002C1274" w:rsidRDefault="002C1274">
      <w:pPr>
        <w:rPr>
          <w:rFonts w:asciiTheme="majorHAnsi" w:eastAsiaTheme="majorEastAsia" w:hAnsiTheme="majorHAnsi" w:cstheme="majorBidi"/>
          <w:b/>
          <w:bCs/>
          <w:sz w:val="32"/>
          <w:szCs w:val="28"/>
        </w:rPr>
      </w:pPr>
      <w:r>
        <w:br w:type="page"/>
      </w:r>
    </w:p>
    <w:p w14:paraId="7ABA320D" w14:textId="49B8C7D9" w:rsidR="00A34097" w:rsidRPr="00A34097" w:rsidRDefault="00A34097" w:rsidP="00A34097">
      <w:pPr>
        <w:pStyle w:val="Heading1"/>
      </w:pPr>
      <w:r w:rsidRPr="00A34097">
        <w:lastRenderedPageBreak/>
        <w:t>References</w:t>
      </w:r>
    </w:p>
    <w:p w14:paraId="541F06AC"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 xml:space="preserve">Bennett JE, Dolin R, Blaser MJ, eds. </w:t>
      </w:r>
      <w:r w:rsidRPr="009267FE">
        <w:rPr>
          <w:rStyle w:val="Emphasis"/>
          <w:rFonts w:eastAsia="Times New Roman"/>
          <w:b w:val="0"/>
          <w:bCs w:val="0"/>
        </w:rPr>
        <w:t>Mandell, Douglas, and Bennett’s Principles and Practice of Infectious Diseases</w:t>
      </w:r>
      <w:r>
        <w:rPr>
          <w:rFonts w:eastAsia="Times New Roman"/>
        </w:rPr>
        <w:t xml:space="preserve"> (8th edition). Philadelphia: Churchill Livingstone Elsevier, 2014.</w:t>
      </w:r>
    </w:p>
    <w:p w14:paraId="454FC854"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 xml:space="preserve">Chambers ST, Slow S, Scott-Thomas A, Murdoch DR. Legionellosis caused by non- </w:t>
      </w:r>
      <w:r w:rsidRPr="009267FE">
        <w:rPr>
          <w:rStyle w:val="Emphasis"/>
          <w:rFonts w:eastAsia="Times New Roman"/>
          <w:b w:val="0"/>
          <w:bCs w:val="0"/>
        </w:rPr>
        <w:t>Legionella pneumophila</w:t>
      </w:r>
      <w:r>
        <w:rPr>
          <w:rFonts w:eastAsia="Times New Roman"/>
        </w:rPr>
        <w:t xml:space="preserve"> species, with a focus on </w:t>
      </w:r>
      <w:r w:rsidRPr="009267FE">
        <w:rPr>
          <w:rStyle w:val="Emphasis"/>
          <w:rFonts w:eastAsia="Times New Roman"/>
          <w:b w:val="0"/>
          <w:bCs w:val="0"/>
        </w:rPr>
        <w:t xml:space="preserve">Legionella </w:t>
      </w:r>
      <w:proofErr w:type="spellStart"/>
      <w:proofErr w:type="gramStart"/>
      <w:r w:rsidRPr="009267FE">
        <w:rPr>
          <w:rStyle w:val="Emphasis"/>
          <w:rFonts w:eastAsia="Times New Roman"/>
          <w:b w:val="0"/>
          <w:bCs w:val="0"/>
        </w:rPr>
        <w:t>longbeachae</w:t>
      </w:r>
      <w:proofErr w:type="spellEnd"/>
      <w:r>
        <w:rPr>
          <w:rFonts w:eastAsia="Times New Roman"/>
        </w:rPr>
        <w:t xml:space="preserve"> .</w:t>
      </w:r>
      <w:proofErr w:type="gramEnd"/>
      <w:r>
        <w:rPr>
          <w:rFonts w:eastAsia="Times New Roman"/>
        </w:rPr>
        <w:t xml:space="preserve"> </w:t>
      </w:r>
      <w:proofErr w:type="gramStart"/>
      <w:r w:rsidRPr="009267FE">
        <w:rPr>
          <w:rStyle w:val="Emphasis"/>
          <w:rFonts w:eastAsia="Times New Roman"/>
          <w:b w:val="0"/>
          <w:bCs w:val="0"/>
        </w:rPr>
        <w:t>Microorganisms</w:t>
      </w:r>
      <w:r>
        <w:rPr>
          <w:rFonts w:eastAsia="Times New Roman"/>
        </w:rPr>
        <w:t xml:space="preserve"> .</w:t>
      </w:r>
      <w:proofErr w:type="gramEnd"/>
      <w:r>
        <w:rPr>
          <w:rFonts w:eastAsia="Times New Roman"/>
        </w:rPr>
        <w:t xml:space="preserve"> 2021;9(2). </w:t>
      </w:r>
      <w:proofErr w:type="spellStart"/>
      <w:r>
        <w:rPr>
          <w:rFonts w:eastAsia="Times New Roman"/>
        </w:rPr>
        <w:t>doi</w:t>
      </w:r>
      <w:proofErr w:type="spellEnd"/>
      <w:r>
        <w:rPr>
          <w:rFonts w:eastAsia="Times New Roman"/>
        </w:rPr>
        <w:t>: https://doi.org/10.3390/microorganisms9020291.</w:t>
      </w:r>
    </w:p>
    <w:p w14:paraId="20C5222C"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 xml:space="preserve">NNDSS Annual Report Working Group. Australia’s notifiable diseases status 2014: Annual report of the National Notifiable Diseases Surveillance System. </w:t>
      </w:r>
      <w:proofErr w:type="spellStart"/>
      <w:r w:rsidRPr="009267FE">
        <w:rPr>
          <w:rStyle w:val="Emphasis"/>
          <w:rFonts w:eastAsia="Times New Roman"/>
          <w:b w:val="0"/>
          <w:bCs w:val="0"/>
        </w:rPr>
        <w:t>Commun</w:t>
      </w:r>
      <w:proofErr w:type="spellEnd"/>
      <w:r w:rsidRPr="009267FE">
        <w:rPr>
          <w:rStyle w:val="Emphasis"/>
          <w:rFonts w:eastAsia="Times New Roman"/>
          <w:b w:val="0"/>
          <w:bCs w:val="0"/>
        </w:rPr>
        <w:t xml:space="preserve"> Dis </w:t>
      </w:r>
      <w:proofErr w:type="spellStart"/>
      <w:r w:rsidRPr="009267FE">
        <w:rPr>
          <w:rStyle w:val="Emphasis"/>
          <w:rFonts w:eastAsia="Times New Roman"/>
          <w:b w:val="0"/>
          <w:bCs w:val="0"/>
        </w:rPr>
        <w:t>Intell</w:t>
      </w:r>
      <w:proofErr w:type="spellEnd"/>
      <w:r w:rsidRPr="009267FE">
        <w:rPr>
          <w:rStyle w:val="Emphasis"/>
          <w:rFonts w:eastAsia="Times New Roman"/>
          <w:b w:val="0"/>
          <w:bCs w:val="0"/>
        </w:rPr>
        <w:t xml:space="preserve"> Q </w:t>
      </w:r>
      <w:proofErr w:type="gramStart"/>
      <w:r w:rsidRPr="009267FE">
        <w:rPr>
          <w:rStyle w:val="Emphasis"/>
          <w:rFonts w:eastAsia="Times New Roman"/>
          <w:b w:val="0"/>
          <w:bCs w:val="0"/>
        </w:rPr>
        <w:t>Rep</w:t>
      </w:r>
      <w:r>
        <w:rPr>
          <w:rFonts w:eastAsia="Times New Roman"/>
        </w:rPr>
        <w:t xml:space="preserve"> .</w:t>
      </w:r>
      <w:proofErr w:type="gramEnd"/>
      <w:r>
        <w:rPr>
          <w:rFonts w:eastAsia="Times New Roman"/>
        </w:rPr>
        <w:t xml:space="preserve"> 2016;40(1</w:t>
      </w:r>
      <w:proofErr w:type="gramStart"/>
      <w:r>
        <w:rPr>
          <w:rFonts w:eastAsia="Times New Roman"/>
        </w:rPr>
        <w:t>):E</w:t>
      </w:r>
      <w:proofErr w:type="gramEnd"/>
      <w:r>
        <w:rPr>
          <w:rFonts w:eastAsia="Times New Roman"/>
        </w:rPr>
        <w:t>48–145.</w:t>
      </w:r>
    </w:p>
    <w:p w14:paraId="45BCBBCA"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 xml:space="preserve">Stout JE, Yu VL. Legionellosis. </w:t>
      </w:r>
      <w:r w:rsidRPr="009267FE">
        <w:rPr>
          <w:rStyle w:val="Emphasis"/>
          <w:rFonts w:eastAsia="Times New Roman"/>
          <w:b w:val="0"/>
          <w:bCs w:val="0"/>
        </w:rPr>
        <w:t xml:space="preserve">N </w:t>
      </w:r>
      <w:proofErr w:type="spellStart"/>
      <w:r w:rsidRPr="009267FE">
        <w:rPr>
          <w:rStyle w:val="Emphasis"/>
          <w:rFonts w:eastAsia="Times New Roman"/>
          <w:b w:val="0"/>
          <w:bCs w:val="0"/>
        </w:rPr>
        <w:t>Eng</w:t>
      </w:r>
      <w:proofErr w:type="spellEnd"/>
      <w:r w:rsidRPr="009267FE">
        <w:rPr>
          <w:rStyle w:val="Emphasis"/>
          <w:rFonts w:eastAsia="Times New Roman"/>
          <w:b w:val="0"/>
          <w:bCs w:val="0"/>
        </w:rPr>
        <w:t xml:space="preserve"> J </w:t>
      </w:r>
      <w:proofErr w:type="gramStart"/>
      <w:r w:rsidRPr="009267FE">
        <w:rPr>
          <w:rStyle w:val="Emphasis"/>
          <w:rFonts w:eastAsia="Times New Roman"/>
          <w:b w:val="0"/>
          <w:bCs w:val="0"/>
        </w:rPr>
        <w:t>Med</w:t>
      </w:r>
      <w:r>
        <w:rPr>
          <w:rFonts w:eastAsia="Times New Roman"/>
        </w:rPr>
        <w:t xml:space="preserve"> .</w:t>
      </w:r>
      <w:proofErr w:type="gramEnd"/>
      <w:r>
        <w:rPr>
          <w:rFonts w:eastAsia="Times New Roman"/>
        </w:rPr>
        <w:t xml:space="preserve"> 1997;337(10):682–7.</w:t>
      </w:r>
    </w:p>
    <w:p w14:paraId="747D0AFF"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 xml:space="preserve">Li, JS, O’Brien ED, Guest C. A review of national legionellosis surveillance in Australia, 1991–2000. </w:t>
      </w:r>
      <w:proofErr w:type="spellStart"/>
      <w:r w:rsidRPr="009267FE">
        <w:rPr>
          <w:rStyle w:val="Emphasis"/>
          <w:rFonts w:eastAsia="Times New Roman"/>
          <w:b w:val="0"/>
          <w:bCs w:val="0"/>
        </w:rPr>
        <w:t>Commun</w:t>
      </w:r>
      <w:proofErr w:type="spellEnd"/>
      <w:r w:rsidRPr="009267FE">
        <w:rPr>
          <w:rStyle w:val="Emphasis"/>
          <w:rFonts w:eastAsia="Times New Roman"/>
          <w:b w:val="0"/>
          <w:bCs w:val="0"/>
        </w:rPr>
        <w:t xml:space="preserve"> Dis </w:t>
      </w:r>
      <w:proofErr w:type="spellStart"/>
      <w:r w:rsidRPr="009267FE">
        <w:rPr>
          <w:rStyle w:val="Emphasis"/>
          <w:rFonts w:eastAsia="Times New Roman"/>
          <w:b w:val="0"/>
          <w:bCs w:val="0"/>
        </w:rPr>
        <w:t>Intell</w:t>
      </w:r>
      <w:proofErr w:type="spellEnd"/>
      <w:r w:rsidRPr="009267FE">
        <w:rPr>
          <w:rStyle w:val="Emphasis"/>
          <w:rFonts w:eastAsia="Times New Roman"/>
          <w:b w:val="0"/>
          <w:bCs w:val="0"/>
        </w:rPr>
        <w:t xml:space="preserve"> Q </w:t>
      </w:r>
      <w:proofErr w:type="gramStart"/>
      <w:r w:rsidRPr="009267FE">
        <w:rPr>
          <w:rStyle w:val="Emphasis"/>
          <w:rFonts w:eastAsia="Times New Roman"/>
          <w:b w:val="0"/>
          <w:bCs w:val="0"/>
        </w:rPr>
        <w:t>Rep</w:t>
      </w:r>
      <w:r>
        <w:rPr>
          <w:rFonts w:eastAsia="Times New Roman"/>
        </w:rPr>
        <w:t xml:space="preserve"> .</w:t>
      </w:r>
      <w:proofErr w:type="gramEnd"/>
      <w:r>
        <w:rPr>
          <w:rFonts w:eastAsia="Times New Roman"/>
        </w:rPr>
        <w:t xml:space="preserve"> 2002;26(3):462–70.</w:t>
      </w:r>
    </w:p>
    <w:p w14:paraId="7C1BD7F0"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 xml:space="preserve">Charles PGP, Whitby M, Fuller AJ, Stirling R, Wright AA, </w:t>
      </w:r>
      <w:proofErr w:type="spellStart"/>
      <w:r>
        <w:rPr>
          <w:rFonts w:eastAsia="Times New Roman"/>
        </w:rPr>
        <w:t>Korman</w:t>
      </w:r>
      <w:proofErr w:type="spellEnd"/>
      <w:r>
        <w:rPr>
          <w:rFonts w:eastAsia="Times New Roman"/>
        </w:rPr>
        <w:t xml:space="preserve"> TM et al. The </w:t>
      </w:r>
      <w:proofErr w:type="spellStart"/>
      <w:r>
        <w:rPr>
          <w:rFonts w:eastAsia="Times New Roman"/>
        </w:rPr>
        <w:t>etiology</w:t>
      </w:r>
      <w:proofErr w:type="spellEnd"/>
      <w:r>
        <w:rPr>
          <w:rFonts w:eastAsia="Times New Roman"/>
        </w:rPr>
        <w:t xml:space="preserve"> of community-acquired pneumonia in Australia: why penicillin plus doxycycline or a macrolide is the most appropriate therapy. </w:t>
      </w:r>
      <w:r w:rsidRPr="009267FE">
        <w:rPr>
          <w:rStyle w:val="Emphasis"/>
          <w:rFonts w:eastAsia="Times New Roman"/>
          <w:b w:val="0"/>
          <w:bCs w:val="0"/>
        </w:rPr>
        <w:t xml:space="preserve">Clin Infect </w:t>
      </w:r>
      <w:proofErr w:type="gramStart"/>
      <w:r w:rsidRPr="009267FE">
        <w:rPr>
          <w:rStyle w:val="Emphasis"/>
          <w:rFonts w:eastAsia="Times New Roman"/>
          <w:b w:val="0"/>
          <w:bCs w:val="0"/>
        </w:rPr>
        <w:t>Dis</w:t>
      </w:r>
      <w:r>
        <w:rPr>
          <w:rFonts w:eastAsia="Times New Roman"/>
        </w:rPr>
        <w:t xml:space="preserve"> .</w:t>
      </w:r>
      <w:proofErr w:type="gramEnd"/>
      <w:r>
        <w:rPr>
          <w:rFonts w:eastAsia="Times New Roman"/>
        </w:rPr>
        <w:t xml:space="preserve"> 2008;46(10):1513–21.</w:t>
      </w:r>
    </w:p>
    <w:p w14:paraId="53380367"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 xml:space="preserve">Australian Bureau of Statistics. 2016 Census </w:t>
      </w:r>
      <w:proofErr w:type="spellStart"/>
      <w:r>
        <w:rPr>
          <w:rFonts w:eastAsia="Times New Roman"/>
        </w:rPr>
        <w:t>QuickStats</w:t>
      </w:r>
      <w:proofErr w:type="spellEnd"/>
      <w:r>
        <w:rPr>
          <w:rFonts w:eastAsia="Times New Roman"/>
        </w:rPr>
        <w:t>: Northern Territory. [Webpage.] Canberra: Australian Government, Australian Bureau of Statistics; 2021. [Accessed on 12 June 2021.] Available from: https://quickstats.censusdata.abs.gov.au/census_services/getproduct/census/2016/quickstat/7.</w:t>
      </w:r>
    </w:p>
    <w:p w14:paraId="26E771F1"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Australian Government Department of Health. Legionellosis case definition. [Internet.] Canberra: Australian Government Department of Health; 20 December 2012. [Accessed on 12 June 2021.] Available from: https://www1.health.gov.au/internet/main/publishing.nsf/Content/cda-surveil-nndss-casedefs-cd_legion.htm.</w:t>
      </w:r>
    </w:p>
    <w:p w14:paraId="180AF721"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Australian Government Department of Health. Legionellosis: CDNA national guidelines for public health units. [Internet.] Canberra: Australian Government Department of Health; 10 October 2017. [Accessed on 10 July 2021.] Available from: https://www1.health.gov.au/internet/main/publishing.nsf/Content/cdna-song-legionella.htm.</w:t>
      </w:r>
    </w:p>
    <w:p w14:paraId="77B778E3"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 xml:space="preserve">Australian Government Department of Health. </w:t>
      </w:r>
      <w:r w:rsidRPr="009267FE">
        <w:rPr>
          <w:rStyle w:val="Emphasis"/>
          <w:rFonts w:eastAsia="Times New Roman"/>
          <w:b w:val="0"/>
          <w:bCs w:val="0"/>
        </w:rPr>
        <w:t>Legionella</w:t>
      </w:r>
      <w:r>
        <w:rPr>
          <w:rFonts w:eastAsia="Times New Roman"/>
        </w:rPr>
        <w:t xml:space="preserve"> Laboratory Case Definition (LCD). [Internet.] Canberra: Australian Government Department of Health; 16 August 2019. [Accessed on 1 June 2021.] Available from: https://www1.health.gov.au/internet/main/publishing.nsf/Content/cda-phlncd-legionella.htm.</w:t>
      </w:r>
    </w:p>
    <w:p w14:paraId="54A59CBE"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 xml:space="preserve">Therapeutic Guidelines. </w:t>
      </w:r>
      <w:proofErr w:type="spellStart"/>
      <w:r>
        <w:rPr>
          <w:rFonts w:eastAsia="Times New Roman"/>
        </w:rPr>
        <w:t>eTG</w:t>
      </w:r>
      <w:proofErr w:type="spellEnd"/>
      <w:r>
        <w:rPr>
          <w:rFonts w:eastAsia="Times New Roman"/>
        </w:rPr>
        <w:t xml:space="preserve"> complete: Directed therapy for pneumonia: Legionella pneumonia in adults. [Webpage.] Melbourne: Therapeutic Guidelines Limited; March 2020. [Accessed on 1 June 2021.] Available from: https://tgldcdp.tg.org.au/viewTopic?topicfile=pneumonia-directed-therapy&amp;guidelineName=Antibiotic#toc_d1e645.</w:t>
      </w:r>
    </w:p>
    <w:p w14:paraId="707AFDA9" w14:textId="77777777" w:rsidR="00A34097" w:rsidRDefault="00A34097" w:rsidP="00A34097">
      <w:pPr>
        <w:numPr>
          <w:ilvl w:val="0"/>
          <w:numId w:val="8"/>
        </w:numPr>
        <w:spacing w:before="100" w:beforeAutospacing="1" w:after="100" w:afterAutospacing="1" w:line="240" w:lineRule="auto"/>
        <w:rPr>
          <w:rFonts w:eastAsia="Times New Roman"/>
        </w:rPr>
      </w:pPr>
      <w:proofErr w:type="spellStart"/>
      <w:r>
        <w:rPr>
          <w:rFonts w:eastAsia="Times New Roman"/>
        </w:rPr>
        <w:t>Torzillo</w:t>
      </w:r>
      <w:proofErr w:type="spellEnd"/>
      <w:r>
        <w:rPr>
          <w:rFonts w:eastAsia="Times New Roman"/>
        </w:rPr>
        <w:t xml:space="preserve"> PJ, </w:t>
      </w:r>
      <w:proofErr w:type="spellStart"/>
      <w:r>
        <w:rPr>
          <w:rFonts w:eastAsia="Times New Roman"/>
        </w:rPr>
        <w:t>Pholeros</w:t>
      </w:r>
      <w:proofErr w:type="spellEnd"/>
      <w:r>
        <w:rPr>
          <w:rFonts w:eastAsia="Times New Roman"/>
        </w:rPr>
        <w:t xml:space="preserve"> P, </w:t>
      </w:r>
      <w:proofErr w:type="spellStart"/>
      <w:r>
        <w:rPr>
          <w:rFonts w:eastAsia="Times New Roman"/>
        </w:rPr>
        <w:t>Rainow</w:t>
      </w:r>
      <w:proofErr w:type="spellEnd"/>
      <w:r>
        <w:rPr>
          <w:rFonts w:eastAsia="Times New Roman"/>
        </w:rPr>
        <w:t xml:space="preserve"> S, Barker G, </w:t>
      </w:r>
      <w:proofErr w:type="spellStart"/>
      <w:r>
        <w:rPr>
          <w:rFonts w:eastAsia="Times New Roman"/>
        </w:rPr>
        <w:t>Sowerbutts</w:t>
      </w:r>
      <w:proofErr w:type="spellEnd"/>
      <w:r>
        <w:rPr>
          <w:rFonts w:eastAsia="Times New Roman"/>
        </w:rPr>
        <w:t xml:space="preserve"> T, Short T et al. The state of health hardware in Aboriginal communities in rural and remote Australia. </w:t>
      </w:r>
      <w:r w:rsidRPr="009267FE">
        <w:rPr>
          <w:rStyle w:val="Emphasis"/>
          <w:rFonts w:eastAsia="Times New Roman"/>
          <w:b w:val="0"/>
          <w:bCs w:val="0"/>
        </w:rPr>
        <w:t xml:space="preserve">Aust N Z J Public </w:t>
      </w:r>
      <w:proofErr w:type="gramStart"/>
      <w:r w:rsidRPr="009267FE">
        <w:rPr>
          <w:rStyle w:val="Emphasis"/>
          <w:rFonts w:eastAsia="Times New Roman"/>
          <w:b w:val="0"/>
          <w:bCs w:val="0"/>
        </w:rPr>
        <w:t>Health</w:t>
      </w:r>
      <w:r>
        <w:rPr>
          <w:rFonts w:eastAsia="Times New Roman"/>
        </w:rPr>
        <w:t xml:space="preserve"> .</w:t>
      </w:r>
      <w:proofErr w:type="gramEnd"/>
      <w:r>
        <w:rPr>
          <w:rFonts w:eastAsia="Times New Roman"/>
        </w:rPr>
        <w:t xml:space="preserve"> 2008;32(1):7–11.</w:t>
      </w:r>
    </w:p>
    <w:p w14:paraId="39623807" w14:textId="77777777" w:rsidR="00A34097" w:rsidRDefault="00A34097" w:rsidP="00A34097">
      <w:pPr>
        <w:numPr>
          <w:ilvl w:val="0"/>
          <w:numId w:val="8"/>
        </w:numPr>
        <w:spacing w:before="100" w:beforeAutospacing="1" w:after="100" w:afterAutospacing="1" w:line="240" w:lineRule="auto"/>
        <w:rPr>
          <w:rFonts w:eastAsia="Times New Roman"/>
        </w:rPr>
      </w:pPr>
      <w:proofErr w:type="spellStart"/>
      <w:r>
        <w:rPr>
          <w:rFonts w:eastAsia="Times New Roman"/>
        </w:rPr>
        <w:t>Isenman</w:t>
      </w:r>
      <w:proofErr w:type="spellEnd"/>
      <w:r>
        <w:rPr>
          <w:rFonts w:eastAsia="Times New Roman"/>
        </w:rPr>
        <w:t xml:space="preserve"> HL, Chambers ST, </w:t>
      </w:r>
      <w:proofErr w:type="spellStart"/>
      <w:r>
        <w:rPr>
          <w:rFonts w:eastAsia="Times New Roman"/>
        </w:rPr>
        <w:t>Pithe</w:t>
      </w:r>
      <w:proofErr w:type="spellEnd"/>
      <w:r>
        <w:rPr>
          <w:rFonts w:eastAsia="Times New Roman"/>
        </w:rPr>
        <w:t xml:space="preserve"> AD, Macdonald SLS, Hegarty JM, Fenwick JL et al. Legionnaire’s disease caused by </w:t>
      </w:r>
      <w:r w:rsidRPr="009267FE">
        <w:rPr>
          <w:rStyle w:val="Emphasis"/>
          <w:rFonts w:eastAsia="Times New Roman"/>
          <w:b w:val="0"/>
          <w:bCs w:val="0"/>
        </w:rPr>
        <w:t xml:space="preserve">Legionella </w:t>
      </w:r>
      <w:proofErr w:type="spellStart"/>
      <w:proofErr w:type="gramStart"/>
      <w:r w:rsidRPr="009267FE">
        <w:rPr>
          <w:rStyle w:val="Emphasis"/>
          <w:rFonts w:eastAsia="Times New Roman"/>
          <w:b w:val="0"/>
          <w:bCs w:val="0"/>
        </w:rPr>
        <w:t>longbeachae</w:t>
      </w:r>
      <w:proofErr w:type="spellEnd"/>
      <w:r>
        <w:rPr>
          <w:rFonts w:eastAsia="Times New Roman"/>
        </w:rPr>
        <w:t xml:space="preserve"> :</w:t>
      </w:r>
      <w:proofErr w:type="gramEnd"/>
      <w:r>
        <w:rPr>
          <w:rFonts w:eastAsia="Times New Roman"/>
        </w:rPr>
        <w:t xml:space="preserve"> clinical features and outcomes of 107 cases from an endemic area. </w:t>
      </w:r>
      <w:proofErr w:type="gramStart"/>
      <w:r w:rsidRPr="009267FE">
        <w:rPr>
          <w:rStyle w:val="Emphasis"/>
          <w:rFonts w:eastAsia="Times New Roman"/>
          <w:b w:val="0"/>
          <w:bCs w:val="0"/>
        </w:rPr>
        <w:t>Respirology</w:t>
      </w:r>
      <w:r>
        <w:rPr>
          <w:rFonts w:eastAsia="Times New Roman"/>
        </w:rPr>
        <w:t xml:space="preserve"> .</w:t>
      </w:r>
      <w:proofErr w:type="gramEnd"/>
      <w:r>
        <w:rPr>
          <w:rFonts w:eastAsia="Times New Roman"/>
        </w:rPr>
        <w:t xml:space="preserve"> 2016;21(7):1292–9.</w:t>
      </w:r>
    </w:p>
    <w:p w14:paraId="080C334C"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 xml:space="preserve">Cameron S, </w:t>
      </w:r>
      <w:proofErr w:type="spellStart"/>
      <w:r>
        <w:rPr>
          <w:rFonts w:eastAsia="Times New Roman"/>
        </w:rPr>
        <w:t>Roder</w:t>
      </w:r>
      <w:proofErr w:type="spellEnd"/>
      <w:r>
        <w:rPr>
          <w:rFonts w:eastAsia="Times New Roman"/>
        </w:rPr>
        <w:t xml:space="preserve"> D, Walker C, </w:t>
      </w:r>
      <w:proofErr w:type="spellStart"/>
      <w:r>
        <w:rPr>
          <w:rFonts w:eastAsia="Times New Roman"/>
        </w:rPr>
        <w:t>Feldheim</w:t>
      </w:r>
      <w:proofErr w:type="spellEnd"/>
      <w:r>
        <w:rPr>
          <w:rFonts w:eastAsia="Times New Roman"/>
        </w:rPr>
        <w:t xml:space="preserve"> J. Epidemiological characteristics of </w:t>
      </w:r>
      <w:r w:rsidRPr="009267FE">
        <w:rPr>
          <w:rStyle w:val="Emphasis"/>
          <w:rFonts w:eastAsia="Times New Roman"/>
          <w:b w:val="0"/>
          <w:bCs w:val="0"/>
        </w:rPr>
        <w:t>Legionella</w:t>
      </w:r>
      <w:r>
        <w:rPr>
          <w:rFonts w:eastAsia="Times New Roman"/>
        </w:rPr>
        <w:t xml:space="preserve"> infection in South Australia: implications for disease control. </w:t>
      </w:r>
      <w:r w:rsidRPr="009267FE">
        <w:rPr>
          <w:rStyle w:val="Emphasis"/>
          <w:rFonts w:eastAsia="Times New Roman"/>
          <w:b w:val="0"/>
          <w:bCs w:val="0"/>
        </w:rPr>
        <w:t xml:space="preserve">Aust N Z J </w:t>
      </w:r>
      <w:proofErr w:type="gramStart"/>
      <w:r w:rsidRPr="009267FE">
        <w:rPr>
          <w:rStyle w:val="Emphasis"/>
          <w:rFonts w:eastAsia="Times New Roman"/>
          <w:b w:val="0"/>
          <w:bCs w:val="0"/>
        </w:rPr>
        <w:t>Med</w:t>
      </w:r>
      <w:r>
        <w:rPr>
          <w:rFonts w:eastAsia="Times New Roman"/>
        </w:rPr>
        <w:t xml:space="preserve"> .</w:t>
      </w:r>
      <w:proofErr w:type="gramEnd"/>
      <w:r>
        <w:rPr>
          <w:rFonts w:eastAsia="Times New Roman"/>
        </w:rPr>
        <w:t xml:space="preserve"> 1991;21(1):65–70.</w:t>
      </w:r>
    </w:p>
    <w:p w14:paraId="57189A6A"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Priest PC, Slow S, Chambers ST, Cameron CM, Balm MN, Beale MW et al. The burden of Legionnaires’ disease in New Zealand (</w:t>
      </w:r>
      <w:proofErr w:type="spellStart"/>
      <w:r>
        <w:rPr>
          <w:rFonts w:eastAsia="Times New Roman"/>
        </w:rPr>
        <w:t>LegiNZ</w:t>
      </w:r>
      <w:proofErr w:type="spellEnd"/>
      <w:r>
        <w:rPr>
          <w:rFonts w:eastAsia="Times New Roman"/>
        </w:rPr>
        <w:t xml:space="preserve">): a national surveillance study. </w:t>
      </w:r>
      <w:r w:rsidRPr="009267FE">
        <w:rPr>
          <w:rStyle w:val="Emphasis"/>
          <w:rFonts w:eastAsia="Times New Roman"/>
          <w:b w:val="0"/>
          <w:bCs w:val="0"/>
        </w:rPr>
        <w:t xml:space="preserve">Lancet Infect </w:t>
      </w:r>
      <w:proofErr w:type="gramStart"/>
      <w:r w:rsidRPr="009267FE">
        <w:rPr>
          <w:rStyle w:val="Emphasis"/>
          <w:rFonts w:eastAsia="Times New Roman"/>
          <w:b w:val="0"/>
          <w:bCs w:val="0"/>
        </w:rPr>
        <w:t>Dis</w:t>
      </w:r>
      <w:r>
        <w:rPr>
          <w:rFonts w:eastAsia="Times New Roman"/>
        </w:rPr>
        <w:t xml:space="preserve"> .</w:t>
      </w:r>
      <w:proofErr w:type="gramEnd"/>
      <w:r>
        <w:rPr>
          <w:rFonts w:eastAsia="Times New Roman"/>
        </w:rPr>
        <w:t xml:space="preserve"> 2019;19(7):770–7.</w:t>
      </w:r>
    </w:p>
    <w:p w14:paraId="65E8AA00"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 xml:space="preserve">Phin N, Parry-Ford-F, Harrison T, Stagg H, Zhang N, Kumar K et al. Epidemiology and clinical management of Legionnaires’ disease. </w:t>
      </w:r>
      <w:r w:rsidRPr="009267FE">
        <w:rPr>
          <w:rStyle w:val="Emphasis"/>
          <w:rFonts w:eastAsia="Times New Roman"/>
          <w:b w:val="0"/>
          <w:bCs w:val="0"/>
        </w:rPr>
        <w:t xml:space="preserve">Lancet </w:t>
      </w:r>
      <w:proofErr w:type="spellStart"/>
      <w:r w:rsidRPr="009267FE">
        <w:rPr>
          <w:rStyle w:val="Emphasis"/>
          <w:rFonts w:eastAsia="Times New Roman"/>
          <w:b w:val="0"/>
          <w:bCs w:val="0"/>
        </w:rPr>
        <w:t>Infec</w:t>
      </w:r>
      <w:proofErr w:type="spellEnd"/>
      <w:r w:rsidRPr="009267FE">
        <w:rPr>
          <w:rStyle w:val="Emphasis"/>
          <w:rFonts w:eastAsia="Times New Roman"/>
          <w:b w:val="0"/>
          <w:bCs w:val="0"/>
        </w:rPr>
        <w:t xml:space="preserve"> </w:t>
      </w:r>
      <w:proofErr w:type="gramStart"/>
      <w:r w:rsidRPr="009267FE">
        <w:rPr>
          <w:rStyle w:val="Emphasis"/>
          <w:rFonts w:eastAsia="Times New Roman"/>
          <w:b w:val="0"/>
          <w:bCs w:val="0"/>
        </w:rPr>
        <w:t>Dis</w:t>
      </w:r>
      <w:r>
        <w:rPr>
          <w:rFonts w:eastAsia="Times New Roman"/>
        </w:rPr>
        <w:t xml:space="preserve"> .</w:t>
      </w:r>
      <w:proofErr w:type="gramEnd"/>
      <w:r>
        <w:rPr>
          <w:rFonts w:eastAsia="Times New Roman"/>
        </w:rPr>
        <w:t xml:space="preserve"> 2014;14(10):1011–21.</w:t>
      </w:r>
    </w:p>
    <w:p w14:paraId="29CEA582"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 xml:space="preserve">Simmering JE, </w:t>
      </w:r>
      <w:proofErr w:type="spellStart"/>
      <w:r>
        <w:rPr>
          <w:rFonts w:eastAsia="Times New Roman"/>
        </w:rPr>
        <w:t>Polgreen</w:t>
      </w:r>
      <w:proofErr w:type="spellEnd"/>
      <w:r>
        <w:rPr>
          <w:rFonts w:eastAsia="Times New Roman"/>
        </w:rPr>
        <w:t xml:space="preserve"> LA, </w:t>
      </w:r>
      <w:proofErr w:type="spellStart"/>
      <w:r>
        <w:rPr>
          <w:rFonts w:eastAsia="Times New Roman"/>
        </w:rPr>
        <w:t>Hornick</w:t>
      </w:r>
      <w:proofErr w:type="spellEnd"/>
      <w:r>
        <w:rPr>
          <w:rFonts w:eastAsia="Times New Roman"/>
        </w:rPr>
        <w:t xml:space="preserve"> DB, </w:t>
      </w:r>
      <w:proofErr w:type="spellStart"/>
      <w:r>
        <w:rPr>
          <w:rFonts w:eastAsia="Times New Roman"/>
        </w:rPr>
        <w:t>Sewekk</w:t>
      </w:r>
      <w:proofErr w:type="spellEnd"/>
      <w:r>
        <w:rPr>
          <w:rFonts w:eastAsia="Times New Roman"/>
        </w:rPr>
        <w:t xml:space="preserve"> DK, </w:t>
      </w:r>
      <w:proofErr w:type="spellStart"/>
      <w:r>
        <w:rPr>
          <w:rFonts w:eastAsia="Times New Roman"/>
        </w:rPr>
        <w:t>Polgreen</w:t>
      </w:r>
      <w:proofErr w:type="spellEnd"/>
      <w:r>
        <w:rPr>
          <w:rFonts w:eastAsia="Times New Roman"/>
        </w:rPr>
        <w:t xml:space="preserve"> PM. Weather dependent risk for Legionnaires’ disease, United States. </w:t>
      </w:r>
      <w:proofErr w:type="spellStart"/>
      <w:r w:rsidRPr="009267FE">
        <w:rPr>
          <w:rStyle w:val="Emphasis"/>
          <w:rFonts w:eastAsia="Times New Roman"/>
          <w:b w:val="0"/>
          <w:bCs w:val="0"/>
        </w:rPr>
        <w:t>Emerg</w:t>
      </w:r>
      <w:proofErr w:type="spellEnd"/>
      <w:r w:rsidRPr="009267FE">
        <w:rPr>
          <w:rStyle w:val="Emphasis"/>
          <w:rFonts w:eastAsia="Times New Roman"/>
          <w:b w:val="0"/>
          <w:bCs w:val="0"/>
        </w:rPr>
        <w:t xml:space="preserve"> Infect </w:t>
      </w:r>
      <w:proofErr w:type="gramStart"/>
      <w:r w:rsidRPr="009267FE">
        <w:rPr>
          <w:rStyle w:val="Emphasis"/>
          <w:rFonts w:eastAsia="Times New Roman"/>
          <w:b w:val="0"/>
          <w:bCs w:val="0"/>
        </w:rPr>
        <w:t>Dis</w:t>
      </w:r>
      <w:r>
        <w:rPr>
          <w:rFonts w:eastAsia="Times New Roman"/>
        </w:rPr>
        <w:t xml:space="preserve"> .</w:t>
      </w:r>
      <w:proofErr w:type="gramEnd"/>
      <w:r>
        <w:rPr>
          <w:rFonts w:eastAsia="Times New Roman"/>
        </w:rPr>
        <w:t xml:space="preserve"> 2017;23(11):1843–51.</w:t>
      </w:r>
    </w:p>
    <w:p w14:paraId="77B02817"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 xml:space="preserve">Murdoch DR, </w:t>
      </w:r>
      <w:proofErr w:type="spellStart"/>
      <w:r>
        <w:rPr>
          <w:rFonts w:eastAsia="Times New Roman"/>
        </w:rPr>
        <w:t>Podmore</w:t>
      </w:r>
      <w:proofErr w:type="spellEnd"/>
      <w:r>
        <w:rPr>
          <w:rFonts w:eastAsia="Times New Roman"/>
        </w:rPr>
        <w:t xml:space="preserve"> RG, Anderson TP, Barratt K, Maze MJ, French KE et al. Impact of routine systematic polymerase chain reaction testing on case finding for Legionnaires’ disease: a pre-post comparison study. </w:t>
      </w:r>
      <w:r w:rsidRPr="009267FE">
        <w:rPr>
          <w:rStyle w:val="Emphasis"/>
          <w:rFonts w:eastAsia="Times New Roman"/>
          <w:b w:val="0"/>
          <w:bCs w:val="0"/>
        </w:rPr>
        <w:t xml:space="preserve">Clin Inf </w:t>
      </w:r>
      <w:proofErr w:type="gramStart"/>
      <w:r w:rsidRPr="009267FE">
        <w:rPr>
          <w:rStyle w:val="Emphasis"/>
          <w:rFonts w:eastAsia="Times New Roman"/>
          <w:b w:val="0"/>
          <w:bCs w:val="0"/>
        </w:rPr>
        <w:t>Dis</w:t>
      </w:r>
      <w:r>
        <w:rPr>
          <w:rFonts w:eastAsia="Times New Roman"/>
        </w:rPr>
        <w:t xml:space="preserve"> .</w:t>
      </w:r>
      <w:proofErr w:type="gramEnd"/>
      <w:r>
        <w:rPr>
          <w:rFonts w:eastAsia="Times New Roman"/>
        </w:rPr>
        <w:t xml:space="preserve"> 2013;57(9):1275–81.</w:t>
      </w:r>
    </w:p>
    <w:p w14:paraId="3BFEFF94" w14:textId="77777777" w:rsidR="00A34097" w:rsidRDefault="00A34097" w:rsidP="00A34097">
      <w:pPr>
        <w:numPr>
          <w:ilvl w:val="0"/>
          <w:numId w:val="8"/>
        </w:numPr>
        <w:spacing w:before="100" w:beforeAutospacing="1" w:after="100" w:afterAutospacing="1" w:line="240" w:lineRule="auto"/>
        <w:rPr>
          <w:rFonts w:eastAsia="Times New Roman"/>
        </w:rPr>
      </w:pPr>
      <w:r>
        <w:rPr>
          <w:rFonts w:eastAsia="Times New Roman"/>
        </w:rPr>
        <w:t xml:space="preserve">Anvi T, </w:t>
      </w:r>
      <w:proofErr w:type="spellStart"/>
      <w:r>
        <w:rPr>
          <w:rFonts w:eastAsia="Times New Roman"/>
        </w:rPr>
        <w:t>Beiber</w:t>
      </w:r>
      <w:proofErr w:type="spellEnd"/>
      <w:r>
        <w:rPr>
          <w:rFonts w:eastAsia="Times New Roman"/>
        </w:rPr>
        <w:t xml:space="preserve"> A, Green H, Steinmetz T, </w:t>
      </w:r>
      <w:proofErr w:type="spellStart"/>
      <w:r>
        <w:rPr>
          <w:rFonts w:eastAsia="Times New Roman"/>
        </w:rPr>
        <w:t>Leibovici</w:t>
      </w:r>
      <w:proofErr w:type="spellEnd"/>
      <w:r>
        <w:rPr>
          <w:rFonts w:eastAsia="Times New Roman"/>
        </w:rPr>
        <w:t xml:space="preserve"> L, Paul M. Diagnostic accuracy of PCR alone and compared to urinary antigen testing for detection of </w:t>
      </w:r>
      <w:r w:rsidRPr="009267FE">
        <w:rPr>
          <w:rStyle w:val="Emphasis"/>
          <w:rFonts w:eastAsia="Times New Roman"/>
          <w:b w:val="0"/>
          <w:bCs w:val="0"/>
        </w:rPr>
        <w:t>Legionella</w:t>
      </w:r>
      <w:r>
        <w:rPr>
          <w:rFonts w:eastAsia="Times New Roman"/>
        </w:rPr>
        <w:t xml:space="preserve"> spp.: a systematic review. </w:t>
      </w:r>
      <w:r w:rsidRPr="009267FE">
        <w:rPr>
          <w:rStyle w:val="Emphasis"/>
          <w:rFonts w:eastAsia="Times New Roman"/>
          <w:b w:val="0"/>
          <w:bCs w:val="0"/>
        </w:rPr>
        <w:t xml:space="preserve">J Clin </w:t>
      </w:r>
      <w:proofErr w:type="gramStart"/>
      <w:r w:rsidRPr="009267FE">
        <w:rPr>
          <w:rStyle w:val="Emphasis"/>
          <w:rFonts w:eastAsia="Times New Roman"/>
          <w:b w:val="0"/>
          <w:bCs w:val="0"/>
        </w:rPr>
        <w:t>Microbiol</w:t>
      </w:r>
      <w:r>
        <w:rPr>
          <w:rFonts w:eastAsia="Times New Roman"/>
        </w:rPr>
        <w:t xml:space="preserve"> .</w:t>
      </w:r>
      <w:proofErr w:type="gramEnd"/>
      <w:r>
        <w:rPr>
          <w:rFonts w:eastAsia="Times New Roman"/>
        </w:rPr>
        <w:t xml:space="preserve"> 2016;54(2):401–11.</w:t>
      </w:r>
    </w:p>
    <w:p w14:paraId="409FA91B" w14:textId="77777777" w:rsidR="00A34097" w:rsidRDefault="00A34097" w:rsidP="00A34097">
      <w:pPr>
        <w:numPr>
          <w:ilvl w:val="0"/>
          <w:numId w:val="8"/>
        </w:numPr>
        <w:spacing w:before="100" w:beforeAutospacing="1" w:after="100" w:afterAutospacing="1" w:line="240" w:lineRule="auto"/>
        <w:rPr>
          <w:rFonts w:eastAsia="Times New Roman"/>
        </w:rPr>
      </w:pPr>
      <w:proofErr w:type="spellStart"/>
      <w:r>
        <w:rPr>
          <w:rFonts w:eastAsia="Times New Roman"/>
        </w:rPr>
        <w:lastRenderedPageBreak/>
        <w:t>Kenagy</w:t>
      </w:r>
      <w:proofErr w:type="spellEnd"/>
      <w:r>
        <w:rPr>
          <w:rFonts w:eastAsia="Times New Roman"/>
        </w:rPr>
        <w:t xml:space="preserve"> E, Priest PC, Cameron CM, Smith D, Scott P, Cho V et al. Risk factors for </w:t>
      </w:r>
      <w:r w:rsidRPr="009267FE">
        <w:rPr>
          <w:rStyle w:val="Emphasis"/>
          <w:rFonts w:eastAsia="Times New Roman"/>
          <w:b w:val="0"/>
          <w:bCs w:val="0"/>
        </w:rPr>
        <w:t xml:space="preserve">Legionella </w:t>
      </w:r>
      <w:proofErr w:type="spellStart"/>
      <w:r w:rsidRPr="009267FE">
        <w:rPr>
          <w:rStyle w:val="Emphasis"/>
          <w:rFonts w:eastAsia="Times New Roman"/>
          <w:b w:val="0"/>
          <w:bCs w:val="0"/>
        </w:rPr>
        <w:t>longbeachae</w:t>
      </w:r>
      <w:proofErr w:type="spellEnd"/>
      <w:r>
        <w:rPr>
          <w:rFonts w:eastAsia="Times New Roman"/>
        </w:rPr>
        <w:t xml:space="preserve"> Legionnaire’s disease, New Zealand. </w:t>
      </w:r>
      <w:proofErr w:type="spellStart"/>
      <w:r w:rsidRPr="009267FE">
        <w:rPr>
          <w:rStyle w:val="Emphasis"/>
          <w:rFonts w:eastAsia="Times New Roman"/>
          <w:b w:val="0"/>
          <w:bCs w:val="0"/>
        </w:rPr>
        <w:t>Emerg</w:t>
      </w:r>
      <w:proofErr w:type="spellEnd"/>
      <w:r w:rsidRPr="009267FE">
        <w:rPr>
          <w:rStyle w:val="Emphasis"/>
          <w:rFonts w:eastAsia="Times New Roman"/>
          <w:b w:val="0"/>
          <w:bCs w:val="0"/>
        </w:rPr>
        <w:t xml:space="preserve"> Infect </w:t>
      </w:r>
      <w:proofErr w:type="gramStart"/>
      <w:r w:rsidRPr="009267FE">
        <w:rPr>
          <w:rStyle w:val="Emphasis"/>
          <w:rFonts w:eastAsia="Times New Roman"/>
          <w:b w:val="0"/>
          <w:bCs w:val="0"/>
        </w:rPr>
        <w:t>Dis</w:t>
      </w:r>
      <w:r>
        <w:rPr>
          <w:rFonts w:eastAsia="Times New Roman"/>
        </w:rPr>
        <w:t xml:space="preserve"> .</w:t>
      </w:r>
      <w:proofErr w:type="gramEnd"/>
      <w:r>
        <w:rPr>
          <w:rFonts w:eastAsia="Times New Roman"/>
        </w:rPr>
        <w:t xml:space="preserve"> 2017;23(7):1148–54.</w:t>
      </w:r>
    </w:p>
    <w:p w14:paraId="77BFAEB4" w14:textId="77777777" w:rsidR="008B5348" w:rsidRDefault="008B5348">
      <w:pPr>
        <w:rPr>
          <w:rStyle w:val="A10"/>
        </w:rPr>
        <w:sectPr w:rsidR="008B5348" w:rsidSect="00A30C37">
          <w:headerReference w:type="default" r:id="rId10"/>
          <w:footerReference w:type="default" r:id="rId11"/>
          <w:footerReference w:type="first" r:id="rId12"/>
          <w:pgSz w:w="11906" w:h="16838"/>
          <w:pgMar w:top="720" w:right="720" w:bottom="1134" w:left="720" w:header="709" w:footer="284" w:gutter="0"/>
          <w:cols w:space="708"/>
          <w:titlePg/>
          <w:docGrid w:linePitch="360"/>
        </w:sectPr>
      </w:pPr>
    </w:p>
    <w:p w14:paraId="0F9E1A64" w14:textId="77777777" w:rsidR="000A5F42" w:rsidRPr="000606CC" w:rsidRDefault="000A5F42" w:rsidP="000A5F42">
      <w:pPr>
        <w:pStyle w:val="NoSpacing"/>
        <w:rPr>
          <w:rFonts w:cstheme="minorHAnsi"/>
          <w:sz w:val="18"/>
          <w:szCs w:val="18"/>
        </w:rPr>
      </w:pPr>
      <w:r w:rsidRPr="000606CC">
        <w:rPr>
          <w:rStyle w:val="Strong"/>
          <w:bCs w:val="0"/>
          <w:sz w:val="20"/>
        </w:rPr>
        <w:lastRenderedPageBreak/>
        <w:t>Communicable Diseases Intelligence</w:t>
      </w:r>
    </w:p>
    <w:p w14:paraId="3F67307D" w14:textId="77777777" w:rsidR="000A5F42" w:rsidRPr="000606CC" w:rsidRDefault="000A5F42" w:rsidP="000A5F42">
      <w:pPr>
        <w:pStyle w:val="NoSpacing"/>
        <w:rPr>
          <w:rFonts w:cstheme="minorHAnsi"/>
          <w:sz w:val="20"/>
          <w:szCs w:val="18"/>
        </w:rPr>
      </w:pPr>
      <w:r w:rsidRPr="000606CC">
        <w:rPr>
          <w:rFonts w:cstheme="minorHAnsi"/>
          <w:sz w:val="20"/>
          <w:szCs w:val="18"/>
        </w:rPr>
        <w:t>ISSN: 2209-6051 Online</w:t>
      </w:r>
    </w:p>
    <w:p w14:paraId="74BC1428" w14:textId="77777777" w:rsidR="000A5F42" w:rsidRPr="000606CC" w:rsidRDefault="000A5F42" w:rsidP="000A5F42">
      <w:pPr>
        <w:pStyle w:val="NoSpacing"/>
        <w:rPr>
          <w:rStyle w:val="URI"/>
          <w:rFonts w:cstheme="minorHAnsi"/>
          <w:sz w:val="20"/>
          <w:szCs w:val="18"/>
        </w:rPr>
      </w:pPr>
    </w:p>
    <w:p w14:paraId="6E5E402F" w14:textId="77777777" w:rsidR="000A5F42" w:rsidRPr="000606CC" w:rsidRDefault="000A5F42" w:rsidP="000A5F42">
      <w:pPr>
        <w:pStyle w:val="NoSpacing"/>
        <w:rPr>
          <w:rStyle w:val="Strong"/>
          <w:rFonts w:cs="Calibri"/>
          <w:sz w:val="20"/>
          <w:szCs w:val="18"/>
        </w:rPr>
      </w:pPr>
      <w:r w:rsidRPr="000606CC">
        <w:rPr>
          <w:rStyle w:val="Strong"/>
          <w:rFonts w:cs="Calibri"/>
          <w:b w:val="0"/>
          <w:bCs w:val="0"/>
          <w:sz w:val="20"/>
          <w:szCs w:val="18"/>
        </w:rPr>
        <w:t>Communicable Diseases Intelligence (CDI) is a peer-reviewed scientific journal published by the Office of Health Protection</w:t>
      </w:r>
      <w:r w:rsidR="000325A0">
        <w:rPr>
          <w:rStyle w:val="Strong"/>
          <w:rFonts w:cs="Calibri"/>
          <w:b w:val="0"/>
          <w:bCs w:val="0"/>
          <w:sz w:val="20"/>
          <w:szCs w:val="18"/>
        </w:rPr>
        <w:t xml:space="preserve"> and Response</w:t>
      </w:r>
      <w:r w:rsidRPr="000606CC">
        <w:rPr>
          <w:rStyle w:val="Strong"/>
          <w:rFonts w:cs="Calibri"/>
          <w:b w:val="0"/>
          <w:bCs w:val="0"/>
          <w:sz w:val="20"/>
          <w:szCs w:val="18"/>
        </w:rPr>
        <w:t xml:space="preserve">, Department of Health. The journal aims to disseminate information on the epidemiology, surveillance, </w:t>
      </w:r>
      <w:proofErr w:type="gramStart"/>
      <w:r w:rsidRPr="000606CC">
        <w:rPr>
          <w:rStyle w:val="Strong"/>
          <w:rFonts w:cs="Calibri"/>
          <w:b w:val="0"/>
          <w:bCs w:val="0"/>
          <w:sz w:val="20"/>
          <w:szCs w:val="18"/>
        </w:rPr>
        <w:t>prevention</w:t>
      </w:r>
      <w:proofErr w:type="gramEnd"/>
      <w:r w:rsidRPr="000606CC">
        <w:rPr>
          <w:rStyle w:val="Strong"/>
          <w:rFonts w:cs="Calibri"/>
          <w:b w:val="0"/>
          <w:bCs w:val="0"/>
          <w:sz w:val="20"/>
          <w:szCs w:val="18"/>
        </w:rPr>
        <w:t xml:space="preserve"> and control of communicable diseases of relevance to Australia.</w:t>
      </w:r>
    </w:p>
    <w:p w14:paraId="30D13C71" w14:textId="77777777" w:rsidR="000A5F42" w:rsidRPr="000606CC" w:rsidRDefault="000A5F42" w:rsidP="000A5F42">
      <w:pPr>
        <w:pStyle w:val="NoSpacing"/>
        <w:rPr>
          <w:rStyle w:val="Strong"/>
          <w:rFonts w:cstheme="minorHAnsi"/>
          <w:sz w:val="20"/>
          <w:szCs w:val="18"/>
        </w:rPr>
      </w:pPr>
    </w:p>
    <w:p w14:paraId="66088E25"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Editor: </w:t>
      </w:r>
      <w:r w:rsidR="007E5CA0" w:rsidRPr="007E5CA0">
        <w:rPr>
          <w:rFonts w:cstheme="minorHAnsi"/>
          <w:sz w:val="20"/>
          <w:szCs w:val="18"/>
        </w:rPr>
        <w:t>Noel Lally</w:t>
      </w:r>
    </w:p>
    <w:p w14:paraId="71420C23"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 xml:space="preserve">Deputy Editor: </w:t>
      </w:r>
      <w:r w:rsidR="00C838F5" w:rsidRPr="00C838F5">
        <w:rPr>
          <w:rFonts w:cstheme="minorHAnsi"/>
          <w:sz w:val="20"/>
          <w:szCs w:val="18"/>
        </w:rPr>
        <w:t>Simon Petrie</w:t>
      </w:r>
    </w:p>
    <w:p w14:paraId="0DD88DBC" w14:textId="77777777" w:rsidR="000A5F42" w:rsidRPr="000606CC" w:rsidRDefault="00967410" w:rsidP="000A5F42">
      <w:pPr>
        <w:pStyle w:val="NoSpacing"/>
        <w:rPr>
          <w:rFonts w:cstheme="minorHAnsi"/>
          <w:sz w:val="20"/>
          <w:szCs w:val="18"/>
        </w:rPr>
      </w:pPr>
      <w:r>
        <w:rPr>
          <w:rStyle w:val="Strong"/>
          <w:rFonts w:cstheme="minorHAnsi"/>
          <w:sz w:val="20"/>
          <w:szCs w:val="18"/>
        </w:rPr>
        <w:t>Design</w:t>
      </w:r>
      <w:r w:rsidR="000A5F42" w:rsidRPr="000606CC">
        <w:rPr>
          <w:rStyle w:val="Strong"/>
          <w:rFonts w:cstheme="minorHAnsi"/>
          <w:sz w:val="20"/>
          <w:szCs w:val="18"/>
        </w:rPr>
        <w:t xml:space="preserve"> and Production: </w:t>
      </w:r>
      <w:r w:rsidR="000A5F42" w:rsidRPr="000606CC">
        <w:rPr>
          <w:rFonts w:cstheme="minorHAnsi"/>
          <w:sz w:val="20"/>
          <w:szCs w:val="18"/>
        </w:rPr>
        <w:t>Kasra Yousefi</w:t>
      </w:r>
    </w:p>
    <w:p w14:paraId="47C211E1" w14:textId="77777777" w:rsidR="000A5F42" w:rsidRPr="000606CC" w:rsidRDefault="000A5F42" w:rsidP="000A5F42">
      <w:pPr>
        <w:pStyle w:val="NoSpacing"/>
        <w:rPr>
          <w:rFonts w:cstheme="minorHAnsi"/>
          <w:b/>
          <w:bCs/>
          <w:sz w:val="20"/>
          <w:szCs w:val="18"/>
        </w:rPr>
      </w:pPr>
      <w:r w:rsidRPr="000606CC">
        <w:rPr>
          <w:rStyle w:val="Strong"/>
          <w:rFonts w:cstheme="minorHAnsi"/>
          <w:sz w:val="20"/>
          <w:szCs w:val="18"/>
        </w:rPr>
        <w:t xml:space="preserve">Editorial Advisory Board: </w:t>
      </w:r>
      <w:r w:rsidRPr="000606CC">
        <w:rPr>
          <w:rFonts w:cstheme="minorHAnsi"/>
          <w:sz w:val="20"/>
          <w:szCs w:val="18"/>
        </w:rPr>
        <w:t xml:space="preserve">David </w:t>
      </w:r>
      <w:proofErr w:type="spellStart"/>
      <w:r w:rsidRPr="000606CC">
        <w:rPr>
          <w:rFonts w:cstheme="minorHAnsi"/>
          <w:sz w:val="20"/>
          <w:szCs w:val="18"/>
        </w:rPr>
        <w:t>Durrheim</w:t>
      </w:r>
      <w:proofErr w:type="spellEnd"/>
      <w:r w:rsidRPr="000606CC">
        <w:rPr>
          <w:rFonts w:cstheme="minorHAnsi"/>
          <w:sz w:val="20"/>
          <w:szCs w:val="18"/>
        </w:rPr>
        <w:t xml:space="preserve">, </w:t>
      </w:r>
      <w:r w:rsidRPr="000606CC">
        <w:rPr>
          <w:rStyle w:val="nobreak"/>
          <w:rFonts w:cstheme="minorHAnsi"/>
          <w:sz w:val="20"/>
          <w:szCs w:val="18"/>
        </w:rPr>
        <w:t xml:space="preserve">Mark </w:t>
      </w:r>
      <w:proofErr w:type="spellStart"/>
      <w:r w:rsidRPr="000606CC">
        <w:rPr>
          <w:rStyle w:val="nobreak"/>
          <w:rFonts w:cstheme="minorHAnsi"/>
          <w:sz w:val="20"/>
          <w:szCs w:val="18"/>
        </w:rPr>
        <w:t>Ferson</w:t>
      </w:r>
      <w:proofErr w:type="spellEnd"/>
      <w:r w:rsidR="00F55648">
        <w:rPr>
          <w:rFonts w:cstheme="minorHAnsi"/>
          <w:sz w:val="20"/>
          <w:szCs w:val="18"/>
        </w:rPr>
        <w:t xml:space="preserve">, John Kaldor, </w:t>
      </w:r>
      <w:r w:rsidRPr="000606CC">
        <w:rPr>
          <w:rStyle w:val="nobreak"/>
          <w:rFonts w:cstheme="minorHAnsi"/>
          <w:sz w:val="20"/>
          <w:szCs w:val="18"/>
        </w:rPr>
        <w:t xml:space="preserve">Martyn </w:t>
      </w:r>
      <w:proofErr w:type="gramStart"/>
      <w:r w:rsidRPr="000606CC">
        <w:rPr>
          <w:rStyle w:val="nobreak"/>
          <w:rFonts w:cstheme="minorHAnsi"/>
          <w:sz w:val="20"/>
          <w:szCs w:val="18"/>
        </w:rPr>
        <w:t>Kirk</w:t>
      </w:r>
      <w:proofErr w:type="gramEnd"/>
      <w:r w:rsidR="00F55648">
        <w:rPr>
          <w:rStyle w:val="nobreak"/>
          <w:rFonts w:cstheme="minorHAnsi"/>
          <w:sz w:val="20"/>
          <w:szCs w:val="18"/>
        </w:rPr>
        <w:t xml:space="preserve"> and Linda Selvey</w:t>
      </w:r>
    </w:p>
    <w:p w14:paraId="7B34C17F" w14:textId="77777777" w:rsidR="000A5F42" w:rsidRPr="000606CC" w:rsidRDefault="000A5F42" w:rsidP="000A5F42">
      <w:pPr>
        <w:pStyle w:val="NoSpacing"/>
        <w:rPr>
          <w:rStyle w:val="Strong"/>
          <w:rFonts w:cstheme="minorHAnsi"/>
          <w:sz w:val="20"/>
          <w:szCs w:val="18"/>
        </w:rPr>
      </w:pPr>
    </w:p>
    <w:p w14:paraId="31F02065" w14:textId="04DE38E0"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Website</w:t>
      </w:r>
      <w:r w:rsidRPr="000606CC">
        <w:rPr>
          <w:rFonts w:cstheme="minorHAnsi"/>
          <w:sz w:val="20"/>
          <w:szCs w:val="18"/>
        </w:rPr>
        <w:t xml:space="preserve">: </w:t>
      </w:r>
      <w:hyperlink r:id="rId13" w:tooltip="CDI website" w:history="1">
        <w:r w:rsidRPr="000606CC">
          <w:rPr>
            <w:rStyle w:val="Hyperlink"/>
            <w:rFonts w:cstheme="minorHAnsi"/>
            <w:sz w:val="20"/>
            <w:szCs w:val="18"/>
          </w:rPr>
          <w:t>http://www.health.gov.au/cdi</w:t>
        </w:r>
      </w:hyperlink>
      <w:r w:rsidRPr="000606CC">
        <w:rPr>
          <w:rStyle w:val="URI"/>
          <w:rFonts w:cstheme="minorHAnsi"/>
          <w:sz w:val="20"/>
          <w:szCs w:val="18"/>
        </w:rPr>
        <w:t xml:space="preserve"> </w:t>
      </w:r>
    </w:p>
    <w:p w14:paraId="641794E3" w14:textId="77777777" w:rsidR="000A5F42" w:rsidRPr="000606CC" w:rsidRDefault="000A5F42" w:rsidP="000A5F42">
      <w:pPr>
        <w:pStyle w:val="NoSpacing"/>
        <w:rPr>
          <w:rStyle w:val="Strong"/>
          <w:rFonts w:cstheme="minorHAnsi"/>
          <w:sz w:val="20"/>
          <w:szCs w:val="18"/>
        </w:rPr>
      </w:pPr>
    </w:p>
    <w:p w14:paraId="77B7AC44" w14:textId="77777777" w:rsidR="000A5F42" w:rsidRPr="000606CC" w:rsidRDefault="000A5F42" w:rsidP="00E54BBD">
      <w:pPr>
        <w:pStyle w:val="NoSpacing"/>
        <w:rPr>
          <w:rFonts w:cstheme="minorHAnsi"/>
          <w:sz w:val="20"/>
          <w:szCs w:val="18"/>
        </w:rPr>
      </w:pPr>
      <w:r w:rsidRPr="000606CC">
        <w:rPr>
          <w:rStyle w:val="Strong"/>
          <w:rFonts w:cstheme="minorHAnsi"/>
          <w:sz w:val="20"/>
          <w:szCs w:val="18"/>
        </w:rPr>
        <w:t>Contacts</w:t>
      </w:r>
      <w:r w:rsidRPr="000606CC">
        <w:rPr>
          <w:rStyle w:val="Strong"/>
          <w:rFonts w:cstheme="minorHAnsi"/>
          <w:sz w:val="20"/>
          <w:szCs w:val="18"/>
        </w:rPr>
        <w:br/>
      </w:r>
      <w:r w:rsidR="00E54BBD">
        <w:rPr>
          <w:rFonts w:cstheme="minorHAnsi"/>
          <w:sz w:val="20"/>
          <w:szCs w:val="18"/>
        </w:rPr>
        <w:t>CDI is produced by</w:t>
      </w:r>
      <w:r w:rsidR="00F74958">
        <w:rPr>
          <w:rFonts w:cstheme="minorHAnsi"/>
          <w:sz w:val="20"/>
          <w:szCs w:val="18"/>
        </w:rPr>
        <w:t xml:space="preserve"> the</w:t>
      </w:r>
      <w:r w:rsidR="00E54BBD">
        <w:rPr>
          <w:rFonts w:cstheme="minorHAnsi"/>
          <w:sz w:val="20"/>
          <w:szCs w:val="18"/>
        </w:rPr>
        <w:t xml:space="preserve"> </w:t>
      </w:r>
      <w:r w:rsidR="00E54BBD" w:rsidRPr="00E54BBD">
        <w:rPr>
          <w:rFonts w:cstheme="minorHAnsi"/>
          <w:sz w:val="20"/>
          <w:szCs w:val="18"/>
        </w:rPr>
        <w:t>Office of Health Protection and Response, Australian Government Department of Health, GPO Box 9848, (MDP 6) CANBERRA ACT 2601</w:t>
      </w:r>
    </w:p>
    <w:p w14:paraId="5C58AACE" w14:textId="77777777" w:rsidR="000A5F42" w:rsidRPr="000606CC" w:rsidRDefault="000A5F42" w:rsidP="000A5F42">
      <w:pPr>
        <w:pStyle w:val="NoSpacing"/>
        <w:rPr>
          <w:rStyle w:val="Strong"/>
          <w:rFonts w:cstheme="minorHAnsi"/>
          <w:sz w:val="20"/>
          <w:szCs w:val="18"/>
        </w:rPr>
      </w:pPr>
    </w:p>
    <w:p w14:paraId="509D95A6" w14:textId="13CEBEFA"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 xml:space="preserve">Email: </w:t>
      </w:r>
      <w:hyperlink r:id="rId14" w:history="1">
        <w:r w:rsidRPr="000606CC">
          <w:rPr>
            <w:rStyle w:val="Hyperlink"/>
            <w:rFonts w:cstheme="minorHAnsi"/>
            <w:sz w:val="20"/>
            <w:szCs w:val="18"/>
          </w:rPr>
          <w:t>cdi.editor@health.gov.au</w:t>
        </w:r>
      </w:hyperlink>
      <w:r w:rsidRPr="000606CC">
        <w:rPr>
          <w:rStyle w:val="URI"/>
          <w:rFonts w:cstheme="minorHAnsi"/>
          <w:sz w:val="20"/>
          <w:szCs w:val="18"/>
        </w:rPr>
        <w:t xml:space="preserve"> </w:t>
      </w:r>
    </w:p>
    <w:p w14:paraId="4882E1F6" w14:textId="77777777" w:rsidR="000A5F42" w:rsidRPr="000606CC" w:rsidRDefault="000A5F42" w:rsidP="000A5F42">
      <w:pPr>
        <w:pStyle w:val="NoSpacing"/>
        <w:rPr>
          <w:rStyle w:val="Strong"/>
          <w:rFonts w:cstheme="minorHAnsi"/>
          <w:sz w:val="20"/>
          <w:szCs w:val="18"/>
        </w:rPr>
      </w:pPr>
    </w:p>
    <w:p w14:paraId="60238058" w14:textId="20216E09" w:rsidR="000A5F42" w:rsidRPr="000606CC" w:rsidRDefault="000A5F42" w:rsidP="000A5F42">
      <w:pPr>
        <w:pStyle w:val="NoSpacing"/>
        <w:rPr>
          <w:rFonts w:cstheme="minorHAnsi"/>
          <w:sz w:val="20"/>
          <w:szCs w:val="18"/>
        </w:rPr>
      </w:pPr>
      <w:r w:rsidRPr="000606CC">
        <w:rPr>
          <w:rStyle w:val="Strong"/>
          <w:rFonts w:cstheme="minorHAnsi"/>
          <w:sz w:val="20"/>
          <w:szCs w:val="18"/>
        </w:rPr>
        <w:t>Submit an Article</w:t>
      </w:r>
      <w:r w:rsidRPr="000606CC">
        <w:rPr>
          <w:rStyle w:val="Strong"/>
          <w:rFonts w:cstheme="minorHAnsi"/>
          <w:sz w:val="20"/>
          <w:szCs w:val="18"/>
        </w:rPr>
        <w:br/>
      </w:r>
      <w:r w:rsidRPr="000606CC">
        <w:rPr>
          <w:rFonts w:cstheme="minorHAnsi"/>
          <w:sz w:val="20"/>
          <w:szCs w:val="18"/>
        </w:rPr>
        <w:t xml:space="preserve">You are invited to submit your next communicable disease related article to the Communicable Diseases Intelligence (CDI) for consideration. More information regarding CDI can be found at: </w:t>
      </w:r>
      <w:hyperlink r:id="rId15" w:tooltip="CDI Website" w:history="1">
        <w:r w:rsidRPr="000606CC">
          <w:rPr>
            <w:rStyle w:val="Hyperlink"/>
            <w:rFonts w:cstheme="minorHAnsi"/>
            <w:sz w:val="20"/>
            <w:szCs w:val="18"/>
          </w:rPr>
          <w:t>http://health.gov.au/cdi</w:t>
        </w:r>
      </w:hyperlink>
      <w:r w:rsidRPr="000606CC">
        <w:rPr>
          <w:rFonts w:cstheme="minorHAnsi"/>
          <w:sz w:val="20"/>
          <w:szCs w:val="18"/>
        </w:rPr>
        <w:t xml:space="preserve">. </w:t>
      </w:r>
    </w:p>
    <w:p w14:paraId="4CFF91F9" w14:textId="031D93E5" w:rsidR="000A5F42" w:rsidRPr="000606CC" w:rsidRDefault="000A5F42" w:rsidP="000A5F42">
      <w:pPr>
        <w:pStyle w:val="NoSpacing"/>
        <w:rPr>
          <w:rFonts w:cstheme="minorHAnsi"/>
          <w:sz w:val="20"/>
          <w:szCs w:val="18"/>
        </w:rPr>
      </w:pPr>
      <w:r w:rsidRPr="000606CC">
        <w:rPr>
          <w:rFonts w:cstheme="minorHAnsi"/>
          <w:sz w:val="20"/>
          <w:szCs w:val="18"/>
        </w:rPr>
        <w:t xml:space="preserve">Further enquiries should be directed to: </w:t>
      </w:r>
      <w:hyperlink r:id="rId16" w:history="1">
        <w:r w:rsidRPr="000606CC">
          <w:rPr>
            <w:rStyle w:val="Hyperlink"/>
            <w:rFonts w:cstheme="minorHAnsi"/>
            <w:sz w:val="20"/>
            <w:szCs w:val="18"/>
          </w:rPr>
          <w:t>cdi.editor@health.gov.au</w:t>
        </w:r>
      </w:hyperlink>
      <w:r w:rsidRPr="000606CC">
        <w:rPr>
          <w:rFonts w:cstheme="minorHAnsi"/>
          <w:sz w:val="20"/>
          <w:szCs w:val="18"/>
        </w:rPr>
        <w:t>.</w:t>
      </w:r>
    </w:p>
    <w:p w14:paraId="038FEDC7" w14:textId="77777777" w:rsidR="000A5F42" w:rsidRPr="000606CC" w:rsidRDefault="000A5F42" w:rsidP="000A5F42">
      <w:pPr>
        <w:pStyle w:val="NoSpacing"/>
        <w:pBdr>
          <w:bottom w:val="single" w:sz="6" w:space="1" w:color="auto"/>
        </w:pBdr>
        <w:rPr>
          <w:rStyle w:val="Strong"/>
          <w:rFonts w:cstheme="minorHAnsi"/>
          <w:sz w:val="12"/>
          <w:szCs w:val="18"/>
        </w:rPr>
      </w:pPr>
    </w:p>
    <w:p w14:paraId="43A1A97C" w14:textId="77777777" w:rsidR="000A5F42" w:rsidRPr="000606CC" w:rsidRDefault="000A5F42" w:rsidP="000A5F42">
      <w:pPr>
        <w:pStyle w:val="NoSpacing"/>
        <w:rPr>
          <w:rFonts w:cstheme="minorHAnsi"/>
          <w:sz w:val="20"/>
          <w:szCs w:val="18"/>
        </w:rPr>
      </w:pPr>
    </w:p>
    <w:p w14:paraId="2BEFCABF" w14:textId="77777777" w:rsidR="000A5F42" w:rsidRPr="000606CC" w:rsidRDefault="000A5F42" w:rsidP="000A5F42">
      <w:pPr>
        <w:pStyle w:val="NoSpacing"/>
        <w:rPr>
          <w:rFonts w:cstheme="minorHAnsi"/>
          <w:sz w:val="20"/>
          <w:szCs w:val="18"/>
        </w:rPr>
      </w:pPr>
      <w:r w:rsidRPr="000606CC">
        <w:rPr>
          <w:rFonts w:cstheme="minorHAnsi"/>
          <w:sz w:val="20"/>
          <w:szCs w:val="18"/>
        </w:rPr>
        <w:t>This journal is indexed by Index Medicus and Medline.</w:t>
      </w:r>
    </w:p>
    <w:p w14:paraId="2941CCEB" w14:textId="77777777" w:rsidR="000A5F42" w:rsidRPr="000606CC" w:rsidRDefault="000A5F42" w:rsidP="000A5F42">
      <w:pPr>
        <w:pStyle w:val="NoSpacing"/>
        <w:rPr>
          <w:rFonts w:cstheme="minorHAnsi"/>
          <w:sz w:val="20"/>
          <w:szCs w:val="18"/>
        </w:rPr>
      </w:pPr>
    </w:p>
    <w:p w14:paraId="5C5F0A71" w14:textId="77777777" w:rsidR="000A5F42" w:rsidRPr="000606CC" w:rsidRDefault="000A5F42" w:rsidP="000A5F42">
      <w:pPr>
        <w:pStyle w:val="NoSpacing"/>
        <w:rPr>
          <w:rFonts w:cstheme="minorHAnsi"/>
          <w:sz w:val="20"/>
          <w:szCs w:val="18"/>
        </w:rPr>
      </w:pPr>
      <w:r w:rsidRPr="000606CC">
        <w:rPr>
          <w:rFonts w:cstheme="minorHAnsi"/>
          <w:sz w:val="20"/>
          <w:szCs w:val="18"/>
        </w:rPr>
        <w:t>Creative Commons Licence -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CC BY-NC-ND</w:t>
      </w:r>
    </w:p>
    <w:p w14:paraId="45207E4C" w14:textId="77777777" w:rsidR="000A5F42" w:rsidRPr="000606CC" w:rsidRDefault="000A5F42" w:rsidP="000A5F42">
      <w:pPr>
        <w:pStyle w:val="NoSpacing"/>
        <w:rPr>
          <w:rFonts w:cstheme="minorHAnsi"/>
          <w:sz w:val="20"/>
          <w:szCs w:val="18"/>
        </w:rPr>
      </w:pPr>
      <w:r w:rsidRPr="000606CC">
        <w:rPr>
          <w:rFonts w:cstheme="minorHAnsi"/>
          <w:sz w:val="20"/>
          <w:szCs w:val="18"/>
        </w:rPr>
        <w:t xml:space="preserve">© </w:t>
      </w:r>
      <w:r w:rsidR="00852E2B">
        <w:rPr>
          <w:rFonts w:cstheme="minorHAnsi"/>
          <w:sz w:val="20"/>
          <w:szCs w:val="18"/>
        </w:rPr>
        <w:fldChar w:fldCharType="begin"/>
      </w:r>
      <w:r w:rsidR="00852E2B">
        <w:rPr>
          <w:rFonts w:cstheme="minorHAnsi"/>
          <w:sz w:val="20"/>
          <w:szCs w:val="18"/>
        </w:rPr>
        <w:instrText xml:space="preserve"> DOCPROPERTY  Year  \* MERGEFORMAT </w:instrText>
      </w:r>
      <w:r w:rsidR="00852E2B">
        <w:rPr>
          <w:rFonts w:cstheme="minorHAnsi"/>
          <w:sz w:val="20"/>
          <w:szCs w:val="18"/>
        </w:rPr>
        <w:fldChar w:fldCharType="separate"/>
      </w:r>
      <w:r w:rsidR="00806139">
        <w:rPr>
          <w:rFonts w:cstheme="minorHAnsi"/>
          <w:sz w:val="20"/>
          <w:szCs w:val="18"/>
        </w:rPr>
        <w:t>2022</w:t>
      </w:r>
      <w:r w:rsidR="00852E2B">
        <w:rPr>
          <w:rFonts w:cstheme="minorHAnsi"/>
          <w:sz w:val="20"/>
          <w:szCs w:val="18"/>
        </w:rPr>
        <w:fldChar w:fldCharType="end"/>
      </w:r>
      <w:r w:rsidR="00852E2B">
        <w:rPr>
          <w:rFonts w:cstheme="minorHAnsi"/>
          <w:sz w:val="20"/>
          <w:szCs w:val="18"/>
        </w:rPr>
        <w:t xml:space="preserve"> </w:t>
      </w:r>
      <w:r w:rsidRPr="000606CC">
        <w:rPr>
          <w:rFonts w:cstheme="minorHAnsi"/>
          <w:sz w:val="20"/>
          <w:szCs w:val="18"/>
        </w:rPr>
        <w:t>Commonwealth of Australia as represented by the Department of Health</w:t>
      </w:r>
    </w:p>
    <w:p w14:paraId="0A99FD02" w14:textId="06FA76FE" w:rsidR="000A5F42" w:rsidRPr="000606CC" w:rsidRDefault="000A5F42" w:rsidP="000A5F42">
      <w:pPr>
        <w:pStyle w:val="NoSpacing"/>
        <w:rPr>
          <w:rFonts w:cstheme="minorHAnsi"/>
          <w:sz w:val="20"/>
          <w:szCs w:val="18"/>
        </w:rPr>
      </w:pPr>
      <w:r w:rsidRPr="000606CC">
        <w:rPr>
          <w:rFonts w:cstheme="minorHAnsi"/>
          <w:sz w:val="20"/>
          <w:szCs w:val="18"/>
        </w:rPr>
        <w:t>This publication is licensed under a Creative Commons Attribution-</w:t>
      </w:r>
      <w:proofErr w:type="spellStart"/>
      <w:r w:rsidRPr="000606CC">
        <w:rPr>
          <w:rFonts w:cstheme="minorHAnsi"/>
          <w:sz w:val="20"/>
          <w:szCs w:val="18"/>
        </w:rPr>
        <w:t>NonCommercial</w:t>
      </w:r>
      <w:proofErr w:type="spellEnd"/>
      <w:r w:rsidRPr="000606CC">
        <w:rPr>
          <w:rFonts w:cstheme="minorHAnsi"/>
          <w:sz w:val="20"/>
          <w:szCs w:val="18"/>
        </w:rPr>
        <w:t>-</w:t>
      </w:r>
      <w:proofErr w:type="spellStart"/>
      <w:r w:rsidRPr="000606CC">
        <w:rPr>
          <w:rFonts w:cstheme="minorHAnsi"/>
          <w:sz w:val="20"/>
          <w:szCs w:val="18"/>
        </w:rPr>
        <w:t>NoDerivatives</w:t>
      </w:r>
      <w:proofErr w:type="spellEnd"/>
      <w:r w:rsidRPr="000606CC">
        <w:rPr>
          <w:rFonts w:cstheme="minorHAnsi"/>
          <w:sz w:val="20"/>
          <w:szCs w:val="18"/>
        </w:rPr>
        <w:t xml:space="preserve"> 4.0 International Licence from </w:t>
      </w:r>
      <w:hyperlink r:id="rId17" w:tooltip="Creative Commons licence" w:history="1">
        <w:r w:rsidRPr="000606CC">
          <w:rPr>
            <w:rStyle w:val="Hyperlink"/>
            <w:rFonts w:cstheme="minorHAnsi"/>
            <w:sz w:val="20"/>
            <w:szCs w:val="18"/>
          </w:rPr>
          <w:t>https://creativecommons.org/licenses/by-nc-nd/4.0/legalcode</w:t>
        </w:r>
      </w:hyperlink>
      <w:r w:rsidRPr="000606CC">
        <w:rPr>
          <w:rStyle w:val="URI"/>
          <w:rFonts w:cstheme="minorHAnsi"/>
          <w:sz w:val="20"/>
          <w:szCs w:val="18"/>
        </w:rPr>
        <w:t xml:space="preserve"> </w:t>
      </w:r>
      <w:r w:rsidRPr="000606CC">
        <w:rPr>
          <w:rFonts w:cstheme="minorHAnsi"/>
          <w:sz w:val="20"/>
          <w:szCs w:val="18"/>
        </w:rPr>
        <w:t>(Licence). You must read and understand the Licence before using any material from this publication.</w:t>
      </w:r>
    </w:p>
    <w:p w14:paraId="508BEF92" w14:textId="77777777" w:rsidR="000A5F42" w:rsidRPr="000606CC" w:rsidRDefault="000A5F42" w:rsidP="000A5F42">
      <w:pPr>
        <w:pStyle w:val="NoSpacing"/>
        <w:rPr>
          <w:rFonts w:cstheme="minorHAnsi"/>
          <w:sz w:val="20"/>
          <w:szCs w:val="18"/>
        </w:rPr>
      </w:pPr>
    </w:p>
    <w:p w14:paraId="23729692" w14:textId="77777777" w:rsidR="000A5F42" w:rsidRPr="000606CC" w:rsidRDefault="000A5F42" w:rsidP="000A5F42">
      <w:pPr>
        <w:pStyle w:val="NoSpacing"/>
        <w:rPr>
          <w:rFonts w:cstheme="minorHAnsi"/>
          <w:sz w:val="20"/>
          <w:szCs w:val="18"/>
        </w:rPr>
      </w:pPr>
      <w:r w:rsidRPr="000606CC">
        <w:rPr>
          <w:rStyle w:val="Strong"/>
          <w:rFonts w:cstheme="minorHAnsi"/>
          <w:sz w:val="20"/>
          <w:szCs w:val="18"/>
        </w:rPr>
        <w:t>Restrictions</w:t>
      </w:r>
      <w:r w:rsidRPr="000606CC">
        <w:rPr>
          <w:rStyle w:val="Strong"/>
          <w:rFonts w:cstheme="minorHAnsi"/>
          <w:sz w:val="20"/>
          <w:szCs w:val="18"/>
        </w:rPr>
        <w:br/>
      </w:r>
      <w:r w:rsidRPr="000606CC">
        <w:rPr>
          <w:rFonts w:cstheme="minorHAnsi"/>
          <w:sz w:val="20"/>
          <w:szCs w:val="18"/>
        </w:rPr>
        <w:t>The Licence does not cover, and there is no permission given for, use of any of the following material found in this publication (if</w:t>
      </w:r>
      <w:r w:rsidR="001378A3">
        <w:rPr>
          <w:rFonts w:cstheme="minorHAnsi"/>
          <w:sz w:val="20"/>
          <w:szCs w:val="18"/>
        </w:rPr>
        <w:t> </w:t>
      </w:r>
      <w:r w:rsidRPr="000606CC">
        <w:rPr>
          <w:rFonts w:cstheme="minorHAnsi"/>
          <w:sz w:val="20"/>
          <w:szCs w:val="18"/>
        </w:rPr>
        <w:t xml:space="preserve">any): </w:t>
      </w:r>
    </w:p>
    <w:p w14:paraId="7E073368" w14:textId="05628B5E"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the Commonwealth Coat of Arms (by way of information, the terms under which the Coat of Arms may be used can be found at </w:t>
      </w:r>
      <w:hyperlink r:id="rId18" w:tooltip="Australian Honours system website" w:history="1">
        <w:r w:rsidRPr="000606CC">
          <w:rPr>
            <w:rStyle w:val="Hyperlink"/>
            <w:rFonts w:cstheme="minorHAnsi"/>
            <w:sz w:val="20"/>
            <w:szCs w:val="18"/>
          </w:rPr>
          <w:t>www.itsanhonour.gov.au</w:t>
        </w:r>
      </w:hyperlink>
      <w:proofErr w:type="gramStart"/>
      <w:r w:rsidRPr="000606CC">
        <w:rPr>
          <w:rStyle w:val="URI"/>
          <w:rFonts w:cstheme="minorHAnsi"/>
          <w:sz w:val="20"/>
          <w:szCs w:val="18"/>
          <w:u w:val="none"/>
        </w:rPr>
        <w:t>)</w:t>
      </w:r>
      <w:r w:rsidRPr="000606CC">
        <w:rPr>
          <w:rFonts w:cstheme="minorHAnsi"/>
          <w:sz w:val="20"/>
          <w:szCs w:val="18"/>
        </w:rPr>
        <w:t>;</w:t>
      </w:r>
      <w:proofErr w:type="gramEnd"/>
      <w:r w:rsidRPr="000606CC">
        <w:rPr>
          <w:rFonts w:cstheme="minorHAnsi"/>
          <w:sz w:val="20"/>
          <w:szCs w:val="18"/>
        </w:rPr>
        <w:t xml:space="preserve">  </w:t>
      </w:r>
    </w:p>
    <w:p w14:paraId="754C0AD9"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logos (including the Department of Health’s logo) and </w:t>
      </w:r>
      <w:proofErr w:type="gramStart"/>
      <w:r w:rsidRPr="000606CC">
        <w:rPr>
          <w:rFonts w:cstheme="minorHAnsi"/>
          <w:sz w:val="20"/>
          <w:szCs w:val="18"/>
        </w:rPr>
        <w:t>trademarks;</w:t>
      </w:r>
      <w:proofErr w:type="gramEnd"/>
    </w:p>
    <w:p w14:paraId="0149209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photographs and </w:t>
      </w:r>
      <w:proofErr w:type="gramStart"/>
      <w:r w:rsidRPr="000606CC">
        <w:rPr>
          <w:rFonts w:cstheme="minorHAnsi"/>
          <w:sz w:val="20"/>
          <w:szCs w:val="18"/>
        </w:rPr>
        <w:t>images;</w:t>
      </w:r>
      <w:proofErr w:type="gramEnd"/>
      <w:r w:rsidRPr="000606CC">
        <w:rPr>
          <w:rFonts w:cstheme="minorHAnsi"/>
          <w:sz w:val="20"/>
          <w:szCs w:val="18"/>
        </w:rPr>
        <w:t xml:space="preserve"> </w:t>
      </w:r>
    </w:p>
    <w:p w14:paraId="6D742123"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any signatures; and</w:t>
      </w:r>
    </w:p>
    <w:p w14:paraId="1B282538" w14:textId="77777777" w:rsidR="000A5F42" w:rsidRPr="000606CC" w:rsidRDefault="000A5F42" w:rsidP="000A5F42">
      <w:pPr>
        <w:pStyle w:val="NoSpacing"/>
        <w:numPr>
          <w:ilvl w:val="0"/>
          <w:numId w:val="6"/>
        </w:numPr>
        <w:rPr>
          <w:rFonts w:cstheme="minorHAnsi"/>
          <w:sz w:val="20"/>
          <w:szCs w:val="18"/>
        </w:rPr>
      </w:pPr>
      <w:r w:rsidRPr="000606CC">
        <w:rPr>
          <w:rFonts w:cstheme="minorHAnsi"/>
          <w:sz w:val="20"/>
          <w:szCs w:val="18"/>
        </w:rPr>
        <w:t xml:space="preserve">any material belonging to third parties. </w:t>
      </w:r>
    </w:p>
    <w:p w14:paraId="6E288AC4" w14:textId="77777777" w:rsidR="000A5F42" w:rsidRPr="000606CC" w:rsidRDefault="000A5F42" w:rsidP="000A5F42">
      <w:pPr>
        <w:pStyle w:val="NoSpacing"/>
        <w:rPr>
          <w:rStyle w:val="Strong"/>
          <w:rFonts w:cstheme="minorHAnsi"/>
          <w:sz w:val="20"/>
          <w:szCs w:val="18"/>
        </w:rPr>
      </w:pPr>
    </w:p>
    <w:p w14:paraId="24606E9A" w14:textId="77777777" w:rsidR="000A5F42" w:rsidRPr="000606CC" w:rsidRDefault="000A5F42" w:rsidP="000A5F42">
      <w:pPr>
        <w:pStyle w:val="NoSpacing"/>
        <w:rPr>
          <w:rStyle w:val="Strong"/>
          <w:rFonts w:cstheme="minorHAnsi"/>
          <w:sz w:val="20"/>
          <w:szCs w:val="18"/>
        </w:rPr>
      </w:pPr>
      <w:r w:rsidRPr="000606CC">
        <w:rPr>
          <w:rStyle w:val="Strong"/>
          <w:rFonts w:cstheme="minorHAnsi"/>
          <w:sz w:val="20"/>
          <w:szCs w:val="18"/>
        </w:rPr>
        <w:t>Disclaimer</w:t>
      </w:r>
      <w:r w:rsidRPr="000606CC">
        <w:rPr>
          <w:rStyle w:val="Strong"/>
          <w:rFonts w:cstheme="minorHAnsi"/>
          <w:sz w:val="20"/>
          <w:szCs w:val="18"/>
        </w:rPr>
        <w:br/>
      </w:r>
      <w:r w:rsidRPr="000606CC">
        <w:rPr>
          <w:rFonts w:cstheme="minorHAnsi"/>
          <w:sz w:val="20"/>
          <w:szCs w:val="18"/>
        </w:rPr>
        <w:t>Opinions expressed in Communicable Diseases Intelligence are those of the authors and not necessarily those of the Australian Government Department of Health or the Communicable Diseases Network Australia. Data may be subject to revision.</w:t>
      </w:r>
    </w:p>
    <w:p w14:paraId="227FC4EA" w14:textId="77777777" w:rsidR="000A5F42" w:rsidRPr="000606CC" w:rsidRDefault="000A5F42" w:rsidP="000A5F42">
      <w:pPr>
        <w:pStyle w:val="NoSpacing"/>
        <w:rPr>
          <w:rStyle w:val="Strong"/>
          <w:rFonts w:cstheme="minorHAnsi"/>
          <w:sz w:val="20"/>
          <w:szCs w:val="18"/>
        </w:rPr>
      </w:pPr>
    </w:p>
    <w:p w14:paraId="1AB21CFA" w14:textId="031D9C18" w:rsidR="000A5F42" w:rsidRPr="000606CC" w:rsidRDefault="000A5F42" w:rsidP="000A5F42">
      <w:pPr>
        <w:pStyle w:val="NoSpacing"/>
        <w:rPr>
          <w:rStyle w:val="URI"/>
          <w:rFonts w:cstheme="minorHAnsi"/>
          <w:sz w:val="20"/>
          <w:szCs w:val="18"/>
        </w:rPr>
      </w:pPr>
      <w:r w:rsidRPr="000606CC">
        <w:rPr>
          <w:rStyle w:val="Strong"/>
          <w:rFonts w:cstheme="minorHAnsi"/>
          <w:sz w:val="20"/>
          <w:szCs w:val="18"/>
        </w:rPr>
        <w:t>Enquiries</w:t>
      </w:r>
      <w:r w:rsidRPr="000606CC">
        <w:rPr>
          <w:rStyle w:val="Strong"/>
          <w:rFonts w:cstheme="minorHAnsi"/>
          <w:sz w:val="20"/>
          <w:szCs w:val="18"/>
        </w:rPr>
        <w:br/>
      </w:r>
      <w:proofErr w:type="spellStart"/>
      <w:r w:rsidRPr="000606CC">
        <w:rPr>
          <w:rFonts w:cstheme="minorHAnsi"/>
          <w:sz w:val="20"/>
          <w:szCs w:val="18"/>
        </w:rPr>
        <w:t>Enquiries</w:t>
      </w:r>
      <w:proofErr w:type="spellEnd"/>
      <w:r w:rsidRPr="000606CC">
        <w:rPr>
          <w:rFonts w:cstheme="minorHAnsi"/>
          <w:sz w:val="20"/>
          <w:szCs w:val="18"/>
        </w:rPr>
        <w:t xml:space="preserve"> regarding any other use of this publication should be addressed to the Communication Branch, Department of Health, GPO Box 9848, Canberra ACT 2601, or via e-mail to: </w:t>
      </w:r>
      <w:hyperlink r:id="rId19" w:history="1">
        <w:r w:rsidRPr="000606CC">
          <w:rPr>
            <w:rStyle w:val="Hyperlink"/>
            <w:rFonts w:cstheme="minorHAnsi"/>
            <w:sz w:val="20"/>
            <w:szCs w:val="18"/>
          </w:rPr>
          <w:t>copyright@health.gov.au</w:t>
        </w:r>
      </w:hyperlink>
      <w:r w:rsidRPr="000606CC">
        <w:rPr>
          <w:rStyle w:val="URI"/>
          <w:rFonts w:cstheme="minorHAnsi"/>
          <w:sz w:val="20"/>
          <w:szCs w:val="18"/>
        </w:rPr>
        <w:t xml:space="preserve"> </w:t>
      </w:r>
    </w:p>
    <w:p w14:paraId="3E0E5FBD" w14:textId="77777777" w:rsidR="000A5F42" w:rsidRPr="000606CC" w:rsidRDefault="000A5F42" w:rsidP="000A5F42">
      <w:pPr>
        <w:pStyle w:val="NoSpacing"/>
        <w:rPr>
          <w:rStyle w:val="URI"/>
          <w:rFonts w:cstheme="minorHAnsi"/>
          <w:sz w:val="20"/>
          <w:szCs w:val="18"/>
        </w:rPr>
      </w:pPr>
    </w:p>
    <w:p w14:paraId="487BA2FC" w14:textId="6AEE3398" w:rsidR="000A5F42" w:rsidRPr="000606CC" w:rsidRDefault="000A5F42" w:rsidP="000A5F42">
      <w:pPr>
        <w:pStyle w:val="NoSpacing"/>
        <w:rPr>
          <w:rStyle w:val="Strong"/>
          <w:rFonts w:cstheme="minorHAnsi"/>
          <w:b w:val="0"/>
          <w:bCs w:val="0"/>
          <w:color w:val="000000"/>
          <w:sz w:val="20"/>
          <w:szCs w:val="18"/>
          <w:u w:val="thick"/>
        </w:rPr>
      </w:pPr>
      <w:r w:rsidRPr="000606CC">
        <w:rPr>
          <w:rStyle w:val="Strong"/>
          <w:rFonts w:cstheme="minorHAnsi"/>
          <w:sz w:val="20"/>
          <w:szCs w:val="18"/>
        </w:rPr>
        <w:t>Communicable Diseases Network Australia</w:t>
      </w:r>
      <w:r w:rsidRPr="000606CC">
        <w:rPr>
          <w:rStyle w:val="Strong"/>
          <w:rFonts w:cstheme="minorHAnsi"/>
          <w:sz w:val="20"/>
          <w:szCs w:val="18"/>
        </w:rPr>
        <w:br/>
      </w:r>
      <w:r w:rsidRPr="000606CC">
        <w:rPr>
          <w:rFonts w:cstheme="minorHAnsi"/>
          <w:sz w:val="20"/>
          <w:szCs w:val="18"/>
        </w:rPr>
        <w:t>Communicable Diseases Intelligence contributes to the work of the Communicable Diseases Network Australia.</w:t>
      </w:r>
      <w:r w:rsidRPr="000606CC">
        <w:rPr>
          <w:rFonts w:cstheme="minorHAnsi"/>
          <w:sz w:val="20"/>
          <w:szCs w:val="18"/>
        </w:rPr>
        <w:br/>
      </w:r>
      <w:hyperlink r:id="rId20" w:tooltip="Communicable Diseases Network Australia website" w:history="1">
        <w:r w:rsidRPr="000606CC">
          <w:rPr>
            <w:rStyle w:val="Hyperlink"/>
            <w:rFonts w:cstheme="minorHAnsi"/>
            <w:sz w:val="20"/>
            <w:szCs w:val="18"/>
          </w:rPr>
          <w:t>http://www.health.gov.au/cdna</w:t>
        </w:r>
      </w:hyperlink>
    </w:p>
    <w:p w14:paraId="4A2888C5" w14:textId="77777777" w:rsidR="001B37B8" w:rsidRPr="00E92237" w:rsidRDefault="001B37B8" w:rsidP="001B37B8">
      <w:pPr>
        <w:rPr>
          <w:rFonts w:cs="Myriad Pro"/>
          <w:color w:val="211D1E"/>
          <w:sz w:val="20"/>
          <w:szCs w:val="20"/>
        </w:rPr>
      </w:pPr>
    </w:p>
    <w:sectPr w:rsidR="001B37B8" w:rsidRPr="00E92237" w:rsidSect="002B75A9">
      <w:headerReference w:type="default" r:id="rId21"/>
      <w:pgSz w:w="11906" w:h="16838"/>
      <w:pgMar w:top="720" w:right="720" w:bottom="1134" w:left="720" w:header="709"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20F2FC" w14:textId="77777777" w:rsidR="00806139" w:rsidRDefault="00806139" w:rsidP="00E54DBA">
      <w:r>
        <w:separator/>
      </w:r>
    </w:p>
    <w:p w14:paraId="27168DAF" w14:textId="77777777" w:rsidR="00806139" w:rsidRDefault="00806139"/>
    <w:p w14:paraId="274627C6" w14:textId="77777777" w:rsidR="00806139" w:rsidRDefault="00806139" w:rsidP="008714B0"/>
  </w:endnote>
  <w:endnote w:type="continuationSeparator" w:id="0">
    <w:p w14:paraId="03068992" w14:textId="77777777" w:rsidR="00806139" w:rsidRDefault="00806139" w:rsidP="00E54DBA">
      <w:r>
        <w:continuationSeparator/>
      </w:r>
    </w:p>
    <w:p w14:paraId="2CD85685" w14:textId="77777777" w:rsidR="00806139" w:rsidRDefault="00806139"/>
    <w:p w14:paraId="027BF3CE" w14:textId="77777777" w:rsidR="00806139" w:rsidRDefault="00806139" w:rsidP="008714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Segoe UI"/>
    <w:panose1 w:val="00000000000000000000"/>
    <w:charset w:val="00"/>
    <w:family w:val="swiss"/>
    <w:notTrueType/>
    <w:pitch w:val="variable"/>
    <w:sig w:usb0="20000287" w:usb1="00000001" w:usb2="00000000" w:usb3="00000000" w:csb0="0000019F" w:csb1="00000000"/>
  </w:font>
  <w:font w:name="Minion Pro SmBd">
    <w:panose1 w:val="02040603060306020203"/>
    <w:charset w:val="00"/>
    <w:family w:val="roman"/>
    <w:notTrueType/>
    <w:pitch w:val="variable"/>
    <w:sig w:usb0="60000287" w:usb1="00000001" w:usb2="00000000" w:usb3="00000000" w:csb0="0000019F" w:csb1="00000000"/>
  </w:font>
  <w:font w:name="Myriad Pro Cond">
    <w:altName w:val="Corbel"/>
    <w:panose1 w:val="020B0506030403020204"/>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7F67F" w14:textId="2AE8353E" w:rsidR="00401ED1" w:rsidRPr="0042435E" w:rsidRDefault="0042435E" w:rsidP="00252C9A">
    <w:pPr>
      <w:pStyle w:val="Footer"/>
      <w:pBdr>
        <w:top w:val="single" w:sz="2"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3</w:t>
    </w:r>
    <w:r w:rsidRPr="00BE6C3D">
      <w:rPr>
        <w:noProof/>
        <w:sz w:val="18"/>
      </w:rPr>
      <w:fldChar w:fldCharType="end"/>
    </w:r>
    <w:r>
      <w:rPr>
        <w:noProof/>
        <w:sz w:val="18"/>
      </w:rPr>
      <w:t xml:space="preserve"> of </w:t>
    </w:r>
    <w:r w:rsidR="007C6454">
      <w:rPr>
        <w:noProof/>
        <w:sz w:val="18"/>
      </w:rPr>
      <w:fldChar w:fldCharType="begin"/>
    </w:r>
    <w:r w:rsidR="007C6454">
      <w:rPr>
        <w:noProof/>
        <w:sz w:val="18"/>
      </w:rPr>
      <w:instrText xml:space="preserve"> NUMPAGES \* MERGEFORMAT </w:instrText>
    </w:r>
    <w:r w:rsidR="007C6454">
      <w:rPr>
        <w:noProof/>
        <w:sz w:val="18"/>
      </w:rPr>
      <w:fldChar w:fldCharType="separate"/>
    </w:r>
    <w:r w:rsidR="00A443E3">
      <w:rPr>
        <w:noProof/>
        <w:sz w:val="18"/>
      </w:rPr>
      <w:t>3</w:t>
    </w:r>
    <w:r w:rsidR="007C6454">
      <w:rPr>
        <w:noProof/>
        <w:sz w:val="18"/>
      </w:rPr>
      <w:fldChar w:fldCharType="end"/>
    </w:r>
    <w:r>
      <w:rPr>
        <w:noProof/>
        <w:sz w:val="18"/>
      </w:rPr>
      <w:t xml:space="preserve"> </w:t>
    </w:r>
    <w:r w:rsidRPr="004315F5">
      <w:rPr>
        <w:sz w:val="18"/>
      </w:rPr>
      <w:t xml:space="preserve"> </w:t>
    </w:r>
    <w:r w:rsidR="00231046">
      <w:rPr>
        <w:noProof/>
        <w:sz w:val="18"/>
      </w:rPr>
      <w:ptab w:relativeTo="margin" w:alignment="center" w:leader="none"/>
    </w:r>
    <w:r w:rsidR="00231046" w:rsidRPr="004315F5">
      <w:rPr>
        <w:sz w:val="18"/>
      </w:rPr>
      <w:t xml:space="preserve"> </w:t>
    </w:r>
    <w:proofErr w:type="spellStart"/>
    <w:r w:rsidR="00CE342B" w:rsidRPr="009267FE">
      <w:rPr>
        <w:i/>
        <w:sz w:val="18"/>
      </w:rPr>
      <w:t>Commun</w:t>
    </w:r>
    <w:proofErr w:type="spellEnd"/>
    <w:r w:rsidR="00CE342B" w:rsidRPr="009267FE">
      <w:rPr>
        <w:i/>
        <w:sz w:val="18"/>
      </w:rPr>
      <w:t xml:space="preserve"> Dis </w:t>
    </w:r>
    <w:proofErr w:type="spellStart"/>
    <w:r w:rsidR="00CE342B" w:rsidRPr="009267FE">
      <w:rPr>
        <w:i/>
        <w:sz w:val="18"/>
      </w:rPr>
      <w:t>Intell</w:t>
    </w:r>
    <w:proofErr w:type="spellEnd"/>
    <w:r w:rsidR="00CE342B" w:rsidRPr="009267FE">
      <w:rPr>
        <w:i/>
        <w:sz w:val="18"/>
      </w:rPr>
      <w:t xml:space="preserve"> (2018)</w:t>
    </w:r>
    <w:r w:rsidR="00CE342B">
      <w:rPr>
        <w:sz w:val="18"/>
      </w:rPr>
      <w:t xml:space="preserve"> </w:t>
    </w:r>
    <w:r w:rsidR="00231046">
      <w:rPr>
        <w:sz w:val="18"/>
      </w:rPr>
      <w:fldChar w:fldCharType="begin"/>
    </w:r>
    <w:r w:rsidR="00231046">
      <w:rPr>
        <w:sz w:val="18"/>
      </w:rPr>
      <w:instrText xml:space="preserve"> DOCPROPERTY  Year  \* MERGEFORMAT </w:instrText>
    </w:r>
    <w:r w:rsidR="00231046">
      <w:rPr>
        <w:sz w:val="18"/>
      </w:rPr>
      <w:fldChar w:fldCharType="separate"/>
    </w:r>
    <w:r w:rsidR="00806139">
      <w:rPr>
        <w:sz w:val="18"/>
      </w:rPr>
      <w:t>2022</w:t>
    </w:r>
    <w:r w:rsidR="00231046">
      <w:rPr>
        <w:sz w:val="18"/>
      </w:rPr>
      <w:fldChar w:fldCharType="end"/>
    </w:r>
    <w:r w:rsidR="00231046">
      <w:rPr>
        <w:sz w:val="18"/>
      </w:rPr>
      <w:t xml:space="preserve"> </w:t>
    </w:r>
    <w:r w:rsidR="00231046">
      <w:rPr>
        <w:sz w:val="18"/>
      </w:rPr>
      <w:fldChar w:fldCharType="begin"/>
    </w:r>
    <w:r w:rsidR="00231046">
      <w:rPr>
        <w:sz w:val="18"/>
      </w:rPr>
      <w:instrText xml:space="preserve"> DOCPROPERTY  Vol  \* MERGEFORMAT </w:instrText>
    </w:r>
    <w:r w:rsidR="00231046">
      <w:rPr>
        <w:sz w:val="18"/>
      </w:rPr>
      <w:fldChar w:fldCharType="separate"/>
    </w:r>
    <w:r w:rsidR="00806139">
      <w:rPr>
        <w:sz w:val="18"/>
      </w:rPr>
      <w:t>46</w:t>
    </w:r>
    <w:r w:rsidR="00231046">
      <w:rPr>
        <w:sz w:val="18"/>
      </w:rPr>
      <w:fldChar w:fldCharType="end"/>
    </w:r>
    <w:r w:rsidR="00CE342B">
      <w:rPr>
        <w:sz w:val="18"/>
      </w:rPr>
      <w:t xml:space="preserve"> </w:t>
    </w:r>
    <w:r w:rsidR="00CE342B">
      <w:rPr>
        <w:sz w:val="18"/>
      </w:rPr>
      <w:fldChar w:fldCharType="begin"/>
    </w:r>
    <w:r w:rsidR="00CE342B">
      <w:rPr>
        <w:sz w:val="18"/>
      </w:rPr>
      <w:instrText xml:space="preserve"> DOCPROPERTY  DOI  \* MERGEFORMAT </w:instrText>
    </w:r>
    <w:r w:rsidR="00CE342B">
      <w:rPr>
        <w:sz w:val="18"/>
      </w:rPr>
      <w:fldChar w:fldCharType="separate"/>
    </w:r>
    <w:r w:rsidR="00B26949">
      <w:rPr>
        <w:sz w:val="18"/>
      </w:rPr>
      <w:t>https://doi.org/10.33321/cdi.2022.46.34</w:t>
    </w:r>
    <w:r w:rsidR="00CE342B">
      <w:rPr>
        <w:sz w:val="18"/>
      </w:rPr>
      <w:fldChar w:fldCharType="end"/>
    </w:r>
    <w:r w:rsidR="00231046">
      <w:rPr>
        <w:sz w:val="18"/>
      </w:rPr>
      <w:t xml:space="preserve"> </w:t>
    </w:r>
    <w:proofErr w:type="spellStart"/>
    <w:r w:rsidR="00231046" w:rsidRPr="00155582">
      <w:rPr>
        <w:sz w:val="18"/>
      </w:rPr>
      <w:t>Epub</w:t>
    </w:r>
    <w:proofErr w:type="spellEnd"/>
    <w:r w:rsidR="00CE342B">
      <w:rPr>
        <w:sz w:val="18"/>
      </w:rPr>
      <w:t xml:space="preserve"> </w:t>
    </w:r>
    <w:r w:rsidR="00CE342B">
      <w:rPr>
        <w:sz w:val="18"/>
      </w:rPr>
      <w:fldChar w:fldCharType="begin"/>
    </w:r>
    <w:r w:rsidR="00CE342B">
      <w:rPr>
        <w:sz w:val="18"/>
      </w:rPr>
      <w:instrText xml:space="preserve"> DOCPROPERTY  ePubDate  \* MERGEFORMAT </w:instrText>
    </w:r>
    <w:r w:rsidR="00CE342B">
      <w:rPr>
        <w:sz w:val="18"/>
      </w:rPr>
      <w:fldChar w:fldCharType="separate"/>
    </w:r>
    <w:r w:rsidR="002F0A67">
      <w:rPr>
        <w:sz w:val="18"/>
      </w:rPr>
      <w:t>23/6/2022</w:t>
    </w:r>
    <w:r w:rsidR="00CE342B">
      <w:rPr>
        <w:sz w:val="18"/>
      </w:rPr>
      <w:fldChar w:fldCharType="end"/>
    </w:r>
    <w:r>
      <w:rPr>
        <w:sz w:val="18"/>
      </w:rPr>
      <w:ptab w:relativeTo="margin" w:alignment="right" w:leader="none"/>
    </w:r>
    <w:r w:rsidRPr="00155582">
      <w:rPr>
        <w:sz w:val="18"/>
      </w:rPr>
      <w:t>health.gov.au/cdi</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2A6D6" w14:textId="054DDAB2" w:rsidR="00BB5378" w:rsidRPr="00BB5378" w:rsidRDefault="00BB5378" w:rsidP="00E538CC">
    <w:pPr>
      <w:pStyle w:val="Footer"/>
      <w:pBdr>
        <w:top w:val="single" w:sz="4" w:space="1" w:color="auto"/>
      </w:pBdr>
      <w:rPr>
        <w:sz w:val="18"/>
      </w:rPr>
    </w:pPr>
    <w:r w:rsidRPr="00BE6C3D">
      <w:rPr>
        <w:sz w:val="18"/>
      </w:rPr>
      <w:fldChar w:fldCharType="begin"/>
    </w:r>
    <w:r w:rsidRPr="00BE6C3D">
      <w:rPr>
        <w:sz w:val="18"/>
      </w:rPr>
      <w:instrText xml:space="preserve"> PAGE   \* MERGEFORMAT </w:instrText>
    </w:r>
    <w:r w:rsidRPr="00BE6C3D">
      <w:rPr>
        <w:sz w:val="18"/>
      </w:rPr>
      <w:fldChar w:fldCharType="separate"/>
    </w:r>
    <w:r w:rsidR="00A443E3">
      <w:rPr>
        <w:noProof/>
        <w:sz w:val="18"/>
      </w:rPr>
      <w:t>1</w:t>
    </w:r>
    <w:r w:rsidRPr="00BE6C3D">
      <w:rPr>
        <w:noProof/>
        <w:sz w:val="18"/>
      </w:rPr>
      <w:fldChar w:fldCharType="end"/>
    </w:r>
    <w:r>
      <w:rPr>
        <w:noProof/>
        <w:sz w:val="18"/>
      </w:rPr>
      <w:t xml:space="preserve"> of </w:t>
    </w:r>
    <w:r w:rsidR="00B132DB">
      <w:rPr>
        <w:noProof/>
        <w:sz w:val="18"/>
      </w:rPr>
      <w:fldChar w:fldCharType="begin"/>
    </w:r>
    <w:r w:rsidR="00B132DB">
      <w:rPr>
        <w:noProof/>
        <w:sz w:val="18"/>
      </w:rPr>
      <w:instrText xml:space="preserve"> NUMPAGES \* MERGEFORMAT </w:instrText>
    </w:r>
    <w:r w:rsidR="00B132DB">
      <w:rPr>
        <w:noProof/>
        <w:sz w:val="18"/>
      </w:rPr>
      <w:fldChar w:fldCharType="separate"/>
    </w:r>
    <w:r w:rsidR="00A443E3">
      <w:rPr>
        <w:noProof/>
        <w:sz w:val="18"/>
      </w:rPr>
      <w:t>3</w:t>
    </w:r>
    <w:r w:rsidR="00B132DB">
      <w:rPr>
        <w:noProof/>
        <w:sz w:val="18"/>
      </w:rPr>
      <w:fldChar w:fldCharType="end"/>
    </w:r>
    <w:r>
      <w:rPr>
        <w:noProof/>
        <w:sz w:val="18"/>
      </w:rPr>
      <w:t xml:space="preserve"> </w:t>
    </w:r>
    <w:r>
      <w:rPr>
        <w:noProof/>
        <w:sz w:val="18"/>
      </w:rPr>
      <w:ptab w:relativeTo="margin" w:alignment="center" w:leader="none"/>
    </w:r>
    <w:r w:rsidRPr="004315F5">
      <w:rPr>
        <w:sz w:val="18"/>
      </w:rPr>
      <w:t xml:space="preserve"> </w:t>
    </w:r>
    <w:proofErr w:type="spellStart"/>
    <w:r w:rsidR="00A164D5" w:rsidRPr="009267FE">
      <w:rPr>
        <w:i/>
        <w:sz w:val="18"/>
      </w:rPr>
      <w:t>Commun</w:t>
    </w:r>
    <w:proofErr w:type="spellEnd"/>
    <w:r w:rsidR="00A164D5" w:rsidRPr="009267FE">
      <w:rPr>
        <w:i/>
        <w:sz w:val="18"/>
      </w:rPr>
      <w:t xml:space="preserve"> Dis </w:t>
    </w:r>
    <w:proofErr w:type="spellStart"/>
    <w:r w:rsidR="00A164D5" w:rsidRPr="009267FE">
      <w:rPr>
        <w:i/>
        <w:sz w:val="18"/>
      </w:rPr>
      <w:t>Intell</w:t>
    </w:r>
    <w:proofErr w:type="spellEnd"/>
    <w:r w:rsidR="00A164D5" w:rsidRPr="009267FE">
      <w:rPr>
        <w:i/>
        <w:sz w:val="18"/>
      </w:rPr>
      <w:t xml:space="preserve"> (2018)</w:t>
    </w:r>
    <w:r w:rsidR="00A164D5">
      <w:rPr>
        <w:sz w:val="18"/>
      </w:rPr>
      <w:t xml:space="preserve"> </w:t>
    </w:r>
    <w:r w:rsidR="005E4229">
      <w:rPr>
        <w:sz w:val="18"/>
      </w:rPr>
      <w:fldChar w:fldCharType="begin"/>
    </w:r>
    <w:r w:rsidR="005E4229">
      <w:rPr>
        <w:sz w:val="18"/>
      </w:rPr>
      <w:instrText xml:space="preserve"> DOCPROPERTY  Year  \* MERGEFORMAT </w:instrText>
    </w:r>
    <w:r w:rsidR="005E4229">
      <w:rPr>
        <w:sz w:val="18"/>
      </w:rPr>
      <w:fldChar w:fldCharType="separate"/>
    </w:r>
    <w:r w:rsidR="00806139">
      <w:rPr>
        <w:sz w:val="18"/>
      </w:rPr>
      <w:t>2022</w:t>
    </w:r>
    <w:r w:rsidR="005E4229">
      <w:rPr>
        <w:sz w:val="18"/>
      </w:rPr>
      <w:fldChar w:fldCharType="end"/>
    </w:r>
    <w:r w:rsidR="005E4229">
      <w:rPr>
        <w:sz w:val="18"/>
      </w:rPr>
      <w:t xml:space="preserve"> </w:t>
    </w:r>
    <w:r w:rsidR="00581588">
      <w:rPr>
        <w:sz w:val="18"/>
      </w:rPr>
      <w:fldChar w:fldCharType="begin"/>
    </w:r>
    <w:r w:rsidR="00581588">
      <w:rPr>
        <w:sz w:val="18"/>
      </w:rPr>
      <w:instrText xml:space="preserve"> DOCPROPERTY  Vol  \* MERGEFORMAT </w:instrText>
    </w:r>
    <w:r w:rsidR="00581588">
      <w:rPr>
        <w:sz w:val="18"/>
      </w:rPr>
      <w:fldChar w:fldCharType="separate"/>
    </w:r>
    <w:r w:rsidR="00806139">
      <w:rPr>
        <w:sz w:val="18"/>
      </w:rPr>
      <w:t>46</w:t>
    </w:r>
    <w:r w:rsidR="00581588">
      <w:rPr>
        <w:sz w:val="18"/>
      </w:rPr>
      <w:fldChar w:fldCharType="end"/>
    </w:r>
    <w:r w:rsidR="00047B68">
      <w:rPr>
        <w:sz w:val="18"/>
      </w:rPr>
      <w:t xml:space="preserve"> </w:t>
    </w:r>
    <w:r w:rsidR="00047B68">
      <w:rPr>
        <w:sz w:val="18"/>
      </w:rPr>
      <w:fldChar w:fldCharType="begin"/>
    </w:r>
    <w:r w:rsidR="00047B68">
      <w:rPr>
        <w:sz w:val="18"/>
      </w:rPr>
      <w:instrText xml:space="preserve"> DOCPROPERTY  DOI  \* MERGEFORMAT </w:instrText>
    </w:r>
    <w:r w:rsidR="00047B68">
      <w:rPr>
        <w:sz w:val="18"/>
      </w:rPr>
      <w:fldChar w:fldCharType="separate"/>
    </w:r>
    <w:r w:rsidR="00B26949">
      <w:rPr>
        <w:sz w:val="18"/>
      </w:rPr>
      <w:t>https://doi.org/10.33321/cdi.2022.46.34</w:t>
    </w:r>
    <w:r w:rsidR="00047B68">
      <w:rPr>
        <w:sz w:val="18"/>
      </w:rPr>
      <w:fldChar w:fldCharType="end"/>
    </w:r>
    <w:r w:rsidR="00C24725">
      <w:rPr>
        <w:sz w:val="18"/>
      </w:rPr>
      <w:t xml:space="preserve"> </w:t>
    </w:r>
    <w:proofErr w:type="spellStart"/>
    <w:r w:rsidRPr="00155582">
      <w:rPr>
        <w:sz w:val="18"/>
      </w:rPr>
      <w:t>Epub</w:t>
    </w:r>
    <w:proofErr w:type="spellEnd"/>
    <w:r w:rsidRPr="00155582">
      <w:rPr>
        <w:sz w:val="18"/>
      </w:rPr>
      <w:t xml:space="preserve"> </w:t>
    </w:r>
    <w:r w:rsidR="00422FEB">
      <w:rPr>
        <w:sz w:val="18"/>
      </w:rPr>
      <w:fldChar w:fldCharType="begin"/>
    </w:r>
    <w:r w:rsidR="00422FEB">
      <w:rPr>
        <w:sz w:val="18"/>
      </w:rPr>
      <w:instrText xml:space="preserve"> DOCPROPERTY  ePubDate  \* MERGEFORMAT </w:instrText>
    </w:r>
    <w:r w:rsidR="00422FEB">
      <w:rPr>
        <w:sz w:val="18"/>
      </w:rPr>
      <w:fldChar w:fldCharType="separate"/>
    </w:r>
    <w:r w:rsidR="002F0A67">
      <w:rPr>
        <w:sz w:val="18"/>
      </w:rPr>
      <w:t>23/6/2022</w:t>
    </w:r>
    <w:r w:rsidR="00422FEB">
      <w:rPr>
        <w:sz w:val="18"/>
      </w:rPr>
      <w:fldChar w:fldCharType="end"/>
    </w:r>
    <w:r>
      <w:rPr>
        <w:sz w:val="18"/>
      </w:rPr>
      <w:ptab w:relativeTo="margin" w:alignment="right" w:leader="none"/>
    </w:r>
    <w:r w:rsidRPr="00155582">
      <w:rPr>
        <w:sz w:val="18"/>
      </w:rPr>
      <w:t>health.gov.au/cdi</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6B573D" w14:textId="77777777" w:rsidR="00806139" w:rsidRPr="00B91FB5" w:rsidRDefault="00806139" w:rsidP="00B91FB5">
      <w:pPr>
        <w:spacing w:after="0" w:line="240" w:lineRule="auto"/>
        <w:rPr>
          <w:sz w:val="18"/>
          <w:szCs w:val="18"/>
        </w:rPr>
      </w:pPr>
      <w:r w:rsidRPr="00B91FB5">
        <w:rPr>
          <w:sz w:val="18"/>
          <w:szCs w:val="18"/>
        </w:rPr>
        <w:separator/>
      </w:r>
    </w:p>
  </w:footnote>
  <w:footnote w:type="continuationSeparator" w:id="0">
    <w:p w14:paraId="5B09C921" w14:textId="77777777" w:rsidR="00806139" w:rsidRDefault="00806139" w:rsidP="00E54DBA">
      <w:r>
        <w:continuationSeparator/>
      </w:r>
    </w:p>
  </w:footnote>
  <w:footnote w:type="continuationNotice" w:id="1">
    <w:p w14:paraId="4007249E" w14:textId="77777777" w:rsidR="00806139" w:rsidRPr="00224EFF" w:rsidRDefault="00806139" w:rsidP="00224EFF">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A80B5E" w14:textId="0760AF7E" w:rsidR="00257484" w:rsidRPr="00A153B6" w:rsidRDefault="002F0A67" w:rsidP="00A153B6">
    <w:pPr>
      <w:pStyle w:val="Header"/>
      <w:pBdr>
        <w:bottom w:val="single" w:sz="6" w:space="1" w:color="auto"/>
      </w:pBdr>
    </w:pPr>
    <w:sdt>
      <w:sdtPr>
        <w:alias w:val="Category"/>
        <w:tag w:val=""/>
        <w:id w:val="-862438058"/>
        <w:dataBinding w:prefixMappings="xmlns:ns0='http://purl.org/dc/elements/1.1/' xmlns:ns1='http://schemas.openxmlformats.org/package/2006/metadata/core-properties' " w:xpath="/ns1:coreProperties[1]/ns1:category[1]" w:storeItemID="{6C3C8BC8-F283-45AE-878A-BAB7291924A1}"/>
        <w:text/>
      </w:sdtPr>
      <w:sdtEndPr/>
      <w:sdtContent>
        <w:r w:rsidR="00E569CE">
          <w:t>Original article</w:t>
        </w:r>
      </w:sdtContent>
    </w:sdt>
    <w:r w:rsidR="00A153B6">
      <w:ptab w:relativeTo="margin" w:alignment="right" w:leader="none"/>
    </w:r>
    <w:r w:rsidR="00A153B6" w:rsidRPr="00BB5378">
      <w:t>Communicable Diseases Intelligence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B0D287" w14:textId="77777777" w:rsidR="008B5348" w:rsidRPr="000A5F42" w:rsidRDefault="008B5348" w:rsidP="000A5F42">
    <w:pPr>
      <w:pStyle w:val="Header"/>
      <w:jc w:val="center"/>
      <w:rPr>
        <w:b/>
      </w:rPr>
    </w:pPr>
    <w:r w:rsidRPr="00E810C5">
      <w:rPr>
        <w:rFonts w:cs="Myriad Pro"/>
        <w:noProof/>
        <w:color w:val="211D1E"/>
        <w:sz w:val="16"/>
      </w:rPr>
      <w:drawing>
        <wp:inline distT="0" distB="0" distL="0" distR="0" wp14:anchorId="6E7B1BF5" wp14:editId="03EC69F6">
          <wp:extent cx="1804481" cy="436389"/>
          <wp:effectExtent l="0" t="0" r="5715" b="1905"/>
          <wp:docPr id="1" name="Picture 1" descr="Australian Government Department of Health" title="Australian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stralian Government-inline-word.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2227" cy="45277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7D0398"/>
    <w:multiLevelType w:val="multilevel"/>
    <w:tmpl w:val="1DAEE8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7E4CE4"/>
    <w:multiLevelType w:val="multilevel"/>
    <w:tmpl w:val="05503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2F04BA"/>
    <w:multiLevelType w:val="hybridMultilevel"/>
    <w:tmpl w:val="06902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E897254"/>
    <w:multiLevelType w:val="multilevel"/>
    <w:tmpl w:val="B21C53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FA20B55"/>
    <w:multiLevelType w:val="hybridMultilevel"/>
    <w:tmpl w:val="FBF6CD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6A6245C"/>
    <w:multiLevelType w:val="hybridMultilevel"/>
    <w:tmpl w:val="A15CD276"/>
    <w:lvl w:ilvl="0" w:tplc="0C09000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71D582C"/>
    <w:multiLevelType w:val="hybridMultilevel"/>
    <w:tmpl w:val="B3788E6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3516F6"/>
    <w:multiLevelType w:val="hybridMultilevel"/>
    <w:tmpl w:val="4522899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69FC45B7"/>
    <w:multiLevelType w:val="multilevel"/>
    <w:tmpl w:val="65284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DC43C3F"/>
    <w:multiLevelType w:val="hybridMultilevel"/>
    <w:tmpl w:val="DB167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6"/>
  </w:num>
  <w:num w:numId="4">
    <w:abstractNumId w:val="1"/>
  </w:num>
  <w:num w:numId="5">
    <w:abstractNumId w:val="8"/>
  </w:num>
  <w:num w:numId="6">
    <w:abstractNumId w:val="9"/>
  </w:num>
  <w:num w:numId="7">
    <w:abstractNumId w:val="3"/>
  </w:num>
  <w:num w:numId="8">
    <w:abstractNumId w:val="0"/>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attachedTemplate r:id="rId1"/>
  <w:defaultTabStop w:val="720"/>
  <w:noPunctuationKerning/>
  <w:characterSpacingControl w:val="doNotCompress"/>
  <w:hdrShapeDefaults>
    <o:shapedefaults v:ext="edit" spidmax="10241"/>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139"/>
    <w:rsid w:val="00000B5B"/>
    <w:rsid w:val="00001611"/>
    <w:rsid w:val="000104A8"/>
    <w:rsid w:val="0001246E"/>
    <w:rsid w:val="000124B1"/>
    <w:rsid w:val="00016FE6"/>
    <w:rsid w:val="00031064"/>
    <w:rsid w:val="00031692"/>
    <w:rsid w:val="00032531"/>
    <w:rsid w:val="000325A0"/>
    <w:rsid w:val="000471BF"/>
    <w:rsid w:val="00047B68"/>
    <w:rsid w:val="00052600"/>
    <w:rsid w:val="0005643C"/>
    <w:rsid w:val="0006264A"/>
    <w:rsid w:val="00073D77"/>
    <w:rsid w:val="00081655"/>
    <w:rsid w:val="000864E0"/>
    <w:rsid w:val="000969B3"/>
    <w:rsid w:val="000A5F42"/>
    <w:rsid w:val="000D4B4D"/>
    <w:rsid w:val="00113D58"/>
    <w:rsid w:val="001200CB"/>
    <w:rsid w:val="001378A3"/>
    <w:rsid w:val="001522EC"/>
    <w:rsid w:val="00155582"/>
    <w:rsid w:val="00161590"/>
    <w:rsid w:val="00171CC0"/>
    <w:rsid w:val="00175494"/>
    <w:rsid w:val="00175629"/>
    <w:rsid w:val="001830EC"/>
    <w:rsid w:val="00183534"/>
    <w:rsid w:val="001A4A96"/>
    <w:rsid w:val="001A5D05"/>
    <w:rsid w:val="001A796C"/>
    <w:rsid w:val="001B2614"/>
    <w:rsid w:val="001B37B8"/>
    <w:rsid w:val="001B552F"/>
    <w:rsid w:val="001C0893"/>
    <w:rsid w:val="001C1303"/>
    <w:rsid w:val="001C70B2"/>
    <w:rsid w:val="001D37C7"/>
    <w:rsid w:val="001D6888"/>
    <w:rsid w:val="00224EFF"/>
    <w:rsid w:val="002276DC"/>
    <w:rsid w:val="00227E00"/>
    <w:rsid w:val="002307CB"/>
    <w:rsid w:val="00231046"/>
    <w:rsid w:val="00234F21"/>
    <w:rsid w:val="00242659"/>
    <w:rsid w:val="002428F7"/>
    <w:rsid w:val="0024315F"/>
    <w:rsid w:val="002451B6"/>
    <w:rsid w:val="0024631C"/>
    <w:rsid w:val="00252C9A"/>
    <w:rsid w:val="00256309"/>
    <w:rsid w:val="00257484"/>
    <w:rsid w:val="00260636"/>
    <w:rsid w:val="00275C78"/>
    <w:rsid w:val="00280594"/>
    <w:rsid w:val="00281EE3"/>
    <w:rsid w:val="00284E4A"/>
    <w:rsid w:val="002A3799"/>
    <w:rsid w:val="002A3BCC"/>
    <w:rsid w:val="002A4516"/>
    <w:rsid w:val="002A569F"/>
    <w:rsid w:val="002A7066"/>
    <w:rsid w:val="002B001E"/>
    <w:rsid w:val="002B09B7"/>
    <w:rsid w:val="002B75A9"/>
    <w:rsid w:val="002C1274"/>
    <w:rsid w:val="002C21B0"/>
    <w:rsid w:val="002E2FB3"/>
    <w:rsid w:val="002F0A67"/>
    <w:rsid w:val="002F327B"/>
    <w:rsid w:val="00301626"/>
    <w:rsid w:val="003059EC"/>
    <w:rsid w:val="00316CCD"/>
    <w:rsid w:val="00324F7E"/>
    <w:rsid w:val="003323BC"/>
    <w:rsid w:val="00346D42"/>
    <w:rsid w:val="00346E11"/>
    <w:rsid w:val="003601C0"/>
    <w:rsid w:val="003635F5"/>
    <w:rsid w:val="00372A88"/>
    <w:rsid w:val="00381A0F"/>
    <w:rsid w:val="00396003"/>
    <w:rsid w:val="003A1B3A"/>
    <w:rsid w:val="003A40F5"/>
    <w:rsid w:val="003B5B8C"/>
    <w:rsid w:val="003D79B1"/>
    <w:rsid w:val="003E74EE"/>
    <w:rsid w:val="003F0552"/>
    <w:rsid w:val="003F2AAA"/>
    <w:rsid w:val="003F3BC2"/>
    <w:rsid w:val="00401ED1"/>
    <w:rsid w:val="0040224C"/>
    <w:rsid w:val="00413EE1"/>
    <w:rsid w:val="004164BB"/>
    <w:rsid w:val="0042000E"/>
    <w:rsid w:val="00421ECE"/>
    <w:rsid w:val="00422FEB"/>
    <w:rsid w:val="0042435E"/>
    <w:rsid w:val="004315F5"/>
    <w:rsid w:val="00433456"/>
    <w:rsid w:val="00433DFA"/>
    <w:rsid w:val="00435D67"/>
    <w:rsid w:val="00447398"/>
    <w:rsid w:val="00463661"/>
    <w:rsid w:val="00464A58"/>
    <w:rsid w:val="00473D2D"/>
    <w:rsid w:val="004A2125"/>
    <w:rsid w:val="004A38F6"/>
    <w:rsid w:val="004B4EB6"/>
    <w:rsid w:val="004C083C"/>
    <w:rsid w:val="004C67C6"/>
    <w:rsid w:val="004D29DE"/>
    <w:rsid w:val="00510EAC"/>
    <w:rsid w:val="00542A57"/>
    <w:rsid w:val="00565974"/>
    <w:rsid w:val="005732C0"/>
    <w:rsid w:val="0057336D"/>
    <w:rsid w:val="0057489A"/>
    <w:rsid w:val="00574ACF"/>
    <w:rsid w:val="00581588"/>
    <w:rsid w:val="0058540B"/>
    <w:rsid w:val="00587C87"/>
    <w:rsid w:val="00590B80"/>
    <w:rsid w:val="005A1B29"/>
    <w:rsid w:val="005B3134"/>
    <w:rsid w:val="005B4E61"/>
    <w:rsid w:val="005B595A"/>
    <w:rsid w:val="005B66C2"/>
    <w:rsid w:val="005C66A6"/>
    <w:rsid w:val="005D2465"/>
    <w:rsid w:val="005E33DD"/>
    <w:rsid w:val="005E4229"/>
    <w:rsid w:val="005E540E"/>
    <w:rsid w:val="005E55FB"/>
    <w:rsid w:val="005F16BB"/>
    <w:rsid w:val="00607115"/>
    <w:rsid w:val="00620768"/>
    <w:rsid w:val="0062594B"/>
    <w:rsid w:val="00631406"/>
    <w:rsid w:val="006324FF"/>
    <w:rsid w:val="006351D6"/>
    <w:rsid w:val="00636E0D"/>
    <w:rsid w:val="0064142F"/>
    <w:rsid w:val="00643CB4"/>
    <w:rsid w:val="00656427"/>
    <w:rsid w:val="00660255"/>
    <w:rsid w:val="00663EA5"/>
    <w:rsid w:val="006971F3"/>
    <w:rsid w:val="006C74A3"/>
    <w:rsid w:val="006D1381"/>
    <w:rsid w:val="006D31BC"/>
    <w:rsid w:val="006E7943"/>
    <w:rsid w:val="006F24EA"/>
    <w:rsid w:val="00704CA9"/>
    <w:rsid w:val="0071048D"/>
    <w:rsid w:val="00710F86"/>
    <w:rsid w:val="007111A8"/>
    <w:rsid w:val="00731BC3"/>
    <w:rsid w:val="00741192"/>
    <w:rsid w:val="00743A33"/>
    <w:rsid w:val="00746080"/>
    <w:rsid w:val="0075144A"/>
    <w:rsid w:val="00786329"/>
    <w:rsid w:val="00792C7D"/>
    <w:rsid w:val="00794A4D"/>
    <w:rsid w:val="007A5234"/>
    <w:rsid w:val="007B7854"/>
    <w:rsid w:val="007C56A1"/>
    <w:rsid w:val="007C6454"/>
    <w:rsid w:val="007E01E0"/>
    <w:rsid w:val="007E5CA0"/>
    <w:rsid w:val="007F0B93"/>
    <w:rsid w:val="007F2ECA"/>
    <w:rsid w:val="00806139"/>
    <w:rsid w:val="00810B02"/>
    <w:rsid w:val="00811708"/>
    <w:rsid w:val="00816B90"/>
    <w:rsid w:val="00817799"/>
    <w:rsid w:val="00822F5F"/>
    <w:rsid w:val="00824FD3"/>
    <w:rsid w:val="00826589"/>
    <w:rsid w:val="00834BCC"/>
    <w:rsid w:val="00850D54"/>
    <w:rsid w:val="00852E2B"/>
    <w:rsid w:val="008714B0"/>
    <w:rsid w:val="00876331"/>
    <w:rsid w:val="00880726"/>
    <w:rsid w:val="008A3544"/>
    <w:rsid w:val="008B48B8"/>
    <w:rsid w:val="008B5348"/>
    <w:rsid w:val="008B58F8"/>
    <w:rsid w:val="008C0712"/>
    <w:rsid w:val="008C4520"/>
    <w:rsid w:val="008C5F09"/>
    <w:rsid w:val="008C63BC"/>
    <w:rsid w:val="008D470F"/>
    <w:rsid w:val="008E1F8F"/>
    <w:rsid w:val="008E4768"/>
    <w:rsid w:val="008E761E"/>
    <w:rsid w:val="008F77B3"/>
    <w:rsid w:val="009008F5"/>
    <w:rsid w:val="00904CC1"/>
    <w:rsid w:val="009066AF"/>
    <w:rsid w:val="00912050"/>
    <w:rsid w:val="00912E48"/>
    <w:rsid w:val="009267FE"/>
    <w:rsid w:val="0092746F"/>
    <w:rsid w:val="00935DC9"/>
    <w:rsid w:val="009446C0"/>
    <w:rsid w:val="0096082E"/>
    <w:rsid w:val="00961347"/>
    <w:rsid w:val="00967410"/>
    <w:rsid w:val="00967D73"/>
    <w:rsid w:val="0098119A"/>
    <w:rsid w:val="00984AAF"/>
    <w:rsid w:val="00991B09"/>
    <w:rsid w:val="00993CB2"/>
    <w:rsid w:val="009A5166"/>
    <w:rsid w:val="009A76F8"/>
    <w:rsid w:val="009B2B83"/>
    <w:rsid w:val="009C49F8"/>
    <w:rsid w:val="009D77CC"/>
    <w:rsid w:val="009E2423"/>
    <w:rsid w:val="009E55D7"/>
    <w:rsid w:val="009F4150"/>
    <w:rsid w:val="009F5665"/>
    <w:rsid w:val="009F5DAD"/>
    <w:rsid w:val="00A01BCA"/>
    <w:rsid w:val="00A10458"/>
    <w:rsid w:val="00A153B6"/>
    <w:rsid w:val="00A164D5"/>
    <w:rsid w:val="00A26FC5"/>
    <w:rsid w:val="00A273C3"/>
    <w:rsid w:val="00A30C37"/>
    <w:rsid w:val="00A34097"/>
    <w:rsid w:val="00A36C65"/>
    <w:rsid w:val="00A41BBE"/>
    <w:rsid w:val="00A443E3"/>
    <w:rsid w:val="00A45BDD"/>
    <w:rsid w:val="00A46A0A"/>
    <w:rsid w:val="00A553F8"/>
    <w:rsid w:val="00A6708F"/>
    <w:rsid w:val="00A71BF6"/>
    <w:rsid w:val="00A72AF9"/>
    <w:rsid w:val="00A86F9A"/>
    <w:rsid w:val="00AA35E6"/>
    <w:rsid w:val="00AA50B6"/>
    <w:rsid w:val="00AB3472"/>
    <w:rsid w:val="00AD0762"/>
    <w:rsid w:val="00AE3DCF"/>
    <w:rsid w:val="00AE4452"/>
    <w:rsid w:val="00AE7C38"/>
    <w:rsid w:val="00B01F99"/>
    <w:rsid w:val="00B02B37"/>
    <w:rsid w:val="00B05276"/>
    <w:rsid w:val="00B132DB"/>
    <w:rsid w:val="00B26949"/>
    <w:rsid w:val="00B31427"/>
    <w:rsid w:val="00B33861"/>
    <w:rsid w:val="00B40DE2"/>
    <w:rsid w:val="00B50210"/>
    <w:rsid w:val="00B53955"/>
    <w:rsid w:val="00B6408A"/>
    <w:rsid w:val="00B714B8"/>
    <w:rsid w:val="00B82C2C"/>
    <w:rsid w:val="00B8720B"/>
    <w:rsid w:val="00B876EF"/>
    <w:rsid w:val="00B91FB5"/>
    <w:rsid w:val="00BA4697"/>
    <w:rsid w:val="00BB5378"/>
    <w:rsid w:val="00BC0BD3"/>
    <w:rsid w:val="00BD0107"/>
    <w:rsid w:val="00BE0C33"/>
    <w:rsid w:val="00BE262C"/>
    <w:rsid w:val="00BE4C25"/>
    <w:rsid w:val="00BE6C3D"/>
    <w:rsid w:val="00C07606"/>
    <w:rsid w:val="00C12542"/>
    <w:rsid w:val="00C24725"/>
    <w:rsid w:val="00C30BA9"/>
    <w:rsid w:val="00C3541E"/>
    <w:rsid w:val="00C36A8F"/>
    <w:rsid w:val="00C42834"/>
    <w:rsid w:val="00C42FFA"/>
    <w:rsid w:val="00C507D8"/>
    <w:rsid w:val="00C558E5"/>
    <w:rsid w:val="00C62EAC"/>
    <w:rsid w:val="00C63F9F"/>
    <w:rsid w:val="00C7723C"/>
    <w:rsid w:val="00C838F5"/>
    <w:rsid w:val="00C841C0"/>
    <w:rsid w:val="00CA1AF4"/>
    <w:rsid w:val="00CA6068"/>
    <w:rsid w:val="00CB15E1"/>
    <w:rsid w:val="00CB3D46"/>
    <w:rsid w:val="00CD1A87"/>
    <w:rsid w:val="00CD35F3"/>
    <w:rsid w:val="00CD5C93"/>
    <w:rsid w:val="00CE342B"/>
    <w:rsid w:val="00CF320C"/>
    <w:rsid w:val="00CF3A4B"/>
    <w:rsid w:val="00CF4001"/>
    <w:rsid w:val="00D05837"/>
    <w:rsid w:val="00D12D8A"/>
    <w:rsid w:val="00D13E0C"/>
    <w:rsid w:val="00D25896"/>
    <w:rsid w:val="00D373A1"/>
    <w:rsid w:val="00D37C0F"/>
    <w:rsid w:val="00D45661"/>
    <w:rsid w:val="00D45943"/>
    <w:rsid w:val="00D47D22"/>
    <w:rsid w:val="00D51865"/>
    <w:rsid w:val="00D51D0C"/>
    <w:rsid w:val="00D74140"/>
    <w:rsid w:val="00DA439E"/>
    <w:rsid w:val="00DA6E56"/>
    <w:rsid w:val="00DC24E5"/>
    <w:rsid w:val="00DC6705"/>
    <w:rsid w:val="00DD2DE8"/>
    <w:rsid w:val="00DE38B4"/>
    <w:rsid w:val="00DE5D02"/>
    <w:rsid w:val="00E005A9"/>
    <w:rsid w:val="00E1166E"/>
    <w:rsid w:val="00E24DC0"/>
    <w:rsid w:val="00E2519C"/>
    <w:rsid w:val="00E25F2A"/>
    <w:rsid w:val="00E41455"/>
    <w:rsid w:val="00E42AD2"/>
    <w:rsid w:val="00E50856"/>
    <w:rsid w:val="00E538CC"/>
    <w:rsid w:val="00E54BBD"/>
    <w:rsid w:val="00E54DBA"/>
    <w:rsid w:val="00E569CE"/>
    <w:rsid w:val="00E63D7C"/>
    <w:rsid w:val="00E640D5"/>
    <w:rsid w:val="00E66E2E"/>
    <w:rsid w:val="00E67691"/>
    <w:rsid w:val="00E92237"/>
    <w:rsid w:val="00E951EF"/>
    <w:rsid w:val="00EA3D54"/>
    <w:rsid w:val="00EA56D9"/>
    <w:rsid w:val="00EA5CE3"/>
    <w:rsid w:val="00EB51C1"/>
    <w:rsid w:val="00EB5AE1"/>
    <w:rsid w:val="00EB5E0B"/>
    <w:rsid w:val="00EC2171"/>
    <w:rsid w:val="00ED442D"/>
    <w:rsid w:val="00ED70C2"/>
    <w:rsid w:val="00EE18FF"/>
    <w:rsid w:val="00EE489F"/>
    <w:rsid w:val="00F0647F"/>
    <w:rsid w:val="00F10CE3"/>
    <w:rsid w:val="00F12006"/>
    <w:rsid w:val="00F12AC1"/>
    <w:rsid w:val="00F13443"/>
    <w:rsid w:val="00F14F3B"/>
    <w:rsid w:val="00F16362"/>
    <w:rsid w:val="00F207C7"/>
    <w:rsid w:val="00F36B6D"/>
    <w:rsid w:val="00F43FA3"/>
    <w:rsid w:val="00F55648"/>
    <w:rsid w:val="00F70046"/>
    <w:rsid w:val="00F748C2"/>
    <w:rsid w:val="00F74958"/>
    <w:rsid w:val="00F76C5C"/>
    <w:rsid w:val="00F802C4"/>
    <w:rsid w:val="00F81EF3"/>
    <w:rsid w:val="00F84496"/>
    <w:rsid w:val="00F85DCB"/>
    <w:rsid w:val="00F86F9C"/>
    <w:rsid w:val="00F90D76"/>
    <w:rsid w:val="00FC002E"/>
    <w:rsid w:val="00FC4C23"/>
    <w:rsid w:val="00FC642E"/>
    <w:rsid w:val="00FE2AE4"/>
    <w:rsid w:val="00FE689F"/>
    <w:rsid w:val="00FE7809"/>
    <w:rsid w:val="00FF408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E7DDC73"/>
  <w15:docId w15:val="{19F375CD-AD1F-4599-B707-8DFEA4483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1192"/>
  </w:style>
  <w:style w:type="paragraph" w:styleId="Heading1">
    <w:name w:val="heading 1"/>
    <w:basedOn w:val="Normal"/>
    <w:next w:val="Normal"/>
    <w:link w:val="Heading1Char"/>
    <w:uiPriority w:val="9"/>
    <w:qFormat/>
    <w:rsid w:val="00DD2DE8"/>
    <w:pPr>
      <w:spacing w:before="480" w:after="240"/>
      <w:contextualSpacing/>
      <w:outlineLvl w:val="0"/>
    </w:pPr>
    <w:rPr>
      <w:rFonts w:asciiTheme="majorHAnsi" w:eastAsiaTheme="majorEastAsia" w:hAnsiTheme="majorHAnsi" w:cstheme="majorBidi"/>
      <w:b/>
      <w:bCs/>
      <w:sz w:val="32"/>
      <w:szCs w:val="28"/>
    </w:rPr>
  </w:style>
  <w:style w:type="paragraph" w:styleId="Heading2">
    <w:name w:val="heading 2"/>
    <w:basedOn w:val="Normal"/>
    <w:next w:val="Normal"/>
    <w:link w:val="Heading2Char"/>
    <w:uiPriority w:val="9"/>
    <w:unhideWhenUsed/>
    <w:qFormat/>
    <w:rsid w:val="00741192"/>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741192"/>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741192"/>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unhideWhenUsed/>
    <w:qFormat/>
    <w:rsid w:val="00741192"/>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unhideWhenUsed/>
    <w:qFormat/>
    <w:rsid w:val="00741192"/>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741192"/>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741192"/>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741192"/>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D2DE8"/>
    <w:rPr>
      <w:rFonts w:asciiTheme="majorHAnsi" w:eastAsiaTheme="majorEastAsia" w:hAnsiTheme="majorHAnsi" w:cstheme="majorBidi"/>
      <w:b/>
      <w:bCs/>
      <w:sz w:val="32"/>
      <w:szCs w:val="28"/>
    </w:rPr>
  </w:style>
  <w:style w:type="paragraph" w:styleId="NormalWeb">
    <w:name w:val="Normal (Web)"/>
    <w:basedOn w:val="Normal"/>
    <w:link w:val="NormalWebChar"/>
    <w:uiPriority w:val="99"/>
    <w:unhideWhenUsed/>
    <w:pPr>
      <w:spacing w:before="100" w:beforeAutospacing="1" w:after="100" w:afterAutospacing="1"/>
    </w:pPr>
  </w:style>
  <w:style w:type="character" w:styleId="Strong">
    <w:name w:val="Strong"/>
    <w:uiPriority w:val="99"/>
    <w:qFormat/>
    <w:rsid w:val="00741192"/>
    <w:rPr>
      <w:b/>
      <w:bCs/>
    </w:rPr>
  </w:style>
  <w:style w:type="character" w:customStyle="1" w:styleId="Heading2Char">
    <w:name w:val="Heading 2 Char"/>
    <w:basedOn w:val="DefaultParagraphFont"/>
    <w:link w:val="Heading2"/>
    <w:uiPriority w:val="9"/>
    <w:rsid w:val="00741192"/>
    <w:rPr>
      <w:rFonts w:asciiTheme="majorHAnsi" w:eastAsiaTheme="majorEastAsia" w:hAnsiTheme="majorHAnsi" w:cstheme="majorBidi"/>
      <w:b/>
      <w:bCs/>
      <w:sz w:val="26"/>
      <w:szCs w:val="26"/>
    </w:rPr>
  </w:style>
  <w:style w:type="character" w:styleId="Emphasis">
    <w:name w:val="Emphasis"/>
    <w:uiPriority w:val="20"/>
    <w:qFormat/>
    <w:rsid w:val="00741192"/>
    <w:rPr>
      <w:b/>
      <w:bCs/>
      <w:i/>
      <w:iCs/>
      <w:spacing w:val="10"/>
      <w:bdr w:val="none" w:sz="0" w:space="0" w:color="auto"/>
      <w:shd w:val="clear" w:color="auto" w:fill="auto"/>
    </w:rPr>
  </w:style>
  <w:style w:type="paragraph" w:customStyle="1" w:styleId="table-text">
    <w:name w:val="table-text"/>
    <w:basedOn w:val="Normal"/>
    <w:rsid w:val="00822F5F"/>
    <w:rPr>
      <w:rFonts w:ascii="Myriad Pro" w:hAnsi="Myriad Pro"/>
      <w:color w:val="231F20"/>
      <w:sz w:val="14"/>
      <w:szCs w:val="14"/>
    </w:rPr>
  </w:style>
  <w:style w:type="paragraph" w:customStyle="1" w:styleId="table-h1">
    <w:name w:val="table-h1"/>
    <w:basedOn w:val="Normal"/>
    <w:rsid w:val="00822F5F"/>
    <w:rPr>
      <w:rFonts w:ascii="Myriad Pro" w:hAnsi="Myriad Pro"/>
      <w:b/>
      <w:bCs/>
      <w:color w:val="FFFFFF"/>
      <w:sz w:val="14"/>
      <w:szCs w:val="14"/>
    </w:rPr>
  </w:style>
  <w:style w:type="character" w:customStyle="1" w:styleId="Strong1">
    <w:name w:val="Strong1"/>
    <w:basedOn w:val="DefaultParagraphFont"/>
    <w:rsid w:val="00822F5F"/>
    <w:rPr>
      <w:b/>
      <w:bCs/>
      <w:i w:val="0"/>
      <w:iCs w:val="0"/>
    </w:rPr>
  </w:style>
  <w:style w:type="character" w:customStyle="1" w:styleId="superscript">
    <w:name w:val="superscript"/>
    <w:basedOn w:val="DefaultParagraphFont"/>
    <w:rsid w:val="00822F5F"/>
    <w:rPr>
      <w:vertAlign w:val="superscript"/>
    </w:rPr>
  </w:style>
  <w:style w:type="paragraph" w:customStyle="1" w:styleId="footnote">
    <w:name w:val="footnote"/>
    <w:basedOn w:val="Normal"/>
    <w:rsid w:val="008B48B8"/>
    <w:rPr>
      <w:rFonts w:ascii="Myriad Pro" w:hAnsi="Myriad Pro"/>
      <w:color w:val="231F20"/>
      <w:sz w:val="12"/>
      <w:szCs w:val="12"/>
    </w:rPr>
  </w:style>
  <w:style w:type="paragraph" w:customStyle="1" w:styleId="figure-table-title">
    <w:name w:val="figure-table-title"/>
    <w:basedOn w:val="Normal"/>
    <w:rsid w:val="008B48B8"/>
    <w:pPr>
      <w:spacing w:after="180"/>
    </w:pPr>
    <w:rPr>
      <w:rFonts w:ascii="Minion Pro SmBd" w:hAnsi="Minion Pro SmBd"/>
      <w:b/>
      <w:bCs/>
      <w:color w:val="231F20"/>
      <w:sz w:val="18"/>
      <w:szCs w:val="18"/>
    </w:rPr>
  </w:style>
  <w:style w:type="paragraph" w:styleId="ListParagraph">
    <w:name w:val="List Paragraph"/>
    <w:basedOn w:val="Normal"/>
    <w:uiPriority w:val="34"/>
    <w:qFormat/>
    <w:rsid w:val="00741192"/>
    <w:pPr>
      <w:ind w:left="720"/>
      <w:contextualSpacing/>
    </w:pPr>
  </w:style>
  <w:style w:type="paragraph" w:styleId="Header">
    <w:name w:val="header"/>
    <w:basedOn w:val="Normal"/>
    <w:link w:val="HeaderChar"/>
    <w:uiPriority w:val="99"/>
    <w:unhideWhenUsed/>
    <w:rsid w:val="00E54DBA"/>
    <w:pPr>
      <w:tabs>
        <w:tab w:val="center" w:pos="4513"/>
        <w:tab w:val="right" w:pos="9026"/>
      </w:tabs>
    </w:pPr>
  </w:style>
  <w:style w:type="character" w:customStyle="1" w:styleId="HeaderChar">
    <w:name w:val="Header Char"/>
    <w:basedOn w:val="DefaultParagraphFont"/>
    <w:link w:val="Header"/>
    <w:uiPriority w:val="99"/>
    <w:rsid w:val="00E54DBA"/>
    <w:rPr>
      <w:rFonts w:eastAsiaTheme="minorEastAsia"/>
      <w:sz w:val="24"/>
      <w:szCs w:val="24"/>
    </w:rPr>
  </w:style>
  <w:style w:type="paragraph" w:styleId="Footer">
    <w:name w:val="footer"/>
    <w:basedOn w:val="Normal"/>
    <w:link w:val="FooterChar"/>
    <w:uiPriority w:val="99"/>
    <w:unhideWhenUsed/>
    <w:rsid w:val="00E54DBA"/>
    <w:pPr>
      <w:tabs>
        <w:tab w:val="center" w:pos="4513"/>
        <w:tab w:val="right" w:pos="9026"/>
      </w:tabs>
    </w:pPr>
  </w:style>
  <w:style w:type="character" w:customStyle="1" w:styleId="FooterChar">
    <w:name w:val="Footer Char"/>
    <w:basedOn w:val="DefaultParagraphFont"/>
    <w:link w:val="Footer"/>
    <w:uiPriority w:val="99"/>
    <w:rsid w:val="00E54DBA"/>
    <w:rPr>
      <w:rFonts w:eastAsiaTheme="minorEastAsia"/>
      <w:sz w:val="24"/>
      <w:szCs w:val="24"/>
    </w:rPr>
  </w:style>
  <w:style w:type="paragraph" w:styleId="Title">
    <w:name w:val="Title"/>
    <w:basedOn w:val="Normal"/>
    <w:next w:val="Normal"/>
    <w:link w:val="TitleChar"/>
    <w:uiPriority w:val="10"/>
    <w:qFormat/>
    <w:rsid w:val="00984AAF"/>
    <w:pPr>
      <w:spacing w:line="240" w:lineRule="auto"/>
      <w:contextualSpacing/>
    </w:pPr>
    <w:rPr>
      <w:rFonts w:ascii="Myriad Pro Cond" w:eastAsiaTheme="majorEastAsia" w:hAnsi="Myriad Pro Cond" w:cstheme="majorBidi"/>
      <w:b/>
      <w:spacing w:val="5"/>
      <w:sz w:val="52"/>
      <w:szCs w:val="52"/>
    </w:rPr>
  </w:style>
  <w:style w:type="character" w:customStyle="1" w:styleId="TitleChar">
    <w:name w:val="Title Char"/>
    <w:basedOn w:val="DefaultParagraphFont"/>
    <w:link w:val="Title"/>
    <w:uiPriority w:val="10"/>
    <w:rsid w:val="00984AAF"/>
    <w:rPr>
      <w:rFonts w:ascii="Myriad Pro Cond" w:eastAsiaTheme="majorEastAsia" w:hAnsi="Myriad Pro Cond" w:cstheme="majorBidi"/>
      <w:b/>
      <w:spacing w:val="5"/>
      <w:sz w:val="52"/>
      <w:szCs w:val="52"/>
    </w:rPr>
  </w:style>
  <w:style w:type="character" w:customStyle="1" w:styleId="Heading3Char">
    <w:name w:val="Heading 3 Char"/>
    <w:basedOn w:val="DefaultParagraphFont"/>
    <w:link w:val="Heading3"/>
    <w:uiPriority w:val="9"/>
    <w:rsid w:val="007411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74119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rsid w:val="0074119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rsid w:val="00741192"/>
    <w:rPr>
      <w:rFonts w:asciiTheme="majorHAnsi" w:eastAsiaTheme="majorEastAsia" w:hAnsiTheme="majorHAnsi" w:cstheme="majorBidi"/>
      <w:b/>
      <w:bCs/>
      <w:i/>
      <w:iCs/>
      <w:color w:val="7F7F7F" w:themeColor="text1" w:themeTint="80"/>
    </w:rPr>
  </w:style>
  <w:style w:type="paragraph" w:styleId="Subtitle">
    <w:name w:val="Subtitle"/>
    <w:basedOn w:val="Normal"/>
    <w:next w:val="Normal"/>
    <w:link w:val="SubtitleChar"/>
    <w:uiPriority w:val="11"/>
    <w:qFormat/>
    <w:rsid w:val="0074119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741192"/>
    <w:rPr>
      <w:rFonts w:asciiTheme="majorHAnsi" w:eastAsiaTheme="majorEastAsia" w:hAnsiTheme="majorHAnsi" w:cstheme="majorBidi"/>
      <w:i/>
      <w:iCs/>
      <w:spacing w:val="13"/>
      <w:sz w:val="24"/>
      <w:szCs w:val="24"/>
    </w:rPr>
  </w:style>
  <w:style w:type="paragraph" w:styleId="NoSpacing">
    <w:name w:val="No Spacing"/>
    <w:basedOn w:val="Normal"/>
    <w:link w:val="NoSpacingChar"/>
    <w:uiPriority w:val="1"/>
    <w:qFormat/>
    <w:rsid w:val="00741192"/>
    <w:pPr>
      <w:spacing w:after="0" w:line="240" w:lineRule="auto"/>
    </w:pPr>
  </w:style>
  <w:style w:type="paragraph" w:styleId="Quote">
    <w:name w:val="Quote"/>
    <w:basedOn w:val="Normal"/>
    <w:next w:val="Normal"/>
    <w:link w:val="QuoteChar"/>
    <w:uiPriority w:val="29"/>
    <w:qFormat/>
    <w:rsid w:val="00741192"/>
    <w:pPr>
      <w:spacing w:before="200" w:after="0"/>
      <w:ind w:left="360" w:right="360"/>
    </w:pPr>
    <w:rPr>
      <w:i/>
      <w:iCs/>
    </w:rPr>
  </w:style>
  <w:style w:type="character" w:customStyle="1" w:styleId="QuoteChar">
    <w:name w:val="Quote Char"/>
    <w:basedOn w:val="DefaultParagraphFont"/>
    <w:link w:val="Quote"/>
    <w:uiPriority w:val="29"/>
    <w:rsid w:val="00741192"/>
    <w:rPr>
      <w:i/>
      <w:iCs/>
    </w:rPr>
  </w:style>
  <w:style w:type="paragraph" w:styleId="IntenseQuote">
    <w:name w:val="Intense Quote"/>
    <w:basedOn w:val="Normal"/>
    <w:next w:val="Normal"/>
    <w:link w:val="IntenseQuoteChar"/>
    <w:uiPriority w:val="30"/>
    <w:qFormat/>
    <w:rsid w:val="0074119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741192"/>
    <w:rPr>
      <w:b/>
      <w:bCs/>
      <w:i/>
      <w:iCs/>
    </w:rPr>
  </w:style>
  <w:style w:type="character" w:styleId="SubtleEmphasis">
    <w:name w:val="Subtle Emphasis"/>
    <w:uiPriority w:val="19"/>
    <w:qFormat/>
    <w:rsid w:val="00741192"/>
    <w:rPr>
      <w:i/>
      <w:iCs/>
    </w:rPr>
  </w:style>
  <w:style w:type="character" w:styleId="IntenseEmphasis">
    <w:name w:val="Intense Emphasis"/>
    <w:uiPriority w:val="21"/>
    <w:qFormat/>
    <w:rsid w:val="00741192"/>
    <w:rPr>
      <w:b/>
      <w:bCs/>
    </w:rPr>
  </w:style>
  <w:style w:type="character" w:styleId="SubtleReference">
    <w:name w:val="Subtle Reference"/>
    <w:uiPriority w:val="31"/>
    <w:qFormat/>
    <w:rsid w:val="00741192"/>
    <w:rPr>
      <w:smallCaps/>
    </w:rPr>
  </w:style>
  <w:style w:type="character" w:styleId="IntenseReference">
    <w:name w:val="Intense Reference"/>
    <w:uiPriority w:val="32"/>
    <w:qFormat/>
    <w:rsid w:val="00741192"/>
    <w:rPr>
      <w:smallCaps/>
      <w:spacing w:val="5"/>
      <w:u w:val="single"/>
    </w:rPr>
  </w:style>
  <w:style w:type="character" w:styleId="BookTitle">
    <w:name w:val="Book Title"/>
    <w:uiPriority w:val="33"/>
    <w:qFormat/>
    <w:rsid w:val="00741192"/>
    <w:rPr>
      <w:i/>
      <w:iCs/>
      <w:smallCaps/>
      <w:spacing w:val="5"/>
    </w:rPr>
  </w:style>
  <w:style w:type="character" w:customStyle="1" w:styleId="Heading7Char">
    <w:name w:val="Heading 7 Char"/>
    <w:basedOn w:val="DefaultParagraphFont"/>
    <w:link w:val="Heading7"/>
    <w:uiPriority w:val="9"/>
    <w:semiHidden/>
    <w:rsid w:val="0074119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74119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741192"/>
    <w:rPr>
      <w:rFonts w:asciiTheme="majorHAnsi" w:eastAsiaTheme="majorEastAsia" w:hAnsiTheme="majorHAnsi" w:cstheme="majorBidi"/>
      <w:i/>
      <w:iCs/>
      <w:spacing w:val="5"/>
      <w:sz w:val="20"/>
      <w:szCs w:val="20"/>
    </w:rPr>
  </w:style>
  <w:style w:type="paragraph" w:styleId="TOCHeading">
    <w:name w:val="TOC Heading"/>
    <w:basedOn w:val="Heading1"/>
    <w:next w:val="Normal"/>
    <w:uiPriority w:val="39"/>
    <w:semiHidden/>
    <w:unhideWhenUsed/>
    <w:qFormat/>
    <w:rsid w:val="00741192"/>
    <w:pPr>
      <w:outlineLvl w:val="9"/>
    </w:pPr>
    <w:rPr>
      <w:lang w:bidi="en-US"/>
    </w:rPr>
  </w:style>
  <w:style w:type="paragraph" w:styleId="BalloonText">
    <w:name w:val="Balloon Text"/>
    <w:basedOn w:val="Normal"/>
    <w:link w:val="BalloonTextChar"/>
    <w:uiPriority w:val="99"/>
    <w:semiHidden/>
    <w:unhideWhenUsed/>
    <w:rsid w:val="00C772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723C"/>
    <w:rPr>
      <w:rFonts w:ascii="Tahoma" w:hAnsi="Tahoma" w:cs="Tahoma"/>
      <w:sz w:val="16"/>
      <w:szCs w:val="16"/>
    </w:rPr>
  </w:style>
  <w:style w:type="character" w:styleId="PlaceholderText">
    <w:name w:val="Placeholder Text"/>
    <w:basedOn w:val="DefaultParagraphFont"/>
    <w:uiPriority w:val="99"/>
    <w:semiHidden/>
    <w:rsid w:val="00433DFA"/>
    <w:rPr>
      <w:color w:val="808080"/>
    </w:rPr>
  </w:style>
  <w:style w:type="character" w:customStyle="1" w:styleId="NoSpacingChar">
    <w:name w:val="No Spacing Char"/>
    <w:basedOn w:val="DefaultParagraphFont"/>
    <w:link w:val="NoSpacing"/>
    <w:uiPriority w:val="1"/>
    <w:rsid w:val="007B7854"/>
  </w:style>
  <w:style w:type="paragraph" w:customStyle="1" w:styleId="Pa1">
    <w:name w:val="Pa1"/>
    <w:basedOn w:val="Normal"/>
    <w:next w:val="Normal"/>
    <w:uiPriority w:val="99"/>
    <w:rsid w:val="00D47D22"/>
    <w:pPr>
      <w:autoSpaceDE w:val="0"/>
      <w:autoSpaceDN w:val="0"/>
      <w:adjustRightInd w:val="0"/>
      <w:spacing w:after="0" w:line="241" w:lineRule="atLeast"/>
    </w:pPr>
    <w:rPr>
      <w:rFonts w:ascii="Myriad Pro" w:hAnsi="Myriad Pro"/>
      <w:sz w:val="24"/>
      <w:szCs w:val="24"/>
    </w:rPr>
  </w:style>
  <w:style w:type="character" w:customStyle="1" w:styleId="A10">
    <w:name w:val="A10"/>
    <w:uiPriority w:val="99"/>
    <w:rsid w:val="00D47D22"/>
    <w:rPr>
      <w:rFonts w:cs="Myriad Pro"/>
      <w:color w:val="211D1E"/>
      <w:sz w:val="22"/>
      <w:szCs w:val="22"/>
    </w:rPr>
  </w:style>
  <w:style w:type="character" w:customStyle="1" w:styleId="A11">
    <w:name w:val="A11"/>
    <w:uiPriority w:val="99"/>
    <w:rsid w:val="00D47D22"/>
    <w:rPr>
      <w:rFonts w:cs="Myriad Pro"/>
      <w:color w:val="211D1E"/>
      <w:sz w:val="22"/>
      <w:szCs w:val="22"/>
      <w:u w:val="single"/>
    </w:rPr>
  </w:style>
  <w:style w:type="character" w:customStyle="1" w:styleId="A12">
    <w:name w:val="A12"/>
    <w:uiPriority w:val="99"/>
    <w:rsid w:val="00D47D22"/>
    <w:rPr>
      <w:rFonts w:cs="Myriad Pro"/>
      <w:color w:val="211D1E"/>
      <w:u w:val="single"/>
    </w:rPr>
  </w:style>
  <w:style w:type="character" w:styleId="Hyperlink">
    <w:name w:val="Hyperlink"/>
    <w:basedOn w:val="DefaultParagraphFont"/>
    <w:uiPriority w:val="99"/>
    <w:unhideWhenUsed/>
    <w:rsid w:val="001B37B8"/>
    <w:rPr>
      <w:color w:val="0000FF" w:themeColor="hyperlink"/>
      <w:u w:val="single"/>
    </w:rPr>
  </w:style>
  <w:style w:type="table" w:customStyle="1" w:styleId="CDI-StandardTable">
    <w:name w:val="CDI - Standard Table"/>
    <w:basedOn w:val="TableNormal"/>
    <w:uiPriority w:val="99"/>
    <w:rsid w:val="0042000E"/>
    <w:pPr>
      <w:spacing w:after="0" w:line="240" w:lineRule="auto"/>
    </w:pPr>
    <w:rPr>
      <w:rFonts w:ascii="Calibri" w:hAnsi="Calibri"/>
    </w:rPr>
    <w:tblPr>
      <w:tblStyleRowBandSize w:val="1"/>
      <w:tblCellMar>
        <w:top w:w="57" w:type="dxa"/>
        <w:left w:w="57" w:type="dxa"/>
        <w:bottom w:w="57" w:type="dxa"/>
        <w:right w:w="57" w:type="dxa"/>
      </w:tblCellMar>
    </w:tblPr>
    <w:tblStylePr w:type="firstRow">
      <w:rPr>
        <w:rFonts w:asciiTheme="minorHAnsi" w:hAnsiTheme="minorHAnsi"/>
        <w:b/>
        <w:sz w:val="22"/>
      </w:rPr>
      <w:tblPr>
        <w:tblCellMar>
          <w:top w:w="120" w:type="dxa"/>
          <w:left w:w="120" w:type="dxa"/>
          <w:bottom w:w="120" w:type="dxa"/>
          <w:right w:w="120" w:type="dxa"/>
        </w:tblCellMar>
      </w:tblPr>
      <w:tcPr>
        <w:shd w:val="clear" w:color="auto" w:fill="404040" w:themeFill="text1" w:themeFillTint="BF"/>
      </w:tcPr>
    </w:tblStylePr>
    <w:tblStylePr w:type="band2Horz">
      <w:tblPr/>
      <w:tcPr>
        <w:shd w:val="clear" w:color="auto" w:fill="F2F2F2" w:themeFill="background1" w:themeFillShade="F2"/>
      </w:tcPr>
    </w:tblStylePr>
  </w:style>
  <w:style w:type="paragraph" w:customStyle="1" w:styleId="CDIfootnotes">
    <w:name w:val="CDI_footnotes"/>
    <w:basedOn w:val="NormalWeb"/>
    <w:link w:val="CDIfootnotesChar"/>
    <w:qFormat/>
    <w:rsid w:val="00DC24E5"/>
    <w:pPr>
      <w:spacing w:line="240" w:lineRule="auto"/>
      <w:ind w:left="720" w:hanging="720"/>
      <w:contextualSpacing/>
    </w:pPr>
    <w:rPr>
      <w:sz w:val="18"/>
    </w:rPr>
  </w:style>
  <w:style w:type="table" w:styleId="LightList">
    <w:name w:val="Light List"/>
    <w:basedOn w:val="TableNormal"/>
    <w:uiPriority w:val="61"/>
    <w:rsid w:val="00433456"/>
    <w:pPr>
      <w:spacing w:after="0" w:line="240" w:lineRule="auto"/>
    </w:pPr>
    <w:tblPr>
      <w:tblStyleRow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TableGrid">
    <w:name w:val="Table Grid"/>
    <w:basedOn w:val="TableNormal"/>
    <w:uiPriority w:val="59"/>
    <w:rsid w:val="004334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DIFigures">
    <w:name w:val="CDI_Figures"/>
    <w:basedOn w:val="NormalWeb"/>
    <w:link w:val="CDIFiguresChar"/>
    <w:qFormat/>
    <w:rsid w:val="00C30BA9"/>
    <w:rPr>
      <w:b/>
    </w:rPr>
  </w:style>
  <w:style w:type="character" w:customStyle="1" w:styleId="NormalWebChar">
    <w:name w:val="Normal (Web) Char"/>
    <w:basedOn w:val="DefaultParagraphFont"/>
    <w:link w:val="NormalWeb"/>
    <w:uiPriority w:val="99"/>
    <w:rsid w:val="00DE5D02"/>
  </w:style>
  <w:style w:type="character" w:customStyle="1" w:styleId="CDIfootnotesChar">
    <w:name w:val="CDI_footnotes Char"/>
    <w:basedOn w:val="NormalWebChar"/>
    <w:link w:val="CDIfootnotes"/>
    <w:rsid w:val="00DC24E5"/>
    <w:rPr>
      <w:sz w:val="18"/>
    </w:rPr>
  </w:style>
  <w:style w:type="character" w:customStyle="1" w:styleId="CDIFiguresChar">
    <w:name w:val="CDI_Figures Char"/>
    <w:basedOn w:val="NormalWebChar"/>
    <w:link w:val="CDIFigures"/>
    <w:rsid w:val="00C30BA9"/>
    <w:rPr>
      <w:b/>
    </w:rPr>
  </w:style>
  <w:style w:type="character" w:customStyle="1" w:styleId="URI">
    <w:name w:val="URI"/>
    <w:uiPriority w:val="99"/>
    <w:rsid w:val="000A5F42"/>
    <w:rPr>
      <w:color w:val="000000"/>
      <w:u w:val="thick"/>
    </w:rPr>
  </w:style>
  <w:style w:type="character" w:customStyle="1" w:styleId="nobreak">
    <w:name w:val="no break"/>
    <w:uiPriority w:val="99"/>
    <w:rsid w:val="000A5F42"/>
    <w:rPr>
      <w:u w:val="none"/>
    </w:rPr>
  </w:style>
  <w:style w:type="paragraph" w:styleId="FootnoteText">
    <w:name w:val="footnote text"/>
    <w:basedOn w:val="Normal"/>
    <w:link w:val="FootnoteTextChar"/>
    <w:uiPriority w:val="99"/>
    <w:semiHidden/>
    <w:unhideWhenUsed/>
    <w:rsid w:val="00224E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24EFF"/>
    <w:rPr>
      <w:sz w:val="20"/>
      <w:szCs w:val="20"/>
    </w:rPr>
  </w:style>
  <w:style w:type="character" w:styleId="FootnoteReference">
    <w:name w:val="footnote reference"/>
    <w:basedOn w:val="DefaultParagraphFont"/>
    <w:uiPriority w:val="99"/>
    <w:semiHidden/>
    <w:unhideWhenUsed/>
    <w:rsid w:val="00224EF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342280">
      <w:bodyDiv w:val="1"/>
      <w:marLeft w:val="0"/>
      <w:marRight w:val="0"/>
      <w:marTop w:val="0"/>
      <w:marBottom w:val="0"/>
      <w:divBdr>
        <w:top w:val="none" w:sz="0" w:space="0" w:color="auto"/>
        <w:left w:val="none" w:sz="0" w:space="0" w:color="auto"/>
        <w:bottom w:val="none" w:sz="0" w:space="0" w:color="auto"/>
        <w:right w:val="none" w:sz="0" w:space="0" w:color="auto"/>
      </w:divBdr>
    </w:div>
    <w:div w:id="387656109">
      <w:bodyDiv w:val="1"/>
      <w:marLeft w:val="0"/>
      <w:marRight w:val="0"/>
      <w:marTop w:val="0"/>
      <w:marBottom w:val="0"/>
      <w:divBdr>
        <w:top w:val="none" w:sz="0" w:space="0" w:color="auto"/>
        <w:left w:val="none" w:sz="0" w:space="0" w:color="auto"/>
        <w:bottom w:val="none" w:sz="0" w:space="0" w:color="auto"/>
        <w:right w:val="none" w:sz="0" w:space="0" w:color="auto"/>
      </w:divBdr>
    </w:div>
    <w:div w:id="574974463">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gov.au/cdi" TargetMode="External"/><Relationship Id="rId18" Type="http://schemas.openxmlformats.org/officeDocument/2006/relationships/hyperlink" Target="http://www.itsanhonour.gov.au/" TargetMode="Externa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creativecommons.org/licenses/by-nc-nd/4.0/legalcode" TargetMode="External"/><Relationship Id="rId2" Type="http://schemas.openxmlformats.org/officeDocument/2006/relationships/customXml" Target="../customXml/item2.xml"/><Relationship Id="rId16" Type="http://schemas.openxmlformats.org/officeDocument/2006/relationships/hyperlink" Target="mailto:cdi.editor@health.gov.au" TargetMode="External"/><Relationship Id="rId20" Type="http://schemas.openxmlformats.org/officeDocument/2006/relationships/hyperlink" Target="http://www.health.gov.au/cdna"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health.gov.au/cdi" TargetMode="Externa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mailto:copyright@health.gov.au"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cdi.editor@health.gov.au"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tiff"/></Relationships>
</file>

<file path=word/_rels/settings.xml.rels><?xml version="1.0" encoding="UTF-8" standalone="yes"?>
<Relationships xmlns="http://schemas.openxmlformats.org/package/2006/relationships"><Relationship Id="rId1" Type="http://schemas.openxmlformats.org/officeDocument/2006/relationships/attachedTemplate" Target="file:///I:\Staging\CDI\OpenCDI\2022\template-202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2019-03-15T00:00:00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DE3CEDF-0107-42E3-93CC-370A8D395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template-2022.dotm</Template>
  <TotalTime>9</TotalTime>
  <Pages>12</Pages>
  <Words>4798</Words>
  <Characters>28045</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Communicable Diseases Intelligence 2022 - Epidemiological and clinical characteristics of legionellosis in Northern Australia, 2010–2021</vt:lpstr>
    </vt:vector>
  </TitlesOfParts>
  <Company>Australian Government, Department of Health</Company>
  <LinksUpToDate>false</LinksUpToDate>
  <CharactersWithSpaces>32778</CharactersWithSpaces>
  <SharedDoc>false</SharedDoc>
  <HyperlinkBase>http://www.health.gov.au</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Communicable Diseases Intelligence 2022 - Epidemiological and clinical characteristics of legionellosis in Northern Australia, 2010–2021</dc:title>
  <dc:subject>Objective: This study describes characteristics of the Legionellosis cases occurring between 2010 and 2021 in the Northern Territory (NT), Australia.</dc:subject>
  <dc:creator>Claire Waller;Kevin Freeman;Shereen Labib;Rob Baird</dc:creator>
  <cp:keywords>Legionella; legionellosis; Northern Territory</cp:keywords>
  <dc:description>© Commonwealth of Australia CC BY-NC-ND ISSN: 2209-6051 (Online)</dc:description>
  <cp:lastModifiedBy>YOUSEFI, Kasra</cp:lastModifiedBy>
  <cp:revision>5</cp:revision>
  <cp:lastPrinted>2018-05-10T02:19:00Z</cp:lastPrinted>
  <dcterms:created xsi:type="dcterms:W3CDTF">2022-05-24T03:32:00Z</dcterms:created>
  <dcterms:modified xsi:type="dcterms:W3CDTF">2022-06-20T00:14:00Z</dcterms:modified>
  <cp:category>Original article</cp:category>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Year">
    <vt:lpwstr>2022</vt:lpwstr>
  </property>
  <property fmtid="{D5CDD505-2E9C-101B-9397-08002B2CF9AE}" pid="3" name="Vol">
    <vt:i4>46</vt:i4>
  </property>
  <property fmtid="{D5CDD505-2E9C-101B-9397-08002B2CF9AE}" pid="4" name="ePubDate">
    <vt:lpwstr>23/6/2022</vt:lpwstr>
  </property>
  <property fmtid="{D5CDD505-2E9C-101B-9397-08002B2CF9AE}" pid="5" name="DOI">
    <vt:lpwstr>https://doi.org/10.33321/cdi.2022.46.34</vt:lpwstr>
  </property>
</Properties>
</file>