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DF3AA" w14:textId="77777777" w:rsidR="0010360B" w:rsidRPr="004165ED" w:rsidRDefault="0010360B" w:rsidP="004165ED">
      <w:pPr>
        <w:pStyle w:val="Title"/>
      </w:pPr>
      <w:r w:rsidRPr="004165ED">
        <w:t xml:space="preserve">“Scary to get, more scary not to”: COVID-19 vaccine acceptance among healthcare workers in Central Queensland, Australia, a cross-sectional survey </w:t>
      </w:r>
    </w:p>
    <w:p w14:paraId="66498A2F" w14:textId="1E7C3D8E" w:rsidR="0010360B" w:rsidRDefault="0010360B" w:rsidP="0010360B">
      <w:r>
        <w:t xml:space="preserve">Gwenda Chapman, </w:t>
      </w:r>
      <w:r w:rsidR="00EF7AD8" w:rsidRPr="00EF7AD8">
        <w:t>Mahmudul Hassan Al Imam</w:t>
      </w:r>
      <w:r>
        <w:t xml:space="preserve">, </w:t>
      </w:r>
      <w:proofErr w:type="spellStart"/>
      <w:r>
        <w:t>Arifuzzaman</w:t>
      </w:r>
      <w:proofErr w:type="spellEnd"/>
      <w:r>
        <w:t xml:space="preserve"> Khan, Nicolas Smoll, </w:t>
      </w:r>
      <w:proofErr w:type="spellStart"/>
      <w:r>
        <w:t>Odewumi</w:t>
      </w:r>
      <w:proofErr w:type="spellEnd"/>
      <w:r>
        <w:t xml:space="preserve"> </w:t>
      </w:r>
      <w:proofErr w:type="spellStart"/>
      <w:r>
        <w:t>Adegbija</w:t>
      </w:r>
      <w:proofErr w:type="spellEnd"/>
      <w:r>
        <w:t xml:space="preserve">, Michael Kirk, Gulam Khandaker, Kerrie Wiley </w:t>
      </w:r>
    </w:p>
    <w:p w14:paraId="2E472D94" w14:textId="77777777" w:rsidR="0010360B" w:rsidRPr="0010360B" w:rsidRDefault="0010360B" w:rsidP="0010360B">
      <w:pPr>
        <w:pStyle w:val="Heading1"/>
      </w:pPr>
      <w:r w:rsidRPr="0010360B">
        <w:t xml:space="preserve">Abstract </w:t>
      </w:r>
    </w:p>
    <w:p w14:paraId="7BAC4DF2" w14:textId="77777777" w:rsidR="0010360B" w:rsidRPr="0010360B" w:rsidRDefault="0010360B" w:rsidP="0010360B">
      <w:pPr>
        <w:pStyle w:val="Heading2"/>
      </w:pPr>
      <w:r w:rsidRPr="0010360B">
        <w:t xml:space="preserve">Background </w:t>
      </w:r>
    </w:p>
    <w:p w14:paraId="1C372C2F" w14:textId="77777777" w:rsidR="0010360B" w:rsidRDefault="0010360B" w:rsidP="0010360B">
      <w:r>
        <w:t>Behavioural and social drivers (</w:t>
      </w:r>
      <w:proofErr w:type="spellStart"/>
      <w:r>
        <w:t>BeSD</w:t>
      </w:r>
      <w:proofErr w:type="spellEnd"/>
      <w:r>
        <w:t xml:space="preserve">) of coronavirus disease 2019 (COVID-19) vaccine acceptance among Australian healthcare workers (HCW) living and working in regional areas are not well studied. Understanding local HCWs’ COVID-19 risk perceptions and potential barriers to COVID-19 vaccine uptake is crucial in supporting rollout. We aimed to understand the COVID-19 vaccine drivers among HCW in Central Queensland (CQ), Australia. </w:t>
      </w:r>
    </w:p>
    <w:p w14:paraId="0BA6D6E0" w14:textId="77777777" w:rsidR="0010360B" w:rsidRPr="0010360B" w:rsidRDefault="0010360B" w:rsidP="0010360B">
      <w:pPr>
        <w:pStyle w:val="Heading2"/>
      </w:pPr>
      <w:r w:rsidRPr="0010360B">
        <w:t xml:space="preserve">Method </w:t>
      </w:r>
    </w:p>
    <w:p w14:paraId="1A8E1403" w14:textId="77777777" w:rsidR="0010360B" w:rsidRDefault="0010360B" w:rsidP="0010360B">
      <w:r>
        <w:t xml:space="preserve">A cross-sectional online survey of HCWs in CQ between 17 May and 31 May 2021, based on the </w:t>
      </w:r>
      <w:proofErr w:type="spellStart"/>
      <w:r>
        <w:t>BeSD</w:t>
      </w:r>
      <w:proofErr w:type="spellEnd"/>
      <w:r>
        <w:t xml:space="preserve"> framework adapted from the World Health Organization (WHO) Data for Action guidance, consisting of the five instrument domains: what people think and feel; social processes; motivations; practical issues; and vaccination uptake. </w:t>
      </w:r>
    </w:p>
    <w:p w14:paraId="57A27940" w14:textId="77777777" w:rsidR="0010360B" w:rsidRPr="0010360B" w:rsidRDefault="0010360B" w:rsidP="0010360B">
      <w:pPr>
        <w:pStyle w:val="Heading2"/>
      </w:pPr>
      <w:r w:rsidRPr="0010360B">
        <w:t xml:space="preserve">Results </w:t>
      </w:r>
    </w:p>
    <w:p w14:paraId="0F127501" w14:textId="77777777" w:rsidR="0010360B" w:rsidRDefault="0010360B" w:rsidP="0010360B">
      <w:r>
        <w:t xml:space="preserve">Of the 240 responding HCWs within Central Queensland Hospital and Health Service, 78% were female. Of the participating HCWs, 64% percent had received at least one dose of a COVID-19 vaccine; of those who had not yet received a vaccine, 53% said they were willing to receive one. Factors associated with vaccine acceptance included: belief that the vaccine was important for their health (81%; odds ratio (OR): 7.2; 95% confidence interval (CI): 3.5–15.5); belief that their family and friends wanted them to have the vaccine (64%; OR: 6.7; 95% CI: 2.9–16.7); trust in the vaccine (72%; OR: 6.4; 95% CI: 3.5–12.0); and confidence in being able to answer patients’ questions about the vaccine (99%). </w:t>
      </w:r>
    </w:p>
    <w:p w14:paraId="521F584A" w14:textId="77777777" w:rsidR="0010360B" w:rsidRPr="0010360B" w:rsidRDefault="0010360B" w:rsidP="0010360B">
      <w:pPr>
        <w:pStyle w:val="Heading2"/>
      </w:pPr>
      <w:r w:rsidRPr="0010360B">
        <w:t xml:space="preserve">Conclusions </w:t>
      </w:r>
    </w:p>
    <w:p w14:paraId="178B002D" w14:textId="77777777" w:rsidR="0010360B" w:rsidRDefault="0010360B" w:rsidP="0010360B">
      <w:r>
        <w:t xml:space="preserve">These findings suggest that a combination of communications and educational material framed around the benefits and social norms of vaccination, along with materials addressing vaccine safety concerns, will encourage HCW to take up a COVID-19 vaccine. </w:t>
      </w:r>
    </w:p>
    <w:p w14:paraId="4A928A66" w14:textId="77777777" w:rsidR="0010360B" w:rsidRDefault="0010360B" w:rsidP="0010360B">
      <w:r>
        <w:t xml:space="preserve">Keywords: Attitudes, COVID-19 vaccine, healthcare worker, questionnaire, vaccine acceptance </w:t>
      </w:r>
    </w:p>
    <w:p w14:paraId="72D452E7" w14:textId="77777777" w:rsidR="0010360B" w:rsidRPr="0010360B" w:rsidRDefault="0010360B" w:rsidP="0010360B">
      <w:pPr>
        <w:pStyle w:val="Heading1"/>
      </w:pPr>
      <w:r w:rsidRPr="0010360B">
        <w:t xml:space="preserve">Introduction </w:t>
      </w:r>
    </w:p>
    <w:p w14:paraId="567D5EAE" w14:textId="77777777" w:rsidR="0010360B" w:rsidRDefault="0010360B" w:rsidP="0010360B">
      <w:r>
        <w:t>The coronavirus disease 2019 (COVID-19) pandemic, caused by transmission of the SARS-CoV-2 virus, continues to cause significant morbidity and mortality. As of March 2022, more than 450 million cases and 6 million deaths have been reported globally,</w:t>
      </w:r>
      <w:r>
        <w:rPr>
          <w:vertAlign w:val="superscript"/>
        </w:rPr>
        <w:t>1</w:t>
      </w:r>
      <w:r>
        <w:t xml:space="preserve"> with 99,032 cases and 1,245 deaths in Australia over the same period.</w:t>
      </w:r>
      <w:r>
        <w:rPr>
          <w:vertAlign w:val="superscript"/>
        </w:rPr>
        <w:t>2</w:t>
      </w:r>
      <w:r>
        <w:t xml:space="preserve"> Pandemic recovery will depend on well-deployed vaccine programs.</w:t>
      </w:r>
      <w:r>
        <w:rPr>
          <w:vertAlign w:val="superscript"/>
        </w:rPr>
        <w:t>3</w:t>
      </w:r>
      <w:r>
        <w:t xml:space="preserve"> </w:t>
      </w:r>
    </w:p>
    <w:p w14:paraId="22A60F4E" w14:textId="77777777" w:rsidR="0010360B" w:rsidRDefault="0010360B" w:rsidP="0010360B">
      <w:r>
        <w:t>Healthcare workers (HCW) are at increased risk of COVID-19 globally. Australian HCW have an estimated threefold increased risk of SARS-Cov-2 infection compared to the general community,</w:t>
      </w:r>
      <w:r>
        <w:rPr>
          <w:vertAlign w:val="superscript"/>
        </w:rPr>
        <w:t>4</w:t>
      </w:r>
      <w:r>
        <w:t xml:space="preserve"> making them a priority group for </w:t>
      </w:r>
      <w:r>
        <w:lastRenderedPageBreak/>
        <w:t>vaccine rollout.</w:t>
      </w:r>
      <w:r>
        <w:rPr>
          <w:vertAlign w:val="superscript"/>
        </w:rPr>
        <w:t>5</w:t>
      </w:r>
      <w:r>
        <w:t xml:space="preserve"> On 28 June 2021, the Australian Government mandated that all residential aged care workers receive their first dose of COVID-19 vaccine by mid-September.</w:t>
      </w:r>
      <w:r>
        <w:rPr>
          <w:vertAlign w:val="superscript"/>
        </w:rPr>
        <w:t>6</w:t>
      </w:r>
      <w:r>
        <w:t xml:space="preserve"> Further to this, some Australian states and territories mandated that all HCWs be fully vaccinated to access health facilities.</w:t>
      </w:r>
      <w:r>
        <w:rPr>
          <w:vertAlign w:val="superscript"/>
        </w:rPr>
        <w:t>7–9</w:t>
      </w:r>
      <w:r>
        <w:t xml:space="preserve"> </w:t>
      </w:r>
    </w:p>
    <w:p w14:paraId="57A5F1DC" w14:textId="006C03E8" w:rsidR="0010360B" w:rsidRDefault="0010360B" w:rsidP="0010360B">
      <w:r>
        <w:t>Successful immunisation requires high rates of acceptance. Globally there has been wide variation in COVID-19 vaccine hesitancy levels reported across settings and time.</w:t>
      </w:r>
      <w:r>
        <w:rPr>
          <w:vertAlign w:val="superscript"/>
        </w:rPr>
        <w:t>10</w:t>
      </w:r>
      <w:r>
        <w:t xml:space="preserve"> Willingness to vaccinate is high in some countries (&gt; 80% in China, South Korea, Singapore), and lower in other countries (&lt; 55% in Russia).</w:t>
      </w:r>
      <w:r>
        <w:rPr>
          <w:vertAlign w:val="superscript"/>
        </w:rPr>
        <w:t>11</w:t>
      </w:r>
      <w:r>
        <w:t xml:space="preserve"> International studies suggest that many HCWs are hesitant about or are delaying COVID-19 vaccination, with one study reporting that 22.5% of HCWs worldwide had reported hesitancy, with side effects (60%) and safety concerns (48%) the most commonly cited reasons.</w:t>
      </w:r>
      <w:r>
        <w:rPr>
          <w:vertAlign w:val="superscript"/>
        </w:rPr>
        <w:t>12,13</w:t>
      </w:r>
      <w:r>
        <w:t xml:space="preserve"> During the first peak of COVID-19 (March 2020), an estimated 86% of Australian people surveyed indicated willingness to receive a COVID-19 vaccine, if it were available.</w:t>
      </w:r>
      <w:r>
        <w:rPr>
          <w:vertAlign w:val="superscript"/>
        </w:rPr>
        <w:t>14</w:t>
      </w:r>
      <w:r>
        <w:t xml:space="preserve"> More recent estimates (August 2020 to April 2021) suggest this figure has remained stable, at around 83%,</w:t>
      </w:r>
      <w:r>
        <w:rPr>
          <w:vertAlign w:val="superscript"/>
        </w:rPr>
        <w:t>15</w:t>
      </w:r>
      <w:r>
        <w:t xml:space="preserve"> despite ever-changing risk communication</w:t>
      </w:r>
      <w:r w:rsidR="009D3378">
        <w:t> </w:t>
      </w:r>
      <w:r>
        <w:t>challenges.</w:t>
      </w:r>
      <w:r>
        <w:rPr>
          <w:vertAlign w:val="superscript"/>
        </w:rPr>
        <w:t>16</w:t>
      </w:r>
      <w:r>
        <w:t xml:space="preserve"> </w:t>
      </w:r>
    </w:p>
    <w:p w14:paraId="143C6C8D" w14:textId="77777777" w:rsidR="0010360B" w:rsidRDefault="0010360B" w:rsidP="0010360B">
      <w:r>
        <w:t>Most studies of HCW COVID-19 vaccine attitudes to date have focussed on hesitancy. While important, hesitancy is just one of many factors that affect vaccine uptake by individuals. A useful framework for measuring a range of drivers of COVID-19 vaccine acceptance, including hesitancy, was developed by the World Health Organization (WHO) working group on the behavioural and social drivers (</w:t>
      </w:r>
      <w:proofErr w:type="spellStart"/>
      <w:r>
        <w:t>BeSD</w:t>
      </w:r>
      <w:proofErr w:type="spellEnd"/>
      <w:r>
        <w:t>) of vaccination.</w:t>
      </w:r>
      <w:r>
        <w:rPr>
          <w:vertAlign w:val="superscript"/>
        </w:rPr>
        <w:t xml:space="preserve">17 </w:t>
      </w:r>
    </w:p>
    <w:p w14:paraId="6D1D18B7" w14:textId="77777777" w:rsidR="0010360B" w:rsidRDefault="0010360B" w:rsidP="0010360B">
      <w:r>
        <w:t xml:space="preserve">Few studies have measured the drivers of COVID-19 vaccine acceptance among Australian HCWs, and fewer have considered such factors among those living and working in regional and rural areas. Understanding local HCWs’ COVID-19 risk perceptions and potential barriers to COVID-19 vaccine uptake is crucial in supporting rollout. Thus, we aimed to measure the drivers of COVID-19 vaccination among HCW in Central Queensland (CQ), Australia. </w:t>
      </w:r>
    </w:p>
    <w:p w14:paraId="104A06DD" w14:textId="77777777" w:rsidR="0010360B" w:rsidRPr="0010360B" w:rsidRDefault="0010360B" w:rsidP="0010360B">
      <w:pPr>
        <w:pStyle w:val="Heading1"/>
      </w:pPr>
      <w:r w:rsidRPr="0010360B">
        <w:t xml:space="preserve">Methods </w:t>
      </w:r>
    </w:p>
    <w:p w14:paraId="02F612CC" w14:textId="77777777" w:rsidR="0010360B" w:rsidRPr="0010360B" w:rsidRDefault="0010360B" w:rsidP="0010360B">
      <w:pPr>
        <w:pStyle w:val="Heading2"/>
      </w:pPr>
      <w:r w:rsidRPr="0010360B">
        <w:t xml:space="preserve">Study population </w:t>
      </w:r>
    </w:p>
    <w:p w14:paraId="353BCCAA" w14:textId="77777777" w:rsidR="0010360B" w:rsidRDefault="0010360B" w:rsidP="0010360B">
      <w:r>
        <w:t>We sought individuals ≥ 18 years of age, employed by Central Queensland Hospital and Health Service (CQHHS), and therefore eligible to receive a COVID-19 vaccine under the vaccine rollout plan at that time. During the study period, there were 4,752 staff employed by CQHHS, responsible for delivering health services across CQ, a region spanning 117,588 square kilometres with a population of approximately 250,000 people.</w:t>
      </w:r>
      <w:r>
        <w:rPr>
          <w:vertAlign w:val="superscript"/>
        </w:rPr>
        <w:t xml:space="preserve">18 </w:t>
      </w:r>
    </w:p>
    <w:p w14:paraId="52276436" w14:textId="77777777" w:rsidR="0010360B" w:rsidRPr="0010360B" w:rsidRDefault="0010360B" w:rsidP="0010360B">
      <w:pPr>
        <w:pStyle w:val="Heading3"/>
      </w:pPr>
      <w:r w:rsidRPr="0010360B">
        <w:t xml:space="preserve">COVID-19 vaccine availability, recommendations, and program rollout </w:t>
      </w:r>
    </w:p>
    <w:p w14:paraId="4C3C3CEA" w14:textId="77777777" w:rsidR="0010360B" w:rsidRDefault="0010360B" w:rsidP="0010360B">
      <w:r>
        <w:t xml:space="preserve">Two COVID-19 vaccines were available in Australia during the study period: the </w:t>
      </w:r>
      <w:proofErr w:type="spellStart"/>
      <w:r>
        <w:t>Vaxzevria</w:t>
      </w:r>
      <w:proofErr w:type="spellEnd"/>
      <w:r>
        <w:t xml:space="preserve"> (AstraZeneca) viral vector vaccine, and the </w:t>
      </w:r>
      <w:proofErr w:type="spellStart"/>
      <w:r>
        <w:t>Comirnaty</w:t>
      </w:r>
      <w:proofErr w:type="spellEnd"/>
      <w:r>
        <w:t xml:space="preserve"> (Pfizer) mRNA vaccine. The emerging safety signal of </w:t>
      </w:r>
      <w:proofErr w:type="spellStart"/>
      <w:r>
        <w:t>Vaxzevria</w:t>
      </w:r>
      <w:proofErr w:type="spellEnd"/>
      <w:r>
        <w:t xml:space="preserve">-associated thrombosis with thrombocytopenia syndrome (TTS) prompted the Australian Technical Advisory Group on Immunisation (ATAGI), on 8 April 2021, to recommend the </w:t>
      </w:r>
      <w:proofErr w:type="spellStart"/>
      <w:r>
        <w:t>Comirnaty</w:t>
      </w:r>
      <w:proofErr w:type="spellEnd"/>
      <w:r>
        <w:t xml:space="preserve"> vaccine as preferred for adults under 50 years of age.</w:t>
      </w:r>
      <w:r>
        <w:rPr>
          <w:vertAlign w:val="superscript"/>
        </w:rPr>
        <w:t>19</w:t>
      </w:r>
      <w:r>
        <w:t xml:space="preserve"> This was highly publicised in the Australian media,</w:t>
      </w:r>
      <w:r>
        <w:rPr>
          <w:vertAlign w:val="superscript"/>
        </w:rPr>
        <w:t xml:space="preserve">20 </w:t>
      </w:r>
      <w:r>
        <w:t>potentially impacting vaccine confidence.</w:t>
      </w:r>
      <w:r>
        <w:rPr>
          <w:vertAlign w:val="superscript"/>
        </w:rPr>
        <w:t>16</w:t>
      </w:r>
      <w:r>
        <w:t xml:space="preserve"> </w:t>
      </w:r>
    </w:p>
    <w:p w14:paraId="7A1731F2" w14:textId="77777777" w:rsidR="00301A6F" w:rsidRDefault="0010360B" w:rsidP="0010360B">
      <w:pPr>
        <w:sectPr w:rsidR="00301A6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 xml:space="preserve">In the study area, the COVID-19 vaccine rollout began on 11 March 2021 with the </w:t>
      </w:r>
      <w:proofErr w:type="spellStart"/>
      <w:r>
        <w:t>Vaxzevria</w:t>
      </w:r>
      <w:proofErr w:type="spellEnd"/>
      <w:r>
        <w:t xml:space="preserve"> vaccine offered to aged care and disability, fever clinic and intensive care unit, public health unit, air and seaport workers, quarantine staff and Queensland ambulance and police service staff. Subsequent vaccine rollout phases covered all remaining HCWs in the region from 22 March 2021. The </w:t>
      </w:r>
      <w:proofErr w:type="spellStart"/>
      <w:r>
        <w:t>Comirnaty</w:t>
      </w:r>
      <w:proofErr w:type="spellEnd"/>
      <w:r>
        <w:t xml:space="preserve"> vaccine became available on 19 May 2021 for people under 50 years of age. Thus, during the survey period, all survey respondents were eligible for a COVID-19 vaccination, although the type of vaccine individuals could access changed and was dictated by ATAGI age recommendations over the study period (Figure 1). No mandates were in force at the time of the survey. </w:t>
      </w:r>
    </w:p>
    <w:p w14:paraId="73C64816" w14:textId="77777777" w:rsidR="00301A6F" w:rsidRPr="002A36B4" w:rsidRDefault="00301A6F" w:rsidP="002A36B4">
      <w:pPr>
        <w:pStyle w:val="CDIFigures"/>
      </w:pPr>
      <w:r w:rsidRPr="002A36B4">
        <w:rPr>
          <w:rStyle w:val="Strong"/>
          <w:b/>
          <w:bCs w:val="0"/>
        </w:rPr>
        <w:lastRenderedPageBreak/>
        <w:t>Figure 1: Timeline and context of COVID-19 vaccine rollout to health care workers in Central Queensland</w:t>
      </w:r>
    </w:p>
    <w:p w14:paraId="583A8928" w14:textId="1F2A6E7D" w:rsidR="00301A6F" w:rsidRDefault="00301A6F" w:rsidP="0010360B">
      <w:pPr>
        <w:sectPr w:rsidR="00301A6F" w:rsidSect="00301A6F">
          <w:pgSz w:w="16838" w:h="11906" w:orient="landscape"/>
          <w:pgMar w:top="720" w:right="720" w:bottom="720" w:left="1134" w:header="709" w:footer="284" w:gutter="0"/>
          <w:cols w:space="708"/>
          <w:titlePg/>
          <w:docGrid w:linePitch="360"/>
        </w:sectPr>
      </w:pPr>
      <w:r>
        <w:rPr>
          <w:rFonts w:eastAsia="Times New Roman"/>
          <w:noProof/>
          <w:lang w:val="en-GB"/>
        </w:rPr>
        <w:drawing>
          <wp:inline distT="0" distB="0" distL="0" distR="0" wp14:anchorId="39DD6CAE" wp14:editId="22FBE635">
            <wp:extent cx="9455981" cy="6014974"/>
            <wp:effectExtent l="0" t="0" r="0" b="5080"/>
            <wp:docPr id="4" name="Picture 4" descr="A timeline of the COVID-19 vaccine rollout&#10;• 22nd February 2021 – Australian national COVID-19 vaccine program commenced&#10;• 11th March 2021 – Central Queensland COVID-19 vaccine rollout Phase I commenced: Vaccine made available to:&#10;o Aged care and disability staff and residents&#10;o Fever clinic and ICU staff&#10;o Public Health Unit staff&#10;o Air, seaport, and quarantine workers&#10;o Ambulance staff&#10;• 22nd March 2021 – Central Queensland COVID-19 vaccine rollout Phase II commenced: Vaccine made available to all remaining health care workers&#10;• 1st April 2021 – First report of TTS associated with Astra Zeneca vaccine in Australia&#10;• 8th April 2021 – Australian Technical Advisory Group on Immunisation recommends that Pfizer vaccine preferred for people &lt;50yrs&#10;• 11th March to 18th May 2021 – Only Astra Zeneca COVID-19 vaccine available to CQHHS staff&#10;• 19th May 2021 Comirnaty *Pfizer) COVID-19 vaccine available to staff &lt;50 years; Astra Zeneca COVID-19 vaccine available to all other staff&#10;• 17th-31st May Survey Study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imeline of the COVID-19 vaccine rollout&#10;• 22nd February 2021 – Australian national COVID-19 vaccine program commenced&#10;• 11th March 2021 – Central Queensland COVID-19 vaccine rollout Phase I commenced: Vaccine made available to:&#10;o Aged care and disability staff and residents&#10;o Fever clinic and ICU staff&#10;o Public Health Unit staff&#10;o Air, seaport, and quarantine workers&#10;o Ambulance staff&#10;• 22nd March 2021 – Central Queensland COVID-19 vaccine rollout Phase II commenced: Vaccine made available to all remaining health care workers&#10;• 1st April 2021 – First report of TTS associated with Astra Zeneca vaccine in Australia&#10;• 8th April 2021 – Australian Technical Advisory Group on Immunisation recommends that Pfizer vaccine preferred for people &lt;50yrs&#10;• 11th March to 18th May 2021 – Only Astra Zeneca COVID-19 vaccine available to CQHHS staff&#10;• 19th May 2021 Comirnaty *Pfizer) COVID-19 vaccine available to staff &lt;50 years; Astra Zeneca COVID-19 vaccine available to all other staff&#10;• 17th-31st May Survey Study period&#10;"/>
                    <pic:cNvPicPr>
                      <a:picLocks noChangeAspect="1" noChangeArrowheads="1"/>
                    </pic:cNvPicPr>
                  </pic:nvPicPr>
                  <pic:blipFill>
                    <a:blip r:embed="rId12" cstate="print">
                      <a:extLst>
                        <a:ext uri="{28A0092B-C50C-407E-A947-70E740481C1C}">
                          <a14:useLocalDpi xmlns:a14="http://schemas.microsoft.com/office/drawing/2010/main" val="0"/>
                        </a:ext>
                      </a:extLst>
                    </a:blip>
                    <a:srcRect t="3730" b="3730"/>
                    <a:stretch>
                      <a:fillRect/>
                    </a:stretch>
                  </pic:blipFill>
                  <pic:spPr bwMode="auto">
                    <a:xfrm>
                      <a:off x="0" y="0"/>
                      <a:ext cx="9455981" cy="6014974"/>
                    </a:xfrm>
                    <a:prstGeom prst="rect">
                      <a:avLst/>
                    </a:prstGeom>
                    <a:ln>
                      <a:noFill/>
                    </a:ln>
                    <a:extLst>
                      <a:ext uri="{53640926-AAD7-44D8-BBD7-CCE9431645EC}">
                        <a14:shadowObscured xmlns:a14="http://schemas.microsoft.com/office/drawing/2010/main"/>
                      </a:ext>
                    </a:extLst>
                  </pic:spPr>
                </pic:pic>
              </a:graphicData>
            </a:graphic>
          </wp:inline>
        </w:drawing>
      </w:r>
    </w:p>
    <w:p w14:paraId="3DF9B9EB" w14:textId="66E41D07" w:rsidR="0010360B" w:rsidRDefault="0010360B" w:rsidP="0010360B"/>
    <w:p w14:paraId="305E4F34" w14:textId="77777777" w:rsidR="0010360B" w:rsidRPr="0010360B" w:rsidRDefault="0010360B" w:rsidP="0010360B">
      <w:pPr>
        <w:pStyle w:val="Heading2"/>
      </w:pPr>
      <w:r w:rsidRPr="0010360B">
        <w:t xml:space="preserve">Recruitment </w:t>
      </w:r>
    </w:p>
    <w:p w14:paraId="2D1147C5" w14:textId="1B0A0ED0" w:rsidR="0010360B" w:rsidRDefault="0010360B" w:rsidP="0010360B">
      <w:r>
        <w:t>All CQHHS staff were invited to participate in a self-reported online survey between 17 May and 31 May 2021. Participation invitations were distributed via internal email, using Citizen Space (</w:t>
      </w:r>
      <w:proofErr w:type="spellStart"/>
      <w:r>
        <w:t>Delib</w:t>
      </w:r>
      <w:proofErr w:type="spellEnd"/>
      <w:r>
        <w:t xml:space="preserve"> Ltd, Bristol, UK)</w:t>
      </w:r>
      <w:r>
        <w:rPr>
          <w:vertAlign w:val="superscript"/>
        </w:rPr>
        <w:t>21</w:t>
      </w:r>
      <w:r>
        <w:t xml:space="preserve"> for data</w:t>
      </w:r>
      <w:r w:rsidR="00DE5A24">
        <w:t> </w:t>
      </w:r>
      <w:r>
        <w:t xml:space="preserve">collection. </w:t>
      </w:r>
    </w:p>
    <w:p w14:paraId="0AFB2E28" w14:textId="77777777" w:rsidR="0010360B" w:rsidRPr="0010360B" w:rsidRDefault="0010360B" w:rsidP="0010360B">
      <w:pPr>
        <w:pStyle w:val="Heading2"/>
      </w:pPr>
      <w:r w:rsidRPr="0010360B">
        <w:t xml:space="preserve">Ethical considerations </w:t>
      </w:r>
    </w:p>
    <w:p w14:paraId="612662FC" w14:textId="77777777" w:rsidR="0010360B" w:rsidRDefault="0010360B" w:rsidP="0010360B">
      <w:r>
        <w:t xml:space="preserve">Electronic consent was obtained from all participants. Ethical approval was obtained from the CQHHS Human Research Ethics Committee (LNR2021QCQ69608). </w:t>
      </w:r>
    </w:p>
    <w:p w14:paraId="18B04F11" w14:textId="77777777" w:rsidR="0010360B" w:rsidRPr="0010360B" w:rsidRDefault="0010360B" w:rsidP="0010360B">
      <w:pPr>
        <w:pStyle w:val="Heading2"/>
      </w:pPr>
      <w:r w:rsidRPr="0010360B">
        <w:t xml:space="preserve">The survey instrument </w:t>
      </w:r>
    </w:p>
    <w:p w14:paraId="3ED5F9C5" w14:textId="77777777" w:rsidR="0010360B" w:rsidRDefault="0010360B" w:rsidP="0010360B">
      <w:r>
        <w:t xml:space="preserve">The survey was adapted from the WHO Data for Action guidance on achieving high uptake of COVID-19 vaccines, which includes a survey for HCWs based on the </w:t>
      </w:r>
      <w:proofErr w:type="spellStart"/>
      <w:r>
        <w:t>BeSD</w:t>
      </w:r>
      <w:proofErr w:type="spellEnd"/>
      <w:r>
        <w:t xml:space="preserve"> framework (Figure 2).</w:t>
      </w:r>
      <w:r>
        <w:rPr>
          <w:vertAlign w:val="superscript"/>
        </w:rPr>
        <w:t>17</w:t>
      </w:r>
      <w:r>
        <w:t xml:space="preserve"> The survey was adapted to accommodate contextual factors, including applicable demographic questions, and the importance of travel which at the time was limited by locally-imposed restrictions. The questionnaire consisted of six primary sections: sociodemographic characteristics, including age, gender, education level, Indigenous Australian status, workplace and occupations, chronic illness; and questions from the five </w:t>
      </w:r>
      <w:proofErr w:type="spellStart"/>
      <w:r>
        <w:t>BeSD</w:t>
      </w:r>
      <w:proofErr w:type="spellEnd"/>
      <w:r>
        <w:t xml:space="preserve"> instrument domains (what people think and feel about COVID-19 vaccines; social processes; motivations; practical issues; and vaccination uptake). The adapted survey was assessed for functionality and pretested with a convenience sample of the target study population using cognitive methods.</w:t>
      </w:r>
      <w:r>
        <w:rPr>
          <w:vertAlign w:val="superscript"/>
        </w:rPr>
        <w:t>22</w:t>
      </w:r>
      <w:r>
        <w:t xml:space="preserve"> </w:t>
      </w:r>
    </w:p>
    <w:p w14:paraId="31DBD60E" w14:textId="3354DE0F" w:rsidR="0010360B" w:rsidRDefault="0010360B" w:rsidP="0010360B">
      <w:r>
        <w:t>Response options were either binary (yes/no) or a four-point Likert scale. Open-ended questions asking participants how they felt about the COVID-19 vaccines were also included, and were analysed qualitatively using Framework methodology.</w:t>
      </w:r>
      <w:r>
        <w:rPr>
          <w:vertAlign w:val="superscript"/>
        </w:rPr>
        <w:t>23</w:t>
      </w:r>
      <w:r>
        <w:t xml:space="preserve"> Genuine first names have not been used. </w:t>
      </w:r>
    </w:p>
    <w:p w14:paraId="4425DED1" w14:textId="77777777" w:rsidR="004A33E3" w:rsidRPr="00A32D9C" w:rsidRDefault="004A33E3" w:rsidP="004A33E3">
      <w:pPr>
        <w:pStyle w:val="CDIFigures"/>
      </w:pPr>
      <w:r w:rsidRPr="00A32D9C">
        <w:rPr>
          <w:rStyle w:val="Strong"/>
          <w:b/>
          <w:bCs w:val="0"/>
        </w:rPr>
        <w:t>Figure 2: The Behavioural and Social Drivers (</w:t>
      </w:r>
      <w:proofErr w:type="spellStart"/>
      <w:r w:rsidRPr="00A32D9C">
        <w:rPr>
          <w:rStyle w:val="Strong"/>
          <w:b/>
          <w:bCs w:val="0"/>
        </w:rPr>
        <w:t>BeSD</w:t>
      </w:r>
      <w:proofErr w:type="spellEnd"/>
      <w:r w:rsidRPr="00A32D9C">
        <w:rPr>
          <w:rStyle w:val="Strong"/>
          <w:b/>
          <w:bCs w:val="0"/>
        </w:rPr>
        <w:t xml:space="preserve">) of COVID-19 vaccination </w:t>
      </w:r>
      <w:proofErr w:type="spellStart"/>
      <w:r w:rsidRPr="00A32D9C">
        <w:rPr>
          <w:rStyle w:val="Strong"/>
          <w:b/>
          <w:bCs w:val="0"/>
        </w:rPr>
        <w:t>framework</w:t>
      </w:r>
      <w:r w:rsidRPr="00A32D9C">
        <w:rPr>
          <w:rStyle w:val="Strong"/>
          <w:b/>
          <w:bCs w:val="0"/>
          <w:vertAlign w:val="superscript"/>
        </w:rPr>
        <w:t>a</w:t>
      </w:r>
      <w:proofErr w:type="spellEnd"/>
    </w:p>
    <w:p w14:paraId="7E664189" w14:textId="77777777" w:rsidR="003A5A19" w:rsidRDefault="004A33E3" w:rsidP="0010360B">
      <w:pPr>
        <w:pStyle w:val="Heading2"/>
      </w:pPr>
      <w:r>
        <w:rPr>
          <w:rFonts w:eastAsia="Times New Roman"/>
          <w:noProof/>
          <w:lang w:val="en-GB"/>
        </w:rPr>
        <w:drawing>
          <wp:inline distT="0" distB="0" distL="0" distR="0" wp14:anchorId="146DCA97" wp14:editId="0B9E9DB8">
            <wp:extent cx="6645910" cy="2505766"/>
            <wp:effectExtent l="0" t="0" r="2540" b="8890"/>
            <wp:docPr id="2" name="Picture 2" descr="A flowchart of the Behavioural and Social Drivers measures four domains that influence vaccine uptake: &#10;• What people think and feel&#10;o Confidence in vaccine benefits&#10;o Confidence in vaccine safety&#10;o Perceived risk – self&#10;o *Perceived risk – others&#10;o Seeing negative information&#10;• Social processes&#10;o Influential others support vaccination&#10;o Vaccination norms&#10;o * Workplace norms&#10;o Decision and travel autonomy&#10;o Trust in vaccine providers&#10;o *Self-confidence in answering questions&#10;• Motivation&#10;o Intention to get a COVID-19 vaccine&#10;o *Willingness to recommend a COVID019 vaccine&#10;• Practical Issues&#10;o Know where vaccine is available&#10;o Previous uptake of adult vaccination&#10;o Ease of access&#10;o Preferred site&#10;o *Availability of on-site vaccination&#10;• Vaccination&#10;o Receives recommended vaccines&#10;Source: Data for Action: achieving high uptake of COVID-19 vaccines, World Health Organisation,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flowchart of the Behavioural and Social Drivers measures four domains that influence vaccine uptake: &#10;• What people think and feel&#10;o Confidence in vaccine benefits&#10;o Confidence in vaccine safety&#10;o Perceived risk – self&#10;o *Perceived risk – others&#10;o Seeing negative information&#10;• Social processes&#10;o Influential others support vaccination&#10;o Vaccination norms&#10;o * Workplace norms&#10;o Decision and travel autonomy&#10;o Trust in vaccine providers&#10;o *Self-confidence in answering questions&#10;• Motivation&#10;o Intention to get a COVID-19 vaccine&#10;o *Willingness to recommend a COVID019 vaccine&#10;• Practical Issues&#10;o Know where vaccine is available&#10;o Previous uptake of adult vaccination&#10;o Ease of access&#10;o Preferred site&#10;o *Availability of on-site vaccination&#10;• Vaccination&#10;o Receives recommended vaccines&#10;Source: Data for Action: achieving high uptake of COVID-19 vaccines, World Health Organisation, 2021&#1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645910" cy="2505766"/>
                    </a:xfrm>
                    <a:prstGeom prst="rect">
                      <a:avLst/>
                    </a:prstGeom>
                  </pic:spPr>
                </pic:pic>
              </a:graphicData>
            </a:graphic>
          </wp:inline>
        </w:drawing>
      </w:r>
    </w:p>
    <w:p w14:paraId="4E06457B" w14:textId="196ECB63" w:rsidR="003A5A19" w:rsidRPr="003A5A19" w:rsidRDefault="003A5A19" w:rsidP="003A5A19">
      <w:pPr>
        <w:pStyle w:val="CDIfootnotes"/>
      </w:pPr>
      <w:r w:rsidRPr="003A5A19">
        <w:t>a</w:t>
      </w:r>
      <w:r w:rsidR="00DF4551">
        <w:tab/>
      </w:r>
      <w:r w:rsidRPr="003A5A19">
        <w:t>Source: Data for Action: achieving high uptake of COVID-19 vaccines, WHO, 2021.</w:t>
      </w:r>
      <w:r w:rsidRPr="003A5A19">
        <w:rPr>
          <w:vertAlign w:val="superscript"/>
        </w:rPr>
        <w:t>17</w:t>
      </w:r>
      <w:r w:rsidRPr="003A5A19">
        <w:t xml:space="preserve"> </w:t>
      </w:r>
    </w:p>
    <w:p w14:paraId="59AFA89B" w14:textId="69CF3A8E" w:rsidR="0010360B" w:rsidRPr="003A5A19" w:rsidRDefault="0010360B" w:rsidP="003A5A19">
      <w:pPr>
        <w:pStyle w:val="Heading2"/>
      </w:pPr>
      <w:r w:rsidRPr="003A5A19">
        <w:t xml:space="preserve">Statistical analyses </w:t>
      </w:r>
    </w:p>
    <w:p w14:paraId="42E43420" w14:textId="77777777" w:rsidR="0010360B" w:rsidRDefault="0010360B" w:rsidP="0010360B">
      <w:r>
        <w:t xml:space="preserve">The primary outcome was vaccination status (receipt of either one or two doses of a COVID-19 vaccine). The relationship between vaccination status and all other variables was assessed using univariable logistic regression. All analyses were conducted using R software, version 4.1.0. </w:t>
      </w:r>
    </w:p>
    <w:p w14:paraId="47B08618" w14:textId="77777777" w:rsidR="0010360B" w:rsidRDefault="0010360B" w:rsidP="007A0EB4">
      <w:r>
        <w:lastRenderedPageBreak/>
        <w:t xml:space="preserve">Doctors, dentists, allied health professionals and nurses (including midwives) were categorised as frontline HCWs while community health workers, Aboriginal and Torres Strait Islander health workers, administrators, operational service providers and other professionals were classified as non-frontline HCWs. </w:t>
      </w:r>
    </w:p>
    <w:p w14:paraId="5A1511B9" w14:textId="77777777" w:rsidR="0010360B" w:rsidRPr="0010360B" w:rsidRDefault="0010360B" w:rsidP="0010360B">
      <w:pPr>
        <w:pStyle w:val="Heading1"/>
      </w:pPr>
      <w:r w:rsidRPr="0010360B">
        <w:t xml:space="preserve">Results </w:t>
      </w:r>
    </w:p>
    <w:p w14:paraId="7555B93A" w14:textId="77777777" w:rsidR="0010360B" w:rsidRDefault="0010360B" w:rsidP="0010360B">
      <w:r>
        <w:t xml:space="preserve">Of the 4,752 invited CQHHS staff, 240 completed the survey (a 5% response rate). Of these 240 respondents, 64% (n = 153) had received at least one dose of COVID-19 vaccine at the time of the survey. The mean age of the participants was 48.1 years, 78% (n = 188) were female, and 52% (n = 124) were frontline HCWs (Table 1). </w:t>
      </w:r>
    </w:p>
    <w:p w14:paraId="3DCDDDD9" w14:textId="77777777" w:rsidR="00980747" w:rsidRPr="00A32D9C" w:rsidRDefault="00980747" w:rsidP="00980747">
      <w:pPr>
        <w:pStyle w:val="CDIFigures"/>
      </w:pPr>
      <w:r w:rsidRPr="00A32D9C">
        <w:rPr>
          <w:rStyle w:val="Strong"/>
          <w:b/>
          <w:bCs w:val="0"/>
        </w:rPr>
        <w:t xml:space="preserve">Table 1: Survey responses socio-demography according to vaccination status </w:t>
      </w:r>
    </w:p>
    <w:tbl>
      <w:tblPr>
        <w:tblStyle w:val="CDI-StandardTable"/>
        <w:tblW w:w="0" w:type="auto"/>
        <w:tblLook w:val="04A0" w:firstRow="1" w:lastRow="0" w:firstColumn="1" w:lastColumn="0" w:noHBand="0" w:noVBand="1"/>
        <w:tblDescription w:val="Responses to socio-demographic question on survey. Proportions of respondents by vaccination statues (No/Yes) and odds ratio with 95 % confidence interval and p-value."/>
      </w:tblPr>
      <w:tblGrid>
        <w:gridCol w:w="2691"/>
        <w:gridCol w:w="3683"/>
        <w:gridCol w:w="992"/>
        <w:gridCol w:w="993"/>
        <w:gridCol w:w="2101"/>
      </w:tblGrid>
      <w:tr w:rsidR="00980747" w:rsidRPr="00980747" w14:paraId="749954F1"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tcBorders>
              <w:top w:val="single" w:sz="2" w:space="0" w:color="886E49"/>
              <w:left w:val="single" w:sz="2" w:space="0" w:color="0D0D0D" w:themeColor="text1" w:themeTint="F2"/>
              <w:bottom w:val="single" w:sz="2" w:space="0" w:color="886E49"/>
              <w:right w:val="single" w:sz="2" w:space="0" w:color="886E49"/>
            </w:tcBorders>
            <w:vAlign w:val="center"/>
            <w:hideMark/>
          </w:tcPr>
          <w:p w14:paraId="1DC4970A" w14:textId="77777777" w:rsidR="00980747" w:rsidRPr="00980747" w:rsidRDefault="00980747" w:rsidP="00980747">
            <w:pPr>
              <w:pStyle w:val="NormalWeb"/>
              <w:rPr>
                <w:color w:val="FFFFFF" w:themeColor="background1"/>
                <w:sz w:val="18"/>
                <w:szCs w:val="18"/>
              </w:rPr>
            </w:pPr>
            <w:r w:rsidRPr="00980747">
              <w:rPr>
                <w:color w:val="FFFFFF" w:themeColor="background1"/>
                <w:sz w:val="18"/>
                <w:szCs w:val="18"/>
              </w:rPr>
              <w:t>Survey item</w:t>
            </w:r>
          </w:p>
        </w:tc>
        <w:tc>
          <w:tcPr>
            <w:tcW w:w="3685" w:type="dxa"/>
            <w:vMerge w:val="restart"/>
            <w:tcBorders>
              <w:top w:val="single" w:sz="2" w:space="0" w:color="886E49"/>
              <w:left w:val="single" w:sz="2" w:space="0" w:color="886E49"/>
              <w:bottom w:val="single" w:sz="2" w:space="0" w:color="886E49"/>
              <w:right w:val="single" w:sz="2" w:space="0" w:color="886E49"/>
            </w:tcBorders>
            <w:vAlign w:val="center"/>
            <w:hideMark/>
          </w:tcPr>
          <w:p w14:paraId="19E31FDF" w14:textId="77777777" w:rsidR="00980747" w:rsidRPr="00980747" w:rsidRDefault="00980747" w:rsidP="00980747">
            <w:pPr>
              <w:pStyle w:val="NormalWeb"/>
              <w:jc w:val="center"/>
              <w:rPr>
                <w:color w:val="FFFFFF" w:themeColor="background1"/>
                <w:sz w:val="18"/>
                <w:szCs w:val="18"/>
              </w:rPr>
            </w:pPr>
            <w:r w:rsidRPr="00980747">
              <w:rPr>
                <w:color w:val="FFFFFF" w:themeColor="background1"/>
                <w:sz w:val="18"/>
                <w:szCs w:val="18"/>
              </w:rPr>
              <w:t>Response</w:t>
            </w:r>
          </w:p>
        </w:tc>
        <w:tc>
          <w:tcPr>
            <w:tcW w:w="4087" w:type="dxa"/>
            <w:gridSpan w:val="3"/>
            <w:tcBorders>
              <w:top w:val="single" w:sz="2" w:space="0" w:color="886E49"/>
              <w:left w:val="single" w:sz="2" w:space="0" w:color="886E49"/>
              <w:bottom w:val="single" w:sz="2" w:space="0" w:color="886E49"/>
              <w:right w:val="single" w:sz="2" w:space="0" w:color="0D0D0D" w:themeColor="text1" w:themeTint="F2"/>
            </w:tcBorders>
            <w:vAlign w:val="center"/>
            <w:hideMark/>
          </w:tcPr>
          <w:p w14:paraId="394A5B32" w14:textId="77777777" w:rsidR="00980747" w:rsidRPr="00980747" w:rsidRDefault="00980747" w:rsidP="00980747">
            <w:pPr>
              <w:pStyle w:val="NormalWeb"/>
              <w:jc w:val="center"/>
              <w:rPr>
                <w:color w:val="FFFFFF" w:themeColor="background1"/>
                <w:sz w:val="18"/>
                <w:szCs w:val="18"/>
              </w:rPr>
            </w:pPr>
            <w:r w:rsidRPr="00980747">
              <w:rPr>
                <w:color w:val="FFFFFF" w:themeColor="background1"/>
                <w:sz w:val="18"/>
                <w:szCs w:val="18"/>
              </w:rPr>
              <w:t>Vaccine received</w:t>
            </w:r>
          </w:p>
        </w:tc>
      </w:tr>
      <w:tr w:rsidR="003C32F8" w:rsidRPr="00980747" w14:paraId="2B66CEEF"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top w:val="single" w:sz="2" w:space="0" w:color="886E49"/>
              <w:left w:val="single" w:sz="2" w:space="0" w:color="0D0D0D" w:themeColor="text1" w:themeTint="F2"/>
              <w:right w:val="single" w:sz="2" w:space="0" w:color="886E49"/>
            </w:tcBorders>
            <w:vAlign w:val="center"/>
            <w:hideMark/>
          </w:tcPr>
          <w:p w14:paraId="395CA234" w14:textId="77777777" w:rsidR="00980747" w:rsidRPr="00980747" w:rsidRDefault="00980747" w:rsidP="00980747">
            <w:pPr>
              <w:jc w:val="center"/>
              <w:rPr>
                <w:color w:val="FFFFFF" w:themeColor="background1"/>
                <w:sz w:val="18"/>
                <w:szCs w:val="18"/>
              </w:rPr>
            </w:pPr>
          </w:p>
        </w:tc>
        <w:tc>
          <w:tcPr>
            <w:tcW w:w="3685" w:type="dxa"/>
            <w:vMerge/>
            <w:tcBorders>
              <w:top w:val="single" w:sz="2" w:space="0" w:color="886E49"/>
              <w:left w:val="single" w:sz="2" w:space="0" w:color="886E49"/>
              <w:right w:val="single" w:sz="2" w:space="0" w:color="886E49"/>
            </w:tcBorders>
            <w:vAlign w:val="center"/>
            <w:hideMark/>
          </w:tcPr>
          <w:p w14:paraId="31C77A16" w14:textId="77777777" w:rsidR="00980747" w:rsidRPr="00980747" w:rsidRDefault="00980747" w:rsidP="00980747">
            <w:pPr>
              <w:jc w:val="center"/>
              <w:rPr>
                <w:color w:val="FFFFFF" w:themeColor="background1"/>
                <w:sz w:val="18"/>
                <w:szCs w:val="18"/>
              </w:rPr>
            </w:pPr>
          </w:p>
        </w:tc>
        <w:tc>
          <w:tcPr>
            <w:tcW w:w="992" w:type="dxa"/>
            <w:tcBorders>
              <w:top w:val="single" w:sz="2" w:space="0" w:color="886E49"/>
              <w:left w:val="single" w:sz="2" w:space="0" w:color="886E49"/>
              <w:right w:val="single" w:sz="2" w:space="0" w:color="886E49"/>
            </w:tcBorders>
            <w:vAlign w:val="center"/>
            <w:hideMark/>
          </w:tcPr>
          <w:p w14:paraId="337E777A" w14:textId="74553166" w:rsidR="00980747" w:rsidRPr="00980747" w:rsidRDefault="00980747" w:rsidP="00AE4776">
            <w:pPr>
              <w:pStyle w:val="NormalWeb"/>
              <w:jc w:val="center"/>
              <w:rPr>
                <w:color w:val="FFFFFF" w:themeColor="background1"/>
                <w:sz w:val="18"/>
                <w:szCs w:val="18"/>
              </w:rPr>
            </w:pPr>
            <w:r w:rsidRPr="00980747">
              <w:rPr>
                <w:color w:val="FFFFFF" w:themeColor="background1"/>
                <w:sz w:val="18"/>
                <w:szCs w:val="18"/>
              </w:rPr>
              <w:t>No</w:t>
            </w:r>
            <w:r w:rsidR="00AE4776">
              <w:rPr>
                <w:color w:val="FFFFFF" w:themeColor="background1"/>
                <w:sz w:val="18"/>
                <w:szCs w:val="18"/>
              </w:rPr>
              <w:br/>
            </w:r>
            <w:r w:rsidRPr="00980747">
              <w:rPr>
                <w:color w:val="FFFFFF" w:themeColor="background1"/>
                <w:sz w:val="18"/>
                <w:szCs w:val="18"/>
              </w:rPr>
              <w:t>n(%)</w:t>
            </w:r>
          </w:p>
        </w:tc>
        <w:tc>
          <w:tcPr>
            <w:tcW w:w="993" w:type="dxa"/>
            <w:tcBorders>
              <w:top w:val="single" w:sz="2" w:space="0" w:color="886E49"/>
              <w:left w:val="single" w:sz="2" w:space="0" w:color="886E49"/>
              <w:right w:val="single" w:sz="2" w:space="0" w:color="886E49"/>
            </w:tcBorders>
            <w:vAlign w:val="center"/>
            <w:hideMark/>
          </w:tcPr>
          <w:p w14:paraId="2A1BD97D" w14:textId="703E4B00" w:rsidR="00980747" w:rsidRPr="00980747" w:rsidRDefault="00980747" w:rsidP="00AE4776">
            <w:pPr>
              <w:pStyle w:val="NormalWeb"/>
              <w:jc w:val="center"/>
              <w:rPr>
                <w:color w:val="FFFFFF" w:themeColor="background1"/>
                <w:sz w:val="18"/>
                <w:szCs w:val="18"/>
              </w:rPr>
            </w:pPr>
            <w:r w:rsidRPr="00980747">
              <w:rPr>
                <w:color w:val="FFFFFF" w:themeColor="background1"/>
                <w:sz w:val="18"/>
                <w:szCs w:val="18"/>
              </w:rPr>
              <w:t>Yes</w:t>
            </w:r>
            <w:r w:rsidR="00AE4776">
              <w:rPr>
                <w:color w:val="FFFFFF" w:themeColor="background1"/>
                <w:sz w:val="18"/>
                <w:szCs w:val="18"/>
              </w:rPr>
              <w:br/>
            </w:r>
            <w:r w:rsidRPr="00980747">
              <w:rPr>
                <w:color w:val="FFFFFF" w:themeColor="background1"/>
                <w:sz w:val="18"/>
                <w:szCs w:val="18"/>
              </w:rPr>
              <w:t>n(%)</w:t>
            </w:r>
          </w:p>
        </w:tc>
        <w:tc>
          <w:tcPr>
            <w:tcW w:w="2102" w:type="dxa"/>
            <w:tcBorders>
              <w:top w:val="single" w:sz="2" w:space="0" w:color="886E49"/>
              <w:left w:val="single" w:sz="2" w:space="0" w:color="886E49"/>
              <w:right w:val="single" w:sz="2" w:space="0" w:color="0D0D0D" w:themeColor="text1" w:themeTint="F2"/>
            </w:tcBorders>
            <w:vAlign w:val="center"/>
            <w:hideMark/>
          </w:tcPr>
          <w:p w14:paraId="097367EE" w14:textId="77777777" w:rsidR="00980747" w:rsidRPr="00980747" w:rsidRDefault="00980747" w:rsidP="00980747">
            <w:pPr>
              <w:pStyle w:val="NormalWeb"/>
              <w:jc w:val="center"/>
              <w:rPr>
                <w:color w:val="FFFFFF" w:themeColor="background1"/>
                <w:sz w:val="18"/>
                <w:szCs w:val="18"/>
              </w:rPr>
            </w:pPr>
            <w:r w:rsidRPr="00980747">
              <w:rPr>
                <w:color w:val="FFFFFF" w:themeColor="background1"/>
                <w:sz w:val="18"/>
                <w:szCs w:val="18"/>
              </w:rPr>
              <w:t>Odds ratio (univariate analysis), (95% CI; p value)</w:t>
            </w:r>
            <w:r w:rsidRPr="00980747">
              <w:rPr>
                <w:color w:val="FFFFFF" w:themeColor="background1"/>
                <w:sz w:val="18"/>
                <w:szCs w:val="18"/>
                <w:vertAlign w:val="superscript"/>
              </w:rPr>
              <w:t>a</w:t>
            </w:r>
          </w:p>
        </w:tc>
      </w:tr>
      <w:tr w:rsidR="00980747" w:rsidRPr="00980747" w14:paraId="074BB40B" w14:textId="77777777" w:rsidTr="00291B08">
        <w:tblPrEx>
          <w:tblCellMar>
            <w:top w:w="57" w:type="dxa"/>
            <w:left w:w="57" w:type="dxa"/>
            <w:bottom w:w="57" w:type="dxa"/>
            <w:right w:w="57" w:type="dxa"/>
          </w:tblCellMar>
        </w:tblPrEx>
        <w:tc>
          <w:tcPr>
            <w:tcW w:w="2694" w:type="dxa"/>
            <w:tcBorders>
              <w:left w:val="single" w:sz="2" w:space="0" w:color="auto"/>
              <w:bottom w:val="single" w:sz="2" w:space="0" w:color="auto"/>
              <w:right w:val="single" w:sz="2" w:space="0" w:color="auto"/>
            </w:tcBorders>
            <w:shd w:val="clear" w:color="auto" w:fill="auto"/>
            <w:hideMark/>
          </w:tcPr>
          <w:p w14:paraId="221D6684" w14:textId="77777777" w:rsidR="00980747" w:rsidRPr="00980747" w:rsidRDefault="00980747" w:rsidP="0098354A">
            <w:pPr>
              <w:pStyle w:val="NormalWeb"/>
              <w:rPr>
                <w:sz w:val="18"/>
                <w:szCs w:val="18"/>
              </w:rPr>
            </w:pPr>
            <w:r w:rsidRPr="00980747">
              <w:rPr>
                <w:sz w:val="18"/>
                <w:szCs w:val="18"/>
              </w:rPr>
              <w:t>Age (years)</w:t>
            </w:r>
          </w:p>
        </w:tc>
        <w:tc>
          <w:tcPr>
            <w:tcW w:w="3685" w:type="dxa"/>
            <w:tcBorders>
              <w:left w:val="single" w:sz="2" w:space="0" w:color="auto"/>
              <w:bottom w:val="single" w:sz="2" w:space="0" w:color="auto"/>
              <w:right w:val="single" w:sz="2" w:space="0" w:color="auto"/>
            </w:tcBorders>
            <w:shd w:val="clear" w:color="auto" w:fill="auto"/>
            <w:hideMark/>
          </w:tcPr>
          <w:p w14:paraId="5CF29890" w14:textId="77777777" w:rsidR="00980747" w:rsidRPr="00980747" w:rsidRDefault="00980747" w:rsidP="00980747">
            <w:pPr>
              <w:pStyle w:val="NormalWeb"/>
              <w:jc w:val="center"/>
              <w:rPr>
                <w:sz w:val="18"/>
                <w:szCs w:val="18"/>
              </w:rPr>
            </w:pPr>
            <w:r w:rsidRPr="00980747">
              <w:rPr>
                <w:sz w:val="18"/>
                <w:szCs w:val="18"/>
              </w:rPr>
              <w:t>(Mean (SD))</w:t>
            </w:r>
          </w:p>
        </w:tc>
        <w:tc>
          <w:tcPr>
            <w:tcW w:w="992" w:type="dxa"/>
            <w:tcBorders>
              <w:left w:val="single" w:sz="2" w:space="0" w:color="auto"/>
              <w:bottom w:val="single" w:sz="2" w:space="0" w:color="auto"/>
              <w:right w:val="single" w:sz="2" w:space="0" w:color="auto"/>
            </w:tcBorders>
            <w:shd w:val="clear" w:color="auto" w:fill="auto"/>
            <w:hideMark/>
          </w:tcPr>
          <w:p w14:paraId="61D3B882" w14:textId="77777777" w:rsidR="00980747" w:rsidRPr="00980747" w:rsidRDefault="00980747" w:rsidP="00980747">
            <w:pPr>
              <w:pStyle w:val="NormalWeb"/>
              <w:jc w:val="center"/>
              <w:rPr>
                <w:sz w:val="18"/>
                <w:szCs w:val="18"/>
              </w:rPr>
            </w:pPr>
            <w:r w:rsidRPr="00980747">
              <w:rPr>
                <w:sz w:val="18"/>
                <w:szCs w:val="18"/>
              </w:rPr>
              <w:t>46.7 (11.8)</w:t>
            </w:r>
          </w:p>
        </w:tc>
        <w:tc>
          <w:tcPr>
            <w:tcW w:w="993" w:type="dxa"/>
            <w:tcBorders>
              <w:left w:val="single" w:sz="2" w:space="0" w:color="auto"/>
              <w:bottom w:val="single" w:sz="2" w:space="0" w:color="auto"/>
              <w:right w:val="single" w:sz="2" w:space="0" w:color="auto"/>
            </w:tcBorders>
            <w:shd w:val="clear" w:color="auto" w:fill="auto"/>
            <w:hideMark/>
          </w:tcPr>
          <w:p w14:paraId="125A3828" w14:textId="77777777" w:rsidR="00980747" w:rsidRPr="00980747" w:rsidRDefault="00980747" w:rsidP="00980747">
            <w:pPr>
              <w:pStyle w:val="NormalWeb"/>
              <w:jc w:val="center"/>
              <w:rPr>
                <w:sz w:val="18"/>
                <w:szCs w:val="18"/>
              </w:rPr>
            </w:pPr>
            <w:r w:rsidRPr="00980747">
              <w:rPr>
                <w:sz w:val="18"/>
                <w:szCs w:val="18"/>
              </w:rPr>
              <w:t>48.9 (12.7)</w:t>
            </w:r>
          </w:p>
        </w:tc>
        <w:tc>
          <w:tcPr>
            <w:tcW w:w="2102" w:type="dxa"/>
            <w:tcBorders>
              <w:left w:val="single" w:sz="2" w:space="0" w:color="auto"/>
              <w:bottom w:val="single" w:sz="2" w:space="0" w:color="auto"/>
              <w:right w:val="single" w:sz="2" w:space="0" w:color="auto"/>
            </w:tcBorders>
            <w:shd w:val="clear" w:color="auto" w:fill="auto"/>
            <w:hideMark/>
          </w:tcPr>
          <w:p w14:paraId="2A2923B6" w14:textId="77777777" w:rsidR="00980747" w:rsidRPr="00980747" w:rsidRDefault="00980747" w:rsidP="00980747">
            <w:pPr>
              <w:pStyle w:val="NormalWeb"/>
              <w:jc w:val="center"/>
              <w:rPr>
                <w:sz w:val="18"/>
                <w:szCs w:val="18"/>
              </w:rPr>
            </w:pPr>
            <w:r w:rsidRPr="00980747">
              <w:rPr>
                <w:sz w:val="18"/>
                <w:szCs w:val="18"/>
              </w:rPr>
              <w:t>1.01 (0.99–1.04; p = 0.192)</w:t>
            </w:r>
          </w:p>
        </w:tc>
      </w:tr>
      <w:tr w:rsidR="00980747" w:rsidRPr="00980747" w14:paraId="4FF8084A"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7E46C2F0" w14:textId="77777777" w:rsidR="00980747" w:rsidRPr="00980747" w:rsidRDefault="00980747" w:rsidP="0098354A">
            <w:pPr>
              <w:pStyle w:val="NormalWeb"/>
              <w:rPr>
                <w:sz w:val="18"/>
                <w:szCs w:val="18"/>
              </w:rPr>
            </w:pPr>
            <w:r w:rsidRPr="00980747">
              <w:rPr>
                <w:sz w:val="18"/>
                <w:szCs w:val="18"/>
              </w:rPr>
              <w:t>Age group</w:t>
            </w: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7BB1732F" w14:textId="77777777" w:rsidR="00980747" w:rsidRPr="00980747" w:rsidRDefault="00980747" w:rsidP="00980747">
            <w:pPr>
              <w:pStyle w:val="NormalWeb"/>
              <w:jc w:val="center"/>
              <w:rPr>
                <w:sz w:val="18"/>
                <w:szCs w:val="18"/>
              </w:rPr>
            </w:pPr>
            <w:r w:rsidRPr="00980747">
              <w:rPr>
                <w:sz w:val="18"/>
                <w:szCs w:val="18"/>
              </w:rPr>
              <w:t>18–30 years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19CD7F8" w14:textId="77777777" w:rsidR="00980747" w:rsidRPr="00980747" w:rsidRDefault="00980747" w:rsidP="00980747">
            <w:pPr>
              <w:pStyle w:val="NormalWeb"/>
              <w:jc w:val="center"/>
              <w:rPr>
                <w:sz w:val="18"/>
                <w:szCs w:val="18"/>
              </w:rPr>
            </w:pPr>
            <w:r w:rsidRPr="00980747">
              <w:rPr>
                <w:sz w:val="18"/>
                <w:szCs w:val="18"/>
              </w:rPr>
              <w:t>8 (9.2)</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591635B6" w14:textId="77777777" w:rsidR="00980747" w:rsidRPr="00980747" w:rsidRDefault="00980747" w:rsidP="00980747">
            <w:pPr>
              <w:pStyle w:val="NormalWeb"/>
              <w:jc w:val="center"/>
              <w:rPr>
                <w:sz w:val="18"/>
                <w:szCs w:val="18"/>
              </w:rPr>
            </w:pPr>
            <w:r w:rsidRPr="00980747">
              <w:rPr>
                <w:sz w:val="18"/>
                <w:szCs w:val="18"/>
              </w:rPr>
              <w:t>18 (11.8)</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4417612E" w14:textId="77777777" w:rsidR="00980747" w:rsidRPr="00980747" w:rsidRDefault="00980747" w:rsidP="00980747">
            <w:pPr>
              <w:pStyle w:val="NormalWeb"/>
              <w:jc w:val="center"/>
              <w:rPr>
                <w:sz w:val="18"/>
                <w:szCs w:val="18"/>
              </w:rPr>
            </w:pPr>
            <w:r w:rsidRPr="00980747">
              <w:rPr>
                <w:sz w:val="18"/>
                <w:szCs w:val="18"/>
              </w:rPr>
              <w:t>Ref</w:t>
            </w:r>
          </w:p>
        </w:tc>
      </w:tr>
      <w:tr w:rsidR="00980747" w:rsidRPr="00980747" w14:paraId="42C2137A"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7962CBE8"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5E3578FE" w14:textId="77777777" w:rsidR="00980747" w:rsidRPr="00980747" w:rsidRDefault="00980747" w:rsidP="00980747">
            <w:pPr>
              <w:pStyle w:val="NormalWeb"/>
              <w:jc w:val="center"/>
              <w:rPr>
                <w:sz w:val="18"/>
                <w:szCs w:val="18"/>
              </w:rPr>
            </w:pPr>
            <w:r w:rsidRPr="00980747">
              <w:rPr>
                <w:sz w:val="18"/>
                <w:szCs w:val="18"/>
              </w:rPr>
              <w:t>31–40 years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446F8FE6" w14:textId="77777777" w:rsidR="00980747" w:rsidRPr="00980747" w:rsidRDefault="00980747" w:rsidP="00980747">
            <w:pPr>
              <w:pStyle w:val="NormalWeb"/>
              <w:jc w:val="center"/>
              <w:rPr>
                <w:sz w:val="18"/>
                <w:szCs w:val="18"/>
              </w:rPr>
            </w:pPr>
            <w:r w:rsidRPr="00980747">
              <w:rPr>
                <w:sz w:val="18"/>
                <w:szCs w:val="18"/>
              </w:rPr>
              <w:t>23 (26.4)</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06F04C6A" w14:textId="77777777" w:rsidR="00980747" w:rsidRPr="00980747" w:rsidRDefault="00980747" w:rsidP="00980747">
            <w:pPr>
              <w:pStyle w:val="NormalWeb"/>
              <w:jc w:val="center"/>
              <w:rPr>
                <w:sz w:val="18"/>
                <w:szCs w:val="18"/>
              </w:rPr>
            </w:pPr>
            <w:r w:rsidRPr="00980747">
              <w:rPr>
                <w:sz w:val="18"/>
                <w:szCs w:val="18"/>
              </w:rPr>
              <w:t>22 (14.4)</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4BB03A86" w14:textId="77777777" w:rsidR="00980747" w:rsidRPr="00980747" w:rsidRDefault="00980747" w:rsidP="00980747">
            <w:pPr>
              <w:pStyle w:val="NormalWeb"/>
              <w:jc w:val="center"/>
              <w:rPr>
                <w:sz w:val="18"/>
                <w:szCs w:val="18"/>
              </w:rPr>
            </w:pPr>
            <w:r w:rsidRPr="00980747">
              <w:rPr>
                <w:sz w:val="18"/>
                <w:szCs w:val="18"/>
              </w:rPr>
              <w:t>0.43 (0.15–1.15; p = 0.099)</w:t>
            </w:r>
          </w:p>
        </w:tc>
      </w:tr>
      <w:tr w:rsidR="00980747" w:rsidRPr="00980747" w14:paraId="24127634"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2A71FF45"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725ACCA2" w14:textId="77777777" w:rsidR="00980747" w:rsidRPr="00980747" w:rsidRDefault="00980747" w:rsidP="00980747">
            <w:pPr>
              <w:pStyle w:val="NormalWeb"/>
              <w:jc w:val="center"/>
              <w:rPr>
                <w:sz w:val="18"/>
                <w:szCs w:val="18"/>
              </w:rPr>
            </w:pPr>
            <w:r w:rsidRPr="00980747">
              <w:rPr>
                <w:sz w:val="18"/>
                <w:szCs w:val="18"/>
              </w:rPr>
              <w:t>41–50 years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0696980" w14:textId="77777777" w:rsidR="00980747" w:rsidRPr="00980747" w:rsidRDefault="00980747" w:rsidP="00980747">
            <w:pPr>
              <w:pStyle w:val="NormalWeb"/>
              <w:jc w:val="center"/>
              <w:rPr>
                <w:sz w:val="18"/>
                <w:szCs w:val="18"/>
              </w:rPr>
            </w:pPr>
            <w:r w:rsidRPr="00980747">
              <w:rPr>
                <w:sz w:val="18"/>
                <w:szCs w:val="18"/>
              </w:rPr>
              <w:t>19 (21.8)</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070116B7" w14:textId="77777777" w:rsidR="00980747" w:rsidRPr="00980747" w:rsidRDefault="00980747" w:rsidP="00980747">
            <w:pPr>
              <w:pStyle w:val="NormalWeb"/>
              <w:jc w:val="center"/>
              <w:rPr>
                <w:sz w:val="18"/>
                <w:szCs w:val="18"/>
              </w:rPr>
            </w:pPr>
            <w:r w:rsidRPr="00980747">
              <w:rPr>
                <w:sz w:val="18"/>
                <w:szCs w:val="18"/>
              </w:rPr>
              <w:t>32 (20.9)</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4FD11B55" w14:textId="77777777" w:rsidR="00980747" w:rsidRPr="00980747" w:rsidRDefault="00980747" w:rsidP="00980747">
            <w:pPr>
              <w:pStyle w:val="NormalWeb"/>
              <w:jc w:val="center"/>
              <w:rPr>
                <w:sz w:val="18"/>
                <w:szCs w:val="18"/>
              </w:rPr>
            </w:pPr>
            <w:r w:rsidRPr="00980747">
              <w:rPr>
                <w:sz w:val="18"/>
                <w:szCs w:val="18"/>
              </w:rPr>
              <w:t>0.75 (0.26–2.02; p = 0.573)</w:t>
            </w:r>
          </w:p>
        </w:tc>
      </w:tr>
      <w:tr w:rsidR="00980747" w:rsidRPr="00980747" w14:paraId="5444534A"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734D7910"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7E2A4249" w14:textId="77777777" w:rsidR="00980747" w:rsidRPr="00980747" w:rsidRDefault="00980747" w:rsidP="00980747">
            <w:pPr>
              <w:pStyle w:val="NormalWeb"/>
              <w:jc w:val="center"/>
              <w:rPr>
                <w:sz w:val="18"/>
                <w:szCs w:val="18"/>
              </w:rPr>
            </w:pPr>
            <w:r w:rsidRPr="00980747">
              <w:rPr>
                <w:sz w:val="18"/>
                <w:szCs w:val="18"/>
              </w:rPr>
              <w:t>51–60 years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63DE4E1" w14:textId="77777777" w:rsidR="00980747" w:rsidRPr="00980747" w:rsidRDefault="00980747" w:rsidP="00980747">
            <w:pPr>
              <w:pStyle w:val="NormalWeb"/>
              <w:jc w:val="center"/>
              <w:rPr>
                <w:sz w:val="18"/>
                <w:szCs w:val="18"/>
              </w:rPr>
            </w:pPr>
            <w:r w:rsidRPr="00980747">
              <w:rPr>
                <w:sz w:val="18"/>
                <w:szCs w:val="18"/>
              </w:rPr>
              <w:t>27 (31.0)</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7F82570A" w14:textId="77777777" w:rsidR="00980747" w:rsidRPr="00980747" w:rsidRDefault="00980747" w:rsidP="00980747">
            <w:pPr>
              <w:pStyle w:val="NormalWeb"/>
              <w:jc w:val="center"/>
              <w:rPr>
                <w:sz w:val="18"/>
                <w:szCs w:val="18"/>
              </w:rPr>
            </w:pPr>
            <w:r w:rsidRPr="00980747">
              <w:rPr>
                <w:sz w:val="18"/>
                <w:szCs w:val="18"/>
              </w:rPr>
              <w:t>53 (34.6)</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46520987" w14:textId="77777777" w:rsidR="00980747" w:rsidRPr="00980747" w:rsidRDefault="00980747" w:rsidP="00980747">
            <w:pPr>
              <w:pStyle w:val="NormalWeb"/>
              <w:jc w:val="center"/>
              <w:rPr>
                <w:sz w:val="18"/>
                <w:szCs w:val="18"/>
              </w:rPr>
            </w:pPr>
            <w:r w:rsidRPr="00980747">
              <w:rPr>
                <w:sz w:val="18"/>
                <w:szCs w:val="18"/>
              </w:rPr>
              <w:t>0.87 (0.32–2.21; p = 0.779)</w:t>
            </w:r>
          </w:p>
        </w:tc>
      </w:tr>
      <w:tr w:rsidR="00980747" w:rsidRPr="00980747" w14:paraId="6AD24198"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5C3C1027"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074492F2" w14:textId="77777777" w:rsidR="00980747" w:rsidRPr="00980747" w:rsidRDefault="00980747" w:rsidP="00980747">
            <w:pPr>
              <w:pStyle w:val="NormalWeb"/>
              <w:jc w:val="center"/>
              <w:rPr>
                <w:sz w:val="18"/>
                <w:szCs w:val="18"/>
              </w:rPr>
            </w:pPr>
            <w:r w:rsidRPr="00980747">
              <w:rPr>
                <w:sz w:val="18"/>
                <w:szCs w:val="18"/>
              </w:rPr>
              <w:t>&gt; 60 years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CC5FB2B" w14:textId="77777777" w:rsidR="00980747" w:rsidRPr="00980747" w:rsidRDefault="00980747" w:rsidP="00980747">
            <w:pPr>
              <w:pStyle w:val="NormalWeb"/>
              <w:jc w:val="center"/>
              <w:rPr>
                <w:sz w:val="18"/>
                <w:szCs w:val="18"/>
              </w:rPr>
            </w:pPr>
            <w:r w:rsidRPr="00980747">
              <w:rPr>
                <w:sz w:val="18"/>
                <w:szCs w:val="18"/>
              </w:rPr>
              <w:t>10 (11.5)</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024195BD" w14:textId="77777777" w:rsidR="00980747" w:rsidRPr="00980747" w:rsidRDefault="00980747" w:rsidP="00980747">
            <w:pPr>
              <w:pStyle w:val="NormalWeb"/>
              <w:jc w:val="center"/>
              <w:rPr>
                <w:sz w:val="18"/>
                <w:szCs w:val="18"/>
              </w:rPr>
            </w:pPr>
            <w:r w:rsidRPr="00980747">
              <w:rPr>
                <w:sz w:val="18"/>
                <w:szCs w:val="18"/>
              </w:rPr>
              <w:t>28 (18.3)</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291A238B" w14:textId="77777777" w:rsidR="00980747" w:rsidRPr="00980747" w:rsidRDefault="00980747" w:rsidP="00980747">
            <w:pPr>
              <w:pStyle w:val="NormalWeb"/>
              <w:jc w:val="center"/>
              <w:rPr>
                <w:sz w:val="18"/>
                <w:szCs w:val="18"/>
              </w:rPr>
            </w:pPr>
            <w:r w:rsidRPr="00980747">
              <w:rPr>
                <w:sz w:val="18"/>
                <w:szCs w:val="18"/>
              </w:rPr>
              <w:t>1.24 (0.41–3.76; p = 0.697)</w:t>
            </w:r>
          </w:p>
        </w:tc>
      </w:tr>
      <w:tr w:rsidR="00980747" w:rsidRPr="00980747" w14:paraId="375DE031" w14:textId="77777777" w:rsidTr="003C32F8">
        <w:tblPrEx>
          <w:tblCellMar>
            <w:top w:w="57" w:type="dxa"/>
            <w:left w:w="57" w:type="dxa"/>
            <w:bottom w:w="57" w:type="dxa"/>
            <w:right w:w="57" w:type="dxa"/>
          </w:tblCellMar>
        </w:tblPrEx>
        <w:tc>
          <w:tcPr>
            <w:tcW w:w="2694"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1F2B5A9C" w14:textId="77777777" w:rsidR="00980747" w:rsidRPr="00980747" w:rsidRDefault="00980747" w:rsidP="0098354A">
            <w:pPr>
              <w:pStyle w:val="NormalWeb"/>
              <w:rPr>
                <w:sz w:val="18"/>
                <w:szCs w:val="18"/>
              </w:rPr>
            </w:pPr>
            <w:r w:rsidRPr="00980747">
              <w:rPr>
                <w:sz w:val="18"/>
                <w:szCs w:val="18"/>
              </w:rPr>
              <w:t>Gender</w:t>
            </w: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5D3FC5D9" w14:textId="77777777" w:rsidR="00980747" w:rsidRPr="00980747" w:rsidRDefault="00980747" w:rsidP="00980747">
            <w:pPr>
              <w:pStyle w:val="NormalWeb"/>
              <w:jc w:val="center"/>
              <w:rPr>
                <w:sz w:val="18"/>
                <w:szCs w:val="18"/>
              </w:rPr>
            </w:pPr>
            <w:r w:rsidRPr="00980747">
              <w:rPr>
                <w:sz w:val="18"/>
                <w:szCs w:val="18"/>
              </w:rPr>
              <w:t>Man</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295F1FE" w14:textId="77777777" w:rsidR="00980747" w:rsidRPr="00980747" w:rsidRDefault="00980747" w:rsidP="00980747">
            <w:pPr>
              <w:pStyle w:val="NormalWeb"/>
              <w:jc w:val="center"/>
              <w:rPr>
                <w:sz w:val="18"/>
                <w:szCs w:val="18"/>
              </w:rPr>
            </w:pPr>
            <w:r w:rsidRPr="00980747">
              <w:rPr>
                <w:sz w:val="18"/>
                <w:szCs w:val="18"/>
              </w:rPr>
              <w:t>20 (23.0)</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7D718725" w14:textId="77777777" w:rsidR="00980747" w:rsidRPr="00980747" w:rsidRDefault="00980747" w:rsidP="00980747">
            <w:pPr>
              <w:pStyle w:val="NormalWeb"/>
              <w:jc w:val="center"/>
              <w:rPr>
                <w:sz w:val="18"/>
                <w:szCs w:val="18"/>
              </w:rPr>
            </w:pPr>
            <w:r w:rsidRPr="00980747">
              <w:rPr>
                <w:sz w:val="18"/>
                <w:szCs w:val="18"/>
              </w:rPr>
              <w:t>31 (20.3)</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075A899C" w14:textId="77777777" w:rsidR="00980747" w:rsidRPr="00980747" w:rsidRDefault="00980747" w:rsidP="00980747">
            <w:pPr>
              <w:pStyle w:val="NormalWeb"/>
              <w:jc w:val="center"/>
              <w:rPr>
                <w:sz w:val="18"/>
                <w:szCs w:val="18"/>
              </w:rPr>
            </w:pPr>
            <w:r w:rsidRPr="00980747">
              <w:rPr>
                <w:sz w:val="18"/>
                <w:szCs w:val="18"/>
              </w:rPr>
              <w:t>Ref</w:t>
            </w:r>
          </w:p>
        </w:tc>
      </w:tr>
      <w:tr w:rsidR="00980747" w:rsidRPr="00980747" w14:paraId="1EC8AB7A"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276E8C52"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5709FB6E" w14:textId="77777777" w:rsidR="00980747" w:rsidRPr="00980747" w:rsidRDefault="00980747" w:rsidP="00980747">
            <w:pPr>
              <w:pStyle w:val="NormalWeb"/>
              <w:jc w:val="center"/>
              <w:rPr>
                <w:sz w:val="18"/>
                <w:szCs w:val="18"/>
              </w:rPr>
            </w:pPr>
            <w:r w:rsidRPr="00980747">
              <w:rPr>
                <w:sz w:val="18"/>
                <w:szCs w:val="18"/>
              </w:rPr>
              <w:t>Woman</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4FF9C67" w14:textId="77777777" w:rsidR="00980747" w:rsidRPr="00980747" w:rsidRDefault="00980747" w:rsidP="00980747">
            <w:pPr>
              <w:pStyle w:val="NormalWeb"/>
              <w:jc w:val="center"/>
              <w:rPr>
                <w:sz w:val="18"/>
                <w:szCs w:val="18"/>
              </w:rPr>
            </w:pPr>
            <w:r w:rsidRPr="00980747">
              <w:rPr>
                <w:sz w:val="18"/>
                <w:szCs w:val="18"/>
              </w:rPr>
              <w:t>66 (75.9)</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4D1FF568" w14:textId="77777777" w:rsidR="00980747" w:rsidRPr="00980747" w:rsidRDefault="00980747" w:rsidP="00980747">
            <w:pPr>
              <w:pStyle w:val="NormalWeb"/>
              <w:jc w:val="center"/>
              <w:rPr>
                <w:sz w:val="18"/>
                <w:szCs w:val="18"/>
              </w:rPr>
            </w:pPr>
            <w:r w:rsidRPr="00980747">
              <w:rPr>
                <w:sz w:val="18"/>
                <w:szCs w:val="18"/>
              </w:rPr>
              <w:t>122 (79.7)</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5E167663" w14:textId="77777777" w:rsidR="00980747" w:rsidRPr="00980747" w:rsidRDefault="00980747" w:rsidP="00980747">
            <w:pPr>
              <w:pStyle w:val="NormalWeb"/>
              <w:jc w:val="center"/>
              <w:rPr>
                <w:sz w:val="18"/>
                <w:szCs w:val="18"/>
              </w:rPr>
            </w:pPr>
            <w:r w:rsidRPr="00980747">
              <w:rPr>
                <w:sz w:val="18"/>
                <w:szCs w:val="18"/>
              </w:rPr>
              <w:t>1.19 (0.62–2.24; p = 0.588)</w:t>
            </w:r>
          </w:p>
        </w:tc>
      </w:tr>
      <w:tr w:rsidR="00980747" w:rsidRPr="00980747" w14:paraId="58BF7E87"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1367364C"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799AC651" w14:textId="77777777" w:rsidR="00980747" w:rsidRPr="00980747" w:rsidRDefault="00980747" w:rsidP="00980747">
            <w:pPr>
              <w:pStyle w:val="NormalWeb"/>
              <w:jc w:val="center"/>
              <w:rPr>
                <w:sz w:val="18"/>
                <w:szCs w:val="18"/>
              </w:rPr>
            </w:pPr>
            <w:r w:rsidRPr="00980747">
              <w:rPr>
                <w:sz w:val="18"/>
                <w:szCs w:val="18"/>
              </w:rPr>
              <w:t>Non-binary</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41B700EB" w14:textId="77777777" w:rsidR="00980747" w:rsidRPr="00980747" w:rsidRDefault="00980747" w:rsidP="00980747">
            <w:pPr>
              <w:pStyle w:val="NormalWeb"/>
              <w:jc w:val="center"/>
              <w:rPr>
                <w:sz w:val="18"/>
                <w:szCs w:val="18"/>
              </w:rPr>
            </w:pPr>
            <w:r w:rsidRPr="00980747">
              <w:rPr>
                <w:sz w:val="18"/>
                <w:szCs w:val="18"/>
              </w:rPr>
              <w:t>1 (1.1)</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24AB1C00" w14:textId="77777777" w:rsidR="00980747" w:rsidRPr="00980747" w:rsidRDefault="00980747" w:rsidP="00980747">
            <w:pPr>
              <w:pStyle w:val="NormalWeb"/>
              <w:jc w:val="center"/>
              <w:rPr>
                <w:sz w:val="18"/>
                <w:szCs w:val="18"/>
              </w:rPr>
            </w:pPr>
            <w:r w:rsidRPr="00980747">
              <w:rPr>
                <w:sz w:val="18"/>
                <w:szCs w:val="18"/>
              </w:rPr>
              <w:t>0 (0.0)</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535E03AA" w14:textId="77777777" w:rsidR="00980747" w:rsidRPr="00980747" w:rsidRDefault="00980747" w:rsidP="00980747">
            <w:pPr>
              <w:jc w:val="center"/>
              <w:rPr>
                <w:sz w:val="18"/>
                <w:szCs w:val="18"/>
              </w:rPr>
            </w:pPr>
          </w:p>
        </w:tc>
      </w:tr>
      <w:tr w:rsidR="00980747" w:rsidRPr="00980747" w14:paraId="6ABA3E34"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565DEDA" w14:textId="77777777" w:rsidR="00980747" w:rsidRPr="00980747" w:rsidRDefault="00980747" w:rsidP="0098354A">
            <w:pPr>
              <w:pStyle w:val="NormalWeb"/>
              <w:rPr>
                <w:sz w:val="18"/>
                <w:szCs w:val="18"/>
              </w:rPr>
            </w:pPr>
            <w:r w:rsidRPr="00980747">
              <w:rPr>
                <w:sz w:val="18"/>
                <w:szCs w:val="18"/>
              </w:rPr>
              <w:t>Education</w:t>
            </w: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70233AEB" w14:textId="77777777" w:rsidR="00980747" w:rsidRPr="00980747" w:rsidRDefault="00980747" w:rsidP="00980747">
            <w:pPr>
              <w:pStyle w:val="NormalWeb"/>
              <w:jc w:val="center"/>
              <w:rPr>
                <w:sz w:val="18"/>
                <w:szCs w:val="18"/>
              </w:rPr>
            </w:pPr>
            <w:r w:rsidRPr="00980747">
              <w:rPr>
                <w:sz w:val="18"/>
                <w:szCs w:val="18"/>
              </w:rPr>
              <w:t>Undergraduate diploma, vocational qualification</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2982E87" w14:textId="77777777" w:rsidR="00980747" w:rsidRPr="00980747" w:rsidRDefault="00980747" w:rsidP="00980747">
            <w:pPr>
              <w:pStyle w:val="NormalWeb"/>
              <w:jc w:val="center"/>
              <w:rPr>
                <w:sz w:val="18"/>
                <w:szCs w:val="18"/>
              </w:rPr>
            </w:pPr>
            <w:r w:rsidRPr="00980747">
              <w:rPr>
                <w:sz w:val="18"/>
                <w:szCs w:val="18"/>
              </w:rPr>
              <w:t>40 (46.0)</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733DACE8" w14:textId="77777777" w:rsidR="00980747" w:rsidRPr="00980747" w:rsidRDefault="00980747" w:rsidP="00980747">
            <w:pPr>
              <w:pStyle w:val="NormalWeb"/>
              <w:jc w:val="center"/>
              <w:rPr>
                <w:sz w:val="18"/>
                <w:szCs w:val="18"/>
              </w:rPr>
            </w:pPr>
            <w:r w:rsidRPr="00980747">
              <w:rPr>
                <w:sz w:val="18"/>
                <w:szCs w:val="18"/>
              </w:rPr>
              <w:t>47 (30.7)</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201F4582" w14:textId="77777777" w:rsidR="00980747" w:rsidRPr="00980747" w:rsidRDefault="00980747" w:rsidP="00980747">
            <w:pPr>
              <w:pStyle w:val="NormalWeb"/>
              <w:jc w:val="center"/>
              <w:rPr>
                <w:sz w:val="18"/>
                <w:szCs w:val="18"/>
              </w:rPr>
            </w:pPr>
            <w:r w:rsidRPr="00980747">
              <w:rPr>
                <w:sz w:val="18"/>
                <w:szCs w:val="18"/>
              </w:rPr>
              <w:t>Ref</w:t>
            </w:r>
          </w:p>
        </w:tc>
      </w:tr>
      <w:tr w:rsidR="00980747" w:rsidRPr="00980747" w14:paraId="56AA7DBC"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05F130A7"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10E42F64" w14:textId="77777777" w:rsidR="00980747" w:rsidRPr="00980747" w:rsidRDefault="00980747" w:rsidP="00980747">
            <w:pPr>
              <w:pStyle w:val="NormalWeb"/>
              <w:jc w:val="center"/>
              <w:rPr>
                <w:sz w:val="18"/>
                <w:szCs w:val="18"/>
              </w:rPr>
            </w:pPr>
            <w:r w:rsidRPr="00980747">
              <w:rPr>
                <w:sz w:val="18"/>
                <w:szCs w:val="18"/>
              </w:rPr>
              <w:t>Bachelor’s degree and higher</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CFAD610" w14:textId="77777777" w:rsidR="00980747" w:rsidRPr="00980747" w:rsidRDefault="00980747" w:rsidP="00980747">
            <w:pPr>
              <w:pStyle w:val="NormalWeb"/>
              <w:jc w:val="center"/>
              <w:rPr>
                <w:sz w:val="18"/>
                <w:szCs w:val="18"/>
              </w:rPr>
            </w:pPr>
            <w:r w:rsidRPr="00980747">
              <w:rPr>
                <w:sz w:val="18"/>
                <w:szCs w:val="18"/>
              </w:rPr>
              <w:t>47 (54.0)</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5DF2E945" w14:textId="77777777" w:rsidR="00980747" w:rsidRPr="00980747" w:rsidRDefault="00980747" w:rsidP="00980747">
            <w:pPr>
              <w:pStyle w:val="NormalWeb"/>
              <w:jc w:val="center"/>
              <w:rPr>
                <w:sz w:val="18"/>
                <w:szCs w:val="18"/>
              </w:rPr>
            </w:pPr>
            <w:r w:rsidRPr="00980747">
              <w:rPr>
                <w:sz w:val="18"/>
                <w:szCs w:val="18"/>
              </w:rPr>
              <w:t>106 (69.3)</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4AEBE484" w14:textId="77777777" w:rsidR="00980747" w:rsidRPr="00980747" w:rsidRDefault="00980747" w:rsidP="00980747">
            <w:pPr>
              <w:pStyle w:val="NormalWeb"/>
              <w:jc w:val="center"/>
              <w:rPr>
                <w:sz w:val="18"/>
                <w:szCs w:val="18"/>
              </w:rPr>
            </w:pPr>
            <w:r w:rsidRPr="00980747">
              <w:rPr>
                <w:sz w:val="18"/>
                <w:szCs w:val="18"/>
              </w:rPr>
              <w:t>1.92 (1.11–3.32; p = 0.019)</w:t>
            </w:r>
          </w:p>
        </w:tc>
      </w:tr>
      <w:tr w:rsidR="00980747" w:rsidRPr="00980747" w14:paraId="0F3C0972"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65A670B5" w14:textId="77777777" w:rsidR="00980747" w:rsidRPr="00980747" w:rsidRDefault="00980747" w:rsidP="0098354A">
            <w:pPr>
              <w:pStyle w:val="NormalWeb"/>
              <w:rPr>
                <w:sz w:val="18"/>
                <w:szCs w:val="18"/>
              </w:rPr>
            </w:pPr>
            <w:r w:rsidRPr="00980747">
              <w:rPr>
                <w:sz w:val="18"/>
                <w:szCs w:val="18"/>
              </w:rPr>
              <w:t>Occupation</w:t>
            </w: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3D3EC0AC" w14:textId="77777777" w:rsidR="00980747" w:rsidRPr="00980747" w:rsidRDefault="00980747" w:rsidP="00980747">
            <w:pPr>
              <w:pStyle w:val="NormalWeb"/>
              <w:jc w:val="center"/>
              <w:rPr>
                <w:sz w:val="18"/>
                <w:szCs w:val="18"/>
              </w:rPr>
            </w:pPr>
            <w:r w:rsidRPr="00980747">
              <w:rPr>
                <w:sz w:val="18"/>
                <w:szCs w:val="18"/>
              </w:rPr>
              <w:t>Non-frontline healthcare worker</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B72560F" w14:textId="77777777" w:rsidR="00980747" w:rsidRPr="00980747" w:rsidRDefault="00980747" w:rsidP="00980747">
            <w:pPr>
              <w:pStyle w:val="NormalWeb"/>
              <w:jc w:val="center"/>
              <w:rPr>
                <w:sz w:val="18"/>
                <w:szCs w:val="18"/>
              </w:rPr>
            </w:pPr>
            <w:r w:rsidRPr="00980747">
              <w:rPr>
                <w:sz w:val="18"/>
                <w:szCs w:val="18"/>
              </w:rPr>
              <w:t>55 (63.2)</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5C5C538A" w14:textId="77777777" w:rsidR="00980747" w:rsidRPr="00980747" w:rsidRDefault="00980747" w:rsidP="00980747">
            <w:pPr>
              <w:pStyle w:val="NormalWeb"/>
              <w:jc w:val="center"/>
              <w:rPr>
                <w:sz w:val="18"/>
                <w:szCs w:val="18"/>
              </w:rPr>
            </w:pPr>
            <w:r w:rsidRPr="00980747">
              <w:rPr>
                <w:sz w:val="18"/>
                <w:szCs w:val="18"/>
              </w:rPr>
              <w:t>61 (39.9)</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5CFDCA05" w14:textId="77777777" w:rsidR="00980747" w:rsidRPr="00980747" w:rsidRDefault="00980747" w:rsidP="00980747">
            <w:pPr>
              <w:pStyle w:val="NormalWeb"/>
              <w:jc w:val="center"/>
              <w:rPr>
                <w:sz w:val="18"/>
                <w:szCs w:val="18"/>
              </w:rPr>
            </w:pPr>
            <w:r w:rsidRPr="00980747">
              <w:rPr>
                <w:sz w:val="18"/>
                <w:szCs w:val="18"/>
              </w:rPr>
              <w:t>Ref</w:t>
            </w:r>
          </w:p>
        </w:tc>
      </w:tr>
      <w:tr w:rsidR="00980747" w:rsidRPr="00980747" w14:paraId="7A593838"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0D4315E9"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61AC47A9" w14:textId="77777777" w:rsidR="00980747" w:rsidRPr="00980747" w:rsidRDefault="00980747" w:rsidP="00980747">
            <w:pPr>
              <w:pStyle w:val="NormalWeb"/>
              <w:jc w:val="center"/>
              <w:rPr>
                <w:sz w:val="18"/>
                <w:szCs w:val="18"/>
              </w:rPr>
            </w:pPr>
            <w:r w:rsidRPr="00980747">
              <w:rPr>
                <w:sz w:val="18"/>
                <w:szCs w:val="18"/>
              </w:rPr>
              <w:t>Frontline healthcare worker</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9460B31" w14:textId="77777777" w:rsidR="00980747" w:rsidRPr="00980747" w:rsidRDefault="00980747" w:rsidP="00980747">
            <w:pPr>
              <w:pStyle w:val="NormalWeb"/>
              <w:jc w:val="center"/>
              <w:rPr>
                <w:sz w:val="18"/>
                <w:szCs w:val="18"/>
              </w:rPr>
            </w:pPr>
            <w:r w:rsidRPr="00980747">
              <w:rPr>
                <w:sz w:val="18"/>
                <w:szCs w:val="18"/>
              </w:rPr>
              <w:t>32 (36.8)</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7F2826BF" w14:textId="77777777" w:rsidR="00980747" w:rsidRPr="00980747" w:rsidRDefault="00980747" w:rsidP="00980747">
            <w:pPr>
              <w:pStyle w:val="NormalWeb"/>
              <w:jc w:val="center"/>
              <w:rPr>
                <w:sz w:val="18"/>
                <w:szCs w:val="18"/>
              </w:rPr>
            </w:pPr>
            <w:r w:rsidRPr="00980747">
              <w:rPr>
                <w:sz w:val="18"/>
                <w:szCs w:val="18"/>
              </w:rPr>
              <w:t>92 (60.1)</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42636652" w14:textId="77777777" w:rsidR="00980747" w:rsidRPr="00980747" w:rsidRDefault="00980747" w:rsidP="00980747">
            <w:pPr>
              <w:pStyle w:val="NormalWeb"/>
              <w:jc w:val="center"/>
              <w:rPr>
                <w:sz w:val="18"/>
                <w:szCs w:val="18"/>
              </w:rPr>
            </w:pPr>
            <w:r w:rsidRPr="00980747">
              <w:rPr>
                <w:sz w:val="18"/>
                <w:szCs w:val="18"/>
              </w:rPr>
              <w:t>2.59 (1.51–4.50; p = 0.001)</w:t>
            </w:r>
          </w:p>
        </w:tc>
      </w:tr>
      <w:tr w:rsidR="00980747" w:rsidRPr="00980747" w14:paraId="07E74D2C"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BCEB3C7" w14:textId="77777777" w:rsidR="00980747" w:rsidRPr="00980747" w:rsidRDefault="00980747" w:rsidP="0098354A">
            <w:pPr>
              <w:pStyle w:val="NormalWeb"/>
              <w:rPr>
                <w:sz w:val="18"/>
                <w:szCs w:val="18"/>
              </w:rPr>
            </w:pPr>
            <w:r w:rsidRPr="00980747">
              <w:rPr>
                <w:sz w:val="18"/>
                <w:szCs w:val="18"/>
              </w:rPr>
              <w:t>Aboriginal or Torres Strait Islander</w:t>
            </w: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53D3C7D0" w14:textId="77777777" w:rsidR="00980747" w:rsidRPr="00980747" w:rsidRDefault="00980747" w:rsidP="00980747">
            <w:pPr>
              <w:pStyle w:val="NormalWeb"/>
              <w:jc w:val="center"/>
              <w:rPr>
                <w:sz w:val="18"/>
                <w:szCs w:val="18"/>
              </w:rPr>
            </w:pPr>
            <w:r w:rsidRPr="00980747">
              <w:rPr>
                <w:sz w:val="18"/>
                <w:szCs w:val="18"/>
              </w:rPr>
              <w:t>No</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EA54D53" w14:textId="77777777" w:rsidR="00980747" w:rsidRPr="00980747" w:rsidRDefault="00980747" w:rsidP="00980747">
            <w:pPr>
              <w:pStyle w:val="NormalWeb"/>
              <w:jc w:val="center"/>
              <w:rPr>
                <w:sz w:val="18"/>
                <w:szCs w:val="18"/>
              </w:rPr>
            </w:pPr>
            <w:r w:rsidRPr="00980747">
              <w:rPr>
                <w:sz w:val="18"/>
                <w:szCs w:val="18"/>
              </w:rPr>
              <w:t>83 (95.4)</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26947665" w14:textId="77777777" w:rsidR="00980747" w:rsidRPr="00980747" w:rsidRDefault="00980747" w:rsidP="00980747">
            <w:pPr>
              <w:pStyle w:val="NormalWeb"/>
              <w:jc w:val="center"/>
              <w:rPr>
                <w:sz w:val="18"/>
                <w:szCs w:val="18"/>
              </w:rPr>
            </w:pPr>
            <w:r w:rsidRPr="00980747">
              <w:rPr>
                <w:sz w:val="18"/>
                <w:szCs w:val="18"/>
              </w:rPr>
              <w:t>148 (96.7)</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288EC34E" w14:textId="77777777" w:rsidR="00980747" w:rsidRPr="00980747" w:rsidRDefault="00980747" w:rsidP="00980747">
            <w:pPr>
              <w:pStyle w:val="NormalWeb"/>
              <w:jc w:val="center"/>
              <w:rPr>
                <w:sz w:val="18"/>
                <w:szCs w:val="18"/>
              </w:rPr>
            </w:pPr>
            <w:r w:rsidRPr="00980747">
              <w:rPr>
                <w:sz w:val="18"/>
                <w:szCs w:val="18"/>
              </w:rPr>
              <w:t>Ref</w:t>
            </w:r>
          </w:p>
        </w:tc>
      </w:tr>
      <w:tr w:rsidR="00980747" w:rsidRPr="00980747" w14:paraId="6A1CAC66"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4F884F8D"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3B60A166" w14:textId="77777777" w:rsidR="00980747" w:rsidRPr="00980747" w:rsidRDefault="00980747" w:rsidP="00980747">
            <w:pPr>
              <w:pStyle w:val="NormalWeb"/>
              <w:jc w:val="center"/>
              <w:rPr>
                <w:sz w:val="18"/>
                <w:szCs w:val="18"/>
              </w:rPr>
            </w:pPr>
            <w:r w:rsidRPr="00980747">
              <w:rPr>
                <w:sz w:val="18"/>
                <w:szCs w:val="18"/>
              </w:rPr>
              <w:t>Yes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51CA358" w14:textId="77777777" w:rsidR="00980747" w:rsidRPr="00980747" w:rsidRDefault="00980747" w:rsidP="00980747">
            <w:pPr>
              <w:pStyle w:val="NormalWeb"/>
              <w:jc w:val="center"/>
              <w:rPr>
                <w:sz w:val="18"/>
                <w:szCs w:val="18"/>
              </w:rPr>
            </w:pPr>
            <w:r w:rsidRPr="00980747">
              <w:rPr>
                <w:sz w:val="18"/>
                <w:szCs w:val="18"/>
              </w:rPr>
              <w:t>4 (4.6)</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36B31FEA" w14:textId="77777777" w:rsidR="00980747" w:rsidRPr="00980747" w:rsidRDefault="00980747" w:rsidP="00980747">
            <w:pPr>
              <w:pStyle w:val="NormalWeb"/>
              <w:jc w:val="center"/>
              <w:rPr>
                <w:sz w:val="18"/>
                <w:szCs w:val="18"/>
              </w:rPr>
            </w:pPr>
            <w:r w:rsidRPr="00980747">
              <w:rPr>
                <w:sz w:val="18"/>
                <w:szCs w:val="18"/>
              </w:rPr>
              <w:t>5 (3.3)</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10DC2FA6" w14:textId="77777777" w:rsidR="00980747" w:rsidRPr="00980747" w:rsidRDefault="00980747" w:rsidP="00980747">
            <w:pPr>
              <w:pStyle w:val="NormalWeb"/>
              <w:jc w:val="center"/>
              <w:rPr>
                <w:sz w:val="18"/>
                <w:szCs w:val="18"/>
              </w:rPr>
            </w:pPr>
            <w:r w:rsidRPr="00980747">
              <w:rPr>
                <w:sz w:val="18"/>
                <w:szCs w:val="18"/>
              </w:rPr>
              <w:t>0.70 (0.18–2.90; p = 0.604)</w:t>
            </w:r>
          </w:p>
        </w:tc>
      </w:tr>
      <w:tr w:rsidR="00980747" w:rsidRPr="00980747" w14:paraId="53648740"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690EAEA0" w14:textId="77777777" w:rsidR="00980747" w:rsidRPr="00980747" w:rsidRDefault="00980747" w:rsidP="0098354A">
            <w:pPr>
              <w:pStyle w:val="NormalWeb"/>
              <w:rPr>
                <w:sz w:val="18"/>
                <w:szCs w:val="18"/>
              </w:rPr>
            </w:pPr>
            <w:r w:rsidRPr="00980747">
              <w:rPr>
                <w:sz w:val="18"/>
                <w:szCs w:val="18"/>
              </w:rPr>
              <w:t>Chronic illness</w:t>
            </w: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734E2DB4" w14:textId="77777777" w:rsidR="00980747" w:rsidRPr="00980747" w:rsidRDefault="00980747" w:rsidP="00980747">
            <w:pPr>
              <w:pStyle w:val="NormalWeb"/>
              <w:jc w:val="center"/>
              <w:rPr>
                <w:sz w:val="18"/>
                <w:szCs w:val="18"/>
              </w:rPr>
            </w:pPr>
            <w:r w:rsidRPr="00980747">
              <w:rPr>
                <w:sz w:val="18"/>
                <w:szCs w:val="18"/>
              </w:rPr>
              <w:t>No</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93C3CB7" w14:textId="77777777" w:rsidR="00980747" w:rsidRPr="00980747" w:rsidRDefault="00980747" w:rsidP="00980747">
            <w:pPr>
              <w:pStyle w:val="NormalWeb"/>
              <w:jc w:val="center"/>
              <w:rPr>
                <w:sz w:val="18"/>
                <w:szCs w:val="18"/>
              </w:rPr>
            </w:pPr>
            <w:r w:rsidRPr="00980747">
              <w:rPr>
                <w:sz w:val="18"/>
                <w:szCs w:val="18"/>
              </w:rPr>
              <w:t>64 (73.6)</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36F208BB" w14:textId="77777777" w:rsidR="00980747" w:rsidRPr="00980747" w:rsidRDefault="00980747" w:rsidP="00980747">
            <w:pPr>
              <w:pStyle w:val="NormalWeb"/>
              <w:jc w:val="center"/>
              <w:rPr>
                <w:sz w:val="18"/>
                <w:szCs w:val="18"/>
              </w:rPr>
            </w:pPr>
            <w:r w:rsidRPr="00980747">
              <w:rPr>
                <w:sz w:val="18"/>
                <w:szCs w:val="18"/>
              </w:rPr>
              <w:t>116 (75.8)</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7E45B603" w14:textId="77777777" w:rsidR="00980747" w:rsidRPr="00980747" w:rsidRDefault="00980747" w:rsidP="00980747">
            <w:pPr>
              <w:pStyle w:val="NormalWeb"/>
              <w:jc w:val="center"/>
              <w:rPr>
                <w:sz w:val="18"/>
                <w:szCs w:val="18"/>
              </w:rPr>
            </w:pPr>
            <w:r w:rsidRPr="00980747">
              <w:rPr>
                <w:sz w:val="18"/>
                <w:szCs w:val="18"/>
              </w:rPr>
              <w:t>Ref</w:t>
            </w:r>
          </w:p>
        </w:tc>
      </w:tr>
      <w:tr w:rsidR="00980747" w:rsidRPr="00980747" w14:paraId="2232EDC9" w14:textId="77777777" w:rsidTr="003C32F8">
        <w:tblPrEx>
          <w:tblCellMar>
            <w:top w:w="57" w:type="dxa"/>
            <w:left w:w="57" w:type="dxa"/>
            <w:bottom w:w="57" w:type="dxa"/>
            <w:right w:w="57" w:type="dxa"/>
          </w:tblCellMar>
        </w:tblPrEx>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52A58D52"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342B7249" w14:textId="77777777" w:rsidR="00980747" w:rsidRPr="00980747" w:rsidRDefault="00980747" w:rsidP="00980747">
            <w:pPr>
              <w:pStyle w:val="NormalWeb"/>
              <w:jc w:val="center"/>
              <w:rPr>
                <w:sz w:val="18"/>
                <w:szCs w:val="18"/>
              </w:rPr>
            </w:pPr>
            <w:r w:rsidRPr="00980747">
              <w:rPr>
                <w:sz w:val="18"/>
                <w:szCs w:val="18"/>
              </w:rPr>
              <w:t>Yes</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1CC18CA" w14:textId="77777777" w:rsidR="00980747" w:rsidRPr="00980747" w:rsidRDefault="00980747" w:rsidP="00980747">
            <w:pPr>
              <w:pStyle w:val="NormalWeb"/>
              <w:jc w:val="center"/>
              <w:rPr>
                <w:sz w:val="18"/>
                <w:szCs w:val="18"/>
              </w:rPr>
            </w:pPr>
            <w:r w:rsidRPr="00980747">
              <w:rPr>
                <w:sz w:val="18"/>
                <w:szCs w:val="18"/>
              </w:rPr>
              <w:t>20 (23.0)</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0DDFAEB0" w14:textId="77777777" w:rsidR="00980747" w:rsidRPr="00980747" w:rsidRDefault="00980747" w:rsidP="00980747">
            <w:pPr>
              <w:pStyle w:val="NormalWeb"/>
              <w:jc w:val="center"/>
              <w:rPr>
                <w:sz w:val="18"/>
                <w:szCs w:val="18"/>
              </w:rPr>
            </w:pPr>
            <w:r w:rsidRPr="00980747">
              <w:rPr>
                <w:sz w:val="18"/>
                <w:szCs w:val="18"/>
              </w:rPr>
              <w:t>33 (21.6)</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593D5D58" w14:textId="77777777" w:rsidR="00980747" w:rsidRPr="00980747" w:rsidRDefault="00980747" w:rsidP="00980747">
            <w:pPr>
              <w:pStyle w:val="NormalWeb"/>
              <w:jc w:val="center"/>
              <w:rPr>
                <w:sz w:val="18"/>
                <w:szCs w:val="18"/>
              </w:rPr>
            </w:pPr>
            <w:r w:rsidRPr="00980747">
              <w:rPr>
                <w:sz w:val="18"/>
                <w:szCs w:val="18"/>
              </w:rPr>
              <w:t>0.91 (0.49–1.74; p = 0.771)</w:t>
            </w:r>
          </w:p>
        </w:tc>
      </w:tr>
      <w:tr w:rsidR="00980747" w:rsidRPr="00980747" w14:paraId="5CCB0637" w14:textId="77777777" w:rsidTr="003C32F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auto"/>
              <w:left w:val="single" w:sz="2" w:space="0" w:color="auto"/>
              <w:bottom w:val="single" w:sz="2" w:space="0" w:color="auto"/>
              <w:right w:val="single" w:sz="2" w:space="0" w:color="auto"/>
            </w:tcBorders>
            <w:shd w:val="clear" w:color="auto" w:fill="auto"/>
            <w:hideMark/>
          </w:tcPr>
          <w:p w14:paraId="16D8F251" w14:textId="77777777" w:rsidR="00980747" w:rsidRPr="00980747" w:rsidRDefault="00980747" w:rsidP="0098354A">
            <w:pPr>
              <w:rPr>
                <w:sz w:val="18"/>
                <w:szCs w:val="18"/>
              </w:rPr>
            </w:pPr>
          </w:p>
        </w:tc>
        <w:tc>
          <w:tcPr>
            <w:tcW w:w="3685" w:type="dxa"/>
            <w:tcBorders>
              <w:top w:val="single" w:sz="2" w:space="0" w:color="auto"/>
              <w:left w:val="single" w:sz="2" w:space="0" w:color="auto"/>
              <w:bottom w:val="single" w:sz="2" w:space="0" w:color="auto"/>
              <w:right w:val="single" w:sz="2" w:space="0" w:color="auto"/>
            </w:tcBorders>
            <w:shd w:val="clear" w:color="auto" w:fill="auto"/>
            <w:hideMark/>
          </w:tcPr>
          <w:p w14:paraId="1BD4CD0B" w14:textId="77777777" w:rsidR="00980747" w:rsidRPr="00980747" w:rsidRDefault="00980747" w:rsidP="00980747">
            <w:pPr>
              <w:pStyle w:val="NormalWeb"/>
              <w:jc w:val="center"/>
              <w:rPr>
                <w:sz w:val="18"/>
                <w:szCs w:val="18"/>
              </w:rPr>
            </w:pPr>
            <w:r w:rsidRPr="00980747">
              <w:rPr>
                <w:sz w:val="18"/>
                <w:szCs w:val="18"/>
              </w:rPr>
              <w:t>Not sure</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4DCADAA3" w14:textId="77777777" w:rsidR="00980747" w:rsidRPr="00980747" w:rsidRDefault="00980747" w:rsidP="00980747">
            <w:pPr>
              <w:pStyle w:val="NormalWeb"/>
              <w:jc w:val="center"/>
              <w:rPr>
                <w:sz w:val="18"/>
                <w:szCs w:val="18"/>
              </w:rPr>
            </w:pPr>
            <w:r w:rsidRPr="00980747">
              <w:rPr>
                <w:sz w:val="18"/>
                <w:szCs w:val="18"/>
              </w:rPr>
              <w:t>3 (3.4)</w:t>
            </w:r>
          </w:p>
        </w:tc>
        <w:tc>
          <w:tcPr>
            <w:tcW w:w="993" w:type="dxa"/>
            <w:tcBorders>
              <w:top w:val="single" w:sz="2" w:space="0" w:color="auto"/>
              <w:left w:val="single" w:sz="2" w:space="0" w:color="auto"/>
              <w:bottom w:val="single" w:sz="2" w:space="0" w:color="auto"/>
              <w:right w:val="single" w:sz="2" w:space="0" w:color="auto"/>
            </w:tcBorders>
            <w:shd w:val="clear" w:color="auto" w:fill="auto"/>
            <w:hideMark/>
          </w:tcPr>
          <w:p w14:paraId="7A328F87" w14:textId="77777777" w:rsidR="00980747" w:rsidRPr="00980747" w:rsidRDefault="00980747" w:rsidP="00980747">
            <w:pPr>
              <w:pStyle w:val="NormalWeb"/>
              <w:jc w:val="center"/>
              <w:rPr>
                <w:sz w:val="18"/>
                <w:szCs w:val="18"/>
              </w:rPr>
            </w:pPr>
            <w:r w:rsidRPr="00980747">
              <w:rPr>
                <w:sz w:val="18"/>
                <w:szCs w:val="18"/>
              </w:rPr>
              <w:t>4 (2.6)</w:t>
            </w:r>
          </w:p>
        </w:tc>
        <w:tc>
          <w:tcPr>
            <w:tcW w:w="2102" w:type="dxa"/>
            <w:tcBorders>
              <w:top w:val="single" w:sz="2" w:space="0" w:color="auto"/>
              <w:left w:val="single" w:sz="2" w:space="0" w:color="auto"/>
              <w:bottom w:val="single" w:sz="2" w:space="0" w:color="auto"/>
              <w:right w:val="single" w:sz="2" w:space="0" w:color="auto"/>
            </w:tcBorders>
            <w:shd w:val="clear" w:color="auto" w:fill="auto"/>
            <w:hideMark/>
          </w:tcPr>
          <w:p w14:paraId="00B938F7" w14:textId="77777777" w:rsidR="00980747" w:rsidRPr="00980747" w:rsidRDefault="00980747" w:rsidP="00980747">
            <w:pPr>
              <w:pStyle w:val="NormalWeb"/>
              <w:jc w:val="center"/>
              <w:rPr>
                <w:sz w:val="18"/>
                <w:szCs w:val="18"/>
              </w:rPr>
            </w:pPr>
            <w:r w:rsidRPr="00980747">
              <w:rPr>
                <w:sz w:val="18"/>
                <w:szCs w:val="18"/>
              </w:rPr>
              <w:t>0.74 (0.16–3.83; p = 0.694)</w:t>
            </w:r>
          </w:p>
        </w:tc>
      </w:tr>
    </w:tbl>
    <w:p w14:paraId="73BA4571" w14:textId="77777777" w:rsidR="00980747" w:rsidRDefault="00980747" w:rsidP="00980747">
      <w:pPr>
        <w:pStyle w:val="CDIfootnotes"/>
        <w:rPr>
          <w:lang w:val="en-GB"/>
        </w:rPr>
      </w:pPr>
      <w:r>
        <w:rPr>
          <w:lang w:val="en-GB"/>
        </w:rPr>
        <w:t>a</w:t>
      </w:r>
      <w:r>
        <w:rPr>
          <w:lang w:val="en-GB"/>
        </w:rPr>
        <w:tab/>
        <w:t>Ref: reference state.</w:t>
      </w:r>
    </w:p>
    <w:p w14:paraId="4C070712" w14:textId="77777777" w:rsidR="00980747" w:rsidRDefault="00980747" w:rsidP="00980747">
      <w:pPr>
        <w:pStyle w:val="CDIfootnotes"/>
        <w:rPr>
          <w:lang w:val="en-GB"/>
        </w:rPr>
      </w:pPr>
      <w:r>
        <w:rPr>
          <w:lang w:val="en-GB"/>
        </w:rPr>
        <w:t>b</w:t>
      </w:r>
      <w:r>
        <w:rPr>
          <w:lang w:val="en-GB"/>
        </w:rPr>
        <w:tab/>
        <w:t xml:space="preserve">Values shown in bold are those with </w:t>
      </w:r>
      <w:r w:rsidRPr="003D0A1B">
        <w:rPr>
          <w:i/>
          <w:iCs/>
          <w:lang w:val="en-GB"/>
        </w:rPr>
        <w:t>p</w:t>
      </w:r>
      <w:r>
        <w:rPr>
          <w:lang w:val="en-GB"/>
        </w:rPr>
        <w:t xml:space="preserve"> ≤ 0.05.</w:t>
      </w:r>
    </w:p>
    <w:p w14:paraId="74AFC9CC" w14:textId="61B8CBBF" w:rsidR="0010360B" w:rsidRPr="00980747" w:rsidRDefault="0010360B" w:rsidP="00980747">
      <w:pPr>
        <w:pStyle w:val="Heading2"/>
      </w:pPr>
      <w:r w:rsidRPr="00980747">
        <w:t xml:space="preserve">Socio-demographic characteristics and COVID-19 vaccine uptake </w:t>
      </w:r>
    </w:p>
    <w:p w14:paraId="16DD8E53" w14:textId="77777777" w:rsidR="0010360B" w:rsidRDefault="0010360B" w:rsidP="0010360B">
      <w:r>
        <w:t xml:space="preserve">When comparing the cohort occupation category proportion to workforce data, similar proportions were doctors (cohort 10%; workforce 9%), a lower proportion were nurses (cohort 32%; workforce 50%), and a higher proportion were classified as allied health (cohort 23%; workforce 11%). </w:t>
      </w:r>
    </w:p>
    <w:p w14:paraId="4CA9B954" w14:textId="77777777" w:rsidR="0010360B" w:rsidRDefault="0010360B" w:rsidP="0010360B">
      <w:r>
        <w:t xml:space="preserve">Univariate analysis revealed that those with higher education levels (bachelor’s degree or higher) were more likely to have been vaccinated than others (odds ratio (OR): 1.9; 95% confidence interval (CI): 1.1–3.3), and frontline HCWs </w:t>
      </w:r>
      <w:r>
        <w:lastRenderedPageBreak/>
        <w:t>were 2.6 times (95% CI: 1.5–4.5) more likely to have been vaccinated than were non-frontline HCWs. Age, gender, Indigenous status, and presence of chronic illness were not significantly associated with vaccine uptake.</w:t>
      </w:r>
    </w:p>
    <w:p w14:paraId="2637A7AE" w14:textId="77777777" w:rsidR="0010360B" w:rsidRPr="0010360B" w:rsidRDefault="0010360B" w:rsidP="0010360B">
      <w:pPr>
        <w:pStyle w:val="Heading2"/>
      </w:pPr>
      <w:r w:rsidRPr="0010360B">
        <w:t xml:space="preserve">Vaccine uptake and what people think and feel about COVID-19 vaccine </w:t>
      </w:r>
    </w:p>
    <w:p w14:paraId="402881B9" w14:textId="77777777" w:rsidR="0010360B" w:rsidRDefault="0010360B" w:rsidP="0010360B">
      <w:r>
        <w:t xml:space="preserve">Overall, participants reported a high level of trust and confidence in the vaccine, with 72% reporting they moderately or very much trusted the vaccine; 81% reporting belief that the vaccine was moderately or very important to their health (Figure 3); and 80% reporting moderate to high levels of confidence that getting the vaccine would protect others (Table 3). Moderate to high COVID-19 disease risk perception was reported by fewer than half of the participants in this sample: 43% reported moderate to high concern about giving COVID-19 to their patients; 49% reported moderate to high concern about giving COVID-19 to their family or friends; and 42% reported moderate to high concern about contracting COVID-19 themselves. Of the 87 respondents who had not received a COVID-19 vaccine at the time of the survey, 54 (62%) were moderately to very concerned about the vaccine causing a serious reaction. Almost all (99%, n = 159) of the participants who reported having contact with patients were willing to recommend COVID-19 vaccine to their patients. </w:t>
      </w:r>
    </w:p>
    <w:p w14:paraId="6D0562EE" w14:textId="7138A32A" w:rsidR="0010360B" w:rsidRDefault="0010360B" w:rsidP="0010360B">
      <w:r>
        <w:t>Univariate analysis showed that participants who were confident in answering patients’ questions related to COVID-19 vaccine were more likely to have been vaccinated than those who did not have contact with patients (OR: 2.9; 95%; 95% CI: 1.5–6.0). Similarly, those who were confident that the vaccine would protect others (OR: 5.6; 95% CI: 2.9–11.4); who were confident that the vaccine was important for their health (OR: 7.2; 95% CI: 3.5–15.5); and who trusted the vaccine (OR: 6.4; 95% CI: 3.5–12.0) were more likely to have been vaccinated. In contrast, respondents who were concerned about self-risk of COVID-19 disease had significantly lower vaccine uptake (OR: 0.4; 95% CI: 0.2–0.7).</w:t>
      </w:r>
    </w:p>
    <w:p w14:paraId="05CEDF2D" w14:textId="77777777" w:rsidR="007A3998" w:rsidRPr="00A32D9C" w:rsidRDefault="007A3998" w:rsidP="007A3998">
      <w:pPr>
        <w:pStyle w:val="CDIFigures"/>
      </w:pPr>
      <w:r w:rsidRPr="00A32D9C">
        <w:rPr>
          <w:rStyle w:val="Strong"/>
          <w:b/>
          <w:bCs w:val="0"/>
        </w:rPr>
        <w:t>Figure 3: Behavioural and social drivers (</w:t>
      </w:r>
      <w:proofErr w:type="spellStart"/>
      <w:r w:rsidRPr="00A32D9C">
        <w:rPr>
          <w:rStyle w:val="Strong"/>
          <w:b/>
          <w:bCs w:val="0"/>
        </w:rPr>
        <w:t>BeSD</w:t>
      </w:r>
      <w:proofErr w:type="spellEnd"/>
      <w:r w:rsidRPr="00A32D9C">
        <w:rPr>
          <w:rStyle w:val="Strong"/>
          <w:b/>
          <w:bCs w:val="0"/>
        </w:rPr>
        <w:t>) of COVID-19 vaccination among health care workers in Central Queensland, Australia</w:t>
      </w:r>
    </w:p>
    <w:p w14:paraId="24D8671D" w14:textId="3594793D" w:rsidR="007A3998" w:rsidRDefault="007A3998" w:rsidP="0010360B">
      <w:r>
        <w:rPr>
          <w:rFonts w:eastAsia="Times New Roman"/>
          <w:noProof/>
          <w:lang w:val="en-GB"/>
        </w:rPr>
        <w:drawing>
          <wp:inline distT="0" distB="0" distL="0" distR="0" wp14:anchorId="1BFBF9D2" wp14:editId="5F155995">
            <wp:extent cx="6629400" cy="3288674"/>
            <wp:effectExtent l="0" t="0" r="0" b="6985"/>
            <wp:docPr id="3" name="Picture 3" descr="• What people think and feel: &#10;o 81% believe that COVID-19 vaccine is important for their health&#10;o 72% trust the COVID-19 vaccine&#10;o Believe the COVID-19 vaccine will allow them to travel safely within Queensland (73%) and interstate (67%)&#10;o Of those who had not received a vaccine, 62% were concerned about serious reactions&#10;• Social processes: &#10;o 64% believe their family and friends would want them to get a COVID-19 vaccine&#10;• Motivation: &#10;o Of the 36% of participants who had not received a COVID-19 vaccine: &#10; 53% said they are willing to be vaccinated, &#10; 17% were unwilling &#10; 30% were unsure&#10;• Practical Issues: &#10;o 60% of all participants said it was not hard to get the vaccine&#10;o Most common barriers cited by unvaccinated: &#10; Lack of Onsite vaccination clinic (14%)&#10; Unable to leave work (12%)&#10;• Vaccination&#10;o 64% of participa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What people think and feel: &#10;o 81% believe that COVID-19 vaccine is important for their health&#10;o 72% trust the COVID-19 vaccine&#10;o Believe the COVID-19 vaccine will allow them to travel safely within Queensland (73%) and interstate (67%)&#10;o Of those who had not received a vaccine, 62% were concerned about serious reactions&#10;• Social processes: &#10;o 64% believe their family and friends would want them to get a COVID-19 vaccine&#10;• Motivation: &#10;o Of the 36% of participants who had not received a COVID-19 vaccine: &#10; 53% said they are willing to be vaccinated, &#10; 17% were unwilling &#10; 30% were unsure&#10;• Practical Issues: &#10;o 60% of all participants said it was not hard to get the vaccine&#10;o Most common barriers cited by unvaccinated: &#10; Lack of Onsite vaccination clinic (14%)&#10; Unable to leave work (12%)&#10;• Vaccination&#10;o 64% of participants&#10;&#10;"/>
                    <pic:cNvPicPr>
                      <a:picLocks noChangeAspect="1" noChangeArrowheads="1"/>
                    </pic:cNvPicPr>
                  </pic:nvPicPr>
                  <pic:blipFill rotWithShape="1">
                    <a:blip r:embed="rId14">
                      <a:extLst>
                        <a:ext uri="{28A0092B-C50C-407E-A947-70E740481C1C}">
                          <a14:useLocalDpi xmlns:a14="http://schemas.microsoft.com/office/drawing/2010/main" val="0"/>
                        </a:ext>
                      </a:extLst>
                    </a:blip>
                    <a:srcRect l="1039" t="1299" r="831" b="1342"/>
                    <a:stretch>
                      <a:fillRect/>
                    </a:stretch>
                  </pic:blipFill>
                  <pic:spPr bwMode="auto">
                    <a:xfrm>
                      <a:off x="0" y="0"/>
                      <a:ext cx="6637673" cy="3292778"/>
                    </a:xfrm>
                    <a:prstGeom prst="rect">
                      <a:avLst/>
                    </a:prstGeom>
                    <a:ln>
                      <a:noFill/>
                    </a:ln>
                    <a:extLst>
                      <a:ext uri="{53640926-AAD7-44D8-BBD7-CCE9431645EC}">
                        <a14:shadowObscured xmlns:a14="http://schemas.microsoft.com/office/drawing/2010/main"/>
                      </a:ext>
                    </a:extLst>
                  </pic:spPr>
                </pic:pic>
              </a:graphicData>
            </a:graphic>
          </wp:inline>
        </w:drawing>
      </w:r>
    </w:p>
    <w:p w14:paraId="5CADB6DB" w14:textId="77777777" w:rsidR="00AD2647" w:rsidRDefault="00AD2647" w:rsidP="0010360B">
      <w:pPr>
        <w:pStyle w:val="Heading2"/>
        <w:sectPr w:rsidR="00AD2647" w:rsidSect="00A30C37">
          <w:pgSz w:w="11906" w:h="16838"/>
          <w:pgMar w:top="720" w:right="720" w:bottom="1134" w:left="720" w:header="709" w:footer="284" w:gutter="0"/>
          <w:cols w:space="708"/>
          <w:titlePg/>
          <w:docGrid w:linePitch="360"/>
        </w:sectPr>
      </w:pPr>
    </w:p>
    <w:p w14:paraId="359E278D" w14:textId="77777777" w:rsidR="00AD2647" w:rsidRPr="00A32D9C" w:rsidRDefault="00AD2647" w:rsidP="00AD2647">
      <w:pPr>
        <w:pStyle w:val="CDIFigures"/>
      </w:pPr>
      <w:r w:rsidRPr="00A32D9C">
        <w:rPr>
          <w:rStyle w:val="Strong"/>
          <w:b/>
          <w:bCs w:val="0"/>
        </w:rPr>
        <w:lastRenderedPageBreak/>
        <w:t xml:space="preserve">Table 2: What people think and feel about COVID-19 disease and vaccine uptake survey responses according to vaccination status </w:t>
      </w:r>
    </w:p>
    <w:tbl>
      <w:tblPr>
        <w:tblStyle w:val="CDI-StandardTable"/>
        <w:tblW w:w="0" w:type="auto"/>
        <w:tblLook w:val="04A0" w:firstRow="1" w:lastRow="0" w:firstColumn="1" w:lastColumn="0" w:noHBand="0" w:noVBand="1"/>
        <w:tblDescription w:val="Table 2 lists the questions related to the “What people think and feel” domain, proportion of survey responses are grouped by vaccination status with odds ratio, 95 % confidence interval and p-value"/>
      </w:tblPr>
      <w:tblGrid>
        <w:gridCol w:w="3400"/>
        <w:gridCol w:w="3401"/>
        <w:gridCol w:w="1418"/>
        <w:gridCol w:w="1276"/>
        <w:gridCol w:w="5483"/>
      </w:tblGrid>
      <w:tr w:rsidR="000A4529" w:rsidRPr="00AE6F32" w14:paraId="0E9B4944"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3402" w:type="dxa"/>
            <w:vMerge w:val="restart"/>
            <w:tcBorders>
              <w:top w:val="single" w:sz="2" w:space="0" w:color="0D0D0D" w:themeColor="text1" w:themeTint="F2"/>
              <w:left w:val="single" w:sz="2" w:space="0" w:color="0D0D0D" w:themeColor="text1" w:themeTint="F2"/>
              <w:bottom w:val="single" w:sz="2" w:space="0" w:color="886E49"/>
              <w:right w:val="single" w:sz="2" w:space="0" w:color="886E49"/>
            </w:tcBorders>
            <w:vAlign w:val="center"/>
            <w:hideMark/>
          </w:tcPr>
          <w:p w14:paraId="6F163D8B" w14:textId="77777777" w:rsidR="00AD2647" w:rsidRPr="00AE6F32" w:rsidRDefault="00AD2647" w:rsidP="000A4529">
            <w:pPr>
              <w:pStyle w:val="NormalWeb"/>
              <w:rPr>
                <w:color w:val="FFFFFF" w:themeColor="background1"/>
                <w:sz w:val="18"/>
                <w:szCs w:val="18"/>
              </w:rPr>
            </w:pPr>
            <w:r w:rsidRPr="00AE6F32">
              <w:rPr>
                <w:color w:val="FFFFFF" w:themeColor="background1"/>
                <w:sz w:val="18"/>
                <w:szCs w:val="18"/>
              </w:rPr>
              <w:t>Survey item</w:t>
            </w:r>
          </w:p>
        </w:tc>
        <w:tc>
          <w:tcPr>
            <w:tcW w:w="3402" w:type="dxa"/>
            <w:vMerge w:val="restart"/>
            <w:tcBorders>
              <w:top w:val="single" w:sz="2" w:space="0" w:color="0D0D0D" w:themeColor="text1" w:themeTint="F2"/>
              <w:left w:val="single" w:sz="2" w:space="0" w:color="886E49"/>
              <w:bottom w:val="single" w:sz="2" w:space="0" w:color="886E49"/>
              <w:right w:val="single" w:sz="2" w:space="0" w:color="886E49"/>
            </w:tcBorders>
            <w:vAlign w:val="center"/>
            <w:hideMark/>
          </w:tcPr>
          <w:p w14:paraId="4343F408" w14:textId="77777777" w:rsidR="00AD2647" w:rsidRPr="00AE6F32" w:rsidRDefault="00AD2647" w:rsidP="000A4529">
            <w:pPr>
              <w:pStyle w:val="NormalWeb"/>
              <w:jc w:val="center"/>
              <w:rPr>
                <w:color w:val="FFFFFF" w:themeColor="background1"/>
                <w:sz w:val="18"/>
                <w:szCs w:val="18"/>
              </w:rPr>
            </w:pPr>
            <w:r w:rsidRPr="00AE6F32">
              <w:rPr>
                <w:color w:val="FFFFFF" w:themeColor="background1"/>
                <w:sz w:val="18"/>
                <w:szCs w:val="18"/>
              </w:rPr>
              <w:t>Response</w:t>
            </w:r>
          </w:p>
        </w:tc>
        <w:tc>
          <w:tcPr>
            <w:tcW w:w="8180" w:type="dxa"/>
            <w:gridSpan w:val="3"/>
            <w:tcBorders>
              <w:top w:val="single" w:sz="2" w:space="0" w:color="0D0D0D" w:themeColor="text1" w:themeTint="F2"/>
              <w:left w:val="single" w:sz="2" w:space="0" w:color="886E49"/>
              <w:bottom w:val="single" w:sz="2" w:space="0" w:color="886E49"/>
              <w:right w:val="single" w:sz="2" w:space="0" w:color="0D0D0D" w:themeColor="text1" w:themeTint="F2"/>
            </w:tcBorders>
            <w:vAlign w:val="center"/>
            <w:hideMark/>
          </w:tcPr>
          <w:p w14:paraId="20F5BE89" w14:textId="77777777" w:rsidR="00AD2647" w:rsidRPr="00AE6F32" w:rsidRDefault="00AD2647" w:rsidP="000A4529">
            <w:pPr>
              <w:pStyle w:val="NormalWeb"/>
              <w:jc w:val="center"/>
              <w:rPr>
                <w:color w:val="FFFFFF" w:themeColor="background1"/>
                <w:sz w:val="18"/>
                <w:szCs w:val="18"/>
              </w:rPr>
            </w:pPr>
            <w:r w:rsidRPr="00AE6F32">
              <w:rPr>
                <w:color w:val="FFFFFF" w:themeColor="background1"/>
                <w:sz w:val="18"/>
                <w:szCs w:val="18"/>
              </w:rPr>
              <w:t>Vaccine received</w:t>
            </w:r>
          </w:p>
        </w:tc>
      </w:tr>
      <w:tr w:rsidR="000A4529" w:rsidRPr="00AE6F32" w14:paraId="7EA4B806"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3402" w:type="dxa"/>
            <w:vMerge/>
            <w:tcBorders>
              <w:top w:val="single" w:sz="2" w:space="0" w:color="886E49"/>
              <w:left w:val="single" w:sz="2" w:space="0" w:color="0D0D0D" w:themeColor="text1" w:themeTint="F2"/>
              <w:right w:val="single" w:sz="2" w:space="0" w:color="886E49"/>
            </w:tcBorders>
            <w:vAlign w:val="center"/>
            <w:hideMark/>
          </w:tcPr>
          <w:p w14:paraId="765671B8" w14:textId="77777777" w:rsidR="00AD2647" w:rsidRPr="00AE6F32" w:rsidRDefault="00AD2647" w:rsidP="000A4529">
            <w:pPr>
              <w:jc w:val="center"/>
              <w:rPr>
                <w:color w:val="FFFFFF" w:themeColor="background1"/>
                <w:sz w:val="18"/>
                <w:szCs w:val="18"/>
              </w:rPr>
            </w:pPr>
          </w:p>
        </w:tc>
        <w:tc>
          <w:tcPr>
            <w:tcW w:w="3402" w:type="dxa"/>
            <w:vMerge/>
            <w:tcBorders>
              <w:top w:val="single" w:sz="2" w:space="0" w:color="886E49"/>
              <w:left w:val="single" w:sz="2" w:space="0" w:color="886E49"/>
              <w:right w:val="single" w:sz="2" w:space="0" w:color="886E49"/>
            </w:tcBorders>
            <w:vAlign w:val="center"/>
            <w:hideMark/>
          </w:tcPr>
          <w:p w14:paraId="6D558CA3" w14:textId="77777777" w:rsidR="00AD2647" w:rsidRPr="00AE6F32" w:rsidRDefault="00AD2647" w:rsidP="000A4529">
            <w:pPr>
              <w:jc w:val="center"/>
              <w:rPr>
                <w:color w:val="FFFFFF" w:themeColor="background1"/>
                <w:sz w:val="18"/>
                <w:szCs w:val="18"/>
              </w:rPr>
            </w:pPr>
          </w:p>
        </w:tc>
        <w:tc>
          <w:tcPr>
            <w:tcW w:w="1418" w:type="dxa"/>
            <w:tcBorders>
              <w:top w:val="single" w:sz="2" w:space="0" w:color="886E49"/>
              <w:left w:val="single" w:sz="2" w:space="0" w:color="886E49"/>
              <w:right w:val="single" w:sz="2" w:space="0" w:color="886E49"/>
            </w:tcBorders>
            <w:vAlign w:val="center"/>
            <w:hideMark/>
          </w:tcPr>
          <w:p w14:paraId="78EEF0B0" w14:textId="19A1CFD8" w:rsidR="00AD2647" w:rsidRPr="00AE6F32" w:rsidRDefault="00AD2647" w:rsidP="001A60D4">
            <w:pPr>
              <w:pStyle w:val="NormalWeb"/>
              <w:jc w:val="center"/>
              <w:rPr>
                <w:color w:val="FFFFFF" w:themeColor="background1"/>
                <w:sz w:val="18"/>
                <w:szCs w:val="18"/>
              </w:rPr>
            </w:pPr>
            <w:r w:rsidRPr="00AE6F32">
              <w:rPr>
                <w:color w:val="FFFFFF" w:themeColor="background1"/>
                <w:sz w:val="18"/>
                <w:szCs w:val="18"/>
              </w:rPr>
              <w:t>No</w:t>
            </w:r>
            <w:r w:rsidR="001A60D4">
              <w:rPr>
                <w:color w:val="FFFFFF" w:themeColor="background1"/>
                <w:sz w:val="18"/>
                <w:szCs w:val="18"/>
              </w:rPr>
              <w:br/>
            </w:r>
            <w:r w:rsidRPr="00AE6F32">
              <w:rPr>
                <w:color w:val="FFFFFF" w:themeColor="background1"/>
                <w:sz w:val="18"/>
                <w:szCs w:val="18"/>
              </w:rPr>
              <w:t>n(%)</w:t>
            </w:r>
          </w:p>
        </w:tc>
        <w:tc>
          <w:tcPr>
            <w:tcW w:w="1276" w:type="dxa"/>
            <w:tcBorders>
              <w:top w:val="single" w:sz="2" w:space="0" w:color="886E49"/>
              <w:left w:val="single" w:sz="2" w:space="0" w:color="886E49"/>
              <w:right w:val="single" w:sz="2" w:space="0" w:color="886E49"/>
            </w:tcBorders>
            <w:vAlign w:val="center"/>
            <w:hideMark/>
          </w:tcPr>
          <w:p w14:paraId="37AD51F7" w14:textId="35AC3EC8" w:rsidR="00AD2647" w:rsidRPr="00AE6F32" w:rsidRDefault="00AD2647" w:rsidP="001A60D4">
            <w:pPr>
              <w:pStyle w:val="NormalWeb"/>
              <w:jc w:val="center"/>
              <w:rPr>
                <w:color w:val="FFFFFF" w:themeColor="background1"/>
                <w:sz w:val="18"/>
                <w:szCs w:val="18"/>
              </w:rPr>
            </w:pPr>
            <w:r w:rsidRPr="00AE6F32">
              <w:rPr>
                <w:color w:val="FFFFFF" w:themeColor="background1"/>
                <w:sz w:val="18"/>
                <w:szCs w:val="18"/>
              </w:rPr>
              <w:t>Yes</w:t>
            </w:r>
            <w:r w:rsidR="001A60D4">
              <w:rPr>
                <w:color w:val="FFFFFF" w:themeColor="background1"/>
                <w:sz w:val="18"/>
                <w:szCs w:val="18"/>
              </w:rPr>
              <w:br/>
            </w:r>
            <w:r w:rsidRPr="00AE6F32">
              <w:rPr>
                <w:color w:val="FFFFFF" w:themeColor="background1"/>
                <w:sz w:val="18"/>
                <w:szCs w:val="18"/>
              </w:rPr>
              <w:t>n(%)</w:t>
            </w:r>
          </w:p>
        </w:tc>
        <w:tc>
          <w:tcPr>
            <w:tcW w:w="5486" w:type="dxa"/>
            <w:tcBorders>
              <w:top w:val="single" w:sz="2" w:space="0" w:color="886E49"/>
              <w:left w:val="single" w:sz="2" w:space="0" w:color="886E49"/>
              <w:right w:val="single" w:sz="2" w:space="0" w:color="0D0D0D" w:themeColor="text1" w:themeTint="F2"/>
            </w:tcBorders>
            <w:vAlign w:val="center"/>
            <w:hideMark/>
          </w:tcPr>
          <w:p w14:paraId="0F2E4F4B" w14:textId="77777777" w:rsidR="00AD2647" w:rsidRPr="00AE6F32" w:rsidRDefault="00AD2647" w:rsidP="000A4529">
            <w:pPr>
              <w:pStyle w:val="NormalWeb"/>
              <w:jc w:val="center"/>
              <w:rPr>
                <w:color w:val="FFFFFF" w:themeColor="background1"/>
                <w:sz w:val="18"/>
                <w:szCs w:val="18"/>
              </w:rPr>
            </w:pPr>
            <w:r w:rsidRPr="00AE6F32">
              <w:rPr>
                <w:color w:val="FFFFFF" w:themeColor="background1"/>
                <w:sz w:val="18"/>
                <w:szCs w:val="18"/>
              </w:rPr>
              <w:t>Odds ratio (univariate analysis), (95% CI; p value)</w:t>
            </w:r>
            <w:r w:rsidRPr="00AE6F32">
              <w:rPr>
                <w:color w:val="FFFFFF" w:themeColor="background1"/>
                <w:sz w:val="18"/>
                <w:szCs w:val="18"/>
                <w:vertAlign w:val="superscript"/>
              </w:rPr>
              <w:t>a</w:t>
            </w:r>
          </w:p>
        </w:tc>
      </w:tr>
      <w:tr w:rsidR="000A4529" w:rsidRPr="00AE6F32" w14:paraId="1BA2968B" w14:textId="77777777" w:rsidTr="006E647F">
        <w:tblPrEx>
          <w:tblCellMar>
            <w:top w:w="57" w:type="dxa"/>
            <w:left w:w="57" w:type="dxa"/>
            <w:bottom w:w="57" w:type="dxa"/>
            <w:right w:w="57" w:type="dxa"/>
          </w:tblCellMar>
        </w:tblPrEx>
        <w:tc>
          <w:tcPr>
            <w:tcW w:w="3402" w:type="dxa"/>
            <w:vMerge w:val="restart"/>
            <w:tcBorders>
              <w:left w:val="single" w:sz="2" w:space="0" w:color="auto"/>
              <w:bottom w:val="single" w:sz="2" w:space="0" w:color="auto"/>
              <w:right w:val="single" w:sz="2" w:space="0" w:color="auto"/>
            </w:tcBorders>
            <w:shd w:val="clear" w:color="auto" w:fill="auto"/>
            <w:vAlign w:val="center"/>
            <w:hideMark/>
          </w:tcPr>
          <w:p w14:paraId="1034BED6" w14:textId="77777777" w:rsidR="00AD2647" w:rsidRPr="00AE6F32" w:rsidRDefault="00AD2647" w:rsidP="000A4529">
            <w:pPr>
              <w:pStyle w:val="NormalWeb"/>
              <w:rPr>
                <w:sz w:val="18"/>
                <w:szCs w:val="18"/>
              </w:rPr>
            </w:pPr>
            <w:r w:rsidRPr="00AE6F32">
              <w:rPr>
                <w:sz w:val="18"/>
                <w:szCs w:val="18"/>
              </w:rPr>
              <w:t>How confident are you that you could answer patient questions about getting a COVID-19 vaccine?</w:t>
            </w:r>
          </w:p>
        </w:tc>
        <w:tc>
          <w:tcPr>
            <w:tcW w:w="3402" w:type="dxa"/>
            <w:tcBorders>
              <w:left w:val="single" w:sz="2" w:space="0" w:color="auto"/>
              <w:bottom w:val="single" w:sz="2" w:space="0" w:color="auto"/>
              <w:right w:val="single" w:sz="2" w:space="0" w:color="auto"/>
            </w:tcBorders>
            <w:shd w:val="clear" w:color="auto" w:fill="auto"/>
            <w:hideMark/>
          </w:tcPr>
          <w:p w14:paraId="5289C692" w14:textId="77777777" w:rsidR="00AD2647" w:rsidRPr="00AE6F32" w:rsidRDefault="00AD2647" w:rsidP="00AE6F32">
            <w:pPr>
              <w:pStyle w:val="NormalWeb"/>
              <w:jc w:val="center"/>
              <w:rPr>
                <w:sz w:val="18"/>
                <w:szCs w:val="18"/>
              </w:rPr>
            </w:pPr>
            <w:r w:rsidRPr="00AE6F32">
              <w:rPr>
                <w:sz w:val="18"/>
                <w:szCs w:val="18"/>
              </w:rPr>
              <w:t>Not confident/a little confident</w:t>
            </w:r>
          </w:p>
        </w:tc>
        <w:tc>
          <w:tcPr>
            <w:tcW w:w="1418" w:type="dxa"/>
            <w:tcBorders>
              <w:left w:val="single" w:sz="2" w:space="0" w:color="auto"/>
              <w:bottom w:val="single" w:sz="2" w:space="0" w:color="auto"/>
              <w:right w:val="single" w:sz="2" w:space="0" w:color="auto"/>
            </w:tcBorders>
            <w:shd w:val="clear" w:color="auto" w:fill="auto"/>
            <w:hideMark/>
          </w:tcPr>
          <w:p w14:paraId="0A93BD0A" w14:textId="77777777" w:rsidR="00AD2647" w:rsidRPr="00AE6F32" w:rsidRDefault="00AD2647" w:rsidP="00AE6F32">
            <w:pPr>
              <w:pStyle w:val="NormalWeb"/>
              <w:jc w:val="center"/>
              <w:rPr>
                <w:sz w:val="18"/>
                <w:szCs w:val="18"/>
              </w:rPr>
            </w:pPr>
            <w:r w:rsidRPr="00AE6F32">
              <w:rPr>
                <w:sz w:val="18"/>
                <w:szCs w:val="18"/>
              </w:rPr>
              <w:t>23 (26.4)</w:t>
            </w:r>
          </w:p>
        </w:tc>
        <w:tc>
          <w:tcPr>
            <w:tcW w:w="1276" w:type="dxa"/>
            <w:tcBorders>
              <w:left w:val="single" w:sz="2" w:space="0" w:color="auto"/>
              <w:bottom w:val="single" w:sz="2" w:space="0" w:color="auto"/>
              <w:right w:val="single" w:sz="2" w:space="0" w:color="auto"/>
            </w:tcBorders>
            <w:shd w:val="clear" w:color="auto" w:fill="auto"/>
            <w:hideMark/>
          </w:tcPr>
          <w:p w14:paraId="60C7CE9F" w14:textId="77777777" w:rsidR="00AD2647" w:rsidRPr="00AE6F32" w:rsidRDefault="00AD2647" w:rsidP="00AE6F32">
            <w:pPr>
              <w:pStyle w:val="NormalWeb"/>
              <w:jc w:val="center"/>
              <w:rPr>
                <w:sz w:val="18"/>
                <w:szCs w:val="18"/>
              </w:rPr>
            </w:pPr>
            <w:r w:rsidRPr="00AE6F32">
              <w:rPr>
                <w:sz w:val="18"/>
                <w:szCs w:val="18"/>
              </w:rPr>
              <w:t>30 (19.6)</w:t>
            </w:r>
          </w:p>
        </w:tc>
        <w:tc>
          <w:tcPr>
            <w:tcW w:w="5486" w:type="dxa"/>
            <w:tcBorders>
              <w:left w:val="single" w:sz="2" w:space="0" w:color="auto"/>
              <w:bottom w:val="single" w:sz="2" w:space="0" w:color="auto"/>
              <w:right w:val="single" w:sz="2" w:space="0" w:color="auto"/>
            </w:tcBorders>
            <w:shd w:val="clear" w:color="auto" w:fill="auto"/>
            <w:hideMark/>
          </w:tcPr>
          <w:p w14:paraId="6C4E871F"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7E4A4112"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77603B9"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1579B703" w14:textId="77777777" w:rsidR="00AD2647" w:rsidRPr="00AE6F32" w:rsidRDefault="00AD2647" w:rsidP="00AE6F32">
            <w:pPr>
              <w:pStyle w:val="NormalWeb"/>
              <w:jc w:val="center"/>
              <w:rPr>
                <w:sz w:val="18"/>
                <w:szCs w:val="18"/>
              </w:rPr>
            </w:pPr>
            <w:r w:rsidRPr="00AE6F32">
              <w:rPr>
                <w:sz w:val="18"/>
                <w:szCs w:val="18"/>
              </w:rPr>
              <w:t>Moderately/very confident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96EA9A8" w14:textId="77777777" w:rsidR="00AD2647" w:rsidRPr="00AE6F32" w:rsidRDefault="00AD2647" w:rsidP="00AE6F32">
            <w:pPr>
              <w:pStyle w:val="NormalWeb"/>
              <w:jc w:val="center"/>
              <w:rPr>
                <w:sz w:val="18"/>
                <w:szCs w:val="18"/>
              </w:rPr>
            </w:pPr>
            <w:r w:rsidRPr="00AE6F32">
              <w:rPr>
                <w:sz w:val="18"/>
                <w:szCs w:val="18"/>
              </w:rPr>
              <w:t>25 (28.7)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56F7B62" w14:textId="77777777" w:rsidR="00AD2647" w:rsidRPr="00AE6F32" w:rsidRDefault="00AD2647" w:rsidP="00AE6F32">
            <w:pPr>
              <w:pStyle w:val="NormalWeb"/>
              <w:jc w:val="center"/>
              <w:rPr>
                <w:sz w:val="18"/>
                <w:szCs w:val="18"/>
              </w:rPr>
            </w:pPr>
            <w:r w:rsidRPr="00AE6F32">
              <w:rPr>
                <w:sz w:val="18"/>
                <w:szCs w:val="18"/>
              </w:rPr>
              <w:t>96 (62.7)</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40DD2110" w14:textId="77777777" w:rsidR="00AD2647" w:rsidRPr="00AE6F32" w:rsidRDefault="00AD2647" w:rsidP="00AE6F32">
            <w:pPr>
              <w:pStyle w:val="NormalWeb"/>
              <w:jc w:val="center"/>
              <w:rPr>
                <w:sz w:val="18"/>
                <w:szCs w:val="18"/>
              </w:rPr>
            </w:pPr>
            <w:r w:rsidRPr="00AE6F32">
              <w:rPr>
                <w:sz w:val="18"/>
                <w:szCs w:val="18"/>
              </w:rPr>
              <w:t>2.94 (1.46–5.96; p = 0.002)</w:t>
            </w:r>
          </w:p>
        </w:tc>
      </w:tr>
      <w:tr w:rsidR="000A4529" w:rsidRPr="00AE6F32" w14:paraId="0BF7C179"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1AF3CB7"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3AB8DE9F" w14:textId="77777777" w:rsidR="00AD2647" w:rsidRPr="00AE6F32" w:rsidRDefault="00AD2647" w:rsidP="00AE6F32">
            <w:pPr>
              <w:pStyle w:val="NormalWeb"/>
              <w:jc w:val="center"/>
              <w:rPr>
                <w:sz w:val="18"/>
                <w:szCs w:val="18"/>
              </w:rPr>
            </w:pPr>
            <w:r w:rsidRPr="00AE6F32">
              <w:rPr>
                <w:sz w:val="18"/>
                <w:szCs w:val="18"/>
              </w:rPr>
              <w:t>No patient contact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1413EB2" w14:textId="77777777" w:rsidR="00AD2647" w:rsidRPr="00AE6F32" w:rsidRDefault="00AD2647" w:rsidP="00AE6F32">
            <w:pPr>
              <w:pStyle w:val="NormalWeb"/>
              <w:jc w:val="center"/>
              <w:rPr>
                <w:sz w:val="18"/>
                <w:szCs w:val="18"/>
              </w:rPr>
            </w:pPr>
            <w:r w:rsidRPr="00AE6F32">
              <w:rPr>
                <w:sz w:val="18"/>
                <w:szCs w:val="18"/>
              </w:rPr>
              <w:t>39 (44.8)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F0F27B4" w14:textId="77777777" w:rsidR="00AD2647" w:rsidRPr="00AE6F32" w:rsidRDefault="00AD2647" w:rsidP="00AE6F32">
            <w:pPr>
              <w:pStyle w:val="NormalWeb"/>
              <w:jc w:val="center"/>
              <w:rPr>
                <w:sz w:val="18"/>
                <w:szCs w:val="18"/>
              </w:rPr>
            </w:pPr>
            <w:r w:rsidRPr="00AE6F32">
              <w:rPr>
                <w:sz w:val="18"/>
                <w:szCs w:val="18"/>
              </w:rPr>
              <w:t>27 (17.6)</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2372F398" w14:textId="77777777" w:rsidR="00AD2647" w:rsidRPr="00AE6F32" w:rsidRDefault="00AD2647" w:rsidP="00AE6F32">
            <w:pPr>
              <w:pStyle w:val="NormalWeb"/>
              <w:jc w:val="center"/>
              <w:rPr>
                <w:sz w:val="18"/>
                <w:szCs w:val="18"/>
              </w:rPr>
            </w:pPr>
            <w:r w:rsidRPr="00AE6F32">
              <w:rPr>
                <w:sz w:val="18"/>
                <w:szCs w:val="18"/>
              </w:rPr>
              <w:t>0.53 (0.25–1.10; p = 0.090)</w:t>
            </w:r>
          </w:p>
        </w:tc>
      </w:tr>
      <w:tr w:rsidR="00AD2647" w:rsidRPr="00AE6F32" w14:paraId="2CA1522B"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AC5FBB9" w14:textId="77777777" w:rsidR="00AD2647" w:rsidRPr="00AE6F32" w:rsidRDefault="00AD2647" w:rsidP="000A4529">
            <w:pPr>
              <w:pStyle w:val="NormalWeb"/>
              <w:rPr>
                <w:sz w:val="18"/>
                <w:szCs w:val="18"/>
              </w:rPr>
            </w:pPr>
            <w:r w:rsidRPr="00AE6F32">
              <w:rPr>
                <w:sz w:val="18"/>
                <w:szCs w:val="18"/>
              </w:rPr>
              <w:t>How much do you think getting a COVID-19 vaccine for yourself will protect other people in your community from COVID-19?</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5856CDF5" w14:textId="77777777" w:rsidR="00AD2647" w:rsidRPr="00AE6F32" w:rsidRDefault="00AD2647" w:rsidP="00AE6F32">
            <w:pPr>
              <w:pStyle w:val="NormalWeb"/>
              <w:jc w:val="center"/>
              <w:rPr>
                <w:sz w:val="18"/>
                <w:szCs w:val="18"/>
              </w:rPr>
            </w:pPr>
            <w:r w:rsidRPr="00AE6F32">
              <w:rPr>
                <w:sz w:val="18"/>
                <w:szCs w:val="18"/>
              </w:rPr>
              <w:t>Not confident/a little confident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5282379" w14:textId="77777777" w:rsidR="00AD2647" w:rsidRPr="00AE6F32" w:rsidRDefault="00AD2647" w:rsidP="00AE6F32">
            <w:pPr>
              <w:pStyle w:val="NormalWeb"/>
              <w:jc w:val="center"/>
              <w:rPr>
                <w:sz w:val="18"/>
                <w:szCs w:val="18"/>
              </w:rPr>
            </w:pPr>
            <w:r w:rsidRPr="00AE6F32">
              <w:rPr>
                <w:sz w:val="18"/>
                <w:szCs w:val="18"/>
              </w:rPr>
              <w:t>33 (37.9)</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FE588E9" w14:textId="77777777" w:rsidR="00AD2647" w:rsidRPr="00AE6F32" w:rsidRDefault="00AD2647" w:rsidP="00AE6F32">
            <w:pPr>
              <w:pStyle w:val="NormalWeb"/>
              <w:jc w:val="center"/>
              <w:rPr>
                <w:sz w:val="18"/>
                <w:szCs w:val="18"/>
              </w:rPr>
            </w:pPr>
            <w:r w:rsidRPr="00AE6F32">
              <w:rPr>
                <w:sz w:val="18"/>
                <w:szCs w:val="18"/>
              </w:rPr>
              <w:t>15 (9.8)</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63C23613" w14:textId="77777777" w:rsidR="00AD2647" w:rsidRPr="00AE6F32" w:rsidRDefault="00AD2647" w:rsidP="00AE6F32">
            <w:pPr>
              <w:pStyle w:val="NormalWeb"/>
              <w:jc w:val="center"/>
              <w:rPr>
                <w:sz w:val="18"/>
                <w:szCs w:val="18"/>
              </w:rPr>
            </w:pPr>
            <w:r w:rsidRPr="00AE6F32">
              <w:rPr>
                <w:sz w:val="18"/>
                <w:szCs w:val="18"/>
              </w:rPr>
              <w:t>Ref</w:t>
            </w:r>
          </w:p>
        </w:tc>
      </w:tr>
      <w:tr w:rsidR="000A4529" w:rsidRPr="00AE6F32" w14:paraId="16744D7B"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3D9F83D"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1C1513FB" w14:textId="77777777" w:rsidR="00AD2647" w:rsidRPr="00AE6F32" w:rsidRDefault="00AD2647" w:rsidP="00AE6F32">
            <w:pPr>
              <w:pStyle w:val="NormalWeb"/>
              <w:jc w:val="center"/>
              <w:rPr>
                <w:sz w:val="18"/>
                <w:szCs w:val="18"/>
              </w:rPr>
            </w:pPr>
            <w:r w:rsidRPr="00AE6F32">
              <w:rPr>
                <w:sz w:val="18"/>
                <w:szCs w:val="18"/>
              </w:rPr>
              <w:t>Moderately/very confident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FAC3329" w14:textId="77777777" w:rsidR="00AD2647" w:rsidRPr="00AE6F32" w:rsidRDefault="00AD2647" w:rsidP="00AE6F32">
            <w:pPr>
              <w:pStyle w:val="NormalWeb"/>
              <w:jc w:val="center"/>
              <w:rPr>
                <w:sz w:val="18"/>
                <w:szCs w:val="18"/>
              </w:rPr>
            </w:pPr>
            <w:r w:rsidRPr="00AE6F32">
              <w:rPr>
                <w:sz w:val="18"/>
                <w:szCs w:val="18"/>
              </w:rPr>
              <w:t>54 (62.1)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C33A7D4" w14:textId="77777777" w:rsidR="00AD2647" w:rsidRPr="00AE6F32" w:rsidRDefault="00AD2647" w:rsidP="00AE6F32">
            <w:pPr>
              <w:pStyle w:val="NormalWeb"/>
              <w:jc w:val="center"/>
              <w:rPr>
                <w:sz w:val="18"/>
                <w:szCs w:val="18"/>
              </w:rPr>
            </w:pPr>
            <w:r w:rsidRPr="00AE6F32">
              <w:rPr>
                <w:sz w:val="18"/>
                <w:szCs w:val="18"/>
              </w:rPr>
              <w:t>138 (90.2)</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24BA3447" w14:textId="77777777" w:rsidR="00AD2647" w:rsidRPr="00AE6F32" w:rsidRDefault="00AD2647" w:rsidP="00AE6F32">
            <w:pPr>
              <w:pStyle w:val="NormalWeb"/>
              <w:jc w:val="center"/>
              <w:rPr>
                <w:sz w:val="18"/>
                <w:szCs w:val="18"/>
              </w:rPr>
            </w:pPr>
            <w:r w:rsidRPr="00AE6F32">
              <w:rPr>
                <w:sz w:val="18"/>
                <w:szCs w:val="18"/>
              </w:rPr>
              <w:t>5.62 (2.88–11.44; p &lt; 0.001)</w:t>
            </w:r>
          </w:p>
        </w:tc>
      </w:tr>
      <w:tr w:rsidR="00AD2647" w:rsidRPr="00AE6F32" w14:paraId="68E04784"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6CD1851" w14:textId="77777777" w:rsidR="00AD2647" w:rsidRPr="00AE6F32" w:rsidRDefault="00AD2647" w:rsidP="000A4529">
            <w:pPr>
              <w:pStyle w:val="NormalWeb"/>
              <w:rPr>
                <w:sz w:val="18"/>
                <w:szCs w:val="18"/>
              </w:rPr>
            </w:pPr>
            <w:r w:rsidRPr="00AE6F32">
              <w:rPr>
                <w:sz w:val="18"/>
                <w:szCs w:val="18"/>
              </w:rPr>
              <w:t>How important do you think getting a COVID-19 vaccine is for your health?</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052A8A7C" w14:textId="77777777" w:rsidR="00AD2647" w:rsidRPr="00AE6F32" w:rsidRDefault="00AD2647" w:rsidP="00AE6F32">
            <w:pPr>
              <w:pStyle w:val="NormalWeb"/>
              <w:jc w:val="center"/>
              <w:rPr>
                <w:sz w:val="18"/>
                <w:szCs w:val="18"/>
              </w:rPr>
            </w:pPr>
            <w:r w:rsidRPr="00AE6F32">
              <w:rPr>
                <w:sz w:val="18"/>
                <w:szCs w:val="18"/>
              </w:rPr>
              <w:t>Not important /a little 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C0F6D38" w14:textId="77777777" w:rsidR="00AD2647" w:rsidRPr="00AE6F32" w:rsidRDefault="00AD2647" w:rsidP="00AE6F32">
            <w:pPr>
              <w:pStyle w:val="NormalWeb"/>
              <w:jc w:val="center"/>
              <w:rPr>
                <w:sz w:val="18"/>
                <w:szCs w:val="18"/>
              </w:rPr>
            </w:pPr>
            <w:r w:rsidRPr="00AE6F32">
              <w:rPr>
                <w:sz w:val="18"/>
                <w:szCs w:val="18"/>
              </w:rPr>
              <w:t>33 (37.9)</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6DDE3B3" w14:textId="77777777" w:rsidR="00AD2647" w:rsidRPr="00AE6F32" w:rsidRDefault="00AD2647" w:rsidP="00AE6F32">
            <w:pPr>
              <w:pStyle w:val="NormalWeb"/>
              <w:jc w:val="center"/>
              <w:rPr>
                <w:sz w:val="18"/>
                <w:szCs w:val="18"/>
              </w:rPr>
            </w:pPr>
            <w:r w:rsidRPr="00AE6F32">
              <w:rPr>
                <w:sz w:val="18"/>
                <w:szCs w:val="18"/>
              </w:rPr>
              <w:t>12 (7.8)</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09750227" w14:textId="77777777" w:rsidR="00AD2647" w:rsidRPr="00AE6F32" w:rsidRDefault="00AD2647" w:rsidP="00AE6F32">
            <w:pPr>
              <w:pStyle w:val="NormalWeb"/>
              <w:jc w:val="center"/>
              <w:rPr>
                <w:sz w:val="18"/>
                <w:szCs w:val="18"/>
              </w:rPr>
            </w:pPr>
            <w:r w:rsidRPr="00AE6F32">
              <w:rPr>
                <w:sz w:val="18"/>
                <w:szCs w:val="18"/>
              </w:rPr>
              <w:t>Ref</w:t>
            </w:r>
          </w:p>
        </w:tc>
      </w:tr>
      <w:tr w:rsidR="000A4529" w:rsidRPr="00AE6F32" w14:paraId="58A849A0"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F247960"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355163B1" w14:textId="77777777" w:rsidR="00AD2647" w:rsidRPr="00AE6F32" w:rsidRDefault="00AD2647" w:rsidP="00AE6F32">
            <w:pPr>
              <w:pStyle w:val="NormalWeb"/>
              <w:jc w:val="center"/>
              <w:rPr>
                <w:sz w:val="18"/>
                <w:szCs w:val="18"/>
              </w:rPr>
            </w:pPr>
            <w:r w:rsidRPr="00AE6F32">
              <w:rPr>
                <w:sz w:val="18"/>
                <w:szCs w:val="18"/>
              </w:rPr>
              <w:t>Moderately/very 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E6A550C" w14:textId="77777777" w:rsidR="00AD2647" w:rsidRPr="00AE6F32" w:rsidRDefault="00AD2647" w:rsidP="00AE6F32">
            <w:pPr>
              <w:pStyle w:val="NormalWeb"/>
              <w:jc w:val="center"/>
              <w:rPr>
                <w:sz w:val="18"/>
                <w:szCs w:val="18"/>
              </w:rPr>
            </w:pPr>
            <w:r w:rsidRPr="00AE6F32">
              <w:rPr>
                <w:sz w:val="18"/>
                <w:szCs w:val="18"/>
              </w:rPr>
              <w:t>54 (62.1)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04D5560" w14:textId="77777777" w:rsidR="00AD2647" w:rsidRPr="00AE6F32" w:rsidRDefault="00AD2647" w:rsidP="00AE6F32">
            <w:pPr>
              <w:pStyle w:val="NormalWeb"/>
              <w:jc w:val="center"/>
              <w:rPr>
                <w:sz w:val="18"/>
                <w:szCs w:val="18"/>
              </w:rPr>
            </w:pPr>
            <w:r w:rsidRPr="00AE6F32">
              <w:rPr>
                <w:sz w:val="18"/>
                <w:szCs w:val="18"/>
              </w:rPr>
              <w:t>141 (92.2)</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51D0F733" w14:textId="77777777" w:rsidR="00AD2647" w:rsidRPr="00AE6F32" w:rsidRDefault="00AD2647" w:rsidP="00AE6F32">
            <w:pPr>
              <w:pStyle w:val="NormalWeb"/>
              <w:jc w:val="center"/>
              <w:rPr>
                <w:sz w:val="18"/>
                <w:szCs w:val="18"/>
              </w:rPr>
            </w:pPr>
            <w:r w:rsidRPr="00AE6F32">
              <w:rPr>
                <w:sz w:val="18"/>
                <w:szCs w:val="18"/>
              </w:rPr>
              <w:t>7.18 (3.54–15.45; p &lt; 0.001)</w:t>
            </w:r>
          </w:p>
        </w:tc>
      </w:tr>
      <w:tr w:rsidR="00AD2647" w:rsidRPr="00AE6F32" w14:paraId="0D49E405"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B1D60C2" w14:textId="77777777" w:rsidR="00AD2647" w:rsidRPr="00AE6F32" w:rsidRDefault="00AD2647" w:rsidP="000A4529">
            <w:pPr>
              <w:pStyle w:val="NormalWeb"/>
              <w:rPr>
                <w:sz w:val="18"/>
                <w:szCs w:val="18"/>
              </w:rPr>
            </w:pPr>
            <w:r w:rsidRPr="00AE6F32">
              <w:rPr>
                <w:sz w:val="18"/>
                <w:szCs w:val="18"/>
              </w:rPr>
              <w:t>How much do you trust the new COVID-19 vaccine?</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115BFF4" w14:textId="77777777" w:rsidR="00AD2647" w:rsidRPr="00AE6F32" w:rsidRDefault="00AD2647" w:rsidP="00AE6F32">
            <w:pPr>
              <w:pStyle w:val="NormalWeb"/>
              <w:jc w:val="center"/>
              <w:rPr>
                <w:sz w:val="18"/>
                <w:szCs w:val="18"/>
              </w:rPr>
            </w:pPr>
            <w:r w:rsidRPr="00AE6F32">
              <w:rPr>
                <w:sz w:val="18"/>
                <w:szCs w:val="18"/>
              </w:rPr>
              <w:t>Not at all/a little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A71C66F" w14:textId="77777777" w:rsidR="00AD2647" w:rsidRPr="00AE6F32" w:rsidRDefault="00AD2647" w:rsidP="00AE6F32">
            <w:pPr>
              <w:pStyle w:val="NormalWeb"/>
              <w:jc w:val="center"/>
              <w:rPr>
                <w:sz w:val="18"/>
                <w:szCs w:val="18"/>
              </w:rPr>
            </w:pPr>
            <w:r w:rsidRPr="00AE6F32">
              <w:rPr>
                <w:sz w:val="18"/>
                <w:szCs w:val="18"/>
              </w:rPr>
              <w:t>45 (51.7)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9D68582" w14:textId="77777777" w:rsidR="00AD2647" w:rsidRPr="00AE6F32" w:rsidRDefault="00AD2647" w:rsidP="00AE6F32">
            <w:pPr>
              <w:pStyle w:val="NormalWeb"/>
              <w:jc w:val="center"/>
              <w:rPr>
                <w:sz w:val="18"/>
                <w:szCs w:val="18"/>
              </w:rPr>
            </w:pPr>
            <w:r w:rsidRPr="00AE6F32">
              <w:rPr>
                <w:sz w:val="18"/>
                <w:szCs w:val="18"/>
              </w:rPr>
              <w:t>22 (14.4)</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35CCCFBA" w14:textId="77777777" w:rsidR="00AD2647" w:rsidRPr="00AE6F32" w:rsidRDefault="00AD2647" w:rsidP="00AE6F32">
            <w:pPr>
              <w:pStyle w:val="NormalWeb"/>
              <w:jc w:val="center"/>
              <w:rPr>
                <w:sz w:val="18"/>
                <w:szCs w:val="18"/>
              </w:rPr>
            </w:pPr>
            <w:r w:rsidRPr="00AE6F32">
              <w:rPr>
                <w:sz w:val="18"/>
                <w:szCs w:val="18"/>
              </w:rPr>
              <w:t>Ref</w:t>
            </w:r>
          </w:p>
        </w:tc>
      </w:tr>
      <w:tr w:rsidR="000A4529" w:rsidRPr="00AE6F32" w14:paraId="2D995D5A"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6BD584D"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08F15C91" w14:textId="77777777" w:rsidR="00AD2647" w:rsidRPr="00AE6F32" w:rsidRDefault="00AD2647" w:rsidP="00AE6F32">
            <w:pPr>
              <w:pStyle w:val="NormalWeb"/>
              <w:jc w:val="center"/>
              <w:rPr>
                <w:sz w:val="18"/>
                <w:szCs w:val="18"/>
              </w:rPr>
            </w:pPr>
            <w:r w:rsidRPr="00AE6F32">
              <w:rPr>
                <w:sz w:val="18"/>
                <w:szCs w:val="18"/>
              </w:rPr>
              <w:t>Moderately/very much</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E78CAF1" w14:textId="77777777" w:rsidR="00AD2647" w:rsidRPr="00AE6F32" w:rsidRDefault="00AD2647" w:rsidP="00AE6F32">
            <w:pPr>
              <w:pStyle w:val="NormalWeb"/>
              <w:jc w:val="center"/>
              <w:rPr>
                <w:sz w:val="18"/>
                <w:szCs w:val="18"/>
              </w:rPr>
            </w:pPr>
            <w:r w:rsidRPr="00AE6F32">
              <w:rPr>
                <w:sz w:val="18"/>
                <w:szCs w:val="18"/>
              </w:rPr>
              <w:t>42 (48.3)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B0E5617" w14:textId="77777777" w:rsidR="00AD2647" w:rsidRPr="00AE6F32" w:rsidRDefault="00AD2647" w:rsidP="00AE6F32">
            <w:pPr>
              <w:pStyle w:val="NormalWeb"/>
              <w:jc w:val="center"/>
              <w:rPr>
                <w:sz w:val="18"/>
                <w:szCs w:val="18"/>
              </w:rPr>
            </w:pPr>
            <w:r w:rsidRPr="00AE6F32">
              <w:rPr>
                <w:sz w:val="18"/>
                <w:szCs w:val="18"/>
              </w:rPr>
              <w:t>131 (85.6)</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2009A8B1" w14:textId="77777777" w:rsidR="00AD2647" w:rsidRPr="00AE6F32" w:rsidRDefault="00AD2647" w:rsidP="00AE6F32">
            <w:pPr>
              <w:pStyle w:val="NormalWeb"/>
              <w:jc w:val="center"/>
              <w:rPr>
                <w:sz w:val="18"/>
                <w:szCs w:val="18"/>
              </w:rPr>
            </w:pPr>
            <w:r w:rsidRPr="00AE6F32">
              <w:rPr>
                <w:sz w:val="18"/>
                <w:szCs w:val="18"/>
              </w:rPr>
              <w:t>6.38 (3.48–12.01; p &lt; 0.001)</w:t>
            </w:r>
          </w:p>
        </w:tc>
      </w:tr>
      <w:tr w:rsidR="00AD2647" w:rsidRPr="00AE6F32" w14:paraId="56BFADB9"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F9F115F" w14:textId="77777777" w:rsidR="00AD2647" w:rsidRPr="00AE6F32" w:rsidRDefault="00AD2647" w:rsidP="000A4529">
            <w:pPr>
              <w:pStyle w:val="NormalWeb"/>
              <w:rPr>
                <w:sz w:val="18"/>
                <w:szCs w:val="18"/>
              </w:rPr>
            </w:pPr>
            <w:r w:rsidRPr="00AE6F32">
              <w:rPr>
                <w:sz w:val="18"/>
                <w:szCs w:val="18"/>
              </w:rPr>
              <w:t>How concerned are you about your patients getting COVID-19 from you?</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46A54E2" w14:textId="77777777" w:rsidR="00AD2647" w:rsidRPr="00AE6F32" w:rsidRDefault="00AD2647" w:rsidP="00AE6F32">
            <w:pPr>
              <w:pStyle w:val="NormalWeb"/>
              <w:jc w:val="center"/>
              <w:rPr>
                <w:sz w:val="18"/>
                <w:szCs w:val="18"/>
              </w:rPr>
            </w:pPr>
            <w:r w:rsidRPr="00AE6F32">
              <w:rPr>
                <w:sz w:val="18"/>
                <w:szCs w:val="18"/>
              </w:rPr>
              <w:t>Not concerned /a little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3E47472E" w14:textId="77777777" w:rsidR="00AD2647" w:rsidRPr="00AE6F32" w:rsidRDefault="00AD2647" w:rsidP="00AE6F32">
            <w:pPr>
              <w:pStyle w:val="NormalWeb"/>
              <w:jc w:val="center"/>
              <w:rPr>
                <w:sz w:val="18"/>
                <w:szCs w:val="18"/>
              </w:rPr>
            </w:pPr>
            <w:r w:rsidRPr="00AE6F32">
              <w:rPr>
                <w:sz w:val="18"/>
                <w:szCs w:val="18"/>
              </w:rPr>
              <w:t>33 (37.9)</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F828AD3" w14:textId="77777777" w:rsidR="00AD2647" w:rsidRPr="00AE6F32" w:rsidRDefault="00AD2647" w:rsidP="00AE6F32">
            <w:pPr>
              <w:pStyle w:val="NormalWeb"/>
              <w:jc w:val="center"/>
              <w:rPr>
                <w:sz w:val="18"/>
                <w:szCs w:val="18"/>
              </w:rPr>
            </w:pPr>
            <w:r w:rsidRPr="00AE6F32">
              <w:rPr>
                <w:sz w:val="18"/>
                <w:szCs w:val="18"/>
              </w:rPr>
              <w:t>69 (45.1)</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5E1495B2" w14:textId="77777777" w:rsidR="00AD2647" w:rsidRPr="00AE6F32" w:rsidRDefault="00AD2647" w:rsidP="00AE6F32">
            <w:pPr>
              <w:pStyle w:val="NormalWeb"/>
              <w:jc w:val="center"/>
              <w:rPr>
                <w:sz w:val="18"/>
                <w:szCs w:val="18"/>
              </w:rPr>
            </w:pPr>
            <w:r w:rsidRPr="00AE6F32">
              <w:rPr>
                <w:sz w:val="18"/>
                <w:szCs w:val="18"/>
              </w:rPr>
              <w:t>Ref</w:t>
            </w:r>
          </w:p>
        </w:tc>
      </w:tr>
      <w:tr w:rsidR="000A4529" w:rsidRPr="00AE6F32" w14:paraId="1668407B"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27866CE"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300CA316" w14:textId="77777777" w:rsidR="00AD2647" w:rsidRPr="00AE6F32" w:rsidRDefault="00AD2647" w:rsidP="00AE6F32">
            <w:pPr>
              <w:pStyle w:val="NormalWeb"/>
              <w:jc w:val="center"/>
              <w:rPr>
                <w:sz w:val="18"/>
                <w:szCs w:val="18"/>
              </w:rPr>
            </w:pPr>
            <w:r w:rsidRPr="00AE6F32">
              <w:rPr>
                <w:sz w:val="18"/>
                <w:szCs w:val="18"/>
              </w:rPr>
              <w:t>Moderately/very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FD949F2" w14:textId="77777777" w:rsidR="00AD2647" w:rsidRPr="00AE6F32" w:rsidRDefault="00AD2647" w:rsidP="00AE6F32">
            <w:pPr>
              <w:pStyle w:val="NormalWeb"/>
              <w:jc w:val="center"/>
              <w:rPr>
                <w:sz w:val="18"/>
                <w:szCs w:val="18"/>
              </w:rPr>
            </w:pPr>
            <w:r w:rsidRPr="00AE6F32">
              <w:rPr>
                <w:sz w:val="18"/>
                <w:szCs w:val="18"/>
              </w:rPr>
              <w:t>25 (28.7)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DF6C9A3" w14:textId="77777777" w:rsidR="00AD2647" w:rsidRPr="00AE6F32" w:rsidRDefault="00AD2647" w:rsidP="00AE6F32">
            <w:pPr>
              <w:pStyle w:val="NormalWeb"/>
              <w:jc w:val="center"/>
              <w:rPr>
                <w:sz w:val="18"/>
                <w:szCs w:val="18"/>
              </w:rPr>
            </w:pPr>
            <w:r w:rsidRPr="00AE6F32">
              <w:rPr>
                <w:sz w:val="18"/>
                <w:szCs w:val="18"/>
              </w:rPr>
              <w:t>51 (33.3)</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7FA274D0" w14:textId="77777777" w:rsidR="00AD2647" w:rsidRPr="00AE6F32" w:rsidRDefault="00AD2647" w:rsidP="00AE6F32">
            <w:pPr>
              <w:pStyle w:val="NormalWeb"/>
              <w:jc w:val="center"/>
              <w:rPr>
                <w:sz w:val="18"/>
                <w:szCs w:val="18"/>
              </w:rPr>
            </w:pPr>
            <w:r w:rsidRPr="00AE6F32">
              <w:rPr>
                <w:sz w:val="18"/>
                <w:szCs w:val="18"/>
              </w:rPr>
              <w:t>0.98 (0.52–1.85; p = 0.939)</w:t>
            </w:r>
          </w:p>
        </w:tc>
      </w:tr>
      <w:tr w:rsidR="00AD2647" w:rsidRPr="00AE6F32" w14:paraId="7183413F"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87E7E55"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67C15FF0" w14:textId="77777777" w:rsidR="00AD2647" w:rsidRPr="00AE6F32" w:rsidRDefault="00AD2647" w:rsidP="00AE6F32">
            <w:pPr>
              <w:pStyle w:val="NormalWeb"/>
              <w:jc w:val="center"/>
              <w:rPr>
                <w:sz w:val="18"/>
                <w:szCs w:val="18"/>
              </w:rPr>
            </w:pPr>
            <w:r w:rsidRPr="00AE6F32">
              <w:rPr>
                <w:sz w:val="18"/>
                <w:szCs w:val="18"/>
              </w:rPr>
              <w:t>Not applicable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08A6AF5" w14:textId="77777777" w:rsidR="00AD2647" w:rsidRPr="00AE6F32" w:rsidRDefault="00AD2647" w:rsidP="00AE6F32">
            <w:pPr>
              <w:pStyle w:val="NormalWeb"/>
              <w:jc w:val="center"/>
              <w:rPr>
                <w:sz w:val="18"/>
                <w:szCs w:val="18"/>
              </w:rPr>
            </w:pPr>
            <w:r w:rsidRPr="00AE6F32">
              <w:rPr>
                <w:sz w:val="18"/>
                <w:szCs w:val="18"/>
              </w:rPr>
              <w:t>29 (33.3)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935FAA4" w14:textId="77777777" w:rsidR="00AD2647" w:rsidRPr="00AE6F32" w:rsidRDefault="00AD2647" w:rsidP="00AE6F32">
            <w:pPr>
              <w:pStyle w:val="NormalWeb"/>
              <w:jc w:val="center"/>
              <w:rPr>
                <w:sz w:val="18"/>
                <w:szCs w:val="18"/>
              </w:rPr>
            </w:pPr>
            <w:r w:rsidRPr="00AE6F32">
              <w:rPr>
                <w:sz w:val="18"/>
                <w:szCs w:val="18"/>
              </w:rPr>
              <w:t>33 (21.6)</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06DD43EB" w14:textId="77777777" w:rsidR="00AD2647" w:rsidRPr="00AE6F32" w:rsidRDefault="00AD2647" w:rsidP="00AE6F32">
            <w:pPr>
              <w:pStyle w:val="NormalWeb"/>
              <w:jc w:val="center"/>
              <w:rPr>
                <w:sz w:val="18"/>
                <w:szCs w:val="18"/>
              </w:rPr>
            </w:pPr>
            <w:r w:rsidRPr="00AE6F32">
              <w:rPr>
                <w:sz w:val="18"/>
                <w:szCs w:val="18"/>
              </w:rPr>
              <w:t>0.54 (0.28–1.04; p = 0.066)</w:t>
            </w:r>
          </w:p>
        </w:tc>
      </w:tr>
      <w:tr w:rsidR="000A4529" w:rsidRPr="00AE6F32" w14:paraId="3D8053CF" w14:textId="77777777" w:rsidTr="000A4529">
        <w:tblPrEx>
          <w:tblCellMar>
            <w:top w:w="57" w:type="dxa"/>
            <w:left w:w="57" w:type="dxa"/>
            <w:bottom w:w="57" w:type="dxa"/>
            <w:right w:w="57" w:type="dxa"/>
          </w:tblCellMar>
        </w:tblPrEx>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36AF48A" w14:textId="77777777" w:rsidR="00AD2647" w:rsidRPr="00AE6F32" w:rsidRDefault="00AD2647" w:rsidP="000A4529">
            <w:pPr>
              <w:pStyle w:val="NormalWeb"/>
              <w:rPr>
                <w:sz w:val="18"/>
                <w:szCs w:val="18"/>
              </w:rPr>
            </w:pPr>
            <w:r w:rsidRPr="00AE6F32">
              <w:rPr>
                <w:sz w:val="18"/>
                <w:szCs w:val="18"/>
              </w:rPr>
              <w:t>How concerned are you about your close family and friends getting COVID-19 from you?</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9342647" w14:textId="77777777" w:rsidR="00AD2647" w:rsidRPr="00AE6F32" w:rsidRDefault="00AD2647" w:rsidP="00AE6F32">
            <w:pPr>
              <w:pStyle w:val="NormalWeb"/>
              <w:jc w:val="center"/>
              <w:rPr>
                <w:sz w:val="18"/>
                <w:szCs w:val="18"/>
              </w:rPr>
            </w:pPr>
            <w:r w:rsidRPr="00AE6F32">
              <w:rPr>
                <w:sz w:val="18"/>
                <w:szCs w:val="18"/>
              </w:rPr>
              <w:t>Not concerned /a little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0AD4AF4" w14:textId="77777777" w:rsidR="00AD2647" w:rsidRPr="00AE6F32" w:rsidRDefault="00AD2647" w:rsidP="00AE6F32">
            <w:pPr>
              <w:pStyle w:val="NormalWeb"/>
              <w:jc w:val="center"/>
              <w:rPr>
                <w:sz w:val="18"/>
                <w:szCs w:val="18"/>
              </w:rPr>
            </w:pPr>
            <w:r w:rsidRPr="00AE6F32">
              <w:rPr>
                <w:sz w:val="18"/>
                <w:szCs w:val="18"/>
              </w:rPr>
              <w:t>39 (44.8)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32178B0" w14:textId="77777777" w:rsidR="00AD2647" w:rsidRPr="00AE6F32" w:rsidRDefault="00AD2647" w:rsidP="00AE6F32">
            <w:pPr>
              <w:pStyle w:val="NormalWeb"/>
              <w:jc w:val="center"/>
              <w:rPr>
                <w:sz w:val="18"/>
                <w:szCs w:val="18"/>
              </w:rPr>
            </w:pPr>
            <w:r w:rsidRPr="00AE6F32">
              <w:rPr>
                <w:sz w:val="18"/>
                <w:szCs w:val="18"/>
              </w:rPr>
              <w:t>83 (54.2)</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761FD020"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204EF9DF"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F1C1386"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7325E806" w14:textId="77777777" w:rsidR="00AD2647" w:rsidRPr="00AE6F32" w:rsidRDefault="00AD2647" w:rsidP="00AE6F32">
            <w:pPr>
              <w:pStyle w:val="NormalWeb"/>
              <w:jc w:val="center"/>
              <w:rPr>
                <w:sz w:val="18"/>
                <w:szCs w:val="18"/>
              </w:rPr>
            </w:pPr>
            <w:r w:rsidRPr="00AE6F32">
              <w:rPr>
                <w:sz w:val="18"/>
                <w:szCs w:val="18"/>
              </w:rPr>
              <w:t>Moderately/very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0432133" w14:textId="77777777" w:rsidR="00AD2647" w:rsidRPr="00AE6F32" w:rsidRDefault="00AD2647" w:rsidP="00AE6F32">
            <w:pPr>
              <w:pStyle w:val="NormalWeb"/>
              <w:jc w:val="center"/>
              <w:rPr>
                <w:sz w:val="18"/>
                <w:szCs w:val="18"/>
              </w:rPr>
            </w:pPr>
            <w:r w:rsidRPr="00AE6F32">
              <w:rPr>
                <w:sz w:val="18"/>
                <w:szCs w:val="18"/>
              </w:rPr>
              <w:t>48 (55.2)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A5D4E1B" w14:textId="77777777" w:rsidR="00AD2647" w:rsidRPr="00AE6F32" w:rsidRDefault="00AD2647" w:rsidP="00AE6F32">
            <w:pPr>
              <w:pStyle w:val="NormalWeb"/>
              <w:jc w:val="center"/>
              <w:rPr>
                <w:sz w:val="18"/>
                <w:szCs w:val="18"/>
              </w:rPr>
            </w:pPr>
            <w:r w:rsidRPr="00AE6F32">
              <w:rPr>
                <w:sz w:val="18"/>
                <w:szCs w:val="18"/>
              </w:rPr>
              <w:t>70 (45.8)</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688A64EE" w14:textId="77777777" w:rsidR="00AD2647" w:rsidRPr="00AE6F32" w:rsidRDefault="00AD2647" w:rsidP="00AE6F32">
            <w:pPr>
              <w:pStyle w:val="NormalWeb"/>
              <w:jc w:val="center"/>
              <w:rPr>
                <w:sz w:val="18"/>
                <w:szCs w:val="18"/>
              </w:rPr>
            </w:pPr>
            <w:r w:rsidRPr="00AE6F32">
              <w:rPr>
                <w:sz w:val="18"/>
                <w:szCs w:val="18"/>
              </w:rPr>
              <w:t>0.69 (0.40–1.16; p = 0.161)</w:t>
            </w:r>
          </w:p>
        </w:tc>
      </w:tr>
      <w:tr w:rsidR="000A4529" w:rsidRPr="00AE6F32" w14:paraId="0395FCF7" w14:textId="77777777" w:rsidTr="000A4529">
        <w:tblPrEx>
          <w:tblCellMar>
            <w:top w:w="57" w:type="dxa"/>
            <w:left w:w="57" w:type="dxa"/>
            <w:bottom w:w="57" w:type="dxa"/>
            <w:right w:w="57" w:type="dxa"/>
          </w:tblCellMar>
        </w:tblPrEx>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10D499B6" w14:textId="77777777" w:rsidR="00AD2647" w:rsidRPr="00AE6F32" w:rsidRDefault="00AD2647" w:rsidP="000A4529">
            <w:pPr>
              <w:pStyle w:val="NormalWeb"/>
              <w:rPr>
                <w:sz w:val="18"/>
                <w:szCs w:val="18"/>
              </w:rPr>
            </w:pPr>
            <w:r w:rsidRPr="00AE6F32">
              <w:rPr>
                <w:sz w:val="18"/>
                <w:szCs w:val="18"/>
              </w:rPr>
              <w:t>How concerned are you about getting COVID-19?</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7198959" w14:textId="77777777" w:rsidR="00AD2647" w:rsidRPr="00AE6F32" w:rsidRDefault="00AD2647" w:rsidP="00AE6F32">
            <w:pPr>
              <w:pStyle w:val="NormalWeb"/>
              <w:jc w:val="center"/>
              <w:rPr>
                <w:sz w:val="18"/>
                <w:szCs w:val="18"/>
              </w:rPr>
            </w:pPr>
            <w:r w:rsidRPr="00AE6F32">
              <w:rPr>
                <w:sz w:val="18"/>
                <w:szCs w:val="18"/>
              </w:rPr>
              <w:t>Not concerned/a little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39B6F7F2" w14:textId="77777777" w:rsidR="00AD2647" w:rsidRPr="00AE6F32" w:rsidRDefault="00AD2647" w:rsidP="00AE6F32">
            <w:pPr>
              <w:pStyle w:val="NormalWeb"/>
              <w:jc w:val="center"/>
              <w:rPr>
                <w:sz w:val="18"/>
                <w:szCs w:val="18"/>
              </w:rPr>
            </w:pPr>
            <w:r w:rsidRPr="00AE6F32">
              <w:rPr>
                <w:sz w:val="18"/>
                <w:szCs w:val="18"/>
              </w:rPr>
              <w:t>39 (44.8)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B52C5DF" w14:textId="77777777" w:rsidR="00AD2647" w:rsidRPr="00AE6F32" w:rsidRDefault="00AD2647" w:rsidP="00AE6F32">
            <w:pPr>
              <w:pStyle w:val="NormalWeb"/>
              <w:jc w:val="center"/>
              <w:rPr>
                <w:sz w:val="18"/>
                <w:szCs w:val="18"/>
              </w:rPr>
            </w:pPr>
            <w:r w:rsidRPr="00AE6F32">
              <w:rPr>
                <w:sz w:val="18"/>
                <w:szCs w:val="18"/>
              </w:rPr>
              <w:t>101 (66.0)</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717DD65F"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195B658D"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C164C59"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6E7BCA25" w14:textId="77777777" w:rsidR="00AD2647" w:rsidRPr="00AE6F32" w:rsidRDefault="00AD2647" w:rsidP="00AE6F32">
            <w:pPr>
              <w:pStyle w:val="NormalWeb"/>
              <w:jc w:val="center"/>
              <w:rPr>
                <w:sz w:val="18"/>
                <w:szCs w:val="18"/>
              </w:rPr>
            </w:pPr>
            <w:r w:rsidRPr="00AE6F32">
              <w:rPr>
                <w:sz w:val="18"/>
                <w:szCs w:val="18"/>
              </w:rPr>
              <w:t>Moderately/very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E06E927" w14:textId="77777777" w:rsidR="00AD2647" w:rsidRPr="00AE6F32" w:rsidRDefault="00AD2647" w:rsidP="00AE6F32">
            <w:pPr>
              <w:pStyle w:val="NormalWeb"/>
              <w:jc w:val="center"/>
              <w:rPr>
                <w:sz w:val="18"/>
                <w:szCs w:val="18"/>
              </w:rPr>
            </w:pPr>
            <w:r w:rsidRPr="00AE6F32">
              <w:rPr>
                <w:sz w:val="18"/>
                <w:szCs w:val="18"/>
              </w:rPr>
              <w:t>48 (55.2)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A2B2C74" w14:textId="77777777" w:rsidR="00AD2647" w:rsidRPr="00AE6F32" w:rsidRDefault="00AD2647" w:rsidP="00AE6F32">
            <w:pPr>
              <w:pStyle w:val="NormalWeb"/>
              <w:jc w:val="center"/>
              <w:rPr>
                <w:sz w:val="18"/>
                <w:szCs w:val="18"/>
              </w:rPr>
            </w:pPr>
            <w:r w:rsidRPr="00AE6F32">
              <w:rPr>
                <w:sz w:val="18"/>
                <w:szCs w:val="18"/>
              </w:rPr>
              <w:t>52 (34.0)</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355502DB" w14:textId="77777777" w:rsidR="00AD2647" w:rsidRPr="00AE6F32" w:rsidRDefault="00AD2647" w:rsidP="00AE6F32">
            <w:pPr>
              <w:pStyle w:val="NormalWeb"/>
              <w:jc w:val="center"/>
              <w:rPr>
                <w:sz w:val="18"/>
                <w:szCs w:val="18"/>
              </w:rPr>
            </w:pPr>
            <w:r w:rsidRPr="00AE6F32">
              <w:rPr>
                <w:sz w:val="18"/>
                <w:szCs w:val="18"/>
              </w:rPr>
              <w:t>0.42 (0.24–0.71; p = 0.002)</w:t>
            </w:r>
          </w:p>
        </w:tc>
      </w:tr>
      <w:tr w:rsidR="000A4529" w:rsidRPr="00AE6F32" w14:paraId="544A4F84" w14:textId="77777777" w:rsidTr="000A4529">
        <w:tblPrEx>
          <w:tblCellMar>
            <w:top w:w="57" w:type="dxa"/>
            <w:left w:w="57" w:type="dxa"/>
            <w:bottom w:w="57" w:type="dxa"/>
            <w:right w:w="57" w:type="dxa"/>
          </w:tblCellMar>
        </w:tblPrEx>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2538B77" w14:textId="77777777" w:rsidR="00AD2647" w:rsidRPr="00AE6F32" w:rsidRDefault="00AD2647" w:rsidP="000A4529">
            <w:pPr>
              <w:pStyle w:val="NormalWeb"/>
              <w:rPr>
                <w:sz w:val="18"/>
                <w:szCs w:val="18"/>
              </w:rPr>
            </w:pPr>
            <w:r w:rsidRPr="00AE6F32">
              <w:rPr>
                <w:sz w:val="18"/>
                <w:szCs w:val="18"/>
              </w:rPr>
              <w:t>Is the ability to travel important to you? (within Queensland)</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3A1A4BBE" w14:textId="77777777" w:rsidR="00AD2647" w:rsidRPr="00AE6F32" w:rsidRDefault="00AD2647" w:rsidP="00AE6F32">
            <w:pPr>
              <w:pStyle w:val="NormalWeb"/>
              <w:jc w:val="center"/>
              <w:rPr>
                <w:sz w:val="18"/>
                <w:szCs w:val="18"/>
              </w:rPr>
            </w:pPr>
            <w:r w:rsidRPr="00AE6F32">
              <w:rPr>
                <w:sz w:val="18"/>
                <w:szCs w:val="18"/>
              </w:rPr>
              <w:t>Not important /a little 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DD88700" w14:textId="77777777" w:rsidR="00AD2647" w:rsidRPr="00AE6F32" w:rsidRDefault="00AD2647" w:rsidP="00AE6F32">
            <w:pPr>
              <w:pStyle w:val="NormalWeb"/>
              <w:jc w:val="center"/>
              <w:rPr>
                <w:sz w:val="18"/>
                <w:szCs w:val="18"/>
              </w:rPr>
            </w:pPr>
            <w:r w:rsidRPr="00AE6F32">
              <w:rPr>
                <w:sz w:val="18"/>
                <w:szCs w:val="18"/>
              </w:rPr>
              <w:t>9 (10.3)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6BFCFB6" w14:textId="77777777" w:rsidR="00AD2647" w:rsidRPr="00AE6F32" w:rsidRDefault="00AD2647" w:rsidP="00AE6F32">
            <w:pPr>
              <w:pStyle w:val="NormalWeb"/>
              <w:jc w:val="center"/>
              <w:rPr>
                <w:sz w:val="18"/>
                <w:szCs w:val="18"/>
              </w:rPr>
            </w:pPr>
            <w:r w:rsidRPr="00AE6F32">
              <w:rPr>
                <w:sz w:val="18"/>
                <w:szCs w:val="18"/>
              </w:rPr>
              <w:t>9 (5.9)</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5790423F"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6738F4CD"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1D9529F"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943652B" w14:textId="77777777" w:rsidR="00AD2647" w:rsidRPr="00AE6F32" w:rsidRDefault="00AD2647" w:rsidP="00AE6F32">
            <w:pPr>
              <w:pStyle w:val="NormalWeb"/>
              <w:jc w:val="center"/>
              <w:rPr>
                <w:sz w:val="18"/>
                <w:szCs w:val="18"/>
              </w:rPr>
            </w:pPr>
            <w:r w:rsidRPr="00AE6F32">
              <w:rPr>
                <w:sz w:val="18"/>
                <w:szCs w:val="18"/>
              </w:rPr>
              <w:t>Moderately /very 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398D006F" w14:textId="77777777" w:rsidR="00AD2647" w:rsidRPr="00AE6F32" w:rsidRDefault="00AD2647" w:rsidP="00AE6F32">
            <w:pPr>
              <w:pStyle w:val="NormalWeb"/>
              <w:jc w:val="center"/>
              <w:rPr>
                <w:sz w:val="18"/>
                <w:szCs w:val="18"/>
              </w:rPr>
            </w:pPr>
            <w:r w:rsidRPr="00AE6F32">
              <w:rPr>
                <w:sz w:val="18"/>
                <w:szCs w:val="18"/>
              </w:rPr>
              <w:t>78 (89.7)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15665AF" w14:textId="77777777" w:rsidR="00AD2647" w:rsidRPr="00AE6F32" w:rsidRDefault="00AD2647" w:rsidP="00AE6F32">
            <w:pPr>
              <w:pStyle w:val="NormalWeb"/>
              <w:jc w:val="center"/>
              <w:rPr>
                <w:sz w:val="18"/>
                <w:szCs w:val="18"/>
              </w:rPr>
            </w:pPr>
            <w:r w:rsidRPr="00AE6F32">
              <w:rPr>
                <w:sz w:val="18"/>
                <w:szCs w:val="18"/>
              </w:rPr>
              <w:t>144 (94.1)</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1A87CFBB" w14:textId="77777777" w:rsidR="00AD2647" w:rsidRPr="00AE6F32" w:rsidRDefault="00AD2647" w:rsidP="00AE6F32">
            <w:pPr>
              <w:pStyle w:val="NormalWeb"/>
              <w:jc w:val="center"/>
              <w:rPr>
                <w:sz w:val="18"/>
                <w:szCs w:val="18"/>
              </w:rPr>
            </w:pPr>
            <w:r w:rsidRPr="00AE6F32">
              <w:rPr>
                <w:sz w:val="18"/>
                <w:szCs w:val="18"/>
              </w:rPr>
              <w:t>1.85 (0.69–4.91; p = 0.213)</w:t>
            </w:r>
          </w:p>
        </w:tc>
      </w:tr>
      <w:tr w:rsidR="000A4529" w:rsidRPr="00AE6F32" w14:paraId="3EEBA068" w14:textId="77777777" w:rsidTr="000A4529">
        <w:tblPrEx>
          <w:tblCellMar>
            <w:top w:w="57" w:type="dxa"/>
            <w:left w:w="57" w:type="dxa"/>
            <w:bottom w:w="57" w:type="dxa"/>
            <w:right w:w="57" w:type="dxa"/>
          </w:tblCellMar>
        </w:tblPrEx>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F143B56" w14:textId="77777777" w:rsidR="00AD2647" w:rsidRPr="00AE6F32" w:rsidRDefault="00AD2647" w:rsidP="000A4529">
            <w:pPr>
              <w:pStyle w:val="NormalWeb"/>
              <w:rPr>
                <w:sz w:val="18"/>
                <w:szCs w:val="18"/>
              </w:rPr>
            </w:pPr>
            <w:r w:rsidRPr="00AE6F32">
              <w:rPr>
                <w:sz w:val="18"/>
                <w:szCs w:val="18"/>
              </w:rPr>
              <w:t>Do you think that getting a COVID-19 vaccine will allow you to safely travel?</w:t>
            </w:r>
          </w:p>
          <w:p w14:paraId="16350413" w14:textId="77777777" w:rsidR="00AD2647" w:rsidRPr="00AE6F32" w:rsidRDefault="00AD2647" w:rsidP="000A4529">
            <w:pPr>
              <w:pStyle w:val="NormalWeb"/>
              <w:rPr>
                <w:sz w:val="18"/>
                <w:szCs w:val="18"/>
              </w:rPr>
            </w:pPr>
            <w:r w:rsidRPr="00AE6F32">
              <w:rPr>
                <w:sz w:val="18"/>
                <w:szCs w:val="18"/>
              </w:rPr>
              <w:t>(within Queensland)</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0AE9F85D" w14:textId="77777777" w:rsidR="00AD2647" w:rsidRPr="00AE6F32" w:rsidRDefault="00AD2647" w:rsidP="00AE6F32">
            <w:pPr>
              <w:pStyle w:val="NormalWeb"/>
              <w:jc w:val="center"/>
              <w:rPr>
                <w:sz w:val="18"/>
                <w:szCs w:val="18"/>
              </w:rPr>
            </w:pPr>
            <w:r w:rsidRPr="00AE6F32">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CE9C8BF" w14:textId="77777777" w:rsidR="00AD2647" w:rsidRPr="00AE6F32" w:rsidRDefault="00AD2647" w:rsidP="00AE6F32">
            <w:pPr>
              <w:pStyle w:val="NormalWeb"/>
              <w:jc w:val="center"/>
              <w:rPr>
                <w:sz w:val="18"/>
                <w:szCs w:val="18"/>
              </w:rPr>
            </w:pPr>
            <w:r w:rsidRPr="00AE6F32">
              <w:rPr>
                <w:sz w:val="18"/>
                <w:szCs w:val="18"/>
              </w:rPr>
              <w:t>22 (25.3)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FC733BC" w14:textId="77777777" w:rsidR="00AD2647" w:rsidRPr="00AE6F32" w:rsidRDefault="00AD2647" w:rsidP="00AE6F32">
            <w:pPr>
              <w:pStyle w:val="NormalWeb"/>
              <w:jc w:val="center"/>
              <w:rPr>
                <w:sz w:val="18"/>
                <w:szCs w:val="18"/>
              </w:rPr>
            </w:pPr>
            <w:r w:rsidRPr="00AE6F32">
              <w:rPr>
                <w:sz w:val="18"/>
                <w:szCs w:val="18"/>
              </w:rPr>
              <w:t>4 (2.6)</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58187FCC"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29B3F272"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07593D0"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69B49130" w14:textId="77777777" w:rsidR="00AD2647" w:rsidRPr="00AE6F32" w:rsidRDefault="00AD2647" w:rsidP="00AE6F32">
            <w:pPr>
              <w:pStyle w:val="NormalWeb"/>
              <w:jc w:val="center"/>
              <w:rPr>
                <w:sz w:val="18"/>
                <w:szCs w:val="18"/>
              </w:rPr>
            </w:pPr>
            <w:r w:rsidRPr="00AE6F32">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F32DDBD" w14:textId="77777777" w:rsidR="00AD2647" w:rsidRPr="00AE6F32" w:rsidRDefault="00AD2647" w:rsidP="00AE6F32">
            <w:pPr>
              <w:pStyle w:val="NormalWeb"/>
              <w:jc w:val="center"/>
              <w:rPr>
                <w:sz w:val="18"/>
                <w:szCs w:val="18"/>
              </w:rPr>
            </w:pPr>
            <w:r w:rsidRPr="00AE6F32">
              <w:rPr>
                <w:sz w:val="18"/>
                <w:szCs w:val="18"/>
              </w:rPr>
              <w:t>50 (57.5)</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D718CCD" w14:textId="77777777" w:rsidR="00AD2647" w:rsidRPr="00AE6F32" w:rsidRDefault="00AD2647" w:rsidP="00AE6F32">
            <w:pPr>
              <w:pStyle w:val="NormalWeb"/>
              <w:jc w:val="center"/>
              <w:rPr>
                <w:sz w:val="18"/>
                <w:szCs w:val="18"/>
              </w:rPr>
            </w:pPr>
            <w:r w:rsidRPr="00AE6F32">
              <w:rPr>
                <w:sz w:val="18"/>
                <w:szCs w:val="18"/>
              </w:rPr>
              <w:t>125 (81.7)</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383378F4" w14:textId="77777777" w:rsidR="00AD2647" w:rsidRPr="00AE6F32" w:rsidRDefault="00AD2647" w:rsidP="00AE6F32">
            <w:pPr>
              <w:pStyle w:val="NormalWeb"/>
              <w:jc w:val="center"/>
              <w:rPr>
                <w:sz w:val="18"/>
                <w:szCs w:val="18"/>
              </w:rPr>
            </w:pPr>
            <w:r w:rsidRPr="00AE6F32">
              <w:rPr>
                <w:sz w:val="18"/>
                <w:szCs w:val="18"/>
              </w:rPr>
              <w:t>13.75 (4.97–48.81; p &lt; 0.001)</w:t>
            </w:r>
          </w:p>
        </w:tc>
      </w:tr>
      <w:tr w:rsidR="000A4529" w:rsidRPr="00AE6F32" w14:paraId="6E45E567"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768D607"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0BE7C9DA" w14:textId="77777777" w:rsidR="00AD2647" w:rsidRPr="00AE6F32" w:rsidRDefault="00AD2647" w:rsidP="00AE6F32">
            <w:pPr>
              <w:pStyle w:val="NormalWeb"/>
              <w:jc w:val="center"/>
              <w:rPr>
                <w:sz w:val="18"/>
                <w:szCs w:val="18"/>
              </w:rPr>
            </w:pPr>
            <w:r w:rsidRPr="00AE6F32">
              <w:rPr>
                <w:sz w:val="18"/>
                <w:szCs w:val="18"/>
              </w:rPr>
              <w:t>Not sure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63754AF" w14:textId="77777777" w:rsidR="00AD2647" w:rsidRPr="00AE6F32" w:rsidRDefault="00AD2647" w:rsidP="00AE6F32">
            <w:pPr>
              <w:pStyle w:val="NormalWeb"/>
              <w:jc w:val="center"/>
              <w:rPr>
                <w:sz w:val="18"/>
                <w:szCs w:val="18"/>
              </w:rPr>
            </w:pPr>
            <w:r w:rsidRPr="00AE6F32">
              <w:rPr>
                <w:sz w:val="18"/>
                <w:szCs w:val="18"/>
              </w:rPr>
              <w:t>15 (17.2)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3B8A906" w14:textId="77777777" w:rsidR="00AD2647" w:rsidRPr="00AE6F32" w:rsidRDefault="00AD2647" w:rsidP="00AE6F32">
            <w:pPr>
              <w:pStyle w:val="NormalWeb"/>
              <w:jc w:val="center"/>
              <w:rPr>
                <w:sz w:val="18"/>
                <w:szCs w:val="18"/>
              </w:rPr>
            </w:pPr>
            <w:r w:rsidRPr="00AE6F32">
              <w:rPr>
                <w:sz w:val="18"/>
                <w:szCs w:val="18"/>
              </w:rPr>
              <w:t>24 (15.7)</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7E3910C9" w14:textId="77777777" w:rsidR="00AD2647" w:rsidRPr="00AE6F32" w:rsidRDefault="00AD2647" w:rsidP="00AE6F32">
            <w:pPr>
              <w:pStyle w:val="NormalWeb"/>
              <w:jc w:val="center"/>
              <w:rPr>
                <w:sz w:val="18"/>
                <w:szCs w:val="18"/>
              </w:rPr>
            </w:pPr>
            <w:r w:rsidRPr="00AE6F32">
              <w:rPr>
                <w:sz w:val="18"/>
                <w:szCs w:val="18"/>
              </w:rPr>
              <w:t>8.80 (2.74–34.75; p = 0.001)</w:t>
            </w:r>
          </w:p>
        </w:tc>
      </w:tr>
      <w:tr w:rsidR="00AD2647" w:rsidRPr="00AE6F32" w14:paraId="02A537F3"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A7EA053" w14:textId="77777777" w:rsidR="00AD2647" w:rsidRPr="00AE6F32" w:rsidRDefault="00AD2647" w:rsidP="000A4529">
            <w:pPr>
              <w:pStyle w:val="NormalWeb"/>
              <w:rPr>
                <w:sz w:val="18"/>
                <w:szCs w:val="18"/>
              </w:rPr>
            </w:pPr>
            <w:r w:rsidRPr="00AE6F32">
              <w:rPr>
                <w:sz w:val="18"/>
                <w:szCs w:val="18"/>
              </w:rPr>
              <w:t>Is the ability to travel important to you? (interstate)</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36D94607" w14:textId="77777777" w:rsidR="00AD2647" w:rsidRPr="00AE6F32" w:rsidRDefault="00AD2647" w:rsidP="00AE6F32">
            <w:pPr>
              <w:pStyle w:val="NormalWeb"/>
              <w:jc w:val="center"/>
              <w:rPr>
                <w:sz w:val="18"/>
                <w:szCs w:val="18"/>
              </w:rPr>
            </w:pPr>
            <w:r w:rsidRPr="00AE6F32">
              <w:rPr>
                <w:sz w:val="18"/>
                <w:szCs w:val="18"/>
              </w:rPr>
              <w:t>Not important /a little 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8604506" w14:textId="77777777" w:rsidR="00AD2647" w:rsidRPr="00AE6F32" w:rsidRDefault="00AD2647" w:rsidP="00AE6F32">
            <w:pPr>
              <w:pStyle w:val="NormalWeb"/>
              <w:jc w:val="center"/>
              <w:rPr>
                <w:sz w:val="18"/>
                <w:szCs w:val="18"/>
              </w:rPr>
            </w:pPr>
            <w:r w:rsidRPr="00AE6F32">
              <w:rPr>
                <w:sz w:val="18"/>
                <w:szCs w:val="18"/>
              </w:rPr>
              <w:t>31 (35.6)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044BFC9" w14:textId="77777777" w:rsidR="00AD2647" w:rsidRPr="00AE6F32" w:rsidRDefault="00AD2647" w:rsidP="00AE6F32">
            <w:pPr>
              <w:pStyle w:val="NormalWeb"/>
              <w:jc w:val="center"/>
              <w:rPr>
                <w:sz w:val="18"/>
                <w:szCs w:val="18"/>
              </w:rPr>
            </w:pPr>
            <w:r w:rsidRPr="00AE6F32">
              <w:rPr>
                <w:sz w:val="18"/>
                <w:szCs w:val="18"/>
              </w:rPr>
              <w:t>35 (22.9)</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587E5C3B" w14:textId="77777777" w:rsidR="00AD2647" w:rsidRPr="00AE6F32" w:rsidRDefault="00AD2647" w:rsidP="00AE6F32">
            <w:pPr>
              <w:pStyle w:val="NormalWeb"/>
              <w:jc w:val="center"/>
              <w:rPr>
                <w:sz w:val="18"/>
                <w:szCs w:val="18"/>
              </w:rPr>
            </w:pPr>
            <w:r w:rsidRPr="00AE6F32">
              <w:rPr>
                <w:sz w:val="18"/>
                <w:szCs w:val="18"/>
              </w:rPr>
              <w:t>Ref</w:t>
            </w:r>
          </w:p>
        </w:tc>
      </w:tr>
      <w:tr w:rsidR="000A4529" w:rsidRPr="00AE6F32" w14:paraId="30792952"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7602A10"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5F3A77E9" w14:textId="77777777" w:rsidR="00AD2647" w:rsidRPr="00AE6F32" w:rsidRDefault="00AD2647" w:rsidP="00AE6F32">
            <w:pPr>
              <w:pStyle w:val="NormalWeb"/>
              <w:jc w:val="center"/>
              <w:rPr>
                <w:sz w:val="18"/>
                <w:szCs w:val="18"/>
              </w:rPr>
            </w:pPr>
            <w:r w:rsidRPr="00AE6F32">
              <w:rPr>
                <w:sz w:val="18"/>
                <w:szCs w:val="18"/>
              </w:rPr>
              <w:t>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1171D27" w14:textId="77777777" w:rsidR="00AD2647" w:rsidRPr="00AE6F32" w:rsidRDefault="00AD2647" w:rsidP="00AE6F32">
            <w:pPr>
              <w:pStyle w:val="NormalWeb"/>
              <w:jc w:val="center"/>
              <w:rPr>
                <w:sz w:val="18"/>
                <w:szCs w:val="18"/>
              </w:rPr>
            </w:pPr>
            <w:r w:rsidRPr="00AE6F32">
              <w:rPr>
                <w:sz w:val="18"/>
                <w:szCs w:val="18"/>
              </w:rPr>
              <w:t>56 (64.4)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EC65681" w14:textId="77777777" w:rsidR="00AD2647" w:rsidRPr="00AE6F32" w:rsidRDefault="00AD2647" w:rsidP="00AE6F32">
            <w:pPr>
              <w:pStyle w:val="NormalWeb"/>
              <w:jc w:val="center"/>
              <w:rPr>
                <w:sz w:val="18"/>
                <w:szCs w:val="18"/>
              </w:rPr>
            </w:pPr>
            <w:r w:rsidRPr="00AE6F32">
              <w:rPr>
                <w:sz w:val="18"/>
                <w:szCs w:val="18"/>
              </w:rPr>
              <w:t>118 (77.1)</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29F17DF0" w14:textId="77777777" w:rsidR="00AD2647" w:rsidRPr="00AE6F32" w:rsidRDefault="00AD2647" w:rsidP="00AE6F32">
            <w:pPr>
              <w:pStyle w:val="NormalWeb"/>
              <w:jc w:val="center"/>
              <w:rPr>
                <w:sz w:val="18"/>
                <w:szCs w:val="18"/>
              </w:rPr>
            </w:pPr>
            <w:r w:rsidRPr="00AE6F32">
              <w:rPr>
                <w:sz w:val="18"/>
                <w:szCs w:val="18"/>
              </w:rPr>
              <w:t>1.87 (1.04–3.33; p = 0.035)</w:t>
            </w:r>
          </w:p>
        </w:tc>
      </w:tr>
      <w:tr w:rsidR="00AD2647" w:rsidRPr="00AE6F32" w14:paraId="695F007C"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332ED0E" w14:textId="77777777" w:rsidR="00AD2647" w:rsidRPr="00AE6F32" w:rsidRDefault="00AD2647" w:rsidP="000A4529">
            <w:pPr>
              <w:pStyle w:val="NormalWeb"/>
              <w:rPr>
                <w:sz w:val="18"/>
                <w:szCs w:val="18"/>
              </w:rPr>
            </w:pPr>
            <w:r w:rsidRPr="00AE6F32">
              <w:rPr>
                <w:sz w:val="18"/>
                <w:szCs w:val="18"/>
              </w:rPr>
              <w:t>Do you think that getting a COVID-19 vaccine will allow you to safely travel? (interstate)</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3BD09C1" w14:textId="77777777" w:rsidR="00AD2647" w:rsidRPr="00AE6F32" w:rsidRDefault="00AD2647" w:rsidP="00AE6F32">
            <w:pPr>
              <w:pStyle w:val="NormalWeb"/>
              <w:jc w:val="center"/>
              <w:rPr>
                <w:sz w:val="18"/>
                <w:szCs w:val="18"/>
              </w:rPr>
            </w:pPr>
            <w:r w:rsidRPr="00AE6F32">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62BF885" w14:textId="77777777" w:rsidR="00AD2647" w:rsidRPr="00AE6F32" w:rsidRDefault="00AD2647" w:rsidP="00AE6F32">
            <w:pPr>
              <w:pStyle w:val="NormalWeb"/>
              <w:jc w:val="center"/>
              <w:rPr>
                <w:sz w:val="18"/>
                <w:szCs w:val="18"/>
              </w:rPr>
            </w:pPr>
            <w:r w:rsidRPr="00AE6F32">
              <w:rPr>
                <w:sz w:val="18"/>
                <w:szCs w:val="18"/>
              </w:rPr>
              <w:t>20 (23.0)</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FE9E421" w14:textId="77777777" w:rsidR="00AD2647" w:rsidRPr="00AE6F32" w:rsidRDefault="00AD2647" w:rsidP="00AE6F32">
            <w:pPr>
              <w:pStyle w:val="NormalWeb"/>
              <w:jc w:val="center"/>
              <w:rPr>
                <w:sz w:val="18"/>
                <w:szCs w:val="18"/>
              </w:rPr>
            </w:pPr>
            <w:r w:rsidRPr="00AE6F32">
              <w:rPr>
                <w:sz w:val="18"/>
                <w:szCs w:val="18"/>
              </w:rPr>
              <w:t>4 (2.6)</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6AE18959" w14:textId="77777777" w:rsidR="00AD2647" w:rsidRPr="00AE6F32" w:rsidRDefault="00AD2647" w:rsidP="00AE6F32">
            <w:pPr>
              <w:pStyle w:val="NormalWeb"/>
              <w:jc w:val="center"/>
              <w:rPr>
                <w:sz w:val="18"/>
                <w:szCs w:val="18"/>
              </w:rPr>
            </w:pPr>
            <w:r w:rsidRPr="00AE6F32">
              <w:rPr>
                <w:sz w:val="18"/>
                <w:szCs w:val="18"/>
              </w:rPr>
              <w:t>Ref</w:t>
            </w:r>
          </w:p>
        </w:tc>
      </w:tr>
      <w:tr w:rsidR="000A4529" w:rsidRPr="00AE6F32" w14:paraId="2C11A0FA"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CA27746"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7FC6BDA6" w14:textId="77777777" w:rsidR="00AD2647" w:rsidRPr="00AE6F32" w:rsidRDefault="00AD2647" w:rsidP="00AE6F32">
            <w:pPr>
              <w:pStyle w:val="NormalWeb"/>
              <w:jc w:val="center"/>
              <w:rPr>
                <w:sz w:val="18"/>
                <w:szCs w:val="18"/>
              </w:rPr>
            </w:pPr>
            <w:r w:rsidRPr="00AE6F32">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6668803" w14:textId="77777777" w:rsidR="00AD2647" w:rsidRPr="00AE6F32" w:rsidRDefault="00AD2647" w:rsidP="00AE6F32">
            <w:pPr>
              <w:pStyle w:val="NormalWeb"/>
              <w:jc w:val="center"/>
              <w:rPr>
                <w:sz w:val="18"/>
                <w:szCs w:val="18"/>
              </w:rPr>
            </w:pPr>
            <w:r w:rsidRPr="00AE6F32">
              <w:rPr>
                <w:sz w:val="18"/>
                <w:szCs w:val="18"/>
              </w:rPr>
              <w:t>45 (51.7)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67C9490" w14:textId="77777777" w:rsidR="00AD2647" w:rsidRPr="00AE6F32" w:rsidRDefault="00AD2647" w:rsidP="00AE6F32">
            <w:pPr>
              <w:pStyle w:val="NormalWeb"/>
              <w:jc w:val="center"/>
              <w:rPr>
                <w:sz w:val="18"/>
                <w:szCs w:val="18"/>
              </w:rPr>
            </w:pPr>
            <w:r w:rsidRPr="00AE6F32">
              <w:rPr>
                <w:sz w:val="18"/>
                <w:szCs w:val="18"/>
              </w:rPr>
              <w:t>116 (75.8)</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145C1801" w14:textId="77777777" w:rsidR="00AD2647" w:rsidRPr="00AE6F32" w:rsidRDefault="00AD2647" w:rsidP="00AE6F32">
            <w:pPr>
              <w:pStyle w:val="NormalWeb"/>
              <w:jc w:val="center"/>
              <w:rPr>
                <w:sz w:val="18"/>
                <w:szCs w:val="18"/>
              </w:rPr>
            </w:pPr>
            <w:r w:rsidRPr="00AE6F32">
              <w:rPr>
                <w:sz w:val="18"/>
                <w:szCs w:val="18"/>
              </w:rPr>
              <w:t>12.89 (4.58–46.19; p &lt; 0.001)</w:t>
            </w:r>
          </w:p>
        </w:tc>
      </w:tr>
      <w:tr w:rsidR="00AD2647" w:rsidRPr="00AE6F32" w14:paraId="53A86939"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B595CA7"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6E445798" w14:textId="77777777" w:rsidR="00AD2647" w:rsidRPr="00AE6F32" w:rsidRDefault="00AD2647" w:rsidP="00AE6F32">
            <w:pPr>
              <w:pStyle w:val="NormalWeb"/>
              <w:jc w:val="center"/>
              <w:rPr>
                <w:sz w:val="18"/>
                <w:szCs w:val="18"/>
              </w:rPr>
            </w:pPr>
            <w:r w:rsidRPr="00AE6F32">
              <w:rPr>
                <w:sz w:val="18"/>
                <w:szCs w:val="18"/>
              </w:rPr>
              <w:t>Not sure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EE155C2" w14:textId="77777777" w:rsidR="00AD2647" w:rsidRPr="00AE6F32" w:rsidRDefault="00AD2647" w:rsidP="00AE6F32">
            <w:pPr>
              <w:pStyle w:val="NormalWeb"/>
              <w:jc w:val="center"/>
              <w:rPr>
                <w:sz w:val="18"/>
                <w:szCs w:val="18"/>
              </w:rPr>
            </w:pPr>
            <w:r w:rsidRPr="00AE6F32">
              <w:rPr>
                <w:sz w:val="18"/>
                <w:szCs w:val="18"/>
              </w:rPr>
              <w:t>22 (25.3)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5A3D0EA" w14:textId="77777777" w:rsidR="00AD2647" w:rsidRPr="00AE6F32" w:rsidRDefault="00AD2647" w:rsidP="00AE6F32">
            <w:pPr>
              <w:pStyle w:val="NormalWeb"/>
              <w:jc w:val="center"/>
              <w:rPr>
                <w:sz w:val="18"/>
                <w:szCs w:val="18"/>
              </w:rPr>
            </w:pPr>
            <w:r w:rsidRPr="00AE6F32">
              <w:rPr>
                <w:sz w:val="18"/>
                <w:szCs w:val="18"/>
              </w:rPr>
              <w:t>33 (21.6)</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689267E3" w14:textId="77777777" w:rsidR="00AD2647" w:rsidRPr="00AE6F32" w:rsidRDefault="00AD2647" w:rsidP="00AE6F32">
            <w:pPr>
              <w:pStyle w:val="NormalWeb"/>
              <w:jc w:val="center"/>
              <w:rPr>
                <w:sz w:val="18"/>
                <w:szCs w:val="18"/>
              </w:rPr>
            </w:pPr>
            <w:r w:rsidRPr="00AE6F32">
              <w:rPr>
                <w:sz w:val="18"/>
                <w:szCs w:val="18"/>
              </w:rPr>
              <w:t>7.50 (2.45–28.52; p = 0.001)</w:t>
            </w:r>
          </w:p>
        </w:tc>
      </w:tr>
      <w:tr w:rsidR="000A4529" w:rsidRPr="00AE6F32" w14:paraId="127223C3" w14:textId="77777777" w:rsidTr="000A4529">
        <w:tblPrEx>
          <w:tblCellMar>
            <w:top w:w="57" w:type="dxa"/>
            <w:left w:w="57" w:type="dxa"/>
            <w:bottom w:w="57" w:type="dxa"/>
            <w:right w:w="57" w:type="dxa"/>
          </w:tblCellMar>
        </w:tblPrEx>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ED98FE9" w14:textId="77777777" w:rsidR="00AD2647" w:rsidRPr="00AE6F32" w:rsidRDefault="00AD2647" w:rsidP="000A4529">
            <w:pPr>
              <w:pStyle w:val="NormalWeb"/>
              <w:rPr>
                <w:sz w:val="18"/>
                <w:szCs w:val="18"/>
              </w:rPr>
            </w:pPr>
            <w:r w:rsidRPr="00AE6F32">
              <w:rPr>
                <w:sz w:val="18"/>
                <w:szCs w:val="18"/>
              </w:rPr>
              <w:t>Is the ability to travel important to you? (overseas)</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7B72E689" w14:textId="77777777" w:rsidR="00AD2647" w:rsidRPr="00AE6F32" w:rsidRDefault="00AD2647" w:rsidP="00AE6F32">
            <w:pPr>
              <w:pStyle w:val="NormalWeb"/>
              <w:jc w:val="center"/>
              <w:rPr>
                <w:sz w:val="18"/>
                <w:szCs w:val="18"/>
              </w:rPr>
            </w:pPr>
            <w:r w:rsidRPr="00AE6F32">
              <w:rPr>
                <w:sz w:val="18"/>
                <w:szCs w:val="18"/>
              </w:rPr>
              <w:t>Not important /a little 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2031095" w14:textId="77777777" w:rsidR="00AD2647" w:rsidRPr="00AE6F32" w:rsidRDefault="00AD2647" w:rsidP="00AE6F32">
            <w:pPr>
              <w:pStyle w:val="NormalWeb"/>
              <w:jc w:val="center"/>
              <w:rPr>
                <w:sz w:val="18"/>
                <w:szCs w:val="18"/>
              </w:rPr>
            </w:pPr>
            <w:r w:rsidRPr="00AE6F32">
              <w:rPr>
                <w:sz w:val="18"/>
                <w:szCs w:val="18"/>
              </w:rPr>
              <w:t>45 (51.7)</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A9FCC84" w14:textId="77777777" w:rsidR="00AD2647" w:rsidRPr="00AE6F32" w:rsidRDefault="00AD2647" w:rsidP="00AE6F32">
            <w:pPr>
              <w:pStyle w:val="NormalWeb"/>
              <w:jc w:val="center"/>
              <w:rPr>
                <w:sz w:val="18"/>
                <w:szCs w:val="18"/>
              </w:rPr>
            </w:pPr>
            <w:r w:rsidRPr="00AE6F32">
              <w:rPr>
                <w:sz w:val="18"/>
                <w:szCs w:val="18"/>
              </w:rPr>
              <w:t>67 (43.8)</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6F75BA1F"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788CBA3E"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FD2A3EA"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0EE72B11" w14:textId="77777777" w:rsidR="00AD2647" w:rsidRPr="00AE6F32" w:rsidRDefault="00AD2647" w:rsidP="00AE6F32">
            <w:pPr>
              <w:pStyle w:val="NormalWeb"/>
              <w:jc w:val="center"/>
              <w:rPr>
                <w:sz w:val="18"/>
                <w:szCs w:val="18"/>
              </w:rPr>
            </w:pPr>
            <w:r w:rsidRPr="00AE6F32">
              <w:rPr>
                <w:sz w:val="18"/>
                <w:szCs w:val="18"/>
              </w:rPr>
              <w:t>Important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56BE399" w14:textId="77777777" w:rsidR="00AD2647" w:rsidRPr="00AE6F32" w:rsidRDefault="00AD2647" w:rsidP="00AE6F32">
            <w:pPr>
              <w:pStyle w:val="NormalWeb"/>
              <w:jc w:val="center"/>
              <w:rPr>
                <w:sz w:val="18"/>
                <w:szCs w:val="18"/>
              </w:rPr>
            </w:pPr>
            <w:r w:rsidRPr="00AE6F32">
              <w:rPr>
                <w:sz w:val="18"/>
                <w:szCs w:val="18"/>
              </w:rPr>
              <w:t>42 (48.3)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70735CE" w14:textId="77777777" w:rsidR="00AD2647" w:rsidRPr="00AE6F32" w:rsidRDefault="00AD2647" w:rsidP="00AE6F32">
            <w:pPr>
              <w:pStyle w:val="NormalWeb"/>
              <w:jc w:val="center"/>
              <w:rPr>
                <w:sz w:val="18"/>
                <w:szCs w:val="18"/>
              </w:rPr>
            </w:pPr>
            <w:r w:rsidRPr="00AE6F32">
              <w:rPr>
                <w:sz w:val="18"/>
                <w:szCs w:val="18"/>
              </w:rPr>
              <w:t>86 (56.2)</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5AA7F5C7" w14:textId="77777777" w:rsidR="00AD2647" w:rsidRPr="00AE6F32" w:rsidRDefault="00AD2647" w:rsidP="00AE6F32">
            <w:pPr>
              <w:pStyle w:val="NormalWeb"/>
              <w:jc w:val="center"/>
              <w:rPr>
                <w:sz w:val="18"/>
                <w:szCs w:val="18"/>
              </w:rPr>
            </w:pPr>
            <w:r w:rsidRPr="00AE6F32">
              <w:rPr>
                <w:sz w:val="18"/>
                <w:szCs w:val="18"/>
              </w:rPr>
              <w:t>1.38 (0.81–2.34; p = 0.237)</w:t>
            </w:r>
          </w:p>
        </w:tc>
      </w:tr>
      <w:tr w:rsidR="000A4529" w:rsidRPr="00AE6F32" w14:paraId="42056603" w14:textId="77777777" w:rsidTr="000A4529">
        <w:tblPrEx>
          <w:tblCellMar>
            <w:top w:w="57" w:type="dxa"/>
            <w:left w:w="57" w:type="dxa"/>
            <w:bottom w:w="57" w:type="dxa"/>
            <w:right w:w="57" w:type="dxa"/>
          </w:tblCellMar>
        </w:tblPrEx>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9D1CC64" w14:textId="77777777" w:rsidR="00AD2647" w:rsidRPr="00AE6F32" w:rsidRDefault="00AD2647" w:rsidP="000A4529">
            <w:pPr>
              <w:pStyle w:val="NormalWeb"/>
              <w:rPr>
                <w:sz w:val="18"/>
                <w:szCs w:val="18"/>
              </w:rPr>
            </w:pPr>
            <w:r w:rsidRPr="00AE6F32">
              <w:rPr>
                <w:sz w:val="18"/>
                <w:szCs w:val="18"/>
              </w:rPr>
              <w:t>Do you think that getting a COVID-19 vaccine will allow you to safely travel?</w:t>
            </w:r>
          </w:p>
          <w:p w14:paraId="109AF983" w14:textId="77777777" w:rsidR="00AD2647" w:rsidRPr="00AE6F32" w:rsidRDefault="00AD2647" w:rsidP="000A4529">
            <w:pPr>
              <w:pStyle w:val="NormalWeb"/>
              <w:rPr>
                <w:sz w:val="18"/>
                <w:szCs w:val="18"/>
              </w:rPr>
            </w:pPr>
            <w:r w:rsidRPr="00AE6F32">
              <w:rPr>
                <w:sz w:val="18"/>
                <w:szCs w:val="18"/>
              </w:rPr>
              <w:t>(overseas)</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2462E09F" w14:textId="77777777" w:rsidR="00AD2647" w:rsidRPr="00AE6F32" w:rsidRDefault="00AD2647" w:rsidP="00AE6F32">
            <w:pPr>
              <w:pStyle w:val="NormalWeb"/>
              <w:jc w:val="center"/>
              <w:rPr>
                <w:sz w:val="18"/>
                <w:szCs w:val="18"/>
              </w:rPr>
            </w:pPr>
            <w:r w:rsidRPr="00AE6F32">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04FF8ED" w14:textId="77777777" w:rsidR="00AD2647" w:rsidRPr="00AE6F32" w:rsidRDefault="00AD2647" w:rsidP="00AE6F32">
            <w:pPr>
              <w:pStyle w:val="NormalWeb"/>
              <w:jc w:val="center"/>
              <w:rPr>
                <w:sz w:val="18"/>
                <w:szCs w:val="18"/>
              </w:rPr>
            </w:pPr>
            <w:r w:rsidRPr="00AE6F32">
              <w:rPr>
                <w:sz w:val="18"/>
                <w:szCs w:val="18"/>
              </w:rPr>
              <w:t>26 (29.9)</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70D4250" w14:textId="77777777" w:rsidR="00AD2647" w:rsidRPr="00AE6F32" w:rsidRDefault="00AD2647" w:rsidP="00AE6F32">
            <w:pPr>
              <w:pStyle w:val="NormalWeb"/>
              <w:jc w:val="center"/>
              <w:rPr>
                <w:sz w:val="18"/>
                <w:szCs w:val="18"/>
              </w:rPr>
            </w:pPr>
            <w:r w:rsidRPr="00AE6F32">
              <w:rPr>
                <w:sz w:val="18"/>
                <w:szCs w:val="18"/>
              </w:rPr>
              <w:t>28 (18.3)</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72B5C2F7" w14:textId="77777777" w:rsidR="00AD2647" w:rsidRPr="00AE6F32" w:rsidRDefault="00AD2647" w:rsidP="00AE6F32">
            <w:pPr>
              <w:pStyle w:val="NormalWeb"/>
              <w:jc w:val="center"/>
              <w:rPr>
                <w:sz w:val="18"/>
                <w:szCs w:val="18"/>
              </w:rPr>
            </w:pPr>
            <w:r w:rsidRPr="00AE6F32">
              <w:rPr>
                <w:sz w:val="18"/>
                <w:szCs w:val="18"/>
              </w:rPr>
              <w:t>Ref</w:t>
            </w:r>
          </w:p>
        </w:tc>
      </w:tr>
      <w:tr w:rsidR="00AD2647" w:rsidRPr="00AE6F32" w14:paraId="12B8B6FC"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4275CE0"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5522EAC5" w14:textId="77777777" w:rsidR="00AD2647" w:rsidRPr="00AE6F32" w:rsidRDefault="00AD2647" w:rsidP="00AE6F32">
            <w:pPr>
              <w:pStyle w:val="NormalWeb"/>
              <w:jc w:val="center"/>
              <w:rPr>
                <w:sz w:val="18"/>
                <w:szCs w:val="18"/>
              </w:rPr>
            </w:pPr>
            <w:r w:rsidRPr="00AE6F32">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379568E6" w14:textId="77777777" w:rsidR="00AD2647" w:rsidRPr="00AE6F32" w:rsidRDefault="00AD2647" w:rsidP="00AE6F32">
            <w:pPr>
              <w:pStyle w:val="NormalWeb"/>
              <w:jc w:val="center"/>
              <w:rPr>
                <w:sz w:val="18"/>
                <w:szCs w:val="18"/>
              </w:rPr>
            </w:pPr>
            <w:r w:rsidRPr="00AE6F32">
              <w:rPr>
                <w:sz w:val="18"/>
                <w:szCs w:val="18"/>
              </w:rPr>
              <w:t>29 (33.3)</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9E61784" w14:textId="77777777" w:rsidR="00AD2647" w:rsidRPr="00AE6F32" w:rsidRDefault="00AD2647" w:rsidP="00AE6F32">
            <w:pPr>
              <w:pStyle w:val="NormalWeb"/>
              <w:jc w:val="center"/>
              <w:rPr>
                <w:sz w:val="18"/>
                <w:szCs w:val="18"/>
              </w:rPr>
            </w:pPr>
            <w:r w:rsidRPr="00AE6F32">
              <w:rPr>
                <w:sz w:val="18"/>
                <w:szCs w:val="18"/>
              </w:rPr>
              <w:t>57 (37.3)</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0B212C9A" w14:textId="77777777" w:rsidR="00AD2647" w:rsidRPr="00AE6F32" w:rsidRDefault="00AD2647" w:rsidP="00AE6F32">
            <w:pPr>
              <w:pStyle w:val="NormalWeb"/>
              <w:jc w:val="center"/>
              <w:rPr>
                <w:sz w:val="18"/>
                <w:szCs w:val="18"/>
              </w:rPr>
            </w:pPr>
            <w:r w:rsidRPr="00AE6F32">
              <w:rPr>
                <w:sz w:val="18"/>
                <w:szCs w:val="18"/>
              </w:rPr>
              <w:t>1.83 (0.91–3.68; p = 0.090)</w:t>
            </w:r>
          </w:p>
        </w:tc>
      </w:tr>
      <w:tr w:rsidR="000A4529" w:rsidRPr="00AE6F32" w14:paraId="664D4427"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350AD60" w14:textId="77777777" w:rsidR="00AD2647" w:rsidRPr="00AE6F32" w:rsidRDefault="00AD2647" w:rsidP="000A4529">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59180ED2" w14:textId="77777777" w:rsidR="00AD2647" w:rsidRPr="00AE6F32" w:rsidRDefault="00AD2647" w:rsidP="00AE6F32">
            <w:pPr>
              <w:pStyle w:val="NormalWeb"/>
              <w:jc w:val="center"/>
              <w:rPr>
                <w:sz w:val="18"/>
                <w:szCs w:val="18"/>
              </w:rPr>
            </w:pPr>
            <w:r w:rsidRPr="00AE6F32">
              <w:rPr>
                <w:sz w:val="18"/>
                <w:szCs w:val="18"/>
              </w:rPr>
              <w:t>Not sure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AFD6B0E" w14:textId="77777777" w:rsidR="00AD2647" w:rsidRPr="00AE6F32" w:rsidRDefault="00AD2647" w:rsidP="00AE6F32">
            <w:pPr>
              <w:pStyle w:val="NormalWeb"/>
              <w:jc w:val="center"/>
              <w:rPr>
                <w:sz w:val="18"/>
                <w:szCs w:val="18"/>
              </w:rPr>
            </w:pPr>
            <w:r w:rsidRPr="00AE6F32">
              <w:rPr>
                <w:sz w:val="18"/>
                <w:szCs w:val="18"/>
              </w:rPr>
              <w:t>32 (36.8)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700A69E" w14:textId="77777777" w:rsidR="00AD2647" w:rsidRPr="00AE6F32" w:rsidRDefault="00AD2647" w:rsidP="00AE6F32">
            <w:pPr>
              <w:pStyle w:val="NormalWeb"/>
              <w:jc w:val="center"/>
              <w:rPr>
                <w:sz w:val="18"/>
                <w:szCs w:val="18"/>
              </w:rPr>
            </w:pPr>
            <w:r w:rsidRPr="00AE6F32">
              <w:rPr>
                <w:sz w:val="18"/>
                <w:szCs w:val="18"/>
              </w:rPr>
              <w:t>68 (44.4)</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2F04CD85" w14:textId="77777777" w:rsidR="00AD2647" w:rsidRPr="00AE6F32" w:rsidRDefault="00AD2647" w:rsidP="00AE6F32">
            <w:pPr>
              <w:pStyle w:val="NormalWeb"/>
              <w:jc w:val="center"/>
              <w:rPr>
                <w:sz w:val="18"/>
                <w:szCs w:val="18"/>
              </w:rPr>
            </w:pPr>
            <w:r w:rsidRPr="00AE6F32">
              <w:rPr>
                <w:sz w:val="18"/>
                <w:szCs w:val="18"/>
              </w:rPr>
              <w:t>1.97 (1.00–3.91; p = 0.050)</w:t>
            </w:r>
          </w:p>
        </w:tc>
      </w:tr>
      <w:tr w:rsidR="00AD2647" w:rsidRPr="00AE6F32" w14:paraId="6354EB54"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D3C6808" w14:textId="77777777" w:rsidR="00AD2647" w:rsidRPr="00AE6F32" w:rsidRDefault="00AD2647" w:rsidP="000A4529">
            <w:pPr>
              <w:pStyle w:val="NormalWeb"/>
              <w:rPr>
                <w:sz w:val="18"/>
                <w:szCs w:val="18"/>
              </w:rPr>
            </w:pPr>
            <w:r w:rsidRPr="00AE6F32">
              <w:rPr>
                <w:sz w:val="18"/>
                <w:szCs w:val="18"/>
              </w:rPr>
              <w:t>How concerned are you that a COVID-19 vaccine could cause you to have a serious reaction? Would you say…</w:t>
            </w: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516FC8E8" w14:textId="77777777" w:rsidR="00AD2647" w:rsidRPr="00AE6F32" w:rsidRDefault="00AD2647" w:rsidP="00AE6F32">
            <w:pPr>
              <w:pStyle w:val="NormalWeb"/>
              <w:jc w:val="center"/>
              <w:rPr>
                <w:sz w:val="18"/>
                <w:szCs w:val="18"/>
              </w:rPr>
            </w:pPr>
            <w:r w:rsidRPr="00AE6F32">
              <w:rPr>
                <w:sz w:val="18"/>
                <w:szCs w:val="18"/>
              </w:rPr>
              <w:t>Already vaccinated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87B497E" w14:textId="77777777" w:rsidR="00AD2647" w:rsidRPr="00AE6F32" w:rsidRDefault="00AD2647" w:rsidP="00AE6F32">
            <w:pPr>
              <w:pStyle w:val="NormalWeb"/>
              <w:jc w:val="center"/>
              <w:rPr>
                <w:sz w:val="18"/>
                <w:szCs w:val="18"/>
              </w:rPr>
            </w:pPr>
            <w:r w:rsidRPr="00AE6F32">
              <w:rPr>
                <w:sz w:val="18"/>
                <w:szCs w:val="18"/>
              </w:rPr>
              <w:t>0 (0.0%)</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CBF3F1D" w14:textId="77777777" w:rsidR="00AD2647" w:rsidRPr="00AE6F32" w:rsidRDefault="00AD2647" w:rsidP="00AE6F32">
            <w:pPr>
              <w:pStyle w:val="NormalWeb"/>
              <w:jc w:val="center"/>
              <w:rPr>
                <w:sz w:val="18"/>
                <w:szCs w:val="18"/>
              </w:rPr>
            </w:pPr>
            <w:r w:rsidRPr="00AE6F32">
              <w:rPr>
                <w:sz w:val="18"/>
                <w:szCs w:val="18"/>
              </w:rPr>
              <w:t>153 (100.0)</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0FE51B4C" w14:textId="77777777" w:rsidR="00AD2647" w:rsidRPr="00AE6F32" w:rsidRDefault="00AD2647" w:rsidP="00AE6F32">
            <w:pPr>
              <w:jc w:val="center"/>
              <w:rPr>
                <w:sz w:val="18"/>
                <w:szCs w:val="18"/>
              </w:rPr>
            </w:pPr>
          </w:p>
        </w:tc>
      </w:tr>
      <w:tr w:rsidR="000A4529" w:rsidRPr="00AE6F32" w14:paraId="1329EB36" w14:textId="77777777" w:rsidTr="000A4529">
        <w:tblPrEx>
          <w:tblCellMar>
            <w:top w:w="57" w:type="dxa"/>
            <w:left w:w="57" w:type="dxa"/>
            <w:bottom w:w="57" w:type="dxa"/>
            <w:right w:w="57" w:type="dxa"/>
          </w:tblCellMar>
        </w:tblPrEx>
        <w:tc>
          <w:tcPr>
            <w:tcW w:w="3402" w:type="dxa"/>
            <w:vMerge/>
            <w:tcBorders>
              <w:top w:val="single" w:sz="2" w:space="0" w:color="auto"/>
              <w:left w:val="single" w:sz="2" w:space="0" w:color="auto"/>
              <w:bottom w:val="single" w:sz="2" w:space="0" w:color="auto"/>
              <w:right w:val="single" w:sz="2" w:space="0" w:color="auto"/>
            </w:tcBorders>
            <w:shd w:val="clear" w:color="auto" w:fill="auto"/>
            <w:hideMark/>
          </w:tcPr>
          <w:p w14:paraId="4BD4E29C" w14:textId="77777777" w:rsidR="00AD2647" w:rsidRPr="00AE6F32" w:rsidRDefault="00AD2647" w:rsidP="0098354A">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4106667E" w14:textId="77777777" w:rsidR="00AD2647" w:rsidRPr="00AE6F32" w:rsidRDefault="00AD2647" w:rsidP="00AE6F32">
            <w:pPr>
              <w:pStyle w:val="NormalWeb"/>
              <w:jc w:val="center"/>
              <w:rPr>
                <w:sz w:val="18"/>
                <w:szCs w:val="18"/>
              </w:rPr>
            </w:pPr>
            <w:r w:rsidRPr="00AE6F32">
              <w:rPr>
                <w:sz w:val="18"/>
                <w:szCs w:val="18"/>
              </w:rPr>
              <w:t>Not concerned/a little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D96D83A" w14:textId="77777777" w:rsidR="00AD2647" w:rsidRPr="00AE6F32" w:rsidRDefault="00AD2647" w:rsidP="00AE6F32">
            <w:pPr>
              <w:pStyle w:val="NormalWeb"/>
              <w:jc w:val="center"/>
              <w:rPr>
                <w:sz w:val="18"/>
                <w:szCs w:val="18"/>
              </w:rPr>
            </w:pPr>
            <w:r w:rsidRPr="00AE6F32">
              <w:rPr>
                <w:sz w:val="18"/>
                <w:szCs w:val="18"/>
              </w:rPr>
              <w:t>33 (37.9)</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EF1E47E" w14:textId="77777777" w:rsidR="00AD2647" w:rsidRPr="00AE6F32" w:rsidRDefault="00AD2647" w:rsidP="00AE6F32">
            <w:pPr>
              <w:pStyle w:val="NormalWeb"/>
              <w:jc w:val="center"/>
              <w:rPr>
                <w:sz w:val="18"/>
                <w:szCs w:val="18"/>
              </w:rPr>
            </w:pPr>
            <w:r w:rsidRPr="00AE6F32">
              <w:rPr>
                <w:sz w:val="18"/>
                <w:szCs w:val="18"/>
              </w:rPr>
              <w:t>0 (0.0)</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70D76AD2" w14:textId="77777777" w:rsidR="00AD2647" w:rsidRPr="00AE6F32" w:rsidRDefault="00AD2647" w:rsidP="00AE6F32">
            <w:pPr>
              <w:jc w:val="center"/>
              <w:rPr>
                <w:sz w:val="18"/>
                <w:szCs w:val="18"/>
              </w:rPr>
            </w:pPr>
          </w:p>
        </w:tc>
      </w:tr>
      <w:tr w:rsidR="00AD2647" w:rsidRPr="00AE6F32" w14:paraId="65C601F2" w14:textId="77777777" w:rsidTr="000A452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02" w:type="dxa"/>
            <w:vMerge/>
            <w:tcBorders>
              <w:top w:val="single" w:sz="2" w:space="0" w:color="auto"/>
              <w:left w:val="single" w:sz="2" w:space="0" w:color="auto"/>
              <w:bottom w:val="single" w:sz="2" w:space="0" w:color="auto"/>
              <w:right w:val="single" w:sz="2" w:space="0" w:color="auto"/>
            </w:tcBorders>
            <w:shd w:val="clear" w:color="auto" w:fill="auto"/>
            <w:hideMark/>
          </w:tcPr>
          <w:p w14:paraId="4A311FE7" w14:textId="77777777" w:rsidR="00AD2647" w:rsidRPr="00AE6F32" w:rsidRDefault="00AD2647" w:rsidP="0098354A">
            <w:pPr>
              <w:rPr>
                <w:sz w:val="18"/>
                <w:szCs w:val="18"/>
              </w:rPr>
            </w:pPr>
          </w:p>
        </w:tc>
        <w:tc>
          <w:tcPr>
            <w:tcW w:w="3402" w:type="dxa"/>
            <w:tcBorders>
              <w:top w:val="single" w:sz="2" w:space="0" w:color="auto"/>
              <w:left w:val="single" w:sz="2" w:space="0" w:color="auto"/>
              <w:bottom w:val="single" w:sz="2" w:space="0" w:color="auto"/>
              <w:right w:val="single" w:sz="2" w:space="0" w:color="auto"/>
            </w:tcBorders>
            <w:shd w:val="clear" w:color="auto" w:fill="auto"/>
            <w:hideMark/>
          </w:tcPr>
          <w:p w14:paraId="59A1BDFA" w14:textId="77777777" w:rsidR="00AD2647" w:rsidRPr="00AE6F32" w:rsidRDefault="00AD2647" w:rsidP="00AE6F32">
            <w:pPr>
              <w:pStyle w:val="NormalWeb"/>
              <w:jc w:val="center"/>
              <w:rPr>
                <w:sz w:val="18"/>
                <w:szCs w:val="18"/>
              </w:rPr>
            </w:pPr>
            <w:r w:rsidRPr="00AE6F32">
              <w:rPr>
                <w:sz w:val="18"/>
                <w:szCs w:val="18"/>
              </w:rPr>
              <w:t>Moderately/very concerned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D021097" w14:textId="77777777" w:rsidR="00AD2647" w:rsidRPr="00AE6F32" w:rsidRDefault="00AD2647" w:rsidP="00AE6F32">
            <w:pPr>
              <w:pStyle w:val="NormalWeb"/>
              <w:jc w:val="center"/>
              <w:rPr>
                <w:sz w:val="18"/>
                <w:szCs w:val="18"/>
              </w:rPr>
            </w:pPr>
            <w:r w:rsidRPr="00AE6F32">
              <w:rPr>
                <w:sz w:val="18"/>
                <w:szCs w:val="18"/>
              </w:rPr>
              <w:t>54 (62.1)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343327E" w14:textId="77777777" w:rsidR="00AD2647" w:rsidRPr="00AE6F32" w:rsidRDefault="00AD2647" w:rsidP="00AE6F32">
            <w:pPr>
              <w:pStyle w:val="NormalWeb"/>
              <w:jc w:val="center"/>
              <w:rPr>
                <w:sz w:val="18"/>
                <w:szCs w:val="18"/>
              </w:rPr>
            </w:pPr>
            <w:r w:rsidRPr="00AE6F32">
              <w:rPr>
                <w:sz w:val="18"/>
                <w:szCs w:val="18"/>
              </w:rPr>
              <w:t>0 (0.0)</w:t>
            </w:r>
          </w:p>
        </w:tc>
        <w:tc>
          <w:tcPr>
            <w:tcW w:w="5486" w:type="dxa"/>
            <w:tcBorders>
              <w:top w:val="single" w:sz="2" w:space="0" w:color="auto"/>
              <w:left w:val="single" w:sz="2" w:space="0" w:color="auto"/>
              <w:bottom w:val="single" w:sz="2" w:space="0" w:color="auto"/>
              <w:right w:val="single" w:sz="2" w:space="0" w:color="auto"/>
            </w:tcBorders>
            <w:shd w:val="clear" w:color="auto" w:fill="auto"/>
            <w:hideMark/>
          </w:tcPr>
          <w:p w14:paraId="03F4EA1D" w14:textId="77777777" w:rsidR="00AD2647" w:rsidRPr="00AE6F32" w:rsidRDefault="00AD2647" w:rsidP="00AE6F32">
            <w:pPr>
              <w:pStyle w:val="NormalWeb"/>
              <w:jc w:val="center"/>
              <w:rPr>
                <w:sz w:val="18"/>
                <w:szCs w:val="18"/>
              </w:rPr>
            </w:pPr>
            <w:r w:rsidRPr="00AE6F32">
              <w:rPr>
                <w:sz w:val="18"/>
                <w:szCs w:val="18"/>
              </w:rPr>
              <w:t>NA</w:t>
            </w:r>
          </w:p>
        </w:tc>
      </w:tr>
    </w:tbl>
    <w:p w14:paraId="576B41A0" w14:textId="77777777" w:rsidR="00AD2647" w:rsidRDefault="00AD2647" w:rsidP="00AD2647">
      <w:pPr>
        <w:pStyle w:val="CDIfootnotes"/>
        <w:rPr>
          <w:lang w:val="en-GB"/>
        </w:rPr>
      </w:pPr>
      <w:r>
        <w:rPr>
          <w:lang w:val="en-GB"/>
        </w:rPr>
        <w:t>a</w:t>
      </w:r>
      <w:r>
        <w:rPr>
          <w:lang w:val="en-GB"/>
        </w:rPr>
        <w:tab/>
        <w:t>Ref: reference state; NA: not applicable.</w:t>
      </w:r>
    </w:p>
    <w:p w14:paraId="48C17D2D" w14:textId="77777777" w:rsidR="00AD2647" w:rsidRDefault="00AD2647" w:rsidP="00AD2647">
      <w:pPr>
        <w:pStyle w:val="CDIfootnotes"/>
        <w:rPr>
          <w:lang w:val="en-GB"/>
        </w:rPr>
      </w:pPr>
      <w:r>
        <w:rPr>
          <w:lang w:val="en-GB"/>
        </w:rPr>
        <w:t>b</w:t>
      </w:r>
      <w:r>
        <w:rPr>
          <w:lang w:val="en-GB"/>
        </w:rPr>
        <w:tab/>
        <w:t xml:space="preserve">Values shown in bold are those with </w:t>
      </w:r>
      <w:r w:rsidRPr="003D0A1B">
        <w:rPr>
          <w:i/>
          <w:iCs/>
          <w:lang w:val="en-US"/>
        </w:rPr>
        <w:t>p</w:t>
      </w:r>
      <w:r>
        <w:rPr>
          <w:lang w:val="en-GB"/>
        </w:rPr>
        <w:t xml:space="preserve"> ≤ 0.05.</w:t>
      </w:r>
    </w:p>
    <w:p w14:paraId="0FAC01AB" w14:textId="7EC3C24B" w:rsidR="004D421B" w:rsidRDefault="004D421B">
      <w:r>
        <w:br w:type="page"/>
      </w:r>
    </w:p>
    <w:p w14:paraId="5A2C2E66" w14:textId="77777777" w:rsidR="004D421B" w:rsidRPr="00A32D9C" w:rsidRDefault="004D421B" w:rsidP="004D421B">
      <w:pPr>
        <w:pStyle w:val="CDIFigures"/>
      </w:pPr>
      <w:r w:rsidRPr="00A32D9C">
        <w:rPr>
          <w:rStyle w:val="Strong"/>
          <w:b/>
          <w:bCs w:val="0"/>
        </w:rPr>
        <w:lastRenderedPageBreak/>
        <w:t xml:space="preserve">Table 3: Social processes and vaccine uptake survey responses according to vaccination status </w:t>
      </w:r>
    </w:p>
    <w:tbl>
      <w:tblPr>
        <w:tblStyle w:val="CDI-StandardTable"/>
        <w:tblW w:w="0" w:type="auto"/>
        <w:tblLook w:val="04A0" w:firstRow="1" w:lastRow="0" w:firstColumn="1" w:lastColumn="0" w:noHBand="0" w:noVBand="1"/>
        <w:tblDescription w:val="Table 3 lists the questions related to the “Social processes” domain, proportion of survey responses are grouped by vaccination status with odds ratio, 95 % confidence interval and p-value"/>
      </w:tblPr>
      <w:tblGrid>
        <w:gridCol w:w="3797"/>
        <w:gridCol w:w="1832"/>
        <w:gridCol w:w="1688"/>
        <w:gridCol w:w="1611"/>
        <w:gridCol w:w="6050"/>
      </w:tblGrid>
      <w:tr w:rsidR="004D421B" w:rsidRPr="004D421B" w14:paraId="1860BE5D"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3798" w:type="dxa"/>
            <w:vMerge w:val="restart"/>
            <w:tcBorders>
              <w:top w:val="single" w:sz="2" w:space="0" w:color="0D0D0D" w:themeColor="text1" w:themeTint="F2"/>
              <w:left w:val="single" w:sz="2" w:space="0" w:color="0D0D0D" w:themeColor="text1" w:themeTint="F2"/>
              <w:bottom w:val="single" w:sz="2" w:space="0" w:color="886E49"/>
              <w:right w:val="single" w:sz="2" w:space="0" w:color="886E49"/>
            </w:tcBorders>
            <w:hideMark/>
          </w:tcPr>
          <w:p w14:paraId="3B340B52" w14:textId="77777777" w:rsidR="004D421B" w:rsidRPr="004D421B" w:rsidRDefault="004D421B" w:rsidP="0098354A">
            <w:pPr>
              <w:pStyle w:val="NormalWeb"/>
              <w:rPr>
                <w:color w:val="FFFFFF" w:themeColor="background1"/>
                <w:sz w:val="18"/>
                <w:szCs w:val="18"/>
              </w:rPr>
            </w:pPr>
            <w:r w:rsidRPr="004D421B">
              <w:rPr>
                <w:color w:val="FFFFFF" w:themeColor="background1"/>
                <w:sz w:val="18"/>
                <w:szCs w:val="18"/>
              </w:rPr>
              <w:t>Survey item</w:t>
            </w:r>
          </w:p>
        </w:tc>
        <w:tc>
          <w:tcPr>
            <w:tcW w:w="1832" w:type="dxa"/>
            <w:vMerge w:val="restart"/>
            <w:tcBorders>
              <w:top w:val="single" w:sz="2" w:space="0" w:color="0D0D0D" w:themeColor="text1" w:themeTint="F2"/>
              <w:left w:val="single" w:sz="2" w:space="0" w:color="886E49"/>
              <w:bottom w:val="single" w:sz="2" w:space="0" w:color="886E49"/>
              <w:right w:val="single" w:sz="2" w:space="0" w:color="886E49"/>
            </w:tcBorders>
            <w:hideMark/>
          </w:tcPr>
          <w:p w14:paraId="56A32134" w14:textId="77777777" w:rsidR="004D421B" w:rsidRPr="004D421B" w:rsidRDefault="004D421B" w:rsidP="004D421B">
            <w:pPr>
              <w:pStyle w:val="NormalWeb"/>
              <w:jc w:val="center"/>
              <w:rPr>
                <w:color w:val="FFFFFF" w:themeColor="background1"/>
                <w:sz w:val="18"/>
                <w:szCs w:val="18"/>
              </w:rPr>
            </w:pPr>
            <w:r w:rsidRPr="004D421B">
              <w:rPr>
                <w:color w:val="FFFFFF" w:themeColor="background1"/>
                <w:sz w:val="18"/>
                <w:szCs w:val="18"/>
              </w:rPr>
              <w:t>Response</w:t>
            </w:r>
          </w:p>
        </w:tc>
        <w:tc>
          <w:tcPr>
            <w:tcW w:w="9354" w:type="dxa"/>
            <w:gridSpan w:val="3"/>
            <w:tcBorders>
              <w:top w:val="single" w:sz="2" w:space="0" w:color="0D0D0D" w:themeColor="text1" w:themeTint="F2"/>
              <w:left w:val="single" w:sz="2" w:space="0" w:color="886E49"/>
              <w:bottom w:val="single" w:sz="2" w:space="0" w:color="886E49"/>
              <w:right w:val="single" w:sz="2" w:space="0" w:color="0D0D0D" w:themeColor="text1" w:themeTint="F2"/>
            </w:tcBorders>
            <w:hideMark/>
          </w:tcPr>
          <w:p w14:paraId="4B3DAE9E" w14:textId="77777777" w:rsidR="004D421B" w:rsidRPr="004D421B" w:rsidRDefault="004D421B" w:rsidP="004D421B">
            <w:pPr>
              <w:pStyle w:val="NormalWeb"/>
              <w:jc w:val="center"/>
              <w:rPr>
                <w:color w:val="FFFFFF" w:themeColor="background1"/>
                <w:sz w:val="18"/>
                <w:szCs w:val="18"/>
              </w:rPr>
            </w:pPr>
            <w:r w:rsidRPr="004D421B">
              <w:rPr>
                <w:color w:val="FFFFFF" w:themeColor="background1"/>
                <w:sz w:val="18"/>
                <w:szCs w:val="18"/>
              </w:rPr>
              <w:t>Vaccine received</w:t>
            </w:r>
          </w:p>
        </w:tc>
      </w:tr>
      <w:tr w:rsidR="004D421B" w:rsidRPr="004D421B" w14:paraId="7D33B6C0"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3798" w:type="dxa"/>
            <w:vMerge/>
            <w:tcBorders>
              <w:top w:val="single" w:sz="2" w:space="0" w:color="886E49"/>
              <w:left w:val="single" w:sz="2" w:space="0" w:color="0D0D0D" w:themeColor="text1" w:themeTint="F2"/>
              <w:right w:val="single" w:sz="2" w:space="0" w:color="886E49"/>
            </w:tcBorders>
            <w:hideMark/>
          </w:tcPr>
          <w:p w14:paraId="5273BCE4" w14:textId="77777777" w:rsidR="004D421B" w:rsidRPr="004D421B" w:rsidRDefault="004D421B" w:rsidP="0098354A">
            <w:pPr>
              <w:rPr>
                <w:color w:val="FFFFFF" w:themeColor="background1"/>
                <w:sz w:val="18"/>
                <w:szCs w:val="18"/>
              </w:rPr>
            </w:pPr>
          </w:p>
        </w:tc>
        <w:tc>
          <w:tcPr>
            <w:tcW w:w="1832" w:type="dxa"/>
            <w:vMerge/>
            <w:tcBorders>
              <w:top w:val="single" w:sz="2" w:space="0" w:color="886E49"/>
              <w:left w:val="single" w:sz="2" w:space="0" w:color="886E49"/>
              <w:right w:val="single" w:sz="2" w:space="0" w:color="886E49"/>
            </w:tcBorders>
            <w:hideMark/>
          </w:tcPr>
          <w:p w14:paraId="3D225F21" w14:textId="77777777" w:rsidR="004D421B" w:rsidRPr="004D421B" w:rsidRDefault="004D421B" w:rsidP="004D421B">
            <w:pPr>
              <w:jc w:val="center"/>
              <w:rPr>
                <w:color w:val="FFFFFF" w:themeColor="background1"/>
                <w:sz w:val="18"/>
                <w:szCs w:val="18"/>
              </w:rPr>
            </w:pPr>
          </w:p>
        </w:tc>
        <w:tc>
          <w:tcPr>
            <w:tcW w:w="1689" w:type="dxa"/>
            <w:tcBorders>
              <w:top w:val="single" w:sz="2" w:space="0" w:color="886E49"/>
              <w:left w:val="single" w:sz="2" w:space="0" w:color="886E49"/>
              <w:right w:val="single" w:sz="2" w:space="0" w:color="886E49"/>
            </w:tcBorders>
            <w:hideMark/>
          </w:tcPr>
          <w:p w14:paraId="54FEF708" w14:textId="5AD55663" w:rsidR="004D421B" w:rsidRPr="004D421B" w:rsidRDefault="004D421B" w:rsidP="004D421B">
            <w:pPr>
              <w:pStyle w:val="NormalWeb"/>
              <w:jc w:val="center"/>
              <w:rPr>
                <w:color w:val="FFFFFF" w:themeColor="background1"/>
                <w:sz w:val="18"/>
                <w:szCs w:val="18"/>
              </w:rPr>
            </w:pPr>
            <w:r w:rsidRPr="004D421B">
              <w:rPr>
                <w:color w:val="FFFFFF" w:themeColor="background1"/>
                <w:sz w:val="18"/>
                <w:szCs w:val="18"/>
              </w:rPr>
              <w:t>No</w:t>
            </w:r>
            <w:r>
              <w:rPr>
                <w:color w:val="FFFFFF" w:themeColor="background1"/>
                <w:sz w:val="18"/>
                <w:szCs w:val="18"/>
              </w:rPr>
              <w:br/>
            </w:r>
            <w:r w:rsidRPr="004D421B">
              <w:rPr>
                <w:color w:val="FFFFFF" w:themeColor="background1"/>
                <w:sz w:val="18"/>
                <w:szCs w:val="18"/>
              </w:rPr>
              <w:t>n(%)</w:t>
            </w:r>
          </w:p>
        </w:tc>
        <w:tc>
          <w:tcPr>
            <w:tcW w:w="1612" w:type="dxa"/>
            <w:tcBorders>
              <w:top w:val="single" w:sz="2" w:space="0" w:color="886E49"/>
              <w:left w:val="single" w:sz="2" w:space="0" w:color="886E49"/>
              <w:right w:val="single" w:sz="2" w:space="0" w:color="886E49"/>
            </w:tcBorders>
            <w:hideMark/>
          </w:tcPr>
          <w:p w14:paraId="49EF5585" w14:textId="0D077FF1" w:rsidR="004D421B" w:rsidRPr="004D421B" w:rsidRDefault="004D421B" w:rsidP="004D421B">
            <w:pPr>
              <w:pStyle w:val="NormalWeb"/>
              <w:jc w:val="center"/>
              <w:rPr>
                <w:color w:val="FFFFFF" w:themeColor="background1"/>
                <w:sz w:val="18"/>
                <w:szCs w:val="18"/>
              </w:rPr>
            </w:pPr>
            <w:r w:rsidRPr="004D421B">
              <w:rPr>
                <w:color w:val="FFFFFF" w:themeColor="background1"/>
                <w:sz w:val="18"/>
                <w:szCs w:val="18"/>
              </w:rPr>
              <w:t>Yes</w:t>
            </w:r>
            <w:r>
              <w:rPr>
                <w:color w:val="FFFFFF" w:themeColor="background1"/>
                <w:sz w:val="18"/>
                <w:szCs w:val="18"/>
              </w:rPr>
              <w:br/>
            </w:r>
            <w:r w:rsidRPr="004D421B">
              <w:rPr>
                <w:color w:val="FFFFFF" w:themeColor="background1"/>
                <w:sz w:val="18"/>
                <w:szCs w:val="18"/>
              </w:rPr>
              <w:t>n(%)</w:t>
            </w:r>
          </w:p>
        </w:tc>
        <w:tc>
          <w:tcPr>
            <w:tcW w:w="6053" w:type="dxa"/>
            <w:tcBorders>
              <w:top w:val="single" w:sz="2" w:space="0" w:color="886E49"/>
              <w:left w:val="single" w:sz="2" w:space="0" w:color="886E49"/>
              <w:right w:val="single" w:sz="2" w:space="0" w:color="0D0D0D" w:themeColor="text1" w:themeTint="F2"/>
            </w:tcBorders>
            <w:hideMark/>
          </w:tcPr>
          <w:p w14:paraId="7DB0A841" w14:textId="77777777" w:rsidR="004D421B" w:rsidRPr="004D421B" w:rsidRDefault="004D421B" w:rsidP="004D421B">
            <w:pPr>
              <w:pStyle w:val="NormalWeb"/>
              <w:jc w:val="center"/>
              <w:rPr>
                <w:color w:val="FFFFFF" w:themeColor="background1"/>
                <w:sz w:val="18"/>
                <w:szCs w:val="18"/>
              </w:rPr>
            </w:pPr>
            <w:r w:rsidRPr="004D421B">
              <w:rPr>
                <w:color w:val="FFFFFF" w:themeColor="background1"/>
                <w:sz w:val="18"/>
                <w:szCs w:val="18"/>
              </w:rPr>
              <w:t>Odds ratio (univariate analysis), (95% CI; p value)</w:t>
            </w:r>
            <w:r w:rsidRPr="004D421B">
              <w:rPr>
                <w:color w:val="FFFFFF" w:themeColor="background1"/>
                <w:sz w:val="18"/>
                <w:szCs w:val="18"/>
                <w:vertAlign w:val="superscript"/>
              </w:rPr>
              <w:t>a</w:t>
            </w:r>
          </w:p>
        </w:tc>
      </w:tr>
      <w:tr w:rsidR="008E02D3" w:rsidRPr="008E02D3" w14:paraId="7331C6C3" w14:textId="77777777" w:rsidTr="008E02D3">
        <w:tblPrEx>
          <w:tblCellMar>
            <w:top w:w="57" w:type="dxa"/>
            <w:left w:w="57" w:type="dxa"/>
            <w:bottom w:w="57" w:type="dxa"/>
            <w:right w:w="57" w:type="dxa"/>
          </w:tblCellMar>
        </w:tblPrEx>
        <w:tc>
          <w:tcPr>
            <w:tcW w:w="0" w:type="auto"/>
            <w:gridSpan w:val="5"/>
            <w:tcBorders>
              <w:left w:val="single" w:sz="2" w:space="0" w:color="auto"/>
              <w:bottom w:val="single" w:sz="2" w:space="0" w:color="auto"/>
              <w:right w:val="single" w:sz="2" w:space="0" w:color="auto"/>
            </w:tcBorders>
            <w:shd w:val="clear" w:color="auto" w:fill="E0C198"/>
            <w:hideMark/>
          </w:tcPr>
          <w:p w14:paraId="43F6EEBE" w14:textId="77777777" w:rsidR="004D421B" w:rsidRPr="008E02D3" w:rsidRDefault="004D421B" w:rsidP="0074285D">
            <w:pPr>
              <w:pStyle w:val="NormalWeb"/>
              <w:rPr>
                <w:b/>
                <w:bCs/>
                <w:color w:val="000000" w:themeColor="text1"/>
                <w:sz w:val="18"/>
                <w:szCs w:val="18"/>
              </w:rPr>
            </w:pPr>
            <w:r w:rsidRPr="008E02D3">
              <w:rPr>
                <w:b/>
                <w:bCs/>
                <w:color w:val="000000" w:themeColor="text1"/>
                <w:sz w:val="18"/>
                <w:szCs w:val="18"/>
              </w:rPr>
              <w:t>Social processes and vaccine uptake</w:t>
            </w:r>
          </w:p>
        </w:tc>
      </w:tr>
      <w:tr w:rsidR="004D421B" w:rsidRPr="004D421B" w14:paraId="6CB0E03D"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57A31B94" w14:textId="77777777" w:rsidR="004D421B" w:rsidRPr="004D421B" w:rsidRDefault="004D421B" w:rsidP="0098354A">
            <w:pPr>
              <w:pStyle w:val="NormalWeb"/>
              <w:rPr>
                <w:sz w:val="18"/>
                <w:szCs w:val="18"/>
              </w:rPr>
            </w:pPr>
            <w:r w:rsidRPr="004D421B">
              <w:rPr>
                <w:sz w:val="18"/>
                <w:szCs w:val="18"/>
              </w:rPr>
              <w:t>Have you been treated poorly during the COVID- 19 pandemic because you are a health worker?</w:t>
            </w: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2765D69B" w14:textId="77777777" w:rsidR="004D421B" w:rsidRPr="004D421B" w:rsidRDefault="004D421B" w:rsidP="004D421B">
            <w:pPr>
              <w:pStyle w:val="NormalWeb"/>
              <w:jc w:val="center"/>
              <w:rPr>
                <w:sz w:val="18"/>
                <w:szCs w:val="18"/>
              </w:rPr>
            </w:pPr>
            <w:r w:rsidRPr="004D421B">
              <w:rPr>
                <w:sz w:val="18"/>
                <w:szCs w:val="18"/>
              </w:rPr>
              <w:t>No</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08E6C9FC" w14:textId="77777777" w:rsidR="004D421B" w:rsidRPr="004D421B" w:rsidRDefault="004D421B" w:rsidP="004D421B">
            <w:pPr>
              <w:pStyle w:val="NormalWeb"/>
              <w:jc w:val="center"/>
              <w:rPr>
                <w:sz w:val="18"/>
                <w:szCs w:val="18"/>
              </w:rPr>
            </w:pPr>
            <w:r w:rsidRPr="004D421B">
              <w:rPr>
                <w:sz w:val="18"/>
                <w:szCs w:val="18"/>
              </w:rPr>
              <w:t>70 (80.5)</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18DF7B93" w14:textId="77777777" w:rsidR="004D421B" w:rsidRPr="004D421B" w:rsidRDefault="004D421B" w:rsidP="004D421B">
            <w:pPr>
              <w:pStyle w:val="NormalWeb"/>
              <w:jc w:val="center"/>
              <w:rPr>
                <w:sz w:val="18"/>
                <w:szCs w:val="18"/>
              </w:rPr>
            </w:pPr>
            <w:r w:rsidRPr="004D421B">
              <w:rPr>
                <w:sz w:val="18"/>
                <w:szCs w:val="18"/>
              </w:rPr>
              <w:t>130 (85.0)</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509484A0" w14:textId="77777777" w:rsidR="004D421B" w:rsidRPr="004D421B" w:rsidRDefault="004D421B" w:rsidP="004D421B">
            <w:pPr>
              <w:pStyle w:val="NormalWeb"/>
              <w:jc w:val="center"/>
              <w:rPr>
                <w:sz w:val="18"/>
                <w:szCs w:val="18"/>
              </w:rPr>
            </w:pPr>
            <w:r w:rsidRPr="004D421B">
              <w:rPr>
                <w:sz w:val="18"/>
                <w:szCs w:val="18"/>
              </w:rPr>
              <w:t>Ref</w:t>
            </w:r>
          </w:p>
        </w:tc>
      </w:tr>
      <w:tr w:rsidR="004D421B" w:rsidRPr="004D421B" w14:paraId="76672025" w14:textId="77777777" w:rsidTr="004D421B">
        <w:tblPrEx>
          <w:tblCellMar>
            <w:top w:w="57" w:type="dxa"/>
            <w:left w:w="57" w:type="dxa"/>
            <w:bottom w:w="57" w:type="dxa"/>
            <w:right w:w="57" w:type="dxa"/>
          </w:tblCellMar>
        </w:tblPrEx>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58977680"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45A9ED88" w14:textId="77777777" w:rsidR="004D421B" w:rsidRPr="004D421B" w:rsidRDefault="004D421B" w:rsidP="004D421B">
            <w:pPr>
              <w:pStyle w:val="NormalWeb"/>
              <w:jc w:val="center"/>
              <w:rPr>
                <w:sz w:val="18"/>
                <w:szCs w:val="18"/>
              </w:rPr>
            </w:pPr>
            <w:r w:rsidRPr="004D421B">
              <w:rPr>
                <w:sz w:val="18"/>
                <w:szCs w:val="18"/>
              </w:rPr>
              <w:t>Yes</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230A5CDD" w14:textId="77777777" w:rsidR="004D421B" w:rsidRPr="004D421B" w:rsidRDefault="004D421B" w:rsidP="004D421B">
            <w:pPr>
              <w:pStyle w:val="NormalWeb"/>
              <w:jc w:val="center"/>
              <w:rPr>
                <w:sz w:val="18"/>
                <w:szCs w:val="18"/>
              </w:rPr>
            </w:pPr>
            <w:r w:rsidRPr="004D421B">
              <w:rPr>
                <w:sz w:val="18"/>
                <w:szCs w:val="18"/>
              </w:rPr>
              <w:t>10 (11.5)</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5F9957AF" w14:textId="77777777" w:rsidR="004D421B" w:rsidRPr="004D421B" w:rsidRDefault="004D421B" w:rsidP="004D421B">
            <w:pPr>
              <w:pStyle w:val="NormalWeb"/>
              <w:jc w:val="center"/>
              <w:rPr>
                <w:sz w:val="18"/>
                <w:szCs w:val="18"/>
              </w:rPr>
            </w:pPr>
            <w:r w:rsidRPr="004D421B">
              <w:rPr>
                <w:sz w:val="18"/>
                <w:szCs w:val="18"/>
              </w:rPr>
              <w:t>15 (9.8)</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18C5C6C5" w14:textId="77777777" w:rsidR="004D421B" w:rsidRPr="004D421B" w:rsidRDefault="004D421B" w:rsidP="004D421B">
            <w:pPr>
              <w:pStyle w:val="NormalWeb"/>
              <w:jc w:val="center"/>
              <w:rPr>
                <w:sz w:val="18"/>
                <w:szCs w:val="18"/>
              </w:rPr>
            </w:pPr>
            <w:r w:rsidRPr="004D421B">
              <w:rPr>
                <w:sz w:val="18"/>
                <w:szCs w:val="18"/>
              </w:rPr>
              <w:t>0.81 (0.35–1.95; p = 0.623)</w:t>
            </w:r>
          </w:p>
        </w:tc>
      </w:tr>
      <w:tr w:rsidR="004D421B" w:rsidRPr="004D421B" w14:paraId="6D6EB90C"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6D492E90"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2B8C45B9" w14:textId="77777777" w:rsidR="004D421B" w:rsidRPr="004D421B" w:rsidRDefault="004D421B" w:rsidP="004D421B">
            <w:pPr>
              <w:pStyle w:val="NormalWeb"/>
              <w:jc w:val="center"/>
              <w:rPr>
                <w:sz w:val="18"/>
                <w:szCs w:val="18"/>
              </w:rPr>
            </w:pPr>
            <w:r w:rsidRPr="004D421B">
              <w:rPr>
                <w:sz w:val="18"/>
                <w:szCs w:val="18"/>
              </w:rPr>
              <w:t>Not sure</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3F5B83FA" w14:textId="77777777" w:rsidR="004D421B" w:rsidRPr="004D421B" w:rsidRDefault="004D421B" w:rsidP="004D421B">
            <w:pPr>
              <w:pStyle w:val="NormalWeb"/>
              <w:jc w:val="center"/>
              <w:rPr>
                <w:sz w:val="18"/>
                <w:szCs w:val="18"/>
              </w:rPr>
            </w:pPr>
            <w:r w:rsidRPr="004D421B">
              <w:rPr>
                <w:sz w:val="18"/>
                <w:szCs w:val="18"/>
              </w:rPr>
              <w:t>7 (8.0)</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34E2E962" w14:textId="77777777" w:rsidR="004D421B" w:rsidRPr="004D421B" w:rsidRDefault="004D421B" w:rsidP="004D421B">
            <w:pPr>
              <w:pStyle w:val="NormalWeb"/>
              <w:jc w:val="center"/>
              <w:rPr>
                <w:sz w:val="18"/>
                <w:szCs w:val="18"/>
              </w:rPr>
            </w:pPr>
            <w:r w:rsidRPr="004D421B">
              <w:rPr>
                <w:sz w:val="18"/>
                <w:szCs w:val="18"/>
              </w:rPr>
              <w:t>8 (5.2)</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00202D19" w14:textId="77777777" w:rsidR="004D421B" w:rsidRPr="004D421B" w:rsidRDefault="004D421B" w:rsidP="004D421B">
            <w:pPr>
              <w:pStyle w:val="NormalWeb"/>
              <w:jc w:val="center"/>
              <w:rPr>
                <w:sz w:val="18"/>
                <w:szCs w:val="18"/>
              </w:rPr>
            </w:pPr>
            <w:r w:rsidRPr="004D421B">
              <w:rPr>
                <w:sz w:val="18"/>
                <w:szCs w:val="18"/>
              </w:rPr>
              <w:t>0.62 (0.21–1.82; p = 0.367)</w:t>
            </w:r>
          </w:p>
        </w:tc>
      </w:tr>
      <w:tr w:rsidR="004D421B" w:rsidRPr="004D421B" w14:paraId="54911146" w14:textId="77777777" w:rsidTr="004D421B">
        <w:tblPrEx>
          <w:tblCellMar>
            <w:top w:w="57" w:type="dxa"/>
            <w:left w:w="57" w:type="dxa"/>
            <w:bottom w:w="57" w:type="dxa"/>
            <w:right w:w="57" w:type="dxa"/>
          </w:tblCellMar>
        </w:tblPrEx>
        <w:tc>
          <w:tcPr>
            <w:tcW w:w="3798"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BBDFE91" w14:textId="77777777" w:rsidR="004D421B" w:rsidRPr="004D421B" w:rsidRDefault="004D421B" w:rsidP="0098354A">
            <w:pPr>
              <w:pStyle w:val="NormalWeb"/>
              <w:rPr>
                <w:sz w:val="18"/>
                <w:szCs w:val="18"/>
              </w:rPr>
            </w:pPr>
            <w:r w:rsidRPr="004D421B">
              <w:rPr>
                <w:sz w:val="18"/>
                <w:szCs w:val="18"/>
              </w:rPr>
              <w:t>Do you think most of your close family and friends would want you to get a COVID-19 vaccine?</w:t>
            </w: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52DBD69E" w14:textId="77777777" w:rsidR="004D421B" w:rsidRPr="004D421B" w:rsidRDefault="004D421B" w:rsidP="004D421B">
            <w:pPr>
              <w:pStyle w:val="NormalWeb"/>
              <w:jc w:val="center"/>
              <w:rPr>
                <w:sz w:val="18"/>
                <w:szCs w:val="18"/>
              </w:rPr>
            </w:pPr>
            <w:r w:rsidRPr="004D421B">
              <w:rPr>
                <w:sz w:val="18"/>
                <w:szCs w:val="18"/>
              </w:rPr>
              <w:t>No</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56C55259" w14:textId="77777777" w:rsidR="004D421B" w:rsidRPr="004D421B" w:rsidRDefault="004D421B" w:rsidP="004D421B">
            <w:pPr>
              <w:pStyle w:val="NormalWeb"/>
              <w:jc w:val="center"/>
              <w:rPr>
                <w:sz w:val="18"/>
                <w:szCs w:val="18"/>
              </w:rPr>
            </w:pPr>
            <w:r w:rsidRPr="004D421B">
              <w:rPr>
                <w:sz w:val="18"/>
                <w:szCs w:val="18"/>
              </w:rPr>
              <w:t>19 (21.8)</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6AF51033" w14:textId="77777777" w:rsidR="004D421B" w:rsidRPr="004D421B" w:rsidRDefault="004D421B" w:rsidP="004D421B">
            <w:pPr>
              <w:pStyle w:val="NormalWeb"/>
              <w:jc w:val="center"/>
              <w:rPr>
                <w:sz w:val="18"/>
                <w:szCs w:val="18"/>
              </w:rPr>
            </w:pPr>
            <w:r w:rsidRPr="004D421B">
              <w:rPr>
                <w:sz w:val="18"/>
                <w:szCs w:val="18"/>
              </w:rPr>
              <w:t>9 (5.9)</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567B55A2" w14:textId="77777777" w:rsidR="004D421B" w:rsidRPr="004D421B" w:rsidRDefault="004D421B" w:rsidP="004D421B">
            <w:pPr>
              <w:pStyle w:val="NormalWeb"/>
              <w:jc w:val="center"/>
              <w:rPr>
                <w:sz w:val="18"/>
                <w:szCs w:val="18"/>
              </w:rPr>
            </w:pPr>
            <w:r w:rsidRPr="004D421B">
              <w:rPr>
                <w:sz w:val="18"/>
                <w:szCs w:val="18"/>
              </w:rPr>
              <w:t>Ref</w:t>
            </w:r>
          </w:p>
        </w:tc>
      </w:tr>
      <w:tr w:rsidR="004D421B" w:rsidRPr="004D421B" w14:paraId="2D2D22A9"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5C509A12"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1B33971B" w14:textId="77777777" w:rsidR="004D421B" w:rsidRPr="004D421B" w:rsidRDefault="004D421B" w:rsidP="004D421B">
            <w:pPr>
              <w:pStyle w:val="NormalWeb"/>
              <w:jc w:val="center"/>
              <w:rPr>
                <w:sz w:val="18"/>
                <w:szCs w:val="18"/>
              </w:rPr>
            </w:pPr>
            <w:r w:rsidRPr="004D421B">
              <w:rPr>
                <w:sz w:val="18"/>
                <w:szCs w:val="18"/>
              </w:rPr>
              <w:t>Yes</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2538B63C" w14:textId="77777777" w:rsidR="004D421B" w:rsidRPr="004D421B" w:rsidRDefault="004D421B" w:rsidP="004D421B">
            <w:pPr>
              <w:pStyle w:val="NormalWeb"/>
              <w:jc w:val="center"/>
              <w:rPr>
                <w:sz w:val="18"/>
                <w:szCs w:val="18"/>
              </w:rPr>
            </w:pPr>
            <w:r w:rsidRPr="004D421B">
              <w:rPr>
                <w:sz w:val="18"/>
                <w:szCs w:val="18"/>
              </w:rPr>
              <w:t>37 (42.5)</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0BB3E3F5" w14:textId="77777777" w:rsidR="004D421B" w:rsidRPr="004D421B" w:rsidRDefault="004D421B" w:rsidP="004D421B">
            <w:pPr>
              <w:pStyle w:val="NormalWeb"/>
              <w:jc w:val="center"/>
              <w:rPr>
                <w:sz w:val="18"/>
                <w:szCs w:val="18"/>
              </w:rPr>
            </w:pPr>
            <w:r w:rsidRPr="004D421B">
              <w:rPr>
                <w:sz w:val="18"/>
                <w:szCs w:val="18"/>
              </w:rPr>
              <w:t>117 (76.5)</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0F3CDE69" w14:textId="77777777" w:rsidR="004D421B" w:rsidRPr="004D421B" w:rsidRDefault="004D421B" w:rsidP="004D421B">
            <w:pPr>
              <w:pStyle w:val="NormalWeb"/>
              <w:jc w:val="center"/>
              <w:rPr>
                <w:sz w:val="18"/>
                <w:szCs w:val="18"/>
              </w:rPr>
            </w:pPr>
            <w:r w:rsidRPr="004D421B">
              <w:rPr>
                <w:sz w:val="18"/>
                <w:szCs w:val="18"/>
              </w:rPr>
              <w:t>6.68 (2.85–16.70; p &lt; 0.001)</w:t>
            </w:r>
          </w:p>
        </w:tc>
      </w:tr>
      <w:tr w:rsidR="004D421B" w:rsidRPr="004D421B" w14:paraId="4E83CF85" w14:textId="77777777" w:rsidTr="004D421B">
        <w:tblPrEx>
          <w:tblCellMar>
            <w:top w:w="57" w:type="dxa"/>
            <w:left w:w="57" w:type="dxa"/>
            <w:bottom w:w="57" w:type="dxa"/>
            <w:right w:w="57" w:type="dxa"/>
          </w:tblCellMar>
        </w:tblPrEx>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37976FEF"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47ADE2B0" w14:textId="77777777" w:rsidR="004D421B" w:rsidRPr="004D421B" w:rsidRDefault="004D421B" w:rsidP="004D421B">
            <w:pPr>
              <w:pStyle w:val="NormalWeb"/>
              <w:jc w:val="center"/>
              <w:rPr>
                <w:sz w:val="18"/>
                <w:szCs w:val="18"/>
              </w:rPr>
            </w:pPr>
            <w:r w:rsidRPr="004D421B">
              <w:rPr>
                <w:sz w:val="18"/>
                <w:szCs w:val="18"/>
              </w:rPr>
              <w:t>Not sure</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74DE62FC" w14:textId="77777777" w:rsidR="004D421B" w:rsidRPr="004D421B" w:rsidRDefault="004D421B" w:rsidP="004D421B">
            <w:pPr>
              <w:pStyle w:val="NormalWeb"/>
              <w:jc w:val="center"/>
              <w:rPr>
                <w:sz w:val="18"/>
                <w:szCs w:val="18"/>
              </w:rPr>
            </w:pPr>
            <w:r w:rsidRPr="004D421B">
              <w:rPr>
                <w:sz w:val="18"/>
                <w:szCs w:val="18"/>
              </w:rPr>
              <w:t>31 (35.6)</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128850B7" w14:textId="77777777" w:rsidR="004D421B" w:rsidRPr="004D421B" w:rsidRDefault="004D421B" w:rsidP="004D421B">
            <w:pPr>
              <w:pStyle w:val="NormalWeb"/>
              <w:jc w:val="center"/>
              <w:rPr>
                <w:sz w:val="18"/>
                <w:szCs w:val="18"/>
              </w:rPr>
            </w:pPr>
            <w:r w:rsidRPr="004D421B">
              <w:rPr>
                <w:sz w:val="18"/>
                <w:szCs w:val="18"/>
              </w:rPr>
              <w:t>27 (17.6)</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128D3701" w14:textId="77777777" w:rsidR="004D421B" w:rsidRPr="004D421B" w:rsidRDefault="004D421B" w:rsidP="004D421B">
            <w:pPr>
              <w:pStyle w:val="NormalWeb"/>
              <w:jc w:val="center"/>
              <w:rPr>
                <w:sz w:val="18"/>
                <w:szCs w:val="18"/>
              </w:rPr>
            </w:pPr>
            <w:r w:rsidRPr="004D421B">
              <w:rPr>
                <w:sz w:val="18"/>
                <w:szCs w:val="18"/>
              </w:rPr>
              <w:t>1.84 (0.73–4.90; p = 0.207)</w:t>
            </w:r>
          </w:p>
        </w:tc>
      </w:tr>
      <w:tr w:rsidR="004D421B" w:rsidRPr="004D421B" w14:paraId="38933647"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31BCF6F6" w14:textId="77777777" w:rsidR="004D421B" w:rsidRPr="004D421B" w:rsidRDefault="004D421B" w:rsidP="0098354A">
            <w:pPr>
              <w:pStyle w:val="NormalWeb"/>
              <w:rPr>
                <w:sz w:val="18"/>
                <w:szCs w:val="18"/>
              </w:rPr>
            </w:pPr>
            <w:r w:rsidRPr="004D421B">
              <w:rPr>
                <w:sz w:val="18"/>
                <w:szCs w:val="18"/>
              </w:rPr>
              <w:t>Do you think your religious leaders would want you to get a COVID-19 vaccine?</w:t>
            </w: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395B0672" w14:textId="77777777" w:rsidR="004D421B" w:rsidRPr="004D421B" w:rsidRDefault="004D421B" w:rsidP="004D421B">
            <w:pPr>
              <w:pStyle w:val="NormalWeb"/>
              <w:jc w:val="center"/>
              <w:rPr>
                <w:sz w:val="18"/>
                <w:szCs w:val="18"/>
              </w:rPr>
            </w:pPr>
            <w:r w:rsidRPr="004D421B">
              <w:rPr>
                <w:sz w:val="18"/>
                <w:szCs w:val="18"/>
              </w:rPr>
              <w:t>No</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74131D66" w14:textId="77777777" w:rsidR="004D421B" w:rsidRPr="004D421B" w:rsidRDefault="004D421B" w:rsidP="004D421B">
            <w:pPr>
              <w:pStyle w:val="NormalWeb"/>
              <w:jc w:val="center"/>
              <w:rPr>
                <w:sz w:val="18"/>
                <w:szCs w:val="18"/>
              </w:rPr>
            </w:pPr>
            <w:r w:rsidRPr="004D421B">
              <w:rPr>
                <w:sz w:val="18"/>
                <w:szCs w:val="18"/>
              </w:rPr>
              <w:t>7 (8.0)</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1C5BD807" w14:textId="77777777" w:rsidR="004D421B" w:rsidRPr="004D421B" w:rsidRDefault="004D421B" w:rsidP="004D421B">
            <w:pPr>
              <w:pStyle w:val="NormalWeb"/>
              <w:jc w:val="center"/>
              <w:rPr>
                <w:sz w:val="18"/>
                <w:szCs w:val="18"/>
              </w:rPr>
            </w:pPr>
            <w:r w:rsidRPr="004D421B">
              <w:rPr>
                <w:sz w:val="18"/>
                <w:szCs w:val="18"/>
              </w:rPr>
              <w:t>4 (2.6)</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0A7B55B2" w14:textId="77777777" w:rsidR="004D421B" w:rsidRPr="004D421B" w:rsidRDefault="004D421B" w:rsidP="004D421B">
            <w:pPr>
              <w:pStyle w:val="NormalWeb"/>
              <w:jc w:val="center"/>
              <w:rPr>
                <w:sz w:val="18"/>
                <w:szCs w:val="18"/>
              </w:rPr>
            </w:pPr>
            <w:r w:rsidRPr="004D421B">
              <w:rPr>
                <w:sz w:val="18"/>
                <w:szCs w:val="18"/>
              </w:rPr>
              <w:t>Ref</w:t>
            </w:r>
          </w:p>
        </w:tc>
      </w:tr>
      <w:tr w:rsidR="004D421B" w:rsidRPr="004D421B" w14:paraId="6688AAAB" w14:textId="77777777" w:rsidTr="004D421B">
        <w:tblPrEx>
          <w:tblCellMar>
            <w:top w:w="57" w:type="dxa"/>
            <w:left w:w="57" w:type="dxa"/>
            <w:bottom w:w="57" w:type="dxa"/>
            <w:right w:w="57" w:type="dxa"/>
          </w:tblCellMar>
        </w:tblPrEx>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02960682"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50844BFE" w14:textId="77777777" w:rsidR="004D421B" w:rsidRPr="004D421B" w:rsidRDefault="004D421B" w:rsidP="004D421B">
            <w:pPr>
              <w:pStyle w:val="NormalWeb"/>
              <w:jc w:val="center"/>
              <w:rPr>
                <w:sz w:val="18"/>
                <w:szCs w:val="18"/>
              </w:rPr>
            </w:pPr>
            <w:r w:rsidRPr="004D421B">
              <w:rPr>
                <w:sz w:val="18"/>
                <w:szCs w:val="18"/>
              </w:rPr>
              <w:t>Yes</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7E6433E7" w14:textId="77777777" w:rsidR="004D421B" w:rsidRPr="004D421B" w:rsidRDefault="004D421B" w:rsidP="004D421B">
            <w:pPr>
              <w:pStyle w:val="NormalWeb"/>
              <w:jc w:val="center"/>
              <w:rPr>
                <w:sz w:val="18"/>
                <w:szCs w:val="18"/>
              </w:rPr>
            </w:pPr>
            <w:r w:rsidRPr="004D421B">
              <w:rPr>
                <w:sz w:val="18"/>
                <w:szCs w:val="18"/>
              </w:rPr>
              <w:t>18 (20.7)</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65281396" w14:textId="77777777" w:rsidR="004D421B" w:rsidRPr="004D421B" w:rsidRDefault="004D421B" w:rsidP="004D421B">
            <w:pPr>
              <w:pStyle w:val="NormalWeb"/>
              <w:jc w:val="center"/>
              <w:rPr>
                <w:sz w:val="18"/>
                <w:szCs w:val="18"/>
              </w:rPr>
            </w:pPr>
            <w:r w:rsidRPr="004D421B">
              <w:rPr>
                <w:sz w:val="18"/>
                <w:szCs w:val="18"/>
              </w:rPr>
              <w:t>46 (30.1)</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4D844645" w14:textId="77777777" w:rsidR="004D421B" w:rsidRPr="004D421B" w:rsidRDefault="004D421B" w:rsidP="004D421B">
            <w:pPr>
              <w:pStyle w:val="NormalWeb"/>
              <w:jc w:val="center"/>
              <w:rPr>
                <w:sz w:val="18"/>
                <w:szCs w:val="18"/>
              </w:rPr>
            </w:pPr>
            <w:r w:rsidRPr="004D421B">
              <w:rPr>
                <w:sz w:val="18"/>
                <w:szCs w:val="18"/>
              </w:rPr>
              <w:t>4.47 (1.20–18.87; p = 0.029)</w:t>
            </w:r>
          </w:p>
        </w:tc>
      </w:tr>
      <w:tr w:rsidR="004D421B" w:rsidRPr="004D421B" w14:paraId="08D22EFE"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240847A7"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6CB189DD" w14:textId="77777777" w:rsidR="004D421B" w:rsidRPr="004D421B" w:rsidRDefault="004D421B" w:rsidP="004D421B">
            <w:pPr>
              <w:pStyle w:val="NormalWeb"/>
              <w:jc w:val="center"/>
              <w:rPr>
                <w:sz w:val="18"/>
                <w:szCs w:val="18"/>
              </w:rPr>
            </w:pPr>
            <w:r w:rsidRPr="004D421B">
              <w:rPr>
                <w:sz w:val="18"/>
                <w:szCs w:val="18"/>
              </w:rPr>
              <w:t>Not sure/don’t know</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7202C5F7" w14:textId="77777777" w:rsidR="004D421B" w:rsidRPr="004D421B" w:rsidRDefault="004D421B" w:rsidP="004D421B">
            <w:pPr>
              <w:pStyle w:val="NormalWeb"/>
              <w:jc w:val="center"/>
              <w:rPr>
                <w:sz w:val="18"/>
                <w:szCs w:val="18"/>
              </w:rPr>
            </w:pPr>
            <w:r w:rsidRPr="004D421B">
              <w:rPr>
                <w:sz w:val="18"/>
                <w:szCs w:val="18"/>
              </w:rPr>
              <w:t>62 (71.3)</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6F71771C" w14:textId="77777777" w:rsidR="004D421B" w:rsidRPr="004D421B" w:rsidRDefault="004D421B" w:rsidP="004D421B">
            <w:pPr>
              <w:pStyle w:val="NormalWeb"/>
              <w:jc w:val="center"/>
              <w:rPr>
                <w:sz w:val="18"/>
                <w:szCs w:val="18"/>
              </w:rPr>
            </w:pPr>
            <w:r w:rsidRPr="004D421B">
              <w:rPr>
                <w:sz w:val="18"/>
                <w:szCs w:val="18"/>
              </w:rPr>
              <w:t>103 (67.3)</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6EF35A0A" w14:textId="77777777" w:rsidR="004D421B" w:rsidRPr="004D421B" w:rsidRDefault="004D421B" w:rsidP="004D421B">
            <w:pPr>
              <w:pStyle w:val="NormalWeb"/>
              <w:jc w:val="center"/>
              <w:rPr>
                <w:sz w:val="18"/>
                <w:szCs w:val="18"/>
              </w:rPr>
            </w:pPr>
            <w:r w:rsidRPr="004D421B">
              <w:rPr>
                <w:sz w:val="18"/>
                <w:szCs w:val="18"/>
              </w:rPr>
              <w:t>2.91 (0.84–11.47; p = 0.099)</w:t>
            </w:r>
          </w:p>
        </w:tc>
      </w:tr>
      <w:tr w:rsidR="004D421B" w:rsidRPr="004D421B" w14:paraId="7EC87F9C" w14:textId="77777777" w:rsidTr="004D421B">
        <w:tblPrEx>
          <w:tblCellMar>
            <w:top w:w="57" w:type="dxa"/>
            <w:left w:w="57" w:type="dxa"/>
            <w:bottom w:w="57" w:type="dxa"/>
            <w:right w:w="57" w:type="dxa"/>
          </w:tblCellMar>
        </w:tblPrEx>
        <w:tc>
          <w:tcPr>
            <w:tcW w:w="3798"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02617568" w14:textId="77777777" w:rsidR="004D421B" w:rsidRPr="004D421B" w:rsidRDefault="004D421B" w:rsidP="0098354A">
            <w:pPr>
              <w:pStyle w:val="NormalWeb"/>
              <w:rPr>
                <w:sz w:val="18"/>
                <w:szCs w:val="18"/>
              </w:rPr>
            </w:pPr>
            <w:r w:rsidRPr="004D421B">
              <w:rPr>
                <w:sz w:val="18"/>
                <w:szCs w:val="18"/>
              </w:rPr>
              <w:t>Do you think your community leaders would want you to get a COVID-19 vaccine?</w:t>
            </w: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6FE1D3EC" w14:textId="77777777" w:rsidR="004D421B" w:rsidRPr="004D421B" w:rsidRDefault="004D421B" w:rsidP="004D421B">
            <w:pPr>
              <w:pStyle w:val="NormalWeb"/>
              <w:jc w:val="center"/>
              <w:rPr>
                <w:sz w:val="18"/>
                <w:szCs w:val="18"/>
              </w:rPr>
            </w:pPr>
            <w:r w:rsidRPr="004D421B">
              <w:rPr>
                <w:sz w:val="18"/>
                <w:szCs w:val="18"/>
              </w:rPr>
              <w:t>No</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458BE6F8" w14:textId="77777777" w:rsidR="004D421B" w:rsidRPr="004D421B" w:rsidRDefault="004D421B" w:rsidP="004D421B">
            <w:pPr>
              <w:pStyle w:val="NormalWeb"/>
              <w:jc w:val="center"/>
              <w:rPr>
                <w:sz w:val="18"/>
                <w:szCs w:val="18"/>
              </w:rPr>
            </w:pPr>
            <w:r w:rsidRPr="004D421B">
              <w:rPr>
                <w:sz w:val="18"/>
                <w:szCs w:val="18"/>
              </w:rPr>
              <w:t>1 (1.1)</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23288798" w14:textId="77777777" w:rsidR="004D421B" w:rsidRPr="004D421B" w:rsidRDefault="004D421B" w:rsidP="004D421B">
            <w:pPr>
              <w:pStyle w:val="NormalWeb"/>
              <w:jc w:val="center"/>
              <w:rPr>
                <w:sz w:val="18"/>
                <w:szCs w:val="18"/>
              </w:rPr>
            </w:pPr>
            <w:r w:rsidRPr="004D421B">
              <w:rPr>
                <w:sz w:val="18"/>
                <w:szCs w:val="18"/>
              </w:rPr>
              <w:t>1 (0.7)</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64E6A157" w14:textId="77777777" w:rsidR="004D421B" w:rsidRPr="004D421B" w:rsidRDefault="004D421B" w:rsidP="004D421B">
            <w:pPr>
              <w:pStyle w:val="NormalWeb"/>
              <w:jc w:val="center"/>
              <w:rPr>
                <w:sz w:val="18"/>
                <w:szCs w:val="18"/>
              </w:rPr>
            </w:pPr>
            <w:r w:rsidRPr="004D421B">
              <w:rPr>
                <w:sz w:val="18"/>
                <w:szCs w:val="18"/>
              </w:rPr>
              <w:t>Ref</w:t>
            </w:r>
          </w:p>
        </w:tc>
      </w:tr>
      <w:tr w:rsidR="004D421B" w:rsidRPr="004D421B" w14:paraId="61415292"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6CD49149"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31D6830C" w14:textId="77777777" w:rsidR="004D421B" w:rsidRPr="004D421B" w:rsidRDefault="004D421B" w:rsidP="004D421B">
            <w:pPr>
              <w:pStyle w:val="NormalWeb"/>
              <w:jc w:val="center"/>
              <w:rPr>
                <w:sz w:val="18"/>
                <w:szCs w:val="18"/>
              </w:rPr>
            </w:pPr>
            <w:r w:rsidRPr="004D421B">
              <w:rPr>
                <w:sz w:val="18"/>
                <w:szCs w:val="18"/>
              </w:rPr>
              <w:t>Yes</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0D6E41FF" w14:textId="77777777" w:rsidR="004D421B" w:rsidRPr="004D421B" w:rsidRDefault="004D421B" w:rsidP="004D421B">
            <w:pPr>
              <w:pStyle w:val="NormalWeb"/>
              <w:jc w:val="center"/>
              <w:rPr>
                <w:sz w:val="18"/>
                <w:szCs w:val="18"/>
              </w:rPr>
            </w:pPr>
            <w:r w:rsidRPr="004D421B">
              <w:rPr>
                <w:sz w:val="18"/>
                <w:szCs w:val="18"/>
              </w:rPr>
              <w:t>68 (78.2)</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59E696EC" w14:textId="77777777" w:rsidR="004D421B" w:rsidRPr="004D421B" w:rsidRDefault="004D421B" w:rsidP="004D421B">
            <w:pPr>
              <w:pStyle w:val="NormalWeb"/>
              <w:jc w:val="center"/>
              <w:rPr>
                <w:sz w:val="18"/>
                <w:szCs w:val="18"/>
              </w:rPr>
            </w:pPr>
            <w:r w:rsidRPr="004D421B">
              <w:rPr>
                <w:sz w:val="18"/>
                <w:szCs w:val="18"/>
              </w:rPr>
              <w:t>138 (90.2)</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7E38B9EA" w14:textId="77777777" w:rsidR="004D421B" w:rsidRPr="004D421B" w:rsidRDefault="004D421B" w:rsidP="004D421B">
            <w:pPr>
              <w:pStyle w:val="NormalWeb"/>
              <w:jc w:val="center"/>
              <w:rPr>
                <w:sz w:val="18"/>
                <w:szCs w:val="18"/>
              </w:rPr>
            </w:pPr>
            <w:r w:rsidRPr="004D421B">
              <w:rPr>
                <w:sz w:val="18"/>
                <w:szCs w:val="18"/>
              </w:rPr>
              <w:t>2.03 (0.08–51.84; p = 0.619)</w:t>
            </w:r>
          </w:p>
        </w:tc>
      </w:tr>
      <w:tr w:rsidR="004D421B" w:rsidRPr="004D421B" w14:paraId="0AAC9D02" w14:textId="77777777" w:rsidTr="004D421B">
        <w:tblPrEx>
          <w:tblCellMar>
            <w:top w:w="57" w:type="dxa"/>
            <w:left w:w="57" w:type="dxa"/>
            <w:bottom w:w="57" w:type="dxa"/>
            <w:right w:w="57" w:type="dxa"/>
          </w:tblCellMar>
        </w:tblPrEx>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2209A1F4"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6696CB3B" w14:textId="77777777" w:rsidR="004D421B" w:rsidRPr="004D421B" w:rsidRDefault="004D421B" w:rsidP="004D421B">
            <w:pPr>
              <w:pStyle w:val="NormalWeb"/>
              <w:jc w:val="center"/>
              <w:rPr>
                <w:sz w:val="18"/>
                <w:szCs w:val="18"/>
              </w:rPr>
            </w:pPr>
            <w:r w:rsidRPr="004D421B">
              <w:rPr>
                <w:sz w:val="18"/>
                <w:szCs w:val="18"/>
              </w:rPr>
              <w:t>Not sure/don’t know</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41FF7C1D" w14:textId="77777777" w:rsidR="004D421B" w:rsidRPr="004D421B" w:rsidRDefault="004D421B" w:rsidP="004D421B">
            <w:pPr>
              <w:pStyle w:val="NormalWeb"/>
              <w:jc w:val="center"/>
              <w:rPr>
                <w:sz w:val="18"/>
                <w:szCs w:val="18"/>
              </w:rPr>
            </w:pPr>
            <w:r w:rsidRPr="004D421B">
              <w:rPr>
                <w:sz w:val="18"/>
                <w:szCs w:val="18"/>
              </w:rPr>
              <w:t>18 (20.7)</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01492AAC" w14:textId="77777777" w:rsidR="004D421B" w:rsidRPr="004D421B" w:rsidRDefault="004D421B" w:rsidP="004D421B">
            <w:pPr>
              <w:pStyle w:val="NormalWeb"/>
              <w:jc w:val="center"/>
              <w:rPr>
                <w:sz w:val="18"/>
                <w:szCs w:val="18"/>
              </w:rPr>
            </w:pPr>
            <w:r w:rsidRPr="004D421B">
              <w:rPr>
                <w:sz w:val="18"/>
                <w:szCs w:val="18"/>
              </w:rPr>
              <w:t>14 (9.2)</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6EF6BC8F" w14:textId="77777777" w:rsidR="004D421B" w:rsidRPr="004D421B" w:rsidRDefault="004D421B" w:rsidP="004D421B">
            <w:pPr>
              <w:pStyle w:val="NormalWeb"/>
              <w:jc w:val="center"/>
              <w:rPr>
                <w:sz w:val="18"/>
                <w:szCs w:val="18"/>
              </w:rPr>
            </w:pPr>
            <w:r w:rsidRPr="004D421B">
              <w:rPr>
                <w:sz w:val="18"/>
                <w:szCs w:val="18"/>
              </w:rPr>
              <w:t>0.78 (0.03–20.84; p = 0.863)</w:t>
            </w:r>
          </w:p>
        </w:tc>
      </w:tr>
      <w:tr w:rsidR="004D421B" w:rsidRPr="004D421B" w14:paraId="5F302990"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1B1019B0" w14:textId="77777777" w:rsidR="004D421B" w:rsidRPr="004D421B" w:rsidRDefault="004D421B" w:rsidP="0098354A">
            <w:pPr>
              <w:pStyle w:val="NormalWeb"/>
              <w:rPr>
                <w:sz w:val="18"/>
                <w:szCs w:val="18"/>
              </w:rPr>
            </w:pPr>
            <w:r w:rsidRPr="004D421B">
              <w:rPr>
                <w:sz w:val="18"/>
                <w:szCs w:val="18"/>
              </w:rPr>
              <w:t>Do you think most adults outside of work you know will get a COVID-19 vaccine, if it is recommended to them?</w:t>
            </w: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53B6451C" w14:textId="77777777" w:rsidR="004D421B" w:rsidRPr="004D421B" w:rsidRDefault="004D421B" w:rsidP="004D421B">
            <w:pPr>
              <w:pStyle w:val="NormalWeb"/>
              <w:jc w:val="center"/>
              <w:rPr>
                <w:sz w:val="18"/>
                <w:szCs w:val="18"/>
              </w:rPr>
            </w:pPr>
            <w:r w:rsidRPr="004D421B">
              <w:rPr>
                <w:sz w:val="18"/>
                <w:szCs w:val="18"/>
              </w:rPr>
              <w:t>No</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12862AA7" w14:textId="77777777" w:rsidR="004D421B" w:rsidRPr="004D421B" w:rsidRDefault="004D421B" w:rsidP="004D421B">
            <w:pPr>
              <w:pStyle w:val="NormalWeb"/>
              <w:jc w:val="center"/>
              <w:rPr>
                <w:sz w:val="18"/>
                <w:szCs w:val="18"/>
              </w:rPr>
            </w:pPr>
            <w:r w:rsidRPr="004D421B">
              <w:rPr>
                <w:sz w:val="18"/>
                <w:szCs w:val="18"/>
              </w:rPr>
              <w:t>16 (18.4)</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401EF63A" w14:textId="77777777" w:rsidR="004D421B" w:rsidRPr="004D421B" w:rsidRDefault="004D421B" w:rsidP="004D421B">
            <w:pPr>
              <w:pStyle w:val="NormalWeb"/>
              <w:jc w:val="center"/>
              <w:rPr>
                <w:sz w:val="18"/>
                <w:szCs w:val="18"/>
              </w:rPr>
            </w:pPr>
            <w:r w:rsidRPr="004D421B">
              <w:rPr>
                <w:sz w:val="18"/>
                <w:szCs w:val="18"/>
              </w:rPr>
              <w:t>22 (14.4)</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7ED8D354" w14:textId="77777777" w:rsidR="004D421B" w:rsidRPr="004D421B" w:rsidRDefault="004D421B" w:rsidP="004D421B">
            <w:pPr>
              <w:pStyle w:val="NormalWeb"/>
              <w:jc w:val="center"/>
              <w:rPr>
                <w:sz w:val="18"/>
                <w:szCs w:val="18"/>
              </w:rPr>
            </w:pPr>
            <w:r w:rsidRPr="004D421B">
              <w:rPr>
                <w:sz w:val="18"/>
                <w:szCs w:val="18"/>
              </w:rPr>
              <w:t>Ref</w:t>
            </w:r>
          </w:p>
        </w:tc>
      </w:tr>
      <w:tr w:rsidR="004D421B" w:rsidRPr="004D421B" w14:paraId="048B955F" w14:textId="77777777" w:rsidTr="004D421B">
        <w:tblPrEx>
          <w:tblCellMar>
            <w:top w:w="57" w:type="dxa"/>
            <w:left w:w="57" w:type="dxa"/>
            <w:bottom w:w="57" w:type="dxa"/>
            <w:right w:w="57" w:type="dxa"/>
          </w:tblCellMar>
        </w:tblPrEx>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55B75074"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7496557E" w14:textId="77777777" w:rsidR="004D421B" w:rsidRPr="004D421B" w:rsidRDefault="004D421B" w:rsidP="004D421B">
            <w:pPr>
              <w:pStyle w:val="NormalWeb"/>
              <w:jc w:val="center"/>
              <w:rPr>
                <w:sz w:val="18"/>
                <w:szCs w:val="18"/>
              </w:rPr>
            </w:pPr>
            <w:r w:rsidRPr="004D421B">
              <w:rPr>
                <w:sz w:val="18"/>
                <w:szCs w:val="18"/>
              </w:rPr>
              <w:t>Yes</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465ABD6E" w14:textId="77777777" w:rsidR="004D421B" w:rsidRPr="004D421B" w:rsidRDefault="004D421B" w:rsidP="004D421B">
            <w:pPr>
              <w:pStyle w:val="NormalWeb"/>
              <w:jc w:val="center"/>
              <w:rPr>
                <w:sz w:val="18"/>
                <w:szCs w:val="18"/>
              </w:rPr>
            </w:pPr>
            <w:r w:rsidRPr="004D421B">
              <w:rPr>
                <w:sz w:val="18"/>
                <w:szCs w:val="18"/>
              </w:rPr>
              <w:t>30 (34.5)</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22220C24" w14:textId="77777777" w:rsidR="004D421B" w:rsidRPr="004D421B" w:rsidRDefault="004D421B" w:rsidP="004D421B">
            <w:pPr>
              <w:pStyle w:val="NormalWeb"/>
              <w:jc w:val="center"/>
              <w:rPr>
                <w:sz w:val="18"/>
                <w:szCs w:val="18"/>
              </w:rPr>
            </w:pPr>
            <w:r w:rsidRPr="004D421B">
              <w:rPr>
                <w:sz w:val="18"/>
                <w:szCs w:val="18"/>
              </w:rPr>
              <w:t>66 (43.1)</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0F387921" w14:textId="77777777" w:rsidR="004D421B" w:rsidRPr="004D421B" w:rsidRDefault="004D421B" w:rsidP="004D421B">
            <w:pPr>
              <w:pStyle w:val="NormalWeb"/>
              <w:jc w:val="center"/>
              <w:rPr>
                <w:sz w:val="18"/>
                <w:szCs w:val="18"/>
              </w:rPr>
            </w:pPr>
            <w:r w:rsidRPr="004D421B">
              <w:rPr>
                <w:sz w:val="18"/>
                <w:szCs w:val="18"/>
              </w:rPr>
              <w:t>1.60 (0.73–3.47; p = 0.235)</w:t>
            </w:r>
          </w:p>
        </w:tc>
      </w:tr>
      <w:tr w:rsidR="004D421B" w:rsidRPr="004D421B" w14:paraId="70921F2D"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79EE21B1"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3F8F8EBE" w14:textId="77777777" w:rsidR="004D421B" w:rsidRPr="004D421B" w:rsidRDefault="004D421B" w:rsidP="004D421B">
            <w:pPr>
              <w:pStyle w:val="NormalWeb"/>
              <w:jc w:val="center"/>
              <w:rPr>
                <w:sz w:val="18"/>
                <w:szCs w:val="18"/>
              </w:rPr>
            </w:pPr>
            <w:r w:rsidRPr="004D421B">
              <w:rPr>
                <w:sz w:val="18"/>
                <w:szCs w:val="18"/>
              </w:rPr>
              <w:t>Not sure</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0163EA37" w14:textId="77777777" w:rsidR="004D421B" w:rsidRPr="004D421B" w:rsidRDefault="004D421B" w:rsidP="004D421B">
            <w:pPr>
              <w:pStyle w:val="NormalWeb"/>
              <w:jc w:val="center"/>
              <w:rPr>
                <w:sz w:val="18"/>
                <w:szCs w:val="18"/>
              </w:rPr>
            </w:pPr>
            <w:r w:rsidRPr="004D421B">
              <w:rPr>
                <w:sz w:val="18"/>
                <w:szCs w:val="18"/>
              </w:rPr>
              <w:t>41 (47.1)</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711CF5A0" w14:textId="77777777" w:rsidR="004D421B" w:rsidRPr="004D421B" w:rsidRDefault="004D421B" w:rsidP="004D421B">
            <w:pPr>
              <w:pStyle w:val="NormalWeb"/>
              <w:jc w:val="center"/>
              <w:rPr>
                <w:sz w:val="18"/>
                <w:szCs w:val="18"/>
              </w:rPr>
            </w:pPr>
            <w:r w:rsidRPr="004D421B">
              <w:rPr>
                <w:sz w:val="18"/>
                <w:szCs w:val="18"/>
              </w:rPr>
              <w:t>65 (42.5)</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7F07FD6C" w14:textId="77777777" w:rsidR="004D421B" w:rsidRPr="004D421B" w:rsidRDefault="004D421B" w:rsidP="004D421B">
            <w:pPr>
              <w:pStyle w:val="NormalWeb"/>
              <w:jc w:val="center"/>
              <w:rPr>
                <w:sz w:val="18"/>
                <w:szCs w:val="18"/>
              </w:rPr>
            </w:pPr>
            <w:r w:rsidRPr="004D421B">
              <w:rPr>
                <w:sz w:val="18"/>
                <w:szCs w:val="18"/>
              </w:rPr>
              <w:t>1.15 (0.54–2.44; p = 0.711)</w:t>
            </w:r>
          </w:p>
        </w:tc>
      </w:tr>
      <w:tr w:rsidR="004D421B" w:rsidRPr="004D421B" w14:paraId="6475135C" w14:textId="77777777" w:rsidTr="004D421B">
        <w:tblPrEx>
          <w:tblCellMar>
            <w:top w:w="57" w:type="dxa"/>
            <w:left w:w="57" w:type="dxa"/>
            <w:bottom w:w="57" w:type="dxa"/>
            <w:right w:w="57" w:type="dxa"/>
          </w:tblCellMar>
        </w:tblPrEx>
        <w:tc>
          <w:tcPr>
            <w:tcW w:w="3798"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30C306CC" w14:textId="77777777" w:rsidR="004D421B" w:rsidRPr="004D421B" w:rsidRDefault="004D421B" w:rsidP="0098354A">
            <w:pPr>
              <w:pStyle w:val="NormalWeb"/>
              <w:rPr>
                <w:sz w:val="18"/>
                <w:szCs w:val="18"/>
              </w:rPr>
            </w:pPr>
            <w:r w:rsidRPr="004D421B">
              <w:rPr>
                <w:sz w:val="18"/>
                <w:szCs w:val="18"/>
              </w:rPr>
              <w:t>Do you think most of the people you work with will get a COVID-19 vaccine?</w:t>
            </w: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44E886EB" w14:textId="77777777" w:rsidR="004D421B" w:rsidRPr="004D421B" w:rsidRDefault="004D421B" w:rsidP="004D421B">
            <w:pPr>
              <w:pStyle w:val="NormalWeb"/>
              <w:jc w:val="center"/>
              <w:rPr>
                <w:sz w:val="18"/>
                <w:szCs w:val="18"/>
              </w:rPr>
            </w:pPr>
            <w:r w:rsidRPr="004D421B">
              <w:rPr>
                <w:sz w:val="18"/>
                <w:szCs w:val="18"/>
              </w:rPr>
              <w:t>No</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278CB1CD" w14:textId="77777777" w:rsidR="004D421B" w:rsidRPr="004D421B" w:rsidRDefault="004D421B" w:rsidP="004D421B">
            <w:pPr>
              <w:pStyle w:val="NormalWeb"/>
              <w:jc w:val="center"/>
              <w:rPr>
                <w:sz w:val="18"/>
                <w:szCs w:val="18"/>
              </w:rPr>
            </w:pPr>
            <w:r w:rsidRPr="004D421B">
              <w:rPr>
                <w:sz w:val="18"/>
                <w:szCs w:val="18"/>
              </w:rPr>
              <w:t>9 (10.3)</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5B8DC370" w14:textId="77777777" w:rsidR="004D421B" w:rsidRPr="004D421B" w:rsidRDefault="004D421B" w:rsidP="004D421B">
            <w:pPr>
              <w:pStyle w:val="NormalWeb"/>
              <w:jc w:val="center"/>
              <w:rPr>
                <w:sz w:val="18"/>
                <w:szCs w:val="18"/>
              </w:rPr>
            </w:pPr>
            <w:r w:rsidRPr="004D421B">
              <w:rPr>
                <w:sz w:val="18"/>
                <w:szCs w:val="18"/>
              </w:rPr>
              <w:t>14 (9.2)</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688F81D7" w14:textId="77777777" w:rsidR="004D421B" w:rsidRPr="004D421B" w:rsidRDefault="004D421B" w:rsidP="004D421B">
            <w:pPr>
              <w:pStyle w:val="NormalWeb"/>
              <w:jc w:val="center"/>
              <w:rPr>
                <w:sz w:val="18"/>
                <w:szCs w:val="18"/>
              </w:rPr>
            </w:pPr>
            <w:r w:rsidRPr="004D421B">
              <w:rPr>
                <w:sz w:val="18"/>
                <w:szCs w:val="18"/>
              </w:rPr>
              <w:t>Ref</w:t>
            </w:r>
          </w:p>
        </w:tc>
      </w:tr>
      <w:tr w:rsidR="004D421B" w:rsidRPr="004D421B" w14:paraId="25CE1926" w14:textId="77777777" w:rsidTr="004D421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7A748CBB"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6447D9BE" w14:textId="77777777" w:rsidR="004D421B" w:rsidRPr="004D421B" w:rsidRDefault="004D421B" w:rsidP="004D421B">
            <w:pPr>
              <w:pStyle w:val="NormalWeb"/>
              <w:jc w:val="center"/>
              <w:rPr>
                <w:sz w:val="18"/>
                <w:szCs w:val="18"/>
              </w:rPr>
            </w:pPr>
            <w:r w:rsidRPr="004D421B">
              <w:rPr>
                <w:sz w:val="18"/>
                <w:szCs w:val="18"/>
              </w:rPr>
              <w:t>Yes</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337938F2" w14:textId="77777777" w:rsidR="004D421B" w:rsidRPr="004D421B" w:rsidRDefault="004D421B" w:rsidP="004D421B">
            <w:pPr>
              <w:pStyle w:val="NormalWeb"/>
              <w:jc w:val="center"/>
              <w:rPr>
                <w:sz w:val="18"/>
                <w:szCs w:val="18"/>
              </w:rPr>
            </w:pPr>
            <w:r w:rsidRPr="004D421B">
              <w:rPr>
                <w:sz w:val="18"/>
                <w:szCs w:val="18"/>
              </w:rPr>
              <w:t>57 (65.5)</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4C8A7D78" w14:textId="77777777" w:rsidR="004D421B" w:rsidRPr="004D421B" w:rsidRDefault="004D421B" w:rsidP="004D421B">
            <w:pPr>
              <w:pStyle w:val="NormalWeb"/>
              <w:jc w:val="center"/>
              <w:rPr>
                <w:sz w:val="18"/>
                <w:szCs w:val="18"/>
              </w:rPr>
            </w:pPr>
            <w:r w:rsidRPr="004D421B">
              <w:rPr>
                <w:sz w:val="18"/>
                <w:szCs w:val="18"/>
              </w:rPr>
              <w:t>118 (77.1)</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77FC5176" w14:textId="77777777" w:rsidR="004D421B" w:rsidRPr="004D421B" w:rsidRDefault="004D421B" w:rsidP="004D421B">
            <w:pPr>
              <w:pStyle w:val="NormalWeb"/>
              <w:jc w:val="center"/>
              <w:rPr>
                <w:sz w:val="18"/>
                <w:szCs w:val="18"/>
              </w:rPr>
            </w:pPr>
            <w:r w:rsidRPr="004D421B">
              <w:rPr>
                <w:sz w:val="18"/>
                <w:szCs w:val="18"/>
              </w:rPr>
              <w:t>1.33 (0.53–3.22; p = 0.531)</w:t>
            </w:r>
          </w:p>
        </w:tc>
      </w:tr>
      <w:tr w:rsidR="004D421B" w:rsidRPr="004D421B" w14:paraId="078BC064" w14:textId="77777777" w:rsidTr="004D421B">
        <w:tblPrEx>
          <w:tblCellMar>
            <w:top w:w="57" w:type="dxa"/>
            <w:left w:w="57" w:type="dxa"/>
            <w:bottom w:w="57" w:type="dxa"/>
            <w:right w:w="57" w:type="dxa"/>
          </w:tblCellMar>
        </w:tblPrEx>
        <w:tc>
          <w:tcPr>
            <w:tcW w:w="3798" w:type="dxa"/>
            <w:vMerge/>
            <w:tcBorders>
              <w:top w:val="single" w:sz="2" w:space="0" w:color="auto"/>
              <w:left w:val="single" w:sz="2" w:space="0" w:color="auto"/>
              <w:bottom w:val="single" w:sz="2" w:space="0" w:color="auto"/>
              <w:right w:val="single" w:sz="2" w:space="0" w:color="auto"/>
            </w:tcBorders>
            <w:shd w:val="clear" w:color="auto" w:fill="auto"/>
            <w:hideMark/>
          </w:tcPr>
          <w:p w14:paraId="6EA79541" w14:textId="77777777" w:rsidR="004D421B" w:rsidRPr="004D421B" w:rsidRDefault="004D421B" w:rsidP="0098354A">
            <w:pPr>
              <w:rPr>
                <w:sz w:val="18"/>
                <w:szCs w:val="18"/>
              </w:rPr>
            </w:pPr>
          </w:p>
        </w:tc>
        <w:tc>
          <w:tcPr>
            <w:tcW w:w="1832" w:type="dxa"/>
            <w:tcBorders>
              <w:top w:val="single" w:sz="2" w:space="0" w:color="auto"/>
              <w:left w:val="single" w:sz="2" w:space="0" w:color="auto"/>
              <w:bottom w:val="single" w:sz="2" w:space="0" w:color="auto"/>
              <w:right w:val="single" w:sz="2" w:space="0" w:color="auto"/>
            </w:tcBorders>
            <w:shd w:val="clear" w:color="auto" w:fill="auto"/>
            <w:hideMark/>
          </w:tcPr>
          <w:p w14:paraId="2E15BF46" w14:textId="77777777" w:rsidR="004D421B" w:rsidRPr="004D421B" w:rsidRDefault="004D421B" w:rsidP="004D421B">
            <w:pPr>
              <w:pStyle w:val="NormalWeb"/>
              <w:jc w:val="center"/>
              <w:rPr>
                <w:sz w:val="18"/>
                <w:szCs w:val="18"/>
              </w:rPr>
            </w:pPr>
            <w:r w:rsidRPr="004D421B">
              <w:rPr>
                <w:sz w:val="18"/>
                <w:szCs w:val="18"/>
              </w:rPr>
              <w:t>Not sure</w:t>
            </w:r>
          </w:p>
        </w:tc>
        <w:tc>
          <w:tcPr>
            <w:tcW w:w="1689" w:type="dxa"/>
            <w:tcBorders>
              <w:top w:val="single" w:sz="2" w:space="0" w:color="auto"/>
              <w:left w:val="single" w:sz="2" w:space="0" w:color="auto"/>
              <w:bottom w:val="single" w:sz="2" w:space="0" w:color="auto"/>
              <w:right w:val="single" w:sz="2" w:space="0" w:color="auto"/>
            </w:tcBorders>
            <w:shd w:val="clear" w:color="auto" w:fill="auto"/>
            <w:hideMark/>
          </w:tcPr>
          <w:p w14:paraId="1357A032" w14:textId="77777777" w:rsidR="004D421B" w:rsidRPr="004D421B" w:rsidRDefault="004D421B" w:rsidP="004D421B">
            <w:pPr>
              <w:pStyle w:val="NormalWeb"/>
              <w:jc w:val="center"/>
              <w:rPr>
                <w:sz w:val="18"/>
                <w:szCs w:val="18"/>
              </w:rPr>
            </w:pPr>
            <w:r w:rsidRPr="004D421B">
              <w:rPr>
                <w:sz w:val="18"/>
                <w:szCs w:val="18"/>
              </w:rPr>
              <w:t>21 (24.1)</w:t>
            </w:r>
          </w:p>
        </w:tc>
        <w:tc>
          <w:tcPr>
            <w:tcW w:w="1612" w:type="dxa"/>
            <w:tcBorders>
              <w:top w:val="single" w:sz="2" w:space="0" w:color="auto"/>
              <w:left w:val="single" w:sz="2" w:space="0" w:color="auto"/>
              <w:bottom w:val="single" w:sz="2" w:space="0" w:color="auto"/>
              <w:right w:val="single" w:sz="2" w:space="0" w:color="auto"/>
            </w:tcBorders>
            <w:shd w:val="clear" w:color="auto" w:fill="auto"/>
            <w:hideMark/>
          </w:tcPr>
          <w:p w14:paraId="23A967BF" w14:textId="77777777" w:rsidR="004D421B" w:rsidRPr="004D421B" w:rsidRDefault="004D421B" w:rsidP="004D421B">
            <w:pPr>
              <w:pStyle w:val="NormalWeb"/>
              <w:jc w:val="center"/>
              <w:rPr>
                <w:sz w:val="18"/>
                <w:szCs w:val="18"/>
              </w:rPr>
            </w:pPr>
            <w:r w:rsidRPr="004D421B">
              <w:rPr>
                <w:sz w:val="18"/>
                <w:szCs w:val="18"/>
              </w:rPr>
              <w:t>21 (13.7)</w:t>
            </w:r>
          </w:p>
        </w:tc>
        <w:tc>
          <w:tcPr>
            <w:tcW w:w="6053" w:type="dxa"/>
            <w:tcBorders>
              <w:top w:val="single" w:sz="2" w:space="0" w:color="auto"/>
              <w:left w:val="single" w:sz="2" w:space="0" w:color="auto"/>
              <w:bottom w:val="single" w:sz="2" w:space="0" w:color="auto"/>
              <w:right w:val="single" w:sz="2" w:space="0" w:color="auto"/>
            </w:tcBorders>
            <w:shd w:val="clear" w:color="auto" w:fill="auto"/>
            <w:hideMark/>
          </w:tcPr>
          <w:p w14:paraId="34FDCC1A" w14:textId="77777777" w:rsidR="004D421B" w:rsidRPr="004D421B" w:rsidRDefault="004D421B" w:rsidP="004D421B">
            <w:pPr>
              <w:pStyle w:val="NormalWeb"/>
              <w:jc w:val="center"/>
              <w:rPr>
                <w:sz w:val="18"/>
                <w:szCs w:val="18"/>
              </w:rPr>
            </w:pPr>
            <w:r w:rsidRPr="004D421B">
              <w:rPr>
                <w:sz w:val="18"/>
                <w:szCs w:val="18"/>
              </w:rPr>
              <w:t>0.64 (0.22–1.79; p = 0.402)</w:t>
            </w:r>
          </w:p>
        </w:tc>
      </w:tr>
    </w:tbl>
    <w:p w14:paraId="37919755" w14:textId="77777777" w:rsidR="004D421B" w:rsidRDefault="004D421B" w:rsidP="004D421B">
      <w:pPr>
        <w:pStyle w:val="CDIfootnotes"/>
        <w:rPr>
          <w:lang w:val="en-GB"/>
        </w:rPr>
      </w:pPr>
      <w:r>
        <w:rPr>
          <w:lang w:val="en-GB"/>
        </w:rPr>
        <w:t>a</w:t>
      </w:r>
      <w:r>
        <w:rPr>
          <w:lang w:val="en-GB"/>
        </w:rPr>
        <w:tab/>
        <w:t>Ref: reference state; NA: not applicable.</w:t>
      </w:r>
    </w:p>
    <w:p w14:paraId="67677B88" w14:textId="77777777" w:rsidR="004D421B" w:rsidRDefault="004D421B" w:rsidP="004D421B">
      <w:pPr>
        <w:pStyle w:val="CDIfootnotes"/>
        <w:rPr>
          <w:lang w:val="en-GB"/>
        </w:rPr>
      </w:pPr>
      <w:r>
        <w:rPr>
          <w:lang w:val="en-GB"/>
        </w:rPr>
        <w:t>b</w:t>
      </w:r>
      <w:r>
        <w:rPr>
          <w:lang w:val="en-GB"/>
        </w:rPr>
        <w:tab/>
        <w:t xml:space="preserve">Values shown in bold are those with </w:t>
      </w:r>
      <w:r w:rsidRPr="004645F1">
        <w:rPr>
          <w:i/>
          <w:iCs/>
          <w:lang w:val="en-GB"/>
        </w:rPr>
        <w:t>p</w:t>
      </w:r>
      <w:r>
        <w:rPr>
          <w:lang w:val="en-GB"/>
        </w:rPr>
        <w:t xml:space="preserve"> ≤ 0.05.</w:t>
      </w:r>
    </w:p>
    <w:p w14:paraId="3701C696" w14:textId="5D2B02B2" w:rsidR="004D421B" w:rsidRPr="00AD2647" w:rsidRDefault="004D421B" w:rsidP="00AD2647">
      <w:pPr>
        <w:sectPr w:rsidR="004D421B" w:rsidRPr="00AD2647" w:rsidSect="00AD2647">
          <w:pgSz w:w="16838" w:h="11906" w:orient="landscape"/>
          <w:pgMar w:top="720" w:right="720" w:bottom="720" w:left="1134" w:header="709" w:footer="284" w:gutter="0"/>
          <w:cols w:space="708"/>
          <w:titlePg/>
          <w:docGrid w:linePitch="360"/>
        </w:sectPr>
      </w:pPr>
    </w:p>
    <w:p w14:paraId="02B144AB" w14:textId="0F4CC847" w:rsidR="0010360B" w:rsidRPr="0010360B" w:rsidRDefault="0010360B" w:rsidP="0010360B">
      <w:pPr>
        <w:pStyle w:val="Heading2"/>
      </w:pPr>
      <w:r w:rsidRPr="0010360B">
        <w:lastRenderedPageBreak/>
        <w:t xml:space="preserve">Social processes and vaccine uptake </w:t>
      </w:r>
    </w:p>
    <w:p w14:paraId="65A3FF81" w14:textId="77777777" w:rsidR="0010360B" w:rsidRDefault="0010360B" w:rsidP="0010360B">
      <w:r>
        <w:t>Eighty-six percent of participants thought that their community leaders would want them to receive a COVID-19 vaccine; 64% believed that family and friends would want them to get the vaccine; and 27% believed that their religious leaders would want them to get the vaccine. While 73% thought their work colleagues would get a COVID-19 vaccine, only 40% thought most adults outside of work would be vaccinated.</w:t>
      </w:r>
    </w:p>
    <w:p w14:paraId="5F8DD839" w14:textId="77777777" w:rsidR="0010360B" w:rsidRDefault="0010360B" w:rsidP="0010360B">
      <w:r>
        <w:t xml:space="preserve">Univariate analysis showed significantly higher likelihood of vaccine uptake among those who thought their family and friends would want them to get a COVID-19 vaccine (OR: 6.7; 95% CI: 2.9–16.7), and those who thought their religious leaders would want them to receive a vaccine (OR: 4.5; 95% CI: 1.2–18.9). </w:t>
      </w:r>
    </w:p>
    <w:p w14:paraId="5FACE3D0" w14:textId="77777777" w:rsidR="0010360B" w:rsidRPr="0010360B" w:rsidRDefault="0010360B" w:rsidP="0010360B">
      <w:pPr>
        <w:pStyle w:val="Heading2"/>
      </w:pPr>
      <w:r w:rsidRPr="0010360B">
        <w:t xml:space="preserve">Motivation for vaccination among the unvaccinated </w:t>
      </w:r>
    </w:p>
    <w:p w14:paraId="06AC8BFE" w14:textId="63F0FEC7" w:rsidR="0010360B" w:rsidRDefault="0010360B" w:rsidP="0010360B">
      <w:r>
        <w:t>Of the 87 respondents who did not receive a COVID-19 vaccine, 17% (n = 15) reported being unwilling to have one (Table 4).</w:t>
      </w:r>
    </w:p>
    <w:p w14:paraId="1C870BF0" w14:textId="77777777" w:rsidR="008D471F" w:rsidRDefault="008D471F" w:rsidP="008D471F">
      <w:pPr>
        <w:pStyle w:val="CDIFigures"/>
        <w:rPr>
          <w:rStyle w:val="Strong"/>
          <w:b/>
          <w:bCs w:val="0"/>
        </w:rPr>
        <w:sectPr w:rsidR="008D471F" w:rsidSect="00A30C37">
          <w:pgSz w:w="11906" w:h="16838"/>
          <w:pgMar w:top="720" w:right="720" w:bottom="1134" w:left="720" w:header="709" w:footer="284" w:gutter="0"/>
          <w:cols w:space="708"/>
          <w:titlePg/>
          <w:docGrid w:linePitch="360"/>
        </w:sectPr>
      </w:pPr>
    </w:p>
    <w:p w14:paraId="0B9E1179" w14:textId="19CE5B08" w:rsidR="008D471F" w:rsidRPr="008D471F" w:rsidRDefault="008D471F" w:rsidP="008D471F">
      <w:pPr>
        <w:pStyle w:val="CDIFigures"/>
      </w:pPr>
      <w:r w:rsidRPr="008D471F">
        <w:rPr>
          <w:rStyle w:val="Strong"/>
          <w:b/>
          <w:bCs w:val="0"/>
        </w:rPr>
        <w:lastRenderedPageBreak/>
        <w:t xml:space="preserve">Table 4: Practical issues and motivation survey responses according to vaccination status </w:t>
      </w:r>
    </w:p>
    <w:tbl>
      <w:tblPr>
        <w:tblStyle w:val="CDI-StandardTable"/>
        <w:tblW w:w="0" w:type="auto"/>
        <w:tblLook w:val="04A0" w:firstRow="1" w:lastRow="0" w:firstColumn="1" w:lastColumn="0" w:noHBand="0" w:noVBand="1"/>
        <w:tblDescription w:val="Table 4 lists the questions related to the “Practical Issues” and “Motivation” domain, proportion of survey responses are grouped by vaccination status with odds ratio, 95 % confidence interval and p-value&#10;"/>
      </w:tblPr>
      <w:tblGrid>
        <w:gridCol w:w="5809"/>
        <w:gridCol w:w="3967"/>
        <w:gridCol w:w="1418"/>
        <w:gridCol w:w="1275"/>
        <w:gridCol w:w="2509"/>
      </w:tblGrid>
      <w:tr w:rsidR="008D471F" w:rsidRPr="008D471F" w14:paraId="6E0BA248"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5812" w:type="dxa"/>
            <w:vMerge w:val="restart"/>
            <w:tcBorders>
              <w:top w:val="single" w:sz="2" w:space="0" w:color="0D0D0D" w:themeColor="text1" w:themeTint="F2"/>
              <w:left w:val="single" w:sz="2" w:space="0" w:color="0D0D0D" w:themeColor="text1" w:themeTint="F2"/>
              <w:bottom w:val="single" w:sz="2" w:space="0" w:color="886E49"/>
              <w:right w:val="single" w:sz="2" w:space="0" w:color="886E49"/>
            </w:tcBorders>
            <w:vAlign w:val="center"/>
            <w:hideMark/>
          </w:tcPr>
          <w:p w14:paraId="01EC1BF6" w14:textId="77777777" w:rsidR="008D471F" w:rsidRPr="008D471F" w:rsidRDefault="008D471F" w:rsidP="005967AF">
            <w:pPr>
              <w:pStyle w:val="NormalWeb"/>
              <w:rPr>
                <w:color w:val="FFFFFF" w:themeColor="background1"/>
                <w:sz w:val="18"/>
                <w:szCs w:val="18"/>
              </w:rPr>
            </w:pPr>
            <w:r w:rsidRPr="008D471F">
              <w:rPr>
                <w:color w:val="FFFFFF" w:themeColor="background1"/>
                <w:sz w:val="18"/>
                <w:szCs w:val="18"/>
              </w:rPr>
              <w:t>Survey item</w:t>
            </w:r>
          </w:p>
        </w:tc>
        <w:tc>
          <w:tcPr>
            <w:tcW w:w="3969" w:type="dxa"/>
            <w:vMerge w:val="restart"/>
            <w:tcBorders>
              <w:top w:val="single" w:sz="2" w:space="0" w:color="0D0D0D" w:themeColor="text1" w:themeTint="F2"/>
              <w:left w:val="single" w:sz="2" w:space="0" w:color="886E49"/>
              <w:bottom w:val="single" w:sz="2" w:space="0" w:color="886E49"/>
              <w:right w:val="single" w:sz="2" w:space="0" w:color="886E49"/>
            </w:tcBorders>
            <w:vAlign w:val="center"/>
            <w:hideMark/>
          </w:tcPr>
          <w:p w14:paraId="59F96157" w14:textId="77777777" w:rsidR="008D471F" w:rsidRPr="008D471F" w:rsidRDefault="008D471F" w:rsidP="005967AF">
            <w:pPr>
              <w:pStyle w:val="NormalWeb"/>
              <w:jc w:val="center"/>
              <w:rPr>
                <w:color w:val="FFFFFF" w:themeColor="background1"/>
                <w:sz w:val="18"/>
                <w:szCs w:val="18"/>
              </w:rPr>
            </w:pPr>
            <w:r w:rsidRPr="008D471F">
              <w:rPr>
                <w:color w:val="FFFFFF" w:themeColor="background1"/>
                <w:sz w:val="18"/>
                <w:szCs w:val="18"/>
              </w:rPr>
              <w:t>Response</w:t>
            </w:r>
          </w:p>
        </w:tc>
        <w:tc>
          <w:tcPr>
            <w:tcW w:w="5203" w:type="dxa"/>
            <w:gridSpan w:val="3"/>
            <w:tcBorders>
              <w:top w:val="single" w:sz="2" w:space="0" w:color="0D0D0D" w:themeColor="text1" w:themeTint="F2"/>
              <w:left w:val="single" w:sz="2" w:space="0" w:color="886E49"/>
              <w:bottom w:val="single" w:sz="2" w:space="0" w:color="886E49"/>
              <w:right w:val="single" w:sz="2" w:space="0" w:color="0D0D0D" w:themeColor="text1" w:themeTint="F2"/>
            </w:tcBorders>
            <w:hideMark/>
          </w:tcPr>
          <w:p w14:paraId="4F18308E" w14:textId="77777777" w:rsidR="008D471F" w:rsidRPr="008D471F" w:rsidRDefault="008D471F" w:rsidP="005967AF">
            <w:pPr>
              <w:pStyle w:val="NormalWeb"/>
              <w:jc w:val="center"/>
              <w:rPr>
                <w:color w:val="FFFFFF" w:themeColor="background1"/>
                <w:sz w:val="18"/>
                <w:szCs w:val="18"/>
              </w:rPr>
            </w:pPr>
            <w:r w:rsidRPr="008D471F">
              <w:rPr>
                <w:color w:val="FFFFFF" w:themeColor="background1"/>
                <w:sz w:val="18"/>
                <w:szCs w:val="18"/>
              </w:rPr>
              <w:t>Vaccine received</w:t>
            </w:r>
          </w:p>
        </w:tc>
      </w:tr>
      <w:tr w:rsidR="005967AF" w:rsidRPr="008D471F" w14:paraId="0CA4EACB"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5812" w:type="dxa"/>
            <w:vMerge/>
            <w:tcBorders>
              <w:top w:val="single" w:sz="2" w:space="0" w:color="886E49"/>
              <w:left w:val="single" w:sz="2" w:space="0" w:color="0D0D0D" w:themeColor="text1" w:themeTint="F2"/>
              <w:right w:val="single" w:sz="2" w:space="0" w:color="886E49"/>
            </w:tcBorders>
            <w:hideMark/>
          </w:tcPr>
          <w:p w14:paraId="4F5D972C" w14:textId="77777777" w:rsidR="008D471F" w:rsidRPr="008D471F" w:rsidRDefault="008D471F" w:rsidP="0098354A">
            <w:pPr>
              <w:rPr>
                <w:color w:val="FFFFFF" w:themeColor="background1"/>
                <w:sz w:val="18"/>
                <w:szCs w:val="18"/>
              </w:rPr>
            </w:pPr>
          </w:p>
        </w:tc>
        <w:tc>
          <w:tcPr>
            <w:tcW w:w="3969" w:type="dxa"/>
            <w:vMerge/>
            <w:tcBorders>
              <w:top w:val="single" w:sz="2" w:space="0" w:color="886E49"/>
              <w:left w:val="single" w:sz="2" w:space="0" w:color="886E49"/>
              <w:right w:val="single" w:sz="2" w:space="0" w:color="886E49"/>
            </w:tcBorders>
            <w:hideMark/>
          </w:tcPr>
          <w:p w14:paraId="547D45EE" w14:textId="77777777" w:rsidR="008D471F" w:rsidRPr="008D471F" w:rsidRDefault="008D471F" w:rsidP="005967AF">
            <w:pPr>
              <w:jc w:val="center"/>
              <w:rPr>
                <w:color w:val="FFFFFF" w:themeColor="background1"/>
                <w:sz w:val="18"/>
                <w:szCs w:val="18"/>
              </w:rPr>
            </w:pPr>
          </w:p>
        </w:tc>
        <w:tc>
          <w:tcPr>
            <w:tcW w:w="1418" w:type="dxa"/>
            <w:tcBorders>
              <w:top w:val="single" w:sz="2" w:space="0" w:color="886E49"/>
              <w:left w:val="single" w:sz="2" w:space="0" w:color="886E49"/>
              <w:right w:val="single" w:sz="2" w:space="0" w:color="886E49"/>
            </w:tcBorders>
            <w:hideMark/>
          </w:tcPr>
          <w:p w14:paraId="7D0C9799" w14:textId="1D540DBD" w:rsidR="008D471F" w:rsidRPr="008D471F" w:rsidRDefault="008D471F" w:rsidP="005967AF">
            <w:pPr>
              <w:pStyle w:val="NormalWeb"/>
              <w:jc w:val="center"/>
              <w:rPr>
                <w:color w:val="FFFFFF" w:themeColor="background1"/>
                <w:sz w:val="18"/>
                <w:szCs w:val="18"/>
              </w:rPr>
            </w:pPr>
            <w:r w:rsidRPr="008D471F">
              <w:rPr>
                <w:color w:val="FFFFFF" w:themeColor="background1"/>
                <w:sz w:val="18"/>
                <w:szCs w:val="18"/>
              </w:rPr>
              <w:t>No</w:t>
            </w:r>
            <w:r w:rsidR="005967AF">
              <w:rPr>
                <w:color w:val="FFFFFF" w:themeColor="background1"/>
                <w:sz w:val="18"/>
                <w:szCs w:val="18"/>
              </w:rPr>
              <w:br/>
            </w:r>
            <w:r w:rsidRPr="008D471F">
              <w:rPr>
                <w:color w:val="FFFFFF" w:themeColor="background1"/>
                <w:sz w:val="18"/>
                <w:szCs w:val="18"/>
              </w:rPr>
              <w:t>n(%)</w:t>
            </w:r>
          </w:p>
        </w:tc>
        <w:tc>
          <w:tcPr>
            <w:tcW w:w="1275" w:type="dxa"/>
            <w:tcBorders>
              <w:top w:val="single" w:sz="2" w:space="0" w:color="886E49"/>
              <w:left w:val="single" w:sz="2" w:space="0" w:color="886E49"/>
              <w:right w:val="single" w:sz="2" w:space="0" w:color="886E49"/>
            </w:tcBorders>
            <w:hideMark/>
          </w:tcPr>
          <w:p w14:paraId="6E9B8602" w14:textId="5757B4AE" w:rsidR="008D471F" w:rsidRPr="008D471F" w:rsidRDefault="008D471F" w:rsidP="005967AF">
            <w:pPr>
              <w:pStyle w:val="NormalWeb"/>
              <w:jc w:val="center"/>
              <w:rPr>
                <w:color w:val="FFFFFF" w:themeColor="background1"/>
                <w:sz w:val="18"/>
                <w:szCs w:val="18"/>
              </w:rPr>
            </w:pPr>
            <w:r w:rsidRPr="008D471F">
              <w:rPr>
                <w:color w:val="FFFFFF" w:themeColor="background1"/>
                <w:sz w:val="18"/>
                <w:szCs w:val="18"/>
              </w:rPr>
              <w:t>Yes</w:t>
            </w:r>
            <w:r w:rsidR="005967AF">
              <w:rPr>
                <w:color w:val="FFFFFF" w:themeColor="background1"/>
                <w:sz w:val="18"/>
                <w:szCs w:val="18"/>
              </w:rPr>
              <w:br/>
            </w:r>
            <w:r w:rsidRPr="008D471F">
              <w:rPr>
                <w:color w:val="FFFFFF" w:themeColor="background1"/>
                <w:sz w:val="18"/>
                <w:szCs w:val="18"/>
              </w:rPr>
              <w:t>n(%)</w:t>
            </w:r>
          </w:p>
        </w:tc>
        <w:tc>
          <w:tcPr>
            <w:tcW w:w="2510" w:type="dxa"/>
            <w:tcBorders>
              <w:top w:val="single" w:sz="2" w:space="0" w:color="886E49"/>
              <w:left w:val="single" w:sz="2" w:space="0" w:color="886E49"/>
              <w:right w:val="single" w:sz="2" w:space="0" w:color="0D0D0D" w:themeColor="text1" w:themeTint="F2"/>
            </w:tcBorders>
            <w:hideMark/>
          </w:tcPr>
          <w:p w14:paraId="5F70FCF3" w14:textId="77777777" w:rsidR="008D471F" w:rsidRPr="008D471F" w:rsidRDefault="008D471F" w:rsidP="005967AF">
            <w:pPr>
              <w:pStyle w:val="NormalWeb"/>
              <w:jc w:val="center"/>
              <w:rPr>
                <w:color w:val="FFFFFF" w:themeColor="background1"/>
                <w:sz w:val="18"/>
                <w:szCs w:val="18"/>
              </w:rPr>
            </w:pPr>
            <w:r w:rsidRPr="008D471F">
              <w:rPr>
                <w:color w:val="FFFFFF" w:themeColor="background1"/>
                <w:sz w:val="18"/>
                <w:szCs w:val="18"/>
              </w:rPr>
              <w:t>Odds ratio (univariate analysis), (95% CI, p value)</w:t>
            </w:r>
            <w:r w:rsidRPr="008D471F">
              <w:rPr>
                <w:color w:val="FFFFFF" w:themeColor="background1"/>
                <w:sz w:val="18"/>
                <w:szCs w:val="18"/>
                <w:vertAlign w:val="superscript"/>
              </w:rPr>
              <w:t>a</w:t>
            </w:r>
          </w:p>
        </w:tc>
      </w:tr>
      <w:tr w:rsidR="008E02D3" w:rsidRPr="008E02D3" w14:paraId="272F5B82" w14:textId="77777777" w:rsidTr="008E02D3">
        <w:tblPrEx>
          <w:tblCellMar>
            <w:top w:w="57" w:type="dxa"/>
            <w:left w:w="57" w:type="dxa"/>
            <w:bottom w:w="57" w:type="dxa"/>
            <w:right w:w="57" w:type="dxa"/>
          </w:tblCellMar>
        </w:tblPrEx>
        <w:tc>
          <w:tcPr>
            <w:tcW w:w="0" w:type="auto"/>
            <w:gridSpan w:val="5"/>
            <w:tcBorders>
              <w:left w:val="single" w:sz="2" w:space="0" w:color="auto"/>
              <w:bottom w:val="single" w:sz="2" w:space="0" w:color="auto"/>
              <w:right w:val="single" w:sz="2" w:space="0" w:color="auto"/>
            </w:tcBorders>
            <w:shd w:val="clear" w:color="auto" w:fill="E0C198"/>
            <w:vAlign w:val="center"/>
            <w:hideMark/>
          </w:tcPr>
          <w:p w14:paraId="2DD03288" w14:textId="77777777" w:rsidR="008D471F" w:rsidRPr="008E02D3" w:rsidRDefault="008D471F" w:rsidP="00185CE9">
            <w:pPr>
              <w:pStyle w:val="NormalWeb"/>
              <w:rPr>
                <w:b/>
                <w:bCs/>
                <w:color w:val="000000" w:themeColor="text1"/>
                <w:sz w:val="18"/>
                <w:szCs w:val="18"/>
              </w:rPr>
            </w:pPr>
            <w:r w:rsidRPr="008E02D3">
              <w:rPr>
                <w:b/>
                <w:bCs/>
                <w:color w:val="000000" w:themeColor="text1"/>
                <w:sz w:val="18"/>
                <w:szCs w:val="18"/>
              </w:rPr>
              <w:t>Practical issues</w:t>
            </w:r>
          </w:p>
        </w:tc>
      </w:tr>
      <w:tr w:rsidR="008D471F" w:rsidRPr="008D471F" w14:paraId="4EE88752"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ED6445F" w14:textId="77777777" w:rsidR="008D471F" w:rsidRPr="008D471F" w:rsidRDefault="008D471F" w:rsidP="00185CE9">
            <w:pPr>
              <w:pStyle w:val="NormalWeb"/>
              <w:rPr>
                <w:sz w:val="18"/>
                <w:szCs w:val="18"/>
              </w:rPr>
            </w:pPr>
            <w:r w:rsidRPr="008D471F">
              <w:rPr>
                <w:sz w:val="18"/>
                <w:szCs w:val="18"/>
              </w:rPr>
              <w:t>Have you ever received a vaccine as an adult?</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5D09C88D" w14:textId="77777777" w:rsidR="008D471F" w:rsidRPr="008D471F" w:rsidRDefault="008D471F" w:rsidP="005967AF">
            <w:pPr>
              <w:pStyle w:val="NormalWeb"/>
              <w:jc w:val="center"/>
              <w:rPr>
                <w:sz w:val="18"/>
                <w:szCs w:val="18"/>
              </w:rPr>
            </w:pPr>
            <w:r w:rsidRPr="008D471F">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B5FB378" w14:textId="77777777" w:rsidR="008D471F" w:rsidRPr="008D471F" w:rsidRDefault="008D471F" w:rsidP="005967AF">
            <w:pPr>
              <w:pStyle w:val="NormalWeb"/>
              <w:jc w:val="center"/>
              <w:rPr>
                <w:sz w:val="18"/>
                <w:szCs w:val="18"/>
              </w:rPr>
            </w:pPr>
            <w:r w:rsidRPr="008D471F">
              <w:rPr>
                <w:sz w:val="18"/>
                <w:szCs w:val="18"/>
              </w:rPr>
              <w:t>81 (93.1)</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0174F22B" w14:textId="77777777" w:rsidR="008D471F" w:rsidRPr="008D471F" w:rsidRDefault="008D471F" w:rsidP="005967AF">
            <w:pPr>
              <w:pStyle w:val="NormalWeb"/>
              <w:jc w:val="center"/>
              <w:rPr>
                <w:sz w:val="18"/>
                <w:szCs w:val="18"/>
              </w:rPr>
            </w:pPr>
            <w:r w:rsidRPr="008D471F">
              <w:rPr>
                <w:sz w:val="18"/>
                <w:szCs w:val="18"/>
              </w:rPr>
              <w:t>153 (100.0)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7E7AFA7D" w14:textId="77777777" w:rsidR="008D471F" w:rsidRPr="008D471F" w:rsidRDefault="008D471F" w:rsidP="005967AF">
            <w:pPr>
              <w:jc w:val="center"/>
              <w:rPr>
                <w:sz w:val="18"/>
                <w:szCs w:val="18"/>
              </w:rPr>
            </w:pPr>
          </w:p>
        </w:tc>
      </w:tr>
      <w:tr w:rsidR="005967AF" w:rsidRPr="008D471F" w14:paraId="7544E219"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99C282F"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06BE7349" w14:textId="77777777" w:rsidR="008D471F" w:rsidRPr="008D471F" w:rsidRDefault="008D471F" w:rsidP="005967AF">
            <w:pPr>
              <w:pStyle w:val="NormalWeb"/>
              <w:jc w:val="center"/>
              <w:rPr>
                <w:sz w:val="18"/>
                <w:szCs w:val="18"/>
              </w:rPr>
            </w:pPr>
            <w:r w:rsidRPr="008D471F">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35973B0" w14:textId="77777777" w:rsidR="008D471F" w:rsidRPr="008D471F" w:rsidRDefault="008D471F" w:rsidP="005967AF">
            <w:pPr>
              <w:pStyle w:val="NormalWeb"/>
              <w:jc w:val="center"/>
              <w:rPr>
                <w:sz w:val="18"/>
                <w:szCs w:val="18"/>
              </w:rPr>
            </w:pPr>
            <w:r w:rsidRPr="008D471F">
              <w:rPr>
                <w:sz w:val="18"/>
                <w:szCs w:val="18"/>
              </w:rPr>
              <w:t>2 (2.3)</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29B7FB4F" w14:textId="77777777" w:rsidR="008D471F" w:rsidRPr="008D471F" w:rsidRDefault="008D471F" w:rsidP="005967AF">
            <w:pPr>
              <w:pStyle w:val="NormalWeb"/>
              <w:jc w:val="center"/>
              <w:rPr>
                <w:sz w:val="18"/>
                <w:szCs w:val="18"/>
              </w:rPr>
            </w:pPr>
            <w:r w:rsidRPr="008D471F">
              <w:rPr>
                <w:sz w:val="18"/>
                <w:szCs w:val="18"/>
              </w:rPr>
              <w:t>0 (0.0)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1230CD69" w14:textId="77777777" w:rsidR="008D471F" w:rsidRPr="008D471F" w:rsidRDefault="008D471F" w:rsidP="005967AF">
            <w:pPr>
              <w:pStyle w:val="NormalWeb"/>
              <w:jc w:val="center"/>
              <w:rPr>
                <w:sz w:val="18"/>
                <w:szCs w:val="18"/>
              </w:rPr>
            </w:pPr>
            <w:r w:rsidRPr="008D471F">
              <w:rPr>
                <w:sz w:val="18"/>
                <w:szCs w:val="18"/>
              </w:rPr>
              <w:t>NA</w:t>
            </w:r>
          </w:p>
        </w:tc>
      </w:tr>
      <w:tr w:rsidR="008D471F" w:rsidRPr="008D471F" w14:paraId="4F5033CC"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EA2D8AF"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785F984C" w14:textId="77777777" w:rsidR="008D471F" w:rsidRPr="008D471F" w:rsidRDefault="008D471F" w:rsidP="005967AF">
            <w:pPr>
              <w:pStyle w:val="NormalWeb"/>
              <w:jc w:val="center"/>
              <w:rPr>
                <w:sz w:val="18"/>
                <w:szCs w:val="18"/>
              </w:rPr>
            </w:pPr>
            <w:r w:rsidRPr="008D471F">
              <w:rPr>
                <w:sz w:val="18"/>
                <w:szCs w:val="18"/>
              </w:rPr>
              <w:t>Not sure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6629D04" w14:textId="77777777" w:rsidR="008D471F" w:rsidRPr="008D471F" w:rsidRDefault="008D471F" w:rsidP="005967AF">
            <w:pPr>
              <w:pStyle w:val="NormalWeb"/>
              <w:jc w:val="center"/>
              <w:rPr>
                <w:sz w:val="18"/>
                <w:szCs w:val="18"/>
              </w:rPr>
            </w:pPr>
            <w:r w:rsidRPr="008D471F">
              <w:rPr>
                <w:sz w:val="18"/>
                <w:szCs w:val="18"/>
              </w:rPr>
              <w:t>4 (4.6)</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102E4A3E" w14:textId="77777777" w:rsidR="008D471F" w:rsidRPr="008D471F" w:rsidRDefault="008D471F" w:rsidP="005967AF">
            <w:pPr>
              <w:pStyle w:val="NormalWeb"/>
              <w:jc w:val="center"/>
              <w:rPr>
                <w:sz w:val="18"/>
                <w:szCs w:val="18"/>
              </w:rPr>
            </w:pPr>
            <w:r w:rsidRPr="008D471F">
              <w:rPr>
                <w:sz w:val="18"/>
                <w:szCs w:val="18"/>
              </w:rPr>
              <w:t>0 (0.0)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5AE2F14E" w14:textId="77777777" w:rsidR="008D471F" w:rsidRPr="008D471F" w:rsidRDefault="008D471F" w:rsidP="005967AF">
            <w:pPr>
              <w:jc w:val="center"/>
              <w:rPr>
                <w:sz w:val="18"/>
                <w:szCs w:val="18"/>
              </w:rPr>
            </w:pPr>
          </w:p>
        </w:tc>
      </w:tr>
      <w:tr w:rsidR="005967AF" w:rsidRPr="008D471F" w14:paraId="695E6A6C" w14:textId="77777777" w:rsidTr="00185CE9">
        <w:tblPrEx>
          <w:tblCellMar>
            <w:top w:w="57" w:type="dxa"/>
            <w:left w:w="57" w:type="dxa"/>
            <w:bottom w:w="57" w:type="dxa"/>
            <w:right w:w="57" w:type="dxa"/>
          </w:tblCellMar>
        </w:tblPrEx>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2DFF99E" w14:textId="77777777" w:rsidR="008D471F" w:rsidRPr="008D471F" w:rsidRDefault="008D471F" w:rsidP="00185CE9">
            <w:pPr>
              <w:pStyle w:val="NormalWeb"/>
              <w:rPr>
                <w:sz w:val="18"/>
                <w:szCs w:val="18"/>
              </w:rPr>
            </w:pPr>
            <w:r w:rsidRPr="008D471F">
              <w:rPr>
                <w:sz w:val="18"/>
                <w:szCs w:val="18"/>
              </w:rPr>
              <w:t>Do you know where to go to get a COVID-19 vaccine?</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7577FA70" w14:textId="77777777" w:rsidR="008D471F" w:rsidRPr="008D471F" w:rsidRDefault="008D471F" w:rsidP="005967AF">
            <w:pPr>
              <w:pStyle w:val="NormalWeb"/>
              <w:jc w:val="center"/>
              <w:rPr>
                <w:sz w:val="18"/>
                <w:szCs w:val="18"/>
              </w:rPr>
            </w:pPr>
            <w:r w:rsidRPr="008D471F">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6CF84F0" w14:textId="77777777" w:rsidR="008D471F" w:rsidRPr="008D471F" w:rsidRDefault="008D471F" w:rsidP="005967AF">
            <w:pPr>
              <w:pStyle w:val="NormalWeb"/>
              <w:jc w:val="center"/>
              <w:rPr>
                <w:sz w:val="18"/>
                <w:szCs w:val="18"/>
              </w:rPr>
            </w:pPr>
            <w:r w:rsidRPr="008D471F">
              <w:rPr>
                <w:sz w:val="18"/>
                <w:szCs w:val="18"/>
              </w:rPr>
              <w:t>10 (11.5)</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22BB48B" w14:textId="77777777" w:rsidR="008D471F" w:rsidRPr="008D471F" w:rsidRDefault="008D471F" w:rsidP="005967AF">
            <w:pPr>
              <w:pStyle w:val="NormalWeb"/>
              <w:jc w:val="center"/>
              <w:rPr>
                <w:sz w:val="18"/>
                <w:szCs w:val="18"/>
              </w:rPr>
            </w:pPr>
            <w:r w:rsidRPr="008D471F">
              <w:rPr>
                <w:sz w:val="18"/>
                <w:szCs w:val="18"/>
              </w:rPr>
              <w:t>2 (1.3)</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51BA0BAA" w14:textId="77777777" w:rsidR="008D471F" w:rsidRPr="008D471F" w:rsidRDefault="008D471F" w:rsidP="005967AF">
            <w:pPr>
              <w:pStyle w:val="NormalWeb"/>
              <w:jc w:val="center"/>
              <w:rPr>
                <w:sz w:val="18"/>
                <w:szCs w:val="18"/>
              </w:rPr>
            </w:pPr>
            <w:r w:rsidRPr="008D471F">
              <w:rPr>
                <w:sz w:val="18"/>
                <w:szCs w:val="18"/>
              </w:rPr>
              <w:t>Ref</w:t>
            </w:r>
          </w:p>
        </w:tc>
      </w:tr>
      <w:tr w:rsidR="008D471F" w:rsidRPr="008D471F" w14:paraId="526BFA2D"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625A020"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4C7CE53C" w14:textId="77777777" w:rsidR="008D471F" w:rsidRPr="008D471F" w:rsidRDefault="008D471F" w:rsidP="005967AF">
            <w:pPr>
              <w:pStyle w:val="NormalWeb"/>
              <w:jc w:val="center"/>
              <w:rPr>
                <w:sz w:val="18"/>
                <w:szCs w:val="18"/>
              </w:rPr>
            </w:pPr>
            <w:r w:rsidRPr="008D471F">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E730111" w14:textId="77777777" w:rsidR="008D471F" w:rsidRPr="008D471F" w:rsidRDefault="008D471F" w:rsidP="005967AF">
            <w:pPr>
              <w:pStyle w:val="NormalWeb"/>
              <w:jc w:val="center"/>
              <w:rPr>
                <w:sz w:val="18"/>
                <w:szCs w:val="18"/>
              </w:rPr>
            </w:pPr>
            <w:r w:rsidRPr="008D471F">
              <w:rPr>
                <w:sz w:val="18"/>
                <w:szCs w:val="18"/>
              </w:rPr>
              <w:t>77 (88.5)</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4CFCD3F3" w14:textId="77777777" w:rsidR="008D471F" w:rsidRPr="008D471F" w:rsidRDefault="008D471F" w:rsidP="005967AF">
            <w:pPr>
              <w:pStyle w:val="NormalWeb"/>
              <w:jc w:val="center"/>
              <w:rPr>
                <w:sz w:val="18"/>
                <w:szCs w:val="18"/>
              </w:rPr>
            </w:pPr>
            <w:r w:rsidRPr="008D471F">
              <w:rPr>
                <w:sz w:val="18"/>
                <w:szCs w:val="18"/>
              </w:rPr>
              <w:t>151 (98.7)</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1A5BE4FA" w14:textId="77777777" w:rsidR="008D471F" w:rsidRPr="008D471F" w:rsidRDefault="008D471F" w:rsidP="005967AF">
            <w:pPr>
              <w:pStyle w:val="NormalWeb"/>
              <w:jc w:val="center"/>
              <w:rPr>
                <w:sz w:val="18"/>
                <w:szCs w:val="18"/>
              </w:rPr>
            </w:pPr>
            <w:r w:rsidRPr="008D471F">
              <w:rPr>
                <w:sz w:val="18"/>
                <w:szCs w:val="18"/>
              </w:rPr>
              <w:t>9.81 (2.51–64.83; p = 0.004)</w:t>
            </w:r>
          </w:p>
        </w:tc>
      </w:tr>
      <w:tr w:rsidR="005967AF" w:rsidRPr="008D471F" w14:paraId="3303552D" w14:textId="77777777" w:rsidTr="00185CE9">
        <w:tblPrEx>
          <w:tblCellMar>
            <w:top w:w="57" w:type="dxa"/>
            <w:left w:w="57" w:type="dxa"/>
            <w:bottom w:w="57" w:type="dxa"/>
            <w:right w:w="57" w:type="dxa"/>
          </w:tblCellMar>
        </w:tblPrEx>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13696266" w14:textId="77777777" w:rsidR="008D471F" w:rsidRPr="008D471F" w:rsidRDefault="008D471F" w:rsidP="00185CE9">
            <w:pPr>
              <w:pStyle w:val="NormalWeb"/>
              <w:rPr>
                <w:sz w:val="18"/>
                <w:szCs w:val="18"/>
              </w:rPr>
            </w:pPr>
            <w:r w:rsidRPr="008D471F">
              <w:rPr>
                <w:sz w:val="18"/>
                <w:szCs w:val="18"/>
              </w:rPr>
              <w:t>Where would you prefer to get a COVID-19 vaccine? Select all that apply</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4CF0928F" w14:textId="77777777" w:rsidR="008D471F" w:rsidRPr="008D471F" w:rsidRDefault="008D471F" w:rsidP="005967AF">
            <w:pPr>
              <w:pStyle w:val="NormalWeb"/>
              <w:jc w:val="center"/>
              <w:rPr>
                <w:sz w:val="18"/>
                <w:szCs w:val="18"/>
              </w:rPr>
            </w:pPr>
            <w:r w:rsidRPr="008D471F">
              <w:rPr>
                <w:sz w:val="18"/>
                <w:szCs w:val="18"/>
              </w:rPr>
              <w:t>Hospital</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43357EF" w14:textId="77777777" w:rsidR="008D471F" w:rsidRPr="008D471F" w:rsidRDefault="008D471F" w:rsidP="005967AF">
            <w:pPr>
              <w:pStyle w:val="NormalWeb"/>
              <w:jc w:val="center"/>
              <w:rPr>
                <w:sz w:val="18"/>
                <w:szCs w:val="18"/>
              </w:rPr>
            </w:pPr>
            <w:r w:rsidRPr="008D471F">
              <w:rPr>
                <w:sz w:val="18"/>
                <w:szCs w:val="18"/>
              </w:rPr>
              <w:t>47 (54.0)</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00C13974" w14:textId="77777777" w:rsidR="008D471F" w:rsidRPr="008D471F" w:rsidRDefault="008D471F" w:rsidP="005967AF">
            <w:pPr>
              <w:pStyle w:val="NormalWeb"/>
              <w:jc w:val="center"/>
              <w:rPr>
                <w:sz w:val="18"/>
                <w:szCs w:val="18"/>
              </w:rPr>
            </w:pPr>
            <w:r w:rsidRPr="008D471F">
              <w:rPr>
                <w:sz w:val="18"/>
                <w:szCs w:val="18"/>
              </w:rPr>
              <w:t>117 (76.5)</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0FC5D183" w14:textId="77777777" w:rsidR="008D471F" w:rsidRPr="008D471F" w:rsidRDefault="008D471F" w:rsidP="005967AF">
            <w:pPr>
              <w:pStyle w:val="NormalWeb"/>
              <w:jc w:val="center"/>
              <w:rPr>
                <w:sz w:val="18"/>
                <w:szCs w:val="18"/>
              </w:rPr>
            </w:pPr>
            <w:r w:rsidRPr="008D471F">
              <w:rPr>
                <w:sz w:val="18"/>
                <w:szCs w:val="18"/>
              </w:rPr>
              <w:t>NA</w:t>
            </w:r>
          </w:p>
        </w:tc>
      </w:tr>
      <w:tr w:rsidR="008D471F" w:rsidRPr="008D471F" w14:paraId="65C70660"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1E76260"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44B5AF7D" w14:textId="77777777" w:rsidR="008D471F" w:rsidRPr="008D471F" w:rsidRDefault="008D471F" w:rsidP="005967AF">
            <w:pPr>
              <w:pStyle w:val="NormalWeb"/>
              <w:jc w:val="center"/>
              <w:rPr>
                <w:sz w:val="18"/>
                <w:szCs w:val="18"/>
              </w:rPr>
            </w:pPr>
            <w:r w:rsidRPr="008D471F">
              <w:rPr>
                <w:sz w:val="18"/>
                <w:szCs w:val="18"/>
              </w:rPr>
              <w:t>Medical practice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91A2FDC" w14:textId="77777777" w:rsidR="008D471F" w:rsidRPr="008D471F" w:rsidRDefault="008D471F" w:rsidP="005967AF">
            <w:pPr>
              <w:pStyle w:val="NormalWeb"/>
              <w:jc w:val="center"/>
              <w:rPr>
                <w:sz w:val="18"/>
                <w:szCs w:val="18"/>
              </w:rPr>
            </w:pPr>
            <w:r w:rsidRPr="008D471F">
              <w:rPr>
                <w:sz w:val="18"/>
                <w:szCs w:val="18"/>
              </w:rPr>
              <w:t>32 (36.8)</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4CAAB3D5" w14:textId="77777777" w:rsidR="008D471F" w:rsidRPr="008D471F" w:rsidRDefault="008D471F" w:rsidP="005967AF">
            <w:pPr>
              <w:pStyle w:val="NormalWeb"/>
              <w:jc w:val="center"/>
              <w:rPr>
                <w:sz w:val="18"/>
                <w:szCs w:val="18"/>
              </w:rPr>
            </w:pPr>
            <w:r w:rsidRPr="008D471F">
              <w:rPr>
                <w:sz w:val="18"/>
                <w:szCs w:val="18"/>
              </w:rPr>
              <w:t>72 (47.1)</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4BC1D2F6" w14:textId="77777777" w:rsidR="008D471F" w:rsidRPr="008D471F" w:rsidRDefault="008D471F" w:rsidP="005967AF">
            <w:pPr>
              <w:jc w:val="center"/>
              <w:rPr>
                <w:sz w:val="18"/>
                <w:szCs w:val="18"/>
              </w:rPr>
            </w:pPr>
          </w:p>
        </w:tc>
      </w:tr>
      <w:tr w:rsidR="005967AF" w:rsidRPr="008D471F" w14:paraId="565E0114"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F4C7701"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537E2AF1" w14:textId="77777777" w:rsidR="008D471F" w:rsidRPr="008D471F" w:rsidRDefault="008D471F" w:rsidP="005967AF">
            <w:pPr>
              <w:pStyle w:val="NormalWeb"/>
              <w:jc w:val="center"/>
              <w:rPr>
                <w:sz w:val="18"/>
                <w:szCs w:val="18"/>
              </w:rPr>
            </w:pPr>
            <w:r w:rsidRPr="008D471F">
              <w:rPr>
                <w:sz w:val="18"/>
                <w:szCs w:val="18"/>
              </w:rPr>
              <w:t>Workplace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A4247A1" w14:textId="77777777" w:rsidR="008D471F" w:rsidRPr="008D471F" w:rsidRDefault="008D471F" w:rsidP="005967AF">
            <w:pPr>
              <w:pStyle w:val="NormalWeb"/>
              <w:jc w:val="center"/>
              <w:rPr>
                <w:sz w:val="18"/>
                <w:szCs w:val="18"/>
              </w:rPr>
            </w:pPr>
            <w:r w:rsidRPr="008D471F">
              <w:rPr>
                <w:sz w:val="18"/>
                <w:szCs w:val="18"/>
              </w:rPr>
              <w:t>36 (41.4)</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4BC2AA6D" w14:textId="77777777" w:rsidR="008D471F" w:rsidRPr="008D471F" w:rsidRDefault="008D471F" w:rsidP="005967AF">
            <w:pPr>
              <w:pStyle w:val="NormalWeb"/>
              <w:jc w:val="center"/>
              <w:rPr>
                <w:sz w:val="18"/>
                <w:szCs w:val="18"/>
              </w:rPr>
            </w:pPr>
            <w:r w:rsidRPr="008D471F">
              <w:rPr>
                <w:sz w:val="18"/>
                <w:szCs w:val="18"/>
              </w:rPr>
              <w:t>88 (57.5)</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0611079F" w14:textId="77777777" w:rsidR="008D471F" w:rsidRPr="008D471F" w:rsidRDefault="008D471F" w:rsidP="005967AF">
            <w:pPr>
              <w:jc w:val="center"/>
              <w:rPr>
                <w:sz w:val="18"/>
                <w:szCs w:val="18"/>
              </w:rPr>
            </w:pPr>
          </w:p>
        </w:tc>
      </w:tr>
      <w:tr w:rsidR="008D471F" w:rsidRPr="008D471F" w14:paraId="05FB3C94"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F5C3D72"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40AE2ECF" w14:textId="77777777" w:rsidR="008D471F" w:rsidRPr="008D471F" w:rsidRDefault="008D471F" w:rsidP="005967AF">
            <w:pPr>
              <w:pStyle w:val="NormalWeb"/>
              <w:jc w:val="center"/>
              <w:rPr>
                <w:sz w:val="18"/>
                <w:szCs w:val="18"/>
              </w:rPr>
            </w:pPr>
            <w:r w:rsidRPr="008D471F">
              <w:rPr>
                <w:sz w:val="18"/>
                <w:szCs w:val="18"/>
              </w:rPr>
              <w:t>Pharmacy</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546805B" w14:textId="77777777" w:rsidR="008D471F" w:rsidRPr="008D471F" w:rsidRDefault="008D471F" w:rsidP="005967AF">
            <w:pPr>
              <w:pStyle w:val="NormalWeb"/>
              <w:jc w:val="center"/>
              <w:rPr>
                <w:sz w:val="18"/>
                <w:szCs w:val="18"/>
              </w:rPr>
            </w:pPr>
            <w:r w:rsidRPr="008D471F">
              <w:rPr>
                <w:sz w:val="18"/>
                <w:szCs w:val="18"/>
              </w:rPr>
              <w:t>15 (17.2)</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2CB71600" w14:textId="77777777" w:rsidR="008D471F" w:rsidRPr="008D471F" w:rsidRDefault="008D471F" w:rsidP="005967AF">
            <w:pPr>
              <w:pStyle w:val="NormalWeb"/>
              <w:jc w:val="center"/>
              <w:rPr>
                <w:sz w:val="18"/>
                <w:szCs w:val="18"/>
              </w:rPr>
            </w:pPr>
            <w:r w:rsidRPr="008D471F">
              <w:rPr>
                <w:sz w:val="18"/>
                <w:szCs w:val="18"/>
              </w:rPr>
              <w:t>37 (24.2)</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06D3CA0E" w14:textId="77777777" w:rsidR="008D471F" w:rsidRPr="008D471F" w:rsidRDefault="008D471F" w:rsidP="005967AF">
            <w:pPr>
              <w:jc w:val="center"/>
              <w:rPr>
                <w:sz w:val="18"/>
                <w:szCs w:val="18"/>
              </w:rPr>
            </w:pPr>
          </w:p>
        </w:tc>
      </w:tr>
      <w:tr w:rsidR="005967AF" w:rsidRPr="008D471F" w14:paraId="3027F131"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24FA3CE"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144BC57E" w14:textId="77777777" w:rsidR="008D471F" w:rsidRPr="008D471F" w:rsidRDefault="008D471F" w:rsidP="005967AF">
            <w:pPr>
              <w:pStyle w:val="NormalWeb"/>
              <w:jc w:val="center"/>
              <w:rPr>
                <w:sz w:val="18"/>
                <w:szCs w:val="18"/>
              </w:rPr>
            </w:pPr>
            <w:r w:rsidRPr="008D471F">
              <w:rPr>
                <w:sz w:val="18"/>
                <w:szCs w:val="18"/>
              </w:rPr>
              <w:t>Community centre/meeting hall</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39E43A55" w14:textId="77777777" w:rsidR="008D471F" w:rsidRPr="008D471F" w:rsidRDefault="008D471F" w:rsidP="005967AF">
            <w:pPr>
              <w:pStyle w:val="NormalWeb"/>
              <w:jc w:val="center"/>
              <w:rPr>
                <w:sz w:val="18"/>
                <w:szCs w:val="18"/>
              </w:rPr>
            </w:pPr>
            <w:r w:rsidRPr="008D471F">
              <w:rPr>
                <w:sz w:val="18"/>
                <w:szCs w:val="18"/>
              </w:rPr>
              <w:t>9 (10.3)</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039E9444" w14:textId="77777777" w:rsidR="008D471F" w:rsidRPr="008D471F" w:rsidRDefault="008D471F" w:rsidP="005967AF">
            <w:pPr>
              <w:pStyle w:val="NormalWeb"/>
              <w:jc w:val="center"/>
              <w:rPr>
                <w:sz w:val="18"/>
                <w:szCs w:val="18"/>
              </w:rPr>
            </w:pPr>
            <w:r w:rsidRPr="008D471F">
              <w:rPr>
                <w:sz w:val="18"/>
                <w:szCs w:val="18"/>
              </w:rPr>
              <w:t>38 (24.8)</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75AAAFD2" w14:textId="77777777" w:rsidR="008D471F" w:rsidRPr="008D471F" w:rsidRDefault="008D471F" w:rsidP="005967AF">
            <w:pPr>
              <w:jc w:val="center"/>
              <w:rPr>
                <w:sz w:val="18"/>
                <w:szCs w:val="18"/>
              </w:rPr>
            </w:pPr>
          </w:p>
        </w:tc>
      </w:tr>
      <w:tr w:rsidR="008D471F" w:rsidRPr="008D471F" w14:paraId="0815116A"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75CBFD8"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0C38692F" w14:textId="77777777" w:rsidR="008D471F" w:rsidRPr="008D471F" w:rsidRDefault="008D471F" w:rsidP="005967AF">
            <w:pPr>
              <w:pStyle w:val="NormalWeb"/>
              <w:jc w:val="center"/>
              <w:rPr>
                <w:sz w:val="18"/>
                <w:szCs w:val="18"/>
              </w:rPr>
            </w:pPr>
            <w:r w:rsidRPr="008D471F">
              <w:rPr>
                <w:sz w:val="18"/>
                <w:szCs w:val="18"/>
              </w:rPr>
              <w:t>Local shop (hardware or grocery store)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B27EDE3" w14:textId="77777777" w:rsidR="008D471F" w:rsidRPr="008D471F" w:rsidRDefault="008D471F" w:rsidP="005967AF">
            <w:pPr>
              <w:pStyle w:val="NormalWeb"/>
              <w:jc w:val="center"/>
              <w:rPr>
                <w:sz w:val="18"/>
                <w:szCs w:val="18"/>
              </w:rPr>
            </w:pPr>
            <w:r w:rsidRPr="008D471F">
              <w:rPr>
                <w:sz w:val="18"/>
                <w:szCs w:val="18"/>
              </w:rPr>
              <w:t>1 (1.1)</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75DE180B" w14:textId="77777777" w:rsidR="008D471F" w:rsidRPr="008D471F" w:rsidRDefault="008D471F" w:rsidP="005967AF">
            <w:pPr>
              <w:pStyle w:val="NormalWeb"/>
              <w:jc w:val="center"/>
              <w:rPr>
                <w:sz w:val="18"/>
                <w:szCs w:val="18"/>
              </w:rPr>
            </w:pPr>
            <w:r w:rsidRPr="008D471F">
              <w:rPr>
                <w:sz w:val="18"/>
                <w:szCs w:val="18"/>
              </w:rPr>
              <w:t>7 (4.6)</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644D647E" w14:textId="77777777" w:rsidR="008D471F" w:rsidRPr="008D471F" w:rsidRDefault="008D471F" w:rsidP="005967AF">
            <w:pPr>
              <w:jc w:val="center"/>
              <w:rPr>
                <w:sz w:val="18"/>
                <w:szCs w:val="18"/>
              </w:rPr>
            </w:pPr>
          </w:p>
        </w:tc>
      </w:tr>
      <w:tr w:rsidR="005967AF" w:rsidRPr="008D471F" w14:paraId="55170227"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B49C89B"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48A1A585" w14:textId="77777777" w:rsidR="008D471F" w:rsidRPr="008D471F" w:rsidRDefault="008D471F" w:rsidP="005967AF">
            <w:pPr>
              <w:pStyle w:val="NormalWeb"/>
              <w:jc w:val="center"/>
              <w:rPr>
                <w:sz w:val="18"/>
                <w:szCs w:val="18"/>
              </w:rPr>
            </w:pPr>
            <w:r w:rsidRPr="008D471F">
              <w:rPr>
                <w:sz w:val="18"/>
                <w:szCs w:val="18"/>
              </w:rPr>
              <w:t>Mobile van</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C57B688" w14:textId="77777777" w:rsidR="008D471F" w:rsidRPr="008D471F" w:rsidRDefault="008D471F" w:rsidP="005967AF">
            <w:pPr>
              <w:pStyle w:val="NormalWeb"/>
              <w:jc w:val="center"/>
              <w:rPr>
                <w:sz w:val="18"/>
                <w:szCs w:val="18"/>
              </w:rPr>
            </w:pPr>
            <w:r w:rsidRPr="008D471F">
              <w:rPr>
                <w:sz w:val="18"/>
                <w:szCs w:val="18"/>
              </w:rPr>
              <w:t>9 (10.3)</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4C0269BB" w14:textId="77777777" w:rsidR="008D471F" w:rsidRPr="008D471F" w:rsidRDefault="008D471F" w:rsidP="005967AF">
            <w:pPr>
              <w:pStyle w:val="NormalWeb"/>
              <w:jc w:val="center"/>
              <w:rPr>
                <w:sz w:val="18"/>
                <w:szCs w:val="18"/>
              </w:rPr>
            </w:pPr>
            <w:r w:rsidRPr="008D471F">
              <w:rPr>
                <w:sz w:val="18"/>
                <w:szCs w:val="18"/>
              </w:rPr>
              <w:t>28 (18.3)</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139EFB2F" w14:textId="77777777" w:rsidR="008D471F" w:rsidRPr="008D471F" w:rsidRDefault="008D471F" w:rsidP="005967AF">
            <w:pPr>
              <w:jc w:val="center"/>
              <w:rPr>
                <w:sz w:val="18"/>
                <w:szCs w:val="18"/>
              </w:rPr>
            </w:pPr>
          </w:p>
        </w:tc>
      </w:tr>
      <w:tr w:rsidR="008D471F" w:rsidRPr="008D471F" w14:paraId="199E357E"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EBA8854"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050CE984" w14:textId="77777777" w:rsidR="008D471F" w:rsidRPr="008D471F" w:rsidRDefault="008D471F" w:rsidP="005967AF">
            <w:pPr>
              <w:pStyle w:val="NormalWeb"/>
              <w:jc w:val="center"/>
              <w:rPr>
                <w:sz w:val="18"/>
                <w:szCs w:val="18"/>
              </w:rPr>
            </w:pPr>
            <w:r w:rsidRPr="008D471F">
              <w:rPr>
                <w:sz w:val="18"/>
                <w:szCs w:val="18"/>
              </w:rPr>
              <w:t>I don’t want the vaccine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B672F1D" w14:textId="77777777" w:rsidR="008D471F" w:rsidRPr="008D471F" w:rsidRDefault="008D471F" w:rsidP="005967AF">
            <w:pPr>
              <w:pStyle w:val="NormalWeb"/>
              <w:jc w:val="center"/>
              <w:rPr>
                <w:sz w:val="18"/>
                <w:szCs w:val="18"/>
              </w:rPr>
            </w:pPr>
            <w:r w:rsidRPr="008D471F">
              <w:rPr>
                <w:sz w:val="18"/>
                <w:szCs w:val="18"/>
              </w:rPr>
              <w:t>21 (24.1)</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2087544A" w14:textId="77777777" w:rsidR="008D471F" w:rsidRPr="008D471F" w:rsidRDefault="008D471F" w:rsidP="005967AF">
            <w:pPr>
              <w:pStyle w:val="NormalWeb"/>
              <w:jc w:val="center"/>
              <w:rPr>
                <w:sz w:val="18"/>
                <w:szCs w:val="18"/>
              </w:rPr>
            </w:pPr>
            <w:r w:rsidRPr="008D471F">
              <w:rPr>
                <w:sz w:val="18"/>
                <w:szCs w:val="18"/>
              </w:rPr>
              <w:t>0 (0.0)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02B94BD1" w14:textId="77777777" w:rsidR="008D471F" w:rsidRPr="008D471F" w:rsidRDefault="008D471F" w:rsidP="005967AF">
            <w:pPr>
              <w:jc w:val="center"/>
              <w:rPr>
                <w:sz w:val="18"/>
                <w:szCs w:val="18"/>
              </w:rPr>
            </w:pPr>
          </w:p>
        </w:tc>
      </w:tr>
      <w:tr w:rsidR="005967AF" w:rsidRPr="008D471F" w14:paraId="271F4DDA"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576EED3"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1EB51382" w14:textId="77777777" w:rsidR="008D471F" w:rsidRPr="008D471F" w:rsidRDefault="008D471F" w:rsidP="005967AF">
            <w:pPr>
              <w:pStyle w:val="NormalWeb"/>
              <w:jc w:val="center"/>
              <w:rPr>
                <w:sz w:val="18"/>
                <w:szCs w:val="18"/>
              </w:rPr>
            </w:pPr>
            <w:r w:rsidRPr="008D471F">
              <w:rPr>
                <w:sz w:val="18"/>
                <w:szCs w:val="18"/>
              </w:rPr>
              <w:t>Somewhere else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3BA298F" w14:textId="77777777" w:rsidR="008D471F" w:rsidRPr="008D471F" w:rsidRDefault="008D471F" w:rsidP="005967AF">
            <w:pPr>
              <w:pStyle w:val="NormalWeb"/>
              <w:jc w:val="center"/>
              <w:rPr>
                <w:sz w:val="18"/>
                <w:szCs w:val="18"/>
              </w:rPr>
            </w:pPr>
            <w:r w:rsidRPr="008D471F">
              <w:rPr>
                <w:sz w:val="18"/>
                <w:szCs w:val="18"/>
              </w:rPr>
              <w:t>1 (1.1)</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7D929CB" w14:textId="77777777" w:rsidR="008D471F" w:rsidRPr="008D471F" w:rsidRDefault="008D471F" w:rsidP="005967AF">
            <w:pPr>
              <w:pStyle w:val="NormalWeb"/>
              <w:jc w:val="center"/>
              <w:rPr>
                <w:sz w:val="18"/>
                <w:szCs w:val="18"/>
              </w:rPr>
            </w:pPr>
            <w:r w:rsidRPr="008D471F">
              <w:rPr>
                <w:sz w:val="18"/>
                <w:szCs w:val="18"/>
              </w:rPr>
              <w:t>1 (0.7)</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2125183B" w14:textId="77777777" w:rsidR="008D471F" w:rsidRPr="008D471F" w:rsidRDefault="008D471F" w:rsidP="005967AF">
            <w:pPr>
              <w:jc w:val="center"/>
              <w:rPr>
                <w:sz w:val="18"/>
                <w:szCs w:val="18"/>
              </w:rPr>
            </w:pPr>
          </w:p>
        </w:tc>
      </w:tr>
      <w:tr w:rsidR="008D471F" w:rsidRPr="008D471F" w14:paraId="76B61183"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6FA636F" w14:textId="77777777" w:rsidR="008D471F" w:rsidRPr="008D471F" w:rsidRDefault="008D471F" w:rsidP="00185CE9">
            <w:pPr>
              <w:pStyle w:val="NormalWeb"/>
              <w:rPr>
                <w:sz w:val="18"/>
                <w:szCs w:val="18"/>
              </w:rPr>
            </w:pPr>
            <w:r w:rsidRPr="008D471F">
              <w:rPr>
                <w:sz w:val="18"/>
                <w:szCs w:val="18"/>
              </w:rPr>
              <w:t>Once eligible, how easy is it to get a COVID-19 vaccine for yourself? Would you say …</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7EC57ED9" w14:textId="77777777" w:rsidR="008D471F" w:rsidRPr="008D471F" w:rsidRDefault="008D471F" w:rsidP="005967AF">
            <w:pPr>
              <w:pStyle w:val="NormalWeb"/>
              <w:jc w:val="center"/>
              <w:rPr>
                <w:sz w:val="18"/>
                <w:szCs w:val="18"/>
              </w:rPr>
            </w:pPr>
            <w:r w:rsidRPr="008D471F">
              <w:rPr>
                <w:sz w:val="18"/>
                <w:szCs w:val="18"/>
              </w:rPr>
              <w:t>Not at all easy/a little easy</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9A04FD4" w14:textId="77777777" w:rsidR="008D471F" w:rsidRPr="008D471F" w:rsidRDefault="008D471F" w:rsidP="005967AF">
            <w:pPr>
              <w:pStyle w:val="NormalWeb"/>
              <w:jc w:val="center"/>
              <w:rPr>
                <w:sz w:val="18"/>
                <w:szCs w:val="18"/>
              </w:rPr>
            </w:pPr>
            <w:r w:rsidRPr="008D471F">
              <w:rPr>
                <w:sz w:val="18"/>
                <w:szCs w:val="18"/>
              </w:rPr>
              <w:t>18 (20.7)</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162361BE" w14:textId="77777777" w:rsidR="008D471F" w:rsidRPr="008D471F" w:rsidRDefault="008D471F" w:rsidP="005967AF">
            <w:pPr>
              <w:pStyle w:val="NormalWeb"/>
              <w:jc w:val="center"/>
              <w:rPr>
                <w:sz w:val="18"/>
                <w:szCs w:val="18"/>
              </w:rPr>
            </w:pPr>
            <w:r w:rsidRPr="008D471F">
              <w:rPr>
                <w:sz w:val="18"/>
                <w:szCs w:val="18"/>
              </w:rPr>
              <w:t>16 (10.5)</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666974E3" w14:textId="77777777" w:rsidR="008D471F" w:rsidRPr="008D471F" w:rsidRDefault="008D471F" w:rsidP="005967AF">
            <w:pPr>
              <w:pStyle w:val="NormalWeb"/>
              <w:jc w:val="center"/>
              <w:rPr>
                <w:sz w:val="18"/>
                <w:szCs w:val="18"/>
              </w:rPr>
            </w:pPr>
            <w:r w:rsidRPr="008D471F">
              <w:rPr>
                <w:sz w:val="18"/>
                <w:szCs w:val="18"/>
              </w:rPr>
              <w:t>Ref</w:t>
            </w:r>
          </w:p>
        </w:tc>
      </w:tr>
      <w:tr w:rsidR="005967AF" w:rsidRPr="008D471F" w14:paraId="2013D897"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1CAC1C1"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1A77EA00" w14:textId="77777777" w:rsidR="008D471F" w:rsidRPr="008D471F" w:rsidRDefault="008D471F" w:rsidP="005967AF">
            <w:pPr>
              <w:pStyle w:val="NormalWeb"/>
              <w:jc w:val="center"/>
              <w:rPr>
                <w:sz w:val="18"/>
                <w:szCs w:val="18"/>
              </w:rPr>
            </w:pPr>
            <w:r w:rsidRPr="008D471F">
              <w:rPr>
                <w:sz w:val="18"/>
                <w:szCs w:val="18"/>
              </w:rPr>
              <w:t>Moderately/very easy</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558B029" w14:textId="77777777" w:rsidR="008D471F" w:rsidRPr="008D471F" w:rsidRDefault="008D471F" w:rsidP="005967AF">
            <w:pPr>
              <w:pStyle w:val="NormalWeb"/>
              <w:jc w:val="center"/>
              <w:rPr>
                <w:sz w:val="18"/>
                <w:szCs w:val="18"/>
              </w:rPr>
            </w:pPr>
            <w:r w:rsidRPr="008D471F">
              <w:rPr>
                <w:sz w:val="18"/>
                <w:szCs w:val="18"/>
              </w:rPr>
              <w:t>69 (79.3)</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66AC42D" w14:textId="77777777" w:rsidR="008D471F" w:rsidRPr="008D471F" w:rsidRDefault="008D471F" w:rsidP="005967AF">
            <w:pPr>
              <w:pStyle w:val="NormalWeb"/>
              <w:jc w:val="center"/>
              <w:rPr>
                <w:sz w:val="18"/>
                <w:szCs w:val="18"/>
              </w:rPr>
            </w:pPr>
            <w:r w:rsidRPr="008D471F">
              <w:rPr>
                <w:sz w:val="18"/>
                <w:szCs w:val="18"/>
              </w:rPr>
              <w:t>137 (89.5)</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38F4BD6D" w14:textId="77777777" w:rsidR="008D471F" w:rsidRPr="008D471F" w:rsidRDefault="008D471F" w:rsidP="005967AF">
            <w:pPr>
              <w:pStyle w:val="NormalWeb"/>
              <w:jc w:val="center"/>
              <w:rPr>
                <w:sz w:val="18"/>
                <w:szCs w:val="18"/>
              </w:rPr>
            </w:pPr>
            <w:r w:rsidRPr="008D471F">
              <w:rPr>
                <w:sz w:val="18"/>
                <w:szCs w:val="18"/>
              </w:rPr>
              <w:t>2.23 (1.07–3.98; p = 0.032)</w:t>
            </w:r>
          </w:p>
        </w:tc>
      </w:tr>
      <w:tr w:rsidR="008D471F" w:rsidRPr="008D471F" w14:paraId="15F7AB7F"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468D21A" w14:textId="77777777" w:rsidR="008D471F" w:rsidRPr="008D471F" w:rsidRDefault="008D471F" w:rsidP="00185CE9">
            <w:pPr>
              <w:pStyle w:val="NormalWeb"/>
              <w:rPr>
                <w:sz w:val="18"/>
                <w:szCs w:val="18"/>
              </w:rPr>
            </w:pPr>
            <w:r w:rsidRPr="008D471F">
              <w:rPr>
                <w:sz w:val="18"/>
                <w:szCs w:val="18"/>
              </w:rPr>
              <w:t>Once eligible, how easy is it to get a COVID-19 vaccine for yourself? Would you say…</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34510098" w14:textId="77777777" w:rsidR="008D471F" w:rsidRPr="008D471F" w:rsidRDefault="008D471F" w:rsidP="005967AF">
            <w:pPr>
              <w:pStyle w:val="NormalWeb"/>
              <w:jc w:val="center"/>
              <w:rPr>
                <w:sz w:val="18"/>
                <w:szCs w:val="18"/>
              </w:rPr>
            </w:pPr>
            <w:r w:rsidRPr="008D471F">
              <w:rPr>
                <w:sz w:val="18"/>
                <w:szCs w:val="18"/>
              </w:rPr>
              <w:t>It’s not hard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2909632" w14:textId="77777777" w:rsidR="008D471F" w:rsidRPr="008D471F" w:rsidRDefault="008D471F" w:rsidP="005967AF">
            <w:pPr>
              <w:pStyle w:val="NormalWeb"/>
              <w:jc w:val="center"/>
              <w:rPr>
                <w:sz w:val="18"/>
                <w:szCs w:val="18"/>
              </w:rPr>
            </w:pPr>
            <w:r w:rsidRPr="008D471F">
              <w:rPr>
                <w:sz w:val="18"/>
                <w:szCs w:val="18"/>
              </w:rPr>
              <w:t>35 (40.2)</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1FDEC0E0" w14:textId="77777777" w:rsidR="008D471F" w:rsidRPr="008D471F" w:rsidRDefault="008D471F" w:rsidP="005967AF">
            <w:pPr>
              <w:pStyle w:val="NormalWeb"/>
              <w:jc w:val="center"/>
              <w:rPr>
                <w:sz w:val="18"/>
                <w:szCs w:val="18"/>
              </w:rPr>
            </w:pPr>
            <w:r w:rsidRPr="008D471F">
              <w:rPr>
                <w:sz w:val="18"/>
                <w:szCs w:val="18"/>
              </w:rPr>
              <w:t>110 (71.9)</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3F9A1A81" w14:textId="77777777" w:rsidR="008D471F" w:rsidRPr="008D471F" w:rsidRDefault="008D471F" w:rsidP="005967AF">
            <w:pPr>
              <w:pStyle w:val="NormalWeb"/>
              <w:jc w:val="center"/>
              <w:rPr>
                <w:sz w:val="18"/>
                <w:szCs w:val="18"/>
              </w:rPr>
            </w:pPr>
            <w:r w:rsidRPr="008D471F">
              <w:rPr>
                <w:sz w:val="18"/>
                <w:szCs w:val="18"/>
              </w:rPr>
              <w:t>NA</w:t>
            </w:r>
          </w:p>
        </w:tc>
      </w:tr>
      <w:tr w:rsidR="005967AF" w:rsidRPr="008D471F" w14:paraId="2CC6EFF0"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97AD870"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58CE2E75" w14:textId="77777777" w:rsidR="008D471F" w:rsidRPr="008D471F" w:rsidRDefault="008D471F" w:rsidP="005967AF">
            <w:pPr>
              <w:pStyle w:val="NormalWeb"/>
              <w:jc w:val="center"/>
              <w:rPr>
                <w:sz w:val="18"/>
                <w:szCs w:val="18"/>
              </w:rPr>
            </w:pPr>
            <w:r w:rsidRPr="008D471F">
              <w:rPr>
                <w:sz w:val="18"/>
                <w:szCs w:val="18"/>
              </w:rPr>
              <w:t>Vaccination costs too much</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8D91C50" w14:textId="77777777" w:rsidR="008D471F" w:rsidRPr="008D471F" w:rsidRDefault="008D471F" w:rsidP="005967AF">
            <w:pPr>
              <w:pStyle w:val="NormalWeb"/>
              <w:jc w:val="center"/>
              <w:rPr>
                <w:sz w:val="18"/>
                <w:szCs w:val="18"/>
              </w:rPr>
            </w:pPr>
            <w:r w:rsidRPr="008D471F">
              <w:rPr>
                <w:sz w:val="18"/>
                <w:szCs w:val="18"/>
              </w:rPr>
              <w:t>3 (3.4)</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C2012C9" w14:textId="77777777" w:rsidR="008D471F" w:rsidRPr="008D471F" w:rsidRDefault="008D471F" w:rsidP="005967AF">
            <w:pPr>
              <w:pStyle w:val="NormalWeb"/>
              <w:jc w:val="center"/>
              <w:rPr>
                <w:sz w:val="18"/>
                <w:szCs w:val="18"/>
              </w:rPr>
            </w:pPr>
            <w:r w:rsidRPr="008D471F">
              <w:rPr>
                <w:sz w:val="18"/>
                <w:szCs w:val="18"/>
              </w:rPr>
              <w:t>1 (0.7)</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357D8E40" w14:textId="77777777" w:rsidR="008D471F" w:rsidRPr="008D471F" w:rsidRDefault="008D471F" w:rsidP="005967AF">
            <w:pPr>
              <w:jc w:val="center"/>
              <w:rPr>
                <w:sz w:val="18"/>
                <w:szCs w:val="18"/>
              </w:rPr>
            </w:pPr>
          </w:p>
        </w:tc>
      </w:tr>
      <w:tr w:rsidR="008D471F" w:rsidRPr="008D471F" w14:paraId="33EC79C4"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6EF96FD"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108048B9" w14:textId="77777777" w:rsidR="008D471F" w:rsidRPr="008D471F" w:rsidRDefault="008D471F" w:rsidP="005967AF">
            <w:pPr>
              <w:pStyle w:val="NormalWeb"/>
              <w:jc w:val="center"/>
              <w:rPr>
                <w:sz w:val="18"/>
                <w:szCs w:val="18"/>
              </w:rPr>
            </w:pPr>
            <w:r w:rsidRPr="008D471F">
              <w:rPr>
                <w:sz w:val="18"/>
                <w:szCs w:val="18"/>
              </w:rPr>
              <w:t>The opening times are inconvenient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4728866" w14:textId="77777777" w:rsidR="008D471F" w:rsidRPr="008D471F" w:rsidRDefault="008D471F" w:rsidP="005967AF">
            <w:pPr>
              <w:pStyle w:val="NormalWeb"/>
              <w:jc w:val="center"/>
              <w:rPr>
                <w:sz w:val="18"/>
                <w:szCs w:val="18"/>
              </w:rPr>
            </w:pPr>
            <w:r w:rsidRPr="008D471F">
              <w:rPr>
                <w:sz w:val="18"/>
                <w:szCs w:val="18"/>
              </w:rPr>
              <w:t>6 (6.9)</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58E76474" w14:textId="77777777" w:rsidR="008D471F" w:rsidRPr="008D471F" w:rsidRDefault="008D471F" w:rsidP="005967AF">
            <w:pPr>
              <w:pStyle w:val="NormalWeb"/>
              <w:jc w:val="center"/>
              <w:rPr>
                <w:sz w:val="18"/>
                <w:szCs w:val="18"/>
              </w:rPr>
            </w:pPr>
            <w:r w:rsidRPr="008D471F">
              <w:rPr>
                <w:sz w:val="18"/>
                <w:szCs w:val="18"/>
              </w:rPr>
              <w:t>15 (9.8)</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4005A735" w14:textId="77777777" w:rsidR="008D471F" w:rsidRPr="008D471F" w:rsidRDefault="008D471F" w:rsidP="005967AF">
            <w:pPr>
              <w:jc w:val="center"/>
              <w:rPr>
                <w:sz w:val="18"/>
                <w:szCs w:val="18"/>
              </w:rPr>
            </w:pPr>
          </w:p>
        </w:tc>
      </w:tr>
      <w:tr w:rsidR="005967AF" w:rsidRPr="008D471F" w14:paraId="674ED83B"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208220F"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5D0F425C" w14:textId="77777777" w:rsidR="008D471F" w:rsidRPr="008D471F" w:rsidRDefault="008D471F" w:rsidP="005967AF">
            <w:pPr>
              <w:pStyle w:val="NormalWeb"/>
              <w:jc w:val="center"/>
              <w:rPr>
                <w:sz w:val="18"/>
                <w:szCs w:val="18"/>
              </w:rPr>
            </w:pPr>
            <w:r w:rsidRPr="008D471F">
              <w:rPr>
                <w:sz w:val="18"/>
                <w:szCs w:val="18"/>
              </w:rPr>
              <w:t>I am unable to leave work duties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D71A402" w14:textId="77777777" w:rsidR="008D471F" w:rsidRPr="008D471F" w:rsidRDefault="008D471F" w:rsidP="005967AF">
            <w:pPr>
              <w:pStyle w:val="NormalWeb"/>
              <w:jc w:val="center"/>
              <w:rPr>
                <w:sz w:val="18"/>
                <w:szCs w:val="18"/>
              </w:rPr>
            </w:pPr>
            <w:r w:rsidRPr="008D471F">
              <w:rPr>
                <w:sz w:val="18"/>
                <w:szCs w:val="18"/>
              </w:rPr>
              <w:t>9 (10.3)</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7BAD995E" w14:textId="77777777" w:rsidR="008D471F" w:rsidRPr="008D471F" w:rsidRDefault="008D471F" w:rsidP="005967AF">
            <w:pPr>
              <w:pStyle w:val="NormalWeb"/>
              <w:jc w:val="center"/>
              <w:rPr>
                <w:sz w:val="18"/>
                <w:szCs w:val="18"/>
              </w:rPr>
            </w:pPr>
            <w:r w:rsidRPr="008D471F">
              <w:rPr>
                <w:sz w:val="18"/>
                <w:szCs w:val="18"/>
              </w:rPr>
              <w:t>19 (12.4)</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4DE1B7A3" w14:textId="77777777" w:rsidR="008D471F" w:rsidRPr="008D471F" w:rsidRDefault="008D471F" w:rsidP="005967AF">
            <w:pPr>
              <w:jc w:val="center"/>
              <w:rPr>
                <w:sz w:val="18"/>
                <w:szCs w:val="18"/>
              </w:rPr>
            </w:pPr>
          </w:p>
        </w:tc>
      </w:tr>
      <w:tr w:rsidR="008D471F" w:rsidRPr="008D471F" w14:paraId="09738956"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6CA3E7A"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27CBAF81" w14:textId="77777777" w:rsidR="008D471F" w:rsidRPr="008D471F" w:rsidRDefault="008D471F" w:rsidP="005967AF">
            <w:pPr>
              <w:pStyle w:val="NormalWeb"/>
              <w:jc w:val="center"/>
              <w:rPr>
                <w:sz w:val="18"/>
                <w:szCs w:val="18"/>
              </w:rPr>
            </w:pPr>
            <w:r w:rsidRPr="008D471F">
              <w:rPr>
                <w:sz w:val="18"/>
                <w:szCs w:val="18"/>
              </w:rPr>
              <w:t>There is no on–site vaccination at my place of work</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C18B1E4" w14:textId="77777777" w:rsidR="008D471F" w:rsidRPr="008D471F" w:rsidRDefault="008D471F" w:rsidP="005967AF">
            <w:pPr>
              <w:pStyle w:val="NormalWeb"/>
              <w:jc w:val="center"/>
              <w:rPr>
                <w:sz w:val="18"/>
                <w:szCs w:val="18"/>
              </w:rPr>
            </w:pPr>
            <w:r w:rsidRPr="008D471F">
              <w:rPr>
                <w:sz w:val="18"/>
                <w:szCs w:val="18"/>
              </w:rPr>
              <w:t>16 (18.4)</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6A6D6359" w14:textId="77777777" w:rsidR="008D471F" w:rsidRPr="008D471F" w:rsidRDefault="008D471F" w:rsidP="005967AF">
            <w:pPr>
              <w:pStyle w:val="NormalWeb"/>
              <w:jc w:val="center"/>
              <w:rPr>
                <w:sz w:val="18"/>
                <w:szCs w:val="18"/>
              </w:rPr>
            </w:pPr>
            <w:r w:rsidRPr="008D471F">
              <w:rPr>
                <w:sz w:val="18"/>
                <w:szCs w:val="18"/>
              </w:rPr>
              <w:t>17 (11.1)</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01894047" w14:textId="77777777" w:rsidR="008D471F" w:rsidRPr="008D471F" w:rsidRDefault="008D471F" w:rsidP="005967AF">
            <w:pPr>
              <w:jc w:val="center"/>
              <w:rPr>
                <w:sz w:val="18"/>
                <w:szCs w:val="18"/>
              </w:rPr>
            </w:pPr>
          </w:p>
        </w:tc>
      </w:tr>
      <w:tr w:rsidR="005967AF" w:rsidRPr="008D471F" w14:paraId="223CD455"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0685BCC"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2E965EE4" w14:textId="77777777" w:rsidR="008D471F" w:rsidRPr="008D471F" w:rsidRDefault="008D471F" w:rsidP="005967AF">
            <w:pPr>
              <w:pStyle w:val="NormalWeb"/>
              <w:jc w:val="center"/>
              <w:rPr>
                <w:sz w:val="18"/>
                <w:szCs w:val="18"/>
              </w:rPr>
            </w:pPr>
            <w:r w:rsidRPr="008D471F">
              <w:rPr>
                <w:sz w:val="18"/>
                <w:szCs w:val="18"/>
              </w:rPr>
              <w:t>Mobile vaccination is not available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59C30E61" w14:textId="77777777" w:rsidR="008D471F" w:rsidRPr="008D471F" w:rsidRDefault="008D471F" w:rsidP="005967AF">
            <w:pPr>
              <w:pStyle w:val="NormalWeb"/>
              <w:jc w:val="center"/>
              <w:rPr>
                <w:sz w:val="18"/>
                <w:szCs w:val="18"/>
              </w:rPr>
            </w:pPr>
            <w:r w:rsidRPr="008D471F">
              <w:rPr>
                <w:sz w:val="18"/>
                <w:szCs w:val="18"/>
              </w:rPr>
              <w:t>3 (3.4)</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2B0B949D" w14:textId="77777777" w:rsidR="008D471F" w:rsidRPr="008D471F" w:rsidRDefault="008D471F" w:rsidP="005967AF">
            <w:pPr>
              <w:pStyle w:val="NormalWeb"/>
              <w:jc w:val="center"/>
              <w:rPr>
                <w:sz w:val="18"/>
                <w:szCs w:val="18"/>
              </w:rPr>
            </w:pPr>
            <w:r w:rsidRPr="008D471F">
              <w:rPr>
                <w:sz w:val="18"/>
                <w:szCs w:val="18"/>
              </w:rPr>
              <w:t>5 (3.3)</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76512672" w14:textId="77777777" w:rsidR="008D471F" w:rsidRPr="008D471F" w:rsidRDefault="008D471F" w:rsidP="005967AF">
            <w:pPr>
              <w:jc w:val="center"/>
              <w:rPr>
                <w:sz w:val="18"/>
                <w:szCs w:val="18"/>
              </w:rPr>
            </w:pPr>
          </w:p>
        </w:tc>
      </w:tr>
      <w:tr w:rsidR="008D471F" w:rsidRPr="008D471F" w14:paraId="59A8C612"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2AA9088"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3477681B" w14:textId="77777777" w:rsidR="008D471F" w:rsidRPr="008D471F" w:rsidRDefault="008D471F" w:rsidP="005967AF">
            <w:pPr>
              <w:pStyle w:val="NormalWeb"/>
              <w:jc w:val="center"/>
              <w:rPr>
                <w:sz w:val="18"/>
                <w:szCs w:val="18"/>
              </w:rPr>
            </w:pPr>
            <w:r w:rsidRPr="008D471F">
              <w:rPr>
                <w:sz w:val="18"/>
                <w:szCs w:val="18"/>
              </w:rPr>
              <w:t>The waiting time is too long</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3E19E36" w14:textId="77777777" w:rsidR="008D471F" w:rsidRPr="008D471F" w:rsidRDefault="008D471F" w:rsidP="005967AF">
            <w:pPr>
              <w:pStyle w:val="NormalWeb"/>
              <w:jc w:val="center"/>
              <w:rPr>
                <w:sz w:val="18"/>
                <w:szCs w:val="18"/>
              </w:rPr>
            </w:pPr>
            <w:r w:rsidRPr="008D471F">
              <w:rPr>
                <w:sz w:val="18"/>
                <w:szCs w:val="18"/>
              </w:rPr>
              <w:t>4 (4.6)</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617F659E" w14:textId="77777777" w:rsidR="008D471F" w:rsidRPr="008D471F" w:rsidRDefault="008D471F" w:rsidP="005967AF">
            <w:pPr>
              <w:pStyle w:val="NormalWeb"/>
              <w:jc w:val="center"/>
              <w:rPr>
                <w:sz w:val="18"/>
                <w:szCs w:val="18"/>
              </w:rPr>
            </w:pPr>
            <w:r w:rsidRPr="008D471F">
              <w:rPr>
                <w:sz w:val="18"/>
                <w:szCs w:val="18"/>
              </w:rPr>
              <w:t>10 (6.5)</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6F6A3CBB" w14:textId="77777777" w:rsidR="008D471F" w:rsidRPr="008D471F" w:rsidRDefault="008D471F" w:rsidP="005967AF">
            <w:pPr>
              <w:jc w:val="center"/>
              <w:rPr>
                <w:sz w:val="18"/>
                <w:szCs w:val="18"/>
              </w:rPr>
            </w:pPr>
          </w:p>
        </w:tc>
      </w:tr>
      <w:tr w:rsidR="005967AF" w:rsidRPr="008D471F" w14:paraId="3F411480"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AC38F5C"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7B5F88B2" w14:textId="77777777" w:rsidR="008D471F" w:rsidRPr="008D471F" w:rsidRDefault="008D471F" w:rsidP="005967AF">
            <w:pPr>
              <w:pStyle w:val="NormalWeb"/>
              <w:jc w:val="center"/>
              <w:rPr>
                <w:sz w:val="18"/>
                <w:szCs w:val="18"/>
              </w:rPr>
            </w:pPr>
            <w:r w:rsidRPr="008D471F">
              <w:rPr>
                <w:sz w:val="18"/>
                <w:szCs w:val="18"/>
              </w:rPr>
              <w:t>COVID–19 vaccination is not yet available for me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B0C116C" w14:textId="77777777" w:rsidR="008D471F" w:rsidRPr="008D471F" w:rsidRDefault="008D471F" w:rsidP="005967AF">
            <w:pPr>
              <w:pStyle w:val="NormalWeb"/>
              <w:jc w:val="center"/>
              <w:rPr>
                <w:sz w:val="18"/>
                <w:szCs w:val="18"/>
              </w:rPr>
            </w:pPr>
            <w:r w:rsidRPr="008D471F">
              <w:rPr>
                <w:sz w:val="18"/>
                <w:szCs w:val="18"/>
              </w:rPr>
              <w:t>15 (17.2)</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9052058" w14:textId="77777777" w:rsidR="008D471F" w:rsidRPr="008D471F" w:rsidRDefault="008D471F" w:rsidP="005967AF">
            <w:pPr>
              <w:pStyle w:val="NormalWeb"/>
              <w:jc w:val="center"/>
              <w:rPr>
                <w:sz w:val="18"/>
                <w:szCs w:val="18"/>
              </w:rPr>
            </w:pPr>
            <w:r w:rsidRPr="008D471F">
              <w:rPr>
                <w:sz w:val="18"/>
                <w:szCs w:val="18"/>
              </w:rPr>
              <w:t>1 (0.7)</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14B6AE15" w14:textId="77777777" w:rsidR="008D471F" w:rsidRPr="008D471F" w:rsidRDefault="008D471F" w:rsidP="005967AF">
            <w:pPr>
              <w:jc w:val="center"/>
              <w:rPr>
                <w:sz w:val="18"/>
                <w:szCs w:val="18"/>
              </w:rPr>
            </w:pPr>
          </w:p>
        </w:tc>
      </w:tr>
      <w:tr w:rsidR="008D471F" w:rsidRPr="008D471F" w14:paraId="30507D01"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EBC472B"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58032033" w14:textId="77777777" w:rsidR="008D471F" w:rsidRPr="008D471F" w:rsidRDefault="008D471F" w:rsidP="005967AF">
            <w:pPr>
              <w:pStyle w:val="NormalWeb"/>
              <w:jc w:val="center"/>
              <w:rPr>
                <w:sz w:val="18"/>
                <w:szCs w:val="18"/>
              </w:rPr>
            </w:pPr>
            <w:r w:rsidRPr="008D471F">
              <w:rPr>
                <w:sz w:val="18"/>
                <w:szCs w:val="18"/>
              </w:rPr>
              <w:t>Something else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AF72DBB" w14:textId="77777777" w:rsidR="008D471F" w:rsidRPr="008D471F" w:rsidRDefault="008D471F" w:rsidP="005967AF">
            <w:pPr>
              <w:pStyle w:val="NormalWeb"/>
              <w:jc w:val="center"/>
              <w:rPr>
                <w:sz w:val="18"/>
                <w:szCs w:val="18"/>
              </w:rPr>
            </w:pPr>
            <w:r w:rsidRPr="008D471F">
              <w:rPr>
                <w:sz w:val="18"/>
                <w:szCs w:val="18"/>
              </w:rPr>
              <w:t>19 (21.8)</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47A2134F" w14:textId="77777777" w:rsidR="008D471F" w:rsidRPr="008D471F" w:rsidRDefault="008D471F" w:rsidP="005967AF">
            <w:pPr>
              <w:pStyle w:val="NormalWeb"/>
              <w:jc w:val="center"/>
              <w:rPr>
                <w:sz w:val="18"/>
                <w:szCs w:val="18"/>
              </w:rPr>
            </w:pPr>
            <w:r w:rsidRPr="008D471F">
              <w:rPr>
                <w:sz w:val="18"/>
                <w:szCs w:val="18"/>
              </w:rPr>
              <w:t>11 (7.2)</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2FCB9644" w14:textId="77777777" w:rsidR="008D471F" w:rsidRPr="008D471F" w:rsidRDefault="008D471F" w:rsidP="005967AF">
            <w:pPr>
              <w:jc w:val="center"/>
              <w:rPr>
                <w:sz w:val="18"/>
                <w:szCs w:val="18"/>
              </w:rPr>
            </w:pPr>
          </w:p>
        </w:tc>
      </w:tr>
      <w:tr w:rsidR="008E02D3" w:rsidRPr="008E02D3" w14:paraId="7A37ADD8" w14:textId="77777777" w:rsidTr="008E02D3">
        <w:tblPrEx>
          <w:tblCellMar>
            <w:top w:w="57" w:type="dxa"/>
            <w:left w:w="57" w:type="dxa"/>
            <w:bottom w:w="57" w:type="dxa"/>
            <w:right w:w="57" w:type="dxa"/>
          </w:tblCellMar>
        </w:tblPrEx>
        <w:tc>
          <w:tcPr>
            <w:tcW w:w="0" w:type="auto"/>
            <w:gridSpan w:val="5"/>
            <w:tcBorders>
              <w:top w:val="single" w:sz="2" w:space="0" w:color="auto"/>
              <w:left w:val="single" w:sz="2" w:space="0" w:color="auto"/>
              <w:bottom w:val="single" w:sz="2" w:space="0" w:color="auto"/>
              <w:right w:val="single" w:sz="2" w:space="0" w:color="auto"/>
            </w:tcBorders>
            <w:shd w:val="clear" w:color="auto" w:fill="E0C198"/>
            <w:vAlign w:val="center"/>
            <w:hideMark/>
          </w:tcPr>
          <w:p w14:paraId="1AD86216" w14:textId="77777777" w:rsidR="008D471F" w:rsidRPr="008E02D3" w:rsidRDefault="008D471F" w:rsidP="00185CE9">
            <w:pPr>
              <w:pStyle w:val="NormalWeb"/>
              <w:rPr>
                <w:b/>
                <w:bCs/>
                <w:color w:val="000000" w:themeColor="text1"/>
                <w:sz w:val="18"/>
                <w:szCs w:val="18"/>
              </w:rPr>
            </w:pPr>
            <w:r w:rsidRPr="008E02D3">
              <w:rPr>
                <w:b/>
                <w:bCs/>
                <w:color w:val="000000" w:themeColor="text1"/>
                <w:sz w:val="18"/>
                <w:szCs w:val="18"/>
              </w:rPr>
              <w:t>Motivation</w:t>
            </w:r>
          </w:p>
        </w:tc>
      </w:tr>
      <w:tr w:rsidR="008D471F" w:rsidRPr="008D471F" w14:paraId="76985DB6"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5153F17" w14:textId="77777777" w:rsidR="008D471F" w:rsidRPr="008D471F" w:rsidRDefault="008D471F" w:rsidP="00185CE9">
            <w:pPr>
              <w:pStyle w:val="NormalWeb"/>
              <w:rPr>
                <w:sz w:val="18"/>
                <w:szCs w:val="18"/>
              </w:rPr>
            </w:pPr>
            <w:r w:rsidRPr="008D471F">
              <w:rPr>
                <w:sz w:val="18"/>
                <w:szCs w:val="18"/>
              </w:rPr>
              <w:t>If a COVID-19 vaccine is available to you, will you get it?</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5B222680" w14:textId="77777777" w:rsidR="008D471F" w:rsidRPr="008D471F" w:rsidRDefault="008D471F" w:rsidP="005967AF">
            <w:pPr>
              <w:pStyle w:val="NormalWeb"/>
              <w:jc w:val="center"/>
              <w:rPr>
                <w:sz w:val="18"/>
                <w:szCs w:val="18"/>
              </w:rPr>
            </w:pPr>
            <w:r w:rsidRPr="008D471F">
              <w:rPr>
                <w:sz w:val="18"/>
                <w:szCs w:val="18"/>
              </w:rPr>
              <w:t>Already vaccinated</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82BF1D6" w14:textId="77777777" w:rsidR="008D471F" w:rsidRPr="008D471F" w:rsidRDefault="008D471F" w:rsidP="005967AF">
            <w:pPr>
              <w:pStyle w:val="NormalWeb"/>
              <w:jc w:val="center"/>
              <w:rPr>
                <w:sz w:val="18"/>
                <w:szCs w:val="18"/>
              </w:rPr>
            </w:pPr>
            <w:r w:rsidRPr="008D471F">
              <w:rPr>
                <w:sz w:val="18"/>
                <w:szCs w:val="18"/>
              </w:rPr>
              <w:t>0 (0.0)</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58E989D0" w14:textId="77777777" w:rsidR="008D471F" w:rsidRPr="008D471F" w:rsidRDefault="008D471F" w:rsidP="005967AF">
            <w:pPr>
              <w:pStyle w:val="NormalWeb"/>
              <w:jc w:val="center"/>
              <w:rPr>
                <w:sz w:val="18"/>
                <w:szCs w:val="18"/>
              </w:rPr>
            </w:pPr>
            <w:r w:rsidRPr="008D471F">
              <w:rPr>
                <w:sz w:val="18"/>
                <w:szCs w:val="18"/>
              </w:rPr>
              <w:t>153 (100.0)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1258E00F" w14:textId="77777777" w:rsidR="008D471F" w:rsidRPr="008D471F" w:rsidRDefault="008D471F" w:rsidP="005967AF">
            <w:pPr>
              <w:pStyle w:val="NormalWeb"/>
              <w:jc w:val="center"/>
              <w:rPr>
                <w:sz w:val="18"/>
                <w:szCs w:val="18"/>
              </w:rPr>
            </w:pPr>
            <w:r w:rsidRPr="008D471F">
              <w:rPr>
                <w:sz w:val="18"/>
                <w:szCs w:val="18"/>
              </w:rPr>
              <w:t>NA</w:t>
            </w:r>
          </w:p>
        </w:tc>
      </w:tr>
      <w:tr w:rsidR="005967AF" w:rsidRPr="008D471F" w14:paraId="1AB22A06"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E500D25"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7015325C" w14:textId="77777777" w:rsidR="008D471F" w:rsidRPr="008D471F" w:rsidRDefault="008D471F" w:rsidP="005967AF">
            <w:pPr>
              <w:pStyle w:val="NormalWeb"/>
              <w:jc w:val="center"/>
              <w:rPr>
                <w:sz w:val="18"/>
                <w:szCs w:val="18"/>
              </w:rPr>
            </w:pPr>
            <w:r w:rsidRPr="008D471F">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7839DF2A" w14:textId="77777777" w:rsidR="008D471F" w:rsidRPr="008D471F" w:rsidRDefault="008D471F" w:rsidP="005967AF">
            <w:pPr>
              <w:pStyle w:val="NormalWeb"/>
              <w:jc w:val="center"/>
              <w:rPr>
                <w:sz w:val="18"/>
                <w:szCs w:val="18"/>
              </w:rPr>
            </w:pPr>
            <w:r w:rsidRPr="008D471F">
              <w:rPr>
                <w:sz w:val="18"/>
                <w:szCs w:val="18"/>
              </w:rPr>
              <w:t>46 (75.4)</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5F335640" w14:textId="77777777" w:rsidR="008D471F" w:rsidRPr="008D471F" w:rsidRDefault="008D471F" w:rsidP="005967AF">
            <w:pPr>
              <w:pStyle w:val="NormalWeb"/>
              <w:jc w:val="center"/>
              <w:rPr>
                <w:sz w:val="18"/>
                <w:szCs w:val="18"/>
              </w:rPr>
            </w:pPr>
            <w:r w:rsidRPr="008D471F">
              <w:rPr>
                <w:sz w:val="18"/>
                <w:szCs w:val="18"/>
              </w:rPr>
              <w:t>0 (0.0)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4F80C92A" w14:textId="77777777" w:rsidR="008D471F" w:rsidRPr="008D471F" w:rsidRDefault="008D471F" w:rsidP="005967AF">
            <w:pPr>
              <w:jc w:val="center"/>
              <w:rPr>
                <w:sz w:val="18"/>
                <w:szCs w:val="18"/>
              </w:rPr>
            </w:pPr>
          </w:p>
        </w:tc>
      </w:tr>
      <w:tr w:rsidR="008D471F" w:rsidRPr="008D471F" w14:paraId="5955B488"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002F2E2"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4C2CA59D" w14:textId="77777777" w:rsidR="008D471F" w:rsidRPr="008D471F" w:rsidRDefault="008D471F" w:rsidP="005967AF">
            <w:pPr>
              <w:pStyle w:val="NormalWeb"/>
              <w:jc w:val="center"/>
              <w:rPr>
                <w:sz w:val="18"/>
                <w:szCs w:val="18"/>
              </w:rPr>
            </w:pPr>
            <w:r w:rsidRPr="008D471F">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67DA45E2" w14:textId="77777777" w:rsidR="008D471F" w:rsidRPr="008D471F" w:rsidRDefault="008D471F" w:rsidP="005967AF">
            <w:pPr>
              <w:pStyle w:val="NormalWeb"/>
              <w:jc w:val="center"/>
              <w:rPr>
                <w:sz w:val="18"/>
                <w:szCs w:val="18"/>
              </w:rPr>
            </w:pPr>
            <w:r w:rsidRPr="008D471F">
              <w:rPr>
                <w:sz w:val="18"/>
                <w:szCs w:val="18"/>
              </w:rPr>
              <w:t>15 (24.6)</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BB7E4BD" w14:textId="77777777" w:rsidR="008D471F" w:rsidRPr="008D471F" w:rsidRDefault="008D471F" w:rsidP="005967AF">
            <w:pPr>
              <w:pStyle w:val="NormalWeb"/>
              <w:jc w:val="center"/>
              <w:rPr>
                <w:sz w:val="18"/>
                <w:szCs w:val="18"/>
              </w:rPr>
            </w:pPr>
            <w:r w:rsidRPr="008D471F">
              <w:rPr>
                <w:sz w:val="18"/>
                <w:szCs w:val="18"/>
              </w:rPr>
              <w:t>0 (0.0)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18CF073F" w14:textId="77777777" w:rsidR="008D471F" w:rsidRPr="008D471F" w:rsidRDefault="008D471F" w:rsidP="005967AF">
            <w:pPr>
              <w:jc w:val="center"/>
              <w:rPr>
                <w:sz w:val="18"/>
                <w:szCs w:val="18"/>
              </w:rPr>
            </w:pPr>
          </w:p>
        </w:tc>
      </w:tr>
      <w:tr w:rsidR="005967AF" w:rsidRPr="008D471F" w14:paraId="679582FC" w14:textId="77777777" w:rsidTr="00185CE9">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7FBAB89" w14:textId="77777777" w:rsidR="008D471F" w:rsidRPr="008D471F" w:rsidRDefault="008D471F" w:rsidP="00185CE9">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1CF0705A" w14:textId="77777777" w:rsidR="008D471F" w:rsidRPr="008D471F" w:rsidRDefault="008D471F" w:rsidP="005967AF">
            <w:pPr>
              <w:pStyle w:val="NormalWeb"/>
              <w:jc w:val="center"/>
              <w:rPr>
                <w:sz w:val="18"/>
                <w:szCs w:val="18"/>
              </w:rPr>
            </w:pPr>
            <w:r w:rsidRPr="008D471F">
              <w:rPr>
                <w:sz w:val="18"/>
                <w:szCs w:val="18"/>
              </w:rPr>
              <w:t>Not sure</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4F12EE68" w14:textId="77777777" w:rsidR="008D471F" w:rsidRPr="008D471F" w:rsidRDefault="008D471F" w:rsidP="005967AF">
            <w:pPr>
              <w:pStyle w:val="NormalWeb"/>
              <w:jc w:val="center"/>
              <w:rPr>
                <w:sz w:val="18"/>
                <w:szCs w:val="18"/>
              </w:rPr>
            </w:pPr>
            <w:r w:rsidRPr="008D471F">
              <w:rPr>
                <w:sz w:val="18"/>
                <w:szCs w:val="18"/>
              </w:rPr>
              <w:t>26 (29.9)</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2450F116" w14:textId="77777777" w:rsidR="008D471F" w:rsidRPr="008D471F" w:rsidRDefault="008D471F" w:rsidP="005967AF">
            <w:pPr>
              <w:pStyle w:val="NormalWeb"/>
              <w:jc w:val="center"/>
              <w:rPr>
                <w:sz w:val="18"/>
                <w:szCs w:val="18"/>
              </w:rPr>
            </w:pPr>
            <w:r w:rsidRPr="008D471F">
              <w:rPr>
                <w:sz w:val="18"/>
                <w:szCs w:val="18"/>
              </w:rPr>
              <w:t>0 (0.0)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503DA2A5" w14:textId="77777777" w:rsidR="008D471F" w:rsidRPr="008D471F" w:rsidRDefault="008D471F" w:rsidP="005967AF">
            <w:pPr>
              <w:jc w:val="center"/>
              <w:rPr>
                <w:sz w:val="18"/>
                <w:szCs w:val="18"/>
              </w:rPr>
            </w:pPr>
          </w:p>
        </w:tc>
      </w:tr>
      <w:tr w:rsidR="008D471F" w:rsidRPr="008D471F" w14:paraId="2B75AC7E" w14:textId="77777777" w:rsidTr="00185CE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DCEDEBA" w14:textId="77777777" w:rsidR="008D471F" w:rsidRPr="008D471F" w:rsidRDefault="008D471F" w:rsidP="00185CE9">
            <w:pPr>
              <w:pStyle w:val="NormalWeb"/>
              <w:rPr>
                <w:sz w:val="18"/>
                <w:szCs w:val="18"/>
              </w:rPr>
            </w:pPr>
            <w:r w:rsidRPr="008D471F">
              <w:rPr>
                <w:sz w:val="18"/>
                <w:szCs w:val="18"/>
              </w:rPr>
              <w:t>Would you recommend a COVID-19 vaccine to eligible patients?</w:t>
            </w: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344375F7" w14:textId="77777777" w:rsidR="008D471F" w:rsidRPr="008D471F" w:rsidRDefault="008D471F" w:rsidP="005967AF">
            <w:pPr>
              <w:pStyle w:val="NormalWeb"/>
              <w:jc w:val="center"/>
              <w:rPr>
                <w:sz w:val="18"/>
                <w:szCs w:val="18"/>
              </w:rPr>
            </w:pPr>
            <w:r w:rsidRPr="008D471F">
              <w:rPr>
                <w:sz w:val="18"/>
                <w:szCs w:val="18"/>
              </w:rPr>
              <w:t>Yes</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1B1149E4" w14:textId="77777777" w:rsidR="008D471F" w:rsidRPr="008D471F" w:rsidRDefault="008D471F" w:rsidP="005967AF">
            <w:pPr>
              <w:pStyle w:val="NormalWeb"/>
              <w:jc w:val="center"/>
              <w:rPr>
                <w:sz w:val="18"/>
                <w:szCs w:val="18"/>
              </w:rPr>
            </w:pPr>
            <w:r w:rsidRPr="008D471F">
              <w:rPr>
                <w:sz w:val="18"/>
                <w:szCs w:val="18"/>
              </w:rPr>
              <w:t>36 (41.4)</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014C7C69" w14:textId="77777777" w:rsidR="008D471F" w:rsidRPr="008D471F" w:rsidRDefault="008D471F" w:rsidP="005967AF">
            <w:pPr>
              <w:pStyle w:val="NormalWeb"/>
              <w:jc w:val="center"/>
              <w:rPr>
                <w:sz w:val="18"/>
                <w:szCs w:val="18"/>
              </w:rPr>
            </w:pPr>
            <w:r w:rsidRPr="008D471F">
              <w:rPr>
                <w:sz w:val="18"/>
                <w:szCs w:val="18"/>
              </w:rPr>
              <w:t>123 (80.4)</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6E4D6DAE" w14:textId="77777777" w:rsidR="008D471F" w:rsidRPr="008D471F" w:rsidRDefault="008D471F" w:rsidP="005967AF">
            <w:pPr>
              <w:pStyle w:val="NormalWeb"/>
              <w:jc w:val="center"/>
              <w:rPr>
                <w:sz w:val="18"/>
                <w:szCs w:val="18"/>
              </w:rPr>
            </w:pPr>
            <w:r w:rsidRPr="008D471F">
              <w:rPr>
                <w:sz w:val="18"/>
                <w:szCs w:val="18"/>
              </w:rPr>
              <w:t>Ref</w:t>
            </w:r>
          </w:p>
        </w:tc>
      </w:tr>
      <w:tr w:rsidR="005967AF" w:rsidRPr="008D471F" w14:paraId="0858683D" w14:textId="77777777" w:rsidTr="005967AF">
        <w:tblPrEx>
          <w:tblCellMar>
            <w:top w:w="57" w:type="dxa"/>
            <w:left w:w="57" w:type="dxa"/>
            <w:bottom w:w="57" w:type="dxa"/>
            <w:right w:w="57" w:type="dxa"/>
          </w:tblCellMar>
        </w:tblPrEx>
        <w:tc>
          <w:tcPr>
            <w:tcW w:w="5812" w:type="dxa"/>
            <w:vMerge/>
            <w:tcBorders>
              <w:top w:val="single" w:sz="2" w:space="0" w:color="auto"/>
              <w:left w:val="single" w:sz="2" w:space="0" w:color="auto"/>
              <w:bottom w:val="single" w:sz="2" w:space="0" w:color="auto"/>
              <w:right w:val="single" w:sz="2" w:space="0" w:color="auto"/>
            </w:tcBorders>
            <w:shd w:val="clear" w:color="auto" w:fill="auto"/>
            <w:hideMark/>
          </w:tcPr>
          <w:p w14:paraId="5C671B96" w14:textId="77777777" w:rsidR="008D471F" w:rsidRPr="008D471F" w:rsidRDefault="008D471F" w:rsidP="0098354A">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7A9A4412" w14:textId="77777777" w:rsidR="008D471F" w:rsidRPr="008D471F" w:rsidRDefault="008D471F" w:rsidP="005967AF">
            <w:pPr>
              <w:pStyle w:val="NormalWeb"/>
              <w:jc w:val="center"/>
              <w:rPr>
                <w:sz w:val="18"/>
                <w:szCs w:val="18"/>
              </w:rPr>
            </w:pPr>
            <w:r w:rsidRPr="008D471F">
              <w:rPr>
                <w:sz w:val="18"/>
                <w:szCs w:val="18"/>
              </w:rPr>
              <w:t>No</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0B326D0A" w14:textId="77777777" w:rsidR="008D471F" w:rsidRPr="008D471F" w:rsidRDefault="008D471F" w:rsidP="005967AF">
            <w:pPr>
              <w:pStyle w:val="NormalWeb"/>
              <w:jc w:val="center"/>
              <w:rPr>
                <w:sz w:val="18"/>
                <w:szCs w:val="18"/>
              </w:rPr>
            </w:pPr>
            <w:r w:rsidRPr="008D471F">
              <w:rPr>
                <w:sz w:val="18"/>
                <w:szCs w:val="18"/>
              </w:rPr>
              <w:t>1 (1.1)</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288DCDE9" w14:textId="77777777" w:rsidR="008D471F" w:rsidRPr="008D471F" w:rsidRDefault="008D471F" w:rsidP="005967AF">
            <w:pPr>
              <w:pStyle w:val="NormalWeb"/>
              <w:jc w:val="center"/>
              <w:rPr>
                <w:sz w:val="18"/>
                <w:szCs w:val="18"/>
              </w:rPr>
            </w:pPr>
            <w:r w:rsidRPr="008D471F">
              <w:rPr>
                <w:sz w:val="18"/>
                <w:szCs w:val="18"/>
              </w:rPr>
              <w:t>1 (0.7)</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63211CBD" w14:textId="77777777" w:rsidR="008D471F" w:rsidRPr="008D471F" w:rsidRDefault="008D471F" w:rsidP="005967AF">
            <w:pPr>
              <w:pStyle w:val="NormalWeb"/>
              <w:jc w:val="center"/>
              <w:rPr>
                <w:sz w:val="18"/>
                <w:szCs w:val="18"/>
              </w:rPr>
            </w:pPr>
            <w:r w:rsidRPr="008D471F">
              <w:rPr>
                <w:sz w:val="18"/>
                <w:szCs w:val="18"/>
              </w:rPr>
              <w:t>0.29 (0.01–7.52; p = 0.389)</w:t>
            </w:r>
          </w:p>
        </w:tc>
      </w:tr>
      <w:tr w:rsidR="008D471F" w:rsidRPr="008D471F" w14:paraId="35E14D2F" w14:textId="77777777" w:rsidTr="005967A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812" w:type="dxa"/>
            <w:vMerge/>
            <w:tcBorders>
              <w:top w:val="single" w:sz="2" w:space="0" w:color="auto"/>
              <w:left w:val="single" w:sz="2" w:space="0" w:color="auto"/>
              <w:bottom w:val="single" w:sz="2" w:space="0" w:color="auto"/>
              <w:right w:val="single" w:sz="2" w:space="0" w:color="auto"/>
            </w:tcBorders>
            <w:shd w:val="clear" w:color="auto" w:fill="auto"/>
            <w:hideMark/>
          </w:tcPr>
          <w:p w14:paraId="42A39D03" w14:textId="77777777" w:rsidR="008D471F" w:rsidRPr="008D471F" w:rsidRDefault="008D471F" w:rsidP="0098354A">
            <w:pPr>
              <w:rPr>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hideMark/>
          </w:tcPr>
          <w:p w14:paraId="19CB666A" w14:textId="77777777" w:rsidR="008D471F" w:rsidRPr="008D471F" w:rsidRDefault="008D471F" w:rsidP="005967AF">
            <w:pPr>
              <w:pStyle w:val="NormalWeb"/>
              <w:jc w:val="center"/>
              <w:rPr>
                <w:sz w:val="18"/>
                <w:szCs w:val="18"/>
              </w:rPr>
            </w:pPr>
            <w:r w:rsidRPr="008D471F">
              <w:rPr>
                <w:sz w:val="18"/>
                <w:szCs w:val="18"/>
              </w:rPr>
              <w:t>No patient contact</w:t>
            </w:r>
          </w:p>
        </w:tc>
        <w:tc>
          <w:tcPr>
            <w:tcW w:w="1418" w:type="dxa"/>
            <w:tcBorders>
              <w:top w:val="single" w:sz="2" w:space="0" w:color="auto"/>
              <w:left w:val="single" w:sz="2" w:space="0" w:color="auto"/>
              <w:bottom w:val="single" w:sz="2" w:space="0" w:color="auto"/>
              <w:right w:val="single" w:sz="2" w:space="0" w:color="auto"/>
            </w:tcBorders>
            <w:shd w:val="clear" w:color="auto" w:fill="auto"/>
            <w:hideMark/>
          </w:tcPr>
          <w:p w14:paraId="2B24C0AF" w14:textId="77777777" w:rsidR="008D471F" w:rsidRPr="008D471F" w:rsidRDefault="008D471F" w:rsidP="005967AF">
            <w:pPr>
              <w:pStyle w:val="NormalWeb"/>
              <w:jc w:val="center"/>
              <w:rPr>
                <w:sz w:val="18"/>
                <w:szCs w:val="18"/>
              </w:rPr>
            </w:pPr>
            <w:r w:rsidRPr="008D471F">
              <w:rPr>
                <w:sz w:val="18"/>
                <w:szCs w:val="18"/>
              </w:rPr>
              <w:t>50 (57.5)</w:t>
            </w:r>
          </w:p>
        </w:tc>
        <w:tc>
          <w:tcPr>
            <w:tcW w:w="1275" w:type="dxa"/>
            <w:tcBorders>
              <w:top w:val="single" w:sz="2" w:space="0" w:color="auto"/>
              <w:left w:val="single" w:sz="2" w:space="0" w:color="auto"/>
              <w:bottom w:val="single" w:sz="2" w:space="0" w:color="auto"/>
              <w:right w:val="single" w:sz="2" w:space="0" w:color="auto"/>
            </w:tcBorders>
            <w:shd w:val="clear" w:color="auto" w:fill="auto"/>
            <w:hideMark/>
          </w:tcPr>
          <w:p w14:paraId="3C00BAB0" w14:textId="77777777" w:rsidR="008D471F" w:rsidRPr="008D471F" w:rsidRDefault="008D471F" w:rsidP="005967AF">
            <w:pPr>
              <w:pStyle w:val="NormalWeb"/>
              <w:jc w:val="center"/>
              <w:rPr>
                <w:sz w:val="18"/>
                <w:szCs w:val="18"/>
              </w:rPr>
            </w:pPr>
            <w:r w:rsidRPr="008D471F">
              <w:rPr>
                <w:sz w:val="18"/>
                <w:szCs w:val="18"/>
              </w:rPr>
              <w:t>29 (19.0)</w:t>
            </w:r>
          </w:p>
        </w:tc>
        <w:tc>
          <w:tcPr>
            <w:tcW w:w="2510" w:type="dxa"/>
            <w:tcBorders>
              <w:top w:val="single" w:sz="2" w:space="0" w:color="auto"/>
              <w:left w:val="single" w:sz="2" w:space="0" w:color="auto"/>
              <w:bottom w:val="single" w:sz="2" w:space="0" w:color="auto"/>
              <w:right w:val="single" w:sz="2" w:space="0" w:color="auto"/>
            </w:tcBorders>
            <w:shd w:val="clear" w:color="auto" w:fill="auto"/>
            <w:hideMark/>
          </w:tcPr>
          <w:p w14:paraId="0306C5DC" w14:textId="77777777" w:rsidR="008D471F" w:rsidRPr="008D471F" w:rsidRDefault="008D471F" w:rsidP="005967AF">
            <w:pPr>
              <w:pStyle w:val="NormalWeb"/>
              <w:jc w:val="center"/>
              <w:rPr>
                <w:sz w:val="18"/>
                <w:szCs w:val="18"/>
              </w:rPr>
            </w:pPr>
            <w:r w:rsidRPr="008D471F">
              <w:rPr>
                <w:sz w:val="18"/>
                <w:szCs w:val="18"/>
              </w:rPr>
              <w:t>0.17 (0.09–0.30; p &lt; 0.001)</w:t>
            </w:r>
          </w:p>
        </w:tc>
      </w:tr>
    </w:tbl>
    <w:p w14:paraId="1F5AC9C3" w14:textId="77777777" w:rsidR="008D471F" w:rsidRDefault="008D471F" w:rsidP="008D471F">
      <w:pPr>
        <w:pStyle w:val="CDIfootnotes"/>
        <w:rPr>
          <w:lang w:val="en-GB"/>
        </w:rPr>
      </w:pPr>
      <w:r>
        <w:rPr>
          <w:lang w:val="en-GB"/>
        </w:rPr>
        <w:t>a</w:t>
      </w:r>
      <w:r>
        <w:rPr>
          <w:lang w:val="en-GB"/>
        </w:rPr>
        <w:tab/>
        <w:t>Ref: reference state; NA: not applicable.</w:t>
      </w:r>
    </w:p>
    <w:p w14:paraId="2F6B0564" w14:textId="420BA13A" w:rsidR="008D471F" w:rsidRPr="008D471F" w:rsidRDefault="008D471F" w:rsidP="008D471F">
      <w:pPr>
        <w:pStyle w:val="CDIfootnotes"/>
        <w:rPr>
          <w:lang w:val="en-GB"/>
        </w:rPr>
      </w:pPr>
      <w:r>
        <w:rPr>
          <w:lang w:val="en-GB"/>
        </w:rPr>
        <w:t>b</w:t>
      </w:r>
      <w:r>
        <w:rPr>
          <w:lang w:val="en-GB"/>
        </w:rPr>
        <w:tab/>
        <w:t xml:space="preserve">Values shown in bold are those with </w:t>
      </w:r>
      <w:r w:rsidRPr="00046ED2">
        <w:rPr>
          <w:i/>
          <w:iCs/>
          <w:lang w:val="en-US"/>
        </w:rPr>
        <w:t>p</w:t>
      </w:r>
      <w:r>
        <w:rPr>
          <w:lang w:val="en-GB"/>
        </w:rPr>
        <w:t xml:space="preserve"> ≤ 0.05.</w:t>
      </w:r>
    </w:p>
    <w:p w14:paraId="05DD11EA" w14:textId="4DFC21E3" w:rsidR="00521E83" w:rsidRDefault="00521E83">
      <w:pPr>
        <w:rPr>
          <w:rFonts w:asciiTheme="majorHAnsi" w:eastAsiaTheme="majorEastAsia" w:hAnsiTheme="majorHAnsi" w:cstheme="majorBidi"/>
          <w:b/>
          <w:bCs/>
          <w:sz w:val="26"/>
          <w:szCs w:val="26"/>
        </w:rPr>
      </w:pPr>
      <w:r>
        <w:br w:type="page"/>
      </w:r>
    </w:p>
    <w:p w14:paraId="0406A437" w14:textId="77777777" w:rsidR="00521E83" w:rsidRPr="00A32D9C" w:rsidRDefault="00521E83" w:rsidP="00521E83">
      <w:pPr>
        <w:pStyle w:val="CDIFigures"/>
      </w:pPr>
      <w:r w:rsidRPr="00A32D9C">
        <w:rPr>
          <w:rStyle w:val="Strong"/>
          <w:b/>
          <w:bCs w:val="0"/>
        </w:rPr>
        <w:lastRenderedPageBreak/>
        <w:t>Table 5: Prominent themes emerging from responses to the question, “How do you feel about the COVID-19 vaccines?”, with positive or neutral sentiment</w:t>
      </w:r>
      <w:r w:rsidRPr="00A32D9C">
        <w:t xml:space="preserve"> </w:t>
      </w:r>
    </w:p>
    <w:tbl>
      <w:tblPr>
        <w:tblStyle w:val="CDI-StandardTable"/>
        <w:tblW w:w="0" w:type="auto"/>
        <w:tblLook w:val="04A0" w:firstRow="1" w:lastRow="0" w:firstColumn="1" w:lastColumn="0" w:noHBand="0" w:noVBand="1"/>
        <w:tblDescription w:val="Table 5 lists factors associated association with vaccine uptake listed by domain, including the adjusted odds ratio, confidence interval and p-value&#10;"/>
      </w:tblPr>
      <w:tblGrid>
        <w:gridCol w:w="2654"/>
        <w:gridCol w:w="1974"/>
        <w:gridCol w:w="2183"/>
        <w:gridCol w:w="2153"/>
        <w:gridCol w:w="3220"/>
        <w:gridCol w:w="2794"/>
      </w:tblGrid>
      <w:tr w:rsidR="00521E83" w:rsidRPr="00521E83" w14:paraId="7A042896" w14:textId="77777777" w:rsidTr="00964D78">
        <w:trPr>
          <w:cnfStyle w:val="100000000000" w:firstRow="1" w:lastRow="0" w:firstColumn="0" w:lastColumn="0" w:oddVBand="0" w:evenVBand="0" w:oddHBand="0" w:evenHBand="0" w:firstRowFirstColumn="0" w:firstRowLastColumn="0" w:lastRowFirstColumn="0" w:lastRowLastColumn="0"/>
          <w:tblHeader/>
        </w:trPr>
        <w:tc>
          <w:tcPr>
            <w:tcW w:w="0" w:type="auto"/>
            <w:gridSpan w:val="6"/>
            <w:tcBorders>
              <w:top w:val="single" w:sz="2" w:space="0" w:color="0D0D0D" w:themeColor="text1" w:themeTint="F2"/>
              <w:left w:val="single" w:sz="2" w:space="0" w:color="0D0D0D" w:themeColor="text1" w:themeTint="F2"/>
              <w:bottom w:val="single" w:sz="2" w:space="0" w:color="auto"/>
              <w:right w:val="single" w:sz="2" w:space="0" w:color="0D0D0D" w:themeColor="text1" w:themeTint="F2"/>
            </w:tcBorders>
            <w:hideMark/>
          </w:tcPr>
          <w:p w14:paraId="0DD686F5" w14:textId="77777777" w:rsidR="00521E83" w:rsidRPr="00521E83" w:rsidRDefault="00521E83" w:rsidP="0098354A">
            <w:pPr>
              <w:pStyle w:val="NormalWeb"/>
              <w:rPr>
                <w:color w:val="FFFFFF" w:themeColor="background1"/>
                <w:sz w:val="18"/>
                <w:szCs w:val="18"/>
              </w:rPr>
            </w:pPr>
            <w:r w:rsidRPr="00521E83">
              <w:rPr>
                <w:color w:val="FFFFFF" w:themeColor="background1"/>
                <w:sz w:val="18"/>
                <w:szCs w:val="18"/>
              </w:rPr>
              <w:t>Emergent theme</w:t>
            </w:r>
          </w:p>
        </w:tc>
      </w:tr>
      <w:tr w:rsidR="008E02D3" w:rsidRPr="008E02D3" w14:paraId="04E973F8" w14:textId="77777777" w:rsidTr="008E02D3">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single" w:sz="2" w:space="0" w:color="auto"/>
              <w:left w:val="single" w:sz="2" w:space="0" w:color="auto"/>
              <w:bottom w:val="single" w:sz="2" w:space="0" w:color="auto"/>
              <w:right w:val="single" w:sz="2" w:space="0" w:color="auto"/>
            </w:tcBorders>
            <w:shd w:val="clear" w:color="auto" w:fill="E0C198"/>
            <w:hideMark/>
          </w:tcPr>
          <w:p w14:paraId="0C95FC8E" w14:textId="77777777" w:rsidR="00521E83" w:rsidRPr="008E02D3" w:rsidRDefault="00521E83" w:rsidP="0098354A">
            <w:pPr>
              <w:pStyle w:val="NormalWeb"/>
              <w:rPr>
                <w:color w:val="000000" w:themeColor="text1"/>
                <w:sz w:val="18"/>
                <w:szCs w:val="18"/>
              </w:rPr>
            </w:pPr>
            <w:r w:rsidRPr="008E02D3">
              <w:rPr>
                <w:color w:val="000000" w:themeColor="text1"/>
                <w:sz w:val="18"/>
                <w:szCs w:val="18"/>
              </w:rPr>
              <w:t>Motivation</w:t>
            </w:r>
          </w:p>
        </w:tc>
        <w:tc>
          <w:tcPr>
            <w:tcW w:w="0" w:type="auto"/>
            <w:gridSpan w:val="2"/>
            <w:tcBorders>
              <w:top w:val="single" w:sz="2" w:space="0" w:color="auto"/>
              <w:left w:val="single" w:sz="2" w:space="0" w:color="auto"/>
              <w:bottom w:val="single" w:sz="2" w:space="0" w:color="auto"/>
              <w:right w:val="single" w:sz="2" w:space="0" w:color="auto"/>
            </w:tcBorders>
            <w:shd w:val="clear" w:color="auto" w:fill="E0C198"/>
            <w:hideMark/>
          </w:tcPr>
          <w:p w14:paraId="71068303" w14:textId="77777777" w:rsidR="00521E83" w:rsidRPr="008E02D3" w:rsidRDefault="00521E83" w:rsidP="007E1532">
            <w:pPr>
              <w:pStyle w:val="NormalWeb"/>
              <w:jc w:val="center"/>
              <w:rPr>
                <w:color w:val="000000" w:themeColor="text1"/>
                <w:sz w:val="18"/>
                <w:szCs w:val="18"/>
              </w:rPr>
            </w:pPr>
            <w:r w:rsidRPr="008E02D3">
              <w:rPr>
                <w:color w:val="000000" w:themeColor="text1"/>
                <w:sz w:val="18"/>
                <w:szCs w:val="18"/>
              </w:rPr>
              <w:t>Risk and trust</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21DD0978" w14:textId="77777777" w:rsidR="00521E83" w:rsidRPr="008E02D3" w:rsidRDefault="00521E83" w:rsidP="007E1532">
            <w:pPr>
              <w:pStyle w:val="NormalWeb"/>
              <w:jc w:val="center"/>
              <w:rPr>
                <w:color w:val="000000" w:themeColor="text1"/>
                <w:sz w:val="18"/>
                <w:szCs w:val="18"/>
              </w:rPr>
            </w:pPr>
            <w:r w:rsidRPr="008E02D3">
              <w:rPr>
                <w:color w:val="000000" w:themeColor="text1"/>
                <w:sz w:val="18"/>
                <w:szCs w:val="18"/>
              </w:rPr>
              <w:t>Experience</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37C11257" w14:textId="77777777" w:rsidR="00521E83" w:rsidRPr="008E02D3" w:rsidRDefault="00521E83" w:rsidP="007E1532">
            <w:pPr>
              <w:pStyle w:val="NormalWeb"/>
              <w:jc w:val="center"/>
              <w:rPr>
                <w:color w:val="000000" w:themeColor="text1"/>
                <w:sz w:val="18"/>
                <w:szCs w:val="18"/>
              </w:rPr>
            </w:pPr>
            <w:r w:rsidRPr="008E02D3">
              <w:rPr>
                <w:color w:val="000000" w:themeColor="text1"/>
                <w:sz w:val="18"/>
                <w:szCs w:val="18"/>
              </w:rPr>
              <w:t>General thoughts and feelings</w:t>
            </w:r>
          </w:p>
        </w:tc>
      </w:tr>
      <w:tr w:rsidR="00521E83" w:rsidRPr="00521E83" w14:paraId="4612BC8E" w14:textId="77777777" w:rsidTr="008E79FD">
        <w:tblPrEx>
          <w:tblCellMar>
            <w:top w:w="57" w:type="dxa"/>
            <w:left w:w="57" w:type="dxa"/>
            <w:bottom w:w="57" w:type="dxa"/>
            <w:right w:w="57" w:type="dxa"/>
          </w:tblCellMar>
        </w:tblPrEx>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14:paraId="0B1294D7" w14:textId="77777777" w:rsidR="00521E83" w:rsidRPr="00521E83" w:rsidRDefault="00521E83" w:rsidP="0098354A">
            <w:pPr>
              <w:pStyle w:val="NormalWeb"/>
              <w:rPr>
                <w:sz w:val="18"/>
                <w:szCs w:val="18"/>
              </w:rPr>
            </w:pPr>
            <w:r w:rsidRPr="00521E83">
              <w:rPr>
                <w:sz w:val="18"/>
                <w:szCs w:val="18"/>
              </w:rPr>
              <w:t>Responses giving reasons why people feel the vaccine is needed, or why they would want to have one</w:t>
            </w:r>
          </w:p>
        </w:tc>
        <w:tc>
          <w:tcPr>
            <w:tcW w:w="0" w:type="auto"/>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62E4A1DE" w14:textId="77777777" w:rsidR="00521E83" w:rsidRPr="00521E83" w:rsidRDefault="00521E83" w:rsidP="00521E83">
            <w:pPr>
              <w:pStyle w:val="NormalWeb"/>
              <w:jc w:val="center"/>
              <w:rPr>
                <w:i/>
                <w:iCs/>
                <w:sz w:val="18"/>
                <w:szCs w:val="18"/>
              </w:rPr>
            </w:pPr>
            <w:r w:rsidRPr="00521E83">
              <w:rPr>
                <w:i/>
                <w:iCs/>
                <w:sz w:val="18"/>
                <w:szCs w:val="18"/>
              </w:rPr>
              <w:t>Responses relating to faith in vaccine development and licensing / approval processes, vaccine effectiveness, and weighing of risks and benefits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822B077" w14:textId="77777777" w:rsidR="00521E83" w:rsidRPr="00521E83" w:rsidRDefault="00521E83" w:rsidP="00521E83">
            <w:pPr>
              <w:pStyle w:val="NormalWeb"/>
              <w:jc w:val="center"/>
              <w:rPr>
                <w:i/>
                <w:iCs/>
                <w:sz w:val="18"/>
                <w:szCs w:val="18"/>
              </w:rPr>
            </w:pPr>
            <w:r w:rsidRPr="00521E83">
              <w:rPr>
                <w:i/>
                <w:iCs/>
                <w:sz w:val="18"/>
                <w:szCs w:val="18"/>
              </w:rPr>
              <w:t>Responses mentioning previous vaccination experiences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5D8B7DE" w14:textId="77777777" w:rsidR="00521E83" w:rsidRPr="00521E83" w:rsidRDefault="00521E83" w:rsidP="00521E83">
            <w:pPr>
              <w:pStyle w:val="NormalWeb"/>
              <w:jc w:val="center"/>
              <w:rPr>
                <w:i/>
                <w:iCs/>
                <w:sz w:val="18"/>
                <w:szCs w:val="18"/>
              </w:rPr>
            </w:pPr>
            <w:r w:rsidRPr="00521E83">
              <w:rPr>
                <w:i/>
                <w:iCs/>
                <w:sz w:val="18"/>
                <w:szCs w:val="18"/>
              </w:rPr>
              <w:t>Responses describing a general sentiment or thought about the COVID-19 vaccine</w:t>
            </w:r>
          </w:p>
        </w:tc>
      </w:tr>
      <w:tr w:rsidR="008E02D3" w:rsidRPr="008E02D3" w14:paraId="503429F1" w14:textId="77777777" w:rsidTr="008E02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gridSpan w:val="2"/>
            <w:tcBorders>
              <w:top w:val="single" w:sz="2" w:space="0" w:color="auto"/>
              <w:left w:val="single" w:sz="2" w:space="0" w:color="auto"/>
              <w:bottom w:val="single" w:sz="2" w:space="0" w:color="auto"/>
              <w:right w:val="single" w:sz="2" w:space="0" w:color="auto"/>
            </w:tcBorders>
            <w:shd w:val="clear" w:color="auto" w:fill="E0C198"/>
            <w:hideMark/>
          </w:tcPr>
          <w:p w14:paraId="57D8658E" w14:textId="77777777" w:rsidR="00521E83" w:rsidRPr="008E02D3" w:rsidRDefault="00521E83" w:rsidP="0098354A">
            <w:pPr>
              <w:pStyle w:val="NormalWeb"/>
              <w:rPr>
                <w:b/>
                <w:bCs/>
                <w:color w:val="000000" w:themeColor="text1"/>
                <w:sz w:val="18"/>
                <w:szCs w:val="18"/>
              </w:rPr>
            </w:pPr>
            <w:r w:rsidRPr="008E02D3">
              <w:rPr>
                <w:b/>
                <w:bCs/>
                <w:color w:val="000000" w:themeColor="text1"/>
                <w:sz w:val="18"/>
                <w:szCs w:val="18"/>
              </w:rPr>
              <w:t>Sub-theme</w:t>
            </w:r>
          </w:p>
        </w:tc>
        <w:tc>
          <w:tcPr>
            <w:tcW w:w="0" w:type="auto"/>
            <w:gridSpan w:val="2"/>
            <w:tcBorders>
              <w:top w:val="single" w:sz="2" w:space="0" w:color="auto"/>
              <w:left w:val="single" w:sz="2" w:space="0" w:color="auto"/>
              <w:bottom w:val="single" w:sz="2" w:space="0" w:color="auto"/>
              <w:right w:val="single" w:sz="2" w:space="0" w:color="auto"/>
            </w:tcBorders>
            <w:shd w:val="clear" w:color="auto" w:fill="E0C198"/>
            <w:hideMark/>
          </w:tcPr>
          <w:p w14:paraId="23BCEDDA" w14:textId="77777777" w:rsidR="00521E83" w:rsidRPr="008E02D3" w:rsidRDefault="00521E83" w:rsidP="00521E83">
            <w:pPr>
              <w:pStyle w:val="NormalWeb"/>
              <w:jc w:val="center"/>
              <w:rPr>
                <w:b/>
                <w:bCs/>
                <w:color w:val="000000" w:themeColor="text1"/>
                <w:sz w:val="18"/>
                <w:szCs w:val="18"/>
              </w:rPr>
            </w:pPr>
            <w:r w:rsidRPr="008E02D3">
              <w:rPr>
                <w:b/>
                <w:bCs/>
                <w:color w:val="000000" w:themeColor="text1"/>
                <w:sz w:val="18"/>
                <w:szCs w:val="18"/>
              </w:rPr>
              <w:t>Sub-theme</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21FD81F0" w14:textId="77777777" w:rsidR="00521E83" w:rsidRPr="008E02D3" w:rsidRDefault="00521E83" w:rsidP="00521E83">
            <w:pPr>
              <w:pStyle w:val="NormalWeb"/>
              <w:jc w:val="center"/>
              <w:rPr>
                <w:b/>
                <w:bCs/>
                <w:color w:val="000000" w:themeColor="text1"/>
                <w:sz w:val="18"/>
                <w:szCs w:val="18"/>
              </w:rPr>
            </w:pPr>
            <w:r w:rsidRPr="008E02D3">
              <w:rPr>
                <w:b/>
                <w:bCs/>
                <w:color w:val="000000" w:themeColor="text1"/>
                <w:sz w:val="18"/>
                <w:szCs w:val="18"/>
              </w:rPr>
              <w:t>Sub-theme</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156EA171" w14:textId="77777777" w:rsidR="00521E83" w:rsidRPr="008E02D3" w:rsidRDefault="00521E83" w:rsidP="00521E83">
            <w:pPr>
              <w:pStyle w:val="NormalWeb"/>
              <w:jc w:val="center"/>
              <w:rPr>
                <w:b/>
                <w:bCs/>
                <w:color w:val="000000" w:themeColor="text1"/>
                <w:sz w:val="18"/>
                <w:szCs w:val="18"/>
              </w:rPr>
            </w:pPr>
            <w:r w:rsidRPr="008E02D3">
              <w:rPr>
                <w:b/>
                <w:bCs/>
                <w:color w:val="000000" w:themeColor="text1"/>
                <w:sz w:val="18"/>
                <w:szCs w:val="18"/>
              </w:rPr>
              <w:t>Sub-theme</w:t>
            </w:r>
          </w:p>
        </w:tc>
      </w:tr>
      <w:tr w:rsidR="00521E83" w:rsidRPr="00521E83" w14:paraId="27F450CB" w14:textId="77777777" w:rsidTr="00045135">
        <w:tblPrEx>
          <w:tblCellMar>
            <w:top w:w="57" w:type="dxa"/>
            <w:left w:w="57" w:type="dxa"/>
            <w:bottom w:w="57" w:type="dxa"/>
            <w:right w:w="57" w:type="dxa"/>
          </w:tblCellMar>
        </w:tblPrEx>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C39DDBC" w14:textId="77777777" w:rsidR="00521E83" w:rsidRPr="008E79FD" w:rsidRDefault="00521E83" w:rsidP="00045135">
            <w:pPr>
              <w:pStyle w:val="NormalWeb"/>
              <w:jc w:val="center"/>
              <w:rPr>
                <w:b/>
                <w:bCs/>
                <w:sz w:val="18"/>
                <w:szCs w:val="18"/>
              </w:rPr>
            </w:pPr>
            <w:r w:rsidRPr="008E79FD">
              <w:rPr>
                <w:b/>
                <w:bCs/>
                <w:sz w:val="18"/>
                <w:szCs w:val="18"/>
              </w:rPr>
              <w:t>Protection</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2FC77AC" w14:textId="77777777" w:rsidR="00521E83" w:rsidRPr="008E79FD" w:rsidRDefault="00521E83" w:rsidP="0041127F">
            <w:pPr>
              <w:pStyle w:val="NormalWeb"/>
              <w:jc w:val="center"/>
              <w:rPr>
                <w:b/>
                <w:bCs/>
                <w:sz w:val="18"/>
                <w:szCs w:val="18"/>
              </w:rPr>
            </w:pPr>
            <w:r w:rsidRPr="008E79FD">
              <w:rPr>
                <w:b/>
                <w:bCs/>
                <w:sz w:val="18"/>
                <w:szCs w:val="18"/>
              </w:rPr>
              <w:t>Travel</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A87DD6C" w14:textId="77777777" w:rsidR="00521E83" w:rsidRPr="008E79FD" w:rsidRDefault="00521E83" w:rsidP="0041127F">
            <w:pPr>
              <w:pStyle w:val="NormalWeb"/>
              <w:jc w:val="center"/>
              <w:rPr>
                <w:b/>
                <w:bCs/>
                <w:sz w:val="18"/>
                <w:szCs w:val="18"/>
              </w:rPr>
            </w:pPr>
            <w:r w:rsidRPr="008E79FD">
              <w:rPr>
                <w:b/>
                <w:bCs/>
                <w:sz w:val="18"/>
                <w:szCs w:val="18"/>
              </w:rPr>
              <w:t>Supportive, trust the system</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9464D35" w14:textId="77777777" w:rsidR="00521E83" w:rsidRPr="008E79FD" w:rsidRDefault="00521E83" w:rsidP="0041127F">
            <w:pPr>
              <w:pStyle w:val="NormalWeb"/>
              <w:jc w:val="center"/>
              <w:rPr>
                <w:b/>
                <w:bCs/>
                <w:sz w:val="18"/>
                <w:szCs w:val="18"/>
              </w:rPr>
            </w:pPr>
            <w:r w:rsidRPr="008E79FD">
              <w:rPr>
                <w:b/>
                <w:bCs/>
                <w:sz w:val="18"/>
                <w:szCs w:val="18"/>
              </w:rPr>
              <w:t>Benefits outweighs the risk</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90C9CFA" w14:textId="77777777" w:rsidR="00521E83" w:rsidRPr="008E79FD" w:rsidRDefault="00521E83" w:rsidP="0041127F">
            <w:pPr>
              <w:pStyle w:val="NormalWeb"/>
              <w:jc w:val="center"/>
              <w:rPr>
                <w:b/>
                <w:bCs/>
                <w:sz w:val="18"/>
                <w:szCs w:val="18"/>
              </w:rPr>
            </w:pPr>
            <w:r w:rsidRPr="008E79FD">
              <w:rPr>
                <w:b/>
                <w:bCs/>
                <w:sz w:val="18"/>
                <w:szCs w:val="18"/>
              </w:rPr>
              <w:t>Previous good or acceptable vaccination experience</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3EF21E7" w14:textId="77777777" w:rsidR="00521E83" w:rsidRPr="008E79FD" w:rsidRDefault="00521E83" w:rsidP="0041127F">
            <w:pPr>
              <w:pStyle w:val="NormalWeb"/>
              <w:jc w:val="center"/>
              <w:rPr>
                <w:b/>
                <w:bCs/>
                <w:sz w:val="18"/>
                <w:szCs w:val="18"/>
              </w:rPr>
            </w:pPr>
            <w:r w:rsidRPr="008E79FD">
              <w:rPr>
                <w:b/>
                <w:bCs/>
                <w:sz w:val="18"/>
                <w:szCs w:val="18"/>
              </w:rPr>
              <w:t>Hopeful, satisfied, grateful</w:t>
            </w:r>
          </w:p>
        </w:tc>
      </w:tr>
      <w:tr w:rsidR="00521E83" w:rsidRPr="00521E83" w14:paraId="3D61EC3E" w14:textId="77777777" w:rsidTr="008E79F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62CC4639" w14:textId="77777777" w:rsidR="00521E83" w:rsidRPr="00521E83" w:rsidRDefault="00521E83" w:rsidP="005E07E1">
            <w:pPr>
              <w:numPr>
                <w:ilvl w:val="0"/>
                <w:numId w:val="11"/>
              </w:numPr>
              <w:spacing w:before="100" w:beforeAutospacing="1" w:after="100" w:afterAutospacing="1"/>
              <w:ind w:left="226" w:hanging="113"/>
              <w:rPr>
                <w:rFonts w:eastAsia="Times New Roman"/>
                <w:sz w:val="18"/>
                <w:szCs w:val="18"/>
              </w:rPr>
            </w:pPr>
            <w:r w:rsidRPr="00521E83">
              <w:rPr>
                <w:rFonts w:eastAsia="Times New Roman"/>
                <w:sz w:val="18"/>
                <w:szCs w:val="18"/>
              </w:rPr>
              <w:t>Vaccine needed to protect self</w:t>
            </w:r>
          </w:p>
          <w:p w14:paraId="51AEE7AD" w14:textId="77777777" w:rsidR="00521E83" w:rsidRPr="00521E83" w:rsidRDefault="00521E83" w:rsidP="005E07E1">
            <w:pPr>
              <w:numPr>
                <w:ilvl w:val="0"/>
                <w:numId w:val="11"/>
              </w:numPr>
              <w:spacing w:before="100" w:beforeAutospacing="1" w:after="100" w:afterAutospacing="1"/>
              <w:ind w:left="226" w:hanging="113"/>
              <w:rPr>
                <w:rFonts w:eastAsia="Times New Roman"/>
                <w:sz w:val="18"/>
                <w:szCs w:val="18"/>
              </w:rPr>
            </w:pPr>
            <w:r w:rsidRPr="00521E83">
              <w:rPr>
                <w:rFonts w:eastAsia="Times New Roman"/>
                <w:sz w:val="18"/>
                <w:szCs w:val="18"/>
              </w:rPr>
              <w:t>Vaccine will protect the community through herd immunity</w:t>
            </w:r>
          </w:p>
          <w:p w14:paraId="3DFAB210" w14:textId="77777777" w:rsidR="00521E83" w:rsidRPr="00521E83" w:rsidRDefault="00521E83" w:rsidP="005E07E1">
            <w:pPr>
              <w:numPr>
                <w:ilvl w:val="0"/>
                <w:numId w:val="11"/>
              </w:numPr>
              <w:spacing w:before="100" w:beforeAutospacing="1" w:after="100" w:afterAutospacing="1"/>
              <w:ind w:left="226" w:hanging="113"/>
              <w:rPr>
                <w:rFonts w:eastAsia="Times New Roman"/>
                <w:sz w:val="18"/>
                <w:szCs w:val="18"/>
              </w:rPr>
            </w:pPr>
            <w:r w:rsidRPr="00521E83">
              <w:rPr>
                <w:rFonts w:eastAsia="Times New Roman"/>
                <w:sz w:val="18"/>
                <w:szCs w:val="18"/>
              </w:rPr>
              <w:t>Vaccine will stop them from inadvertently infecting loved ones and those with vulnerabilities</w:t>
            </w:r>
          </w:p>
          <w:p w14:paraId="558DDDF6" w14:textId="77777777" w:rsidR="00521E83" w:rsidRPr="00521E83" w:rsidRDefault="00521E83" w:rsidP="005E07E1">
            <w:pPr>
              <w:numPr>
                <w:ilvl w:val="0"/>
                <w:numId w:val="11"/>
              </w:numPr>
              <w:spacing w:before="100" w:beforeAutospacing="1" w:after="100" w:afterAutospacing="1"/>
              <w:ind w:left="226" w:hanging="113"/>
              <w:rPr>
                <w:rFonts w:eastAsia="Times New Roman"/>
                <w:sz w:val="18"/>
                <w:szCs w:val="18"/>
              </w:rPr>
            </w:pPr>
            <w:r w:rsidRPr="00521E83">
              <w:rPr>
                <w:rFonts w:eastAsia="Times New Roman"/>
                <w:sz w:val="18"/>
                <w:szCs w:val="18"/>
              </w:rPr>
              <w:t>Need for protection often tempered with a worry or doubt to overcome</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3E891184" w14:textId="77777777" w:rsidR="00521E83" w:rsidRPr="00521E83" w:rsidRDefault="00521E83" w:rsidP="005E07E1">
            <w:pPr>
              <w:numPr>
                <w:ilvl w:val="0"/>
                <w:numId w:val="12"/>
              </w:numPr>
              <w:spacing w:before="100" w:beforeAutospacing="1" w:after="100" w:afterAutospacing="1"/>
              <w:ind w:left="226" w:hanging="113"/>
              <w:rPr>
                <w:rFonts w:eastAsia="Times New Roman"/>
                <w:sz w:val="18"/>
                <w:szCs w:val="18"/>
              </w:rPr>
            </w:pPr>
            <w:r w:rsidRPr="00521E83">
              <w:rPr>
                <w:rFonts w:eastAsia="Times New Roman"/>
                <w:sz w:val="18"/>
                <w:szCs w:val="18"/>
              </w:rPr>
              <w:t>Vaccine will enable domestic and international travel</w:t>
            </w:r>
          </w:p>
          <w:p w14:paraId="2B71C50E" w14:textId="77777777" w:rsidR="00521E83" w:rsidRPr="00521E83" w:rsidRDefault="00521E83" w:rsidP="005E07E1">
            <w:pPr>
              <w:numPr>
                <w:ilvl w:val="0"/>
                <w:numId w:val="12"/>
              </w:numPr>
              <w:spacing w:before="100" w:beforeAutospacing="1" w:after="100" w:afterAutospacing="1"/>
              <w:ind w:left="226" w:hanging="113"/>
              <w:rPr>
                <w:rFonts w:eastAsia="Times New Roman"/>
                <w:sz w:val="18"/>
                <w:szCs w:val="18"/>
              </w:rPr>
            </w:pPr>
            <w:r w:rsidRPr="00521E83">
              <w:rPr>
                <w:rFonts w:eastAsia="Times New Roman"/>
                <w:sz w:val="18"/>
                <w:szCs w:val="18"/>
              </w:rPr>
              <w:t>Vaccine will enable reconnection with family overseas</w:t>
            </w:r>
          </w:p>
          <w:p w14:paraId="46A1643B" w14:textId="77777777" w:rsidR="00521E83" w:rsidRPr="00521E83" w:rsidRDefault="00521E83" w:rsidP="005E07E1">
            <w:pPr>
              <w:numPr>
                <w:ilvl w:val="0"/>
                <w:numId w:val="12"/>
              </w:numPr>
              <w:spacing w:before="100" w:beforeAutospacing="1" w:after="100" w:afterAutospacing="1"/>
              <w:ind w:left="226" w:hanging="113"/>
              <w:rPr>
                <w:rFonts w:eastAsia="Times New Roman"/>
                <w:sz w:val="18"/>
                <w:szCs w:val="18"/>
              </w:rPr>
            </w:pPr>
            <w:r w:rsidRPr="00521E83">
              <w:rPr>
                <w:rFonts w:eastAsia="Times New Roman"/>
                <w:sz w:val="18"/>
                <w:szCs w:val="18"/>
              </w:rPr>
              <w:t>Opening borders will help with trade</w:t>
            </w:r>
          </w:p>
          <w:p w14:paraId="388F037A" w14:textId="77777777" w:rsidR="00521E83" w:rsidRPr="00521E83" w:rsidRDefault="00521E83" w:rsidP="005E07E1">
            <w:pPr>
              <w:numPr>
                <w:ilvl w:val="0"/>
                <w:numId w:val="12"/>
              </w:numPr>
              <w:spacing w:before="100" w:beforeAutospacing="1" w:after="100" w:afterAutospacing="1"/>
              <w:ind w:left="226" w:hanging="113"/>
              <w:rPr>
                <w:rFonts w:eastAsia="Times New Roman"/>
                <w:sz w:val="18"/>
                <w:szCs w:val="18"/>
              </w:rPr>
            </w:pPr>
            <w:r w:rsidRPr="00521E83">
              <w:rPr>
                <w:rFonts w:eastAsia="Times New Roman"/>
                <w:sz w:val="18"/>
                <w:szCs w:val="18"/>
              </w:rPr>
              <w:t>Vaccine will enable freedom to move</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61852334" w14:textId="77777777" w:rsidR="00521E83" w:rsidRPr="00521E83" w:rsidRDefault="00521E83" w:rsidP="005E07E1">
            <w:pPr>
              <w:numPr>
                <w:ilvl w:val="0"/>
                <w:numId w:val="13"/>
              </w:numPr>
              <w:spacing w:before="100" w:beforeAutospacing="1" w:after="100" w:afterAutospacing="1"/>
              <w:ind w:left="226" w:hanging="113"/>
              <w:rPr>
                <w:rFonts w:eastAsia="Times New Roman"/>
                <w:sz w:val="18"/>
                <w:szCs w:val="18"/>
              </w:rPr>
            </w:pPr>
            <w:r w:rsidRPr="00521E83">
              <w:rPr>
                <w:rFonts w:eastAsia="Times New Roman"/>
                <w:sz w:val="18"/>
                <w:szCs w:val="18"/>
              </w:rPr>
              <w:t>Trust in regulatory system expressed</w:t>
            </w:r>
          </w:p>
          <w:p w14:paraId="4BA47175" w14:textId="77777777" w:rsidR="00521E83" w:rsidRPr="00521E83" w:rsidRDefault="00521E83" w:rsidP="005E07E1">
            <w:pPr>
              <w:numPr>
                <w:ilvl w:val="0"/>
                <w:numId w:val="13"/>
              </w:numPr>
              <w:spacing w:before="100" w:beforeAutospacing="1" w:after="100" w:afterAutospacing="1"/>
              <w:ind w:left="226" w:hanging="113"/>
              <w:rPr>
                <w:rFonts w:eastAsia="Times New Roman"/>
                <w:sz w:val="18"/>
                <w:szCs w:val="18"/>
              </w:rPr>
            </w:pPr>
            <w:r w:rsidRPr="00521E83">
              <w:rPr>
                <w:rFonts w:eastAsia="Times New Roman"/>
                <w:sz w:val="18"/>
                <w:szCs w:val="18"/>
              </w:rPr>
              <w:t>Supportive of vaccine as a positive step toward pandemic control</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7EA18119" w14:textId="77777777" w:rsidR="00521E83" w:rsidRPr="00521E83" w:rsidRDefault="00521E83" w:rsidP="005E07E1">
            <w:pPr>
              <w:numPr>
                <w:ilvl w:val="0"/>
                <w:numId w:val="14"/>
              </w:numPr>
              <w:spacing w:before="100" w:beforeAutospacing="1" w:after="100" w:afterAutospacing="1"/>
              <w:ind w:left="226" w:hanging="113"/>
              <w:rPr>
                <w:rFonts w:eastAsia="Times New Roman"/>
                <w:sz w:val="18"/>
                <w:szCs w:val="18"/>
              </w:rPr>
            </w:pPr>
            <w:r w:rsidRPr="00521E83">
              <w:rPr>
                <w:rFonts w:eastAsia="Times New Roman"/>
                <w:sz w:val="18"/>
                <w:szCs w:val="18"/>
              </w:rPr>
              <w:t>Understanding of vaccine risks</w:t>
            </w:r>
          </w:p>
          <w:p w14:paraId="14E295FE" w14:textId="77777777" w:rsidR="00521E83" w:rsidRPr="00521E83" w:rsidRDefault="00521E83" w:rsidP="005E07E1">
            <w:pPr>
              <w:numPr>
                <w:ilvl w:val="0"/>
                <w:numId w:val="14"/>
              </w:numPr>
              <w:spacing w:before="100" w:beforeAutospacing="1" w:after="100" w:afterAutospacing="1"/>
              <w:ind w:left="226" w:hanging="113"/>
              <w:rPr>
                <w:rFonts w:eastAsia="Times New Roman"/>
                <w:sz w:val="18"/>
                <w:szCs w:val="18"/>
              </w:rPr>
            </w:pPr>
            <w:r w:rsidRPr="00521E83">
              <w:rPr>
                <w:rFonts w:eastAsia="Times New Roman"/>
                <w:sz w:val="18"/>
                <w:szCs w:val="18"/>
              </w:rPr>
              <w:t>Understanding of COVID-19 risks</w:t>
            </w:r>
          </w:p>
          <w:p w14:paraId="53A0F921" w14:textId="77777777" w:rsidR="00521E83" w:rsidRPr="00521E83" w:rsidRDefault="00521E83" w:rsidP="005E07E1">
            <w:pPr>
              <w:numPr>
                <w:ilvl w:val="0"/>
                <w:numId w:val="14"/>
              </w:numPr>
              <w:spacing w:before="100" w:beforeAutospacing="1" w:after="100" w:afterAutospacing="1"/>
              <w:ind w:left="226" w:hanging="113"/>
              <w:rPr>
                <w:rFonts w:eastAsia="Times New Roman"/>
                <w:sz w:val="18"/>
                <w:szCs w:val="18"/>
              </w:rPr>
            </w:pPr>
            <w:r w:rsidRPr="00521E83">
              <w:rPr>
                <w:rFonts w:eastAsia="Times New Roman"/>
                <w:sz w:val="18"/>
                <w:szCs w:val="18"/>
              </w:rPr>
              <w:t>General acceptance of vaccine risks to gain benefits</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6182483E" w14:textId="77777777" w:rsidR="00521E83" w:rsidRPr="00521E83" w:rsidRDefault="00521E83" w:rsidP="005E07E1">
            <w:pPr>
              <w:numPr>
                <w:ilvl w:val="0"/>
                <w:numId w:val="15"/>
              </w:numPr>
              <w:spacing w:before="100" w:beforeAutospacing="1" w:after="100" w:afterAutospacing="1"/>
              <w:ind w:left="226" w:hanging="113"/>
              <w:rPr>
                <w:rFonts w:eastAsia="Times New Roman"/>
                <w:sz w:val="18"/>
                <w:szCs w:val="18"/>
              </w:rPr>
            </w:pPr>
            <w:r w:rsidRPr="00521E83">
              <w:rPr>
                <w:rFonts w:eastAsia="Times New Roman"/>
                <w:sz w:val="18"/>
                <w:szCs w:val="18"/>
              </w:rPr>
              <w:t>Reports of nil or minimal side effects among vaccinees</w:t>
            </w:r>
          </w:p>
          <w:p w14:paraId="5E1A69E2" w14:textId="77777777" w:rsidR="00521E83" w:rsidRPr="00521E83" w:rsidRDefault="00521E83" w:rsidP="005E07E1">
            <w:pPr>
              <w:numPr>
                <w:ilvl w:val="0"/>
                <w:numId w:val="15"/>
              </w:numPr>
              <w:spacing w:before="100" w:beforeAutospacing="1" w:after="100" w:afterAutospacing="1"/>
              <w:ind w:left="226" w:hanging="113"/>
              <w:rPr>
                <w:rFonts w:eastAsia="Times New Roman"/>
                <w:sz w:val="18"/>
                <w:szCs w:val="18"/>
              </w:rPr>
            </w:pPr>
            <w:r w:rsidRPr="00521E83">
              <w:rPr>
                <w:rFonts w:eastAsia="Times New Roman"/>
                <w:sz w:val="18"/>
                <w:szCs w:val="18"/>
              </w:rPr>
              <w:t>Those with minimal side effects reported willingness to have second dose</w:t>
            </w:r>
          </w:p>
          <w:p w14:paraId="365CEA81" w14:textId="77777777" w:rsidR="00521E83" w:rsidRPr="00521E83" w:rsidRDefault="00521E83" w:rsidP="005E07E1">
            <w:pPr>
              <w:numPr>
                <w:ilvl w:val="0"/>
                <w:numId w:val="15"/>
              </w:numPr>
              <w:spacing w:before="100" w:beforeAutospacing="1" w:after="100" w:afterAutospacing="1"/>
              <w:ind w:left="226" w:hanging="113"/>
              <w:rPr>
                <w:rFonts w:eastAsia="Times New Roman"/>
                <w:sz w:val="18"/>
                <w:szCs w:val="18"/>
              </w:rPr>
            </w:pPr>
            <w:r w:rsidRPr="00521E83">
              <w:rPr>
                <w:rFonts w:eastAsia="Times New Roman"/>
                <w:sz w:val="18"/>
                <w:szCs w:val="18"/>
              </w:rPr>
              <w:t>Those with minimal side effects often reported apprehension prior to first dose, which lessened following acceptable experience</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259D23D1" w14:textId="77777777" w:rsidR="00521E83" w:rsidRPr="00521E83" w:rsidRDefault="00521E83" w:rsidP="005E07E1">
            <w:pPr>
              <w:numPr>
                <w:ilvl w:val="0"/>
                <w:numId w:val="16"/>
              </w:numPr>
              <w:spacing w:before="100" w:beforeAutospacing="1" w:after="100" w:afterAutospacing="1"/>
              <w:ind w:left="226" w:hanging="113"/>
              <w:rPr>
                <w:rFonts w:eastAsia="Times New Roman"/>
                <w:sz w:val="18"/>
                <w:szCs w:val="18"/>
              </w:rPr>
            </w:pPr>
            <w:r w:rsidRPr="00521E83">
              <w:rPr>
                <w:rFonts w:eastAsia="Times New Roman"/>
                <w:sz w:val="18"/>
                <w:szCs w:val="18"/>
                <w:lang w:val="en-US"/>
              </w:rPr>
              <w:t>Sentiment of hopefulness that the vaccine works and progresses the community toward “normal” situation</w:t>
            </w:r>
          </w:p>
          <w:p w14:paraId="1873D14F" w14:textId="77777777" w:rsidR="00521E83" w:rsidRPr="00521E83" w:rsidRDefault="00521E83" w:rsidP="005E07E1">
            <w:pPr>
              <w:numPr>
                <w:ilvl w:val="0"/>
                <w:numId w:val="16"/>
              </w:numPr>
              <w:spacing w:before="100" w:beforeAutospacing="1" w:after="100" w:afterAutospacing="1"/>
              <w:ind w:left="226" w:hanging="113"/>
              <w:rPr>
                <w:rFonts w:eastAsia="Times New Roman"/>
                <w:sz w:val="18"/>
                <w:szCs w:val="18"/>
              </w:rPr>
            </w:pPr>
            <w:r w:rsidRPr="00521E83">
              <w:rPr>
                <w:rFonts w:eastAsia="Times New Roman"/>
                <w:sz w:val="18"/>
                <w:szCs w:val="18"/>
                <w:lang w:val="en-US"/>
              </w:rPr>
              <w:t>Hopefulness that others get vaccinated</w:t>
            </w:r>
          </w:p>
          <w:p w14:paraId="2E318902" w14:textId="77777777" w:rsidR="00521E83" w:rsidRPr="00521E83" w:rsidRDefault="00521E83" w:rsidP="005E07E1">
            <w:pPr>
              <w:numPr>
                <w:ilvl w:val="0"/>
                <w:numId w:val="16"/>
              </w:numPr>
              <w:spacing w:before="100" w:beforeAutospacing="1" w:after="100" w:afterAutospacing="1"/>
              <w:ind w:left="226" w:hanging="113"/>
              <w:rPr>
                <w:rFonts w:eastAsia="Times New Roman"/>
                <w:sz w:val="18"/>
                <w:szCs w:val="18"/>
              </w:rPr>
            </w:pPr>
            <w:r w:rsidRPr="00521E83">
              <w:rPr>
                <w:rFonts w:eastAsia="Times New Roman"/>
                <w:sz w:val="18"/>
                <w:szCs w:val="18"/>
                <w:lang w:val="en-US"/>
              </w:rPr>
              <w:t>Some expressed satisfaction and happiness with the vaccine</w:t>
            </w:r>
          </w:p>
        </w:tc>
      </w:tr>
    </w:tbl>
    <w:p w14:paraId="5CACDD8D" w14:textId="6CD11475" w:rsidR="00D351D0" w:rsidRDefault="00D351D0" w:rsidP="0010360B">
      <w:pPr>
        <w:pStyle w:val="Heading2"/>
      </w:pPr>
    </w:p>
    <w:p w14:paraId="2C0AC225" w14:textId="77777777" w:rsidR="00D351D0" w:rsidRDefault="00D351D0">
      <w:pPr>
        <w:rPr>
          <w:rFonts w:asciiTheme="majorHAnsi" w:eastAsiaTheme="majorEastAsia" w:hAnsiTheme="majorHAnsi" w:cstheme="majorBidi"/>
          <w:b/>
          <w:bCs/>
          <w:sz w:val="26"/>
          <w:szCs w:val="26"/>
        </w:rPr>
      </w:pPr>
      <w:r>
        <w:br w:type="page"/>
      </w:r>
    </w:p>
    <w:p w14:paraId="1D0C3F9E" w14:textId="77777777" w:rsidR="00D351D0" w:rsidRPr="00A32D9C" w:rsidRDefault="00D351D0" w:rsidP="00D351D0">
      <w:pPr>
        <w:pStyle w:val="CDIFigures"/>
      </w:pPr>
      <w:r w:rsidRPr="00A32D9C">
        <w:rPr>
          <w:rStyle w:val="Strong"/>
          <w:b/>
          <w:bCs w:val="0"/>
        </w:rPr>
        <w:lastRenderedPageBreak/>
        <w:t>Table 6: Prominent themes emerging from responses to the question, “How do you feel about the COVID-19 vaccines?”, with negative sentiment</w:t>
      </w:r>
    </w:p>
    <w:tbl>
      <w:tblPr>
        <w:tblStyle w:val="CDI-StandardTable"/>
        <w:tblW w:w="0" w:type="auto"/>
        <w:tblLook w:val="04A0" w:firstRow="1" w:lastRow="0" w:firstColumn="1" w:lastColumn="0" w:noHBand="0" w:noVBand="1"/>
        <w:tblDescription w:val="Table 6 describes the positive or neutral sentiments themes and sub-themes emerging from the question “How do you feel about the COVID-19 vaccine?”. &#10;"/>
      </w:tblPr>
      <w:tblGrid>
        <w:gridCol w:w="2030"/>
        <w:gridCol w:w="2326"/>
        <w:gridCol w:w="2132"/>
        <w:gridCol w:w="2328"/>
        <w:gridCol w:w="1763"/>
        <w:gridCol w:w="1942"/>
        <w:gridCol w:w="2457"/>
      </w:tblGrid>
      <w:tr w:rsidR="00D351D0" w:rsidRPr="00D351D0" w14:paraId="38B44F50" w14:textId="77777777" w:rsidTr="00964D78">
        <w:trPr>
          <w:cnfStyle w:val="100000000000" w:firstRow="1" w:lastRow="0" w:firstColumn="0" w:lastColumn="0" w:oddVBand="0" w:evenVBand="0" w:oddHBand="0" w:evenHBand="0" w:firstRowFirstColumn="0" w:firstRowLastColumn="0" w:lastRowFirstColumn="0" w:lastRowLastColumn="0"/>
        </w:trPr>
        <w:tc>
          <w:tcPr>
            <w:tcW w:w="0" w:type="auto"/>
            <w:gridSpan w:val="7"/>
            <w:tcBorders>
              <w:top w:val="single" w:sz="2" w:space="0" w:color="0D0D0D" w:themeColor="text1" w:themeTint="F2"/>
              <w:left w:val="single" w:sz="2" w:space="0" w:color="0D0D0D" w:themeColor="text1" w:themeTint="F2"/>
              <w:bottom w:val="single" w:sz="2" w:space="0" w:color="auto"/>
              <w:right w:val="single" w:sz="2" w:space="0" w:color="0D0D0D" w:themeColor="text1" w:themeTint="F2"/>
            </w:tcBorders>
            <w:hideMark/>
          </w:tcPr>
          <w:p w14:paraId="79F14A17" w14:textId="77777777" w:rsidR="00D351D0" w:rsidRPr="00D351D0" w:rsidRDefault="00D351D0" w:rsidP="00D351D0">
            <w:pPr>
              <w:pStyle w:val="NormalWeb"/>
              <w:jc w:val="center"/>
              <w:rPr>
                <w:color w:val="FFFFFF" w:themeColor="background1"/>
                <w:sz w:val="18"/>
                <w:szCs w:val="18"/>
              </w:rPr>
            </w:pPr>
            <w:r w:rsidRPr="00D351D0">
              <w:rPr>
                <w:color w:val="FFFFFF" w:themeColor="background1"/>
                <w:sz w:val="18"/>
                <w:szCs w:val="18"/>
              </w:rPr>
              <w:t>Emergent theme</w:t>
            </w:r>
          </w:p>
        </w:tc>
      </w:tr>
      <w:tr w:rsidR="008E02D3" w:rsidRPr="008E02D3" w14:paraId="4D43CD4F" w14:textId="77777777" w:rsidTr="008E02D3">
        <w:tblPrEx>
          <w:tblCellMar>
            <w:top w:w="57" w:type="dxa"/>
            <w:left w:w="57" w:type="dxa"/>
            <w:bottom w:w="57" w:type="dxa"/>
            <w:right w:w="57" w:type="dxa"/>
          </w:tblCellMar>
        </w:tblPrEx>
        <w:tc>
          <w:tcPr>
            <w:tcW w:w="0" w:type="auto"/>
            <w:gridSpan w:val="3"/>
            <w:tcBorders>
              <w:top w:val="single" w:sz="2" w:space="0" w:color="auto"/>
              <w:left w:val="single" w:sz="2" w:space="0" w:color="auto"/>
              <w:bottom w:val="single" w:sz="2" w:space="0" w:color="auto"/>
              <w:right w:val="single" w:sz="2" w:space="0" w:color="auto"/>
            </w:tcBorders>
            <w:shd w:val="clear" w:color="auto" w:fill="E0C198"/>
            <w:hideMark/>
          </w:tcPr>
          <w:p w14:paraId="78538CBF" w14:textId="77777777" w:rsidR="00D351D0" w:rsidRPr="008E02D3" w:rsidRDefault="00D351D0" w:rsidP="0098354A">
            <w:pPr>
              <w:pStyle w:val="NormalWeb"/>
              <w:rPr>
                <w:b/>
                <w:bCs/>
                <w:color w:val="000000" w:themeColor="text1"/>
                <w:sz w:val="18"/>
                <w:szCs w:val="18"/>
              </w:rPr>
            </w:pPr>
            <w:r w:rsidRPr="008E02D3">
              <w:rPr>
                <w:b/>
                <w:bCs/>
                <w:color w:val="000000" w:themeColor="text1"/>
                <w:sz w:val="18"/>
                <w:szCs w:val="18"/>
              </w:rPr>
              <w:t>Side effects</w:t>
            </w:r>
          </w:p>
        </w:tc>
        <w:tc>
          <w:tcPr>
            <w:tcW w:w="0" w:type="auto"/>
            <w:gridSpan w:val="2"/>
            <w:tcBorders>
              <w:top w:val="single" w:sz="2" w:space="0" w:color="auto"/>
              <w:left w:val="single" w:sz="2" w:space="0" w:color="auto"/>
              <w:bottom w:val="single" w:sz="2" w:space="0" w:color="auto"/>
              <w:right w:val="single" w:sz="2" w:space="0" w:color="auto"/>
            </w:tcBorders>
            <w:shd w:val="clear" w:color="auto" w:fill="E0C198"/>
            <w:hideMark/>
          </w:tcPr>
          <w:p w14:paraId="384B6FAD" w14:textId="77777777" w:rsidR="00D351D0" w:rsidRPr="008E02D3" w:rsidRDefault="00D351D0" w:rsidP="00D351D0">
            <w:pPr>
              <w:pStyle w:val="NormalWeb"/>
              <w:jc w:val="center"/>
              <w:rPr>
                <w:b/>
                <w:bCs/>
                <w:color w:val="000000" w:themeColor="text1"/>
                <w:sz w:val="18"/>
                <w:szCs w:val="18"/>
              </w:rPr>
            </w:pPr>
            <w:r w:rsidRPr="008E02D3">
              <w:rPr>
                <w:b/>
                <w:bCs/>
                <w:color w:val="000000" w:themeColor="text1"/>
                <w:sz w:val="18"/>
                <w:szCs w:val="18"/>
              </w:rPr>
              <w:t>Risk and trust</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41081617" w14:textId="77777777" w:rsidR="00D351D0" w:rsidRPr="008E02D3" w:rsidRDefault="00D351D0" w:rsidP="00D351D0">
            <w:pPr>
              <w:pStyle w:val="NormalWeb"/>
              <w:jc w:val="center"/>
              <w:rPr>
                <w:b/>
                <w:bCs/>
                <w:color w:val="000000" w:themeColor="text1"/>
                <w:sz w:val="18"/>
                <w:szCs w:val="18"/>
              </w:rPr>
            </w:pPr>
            <w:r w:rsidRPr="008E02D3">
              <w:rPr>
                <w:b/>
                <w:bCs/>
                <w:color w:val="000000" w:themeColor="text1"/>
                <w:sz w:val="18"/>
                <w:szCs w:val="18"/>
              </w:rPr>
              <w:t>Experience</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6E444CD1" w14:textId="77777777" w:rsidR="00D351D0" w:rsidRPr="008E02D3" w:rsidRDefault="00D351D0" w:rsidP="00D351D0">
            <w:pPr>
              <w:pStyle w:val="NormalWeb"/>
              <w:jc w:val="center"/>
              <w:rPr>
                <w:b/>
                <w:bCs/>
                <w:color w:val="000000" w:themeColor="text1"/>
                <w:sz w:val="18"/>
                <w:szCs w:val="18"/>
              </w:rPr>
            </w:pPr>
            <w:r w:rsidRPr="008E02D3">
              <w:rPr>
                <w:b/>
                <w:bCs/>
                <w:color w:val="000000" w:themeColor="text1"/>
                <w:sz w:val="18"/>
                <w:szCs w:val="18"/>
              </w:rPr>
              <w:t>General thoughts and feelings</w:t>
            </w:r>
          </w:p>
        </w:tc>
      </w:tr>
      <w:tr w:rsidR="00D351D0" w:rsidRPr="00D351D0" w14:paraId="2B3803E8" w14:textId="77777777" w:rsidTr="00D351D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gridSpan w:val="3"/>
            <w:tcBorders>
              <w:top w:val="single" w:sz="2" w:space="0" w:color="auto"/>
              <w:left w:val="single" w:sz="2" w:space="0" w:color="auto"/>
              <w:bottom w:val="single" w:sz="2" w:space="0" w:color="auto"/>
              <w:right w:val="single" w:sz="2" w:space="0" w:color="auto"/>
            </w:tcBorders>
            <w:shd w:val="clear" w:color="auto" w:fill="auto"/>
            <w:hideMark/>
          </w:tcPr>
          <w:p w14:paraId="3D283261" w14:textId="77777777" w:rsidR="00D351D0" w:rsidRPr="00D351D0" w:rsidRDefault="00D351D0" w:rsidP="0098354A">
            <w:pPr>
              <w:pStyle w:val="NormalWeb"/>
              <w:rPr>
                <w:sz w:val="18"/>
                <w:szCs w:val="18"/>
              </w:rPr>
            </w:pPr>
            <w:r w:rsidRPr="00D351D0">
              <w:rPr>
                <w:sz w:val="18"/>
                <w:szCs w:val="18"/>
              </w:rPr>
              <w:t>Responses mentioning vaccine side effects</w:t>
            </w:r>
          </w:p>
        </w:tc>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14:paraId="4A21958B" w14:textId="77777777" w:rsidR="00D351D0" w:rsidRPr="00D351D0" w:rsidRDefault="00D351D0" w:rsidP="00D351D0">
            <w:pPr>
              <w:pStyle w:val="NormalWeb"/>
              <w:jc w:val="center"/>
              <w:rPr>
                <w:sz w:val="18"/>
                <w:szCs w:val="18"/>
              </w:rPr>
            </w:pPr>
            <w:r w:rsidRPr="00D351D0">
              <w:rPr>
                <w:sz w:val="18"/>
                <w:szCs w:val="18"/>
              </w:rPr>
              <w:t>Responses relating to faith in vaccine development and licensing / approval processes, vaccine effectiveness, and weighing of risks and benefits</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0572DB54" w14:textId="77777777" w:rsidR="00D351D0" w:rsidRPr="00D351D0" w:rsidRDefault="00D351D0" w:rsidP="00D351D0">
            <w:pPr>
              <w:pStyle w:val="NormalWeb"/>
              <w:jc w:val="center"/>
              <w:rPr>
                <w:sz w:val="18"/>
                <w:szCs w:val="18"/>
              </w:rPr>
            </w:pPr>
            <w:r w:rsidRPr="00D351D0">
              <w:rPr>
                <w:sz w:val="18"/>
                <w:szCs w:val="18"/>
              </w:rPr>
              <w:t>Responses mentioning previous vaccination experiences</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2254D339" w14:textId="77777777" w:rsidR="00D351D0" w:rsidRPr="00D351D0" w:rsidRDefault="00D351D0" w:rsidP="00D351D0">
            <w:pPr>
              <w:pStyle w:val="NormalWeb"/>
              <w:jc w:val="center"/>
              <w:rPr>
                <w:sz w:val="18"/>
                <w:szCs w:val="18"/>
              </w:rPr>
            </w:pPr>
            <w:r w:rsidRPr="00D351D0">
              <w:rPr>
                <w:sz w:val="18"/>
                <w:szCs w:val="18"/>
              </w:rPr>
              <w:t>Responses describing a general sentiment or thought about the COVID-19 vaccine</w:t>
            </w:r>
          </w:p>
        </w:tc>
      </w:tr>
      <w:tr w:rsidR="008E02D3" w:rsidRPr="008E02D3" w14:paraId="1522CD29" w14:textId="77777777" w:rsidTr="008E02D3">
        <w:tblPrEx>
          <w:tblCellMar>
            <w:top w:w="57" w:type="dxa"/>
            <w:left w:w="57" w:type="dxa"/>
            <w:bottom w:w="57" w:type="dxa"/>
            <w:right w:w="57" w:type="dxa"/>
          </w:tblCellMar>
        </w:tblPrEx>
        <w:tc>
          <w:tcPr>
            <w:tcW w:w="0" w:type="auto"/>
            <w:gridSpan w:val="3"/>
            <w:tcBorders>
              <w:top w:val="single" w:sz="2" w:space="0" w:color="auto"/>
              <w:left w:val="single" w:sz="2" w:space="0" w:color="auto"/>
              <w:bottom w:val="single" w:sz="2" w:space="0" w:color="auto"/>
              <w:right w:val="single" w:sz="2" w:space="0" w:color="auto"/>
            </w:tcBorders>
            <w:shd w:val="clear" w:color="auto" w:fill="E0C198"/>
            <w:hideMark/>
          </w:tcPr>
          <w:p w14:paraId="1EFA98BA" w14:textId="77777777" w:rsidR="00D351D0" w:rsidRPr="008E02D3" w:rsidRDefault="00D351D0" w:rsidP="0098354A">
            <w:pPr>
              <w:pStyle w:val="NormalWeb"/>
              <w:rPr>
                <w:b/>
                <w:bCs/>
                <w:color w:val="000000" w:themeColor="text1"/>
                <w:sz w:val="18"/>
                <w:szCs w:val="18"/>
              </w:rPr>
            </w:pPr>
            <w:r w:rsidRPr="008E02D3">
              <w:rPr>
                <w:b/>
                <w:bCs/>
                <w:color w:val="000000" w:themeColor="text1"/>
                <w:sz w:val="18"/>
                <w:szCs w:val="18"/>
              </w:rPr>
              <w:t>Sub-theme</w:t>
            </w:r>
          </w:p>
        </w:tc>
        <w:tc>
          <w:tcPr>
            <w:tcW w:w="0" w:type="auto"/>
            <w:gridSpan w:val="2"/>
            <w:tcBorders>
              <w:top w:val="single" w:sz="2" w:space="0" w:color="auto"/>
              <w:left w:val="single" w:sz="2" w:space="0" w:color="auto"/>
              <w:bottom w:val="single" w:sz="2" w:space="0" w:color="auto"/>
              <w:right w:val="single" w:sz="2" w:space="0" w:color="auto"/>
            </w:tcBorders>
            <w:shd w:val="clear" w:color="auto" w:fill="E0C198"/>
            <w:hideMark/>
          </w:tcPr>
          <w:p w14:paraId="0EC1C8F4" w14:textId="77777777" w:rsidR="00D351D0" w:rsidRPr="008E02D3" w:rsidRDefault="00D351D0" w:rsidP="00D351D0">
            <w:pPr>
              <w:pStyle w:val="NormalWeb"/>
              <w:jc w:val="center"/>
              <w:rPr>
                <w:b/>
                <w:bCs/>
                <w:color w:val="000000" w:themeColor="text1"/>
                <w:sz w:val="18"/>
                <w:szCs w:val="18"/>
              </w:rPr>
            </w:pPr>
            <w:r w:rsidRPr="008E02D3">
              <w:rPr>
                <w:b/>
                <w:bCs/>
                <w:color w:val="000000" w:themeColor="text1"/>
                <w:sz w:val="18"/>
                <w:szCs w:val="18"/>
              </w:rPr>
              <w:t>Sub-theme</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3B46E0A7" w14:textId="77777777" w:rsidR="00D351D0" w:rsidRPr="008E02D3" w:rsidRDefault="00D351D0" w:rsidP="00D351D0">
            <w:pPr>
              <w:pStyle w:val="NormalWeb"/>
              <w:jc w:val="center"/>
              <w:rPr>
                <w:b/>
                <w:bCs/>
                <w:color w:val="000000" w:themeColor="text1"/>
                <w:sz w:val="18"/>
                <w:szCs w:val="18"/>
              </w:rPr>
            </w:pPr>
            <w:r w:rsidRPr="008E02D3">
              <w:rPr>
                <w:b/>
                <w:bCs/>
                <w:color w:val="000000" w:themeColor="text1"/>
                <w:sz w:val="18"/>
                <w:szCs w:val="18"/>
              </w:rPr>
              <w:t>Sub-theme</w:t>
            </w:r>
          </w:p>
        </w:tc>
        <w:tc>
          <w:tcPr>
            <w:tcW w:w="0" w:type="auto"/>
            <w:tcBorders>
              <w:top w:val="single" w:sz="2" w:space="0" w:color="auto"/>
              <w:left w:val="single" w:sz="2" w:space="0" w:color="auto"/>
              <w:bottom w:val="single" w:sz="2" w:space="0" w:color="auto"/>
              <w:right w:val="single" w:sz="2" w:space="0" w:color="auto"/>
            </w:tcBorders>
            <w:shd w:val="clear" w:color="auto" w:fill="E0C198"/>
            <w:hideMark/>
          </w:tcPr>
          <w:p w14:paraId="2925405C" w14:textId="77777777" w:rsidR="00D351D0" w:rsidRPr="008E02D3" w:rsidRDefault="00D351D0" w:rsidP="00D351D0">
            <w:pPr>
              <w:pStyle w:val="NormalWeb"/>
              <w:jc w:val="center"/>
              <w:rPr>
                <w:b/>
                <w:bCs/>
                <w:color w:val="000000" w:themeColor="text1"/>
                <w:sz w:val="18"/>
                <w:szCs w:val="18"/>
              </w:rPr>
            </w:pPr>
            <w:r w:rsidRPr="008E02D3">
              <w:rPr>
                <w:b/>
                <w:bCs/>
                <w:color w:val="000000" w:themeColor="text1"/>
                <w:sz w:val="18"/>
                <w:szCs w:val="18"/>
              </w:rPr>
              <w:t>Sub-theme</w:t>
            </w:r>
          </w:p>
        </w:tc>
      </w:tr>
      <w:tr w:rsidR="00D351D0" w:rsidRPr="00D351D0" w14:paraId="4C6AA841" w14:textId="77777777" w:rsidTr="0004513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3255929" w14:textId="77777777" w:rsidR="00D351D0" w:rsidRPr="00D351D0" w:rsidRDefault="00D351D0" w:rsidP="00045135">
            <w:pPr>
              <w:pStyle w:val="NormalWeb"/>
              <w:jc w:val="center"/>
              <w:rPr>
                <w:b/>
                <w:bCs/>
                <w:sz w:val="18"/>
                <w:szCs w:val="18"/>
              </w:rPr>
            </w:pPr>
            <w:r w:rsidRPr="00D351D0">
              <w:rPr>
                <w:b/>
                <w:bCs/>
                <w:sz w:val="18"/>
                <w:szCs w:val="18"/>
              </w:rPr>
              <w:t>Brand choice</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ADA6DBB" w14:textId="77777777" w:rsidR="00D351D0" w:rsidRPr="00D351D0" w:rsidRDefault="00D351D0" w:rsidP="00045135">
            <w:pPr>
              <w:pStyle w:val="NormalWeb"/>
              <w:jc w:val="center"/>
              <w:rPr>
                <w:b/>
                <w:bCs/>
                <w:sz w:val="18"/>
                <w:szCs w:val="18"/>
              </w:rPr>
            </w:pPr>
            <w:r w:rsidRPr="00D351D0">
              <w:rPr>
                <w:b/>
                <w:bCs/>
                <w:sz w:val="18"/>
                <w:szCs w:val="18"/>
              </w:rPr>
              <w:t>Specific – TTS risk</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8B0983F" w14:textId="77777777" w:rsidR="00D351D0" w:rsidRPr="00D351D0" w:rsidRDefault="00D351D0" w:rsidP="00045135">
            <w:pPr>
              <w:pStyle w:val="NormalWeb"/>
              <w:jc w:val="center"/>
              <w:rPr>
                <w:b/>
                <w:bCs/>
                <w:sz w:val="18"/>
                <w:szCs w:val="18"/>
              </w:rPr>
            </w:pPr>
            <w:r w:rsidRPr="00D351D0">
              <w:rPr>
                <w:b/>
                <w:bCs/>
                <w:sz w:val="18"/>
                <w:szCs w:val="18"/>
              </w:rPr>
              <w:t>Generic and long-term side effects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9CD5F5D" w14:textId="77777777" w:rsidR="00D351D0" w:rsidRPr="00D351D0" w:rsidRDefault="00D351D0" w:rsidP="00045135">
            <w:pPr>
              <w:pStyle w:val="NormalWeb"/>
              <w:jc w:val="center"/>
              <w:rPr>
                <w:b/>
                <w:bCs/>
                <w:sz w:val="18"/>
                <w:szCs w:val="18"/>
              </w:rPr>
            </w:pPr>
            <w:r w:rsidRPr="00D351D0">
              <w:rPr>
                <w:b/>
                <w:bCs/>
                <w:sz w:val="18"/>
                <w:szCs w:val="18"/>
              </w:rPr>
              <w:t>Not enough testing / research</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6D02848" w14:textId="77777777" w:rsidR="00D351D0" w:rsidRPr="00D351D0" w:rsidRDefault="00D351D0" w:rsidP="00045135">
            <w:pPr>
              <w:pStyle w:val="NormalWeb"/>
              <w:jc w:val="center"/>
              <w:rPr>
                <w:b/>
                <w:bCs/>
                <w:sz w:val="18"/>
                <w:szCs w:val="18"/>
              </w:rPr>
            </w:pPr>
            <w:r w:rsidRPr="00D351D0">
              <w:rPr>
                <w:b/>
                <w:bCs/>
                <w:sz w:val="18"/>
                <w:szCs w:val="18"/>
              </w:rPr>
              <w:t>Vaccine effectiveness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AA64686" w14:textId="77777777" w:rsidR="00D351D0" w:rsidRPr="00D351D0" w:rsidRDefault="00D351D0" w:rsidP="00045135">
            <w:pPr>
              <w:pStyle w:val="NormalWeb"/>
              <w:jc w:val="center"/>
              <w:rPr>
                <w:b/>
                <w:bCs/>
                <w:sz w:val="18"/>
                <w:szCs w:val="18"/>
              </w:rPr>
            </w:pPr>
            <w:r w:rsidRPr="00D351D0">
              <w:rPr>
                <w:b/>
                <w:bCs/>
                <w:sz w:val="18"/>
                <w:szCs w:val="18"/>
              </w:rPr>
              <w:t>Previous bad vaccination experience</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7EC399A" w14:textId="77777777" w:rsidR="00D351D0" w:rsidRPr="00D351D0" w:rsidRDefault="00D351D0" w:rsidP="00045135">
            <w:pPr>
              <w:pStyle w:val="NormalWeb"/>
              <w:jc w:val="center"/>
              <w:rPr>
                <w:b/>
                <w:bCs/>
                <w:sz w:val="18"/>
                <w:szCs w:val="18"/>
              </w:rPr>
            </w:pPr>
            <w:r w:rsidRPr="00D351D0">
              <w:rPr>
                <w:b/>
                <w:bCs/>
                <w:sz w:val="18"/>
                <w:szCs w:val="18"/>
              </w:rPr>
              <w:t>Apprehensive, worried, or uncertain</w:t>
            </w:r>
          </w:p>
        </w:tc>
      </w:tr>
      <w:tr w:rsidR="00D351D0" w:rsidRPr="00D351D0" w14:paraId="20C9F684" w14:textId="77777777" w:rsidTr="00D351D0">
        <w:tblPrEx>
          <w:tblCellMar>
            <w:top w:w="57" w:type="dxa"/>
            <w:left w:w="57" w:type="dxa"/>
            <w:bottom w:w="57" w:type="dxa"/>
            <w:right w:w="57" w:type="dxa"/>
          </w:tblCellMar>
        </w:tblPrEx>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32C5A140" w14:textId="77777777" w:rsidR="00D351D0" w:rsidRPr="00D351D0" w:rsidRDefault="00D351D0" w:rsidP="00E61F28">
            <w:pPr>
              <w:numPr>
                <w:ilvl w:val="0"/>
                <w:numId w:val="17"/>
              </w:numPr>
              <w:spacing w:before="100" w:beforeAutospacing="1" w:after="100" w:afterAutospacing="1"/>
              <w:ind w:left="226" w:hanging="113"/>
              <w:rPr>
                <w:rFonts w:eastAsia="Times New Roman"/>
                <w:sz w:val="18"/>
                <w:szCs w:val="18"/>
              </w:rPr>
            </w:pPr>
            <w:r w:rsidRPr="00D351D0">
              <w:rPr>
                <w:rFonts w:eastAsia="Times New Roman"/>
                <w:sz w:val="18"/>
                <w:szCs w:val="18"/>
              </w:rPr>
              <w:t>Evidence of awareness of the different vaccine safety profiles</w:t>
            </w:r>
          </w:p>
          <w:p w14:paraId="62C7F3B5" w14:textId="77777777" w:rsidR="00D351D0" w:rsidRPr="00D351D0" w:rsidRDefault="00D351D0" w:rsidP="00E61F28">
            <w:pPr>
              <w:numPr>
                <w:ilvl w:val="0"/>
                <w:numId w:val="17"/>
              </w:numPr>
              <w:spacing w:before="100" w:beforeAutospacing="1" w:after="100" w:afterAutospacing="1"/>
              <w:ind w:left="226" w:hanging="113"/>
              <w:rPr>
                <w:rFonts w:eastAsia="Times New Roman"/>
                <w:sz w:val="18"/>
                <w:szCs w:val="18"/>
              </w:rPr>
            </w:pPr>
            <w:r w:rsidRPr="00D351D0">
              <w:rPr>
                <w:rFonts w:eastAsia="Times New Roman"/>
                <w:sz w:val="18"/>
                <w:szCs w:val="18"/>
              </w:rPr>
              <w:t>Preference for the Pfizer vaccine over the AZ brand</w:t>
            </w:r>
          </w:p>
          <w:p w14:paraId="2BDD5054" w14:textId="77777777" w:rsidR="00D351D0" w:rsidRPr="00D351D0" w:rsidRDefault="00D351D0" w:rsidP="00E61F28">
            <w:pPr>
              <w:numPr>
                <w:ilvl w:val="0"/>
                <w:numId w:val="17"/>
              </w:numPr>
              <w:spacing w:before="100" w:beforeAutospacing="1" w:after="100" w:afterAutospacing="1"/>
              <w:ind w:left="226" w:hanging="113"/>
              <w:rPr>
                <w:rFonts w:eastAsia="Times New Roman"/>
                <w:sz w:val="18"/>
                <w:szCs w:val="18"/>
              </w:rPr>
            </w:pPr>
            <w:r w:rsidRPr="00D351D0">
              <w:rPr>
                <w:rFonts w:eastAsia="Times New Roman"/>
                <w:sz w:val="18"/>
                <w:szCs w:val="18"/>
              </w:rPr>
              <w:t>Demand for the ability to choose which vaccine they receive.</w:t>
            </w:r>
          </w:p>
          <w:p w14:paraId="645F7DBB" w14:textId="77777777" w:rsidR="00D351D0" w:rsidRPr="00D351D0" w:rsidRDefault="00D351D0" w:rsidP="00E61F28">
            <w:pPr>
              <w:numPr>
                <w:ilvl w:val="0"/>
                <w:numId w:val="17"/>
              </w:numPr>
              <w:spacing w:before="100" w:beforeAutospacing="1" w:after="100" w:afterAutospacing="1"/>
              <w:ind w:left="226" w:hanging="113"/>
              <w:rPr>
                <w:rFonts w:eastAsia="Times New Roman"/>
                <w:sz w:val="18"/>
                <w:szCs w:val="18"/>
              </w:rPr>
            </w:pPr>
            <w:r w:rsidRPr="00D351D0">
              <w:rPr>
                <w:rFonts w:eastAsia="Times New Roman"/>
                <w:sz w:val="18"/>
                <w:szCs w:val="18"/>
              </w:rPr>
              <w:t>Some saw inequity in the way certain groups are prioritized for certain brands.</w:t>
            </w:r>
          </w:p>
          <w:p w14:paraId="3E675942" w14:textId="77777777" w:rsidR="00D351D0" w:rsidRPr="00D351D0" w:rsidRDefault="00D351D0" w:rsidP="00E61F28">
            <w:pPr>
              <w:numPr>
                <w:ilvl w:val="0"/>
                <w:numId w:val="17"/>
              </w:numPr>
              <w:spacing w:before="100" w:beforeAutospacing="1" w:after="100" w:afterAutospacing="1"/>
              <w:ind w:left="226" w:hanging="113"/>
              <w:rPr>
                <w:rFonts w:eastAsia="Times New Roman"/>
                <w:sz w:val="18"/>
                <w:szCs w:val="18"/>
              </w:rPr>
            </w:pPr>
            <w:r w:rsidRPr="00D351D0">
              <w:rPr>
                <w:rFonts w:eastAsia="Times New Roman"/>
                <w:sz w:val="18"/>
                <w:szCs w:val="18"/>
              </w:rPr>
              <w:t>Others acknowledged choice not always possible.</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1DD80927" w14:textId="77777777" w:rsidR="00D351D0" w:rsidRPr="00D351D0" w:rsidRDefault="00D351D0" w:rsidP="00E61F28">
            <w:pPr>
              <w:numPr>
                <w:ilvl w:val="0"/>
                <w:numId w:val="18"/>
              </w:numPr>
              <w:spacing w:before="100" w:beforeAutospacing="1" w:after="100" w:afterAutospacing="1"/>
              <w:ind w:left="226" w:hanging="113"/>
              <w:rPr>
                <w:rFonts w:eastAsia="Times New Roman"/>
                <w:sz w:val="18"/>
                <w:szCs w:val="18"/>
              </w:rPr>
            </w:pPr>
            <w:r w:rsidRPr="00D351D0">
              <w:rPr>
                <w:rFonts w:eastAsia="Times New Roman"/>
                <w:sz w:val="18"/>
                <w:szCs w:val="18"/>
              </w:rPr>
              <w:t>Fear of TTS was expressed</w:t>
            </w:r>
          </w:p>
          <w:p w14:paraId="03E3DE49" w14:textId="77777777" w:rsidR="00D351D0" w:rsidRPr="00D351D0" w:rsidRDefault="00D351D0" w:rsidP="00E61F28">
            <w:pPr>
              <w:numPr>
                <w:ilvl w:val="0"/>
                <w:numId w:val="18"/>
              </w:numPr>
              <w:spacing w:before="100" w:beforeAutospacing="1" w:after="100" w:afterAutospacing="1"/>
              <w:ind w:left="226" w:hanging="113"/>
              <w:rPr>
                <w:rFonts w:eastAsia="Times New Roman"/>
                <w:sz w:val="18"/>
                <w:szCs w:val="18"/>
              </w:rPr>
            </w:pPr>
            <w:r w:rsidRPr="00D351D0">
              <w:rPr>
                <w:rFonts w:eastAsia="Times New Roman"/>
                <w:sz w:val="18"/>
                <w:szCs w:val="18"/>
              </w:rPr>
              <w:t>Some acknowledgment that it’s a rare side-effect and to be expected with a large program</w:t>
            </w:r>
          </w:p>
          <w:p w14:paraId="57D34413" w14:textId="77777777" w:rsidR="00D351D0" w:rsidRPr="00D351D0" w:rsidRDefault="00D351D0" w:rsidP="00E61F28">
            <w:pPr>
              <w:numPr>
                <w:ilvl w:val="0"/>
                <w:numId w:val="18"/>
              </w:numPr>
              <w:spacing w:before="100" w:beforeAutospacing="1" w:after="100" w:afterAutospacing="1"/>
              <w:ind w:left="226" w:hanging="113"/>
              <w:rPr>
                <w:rFonts w:eastAsia="Times New Roman"/>
                <w:sz w:val="18"/>
                <w:szCs w:val="18"/>
              </w:rPr>
            </w:pPr>
            <w:r w:rsidRPr="00D351D0">
              <w:rPr>
                <w:rFonts w:eastAsia="Times New Roman"/>
                <w:sz w:val="18"/>
                <w:szCs w:val="18"/>
              </w:rPr>
              <w:t>Some complaints about messaging and communication methods about TTS risk</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5EE77786" w14:textId="77777777" w:rsidR="00D351D0" w:rsidRPr="00D351D0" w:rsidRDefault="00D351D0" w:rsidP="00E61F28">
            <w:pPr>
              <w:numPr>
                <w:ilvl w:val="0"/>
                <w:numId w:val="19"/>
              </w:numPr>
              <w:spacing w:before="100" w:beforeAutospacing="1" w:after="100" w:afterAutospacing="1"/>
              <w:ind w:left="226" w:hanging="113"/>
              <w:rPr>
                <w:rFonts w:eastAsia="Times New Roman"/>
                <w:sz w:val="18"/>
                <w:szCs w:val="18"/>
              </w:rPr>
            </w:pPr>
            <w:r w:rsidRPr="00D351D0">
              <w:rPr>
                <w:rFonts w:eastAsia="Times New Roman"/>
                <w:sz w:val="18"/>
                <w:szCs w:val="18"/>
              </w:rPr>
              <w:t>Fear about non-specific safety and side effects expressed</w:t>
            </w:r>
          </w:p>
          <w:p w14:paraId="70E13BB9" w14:textId="77777777" w:rsidR="00D351D0" w:rsidRPr="00D351D0" w:rsidRDefault="00D351D0" w:rsidP="00E61F28">
            <w:pPr>
              <w:numPr>
                <w:ilvl w:val="0"/>
                <w:numId w:val="19"/>
              </w:numPr>
              <w:spacing w:before="100" w:beforeAutospacing="1" w:after="100" w:afterAutospacing="1"/>
              <w:ind w:left="226" w:hanging="113"/>
              <w:rPr>
                <w:rFonts w:eastAsia="Times New Roman"/>
                <w:sz w:val="18"/>
                <w:szCs w:val="18"/>
              </w:rPr>
            </w:pPr>
            <w:r w:rsidRPr="00D351D0">
              <w:rPr>
                <w:rFonts w:eastAsia="Times New Roman"/>
                <w:sz w:val="18"/>
                <w:szCs w:val="18"/>
              </w:rPr>
              <w:t>Even some who had received the vaccine expressed feeling nervous about long term effects</w:t>
            </w:r>
          </w:p>
          <w:p w14:paraId="0BBD2591" w14:textId="77777777" w:rsidR="00D351D0" w:rsidRPr="00D351D0" w:rsidRDefault="00D351D0" w:rsidP="00E61F28">
            <w:pPr>
              <w:numPr>
                <w:ilvl w:val="0"/>
                <w:numId w:val="19"/>
              </w:numPr>
              <w:spacing w:before="100" w:beforeAutospacing="1" w:after="100" w:afterAutospacing="1"/>
              <w:ind w:left="226" w:hanging="113"/>
              <w:rPr>
                <w:rFonts w:eastAsia="Times New Roman"/>
                <w:sz w:val="18"/>
                <w:szCs w:val="18"/>
              </w:rPr>
            </w:pPr>
            <w:r w:rsidRPr="00D351D0">
              <w:rPr>
                <w:rFonts w:eastAsia="Times New Roman"/>
                <w:sz w:val="18"/>
                <w:szCs w:val="18"/>
              </w:rPr>
              <w:t>Fear about unknown possible side effects often linked to beliefs about inadequate vaccine testing / research</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7256DACE" w14:textId="77777777" w:rsidR="00D351D0" w:rsidRPr="00D351D0" w:rsidRDefault="00D351D0" w:rsidP="00E61F28">
            <w:pPr>
              <w:numPr>
                <w:ilvl w:val="0"/>
                <w:numId w:val="20"/>
              </w:numPr>
              <w:spacing w:before="100" w:beforeAutospacing="1" w:after="100" w:afterAutospacing="1"/>
              <w:ind w:left="226" w:hanging="113"/>
              <w:rPr>
                <w:rFonts w:eastAsia="Times New Roman"/>
                <w:sz w:val="18"/>
                <w:szCs w:val="18"/>
              </w:rPr>
            </w:pPr>
            <w:r w:rsidRPr="00D351D0">
              <w:rPr>
                <w:rFonts w:eastAsia="Times New Roman"/>
                <w:sz w:val="18"/>
                <w:szCs w:val="18"/>
              </w:rPr>
              <w:t>Concern that the vaccines have not been researched or tested properly</w:t>
            </w:r>
          </w:p>
          <w:p w14:paraId="0914F458" w14:textId="77777777" w:rsidR="00D351D0" w:rsidRPr="00D351D0" w:rsidRDefault="00D351D0" w:rsidP="00E61F28">
            <w:pPr>
              <w:numPr>
                <w:ilvl w:val="0"/>
                <w:numId w:val="20"/>
              </w:numPr>
              <w:spacing w:before="100" w:beforeAutospacing="1" w:after="100" w:afterAutospacing="1"/>
              <w:ind w:left="226" w:hanging="113"/>
              <w:rPr>
                <w:rFonts w:eastAsia="Times New Roman"/>
                <w:sz w:val="18"/>
                <w:szCs w:val="18"/>
              </w:rPr>
            </w:pPr>
            <w:r w:rsidRPr="00D351D0">
              <w:rPr>
                <w:rFonts w:eastAsia="Times New Roman"/>
                <w:sz w:val="18"/>
                <w:szCs w:val="18"/>
              </w:rPr>
              <w:t>Concern that there are still too many “unknowns” to be able to be confident in the vaccine</w:t>
            </w:r>
          </w:p>
          <w:p w14:paraId="03EE8FD7" w14:textId="77777777" w:rsidR="00D351D0" w:rsidRPr="00D351D0" w:rsidRDefault="00D351D0" w:rsidP="00E61F28">
            <w:pPr>
              <w:numPr>
                <w:ilvl w:val="0"/>
                <w:numId w:val="20"/>
              </w:numPr>
              <w:spacing w:before="100" w:beforeAutospacing="1" w:after="100" w:afterAutospacing="1"/>
              <w:ind w:left="226" w:hanging="113"/>
              <w:rPr>
                <w:rFonts w:eastAsia="Times New Roman"/>
                <w:sz w:val="18"/>
                <w:szCs w:val="18"/>
              </w:rPr>
            </w:pPr>
            <w:r w:rsidRPr="00D351D0">
              <w:rPr>
                <w:rFonts w:eastAsia="Times New Roman"/>
                <w:sz w:val="18"/>
                <w:szCs w:val="18"/>
              </w:rPr>
              <w:t>Some acknowledgment of the requirement for fast rollout but nevertheless wary</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7210E399" w14:textId="77777777" w:rsidR="00D351D0" w:rsidRPr="00D351D0" w:rsidRDefault="00D351D0" w:rsidP="00E61F28">
            <w:pPr>
              <w:numPr>
                <w:ilvl w:val="0"/>
                <w:numId w:val="21"/>
              </w:numPr>
              <w:spacing w:before="100" w:beforeAutospacing="1" w:after="100" w:afterAutospacing="1"/>
              <w:ind w:left="226" w:hanging="113"/>
              <w:rPr>
                <w:rFonts w:eastAsia="Times New Roman"/>
                <w:sz w:val="18"/>
                <w:szCs w:val="18"/>
              </w:rPr>
            </w:pPr>
            <w:r w:rsidRPr="00D351D0">
              <w:rPr>
                <w:rFonts w:eastAsia="Times New Roman"/>
                <w:sz w:val="18"/>
                <w:szCs w:val="18"/>
              </w:rPr>
              <w:t>Concern about whether the vaccine protects against all strains</w:t>
            </w:r>
          </w:p>
          <w:p w14:paraId="0CF86324" w14:textId="77777777" w:rsidR="00D351D0" w:rsidRPr="00D351D0" w:rsidRDefault="00D351D0" w:rsidP="00E61F28">
            <w:pPr>
              <w:numPr>
                <w:ilvl w:val="0"/>
                <w:numId w:val="21"/>
              </w:numPr>
              <w:spacing w:before="100" w:beforeAutospacing="1" w:after="100" w:afterAutospacing="1"/>
              <w:ind w:left="226" w:hanging="113"/>
              <w:rPr>
                <w:rFonts w:eastAsia="Times New Roman"/>
                <w:sz w:val="18"/>
                <w:szCs w:val="18"/>
              </w:rPr>
            </w:pPr>
            <w:r w:rsidRPr="00D351D0">
              <w:rPr>
                <w:rFonts w:eastAsia="Times New Roman"/>
                <w:sz w:val="18"/>
                <w:szCs w:val="18"/>
              </w:rPr>
              <w:t>Concern that the vaccine fails to prevent transmission</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3000079D" w14:textId="77777777" w:rsidR="00D351D0" w:rsidRPr="00D351D0" w:rsidRDefault="00D351D0" w:rsidP="00E61F28">
            <w:pPr>
              <w:numPr>
                <w:ilvl w:val="0"/>
                <w:numId w:val="22"/>
              </w:numPr>
              <w:spacing w:before="100" w:beforeAutospacing="1" w:after="100" w:afterAutospacing="1"/>
              <w:ind w:left="226" w:hanging="113"/>
              <w:rPr>
                <w:rFonts w:eastAsia="Times New Roman"/>
                <w:sz w:val="18"/>
                <w:szCs w:val="18"/>
              </w:rPr>
            </w:pPr>
            <w:r w:rsidRPr="00D351D0">
              <w:rPr>
                <w:rFonts w:eastAsia="Times New Roman"/>
                <w:sz w:val="18"/>
                <w:szCs w:val="18"/>
              </w:rPr>
              <w:t>Suffering ill effects following initial vaccine dose was reported by some</w:t>
            </w:r>
          </w:p>
          <w:p w14:paraId="0C30D9F8" w14:textId="77777777" w:rsidR="00D351D0" w:rsidRPr="00D351D0" w:rsidRDefault="00D351D0" w:rsidP="00E61F28">
            <w:pPr>
              <w:numPr>
                <w:ilvl w:val="0"/>
                <w:numId w:val="22"/>
              </w:numPr>
              <w:spacing w:before="100" w:beforeAutospacing="1" w:after="100" w:afterAutospacing="1"/>
              <w:ind w:left="226" w:hanging="113"/>
              <w:rPr>
                <w:rFonts w:eastAsia="Times New Roman"/>
                <w:sz w:val="18"/>
                <w:szCs w:val="18"/>
              </w:rPr>
            </w:pPr>
            <w:r w:rsidRPr="00D351D0">
              <w:rPr>
                <w:rFonts w:eastAsia="Times New Roman"/>
                <w:sz w:val="18"/>
                <w:szCs w:val="18"/>
              </w:rPr>
              <w:t>Some reported being hesitant after witnessing colleagues feeling ill after receiving the vaccine</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14:paraId="4926C0F5" w14:textId="77777777" w:rsidR="00D351D0" w:rsidRPr="00D351D0" w:rsidRDefault="00D351D0" w:rsidP="00D351D0">
            <w:pPr>
              <w:numPr>
                <w:ilvl w:val="0"/>
                <w:numId w:val="23"/>
              </w:numPr>
              <w:spacing w:before="100" w:beforeAutospacing="1" w:after="100" w:afterAutospacing="1"/>
              <w:rPr>
                <w:rFonts w:eastAsia="Times New Roman"/>
                <w:sz w:val="18"/>
                <w:szCs w:val="18"/>
              </w:rPr>
            </w:pPr>
            <w:r w:rsidRPr="00D351D0">
              <w:rPr>
                <w:rFonts w:eastAsia="Times New Roman"/>
                <w:sz w:val="18"/>
                <w:szCs w:val="18"/>
                <w:lang w:val="en-US"/>
              </w:rPr>
              <w:t>Many expressed apprehension, uncertainty or nervousness</w:t>
            </w:r>
          </w:p>
          <w:p w14:paraId="6EC543E1" w14:textId="77777777" w:rsidR="00D351D0" w:rsidRPr="00D351D0" w:rsidRDefault="00D351D0" w:rsidP="00D351D0">
            <w:pPr>
              <w:numPr>
                <w:ilvl w:val="0"/>
                <w:numId w:val="23"/>
              </w:numPr>
              <w:spacing w:before="100" w:beforeAutospacing="1" w:after="100" w:afterAutospacing="1"/>
              <w:rPr>
                <w:rFonts w:eastAsia="Times New Roman"/>
                <w:sz w:val="18"/>
                <w:szCs w:val="18"/>
              </w:rPr>
            </w:pPr>
            <w:r w:rsidRPr="00D351D0">
              <w:rPr>
                <w:rFonts w:eastAsia="Times New Roman"/>
                <w:sz w:val="18"/>
                <w:szCs w:val="18"/>
                <w:lang w:val="en-US"/>
              </w:rPr>
              <w:t>Concern about an anticipated need for yearly boosters</w:t>
            </w:r>
          </w:p>
        </w:tc>
      </w:tr>
    </w:tbl>
    <w:p w14:paraId="2EA93C9D" w14:textId="77777777" w:rsidR="00D351D0" w:rsidRDefault="00D351D0" w:rsidP="00D351D0">
      <w:pPr>
        <w:rPr>
          <w:rStyle w:val="A10"/>
        </w:rPr>
      </w:pPr>
      <w:r>
        <w:rPr>
          <w:rStyle w:val="A10"/>
        </w:rPr>
        <w:br w:type="page"/>
      </w:r>
    </w:p>
    <w:p w14:paraId="54E83F4B" w14:textId="77777777" w:rsidR="008D471F" w:rsidRDefault="008D471F" w:rsidP="0010360B">
      <w:pPr>
        <w:pStyle w:val="Heading2"/>
        <w:sectPr w:rsidR="008D471F" w:rsidSect="008D471F">
          <w:pgSz w:w="16838" w:h="11906" w:orient="landscape"/>
          <w:pgMar w:top="720" w:right="720" w:bottom="720" w:left="1134" w:header="709" w:footer="284" w:gutter="0"/>
          <w:cols w:space="708"/>
          <w:titlePg/>
          <w:docGrid w:linePitch="360"/>
        </w:sectPr>
      </w:pPr>
    </w:p>
    <w:p w14:paraId="24833231" w14:textId="03E1BB5A" w:rsidR="0010360B" w:rsidRPr="0010360B" w:rsidRDefault="0010360B" w:rsidP="0010360B">
      <w:pPr>
        <w:pStyle w:val="Heading2"/>
      </w:pPr>
      <w:r w:rsidRPr="0010360B">
        <w:lastRenderedPageBreak/>
        <w:t xml:space="preserve">Practical issues and vaccine uptake </w:t>
      </w:r>
    </w:p>
    <w:p w14:paraId="58294E00" w14:textId="77777777" w:rsidR="0010360B" w:rsidRDefault="0010360B" w:rsidP="0010360B">
      <w:r>
        <w:t xml:space="preserve">Most respondents had received another vaccine during adulthood (98%; n = 234), and a majority of those had received a COVID-19 vaccine (65%; n = 153). Most participants nominated ‘hospital’ as a preferred place of vaccination (68%; n = 164) followed by ‘workplace’ (52%; n = 124) and ‘a medical practice’ (43%; n = 104). While most respondents reported no difficulties in accessing COVID-19 vaccine (60%; n = 145), reported barriers included inability to leave their workstation (12%; n = 28) and lack of on-site vaccination at workplace (14%; n = 33). </w:t>
      </w:r>
    </w:p>
    <w:p w14:paraId="43A24BCA" w14:textId="114D0202" w:rsidR="0010360B" w:rsidRDefault="0010360B" w:rsidP="0010360B">
      <w:r>
        <w:t>Unadjusted analysis showed participants who knew the vaccination sites (OR: 9.8; 95% CI: 2.5–64.8) and found the vaccination process moderately or very easy (OR: 2.2; 95% CI: 1.1–4.7) had a higher likelihood of vaccine uptake</w:t>
      </w:r>
      <w:r w:rsidR="0037753F">
        <w:t> </w:t>
      </w:r>
      <w:r>
        <w:t xml:space="preserve">(Table 4). </w:t>
      </w:r>
    </w:p>
    <w:p w14:paraId="44424C8A" w14:textId="77777777" w:rsidR="0010360B" w:rsidRPr="0010360B" w:rsidRDefault="0010360B" w:rsidP="0010360B">
      <w:pPr>
        <w:pStyle w:val="Heading2"/>
      </w:pPr>
      <w:r w:rsidRPr="0010360B">
        <w:t xml:space="preserve">“How do you feel about the COVID-19 vaccines?”: Open-ended, qualitative responses </w:t>
      </w:r>
    </w:p>
    <w:p w14:paraId="3E7F20E6" w14:textId="77777777" w:rsidR="0010360B" w:rsidRDefault="0010360B" w:rsidP="0010360B">
      <w:r>
        <w:t xml:space="preserve">Themes inductively arising from the responses to the open-ended question, “How do you feel about the COVID-19 Vaccines?” included general thoughts and feelings about the vaccine, and more specific themes such as vaccine side effects; risk and trust; and experiences. Responses to this question carried both positive/neutral and negative sentiment (Tables 5 and 6). </w:t>
      </w:r>
    </w:p>
    <w:p w14:paraId="2E1DFE6F" w14:textId="77777777" w:rsidR="0010360B" w:rsidRPr="0010360B" w:rsidRDefault="0010360B" w:rsidP="0010360B">
      <w:pPr>
        <w:pStyle w:val="Heading2"/>
      </w:pPr>
      <w:r w:rsidRPr="0010360B">
        <w:t xml:space="preserve">General thoughts and feelings </w:t>
      </w:r>
    </w:p>
    <w:p w14:paraId="4FB6AADC" w14:textId="77777777" w:rsidR="0010360B" w:rsidRDefault="0010360B" w:rsidP="0010360B">
      <w:r>
        <w:t xml:space="preserve">There were a range of general feelings expressed covering uncertainty and apprehension, ambivalence, hopefulness, and happiness and satisfaction concerning the COVID-19 vaccine, with a number of participants expressing concerns that an annual booster will be required in future: </w:t>
      </w:r>
    </w:p>
    <w:p w14:paraId="2DC59F27" w14:textId="77777777" w:rsidR="0010360B" w:rsidRDefault="0010360B" w:rsidP="00EA16FA">
      <w:r w:rsidRPr="00EA16FA">
        <w:rPr>
          <w:rStyle w:val="Emphasis"/>
          <w:b w:val="0"/>
          <w:bCs w:val="0"/>
        </w:rPr>
        <w:t xml:space="preserve">“Ok it needs to happen more concerned we will need a yearly update” – Pat, nurse </w:t>
      </w:r>
    </w:p>
    <w:p w14:paraId="11775DDB" w14:textId="77777777" w:rsidR="0010360B" w:rsidRPr="00EA16FA" w:rsidRDefault="0010360B" w:rsidP="00EA16FA">
      <w:pPr>
        <w:pStyle w:val="Heading2"/>
      </w:pPr>
      <w:r w:rsidRPr="00EA16FA">
        <w:t xml:space="preserve">Vaccine side effects </w:t>
      </w:r>
    </w:p>
    <w:p w14:paraId="2B58675D" w14:textId="77777777" w:rsidR="0010360B" w:rsidRDefault="0010360B" w:rsidP="00EA16FA">
      <w:r>
        <w:t xml:space="preserve">Participants held both long- and short-term concerns about vaccine side effects, with generally negative sentiment. Participants demonstrated strong awareness of the different safety profiles of the available vaccine brands, with some indicating a willingness to receive a COVID-19 vaccine if they could choose which brand: </w:t>
      </w:r>
    </w:p>
    <w:p w14:paraId="7982153A" w14:textId="77777777" w:rsidR="0010360B" w:rsidRDefault="0010360B" w:rsidP="00EA16FA">
      <w:r w:rsidRPr="00EA16FA">
        <w:rPr>
          <w:rStyle w:val="Emphasis"/>
          <w:b w:val="0"/>
          <w:bCs w:val="0"/>
        </w:rPr>
        <w:t xml:space="preserve">“OK with the Pfizer but huge reservations about the others” – Casey, nurse </w:t>
      </w:r>
    </w:p>
    <w:p w14:paraId="0E7545FD" w14:textId="77777777" w:rsidR="0010360B" w:rsidRDefault="0010360B" w:rsidP="00EA16FA">
      <w:r>
        <w:t xml:space="preserve">There was strong awareness of the risk of TTS and concern about unknown long-term side effects: </w:t>
      </w:r>
    </w:p>
    <w:p w14:paraId="440AAE63" w14:textId="77777777" w:rsidR="0010360B" w:rsidRDefault="0010360B" w:rsidP="00EA16FA">
      <w:r w:rsidRPr="00EA16FA">
        <w:rPr>
          <w:rStyle w:val="Emphasis"/>
          <w:b w:val="0"/>
          <w:bCs w:val="0"/>
        </w:rPr>
        <w:t xml:space="preserve">“If there was a guarantee that there were no issues such as infertility or long-term illnesses I would be more accepting of the vaccine” – Jessie, administrative role </w:t>
      </w:r>
    </w:p>
    <w:p w14:paraId="68D0DDA2" w14:textId="77777777" w:rsidR="0010360B" w:rsidRPr="00EA16FA" w:rsidRDefault="0010360B" w:rsidP="00EA16FA">
      <w:pPr>
        <w:pStyle w:val="Heading2"/>
      </w:pPr>
      <w:r w:rsidRPr="00EA16FA">
        <w:t xml:space="preserve">Risk and trust </w:t>
      </w:r>
    </w:p>
    <w:p w14:paraId="2FD38F9B" w14:textId="77777777" w:rsidR="0010360B" w:rsidRDefault="0010360B" w:rsidP="00EA16FA">
      <w:r>
        <w:t xml:space="preserve">Responses regarding risk and trust were both positive/neutral and negative in sentiment and fell into three categories: trust in the safety and effectiveness of the vaccine; trust in the vaccine development and regulatory approval processes; and weighing risks and benefits. Most responses in this theme indicated some acknowledgement and acceptance of risk. For example: </w:t>
      </w:r>
    </w:p>
    <w:p w14:paraId="6238FB88" w14:textId="77777777" w:rsidR="0010360B" w:rsidRDefault="0010360B" w:rsidP="00EA16FA">
      <w:r w:rsidRPr="00EA16FA">
        <w:rPr>
          <w:rStyle w:val="Emphasis"/>
          <w:b w:val="0"/>
          <w:bCs w:val="0"/>
        </w:rPr>
        <w:t xml:space="preserve">“Scary to get, more scary not to get. I am sure we all feel like this” – Riley, administrative role </w:t>
      </w:r>
    </w:p>
    <w:p w14:paraId="3F168286" w14:textId="77777777" w:rsidR="0010360B" w:rsidRPr="00EA16FA" w:rsidRDefault="0010360B" w:rsidP="00EA16FA">
      <w:pPr>
        <w:pStyle w:val="Heading2"/>
      </w:pPr>
      <w:r w:rsidRPr="00EA16FA">
        <w:t xml:space="preserve">Experiences </w:t>
      </w:r>
    </w:p>
    <w:p w14:paraId="5D9A1AA8" w14:textId="77777777" w:rsidR="0010360B" w:rsidRDefault="0010360B" w:rsidP="00EA16FA">
      <w:r>
        <w:t xml:space="preserve">Both positive and negative vaccination experiences were reported as contributing to how people feel about the COVID-19 vaccines, with the majority reported as positive or at least, acceptable. Many reported concerns prior to their first vaccine dose which diminished after an acceptable first vaccination experience. For example: </w:t>
      </w:r>
    </w:p>
    <w:p w14:paraId="7BFD7FE9" w14:textId="77777777" w:rsidR="0010360B" w:rsidRDefault="0010360B" w:rsidP="00964D78">
      <w:r w:rsidRPr="00EA16FA">
        <w:rPr>
          <w:rStyle w:val="Emphasis"/>
          <w:b w:val="0"/>
          <w:bCs w:val="0"/>
        </w:rPr>
        <w:t xml:space="preserve">“Would have waited for the Pfizer vaccine if available earlier but still good for the second Astra Zeneca vaccine given first dose was uneventful” – Chris, doctor </w:t>
      </w:r>
    </w:p>
    <w:p w14:paraId="47210887" w14:textId="77777777" w:rsidR="0010360B" w:rsidRDefault="0010360B" w:rsidP="00EA16FA">
      <w:r>
        <w:lastRenderedPageBreak/>
        <w:t xml:space="preserve">Negative experiences usually related to side effects either suffered by the participant, or experienced vicariously through colleagues: </w:t>
      </w:r>
    </w:p>
    <w:p w14:paraId="5950F8AF" w14:textId="77777777" w:rsidR="0010360B" w:rsidRDefault="0010360B" w:rsidP="00964D78">
      <w:r w:rsidRPr="00EA16FA">
        <w:rPr>
          <w:rStyle w:val="Emphasis"/>
          <w:b w:val="0"/>
          <w:bCs w:val="0"/>
        </w:rPr>
        <w:t xml:space="preserve">“I know I need to get it but am concerned about the side effects. Some colleagues I know have had very bad reactions to the vaccine” – Robin, nurse </w:t>
      </w:r>
    </w:p>
    <w:p w14:paraId="12614305" w14:textId="77777777" w:rsidR="0010360B" w:rsidRPr="00EA16FA" w:rsidRDefault="0010360B" w:rsidP="00EA16FA">
      <w:pPr>
        <w:pStyle w:val="Heading1"/>
      </w:pPr>
      <w:r w:rsidRPr="00EA16FA">
        <w:t xml:space="preserve">Discussion </w:t>
      </w:r>
    </w:p>
    <w:p w14:paraId="3854CA71" w14:textId="77777777" w:rsidR="0010360B" w:rsidRDefault="0010360B" w:rsidP="00EA16FA">
      <w:r>
        <w:t xml:space="preserve">Using the </w:t>
      </w:r>
      <w:proofErr w:type="spellStart"/>
      <w:r>
        <w:t>BeSD</w:t>
      </w:r>
      <w:proofErr w:type="spellEnd"/>
      <w:r>
        <w:t xml:space="preserve"> model of COVID-19 vaccination behaviour</w:t>
      </w:r>
      <w:r>
        <w:rPr>
          <w:vertAlign w:val="superscript"/>
        </w:rPr>
        <w:t>17</w:t>
      </w:r>
      <w:r>
        <w:t xml:space="preserve"> as a framework (Figure 2), ours is one of the first studies from Australia reporting what HCWs think and feel about COVID-19 vaccines. Of those who were not yet vaccinated, over half signalled willingness to be vaccinated; 47% were unwilling or unsure. Most participants reported that practical barriers to receiving the vaccine had been minimised or removed; the most common barriers encountered by unvaccinated participants were a lack of onsite vaccination clinics and not being able to leave their workstation to get vaccinated (Figure 3). </w:t>
      </w:r>
    </w:p>
    <w:p w14:paraId="27E730A9" w14:textId="77777777" w:rsidR="0010360B" w:rsidRDefault="0010360B" w:rsidP="00EA16FA">
      <w:r>
        <w:t xml:space="preserve">Belief that the vaccine was important for their health, and that family and friends wanted them to have the vaccine, were strongly association with COVID-19 vaccine uptake in this group. Trust in the vaccine and confidence in being able to answer patient questions about the vaccine were also associated with vaccine acceptance. </w:t>
      </w:r>
    </w:p>
    <w:p w14:paraId="6B42948A" w14:textId="77777777" w:rsidR="0010360B" w:rsidRDefault="0010360B" w:rsidP="00EA16FA">
      <w:r>
        <w:t>There are few published studies on HCW COVID-19 vaccine uptake, the majority instead focussing on intention to vaccinate, having been undertaken prior to vaccine availability. A global rapid review of the COVID-19 vaccine attitudes of HCWs identified a wide variation in intention to vaccinate, between 28% and 77%.</w:t>
      </w:r>
      <w:r>
        <w:rPr>
          <w:vertAlign w:val="superscript"/>
        </w:rPr>
        <w:t>24</w:t>
      </w:r>
      <w:r>
        <w:t xml:space="preserve"> A recent American single-centre study of 4,448 HCWs reported 9% had taken up a vaccine and 60% intended to.</w:t>
      </w:r>
      <w:r>
        <w:rPr>
          <w:vertAlign w:val="superscript"/>
        </w:rPr>
        <w:t>25</w:t>
      </w:r>
      <w:r>
        <w:t xml:space="preserve"> </w:t>
      </w:r>
    </w:p>
    <w:p w14:paraId="74496778" w14:textId="77777777" w:rsidR="0010360B" w:rsidRDefault="0010360B" w:rsidP="00EA16FA">
      <w:r>
        <w:t>This study was undertaken in a context where no mandates had been introduced. The subsequent introduction of vaccine mandates in some jurisdictions has increased the need to support HCWs’ decision-making. While mandates may well be lawful for HCWs,</w:t>
      </w:r>
      <w:r>
        <w:rPr>
          <w:vertAlign w:val="superscript"/>
        </w:rPr>
        <w:t>26</w:t>
      </w:r>
      <w:r>
        <w:t xml:space="preserve"> evidence suggests they could dampen voluntary response and increase vaccine rejection in some cases.</w:t>
      </w:r>
      <w:r>
        <w:rPr>
          <w:vertAlign w:val="superscript"/>
        </w:rPr>
        <w:t>27</w:t>
      </w:r>
      <w:r>
        <w:t xml:space="preserve"> Multifaced campaigns with a range of policy and organisation measures remain the preferred method of encouragement to achieve adequate coverage.</w:t>
      </w:r>
      <w:r>
        <w:rPr>
          <w:vertAlign w:val="superscript"/>
        </w:rPr>
        <w:t>28</w:t>
      </w:r>
      <w:r>
        <w:t xml:space="preserve"> Coercive policies need strong justification</w:t>
      </w:r>
      <w:r>
        <w:rPr>
          <w:vertAlign w:val="superscript"/>
        </w:rPr>
        <w:t>29</w:t>
      </w:r>
      <w:r>
        <w:t xml:space="preserve"> and may be appropriate when substantive criteria such as adequate disease containment and sufficient safety and efficacy information have been met.</w:t>
      </w:r>
      <w:r>
        <w:rPr>
          <w:vertAlign w:val="superscript"/>
        </w:rPr>
        <w:t>30</w:t>
      </w:r>
      <w:r>
        <w:t xml:space="preserve"> </w:t>
      </w:r>
    </w:p>
    <w:p w14:paraId="3F1351D1" w14:textId="77777777" w:rsidR="0010360B" w:rsidRPr="00EA16FA" w:rsidRDefault="0010360B" w:rsidP="00EA16FA">
      <w:pPr>
        <w:pStyle w:val="Heading2"/>
      </w:pPr>
      <w:r w:rsidRPr="00EA16FA">
        <w:t xml:space="preserve">What people think and feel </w:t>
      </w:r>
    </w:p>
    <w:p w14:paraId="63369611" w14:textId="77777777" w:rsidR="0010360B" w:rsidRDefault="0010360B" w:rsidP="00EA16FA">
      <w:r>
        <w:t xml:space="preserve">The HCWs in this study reported largely positive attitudes towards COVID-19 vaccine, with high levels of trust in the vaccine, and belief in its importance and effectiveness. Those reporting concern about contracting COVID-19 were less likely to have been vaccinated than those who did not report this concern. This is likely the result of the confounding effect of trust in the vaccine: those reporting trust in the vaccine were more likely to have received it. It therefore makes sense that those same vaccinated people would report a lower COVID-19 risk perception than those who were not vaccinated. </w:t>
      </w:r>
    </w:p>
    <w:p w14:paraId="4027ED88" w14:textId="77777777" w:rsidR="0010360B" w:rsidRDefault="0010360B" w:rsidP="00EA16FA">
      <w:r>
        <w:t xml:space="preserve">The open-ended qualitative questions provide insight into risk and trust among the participants. Positive or neutral responses revealed trust in the vaccine development and approval processes, and a general understanding and acceptance of the risk-benefit of the vaccine. Responses framed with negative sentiment centred on concerns that the vaccines had not been properly tested, and on perceived associated “unknowns”, as well doubts about vaccine efficacy. Of the 36% of respondents who had not received a COVID-19 vaccine, 62% reported concerns about the serious reactions to the vaccine. Qualitative responses addressing side effects included fear of specific side effects such as TTS, and fear of short-term side effects experienced either by themselves or vicariously through others. Fear of unknown long-term side effects was also reported. Concerns of specific side effects associated with specific </w:t>
      </w:r>
      <w:r>
        <w:lastRenderedPageBreak/>
        <w:t>vaccine brands is not surprising given the changing health advice and ongoing media coverage, and less specific fears of long-term side effects have been previously reported in both HCWs and other professions.</w:t>
      </w:r>
      <w:r>
        <w:rPr>
          <w:vertAlign w:val="superscript"/>
        </w:rPr>
        <w:t>31</w:t>
      </w:r>
      <w:r>
        <w:t xml:space="preserve"> Recent research with vaccine-hesitant and refusing parents revealed that information needs varied with the level of hesitancy, requiring nuanced differences in the information provided, depending on the level of hesitancy and the specific concerns held.</w:t>
      </w:r>
      <w:r>
        <w:rPr>
          <w:vertAlign w:val="superscript"/>
        </w:rPr>
        <w:t>32</w:t>
      </w:r>
      <w:r>
        <w:t xml:space="preserve"> Materials addressing specific concerns such as the level of testing required for vaccines, and vaccine side effects versus the relative risks of COVID-19, may be beneficial for those who are uncertain. Similarly, messaging centred on vaccine safety and benefits, including vaccination enabling travel, could leverage existing positive sentiment identified in our study. A recent Canadian study of COVID-19 vaccine intentions among the public made similar recommendations.</w:t>
      </w:r>
      <w:r>
        <w:rPr>
          <w:vertAlign w:val="superscript"/>
        </w:rPr>
        <w:t>33</w:t>
      </w:r>
      <w:r>
        <w:t xml:space="preserve"> </w:t>
      </w:r>
    </w:p>
    <w:p w14:paraId="56D04EB3" w14:textId="77777777" w:rsidR="0010360B" w:rsidRPr="00EA16FA" w:rsidRDefault="0010360B" w:rsidP="00EA16FA">
      <w:pPr>
        <w:pStyle w:val="Heading2"/>
      </w:pPr>
      <w:r w:rsidRPr="00EA16FA">
        <w:t xml:space="preserve">Social processes </w:t>
      </w:r>
    </w:p>
    <w:p w14:paraId="10681022" w14:textId="77777777" w:rsidR="0010360B" w:rsidRDefault="0010360B" w:rsidP="00EA16FA">
      <w:r>
        <w:t>Participants who thought their family and close friends would want them to have a COVID-19 vaccine were significantly more likely to have received a vaccine. While not statistically significant in this study, other social norms related to vaccination—such as the actions of work colleagues and others—are known to be positively associated with vaccine uptake.</w:t>
      </w:r>
      <w:r>
        <w:rPr>
          <w:vertAlign w:val="superscript"/>
        </w:rPr>
        <w:t>34</w:t>
      </w:r>
      <w:r>
        <w:t xml:space="preserve"> Choice architecture has shown that people are likely to be persuaded by social consensus.</w:t>
      </w:r>
      <w:r>
        <w:rPr>
          <w:vertAlign w:val="superscript"/>
        </w:rPr>
        <w:t>35</w:t>
      </w:r>
      <w:r>
        <w:t xml:space="preserve"> The tendency for people to follow social norms provides an opportunity to construct an environment that normalises COVID-19 vaccination, something that can also be harnessed for messaging campaigns. </w:t>
      </w:r>
    </w:p>
    <w:p w14:paraId="033F996F" w14:textId="77777777" w:rsidR="0010360B" w:rsidRPr="00EA16FA" w:rsidRDefault="0010360B" w:rsidP="00EA16FA">
      <w:pPr>
        <w:pStyle w:val="Heading2"/>
      </w:pPr>
      <w:r w:rsidRPr="00EA16FA">
        <w:t xml:space="preserve">Motivation for vaccination among the unvaccinated </w:t>
      </w:r>
    </w:p>
    <w:p w14:paraId="39EDE9D4" w14:textId="77777777" w:rsidR="0010360B" w:rsidRDefault="0010360B" w:rsidP="00EA16FA">
      <w:r>
        <w:t>Encouragingly, 53% of the unvaccinated participants in this study were willing to receive the COVID-19 vaccine. Efforts are needed to understand why this group remained unvaccinated; considerations of the practical issues identified among this group are discussed below. The findings on what this study’s participants thought and felt about the COVID-19 vaccine can inform interventions that might encourage the 30% who reported being unsure toward vaccinating. Research with parents who refuse vaccines for their children has shown that while many remain intractable in their position, for some, vaccine refusal is not a static destination, but a position that changes via a process of constant risk re-evaluation.</w:t>
      </w:r>
      <w:r>
        <w:rPr>
          <w:vertAlign w:val="superscript"/>
        </w:rPr>
        <w:t>36</w:t>
      </w:r>
      <w:r>
        <w:t xml:space="preserve"> Over the course of the pandemic to the completion of this study, CQ had remained mostly unaffected. The CQ region saw fewer than 50 COVID-19 cases, compared to 63,825 and 37,333 in New South Wales and Victoria to September 2021.</w:t>
      </w:r>
      <w:r>
        <w:rPr>
          <w:vertAlign w:val="superscript"/>
        </w:rPr>
        <w:t>2</w:t>
      </w:r>
      <w:r>
        <w:t xml:space="preserve"> These low case numbers, and less time spent in lockdowns, potentially affected the perceived risk and uptake of the vaccine. Rolling COVID-19 vaccine sentiment research in Australian adults has shown that the proportion of people unwilling to have the vaccine has remained relatively stable since September 2021, even with increased infection rates resulting in widespread and prolonged lockdowns in some states.</w:t>
      </w:r>
      <w:r>
        <w:rPr>
          <w:vertAlign w:val="superscript"/>
        </w:rPr>
        <w:t>37</w:t>
      </w:r>
      <w:r>
        <w:t xml:space="preserve"> Similar to our findings, this same research identified fear of side effects and/or worry that the vaccine was unsafe as the most commonly cited reason for not wanting the vaccine. While it is possible that the 17% who said they were unwilling to be vaccinated would not change their minds, it is also possible that some may re-assess their position when presented with clear and up-to-date risk/benefit information on the vaccine and the disease, including updated safety information, as more data became available. </w:t>
      </w:r>
    </w:p>
    <w:p w14:paraId="77302DD3" w14:textId="77777777" w:rsidR="0010360B" w:rsidRPr="00EA16FA" w:rsidRDefault="0010360B" w:rsidP="00EA16FA">
      <w:pPr>
        <w:pStyle w:val="Heading2"/>
      </w:pPr>
      <w:r w:rsidRPr="00EA16FA">
        <w:t xml:space="preserve">Practical issues and vaccine uptake </w:t>
      </w:r>
    </w:p>
    <w:p w14:paraId="0E5AF742" w14:textId="77777777" w:rsidR="0010360B" w:rsidRDefault="0010360B" w:rsidP="00EA16FA">
      <w:r>
        <w:t xml:space="preserve">Most of the practical barriers to receiving a COVID-19 vaccine have been removed for these participants. Lack of onsite clinics and inability to leave work duties were the most reported barriers in this group. Increasing accessibility through provision of more on-site vaccine clinics and working with supervisors to allow time during shifts for vaccination would be a logical first step, while follow-up studies could explore other solutions. </w:t>
      </w:r>
    </w:p>
    <w:p w14:paraId="52CC5F57" w14:textId="77777777" w:rsidR="0010360B" w:rsidRPr="00EA16FA" w:rsidRDefault="0010360B" w:rsidP="00EA16FA">
      <w:pPr>
        <w:pStyle w:val="Heading2"/>
      </w:pPr>
      <w:r w:rsidRPr="00EA16FA">
        <w:t xml:space="preserve">Limitations </w:t>
      </w:r>
    </w:p>
    <w:p w14:paraId="05726793" w14:textId="77777777" w:rsidR="0010360B" w:rsidRDefault="0010360B" w:rsidP="00EA16FA">
      <w:r>
        <w:t xml:space="preserve">This study has several limitations. The low response rate of 5%, convenience sampling and underrepresentation of nurses could affect the generalisability of our findings. However, as there is no literature currently available it is not possible to tell the effect of this skewed sample. Our focus on the CQHHS staff means that only HCWs employed by a </w:t>
      </w:r>
      <w:r>
        <w:lastRenderedPageBreak/>
        <w:t>public hospital were recruited. Participants may be different from the overall regional healthcare workforce, which also includes HCWs in general practices, private hospitals and residential aged care facilities. Previous studies have shown that while hospital HCWs had higher vaccine uptake rates than non-hospital workers, the determinants of their vaccination uptake were similar,</w:t>
      </w:r>
      <w:r>
        <w:rPr>
          <w:vertAlign w:val="superscript"/>
        </w:rPr>
        <w:t>38</w:t>
      </w:r>
      <w:r>
        <w:t xml:space="preserve"> and our findings therefore may still have broad applicability. Future studies including both hospital and community HCWs are needed. </w:t>
      </w:r>
    </w:p>
    <w:p w14:paraId="10FC1326" w14:textId="77777777" w:rsidR="0010360B" w:rsidRPr="00EA16FA" w:rsidRDefault="0010360B" w:rsidP="00EA16FA">
      <w:pPr>
        <w:pStyle w:val="Heading1"/>
      </w:pPr>
      <w:r w:rsidRPr="00EA16FA">
        <w:t xml:space="preserve">Conclusion </w:t>
      </w:r>
    </w:p>
    <w:p w14:paraId="31775ABE" w14:textId="77777777" w:rsidR="0010360B" w:rsidRDefault="0010360B" w:rsidP="00EA16FA">
      <w:r>
        <w:t>COVID-19 vaccines reduce transmission and severe infections</w:t>
      </w:r>
      <w:r>
        <w:rPr>
          <w:vertAlign w:val="superscript"/>
        </w:rPr>
        <w:t>39</w:t>
      </w:r>
      <w:r>
        <w:t xml:space="preserve"> among HCWs,</w:t>
      </w:r>
      <w:r>
        <w:rPr>
          <w:vertAlign w:val="superscript"/>
        </w:rPr>
        <w:t>40</w:t>
      </w:r>
      <w:r>
        <w:t xml:space="preserve"> making vaccination crucial to the pandemic response. These findings suggest communications and educational material framed around the benefits and social norms of vaccination, along with targeted materials addressing vaccine safety and effectiveness concerns, would encourage HCWs to accept COVID-19 vaccines. Such materials coupled with an implementation plan removing all possible practical barriers to vaccination would likely result in optimal vaccine coverage among HCWs. </w:t>
      </w:r>
    </w:p>
    <w:p w14:paraId="4AE0FEDE" w14:textId="77777777" w:rsidR="0010360B" w:rsidRPr="00EA16FA" w:rsidRDefault="0010360B" w:rsidP="00EA16FA">
      <w:pPr>
        <w:pStyle w:val="Heading1"/>
      </w:pPr>
      <w:r w:rsidRPr="00EA16FA">
        <w:t xml:space="preserve">Declaration of competing interest </w:t>
      </w:r>
    </w:p>
    <w:p w14:paraId="349E6E4E" w14:textId="77777777" w:rsidR="0010360B" w:rsidRDefault="0010360B" w:rsidP="00684438">
      <w:r>
        <w:t xml:space="preserve">All authors declare no competing interests. </w:t>
      </w:r>
    </w:p>
    <w:p w14:paraId="3CFA7024" w14:textId="77777777" w:rsidR="0010360B" w:rsidRPr="00EA16FA" w:rsidRDefault="0010360B" w:rsidP="00EA16FA">
      <w:pPr>
        <w:pStyle w:val="Heading1"/>
      </w:pPr>
      <w:r w:rsidRPr="00EA16FA">
        <w:t xml:space="preserve">Contributors </w:t>
      </w:r>
    </w:p>
    <w:p w14:paraId="6EACEBB1" w14:textId="77777777" w:rsidR="0010360B" w:rsidRDefault="0010360B" w:rsidP="00EA16FA">
      <w:r>
        <w:t xml:space="preserve">GC, NS,OA, GK and KW conceived and designed the study. GC communicated, collected and extract the data. GC, MHAI, AK, NS, GK and KW performed the primary analysis and interpretation of the data. GC, NS, MK, GK and KW critically reviewed the data analysis and interpretation. GC, MHAI, NS and KW drafted the manuscript and all authors contributed with critical revision to the content of the manuscript. The final version of the manuscript was approved by all authors. </w:t>
      </w:r>
    </w:p>
    <w:p w14:paraId="7ADAE49A" w14:textId="77777777" w:rsidR="0010360B" w:rsidRPr="00EA16FA" w:rsidRDefault="0010360B" w:rsidP="00EA16FA">
      <w:pPr>
        <w:pStyle w:val="Heading1"/>
      </w:pPr>
      <w:r w:rsidRPr="00EA16FA">
        <w:t xml:space="preserve">Funding </w:t>
      </w:r>
    </w:p>
    <w:p w14:paraId="3A80D92A" w14:textId="77777777" w:rsidR="0010360B" w:rsidRDefault="0010360B" w:rsidP="00EA16FA">
      <w:r>
        <w:t xml:space="preserve">This work was supported by a Queensland Advancing Clinical Research Fellowship awarded to Prof. Gulam Khandaker by Queensland Health’s Health Innovation, Investment and Research Office (HIRO), Office of the Director-General. The funders had no role in study design, data collection or analysis, writing of the article, or the decision to publish. The corresponding author had access to all the data in the study and the final responsibility for the decision to submit the article for publication. </w:t>
      </w:r>
    </w:p>
    <w:p w14:paraId="7C17E56A" w14:textId="77777777" w:rsidR="0010360B" w:rsidRPr="00EA16FA" w:rsidRDefault="0010360B" w:rsidP="00EA16FA">
      <w:pPr>
        <w:pStyle w:val="Heading1"/>
      </w:pPr>
      <w:r w:rsidRPr="00EA16FA">
        <w:t xml:space="preserve">Data sharing </w:t>
      </w:r>
    </w:p>
    <w:p w14:paraId="3BC90673" w14:textId="5A33EB75" w:rsidR="0010360B" w:rsidRDefault="0010360B" w:rsidP="00EA16FA">
      <w:r>
        <w:t>The data that support the findings of this study are available from the corresponding author, upon reasonable</w:t>
      </w:r>
      <w:r w:rsidR="00992AF3">
        <w:t> </w:t>
      </w:r>
      <w:r>
        <w:t xml:space="preserve">request. </w:t>
      </w:r>
    </w:p>
    <w:p w14:paraId="0AFBE698" w14:textId="77777777" w:rsidR="00684438" w:rsidRDefault="00684438">
      <w:pPr>
        <w:rPr>
          <w:rFonts w:asciiTheme="majorHAnsi" w:eastAsiaTheme="majorEastAsia" w:hAnsiTheme="majorHAnsi" w:cstheme="majorBidi"/>
          <w:b/>
          <w:bCs/>
          <w:sz w:val="32"/>
          <w:szCs w:val="28"/>
        </w:rPr>
      </w:pPr>
      <w:r>
        <w:br w:type="page"/>
      </w:r>
    </w:p>
    <w:p w14:paraId="2A0935D5" w14:textId="65E13004" w:rsidR="0010360B" w:rsidRPr="00EA16FA" w:rsidRDefault="0010360B" w:rsidP="00EA16FA">
      <w:pPr>
        <w:pStyle w:val="Heading1"/>
      </w:pPr>
      <w:r w:rsidRPr="00EA16FA">
        <w:lastRenderedPageBreak/>
        <w:t xml:space="preserve">Author details </w:t>
      </w:r>
    </w:p>
    <w:p w14:paraId="3E62EDDE" w14:textId="0F5F303C" w:rsidR="0010360B" w:rsidRDefault="0010360B" w:rsidP="00EA16FA">
      <w:r>
        <w:t>Mrs Gwenda Chapman</w:t>
      </w:r>
      <w:r>
        <w:rPr>
          <w:vertAlign w:val="superscript"/>
        </w:rPr>
        <w:t xml:space="preserve">1 </w:t>
      </w:r>
      <w:r>
        <w:t xml:space="preserve">Mr </w:t>
      </w:r>
      <w:r w:rsidR="003873B0" w:rsidRPr="003873B0">
        <w:t>Mahmudul Hassan Al Imam</w:t>
      </w:r>
      <w:r>
        <w:rPr>
          <w:vertAlign w:val="superscript"/>
        </w:rPr>
        <w:t xml:space="preserve">1,2 </w:t>
      </w:r>
      <w:r>
        <w:t xml:space="preserve">Dr </w:t>
      </w:r>
      <w:proofErr w:type="spellStart"/>
      <w:r>
        <w:t>Arifuzzaman</w:t>
      </w:r>
      <w:proofErr w:type="spellEnd"/>
      <w:r>
        <w:t xml:space="preserve"> Khan</w:t>
      </w:r>
      <w:r>
        <w:rPr>
          <w:vertAlign w:val="superscript"/>
        </w:rPr>
        <w:t xml:space="preserve">1,3 </w:t>
      </w:r>
      <w:r>
        <w:t>Dr Nicolas Smoll</w:t>
      </w:r>
      <w:r>
        <w:rPr>
          <w:vertAlign w:val="superscript"/>
        </w:rPr>
        <w:t xml:space="preserve">1 </w:t>
      </w:r>
      <w:r>
        <w:t xml:space="preserve">Dr </w:t>
      </w:r>
      <w:proofErr w:type="spellStart"/>
      <w:r>
        <w:t>Odewumi</w:t>
      </w:r>
      <w:proofErr w:type="spellEnd"/>
      <w:r>
        <w:t xml:space="preserve"> Adegbija</w:t>
      </w:r>
      <w:r>
        <w:rPr>
          <w:vertAlign w:val="superscript"/>
        </w:rPr>
        <w:t xml:space="preserve">1 </w:t>
      </w:r>
      <w:r>
        <w:t>Dr Michael Kirk</w:t>
      </w:r>
      <w:r>
        <w:rPr>
          <w:vertAlign w:val="superscript"/>
        </w:rPr>
        <w:t xml:space="preserve">4 </w:t>
      </w:r>
      <w:r>
        <w:t>Prof. Gulam Khandaker</w:t>
      </w:r>
      <w:r>
        <w:rPr>
          <w:vertAlign w:val="superscript"/>
        </w:rPr>
        <w:t xml:space="preserve">1,2 </w:t>
      </w:r>
      <w:r>
        <w:t>Dr Kerrie Wiley</w:t>
      </w:r>
      <w:r>
        <w:rPr>
          <w:vertAlign w:val="superscript"/>
        </w:rPr>
        <w:t xml:space="preserve">5 </w:t>
      </w:r>
    </w:p>
    <w:p w14:paraId="744C2E0B" w14:textId="77777777" w:rsidR="0010360B" w:rsidRPr="00EA16FA" w:rsidRDefault="0010360B" w:rsidP="00EA16FA">
      <w:pPr>
        <w:pStyle w:val="ListParagraph"/>
        <w:numPr>
          <w:ilvl w:val="0"/>
          <w:numId w:val="9"/>
        </w:numPr>
        <w:rPr>
          <w:rFonts w:eastAsia="Times New Roman"/>
        </w:rPr>
      </w:pPr>
      <w:r w:rsidRPr="00EA16FA">
        <w:rPr>
          <w:rFonts w:eastAsia="Times New Roman"/>
        </w:rPr>
        <w:t xml:space="preserve">Central Queensland Public Health Unit, Central Queensland Hospital and Health Service, Rockhampton, Queensland, Australia </w:t>
      </w:r>
    </w:p>
    <w:p w14:paraId="298F5861" w14:textId="77777777" w:rsidR="0010360B" w:rsidRPr="00EA16FA" w:rsidRDefault="0010360B" w:rsidP="00EA16FA">
      <w:pPr>
        <w:pStyle w:val="ListParagraph"/>
        <w:numPr>
          <w:ilvl w:val="0"/>
          <w:numId w:val="9"/>
        </w:numPr>
        <w:rPr>
          <w:rFonts w:eastAsia="Times New Roman"/>
        </w:rPr>
      </w:pPr>
      <w:r w:rsidRPr="00EA16FA">
        <w:rPr>
          <w:rFonts w:eastAsia="Times New Roman"/>
        </w:rPr>
        <w:t xml:space="preserve">CQUniversity, Rockhampton, Queensland, Australia </w:t>
      </w:r>
    </w:p>
    <w:p w14:paraId="7B3E48CB" w14:textId="77777777" w:rsidR="0010360B" w:rsidRPr="00EA16FA" w:rsidRDefault="0010360B" w:rsidP="00EA16FA">
      <w:pPr>
        <w:pStyle w:val="ListParagraph"/>
        <w:numPr>
          <w:ilvl w:val="0"/>
          <w:numId w:val="9"/>
        </w:numPr>
        <w:rPr>
          <w:rFonts w:eastAsia="Times New Roman"/>
        </w:rPr>
      </w:pPr>
      <w:r w:rsidRPr="00EA16FA">
        <w:rPr>
          <w:rFonts w:eastAsia="Times New Roman"/>
        </w:rPr>
        <w:t xml:space="preserve">School of Public Health, The University of Queensland, Australia </w:t>
      </w:r>
    </w:p>
    <w:p w14:paraId="1F7B7F7F" w14:textId="77777777" w:rsidR="0010360B" w:rsidRPr="00EA16FA" w:rsidRDefault="0010360B" w:rsidP="00EA16FA">
      <w:pPr>
        <w:pStyle w:val="ListParagraph"/>
        <w:numPr>
          <w:ilvl w:val="0"/>
          <w:numId w:val="9"/>
        </w:numPr>
        <w:rPr>
          <w:rFonts w:eastAsia="Times New Roman"/>
        </w:rPr>
      </w:pPr>
      <w:r w:rsidRPr="00EA16FA">
        <w:rPr>
          <w:rFonts w:eastAsia="Times New Roman"/>
        </w:rPr>
        <w:t xml:space="preserve">Rockhampton Business Unit, Central Queensland Hospital and Health Service, Rockhampton, Queensland, Australia </w:t>
      </w:r>
    </w:p>
    <w:p w14:paraId="5FD6E667" w14:textId="77777777" w:rsidR="0010360B" w:rsidRPr="00EA16FA" w:rsidRDefault="0010360B" w:rsidP="00EA16FA">
      <w:pPr>
        <w:pStyle w:val="ListParagraph"/>
        <w:numPr>
          <w:ilvl w:val="0"/>
          <w:numId w:val="9"/>
        </w:numPr>
        <w:rPr>
          <w:rFonts w:eastAsia="Times New Roman"/>
        </w:rPr>
      </w:pPr>
      <w:r w:rsidRPr="00EA16FA">
        <w:rPr>
          <w:rFonts w:eastAsia="Times New Roman"/>
        </w:rPr>
        <w:t>Sydney School of Public Health, Faculty of Medicine and Health, The University of Sydney, New South Wales, Australia</w:t>
      </w:r>
    </w:p>
    <w:p w14:paraId="5251F142" w14:textId="77777777" w:rsidR="0010360B" w:rsidRPr="00EA16FA" w:rsidRDefault="0010360B" w:rsidP="00EA16FA">
      <w:pPr>
        <w:pStyle w:val="Heading2"/>
      </w:pPr>
      <w:r w:rsidRPr="00EA16FA">
        <w:t xml:space="preserve">Corresponding author </w:t>
      </w:r>
    </w:p>
    <w:p w14:paraId="2CA143C6" w14:textId="77777777" w:rsidR="0010360B" w:rsidRDefault="0010360B" w:rsidP="00EA16FA">
      <w:r>
        <w:t>Professor Gulam Khandaker Address: 82-86 Bolsover Street, Rockhampton Qld Australia 4700 Phone: 07 49206989 Email: gulam.khandaker@health.qld.gov.au</w:t>
      </w:r>
    </w:p>
    <w:p w14:paraId="41B1D1C1" w14:textId="77777777" w:rsidR="0010360B" w:rsidRPr="00EA16FA" w:rsidRDefault="0010360B" w:rsidP="00EA16FA">
      <w:pPr>
        <w:pStyle w:val="Heading1"/>
      </w:pPr>
      <w:r w:rsidRPr="00EA16FA">
        <w:t xml:space="preserve">References </w:t>
      </w:r>
    </w:p>
    <w:p w14:paraId="5DC8B63F"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World Health Organization (WHO). WHO Coronavirus Disease (COVID-19) dashboard. [Internet.] Geneva: WHO; 2021. Available from: https://covid19.who.int/. </w:t>
      </w:r>
    </w:p>
    <w:p w14:paraId="7804869E"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Australian Government Department of Health. Coronavirus (COVID-19) case numbers and statistics. [Internet.] Canberra: Australian Government Department of Health; 2021. Available from: https://www.health.gov.au/health-alerts/covid-19/case-numbers-and-statistics. </w:t>
      </w:r>
    </w:p>
    <w:p w14:paraId="60AD65A4"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Wouters</w:t>
      </w:r>
      <w:proofErr w:type="spellEnd"/>
      <w:r w:rsidRPr="00EA16FA">
        <w:rPr>
          <w:rFonts w:eastAsia="Times New Roman"/>
        </w:rPr>
        <w:t xml:space="preserve"> OJ, </w:t>
      </w:r>
      <w:proofErr w:type="spellStart"/>
      <w:r w:rsidRPr="00EA16FA">
        <w:rPr>
          <w:rFonts w:eastAsia="Times New Roman"/>
        </w:rPr>
        <w:t>Shadlen</w:t>
      </w:r>
      <w:proofErr w:type="spellEnd"/>
      <w:r w:rsidRPr="00EA16FA">
        <w:rPr>
          <w:rFonts w:eastAsia="Times New Roman"/>
        </w:rPr>
        <w:t xml:space="preserve"> KC, </w:t>
      </w:r>
      <w:proofErr w:type="spellStart"/>
      <w:r w:rsidRPr="00EA16FA">
        <w:rPr>
          <w:rFonts w:eastAsia="Times New Roman"/>
        </w:rPr>
        <w:t>Salcher</w:t>
      </w:r>
      <w:proofErr w:type="spellEnd"/>
      <w:r w:rsidRPr="00EA16FA">
        <w:rPr>
          <w:rFonts w:eastAsia="Times New Roman"/>
        </w:rPr>
        <w:t xml:space="preserve">-Konrad M, Pollard AJ, Larson HJ, </w:t>
      </w:r>
      <w:proofErr w:type="spellStart"/>
      <w:r w:rsidRPr="00EA16FA">
        <w:rPr>
          <w:rFonts w:eastAsia="Times New Roman"/>
        </w:rPr>
        <w:t>Teerawattananon</w:t>
      </w:r>
      <w:proofErr w:type="spellEnd"/>
      <w:r w:rsidRPr="00EA16FA">
        <w:rPr>
          <w:rFonts w:eastAsia="Times New Roman"/>
        </w:rPr>
        <w:t xml:space="preserve"> Y et al. Challenges in ensuring global access to COVID-19 vaccines: production, affordability, allocation, and deployment. </w:t>
      </w:r>
      <w:r w:rsidRPr="00EA16FA">
        <w:rPr>
          <w:rStyle w:val="Emphasis"/>
          <w:rFonts w:eastAsia="Times New Roman"/>
          <w:b w:val="0"/>
          <w:bCs w:val="0"/>
        </w:rPr>
        <w:t>Lancet</w:t>
      </w:r>
      <w:r w:rsidRPr="00EA16FA">
        <w:rPr>
          <w:rFonts w:eastAsia="Times New Roman"/>
        </w:rPr>
        <w:t xml:space="preserve">. 2021;397(10278):1023–34. </w:t>
      </w:r>
      <w:proofErr w:type="spellStart"/>
      <w:r w:rsidRPr="00EA16FA">
        <w:rPr>
          <w:rFonts w:eastAsia="Times New Roman"/>
        </w:rPr>
        <w:t>doi</w:t>
      </w:r>
      <w:proofErr w:type="spellEnd"/>
      <w:r w:rsidRPr="00EA16FA">
        <w:rPr>
          <w:rFonts w:eastAsia="Times New Roman"/>
        </w:rPr>
        <w:t xml:space="preserve">: https://doi.org/10.1016/S0140-6736(21)00306-8. </w:t>
      </w:r>
    </w:p>
    <w:p w14:paraId="7721235C"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Quigley AL, Stone H, Nguyen PY, </w:t>
      </w:r>
      <w:proofErr w:type="spellStart"/>
      <w:r w:rsidRPr="00EA16FA">
        <w:rPr>
          <w:rFonts w:eastAsia="Times New Roman"/>
        </w:rPr>
        <w:t>Chughtai</w:t>
      </w:r>
      <w:proofErr w:type="spellEnd"/>
      <w:r w:rsidRPr="00EA16FA">
        <w:rPr>
          <w:rFonts w:eastAsia="Times New Roman"/>
        </w:rPr>
        <w:t xml:space="preserve"> AA, </w:t>
      </w:r>
      <w:proofErr w:type="spellStart"/>
      <w:r w:rsidRPr="00EA16FA">
        <w:rPr>
          <w:rFonts w:eastAsia="Times New Roman"/>
        </w:rPr>
        <w:t>MacIntyre</w:t>
      </w:r>
      <w:proofErr w:type="spellEnd"/>
      <w:r w:rsidRPr="00EA16FA">
        <w:rPr>
          <w:rFonts w:eastAsia="Times New Roman"/>
        </w:rPr>
        <w:t xml:space="preserve"> CR. Estimating the burden of COVID-19 on the Australian healthcare workers and health system during the first six months of the pandemic. </w:t>
      </w:r>
      <w:r w:rsidRPr="00EA16FA">
        <w:rPr>
          <w:rStyle w:val="Emphasis"/>
          <w:rFonts w:eastAsia="Times New Roman"/>
          <w:b w:val="0"/>
          <w:bCs w:val="0"/>
        </w:rPr>
        <w:t xml:space="preserve">Int J </w:t>
      </w:r>
      <w:proofErr w:type="spellStart"/>
      <w:r w:rsidRPr="00EA16FA">
        <w:rPr>
          <w:rStyle w:val="Emphasis"/>
          <w:rFonts w:eastAsia="Times New Roman"/>
          <w:b w:val="0"/>
          <w:bCs w:val="0"/>
        </w:rPr>
        <w:t>Nurs</w:t>
      </w:r>
      <w:proofErr w:type="spellEnd"/>
      <w:r w:rsidRPr="00EA16FA">
        <w:rPr>
          <w:rStyle w:val="Emphasis"/>
          <w:rFonts w:eastAsia="Times New Roman"/>
          <w:b w:val="0"/>
          <w:bCs w:val="0"/>
        </w:rPr>
        <w:t xml:space="preserve"> Stud</w:t>
      </w:r>
      <w:r w:rsidRPr="00EA16FA">
        <w:rPr>
          <w:rFonts w:eastAsia="Times New Roman"/>
        </w:rPr>
        <w:t xml:space="preserve">. 2021;114:103811. </w:t>
      </w:r>
      <w:proofErr w:type="spellStart"/>
      <w:r w:rsidRPr="00EA16FA">
        <w:rPr>
          <w:rFonts w:eastAsia="Times New Roman"/>
        </w:rPr>
        <w:t>doi</w:t>
      </w:r>
      <w:proofErr w:type="spellEnd"/>
      <w:r w:rsidRPr="00EA16FA">
        <w:rPr>
          <w:rFonts w:eastAsia="Times New Roman"/>
        </w:rPr>
        <w:t xml:space="preserve">: https://doi.org/10.1016/j.ijnurstu.2020.103811. </w:t>
      </w:r>
    </w:p>
    <w:p w14:paraId="4D567802"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Australian Government Department of Health. </w:t>
      </w:r>
      <w:r w:rsidRPr="00EA16FA">
        <w:rPr>
          <w:rStyle w:val="Emphasis"/>
          <w:rFonts w:eastAsia="Times New Roman"/>
          <w:b w:val="0"/>
          <w:bCs w:val="0"/>
        </w:rPr>
        <w:t>Australia’s COVID-19 vaccine national roll-out strategy</w:t>
      </w:r>
      <w:r w:rsidRPr="00EA16FA">
        <w:rPr>
          <w:rFonts w:eastAsia="Times New Roman"/>
        </w:rPr>
        <w:t xml:space="preserve">. Canberra: Australian Government Department of Health; 2021. Available from: https://www.health.gov.au/sites/default/files/documents/2021/01/covid-19-vaccination-australia-s-covid-19-vaccine-national-roll-out-strategy.pdf. </w:t>
      </w:r>
    </w:p>
    <w:p w14:paraId="0946BAAC"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Prime Minister of Australia. National Cabinet Statement. [Media statement.] Canberra: Australian Government Department of the Prime Minister and Cabinet; 28 June 2021. Available from: https://www.pm.gov.au/media/national-cabinet-statement-5. </w:t>
      </w:r>
    </w:p>
    <w:p w14:paraId="79741912"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Government of Western Australia. Mandatory COVID-19 vaccines for Western Australian health care workers. [Internet.] Perth: Government of Western Australia, Department of the Premier and Cabinet; 2 September 2021. Available from: https://www.wa.gov.au/government/announcements/mandatory-covid-19-vaccines-western-australian-health-care-workers. </w:t>
      </w:r>
    </w:p>
    <w:p w14:paraId="75F2B767"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NSW Health. Vaccination requirements for workers. [Internet.] Sydney: Government of New South Wales, NSW Health; 2021. Available from: https://www.nsw.gov.au/covid-19/health-and-wellbeing/covid-19-vaccination-nsw/vaccination-for-workers. </w:t>
      </w:r>
    </w:p>
    <w:p w14:paraId="7B72F1F6" w14:textId="77777777" w:rsidR="0010360B" w:rsidRPr="00EA16FA" w:rsidRDefault="0010360B" w:rsidP="00EA16FA">
      <w:pPr>
        <w:pStyle w:val="ListParagraph"/>
        <w:numPr>
          <w:ilvl w:val="0"/>
          <w:numId w:val="10"/>
        </w:numPr>
        <w:rPr>
          <w:rFonts w:eastAsia="Times New Roman"/>
        </w:rPr>
      </w:pPr>
      <w:r w:rsidRPr="00EA16FA">
        <w:rPr>
          <w:rFonts w:eastAsia="Times New Roman"/>
        </w:rPr>
        <w:lastRenderedPageBreak/>
        <w:t xml:space="preserve">Tasmanian Government. Health Care Settings. [Internet.] Hobart: Tasmanian </w:t>
      </w:r>
      <w:proofErr w:type="spellStart"/>
      <w:r w:rsidRPr="00EA16FA">
        <w:rPr>
          <w:rFonts w:eastAsia="Times New Roman"/>
        </w:rPr>
        <w:t>Government,Department</w:t>
      </w:r>
      <w:proofErr w:type="spellEnd"/>
      <w:r w:rsidRPr="00EA16FA">
        <w:rPr>
          <w:rFonts w:eastAsia="Times New Roman"/>
        </w:rPr>
        <w:t xml:space="preserve"> of Premier and Cabinet; 2021. Available from: https://www.coronavirus.tas.gov.au/business-and-employees/health-care-settings. </w:t>
      </w:r>
    </w:p>
    <w:p w14:paraId="03B95AD7"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Sallam</w:t>
      </w:r>
      <w:proofErr w:type="spellEnd"/>
      <w:r w:rsidRPr="00EA16FA">
        <w:rPr>
          <w:rFonts w:eastAsia="Times New Roman"/>
        </w:rPr>
        <w:t xml:space="preserve"> M. COVID-19 Vaccine hesitancy worldwide: a concise systematic review of vaccine acceptance rates. </w:t>
      </w:r>
      <w:r w:rsidRPr="00EA16FA">
        <w:rPr>
          <w:rStyle w:val="Emphasis"/>
          <w:rFonts w:eastAsia="Times New Roman"/>
          <w:b w:val="0"/>
          <w:bCs w:val="0"/>
        </w:rPr>
        <w:t>Vaccines</w:t>
      </w:r>
      <w:r w:rsidRPr="00EA16FA">
        <w:rPr>
          <w:rFonts w:eastAsia="Times New Roman"/>
        </w:rPr>
        <w:t xml:space="preserve">. 2021;9(2):160. </w:t>
      </w:r>
      <w:proofErr w:type="spellStart"/>
      <w:r w:rsidRPr="00EA16FA">
        <w:rPr>
          <w:rFonts w:eastAsia="Times New Roman"/>
        </w:rPr>
        <w:t>doi</w:t>
      </w:r>
      <w:proofErr w:type="spellEnd"/>
      <w:r w:rsidRPr="00EA16FA">
        <w:rPr>
          <w:rFonts w:eastAsia="Times New Roman"/>
        </w:rPr>
        <w:t xml:space="preserve">: https://doi.org/10.3390/vaccines9020160. </w:t>
      </w:r>
    </w:p>
    <w:p w14:paraId="78DE8FF1"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Lazarus JV, </w:t>
      </w:r>
      <w:proofErr w:type="spellStart"/>
      <w:r w:rsidRPr="00EA16FA">
        <w:rPr>
          <w:rFonts w:eastAsia="Times New Roman"/>
        </w:rPr>
        <w:t>Ratzan</w:t>
      </w:r>
      <w:proofErr w:type="spellEnd"/>
      <w:r w:rsidRPr="00EA16FA">
        <w:rPr>
          <w:rFonts w:eastAsia="Times New Roman"/>
        </w:rPr>
        <w:t xml:space="preserve"> SC, </w:t>
      </w:r>
      <w:proofErr w:type="spellStart"/>
      <w:r w:rsidRPr="00EA16FA">
        <w:rPr>
          <w:rFonts w:eastAsia="Times New Roman"/>
        </w:rPr>
        <w:t>Palayew</w:t>
      </w:r>
      <w:proofErr w:type="spellEnd"/>
      <w:r w:rsidRPr="00EA16FA">
        <w:rPr>
          <w:rFonts w:eastAsia="Times New Roman"/>
        </w:rPr>
        <w:t xml:space="preserve"> A, </w:t>
      </w:r>
      <w:proofErr w:type="spellStart"/>
      <w:r w:rsidRPr="00EA16FA">
        <w:rPr>
          <w:rFonts w:eastAsia="Times New Roman"/>
        </w:rPr>
        <w:t>Gostin</w:t>
      </w:r>
      <w:proofErr w:type="spellEnd"/>
      <w:r w:rsidRPr="00EA16FA">
        <w:rPr>
          <w:rFonts w:eastAsia="Times New Roman"/>
        </w:rPr>
        <w:t xml:space="preserve"> LO, Larson HJ, Rabin K et al. A global survey of potential acceptance of a COVID-19 vaccine. </w:t>
      </w:r>
      <w:r w:rsidRPr="00EA16FA">
        <w:rPr>
          <w:rStyle w:val="Emphasis"/>
          <w:rFonts w:eastAsia="Times New Roman"/>
          <w:b w:val="0"/>
          <w:bCs w:val="0"/>
        </w:rPr>
        <w:t>Nat Med</w:t>
      </w:r>
      <w:r w:rsidRPr="00EA16FA">
        <w:rPr>
          <w:rFonts w:eastAsia="Times New Roman"/>
        </w:rPr>
        <w:t xml:space="preserve">. 2021;27(2):225–8. </w:t>
      </w:r>
      <w:proofErr w:type="spellStart"/>
      <w:r w:rsidRPr="00EA16FA">
        <w:rPr>
          <w:rFonts w:eastAsia="Times New Roman"/>
        </w:rPr>
        <w:t>doi</w:t>
      </w:r>
      <w:proofErr w:type="spellEnd"/>
      <w:r w:rsidRPr="00EA16FA">
        <w:rPr>
          <w:rFonts w:eastAsia="Times New Roman"/>
        </w:rPr>
        <w:t xml:space="preserve">: https://doi.org/10.1038/s41591-020-1124-9. </w:t>
      </w:r>
    </w:p>
    <w:p w14:paraId="0D450657"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Biswas N, Mustapha T, </w:t>
      </w:r>
      <w:proofErr w:type="spellStart"/>
      <w:r w:rsidRPr="00EA16FA">
        <w:rPr>
          <w:rFonts w:eastAsia="Times New Roman"/>
        </w:rPr>
        <w:t>Khubchandani</w:t>
      </w:r>
      <w:proofErr w:type="spellEnd"/>
      <w:r w:rsidRPr="00EA16FA">
        <w:rPr>
          <w:rFonts w:eastAsia="Times New Roman"/>
        </w:rPr>
        <w:t xml:space="preserve"> J, Price JH. The nature and extent of COVID-19 vaccination hesitancy in healthcare workers. </w:t>
      </w:r>
      <w:r w:rsidRPr="00EA16FA">
        <w:rPr>
          <w:rStyle w:val="Emphasis"/>
          <w:rFonts w:eastAsia="Times New Roman"/>
          <w:b w:val="0"/>
          <w:bCs w:val="0"/>
        </w:rPr>
        <w:t>J Community Health</w:t>
      </w:r>
      <w:r w:rsidRPr="00EA16FA">
        <w:rPr>
          <w:rFonts w:eastAsia="Times New Roman"/>
        </w:rPr>
        <w:t xml:space="preserve">. 2021;46(6):1244–51. </w:t>
      </w:r>
      <w:proofErr w:type="spellStart"/>
      <w:r w:rsidRPr="00EA16FA">
        <w:rPr>
          <w:rFonts w:eastAsia="Times New Roman"/>
        </w:rPr>
        <w:t>doi</w:t>
      </w:r>
      <w:proofErr w:type="spellEnd"/>
      <w:r w:rsidRPr="00EA16FA">
        <w:rPr>
          <w:rFonts w:eastAsia="Times New Roman"/>
        </w:rPr>
        <w:t xml:space="preserve">: https://doi.org/10.1007/s10900-021-00984-3. </w:t>
      </w:r>
    </w:p>
    <w:p w14:paraId="2C10FFC3"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Associated Press – National Opinion Research </w:t>
      </w:r>
      <w:proofErr w:type="spellStart"/>
      <w:r w:rsidRPr="00EA16FA">
        <w:rPr>
          <w:rFonts w:eastAsia="Times New Roman"/>
        </w:rPr>
        <w:t>Center</w:t>
      </w:r>
      <w:proofErr w:type="spellEnd"/>
      <w:r w:rsidRPr="00EA16FA">
        <w:rPr>
          <w:rFonts w:eastAsia="Times New Roman"/>
        </w:rPr>
        <w:t xml:space="preserve"> (AP-NORC) </w:t>
      </w:r>
      <w:proofErr w:type="spellStart"/>
      <w:r w:rsidRPr="00EA16FA">
        <w:rPr>
          <w:rFonts w:eastAsia="Times New Roman"/>
        </w:rPr>
        <w:t>Center</w:t>
      </w:r>
      <w:proofErr w:type="spellEnd"/>
      <w:r w:rsidRPr="00EA16FA">
        <w:rPr>
          <w:rFonts w:eastAsia="Times New Roman"/>
        </w:rPr>
        <w:t xml:space="preserve"> for Public Affairs Research. Safety concerns remain main driver of vaccine hesitancy. [Internet.] Chicago: AP-NORC; 28 February 2021. Available from: https://apnorc.org/projects/safety-concerns-remain-main-driver-of-vaccine-hesitancy. </w:t>
      </w:r>
    </w:p>
    <w:p w14:paraId="2330B29C"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Dodd RH, </w:t>
      </w:r>
      <w:proofErr w:type="spellStart"/>
      <w:r w:rsidRPr="00EA16FA">
        <w:rPr>
          <w:rFonts w:eastAsia="Times New Roman"/>
        </w:rPr>
        <w:t>Cvejic</w:t>
      </w:r>
      <w:proofErr w:type="spellEnd"/>
      <w:r w:rsidRPr="00EA16FA">
        <w:rPr>
          <w:rFonts w:eastAsia="Times New Roman"/>
        </w:rPr>
        <w:t xml:space="preserve"> E, Bonner C, Pickles K, McCaffery KJ, Sydney Health Literacy Lab COVID-19 Group. Willingness to vaccinate against COVID-19 in Australia. </w:t>
      </w:r>
      <w:r w:rsidRPr="00EA16FA">
        <w:rPr>
          <w:rStyle w:val="Emphasis"/>
          <w:rFonts w:eastAsia="Times New Roman"/>
          <w:b w:val="0"/>
          <w:bCs w:val="0"/>
        </w:rPr>
        <w:t>Lancet Infect Dis</w:t>
      </w:r>
      <w:r w:rsidRPr="00EA16FA">
        <w:rPr>
          <w:rFonts w:eastAsia="Times New Roman"/>
        </w:rPr>
        <w:t xml:space="preserve">. 2021;21(3):318–9. </w:t>
      </w:r>
      <w:proofErr w:type="spellStart"/>
      <w:r w:rsidRPr="00EA16FA">
        <w:rPr>
          <w:rFonts w:eastAsia="Times New Roman"/>
        </w:rPr>
        <w:t>doi</w:t>
      </w:r>
      <w:proofErr w:type="spellEnd"/>
      <w:r w:rsidRPr="00EA16FA">
        <w:rPr>
          <w:rFonts w:eastAsia="Times New Roman"/>
        </w:rPr>
        <w:t xml:space="preserve">: https://doi.org/10.1016/S1473-3099(20)30559-4. </w:t>
      </w:r>
    </w:p>
    <w:p w14:paraId="1E40CB30"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Biddle N, Edwards B, Gray M, </w:t>
      </w:r>
      <w:proofErr w:type="spellStart"/>
      <w:r w:rsidRPr="00EA16FA">
        <w:rPr>
          <w:rFonts w:eastAsia="Times New Roman"/>
        </w:rPr>
        <w:t>Sollis</w:t>
      </w:r>
      <w:proofErr w:type="spellEnd"/>
      <w:r w:rsidRPr="00EA16FA">
        <w:rPr>
          <w:rFonts w:eastAsia="Times New Roman"/>
        </w:rPr>
        <w:t xml:space="preserve"> K. </w:t>
      </w:r>
      <w:r w:rsidRPr="00EA16FA">
        <w:rPr>
          <w:rStyle w:val="Emphasis"/>
          <w:rFonts w:eastAsia="Times New Roman"/>
          <w:b w:val="0"/>
          <w:bCs w:val="0"/>
        </w:rPr>
        <w:t>Vaccine willingness and concerns in Australia: August 2020 to April 2021</w:t>
      </w:r>
      <w:r w:rsidRPr="00EA16FA">
        <w:rPr>
          <w:rFonts w:eastAsia="Times New Roman"/>
        </w:rPr>
        <w:t xml:space="preserve">. Canberra: Australia National University Centre for Social Research and Methods; 5 May 2021. Available from: https://csrm.cass.anu.edu.au/sites/default/files/docs/2021/5/Vaccine_willingness_and_concerns_in_Australia_-_August_2020_to_April_2021.pdf. </w:t>
      </w:r>
    </w:p>
    <w:p w14:paraId="36BFB2FA"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Leask J, Carlson SJ, </w:t>
      </w:r>
      <w:proofErr w:type="spellStart"/>
      <w:r w:rsidRPr="00EA16FA">
        <w:rPr>
          <w:rFonts w:eastAsia="Times New Roman"/>
        </w:rPr>
        <w:t>Attwell</w:t>
      </w:r>
      <w:proofErr w:type="spellEnd"/>
      <w:r w:rsidRPr="00EA16FA">
        <w:rPr>
          <w:rFonts w:eastAsia="Times New Roman"/>
        </w:rPr>
        <w:t xml:space="preserve"> K, Clark KK, Kaufman J, Hughes C et al. Communicating with patients and the public about COVID-19 vaccine safety: recommendations from the Collaboration on Social Science and Immunisation. </w:t>
      </w:r>
      <w:r w:rsidRPr="00EA16FA">
        <w:rPr>
          <w:rStyle w:val="Emphasis"/>
          <w:rFonts w:eastAsia="Times New Roman"/>
          <w:b w:val="0"/>
          <w:bCs w:val="0"/>
        </w:rPr>
        <w:t>Med J Aust</w:t>
      </w:r>
      <w:r w:rsidRPr="00EA16FA">
        <w:rPr>
          <w:rFonts w:eastAsia="Times New Roman"/>
        </w:rPr>
        <w:t xml:space="preserve">. 2021;215(1):9–12.e1. </w:t>
      </w:r>
      <w:proofErr w:type="spellStart"/>
      <w:r w:rsidRPr="00EA16FA">
        <w:rPr>
          <w:rFonts w:eastAsia="Times New Roman"/>
        </w:rPr>
        <w:t>doi</w:t>
      </w:r>
      <w:proofErr w:type="spellEnd"/>
      <w:r w:rsidRPr="00EA16FA">
        <w:rPr>
          <w:rFonts w:eastAsia="Times New Roman"/>
        </w:rPr>
        <w:t xml:space="preserve">: https://doi.org/10.5694/mja2.51136. </w:t>
      </w:r>
    </w:p>
    <w:p w14:paraId="7341DFAF" w14:textId="77777777" w:rsidR="0010360B" w:rsidRPr="00EA16FA" w:rsidRDefault="0010360B" w:rsidP="00EA16FA">
      <w:pPr>
        <w:pStyle w:val="ListParagraph"/>
        <w:numPr>
          <w:ilvl w:val="0"/>
          <w:numId w:val="10"/>
        </w:numPr>
        <w:rPr>
          <w:rFonts w:eastAsia="Times New Roman"/>
        </w:rPr>
      </w:pPr>
      <w:r w:rsidRPr="00EA16FA">
        <w:rPr>
          <w:rFonts w:eastAsia="Times New Roman"/>
        </w:rPr>
        <w:t>WHO.</w:t>
      </w:r>
      <w:r w:rsidRPr="00EA16FA">
        <w:rPr>
          <w:rStyle w:val="Emphasis"/>
          <w:rFonts w:eastAsia="Times New Roman"/>
          <w:b w:val="0"/>
          <w:bCs w:val="0"/>
        </w:rPr>
        <w:t xml:space="preserve"> Data for action: achieving high uptake of COVID-19 vaccines. Interim guidance</w:t>
      </w:r>
      <w:r w:rsidRPr="00EA16FA">
        <w:rPr>
          <w:rFonts w:eastAsia="Times New Roman"/>
        </w:rPr>
        <w:t xml:space="preserve">. Geneva: WHO; 1 April 2021. Available from: https://www.who.int/publications/i/item/WHO-2019-nCoV-vaccination-demand-planning-2021.1. </w:t>
      </w:r>
    </w:p>
    <w:p w14:paraId="412F25A0"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Queensland Health. About CQ Health. [Internet.] Brisbane: Queensland Government, Queensland Health; 12 October 2018. Available from: https://www.health.qld.gov.au/cq/about. </w:t>
      </w:r>
    </w:p>
    <w:p w14:paraId="48C33813"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Australian Government Department of Health. ATAGI statement on AstraZeneca vaccine in response to new vaccine safety concerns. [Internet.] Canberra: Australian Government Department of Health; 8 April 2021. Available from: https://www.health.gov.au/news/atagi-statement-on-astrazeneca-vaccine-in-response-to-new-vaccine-safety-concerns. </w:t>
      </w:r>
    </w:p>
    <w:p w14:paraId="044B1FA6"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McGowan M. Australia records first death from blood clots likely linked to AstraZeneca Covid vaccine. [Online news article.] Manchester: The Guardian; 17 April 2021. [Accessed on 14 August 2021.] Available from: https://www.theguardian.com/australia-news/2021/apr/16/australia-records-first-fatality-from-blood-clots-linked-to-astrazeneca-covid-vaccine. </w:t>
      </w:r>
    </w:p>
    <w:p w14:paraId="5109E89D"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Delib</w:t>
      </w:r>
      <w:proofErr w:type="spellEnd"/>
      <w:r w:rsidRPr="00EA16FA">
        <w:rPr>
          <w:rFonts w:eastAsia="Times New Roman"/>
        </w:rPr>
        <w:t xml:space="preserve">. Citizen Space. [Website.] Bristol: </w:t>
      </w:r>
      <w:proofErr w:type="spellStart"/>
      <w:r w:rsidRPr="00EA16FA">
        <w:rPr>
          <w:rFonts w:eastAsia="Times New Roman"/>
        </w:rPr>
        <w:t>Delib</w:t>
      </w:r>
      <w:proofErr w:type="spellEnd"/>
      <w:r w:rsidRPr="00EA16FA">
        <w:rPr>
          <w:rFonts w:eastAsia="Times New Roman"/>
        </w:rPr>
        <w:t xml:space="preserve">; 2021. Available from: https://www.delib.net/citizen_space. </w:t>
      </w:r>
    </w:p>
    <w:p w14:paraId="042DA98D"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Collins D. Pretesting survey instruments: an overview of cognitive methods. </w:t>
      </w:r>
      <w:r w:rsidRPr="00EA16FA">
        <w:rPr>
          <w:rStyle w:val="Emphasis"/>
          <w:rFonts w:eastAsia="Times New Roman"/>
          <w:b w:val="0"/>
          <w:bCs w:val="0"/>
        </w:rPr>
        <w:t>Qual Life Res</w:t>
      </w:r>
      <w:r w:rsidRPr="00EA16FA">
        <w:rPr>
          <w:rFonts w:eastAsia="Times New Roman"/>
        </w:rPr>
        <w:t xml:space="preserve">. 2003;12(3):229–38. </w:t>
      </w:r>
      <w:proofErr w:type="spellStart"/>
      <w:r w:rsidRPr="00EA16FA">
        <w:rPr>
          <w:rFonts w:eastAsia="Times New Roman"/>
        </w:rPr>
        <w:t>doi</w:t>
      </w:r>
      <w:proofErr w:type="spellEnd"/>
      <w:r w:rsidRPr="00EA16FA">
        <w:rPr>
          <w:rFonts w:eastAsia="Times New Roman"/>
        </w:rPr>
        <w:t xml:space="preserve">: https://doi.org/10.1023/a:1023254226592. </w:t>
      </w:r>
    </w:p>
    <w:p w14:paraId="66CE49E2"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Gale NK, Heath G, Cameron E, Rashid S, Redwood S. Using the framework method for the analysis of qualitative data in multi-disciplinary health research. </w:t>
      </w:r>
      <w:r w:rsidRPr="00EA16FA">
        <w:rPr>
          <w:rStyle w:val="Emphasis"/>
          <w:rFonts w:eastAsia="Times New Roman"/>
          <w:b w:val="0"/>
          <w:bCs w:val="0"/>
        </w:rPr>
        <w:t>BMC Med Res Method</w:t>
      </w:r>
      <w:r w:rsidRPr="00EA16FA">
        <w:rPr>
          <w:rFonts w:eastAsia="Times New Roman"/>
        </w:rPr>
        <w:t xml:space="preserve">. 2013;13(1):117. </w:t>
      </w:r>
      <w:proofErr w:type="spellStart"/>
      <w:r w:rsidRPr="00EA16FA">
        <w:rPr>
          <w:rFonts w:eastAsia="Times New Roman"/>
        </w:rPr>
        <w:t>doi</w:t>
      </w:r>
      <w:proofErr w:type="spellEnd"/>
      <w:r w:rsidRPr="00EA16FA">
        <w:rPr>
          <w:rFonts w:eastAsia="Times New Roman"/>
        </w:rPr>
        <w:t xml:space="preserve">: https://doi.org/10.1186/1471-2288-13-117. </w:t>
      </w:r>
    </w:p>
    <w:p w14:paraId="12F53DC5"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Li M, Luo Y, Watson R, Zheng Y, Ren J, Tang J et al. Healthcare workers’ (HCWs) attitudes and related factors towards COVID-19 vaccination: a rapid systematic review. </w:t>
      </w:r>
      <w:r w:rsidRPr="00EA16FA">
        <w:rPr>
          <w:rStyle w:val="Emphasis"/>
          <w:rFonts w:eastAsia="Times New Roman"/>
          <w:b w:val="0"/>
          <w:bCs w:val="0"/>
        </w:rPr>
        <w:t>Postgrad Med J</w:t>
      </w:r>
      <w:r w:rsidRPr="00EA16FA">
        <w:rPr>
          <w:rFonts w:eastAsia="Times New Roman"/>
        </w:rPr>
        <w:t xml:space="preserve">. 2021. </w:t>
      </w:r>
      <w:proofErr w:type="spellStart"/>
      <w:r w:rsidRPr="00EA16FA">
        <w:rPr>
          <w:rFonts w:eastAsia="Times New Roman"/>
        </w:rPr>
        <w:t>doi</w:t>
      </w:r>
      <w:proofErr w:type="spellEnd"/>
      <w:r w:rsidRPr="00EA16FA">
        <w:rPr>
          <w:rFonts w:eastAsia="Times New Roman"/>
        </w:rPr>
        <w:t xml:space="preserve">: https://doi.org/10.1136/postgradmedj-2021-140195. </w:t>
      </w:r>
    </w:p>
    <w:p w14:paraId="654F59CC"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lastRenderedPageBreak/>
        <w:t>Kociolek</w:t>
      </w:r>
      <w:proofErr w:type="spellEnd"/>
      <w:r w:rsidRPr="00EA16FA">
        <w:rPr>
          <w:rFonts w:eastAsia="Times New Roman"/>
        </w:rPr>
        <w:t xml:space="preserve"> LK, </w:t>
      </w:r>
      <w:proofErr w:type="spellStart"/>
      <w:r w:rsidRPr="00EA16FA">
        <w:rPr>
          <w:rFonts w:eastAsia="Times New Roman"/>
        </w:rPr>
        <w:t>Elhadary</w:t>
      </w:r>
      <w:proofErr w:type="spellEnd"/>
      <w:r w:rsidRPr="00EA16FA">
        <w:rPr>
          <w:rFonts w:eastAsia="Times New Roman"/>
        </w:rPr>
        <w:t xml:space="preserve"> J, </w:t>
      </w:r>
      <w:proofErr w:type="spellStart"/>
      <w:r w:rsidRPr="00EA16FA">
        <w:rPr>
          <w:rFonts w:eastAsia="Times New Roman"/>
        </w:rPr>
        <w:t>Jhaveri</w:t>
      </w:r>
      <w:proofErr w:type="spellEnd"/>
      <w:r w:rsidRPr="00EA16FA">
        <w:rPr>
          <w:rFonts w:eastAsia="Times New Roman"/>
        </w:rPr>
        <w:t xml:space="preserve"> R, Patel AB, </w:t>
      </w:r>
      <w:proofErr w:type="spellStart"/>
      <w:r w:rsidRPr="00EA16FA">
        <w:rPr>
          <w:rFonts w:eastAsia="Times New Roman"/>
        </w:rPr>
        <w:t>Stahulak</w:t>
      </w:r>
      <w:proofErr w:type="spellEnd"/>
      <w:r w:rsidRPr="00EA16FA">
        <w:rPr>
          <w:rFonts w:eastAsia="Times New Roman"/>
        </w:rPr>
        <w:t xml:space="preserve"> B, Cartland J. Coronavirus disease 2019 vaccine hesitancy among children’s hospital staff: a single-</w:t>
      </w:r>
      <w:proofErr w:type="spellStart"/>
      <w:r w:rsidRPr="00EA16FA">
        <w:rPr>
          <w:rFonts w:eastAsia="Times New Roman"/>
        </w:rPr>
        <w:t>center</w:t>
      </w:r>
      <w:proofErr w:type="spellEnd"/>
      <w:r w:rsidRPr="00EA16FA">
        <w:rPr>
          <w:rFonts w:eastAsia="Times New Roman"/>
        </w:rPr>
        <w:t xml:space="preserve"> survey. </w:t>
      </w:r>
      <w:r w:rsidRPr="00EA16FA">
        <w:rPr>
          <w:rStyle w:val="Emphasis"/>
          <w:rFonts w:eastAsia="Times New Roman"/>
          <w:b w:val="0"/>
          <w:bCs w:val="0"/>
        </w:rPr>
        <w:t>Infect Control Hosp Epidemiol</w:t>
      </w:r>
      <w:r w:rsidRPr="00EA16FA">
        <w:rPr>
          <w:rFonts w:eastAsia="Times New Roman"/>
        </w:rPr>
        <w:t xml:space="preserve">. 2021;42(6):775–7. </w:t>
      </w:r>
      <w:proofErr w:type="spellStart"/>
      <w:r w:rsidRPr="00EA16FA">
        <w:rPr>
          <w:rFonts w:eastAsia="Times New Roman"/>
        </w:rPr>
        <w:t>doi</w:t>
      </w:r>
      <w:proofErr w:type="spellEnd"/>
      <w:r w:rsidRPr="00EA16FA">
        <w:rPr>
          <w:rFonts w:eastAsia="Times New Roman"/>
        </w:rPr>
        <w:t xml:space="preserve">: https://doi.org/10.1017/ice.2021.58. </w:t>
      </w:r>
    </w:p>
    <w:p w14:paraId="3034DFE5"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Kevat</w:t>
      </w:r>
      <w:proofErr w:type="spellEnd"/>
      <w:r w:rsidRPr="00EA16FA">
        <w:rPr>
          <w:rFonts w:eastAsia="Times New Roman"/>
        </w:rPr>
        <w:t xml:space="preserve"> DA, </w:t>
      </w:r>
      <w:proofErr w:type="spellStart"/>
      <w:r w:rsidRPr="00EA16FA">
        <w:rPr>
          <w:rFonts w:eastAsia="Times New Roman"/>
        </w:rPr>
        <w:t>Panaccio</w:t>
      </w:r>
      <w:proofErr w:type="spellEnd"/>
      <w:r w:rsidRPr="00EA16FA">
        <w:rPr>
          <w:rFonts w:eastAsia="Times New Roman"/>
        </w:rPr>
        <w:t xml:space="preserve"> DC, Pang SC, Dean JM, Farmer CC, Mahar PD. Medico-legal considerations of mandatory COVID-19 vaccination for high risk workers. </w:t>
      </w:r>
      <w:r w:rsidRPr="00EA16FA">
        <w:rPr>
          <w:rStyle w:val="Emphasis"/>
          <w:rFonts w:eastAsia="Times New Roman"/>
          <w:b w:val="0"/>
          <w:bCs w:val="0"/>
        </w:rPr>
        <w:t>Med J Aust</w:t>
      </w:r>
      <w:r w:rsidRPr="00EA16FA">
        <w:rPr>
          <w:rFonts w:eastAsia="Times New Roman"/>
        </w:rPr>
        <w:t xml:space="preserve">. 2021;215(1):22–4.e1. </w:t>
      </w:r>
      <w:proofErr w:type="spellStart"/>
      <w:r w:rsidRPr="00EA16FA">
        <w:rPr>
          <w:rFonts w:eastAsia="Times New Roman"/>
        </w:rPr>
        <w:t>doi</w:t>
      </w:r>
      <w:proofErr w:type="spellEnd"/>
      <w:r w:rsidRPr="00EA16FA">
        <w:rPr>
          <w:rFonts w:eastAsia="Times New Roman"/>
        </w:rPr>
        <w:t xml:space="preserve">: https://doi.org/ 10.5694/mja2.51128. </w:t>
      </w:r>
    </w:p>
    <w:p w14:paraId="777E2689"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Sprengholz</w:t>
      </w:r>
      <w:proofErr w:type="spellEnd"/>
      <w:r w:rsidRPr="00EA16FA">
        <w:rPr>
          <w:rFonts w:eastAsia="Times New Roman"/>
        </w:rPr>
        <w:t xml:space="preserve"> P, </w:t>
      </w:r>
      <w:proofErr w:type="spellStart"/>
      <w:r w:rsidRPr="00EA16FA">
        <w:rPr>
          <w:rFonts w:eastAsia="Times New Roman"/>
        </w:rPr>
        <w:t>Betsch</w:t>
      </w:r>
      <w:proofErr w:type="spellEnd"/>
      <w:r w:rsidRPr="00EA16FA">
        <w:rPr>
          <w:rFonts w:eastAsia="Times New Roman"/>
        </w:rPr>
        <w:t xml:space="preserve"> C, </w:t>
      </w:r>
      <w:proofErr w:type="spellStart"/>
      <w:r w:rsidRPr="00EA16FA">
        <w:rPr>
          <w:rFonts w:eastAsia="Times New Roman"/>
        </w:rPr>
        <w:t>Böhm</w:t>
      </w:r>
      <w:proofErr w:type="spellEnd"/>
      <w:r w:rsidRPr="00EA16FA">
        <w:rPr>
          <w:rFonts w:eastAsia="Times New Roman"/>
        </w:rPr>
        <w:t xml:space="preserve"> R. Reactance revisited: consequences of mandatory and scarce vaccination in the case of COVID-19. </w:t>
      </w:r>
      <w:r w:rsidRPr="00EA16FA">
        <w:rPr>
          <w:rStyle w:val="Emphasis"/>
          <w:rFonts w:eastAsia="Times New Roman"/>
          <w:b w:val="0"/>
          <w:bCs w:val="0"/>
        </w:rPr>
        <w:t>Appl Psychol Health Well Being</w:t>
      </w:r>
      <w:r w:rsidRPr="00EA16FA">
        <w:rPr>
          <w:rFonts w:eastAsia="Times New Roman"/>
        </w:rPr>
        <w:t xml:space="preserve">. 2021;13(4):986–95. </w:t>
      </w:r>
    </w:p>
    <w:p w14:paraId="3D994783"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Booy</w:t>
      </w:r>
      <w:proofErr w:type="spellEnd"/>
      <w:r w:rsidRPr="00EA16FA">
        <w:rPr>
          <w:rFonts w:eastAsia="Times New Roman"/>
        </w:rPr>
        <w:t xml:space="preserve"> R, Rashid H, Yin JK, Khandaker G, Leask J. Mandating influenza vaccination in health-care workers. </w:t>
      </w:r>
      <w:r w:rsidRPr="00EA16FA">
        <w:rPr>
          <w:rStyle w:val="Emphasis"/>
          <w:rFonts w:eastAsia="Times New Roman"/>
          <w:b w:val="0"/>
          <w:bCs w:val="0"/>
        </w:rPr>
        <w:t>Lancet</w:t>
      </w:r>
      <w:r w:rsidRPr="00EA16FA">
        <w:rPr>
          <w:rFonts w:eastAsia="Times New Roman"/>
        </w:rPr>
        <w:t xml:space="preserve">. 2011;378(9803):1626. </w:t>
      </w:r>
      <w:proofErr w:type="spellStart"/>
      <w:r w:rsidRPr="00EA16FA">
        <w:rPr>
          <w:rFonts w:eastAsia="Times New Roman"/>
        </w:rPr>
        <w:t>doi</w:t>
      </w:r>
      <w:proofErr w:type="spellEnd"/>
      <w:r w:rsidRPr="00EA16FA">
        <w:rPr>
          <w:rFonts w:eastAsia="Times New Roman"/>
        </w:rPr>
        <w:t xml:space="preserve">: https://doi.org/10.1016/S0140-6736(11)61697-8. </w:t>
      </w:r>
    </w:p>
    <w:p w14:paraId="3C593C3D"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Leask J, Seale H, Williams JH, Kaufman J, Wiley K, </w:t>
      </w:r>
      <w:proofErr w:type="spellStart"/>
      <w:r w:rsidRPr="00EA16FA">
        <w:rPr>
          <w:rFonts w:eastAsia="Times New Roman"/>
        </w:rPr>
        <w:t>Mahimbo</w:t>
      </w:r>
      <w:proofErr w:type="spellEnd"/>
      <w:r w:rsidRPr="00EA16FA">
        <w:rPr>
          <w:rFonts w:eastAsia="Times New Roman"/>
        </w:rPr>
        <w:t xml:space="preserve"> A et al. Policy considerations for mandatory COVID-19 vaccination from the Collaboration on Social Science in Immunisation. </w:t>
      </w:r>
      <w:r w:rsidRPr="00EA16FA">
        <w:rPr>
          <w:rStyle w:val="Emphasis"/>
          <w:rFonts w:eastAsia="Times New Roman"/>
          <w:b w:val="0"/>
          <w:bCs w:val="0"/>
        </w:rPr>
        <w:t>Med J Aust</w:t>
      </w:r>
      <w:r w:rsidRPr="00EA16FA">
        <w:rPr>
          <w:rFonts w:eastAsia="Times New Roman"/>
        </w:rPr>
        <w:t xml:space="preserve">. 2021. </w:t>
      </w:r>
      <w:proofErr w:type="spellStart"/>
      <w:r w:rsidRPr="00EA16FA">
        <w:rPr>
          <w:rFonts w:eastAsia="Times New Roman"/>
        </w:rPr>
        <w:t>doi</w:t>
      </w:r>
      <w:proofErr w:type="spellEnd"/>
      <w:r w:rsidRPr="00EA16FA">
        <w:rPr>
          <w:rFonts w:eastAsia="Times New Roman"/>
        </w:rPr>
        <w:t xml:space="preserve">: https://10.5694/mja2.51269. </w:t>
      </w:r>
    </w:p>
    <w:p w14:paraId="4668CD39"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Mello MM, Silverman RD, Omer SB. Ensuring uptake of vaccines against SARS-CoV-2. </w:t>
      </w:r>
      <w:r w:rsidRPr="00EA16FA">
        <w:rPr>
          <w:rStyle w:val="Emphasis"/>
          <w:rFonts w:eastAsia="Times New Roman"/>
          <w:b w:val="0"/>
          <w:bCs w:val="0"/>
        </w:rPr>
        <w:t xml:space="preserve">N </w:t>
      </w:r>
      <w:proofErr w:type="spellStart"/>
      <w:r w:rsidRPr="00EA16FA">
        <w:rPr>
          <w:rStyle w:val="Emphasis"/>
          <w:rFonts w:eastAsia="Times New Roman"/>
          <w:b w:val="0"/>
          <w:bCs w:val="0"/>
        </w:rPr>
        <w:t>Engl</w:t>
      </w:r>
      <w:proofErr w:type="spellEnd"/>
      <w:r w:rsidRPr="00EA16FA">
        <w:rPr>
          <w:rStyle w:val="Emphasis"/>
          <w:rFonts w:eastAsia="Times New Roman"/>
          <w:b w:val="0"/>
          <w:bCs w:val="0"/>
        </w:rPr>
        <w:t xml:space="preserve"> J Med</w:t>
      </w:r>
      <w:r w:rsidRPr="00EA16FA">
        <w:rPr>
          <w:rFonts w:eastAsia="Times New Roman"/>
        </w:rPr>
        <w:t xml:space="preserve">. 2020;383(14):1296–9. </w:t>
      </w:r>
    </w:p>
    <w:p w14:paraId="3D95CE1C"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Szmyd</w:t>
      </w:r>
      <w:proofErr w:type="spellEnd"/>
      <w:r w:rsidRPr="00EA16FA">
        <w:rPr>
          <w:rFonts w:eastAsia="Times New Roman"/>
        </w:rPr>
        <w:t xml:space="preserve"> B, </w:t>
      </w:r>
      <w:proofErr w:type="spellStart"/>
      <w:r w:rsidRPr="00EA16FA">
        <w:rPr>
          <w:rFonts w:eastAsia="Times New Roman"/>
        </w:rPr>
        <w:t>Karuga</w:t>
      </w:r>
      <w:proofErr w:type="spellEnd"/>
      <w:r w:rsidRPr="00EA16FA">
        <w:rPr>
          <w:rFonts w:eastAsia="Times New Roman"/>
        </w:rPr>
        <w:t xml:space="preserve"> FF, </w:t>
      </w:r>
      <w:proofErr w:type="spellStart"/>
      <w:r w:rsidRPr="00EA16FA">
        <w:rPr>
          <w:rFonts w:eastAsia="Times New Roman"/>
        </w:rPr>
        <w:t>Bartoszek</w:t>
      </w:r>
      <w:proofErr w:type="spellEnd"/>
      <w:r w:rsidRPr="00EA16FA">
        <w:rPr>
          <w:rFonts w:eastAsia="Times New Roman"/>
        </w:rPr>
        <w:t xml:space="preserve"> A, </w:t>
      </w:r>
      <w:proofErr w:type="spellStart"/>
      <w:r w:rsidRPr="00EA16FA">
        <w:rPr>
          <w:rFonts w:eastAsia="Times New Roman"/>
        </w:rPr>
        <w:t>Staniecka</w:t>
      </w:r>
      <w:proofErr w:type="spellEnd"/>
      <w:r w:rsidRPr="00EA16FA">
        <w:rPr>
          <w:rFonts w:eastAsia="Times New Roman"/>
        </w:rPr>
        <w:t xml:space="preserve"> K, </w:t>
      </w:r>
      <w:proofErr w:type="spellStart"/>
      <w:r w:rsidRPr="00EA16FA">
        <w:rPr>
          <w:rFonts w:eastAsia="Times New Roman"/>
        </w:rPr>
        <w:t>Siwecka</w:t>
      </w:r>
      <w:proofErr w:type="spellEnd"/>
      <w:r w:rsidRPr="00EA16FA">
        <w:rPr>
          <w:rFonts w:eastAsia="Times New Roman"/>
        </w:rPr>
        <w:t xml:space="preserve"> N, </w:t>
      </w:r>
      <w:proofErr w:type="spellStart"/>
      <w:r w:rsidRPr="00EA16FA">
        <w:rPr>
          <w:rFonts w:eastAsia="Times New Roman"/>
        </w:rPr>
        <w:t>Bartoszek</w:t>
      </w:r>
      <w:proofErr w:type="spellEnd"/>
      <w:r w:rsidRPr="00EA16FA">
        <w:rPr>
          <w:rFonts w:eastAsia="Times New Roman"/>
        </w:rPr>
        <w:t xml:space="preserve"> A et al. Attitude and </w:t>
      </w:r>
      <w:proofErr w:type="spellStart"/>
      <w:r w:rsidRPr="00EA16FA">
        <w:rPr>
          <w:rFonts w:eastAsia="Times New Roman"/>
        </w:rPr>
        <w:t>behaviors</w:t>
      </w:r>
      <w:proofErr w:type="spellEnd"/>
      <w:r w:rsidRPr="00EA16FA">
        <w:rPr>
          <w:rFonts w:eastAsia="Times New Roman"/>
        </w:rPr>
        <w:t xml:space="preserve"> towards SARS-CoV-2 vaccination among healthcare workers: a cross-sectional study from Poland. </w:t>
      </w:r>
      <w:r w:rsidRPr="00EA16FA">
        <w:rPr>
          <w:rStyle w:val="Emphasis"/>
          <w:rFonts w:eastAsia="Times New Roman"/>
          <w:b w:val="0"/>
          <w:bCs w:val="0"/>
        </w:rPr>
        <w:t>Vaccines (Basel)</w:t>
      </w:r>
      <w:r w:rsidRPr="00EA16FA">
        <w:rPr>
          <w:rFonts w:eastAsia="Times New Roman"/>
        </w:rPr>
        <w:t xml:space="preserve">. 2021;9(3):218. </w:t>
      </w:r>
      <w:proofErr w:type="spellStart"/>
      <w:r w:rsidRPr="00EA16FA">
        <w:rPr>
          <w:rFonts w:eastAsia="Times New Roman"/>
        </w:rPr>
        <w:t>doi</w:t>
      </w:r>
      <w:proofErr w:type="spellEnd"/>
      <w:r w:rsidRPr="00EA16FA">
        <w:rPr>
          <w:rFonts w:eastAsia="Times New Roman"/>
        </w:rPr>
        <w:t xml:space="preserve">: https://doi.org/10.3390/vaccines9030218. </w:t>
      </w:r>
    </w:p>
    <w:p w14:paraId="3710F02C"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Berry NJ, </w:t>
      </w:r>
      <w:proofErr w:type="spellStart"/>
      <w:r w:rsidRPr="00EA16FA">
        <w:rPr>
          <w:rFonts w:eastAsia="Times New Roman"/>
        </w:rPr>
        <w:t>Danchin</w:t>
      </w:r>
      <w:proofErr w:type="spellEnd"/>
      <w:r w:rsidRPr="00EA16FA">
        <w:rPr>
          <w:rFonts w:eastAsia="Times New Roman"/>
        </w:rPr>
        <w:t xml:space="preserve"> M, Trevena L, </w:t>
      </w:r>
      <w:proofErr w:type="spellStart"/>
      <w:r w:rsidRPr="00EA16FA">
        <w:rPr>
          <w:rFonts w:eastAsia="Times New Roman"/>
        </w:rPr>
        <w:t>Witteman</w:t>
      </w:r>
      <w:proofErr w:type="spellEnd"/>
      <w:r w:rsidRPr="00EA16FA">
        <w:rPr>
          <w:rFonts w:eastAsia="Times New Roman"/>
        </w:rPr>
        <w:t xml:space="preserve"> HO, </w:t>
      </w:r>
      <w:proofErr w:type="spellStart"/>
      <w:r w:rsidRPr="00EA16FA">
        <w:rPr>
          <w:rFonts w:eastAsia="Times New Roman"/>
        </w:rPr>
        <w:t>Kinnersley</w:t>
      </w:r>
      <w:proofErr w:type="spellEnd"/>
      <w:r w:rsidRPr="00EA16FA">
        <w:rPr>
          <w:rFonts w:eastAsia="Times New Roman"/>
        </w:rPr>
        <w:t xml:space="preserve"> P, Snelling T et al. Sharing knowledge about immunisation (SKAI): an exploration of parents’ communication needs to inform development of a clinical communication support intervention. </w:t>
      </w:r>
      <w:r w:rsidRPr="00EA16FA">
        <w:rPr>
          <w:rStyle w:val="Emphasis"/>
          <w:rFonts w:eastAsia="Times New Roman"/>
          <w:b w:val="0"/>
          <w:bCs w:val="0"/>
        </w:rPr>
        <w:t>Vaccine</w:t>
      </w:r>
      <w:r w:rsidRPr="00EA16FA">
        <w:rPr>
          <w:rFonts w:eastAsia="Times New Roman"/>
        </w:rPr>
        <w:t xml:space="preserve">. 2018;36(44):6480–90. </w:t>
      </w:r>
    </w:p>
    <w:p w14:paraId="1FDAA652"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Ogilvie GS, Gordon S, Smith LW, Albert A, </w:t>
      </w:r>
      <w:proofErr w:type="spellStart"/>
      <w:r w:rsidRPr="00EA16FA">
        <w:rPr>
          <w:rFonts w:eastAsia="Times New Roman"/>
        </w:rPr>
        <w:t>Racey</w:t>
      </w:r>
      <w:proofErr w:type="spellEnd"/>
      <w:r w:rsidRPr="00EA16FA">
        <w:rPr>
          <w:rFonts w:eastAsia="Times New Roman"/>
        </w:rPr>
        <w:t xml:space="preserve"> CS, Booth A et al. Intention to receive a COVID-19 vaccine: results from a population-based survey in Canada. </w:t>
      </w:r>
      <w:r w:rsidRPr="00EA16FA">
        <w:rPr>
          <w:rStyle w:val="Emphasis"/>
          <w:rFonts w:eastAsia="Times New Roman"/>
          <w:b w:val="0"/>
          <w:bCs w:val="0"/>
        </w:rPr>
        <w:t>BMC Public Health</w:t>
      </w:r>
      <w:r w:rsidRPr="00EA16FA">
        <w:rPr>
          <w:rFonts w:eastAsia="Times New Roman"/>
        </w:rPr>
        <w:t xml:space="preserve">. 2021;21(1):1017. </w:t>
      </w:r>
      <w:proofErr w:type="spellStart"/>
      <w:r w:rsidRPr="00EA16FA">
        <w:rPr>
          <w:rFonts w:eastAsia="Times New Roman"/>
        </w:rPr>
        <w:t>doi</w:t>
      </w:r>
      <w:proofErr w:type="spellEnd"/>
      <w:r w:rsidRPr="00EA16FA">
        <w:rPr>
          <w:rFonts w:eastAsia="Times New Roman"/>
        </w:rPr>
        <w:t xml:space="preserve">: https://doi.org/10.1186/s12889-021-11098-9. </w:t>
      </w:r>
    </w:p>
    <w:p w14:paraId="222B6591"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Ng TWY, Cowling BJ, So HC, Ip DKM, Liao Q. Testing an integrative theory of health behavioural change for predicting seasonal influenza vaccination uptake among healthcare workers. </w:t>
      </w:r>
      <w:r w:rsidRPr="00EA16FA">
        <w:rPr>
          <w:rStyle w:val="Emphasis"/>
          <w:rFonts w:eastAsia="Times New Roman"/>
          <w:b w:val="0"/>
          <w:bCs w:val="0"/>
        </w:rPr>
        <w:t>Vaccine</w:t>
      </w:r>
      <w:r w:rsidRPr="00EA16FA">
        <w:rPr>
          <w:rFonts w:eastAsia="Times New Roman"/>
        </w:rPr>
        <w:t xml:space="preserve">. 2020;38(3):690–8. </w:t>
      </w:r>
    </w:p>
    <w:p w14:paraId="75E433FB"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Thaler RH, Sunstein CR. </w:t>
      </w:r>
      <w:r w:rsidRPr="00EA16FA">
        <w:rPr>
          <w:rStyle w:val="Emphasis"/>
          <w:rFonts w:eastAsia="Times New Roman"/>
          <w:b w:val="0"/>
          <w:bCs w:val="0"/>
        </w:rPr>
        <w:t>Nudge: Improving decisions about health, wealth, and happiness</w:t>
      </w:r>
      <w:r w:rsidRPr="00EA16FA">
        <w:rPr>
          <w:rFonts w:eastAsia="Times New Roman"/>
        </w:rPr>
        <w:t xml:space="preserve">. New Haven: Yale University Press; 2008. </w:t>
      </w:r>
    </w:p>
    <w:p w14:paraId="4EAB08E3"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Wiley KE, Leask J, </w:t>
      </w:r>
      <w:proofErr w:type="spellStart"/>
      <w:r w:rsidRPr="00EA16FA">
        <w:rPr>
          <w:rFonts w:eastAsia="Times New Roman"/>
        </w:rPr>
        <w:t>Attwell</w:t>
      </w:r>
      <w:proofErr w:type="spellEnd"/>
      <w:r w:rsidRPr="00EA16FA">
        <w:rPr>
          <w:rFonts w:eastAsia="Times New Roman"/>
        </w:rPr>
        <w:t xml:space="preserve"> K, Helps C, </w:t>
      </w:r>
      <w:proofErr w:type="spellStart"/>
      <w:r w:rsidRPr="00EA16FA">
        <w:rPr>
          <w:rFonts w:eastAsia="Times New Roman"/>
        </w:rPr>
        <w:t>Degeling</w:t>
      </w:r>
      <w:proofErr w:type="spellEnd"/>
      <w:r w:rsidRPr="00EA16FA">
        <w:rPr>
          <w:rFonts w:eastAsia="Times New Roman"/>
        </w:rPr>
        <w:t xml:space="preserve"> C, Ward P et al. Parenting and the vaccine refusal process: a new explanation of the relationship between lifestyle and vaccination trajectories. </w:t>
      </w:r>
      <w:r w:rsidRPr="00EA16FA">
        <w:rPr>
          <w:rStyle w:val="Emphasis"/>
          <w:rFonts w:eastAsia="Times New Roman"/>
          <w:b w:val="0"/>
          <w:bCs w:val="0"/>
        </w:rPr>
        <w:t>Soc Sci Med</w:t>
      </w:r>
      <w:r w:rsidRPr="00EA16FA">
        <w:rPr>
          <w:rFonts w:eastAsia="Times New Roman"/>
        </w:rPr>
        <w:t xml:space="preserve">. 2020;263:113259. </w:t>
      </w:r>
      <w:proofErr w:type="spellStart"/>
      <w:r w:rsidRPr="00EA16FA">
        <w:rPr>
          <w:rFonts w:eastAsia="Times New Roman"/>
        </w:rPr>
        <w:t>doi</w:t>
      </w:r>
      <w:proofErr w:type="spellEnd"/>
      <w:r w:rsidRPr="00EA16FA">
        <w:rPr>
          <w:rFonts w:eastAsia="Times New Roman"/>
        </w:rPr>
        <w:t xml:space="preserve">: https://10.1016/j.socscimed.2020.113259. </w:t>
      </w:r>
    </w:p>
    <w:p w14:paraId="1280CB1A"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Melbourne Institute. Vaccine hesitancy tracker. [Webpage.] Melbourne: University of Melbourne, Melbourne Institute; 2021. Available from: https://melbourneinstitute.unimelb.edu.au/publications/research-insights/ttpn/vaccination-report. </w:t>
      </w:r>
    </w:p>
    <w:p w14:paraId="71FC67BA"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Rebmann</w:t>
      </w:r>
      <w:proofErr w:type="spellEnd"/>
      <w:r w:rsidRPr="00EA16FA">
        <w:rPr>
          <w:rFonts w:eastAsia="Times New Roman"/>
        </w:rPr>
        <w:t xml:space="preserve"> T, Wright KS, Anthony J, </w:t>
      </w:r>
      <w:proofErr w:type="spellStart"/>
      <w:r w:rsidRPr="00EA16FA">
        <w:rPr>
          <w:rFonts w:eastAsia="Times New Roman"/>
        </w:rPr>
        <w:t>Knaup</w:t>
      </w:r>
      <w:proofErr w:type="spellEnd"/>
      <w:r w:rsidRPr="00EA16FA">
        <w:rPr>
          <w:rFonts w:eastAsia="Times New Roman"/>
        </w:rPr>
        <w:t xml:space="preserve"> RC, Peters EB. Seasonal influenza vaccine compliance among hospital-based and nonhospital-based healthcare workers. </w:t>
      </w:r>
      <w:r w:rsidRPr="00EA16FA">
        <w:rPr>
          <w:rStyle w:val="Emphasis"/>
          <w:rFonts w:eastAsia="Times New Roman"/>
          <w:b w:val="0"/>
          <w:bCs w:val="0"/>
        </w:rPr>
        <w:t>Infect Control Hosp Epidemiol</w:t>
      </w:r>
      <w:r w:rsidRPr="00EA16FA">
        <w:rPr>
          <w:rFonts w:eastAsia="Times New Roman"/>
        </w:rPr>
        <w:t xml:space="preserve">. 2012;33(3):243–9. </w:t>
      </w:r>
    </w:p>
    <w:p w14:paraId="7B244F1D" w14:textId="77777777" w:rsidR="0010360B" w:rsidRPr="00EA16FA" w:rsidRDefault="0010360B" w:rsidP="00EA16FA">
      <w:pPr>
        <w:pStyle w:val="ListParagraph"/>
        <w:numPr>
          <w:ilvl w:val="0"/>
          <w:numId w:val="10"/>
        </w:numPr>
        <w:rPr>
          <w:rFonts w:eastAsia="Times New Roman"/>
        </w:rPr>
      </w:pPr>
      <w:r w:rsidRPr="00EA16FA">
        <w:rPr>
          <w:rFonts w:eastAsia="Times New Roman"/>
        </w:rPr>
        <w:t xml:space="preserve">Chia PY, Xiang Ong SW, </w:t>
      </w:r>
      <w:proofErr w:type="spellStart"/>
      <w:r w:rsidRPr="00EA16FA">
        <w:rPr>
          <w:rFonts w:eastAsia="Times New Roman"/>
        </w:rPr>
        <w:t>Chiew</w:t>
      </w:r>
      <w:proofErr w:type="spellEnd"/>
      <w:r w:rsidRPr="00EA16FA">
        <w:rPr>
          <w:rFonts w:eastAsia="Times New Roman"/>
        </w:rPr>
        <w:t xml:space="preserve"> CJ, Ang LW, </w:t>
      </w:r>
      <w:proofErr w:type="spellStart"/>
      <w:r w:rsidRPr="00EA16FA">
        <w:rPr>
          <w:rFonts w:eastAsia="Times New Roman"/>
        </w:rPr>
        <w:t>Chavatte</w:t>
      </w:r>
      <w:proofErr w:type="spellEnd"/>
      <w:r w:rsidRPr="00EA16FA">
        <w:rPr>
          <w:rFonts w:eastAsia="Times New Roman"/>
        </w:rPr>
        <w:t xml:space="preserve"> JM, </w:t>
      </w:r>
      <w:proofErr w:type="spellStart"/>
      <w:r w:rsidRPr="00EA16FA">
        <w:rPr>
          <w:rFonts w:eastAsia="Times New Roman"/>
        </w:rPr>
        <w:t>Mak</w:t>
      </w:r>
      <w:proofErr w:type="spellEnd"/>
      <w:r w:rsidRPr="00EA16FA">
        <w:rPr>
          <w:rFonts w:eastAsia="Times New Roman"/>
        </w:rPr>
        <w:t xml:space="preserve"> TM et al. Virological and serological kinetics of SARS-CoV-2 Delta variant vaccine-breakthrough infections: a multi-</w:t>
      </w:r>
      <w:proofErr w:type="spellStart"/>
      <w:r w:rsidRPr="00EA16FA">
        <w:rPr>
          <w:rFonts w:eastAsia="Times New Roman"/>
        </w:rPr>
        <w:t>center</w:t>
      </w:r>
      <w:proofErr w:type="spellEnd"/>
      <w:r w:rsidRPr="00EA16FA">
        <w:rPr>
          <w:rFonts w:eastAsia="Times New Roman"/>
        </w:rPr>
        <w:t xml:space="preserve"> cohort study. </w:t>
      </w:r>
      <w:proofErr w:type="spellStart"/>
      <w:r w:rsidRPr="00EA16FA">
        <w:rPr>
          <w:rStyle w:val="Emphasis"/>
          <w:rFonts w:eastAsia="Times New Roman"/>
          <w:b w:val="0"/>
          <w:bCs w:val="0"/>
        </w:rPr>
        <w:t>medRxiv</w:t>
      </w:r>
      <w:proofErr w:type="spellEnd"/>
      <w:r w:rsidRPr="00EA16FA">
        <w:rPr>
          <w:rFonts w:eastAsia="Times New Roman"/>
        </w:rPr>
        <w:t xml:space="preserve">. 2021. </w:t>
      </w:r>
      <w:proofErr w:type="spellStart"/>
      <w:r w:rsidRPr="00EA16FA">
        <w:rPr>
          <w:rFonts w:eastAsia="Times New Roman"/>
        </w:rPr>
        <w:t>doi</w:t>
      </w:r>
      <w:proofErr w:type="spellEnd"/>
      <w:r w:rsidRPr="00EA16FA">
        <w:rPr>
          <w:rFonts w:eastAsia="Times New Roman"/>
        </w:rPr>
        <w:t xml:space="preserve">: https://doi.org/10.1101/2021.07.28.21261295. </w:t>
      </w:r>
    </w:p>
    <w:p w14:paraId="3AFC182D" w14:textId="77777777" w:rsidR="0010360B" w:rsidRPr="00EA16FA" w:rsidRDefault="0010360B" w:rsidP="00EA16FA">
      <w:pPr>
        <w:pStyle w:val="ListParagraph"/>
        <w:numPr>
          <w:ilvl w:val="0"/>
          <w:numId w:val="10"/>
        </w:numPr>
        <w:rPr>
          <w:rFonts w:eastAsia="Times New Roman"/>
        </w:rPr>
      </w:pPr>
      <w:proofErr w:type="spellStart"/>
      <w:r w:rsidRPr="00EA16FA">
        <w:rPr>
          <w:rFonts w:eastAsia="Times New Roman"/>
        </w:rPr>
        <w:t>Benenson</w:t>
      </w:r>
      <w:proofErr w:type="spellEnd"/>
      <w:r w:rsidRPr="00EA16FA">
        <w:rPr>
          <w:rFonts w:eastAsia="Times New Roman"/>
        </w:rPr>
        <w:t xml:space="preserve"> S, Oster Y, Cohen MJ, Nir-Paz R. BNT162b2 mRNA Covid-19 vaccine effectiveness among health care workers. </w:t>
      </w:r>
      <w:r w:rsidRPr="00EA16FA">
        <w:rPr>
          <w:rStyle w:val="Emphasis"/>
          <w:rFonts w:eastAsia="Times New Roman"/>
          <w:b w:val="0"/>
          <w:bCs w:val="0"/>
        </w:rPr>
        <w:t xml:space="preserve">N </w:t>
      </w:r>
      <w:proofErr w:type="spellStart"/>
      <w:r w:rsidRPr="00EA16FA">
        <w:rPr>
          <w:rStyle w:val="Emphasis"/>
          <w:rFonts w:eastAsia="Times New Roman"/>
          <w:b w:val="0"/>
          <w:bCs w:val="0"/>
        </w:rPr>
        <w:t>Engl</w:t>
      </w:r>
      <w:proofErr w:type="spellEnd"/>
      <w:r w:rsidRPr="00EA16FA">
        <w:rPr>
          <w:rStyle w:val="Emphasis"/>
          <w:rFonts w:eastAsia="Times New Roman"/>
          <w:b w:val="0"/>
          <w:bCs w:val="0"/>
        </w:rPr>
        <w:t xml:space="preserve"> J Med</w:t>
      </w:r>
      <w:r w:rsidRPr="00EA16FA">
        <w:rPr>
          <w:rFonts w:eastAsia="Times New Roman"/>
        </w:rPr>
        <w:t>. 2021;384(18):1775–7.</w:t>
      </w:r>
    </w:p>
    <w:p w14:paraId="56F2F91C"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424B788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45C506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4845196" w14:textId="77777777" w:rsidR="000A5F42" w:rsidRPr="000606CC" w:rsidRDefault="000A5F42" w:rsidP="000A5F42">
      <w:pPr>
        <w:pStyle w:val="NoSpacing"/>
        <w:rPr>
          <w:rStyle w:val="URI"/>
          <w:rFonts w:cstheme="minorHAnsi"/>
          <w:sz w:val="20"/>
          <w:szCs w:val="18"/>
        </w:rPr>
      </w:pPr>
    </w:p>
    <w:p w14:paraId="233AB1C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1DC1C674" w14:textId="77777777" w:rsidR="000A5F42" w:rsidRPr="000606CC" w:rsidRDefault="000A5F42" w:rsidP="000A5F42">
      <w:pPr>
        <w:pStyle w:val="NoSpacing"/>
        <w:rPr>
          <w:rStyle w:val="Strong"/>
          <w:rFonts w:cstheme="minorHAnsi"/>
          <w:sz w:val="20"/>
          <w:szCs w:val="18"/>
        </w:rPr>
      </w:pPr>
    </w:p>
    <w:p w14:paraId="2DE7105B" w14:textId="29DD6F2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F72FD6">
        <w:rPr>
          <w:rFonts w:cstheme="minorHAnsi"/>
          <w:sz w:val="20"/>
          <w:szCs w:val="18"/>
        </w:rPr>
        <w:t>Noel Lally</w:t>
      </w:r>
    </w:p>
    <w:p w14:paraId="146B401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1865B5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A6B002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5F1D993" w14:textId="77777777" w:rsidR="000A5F42" w:rsidRPr="000606CC" w:rsidRDefault="000A5F42" w:rsidP="000A5F42">
      <w:pPr>
        <w:pStyle w:val="NoSpacing"/>
        <w:rPr>
          <w:rStyle w:val="Strong"/>
          <w:rFonts w:cstheme="minorHAnsi"/>
          <w:sz w:val="20"/>
          <w:szCs w:val="18"/>
        </w:rPr>
      </w:pPr>
    </w:p>
    <w:p w14:paraId="2A34841E" w14:textId="56D3513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BBD30B7" w14:textId="77777777" w:rsidR="000A5F42" w:rsidRPr="000606CC" w:rsidRDefault="000A5F42" w:rsidP="000A5F42">
      <w:pPr>
        <w:pStyle w:val="NoSpacing"/>
        <w:rPr>
          <w:rStyle w:val="Strong"/>
          <w:rFonts w:cstheme="minorHAnsi"/>
          <w:sz w:val="20"/>
          <w:szCs w:val="18"/>
        </w:rPr>
      </w:pPr>
    </w:p>
    <w:p w14:paraId="6402B0B3"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641A329" w14:textId="77777777" w:rsidR="000A5F42" w:rsidRPr="000606CC" w:rsidRDefault="000A5F42" w:rsidP="000A5F42">
      <w:pPr>
        <w:pStyle w:val="NoSpacing"/>
        <w:rPr>
          <w:rStyle w:val="Strong"/>
          <w:rFonts w:cstheme="minorHAnsi"/>
          <w:sz w:val="20"/>
          <w:szCs w:val="18"/>
        </w:rPr>
      </w:pPr>
    </w:p>
    <w:p w14:paraId="2F1D3775" w14:textId="5972368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EE55BFF" w14:textId="77777777" w:rsidR="000A5F42" w:rsidRPr="000606CC" w:rsidRDefault="000A5F42" w:rsidP="000A5F42">
      <w:pPr>
        <w:pStyle w:val="NoSpacing"/>
        <w:rPr>
          <w:rStyle w:val="Strong"/>
          <w:rFonts w:cstheme="minorHAnsi"/>
          <w:sz w:val="20"/>
          <w:szCs w:val="18"/>
        </w:rPr>
      </w:pPr>
    </w:p>
    <w:p w14:paraId="10070CF9" w14:textId="7CADDAF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9895CEF" w14:textId="49FB3AA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25BF2AAC" w14:textId="77777777" w:rsidR="000A5F42" w:rsidRPr="000606CC" w:rsidRDefault="000A5F42" w:rsidP="000A5F42">
      <w:pPr>
        <w:pStyle w:val="NoSpacing"/>
        <w:pBdr>
          <w:bottom w:val="single" w:sz="6" w:space="1" w:color="auto"/>
        </w:pBdr>
        <w:rPr>
          <w:rStyle w:val="Strong"/>
          <w:rFonts w:cstheme="minorHAnsi"/>
          <w:sz w:val="12"/>
          <w:szCs w:val="18"/>
        </w:rPr>
      </w:pPr>
    </w:p>
    <w:p w14:paraId="31D4C70D" w14:textId="77777777" w:rsidR="000A5F42" w:rsidRPr="000606CC" w:rsidRDefault="000A5F42" w:rsidP="000A5F42">
      <w:pPr>
        <w:pStyle w:val="NoSpacing"/>
        <w:rPr>
          <w:rFonts w:cstheme="minorHAnsi"/>
          <w:sz w:val="20"/>
          <w:szCs w:val="18"/>
        </w:rPr>
      </w:pPr>
    </w:p>
    <w:p w14:paraId="4AE50AE6"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FDFF6D7" w14:textId="77777777" w:rsidR="000A5F42" w:rsidRPr="000606CC" w:rsidRDefault="000A5F42" w:rsidP="000A5F42">
      <w:pPr>
        <w:pStyle w:val="NoSpacing"/>
        <w:rPr>
          <w:rFonts w:cstheme="minorHAnsi"/>
          <w:sz w:val="20"/>
          <w:szCs w:val="18"/>
        </w:rPr>
      </w:pPr>
    </w:p>
    <w:p w14:paraId="5E0D756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55E3F2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8A7527">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4BA94DE6" w14:textId="6381B0F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91E5A21" w14:textId="77777777" w:rsidR="000A5F42" w:rsidRPr="000606CC" w:rsidRDefault="000A5F42" w:rsidP="000A5F42">
      <w:pPr>
        <w:pStyle w:val="NoSpacing"/>
        <w:rPr>
          <w:rFonts w:cstheme="minorHAnsi"/>
          <w:sz w:val="20"/>
          <w:szCs w:val="18"/>
        </w:rPr>
      </w:pPr>
    </w:p>
    <w:p w14:paraId="5C747B3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BA76436" w14:textId="08EF242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FBC62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90E59C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697A29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245D05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B55ECF2" w14:textId="77777777" w:rsidR="000A5F42" w:rsidRPr="000606CC" w:rsidRDefault="000A5F42" w:rsidP="000A5F42">
      <w:pPr>
        <w:pStyle w:val="NoSpacing"/>
        <w:rPr>
          <w:rStyle w:val="Strong"/>
          <w:rFonts w:cstheme="minorHAnsi"/>
          <w:sz w:val="20"/>
          <w:szCs w:val="18"/>
        </w:rPr>
      </w:pPr>
    </w:p>
    <w:p w14:paraId="0A6FF63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445E1A5" w14:textId="77777777" w:rsidR="000A5F42" w:rsidRPr="000606CC" w:rsidRDefault="000A5F42" w:rsidP="000A5F42">
      <w:pPr>
        <w:pStyle w:val="NoSpacing"/>
        <w:rPr>
          <w:rStyle w:val="Strong"/>
          <w:rFonts w:cstheme="minorHAnsi"/>
          <w:sz w:val="20"/>
          <w:szCs w:val="18"/>
        </w:rPr>
      </w:pPr>
    </w:p>
    <w:p w14:paraId="07EE30DD" w14:textId="59D230D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7D5516B" w14:textId="77777777" w:rsidR="000A5F42" w:rsidRPr="000606CC" w:rsidRDefault="000A5F42" w:rsidP="000A5F42">
      <w:pPr>
        <w:pStyle w:val="NoSpacing"/>
        <w:rPr>
          <w:rStyle w:val="URI"/>
          <w:rFonts w:cstheme="minorHAnsi"/>
          <w:sz w:val="20"/>
          <w:szCs w:val="18"/>
        </w:rPr>
      </w:pPr>
    </w:p>
    <w:p w14:paraId="2DA16C7C" w14:textId="69878E8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24CB9921"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BDE78" w14:textId="77777777" w:rsidR="0098354A" w:rsidRDefault="0098354A" w:rsidP="00E54DBA">
      <w:r>
        <w:separator/>
      </w:r>
    </w:p>
    <w:p w14:paraId="35F283C0" w14:textId="77777777" w:rsidR="0098354A" w:rsidRDefault="0098354A"/>
    <w:p w14:paraId="33B534A4" w14:textId="77777777" w:rsidR="0098354A" w:rsidRDefault="0098354A" w:rsidP="008714B0"/>
  </w:endnote>
  <w:endnote w:type="continuationSeparator" w:id="0">
    <w:p w14:paraId="32EC2347" w14:textId="77777777" w:rsidR="0098354A" w:rsidRDefault="0098354A" w:rsidP="00E54DBA">
      <w:r>
        <w:continuationSeparator/>
      </w:r>
    </w:p>
    <w:p w14:paraId="28121F47" w14:textId="77777777" w:rsidR="0098354A" w:rsidRDefault="0098354A"/>
    <w:p w14:paraId="5A46C161" w14:textId="77777777" w:rsidR="0098354A" w:rsidRDefault="0098354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2AA6" w14:textId="02C940BF" w:rsidR="0098354A" w:rsidRPr="0042435E" w:rsidRDefault="0098354A"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EA16FA">
      <w:rPr>
        <w:i/>
        <w:sz w:val="18"/>
      </w:rPr>
      <w:t>Commun</w:t>
    </w:r>
    <w:proofErr w:type="spellEnd"/>
    <w:r w:rsidRPr="00EA16FA">
      <w:rPr>
        <w:i/>
        <w:sz w:val="18"/>
      </w:rPr>
      <w:t xml:space="preserve"> Dis </w:t>
    </w:r>
    <w:proofErr w:type="spellStart"/>
    <w:r w:rsidRPr="00EA16FA">
      <w:rPr>
        <w:i/>
        <w:sz w:val="18"/>
      </w:rPr>
      <w:t>Intell</w:t>
    </w:r>
    <w:proofErr w:type="spellEnd"/>
    <w:r w:rsidRPr="00EA16FA">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10AAD">
      <w:rPr>
        <w:sz w:val="18"/>
      </w:rPr>
      <w:t>https://doi.org/10.33321/cdi.2022.46.30</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B10AAD">
      <w:rPr>
        <w:sz w:val="18"/>
      </w:rPr>
      <w:t>19/5/2022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F99C" w14:textId="15B59293" w:rsidR="0098354A" w:rsidRPr="00BB5378" w:rsidRDefault="0098354A"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EA16FA">
      <w:rPr>
        <w:i/>
        <w:sz w:val="18"/>
      </w:rPr>
      <w:t>Commun</w:t>
    </w:r>
    <w:proofErr w:type="spellEnd"/>
    <w:r w:rsidRPr="00EA16FA">
      <w:rPr>
        <w:i/>
        <w:sz w:val="18"/>
      </w:rPr>
      <w:t xml:space="preserve"> Dis </w:t>
    </w:r>
    <w:proofErr w:type="spellStart"/>
    <w:r w:rsidRPr="00EA16FA">
      <w:rPr>
        <w:i/>
        <w:sz w:val="18"/>
      </w:rPr>
      <w:t>Intell</w:t>
    </w:r>
    <w:proofErr w:type="spellEnd"/>
    <w:r w:rsidRPr="00EA16FA">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10AAD">
      <w:rPr>
        <w:sz w:val="18"/>
      </w:rPr>
      <w:t>https://doi.org/10.33321/cdi.2022.46.30</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B10AAD">
      <w:rPr>
        <w:sz w:val="18"/>
      </w:rPr>
      <w:t>19/5/2022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44804" w14:textId="77777777" w:rsidR="0098354A" w:rsidRPr="00B91FB5" w:rsidRDefault="0098354A" w:rsidP="00B91FB5">
      <w:pPr>
        <w:spacing w:after="0" w:line="240" w:lineRule="auto"/>
        <w:rPr>
          <w:sz w:val="18"/>
          <w:szCs w:val="18"/>
        </w:rPr>
      </w:pPr>
      <w:r w:rsidRPr="00B91FB5">
        <w:rPr>
          <w:sz w:val="18"/>
          <w:szCs w:val="18"/>
        </w:rPr>
        <w:separator/>
      </w:r>
    </w:p>
  </w:footnote>
  <w:footnote w:type="continuationSeparator" w:id="0">
    <w:p w14:paraId="0F54C4A6" w14:textId="77777777" w:rsidR="0098354A" w:rsidRDefault="0098354A" w:rsidP="00E54DBA">
      <w:r>
        <w:continuationSeparator/>
      </w:r>
    </w:p>
  </w:footnote>
  <w:footnote w:type="continuationNotice" w:id="1">
    <w:p w14:paraId="668EADB2" w14:textId="77777777" w:rsidR="0098354A" w:rsidRPr="00224EFF" w:rsidRDefault="0098354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788FA" w14:textId="28F3AC67" w:rsidR="0098354A" w:rsidRPr="00A153B6" w:rsidRDefault="003873B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8354A">
          <w:t>Original Article</w:t>
        </w:r>
      </w:sdtContent>
    </w:sdt>
    <w:r w:rsidR="0098354A">
      <w:ptab w:relativeTo="margin" w:alignment="right" w:leader="none"/>
    </w:r>
    <w:r w:rsidR="0098354A"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946F" w14:textId="77777777" w:rsidR="0098354A" w:rsidRPr="000A5F42" w:rsidRDefault="0098354A" w:rsidP="000A5F42">
    <w:pPr>
      <w:pStyle w:val="Header"/>
      <w:jc w:val="center"/>
      <w:rPr>
        <w:b/>
      </w:rPr>
    </w:pPr>
    <w:r w:rsidRPr="00E810C5">
      <w:rPr>
        <w:rFonts w:cs="Myriad Pro"/>
        <w:noProof/>
        <w:color w:val="211D1E"/>
        <w:sz w:val="16"/>
      </w:rPr>
      <w:drawing>
        <wp:inline distT="0" distB="0" distL="0" distR="0" wp14:anchorId="03E09E2A" wp14:editId="5B205BA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C728B"/>
    <w:multiLevelType w:val="multilevel"/>
    <w:tmpl w:val="359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0526D"/>
    <w:multiLevelType w:val="multilevel"/>
    <w:tmpl w:val="F0C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F3C6C"/>
    <w:multiLevelType w:val="multilevel"/>
    <w:tmpl w:val="6F22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83F57"/>
    <w:multiLevelType w:val="multilevel"/>
    <w:tmpl w:val="426C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95E97"/>
    <w:multiLevelType w:val="hybridMultilevel"/>
    <w:tmpl w:val="245A17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DE26D2"/>
    <w:multiLevelType w:val="multilevel"/>
    <w:tmpl w:val="DBEA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C01B4"/>
    <w:multiLevelType w:val="multilevel"/>
    <w:tmpl w:val="1B2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202C7"/>
    <w:multiLevelType w:val="multilevel"/>
    <w:tmpl w:val="679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95D9C"/>
    <w:multiLevelType w:val="multilevel"/>
    <w:tmpl w:val="DB8A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B668A"/>
    <w:multiLevelType w:val="multilevel"/>
    <w:tmpl w:val="0950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D5AF7"/>
    <w:multiLevelType w:val="multilevel"/>
    <w:tmpl w:val="F66A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E4F88"/>
    <w:multiLevelType w:val="multilevel"/>
    <w:tmpl w:val="9794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485367"/>
    <w:multiLevelType w:val="multilevel"/>
    <w:tmpl w:val="959C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44982"/>
    <w:multiLevelType w:val="multilevel"/>
    <w:tmpl w:val="95D6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2454AB"/>
    <w:multiLevelType w:val="multilevel"/>
    <w:tmpl w:val="BE5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75E6F"/>
    <w:multiLevelType w:val="multilevel"/>
    <w:tmpl w:val="48D4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AE587D"/>
    <w:multiLevelType w:val="hybridMultilevel"/>
    <w:tmpl w:val="FCF02E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15"/>
  </w:num>
  <w:num w:numId="4">
    <w:abstractNumId w:val="4"/>
  </w:num>
  <w:num w:numId="5">
    <w:abstractNumId w:val="18"/>
  </w:num>
  <w:num w:numId="6">
    <w:abstractNumId w:val="21"/>
  </w:num>
  <w:num w:numId="7">
    <w:abstractNumId w:val="6"/>
  </w:num>
  <w:num w:numId="8">
    <w:abstractNumId w:val="13"/>
  </w:num>
  <w:num w:numId="9">
    <w:abstractNumId w:val="5"/>
  </w:num>
  <w:num w:numId="10">
    <w:abstractNumId w:val="22"/>
  </w:num>
  <w:num w:numId="11">
    <w:abstractNumId w:val="3"/>
  </w:num>
  <w:num w:numId="12">
    <w:abstractNumId w:val="20"/>
  </w:num>
  <w:num w:numId="13">
    <w:abstractNumId w:val="2"/>
  </w:num>
  <w:num w:numId="14">
    <w:abstractNumId w:val="1"/>
  </w:num>
  <w:num w:numId="15">
    <w:abstractNumId w:val="8"/>
  </w:num>
  <w:num w:numId="16">
    <w:abstractNumId w:val="9"/>
  </w:num>
  <w:num w:numId="17">
    <w:abstractNumId w:val="16"/>
  </w:num>
  <w:num w:numId="18">
    <w:abstractNumId w:val="19"/>
  </w:num>
  <w:num w:numId="19">
    <w:abstractNumId w:val="0"/>
  </w:num>
  <w:num w:numId="20">
    <w:abstractNumId w:val="11"/>
  </w:num>
  <w:num w:numId="21">
    <w:abstractNumId w:val="10"/>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27"/>
    <w:rsid w:val="00000B5B"/>
    <w:rsid w:val="00001611"/>
    <w:rsid w:val="00004126"/>
    <w:rsid w:val="000104A8"/>
    <w:rsid w:val="0001246E"/>
    <w:rsid w:val="000124B1"/>
    <w:rsid w:val="00016FE6"/>
    <w:rsid w:val="00031064"/>
    <w:rsid w:val="00031692"/>
    <w:rsid w:val="00032531"/>
    <w:rsid w:val="000325A0"/>
    <w:rsid w:val="00045135"/>
    <w:rsid w:val="00046ED2"/>
    <w:rsid w:val="000471BF"/>
    <w:rsid w:val="00047B68"/>
    <w:rsid w:val="00052600"/>
    <w:rsid w:val="0005643C"/>
    <w:rsid w:val="0006264A"/>
    <w:rsid w:val="00073D77"/>
    <w:rsid w:val="00081655"/>
    <w:rsid w:val="000864E0"/>
    <w:rsid w:val="00087ECE"/>
    <w:rsid w:val="000969B3"/>
    <w:rsid w:val="000A4529"/>
    <w:rsid w:val="000A5F42"/>
    <w:rsid w:val="000D4B4D"/>
    <w:rsid w:val="000F4B87"/>
    <w:rsid w:val="0010360B"/>
    <w:rsid w:val="00110E7F"/>
    <w:rsid w:val="00113D58"/>
    <w:rsid w:val="001200CB"/>
    <w:rsid w:val="001378A3"/>
    <w:rsid w:val="00141738"/>
    <w:rsid w:val="00155582"/>
    <w:rsid w:val="00161590"/>
    <w:rsid w:val="00171CC0"/>
    <w:rsid w:val="00175494"/>
    <w:rsid w:val="00175629"/>
    <w:rsid w:val="001830EC"/>
    <w:rsid w:val="00183534"/>
    <w:rsid w:val="00185CE9"/>
    <w:rsid w:val="001A4A96"/>
    <w:rsid w:val="001A5D05"/>
    <w:rsid w:val="001A60D4"/>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09F9"/>
    <w:rsid w:val="00275C78"/>
    <w:rsid w:val="00280594"/>
    <w:rsid w:val="00281EE3"/>
    <w:rsid w:val="00284E4A"/>
    <w:rsid w:val="00291B08"/>
    <w:rsid w:val="002A36B4"/>
    <w:rsid w:val="002A3799"/>
    <w:rsid w:val="002A3BCC"/>
    <w:rsid w:val="002A4516"/>
    <w:rsid w:val="002A569F"/>
    <w:rsid w:val="002A7066"/>
    <w:rsid w:val="002B001E"/>
    <w:rsid w:val="002B09B7"/>
    <w:rsid w:val="002B75A9"/>
    <w:rsid w:val="002C21B0"/>
    <w:rsid w:val="002E2FB3"/>
    <w:rsid w:val="002F327B"/>
    <w:rsid w:val="002F4ED2"/>
    <w:rsid w:val="00301626"/>
    <w:rsid w:val="00301A6F"/>
    <w:rsid w:val="003059EC"/>
    <w:rsid w:val="00311E6A"/>
    <w:rsid w:val="00316CCD"/>
    <w:rsid w:val="00324F7E"/>
    <w:rsid w:val="003323BC"/>
    <w:rsid w:val="00346D42"/>
    <w:rsid w:val="00346E11"/>
    <w:rsid w:val="003601C0"/>
    <w:rsid w:val="003635F5"/>
    <w:rsid w:val="00372A88"/>
    <w:rsid w:val="0037753F"/>
    <w:rsid w:val="00381A0F"/>
    <w:rsid w:val="003873B0"/>
    <w:rsid w:val="003A1B3A"/>
    <w:rsid w:val="003A40F5"/>
    <w:rsid w:val="003A5A19"/>
    <w:rsid w:val="003B2BC7"/>
    <w:rsid w:val="003B5B8C"/>
    <w:rsid w:val="003C32F8"/>
    <w:rsid w:val="003D0A1B"/>
    <w:rsid w:val="003D4668"/>
    <w:rsid w:val="003D79B1"/>
    <w:rsid w:val="003E74EE"/>
    <w:rsid w:val="003F0552"/>
    <w:rsid w:val="003F3BC2"/>
    <w:rsid w:val="00401ED1"/>
    <w:rsid w:val="0040224C"/>
    <w:rsid w:val="0041127F"/>
    <w:rsid w:val="00413EE1"/>
    <w:rsid w:val="004164BB"/>
    <w:rsid w:val="004165ED"/>
    <w:rsid w:val="0042000E"/>
    <w:rsid w:val="00421ECE"/>
    <w:rsid w:val="00422FEB"/>
    <w:rsid w:val="0042435E"/>
    <w:rsid w:val="004315F5"/>
    <w:rsid w:val="00433456"/>
    <w:rsid w:val="00433DFA"/>
    <w:rsid w:val="00435D67"/>
    <w:rsid w:val="004645F1"/>
    <w:rsid w:val="00464A58"/>
    <w:rsid w:val="00473D2D"/>
    <w:rsid w:val="004836D2"/>
    <w:rsid w:val="004A2125"/>
    <w:rsid w:val="004A33E3"/>
    <w:rsid w:val="004A38F6"/>
    <w:rsid w:val="004B4EB6"/>
    <w:rsid w:val="004C083C"/>
    <w:rsid w:val="004C67C6"/>
    <w:rsid w:val="004D29DE"/>
    <w:rsid w:val="004D421B"/>
    <w:rsid w:val="004F62C8"/>
    <w:rsid w:val="00510EAC"/>
    <w:rsid w:val="00521E83"/>
    <w:rsid w:val="00542A57"/>
    <w:rsid w:val="00543C91"/>
    <w:rsid w:val="00565974"/>
    <w:rsid w:val="005732C0"/>
    <w:rsid w:val="0057336D"/>
    <w:rsid w:val="0057489A"/>
    <w:rsid w:val="00574ACF"/>
    <w:rsid w:val="00581588"/>
    <w:rsid w:val="0058540B"/>
    <w:rsid w:val="00587C87"/>
    <w:rsid w:val="00590B80"/>
    <w:rsid w:val="005967AF"/>
    <w:rsid w:val="005B3134"/>
    <w:rsid w:val="005B4E61"/>
    <w:rsid w:val="005B595A"/>
    <w:rsid w:val="005B66C2"/>
    <w:rsid w:val="005C597C"/>
    <w:rsid w:val="005C66A6"/>
    <w:rsid w:val="005D2465"/>
    <w:rsid w:val="005E07E1"/>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84438"/>
    <w:rsid w:val="006971F3"/>
    <w:rsid w:val="006C74A3"/>
    <w:rsid w:val="006D1381"/>
    <w:rsid w:val="006D31BC"/>
    <w:rsid w:val="006E4A4E"/>
    <w:rsid w:val="006E647F"/>
    <w:rsid w:val="006E7943"/>
    <w:rsid w:val="006F24EA"/>
    <w:rsid w:val="00704CA9"/>
    <w:rsid w:val="0071048D"/>
    <w:rsid w:val="00710F86"/>
    <w:rsid w:val="007111A8"/>
    <w:rsid w:val="00731BC3"/>
    <w:rsid w:val="00741192"/>
    <w:rsid w:val="00741823"/>
    <w:rsid w:val="0074285D"/>
    <w:rsid w:val="00743A33"/>
    <w:rsid w:val="00746080"/>
    <w:rsid w:val="0075144A"/>
    <w:rsid w:val="0076119D"/>
    <w:rsid w:val="00786329"/>
    <w:rsid w:val="00792C7D"/>
    <w:rsid w:val="00794A4D"/>
    <w:rsid w:val="007A0EB4"/>
    <w:rsid w:val="007A3998"/>
    <w:rsid w:val="007A5234"/>
    <w:rsid w:val="007B7854"/>
    <w:rsid w:val="007C56A1"/>
    <w:rsid w:val="007C6454"/>
    <w:rsid w:val="007E01E0"/>
    <w:rsid w:val="007E1532"/>
    <w:rsid w:val="007F0B93"/>
    <w:rsid w:val="007F2ECA"/>
    <w:rsid w:val="00811708"/>
    <w:rsid w:val="00816B90"/>
    <w:rsid w:val="00817799"/>
    <w:rsid w:val="00822F5F"/>
    <w:rsid w:val="00824FD3"/>
    <w:rsid w:val="00826589"/>
    <w:rsid w:val="00834BCC"/>
    <w:rsid w:val="00846EB6"/>
    <w:rsid w:val="00850D54"/>
    <w:rsid w:val="00852E2B"/>
    <w:rsid w:val="00860EBC"/>
    <w:rsid w:val="008714B0"/>
    <w:rsid w:val="00876331"/>
    <w:rsid w:val="00880726"/>
    <w:rsid w:val="0089733B"/>
    <w:rsid w:val="008A3544"/>
    <w:rsid w:val="008A7527"/>
    <w:rsid w:val="008B48B8"/>
    <w:rsid w:val="008B5348"/>
    <w:rsid w:val="008B58F8"/>
    <w:rsid w:val="008C0712"/>
    <w:rsid w:val="008C4520"/>
    <w:rsid w:val="008C5F09"/>
    <w:rsid w:val="008D470F"/>
    <w:rsid w:val="008D471F"/>
    <w:rsid w:val="008E02D3"/>
    <w:rsid w:val="008E1F8F"/>
    <w:rsid w:val="008E4768"/>
    <w:rsid w:val="008E761E"/>
    <w:rsid w:val="008E79FD"/>
    <w:rsid w:val="008F77B3"/>
    <w:rsid w:val="009008F5"/>
    <w:rsid w:val="00904CC1"/>
    <w:rsid w:val="009066AF"/>
    <w:rsid w:val="00912050"/>
    <w:rsid w:val="00912E48"/>
    <w:rsid w:val="0092746F"/>
    <w:rsid w:val="00935DC9"/>
    <w:rsid w:val="009446C0"/>
    <w:rsid w:val="0096082E"/>
    <w:rsid w:val="00961347"/>
    <w:rsid w:val="00964D78"/>
    <w:rsid w:val="00967410"/>
    <w:rsid w:val="00967D73"/>
    <w:rsid w:val="00980747"/>
    <w:rsid w:val="0098119A"/>
    <w:rsid w:val="0098354A"/>
    <w:rsid w:val="00984AAF"/>
    <w:rsid w:val="00991B09"/>
    <w:rsid w:val="00992AF3"/>
    <w:rsid w:val="00993CB2"/>
    <w:rsid w:val="009A5166"/>
    <w:rsid w:val="009A76F8"/>
    <w:rsid w:val="009B2B83"/>
    <w:rsid w:val="009C49F8"/>
    <w:rsid w:val="009D3378"/>
    <w:rsid w:val="009D77CC"/>
    <w:rsid w:val="009E2423"/>
    <w:rsid w:val="009E55D7"/>
    <w:rsid w:val="009F4150"/>
    <w:rsid w:val="009F5665"/>
    <w:rsid w:val="009F5DAD"/>
    <w:rsid w:val="00A01BCA"/>
    <w:rsid w:val="00A10458"/>
    <w:rsid w:val="00A12ED8"/>
    <w:rsid w:val="00A153B6"/>
    <w:rsid w:val="00A164D5"/>
    <w:rsid w:val="00A273C3"/>
    <w:rsid w:val="00A30C37"/>
    <w:rsid w:val="00A36C65"/>
    <w:rsid w:val="00A41BBE"/>
    <w:rsid w:val="00A443E3"/>
    <w:rsid w:val="00A45BDD"/>
    <w:rsid w:val="00A46A0A"/>
    <w:rsid w:val="00A50CF4"/>
    <w:rsid w:val="00A525C9"/>
    <w:rsid w:val="00A553F8"/>
    <w:rsid w:val="00A56740"/>
    <w:rsid w:val="00A6708F"/>
    <w:rsid w:val="00A71BF6"/>
    <w:rsid w:val="00A72AF9"/>
    <w:rsid w:val="00A86F9A"/>
    <w:rsid w:val="00AA35E6"/>
    <w:rsid w:val="00AA50B6"/>
    <w:rsid w:val="00AB3472"/>
    <w:rsid w:val="00AD0762"/>
    <w:rsid w:val="00AD2647"/>
    <w:rsid w:val="00AE3DCF"/>
    <w:rsid w:val="00AE4452"/>
    <w:rsid w:val="00AE4776"/>
    <w:rsid w:val="00AE6F32"/>
    <w:rsid w:val="00AE7C38"/>
    <w:rsid w:val="00B01F99"/>
    <w:rsid w:val="00B02B37"/>
    <w:rsid w:val="00B05276"/>
    <w:rsid w:val="00B10AAD"/>
    <w:rsid w:val="00B132DB"/>
    <w:rsid w:val="00B31427"/>
    <w:rsid w:val="00B33861"/>
    <w:rsid w:val="00B40DE2"/>
    <w:rsid w:val="00B50210"/>
    <w:rsid w:val="00B53955"/>
    <w:rsid w:val="00B6408A"/>
    <w:rsid w:val="00B6652E"/>
    <w:rsid w:val="00B714B8"/>
    <w:rsid w:val="00B82C2C"/>
    <w:rsid w:val="00B8720B"/>
    <w:rsid w:val="00B876EF"/>
    <w:rsid w:val="00B91FB5"/>
    <w:rsid w:val="00BA4697"/>
    <w:rsid w:val="00BB5378"/>
    <w:rsid w:val="00BC0BD3"/>
    <w:rsid w:val="00BD0107"/>
    <w:rsid w:val="00BE0C33"/>
    <w:rsid w:val="00BE262C"/>
    <w:rsid w:val="00BE4C25"/>
    <w:rsid w:val="00BE54E0"/>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C1D6C"/>
    <w:rsid w:val="00CD1A87"/>
    <w:rsid w:val="00CD35F3"/>
    <w:rsid w:val="00CD5C93"/>
    <w:rsid w:val="00CE266F"/>
    <w:rsid w:val="00CE342B"/>
    <w:rsid w:val="00CF320C"/>
    <w:rsid w:val="00CF3A4B"/>
    <w:rsid w:val="00CF4001"/>
    <w:rsid w:val="00D05837"/>
    <w:rsid w:val="00D12D8A"/>
    <w:rsid w:val="00D13E0C"/>
    <w:rsid w:val="00D25896"/>
    <w:rsid w:val="00D351D0"/>
    <w:rsid w:val="00D373A1"/>
    <w:rsid w:val="00D37C0F"/>
    <w:rsid w:val="00D45661"/>
    <w:rsid w:val="00D45943"/>
    <w:rsid w:val="00D47D22"/>
    <w:rsid w:val="00D51865"/>
    <w:rsid w:val="00D51D0C"/>
    <w:rsid w:val="00D74140"/>
    <w:rsid w:val="00DA6E56"/>
    <w:rsid w:val="00DC24E5"/>
    <w:rsid w:val="00DC6705"/>
    <w:rsid w:val="00DD2DE8"/>
    <w:rsid w:val="00DE38B4"/>
    <w:rsid w:val="00DE5A24"/>
    <w:rsid w:val="00DE5D02"/>
    <w:rsid w:val="00DF4551"/>
    <w:rsid w:val="00E005A9"/>
    <w:rsid w:val="00E1166E"/>
    <w:rsid w:val="00E24DC0"/>
    <w:rsid w:val="00E2519C"/>
    <w:rsid w:val="00E25F2A"/>
    <w:rsid w:val="00E3777F"/>
    <w:rsid w:val="00E41455"/>
    <w:rsid w:val="00E42AD2"/>
    <w:rsid w:val="00E50856"/>
    <w:rsid w:val="00E538CC"/>
    <w:rsid w:val="00E54BBD"/>
    <w:rsid w:val="00E54DBA"/>
    <w:rsid w:val="00E61F28"/>
    <w:rsid w:val="00E63D7C"/>
    <w:rsid w:val="00E640D5"/>
    <w:rsid w:val="00E66E2E"/>
    <w:rsid w:val="00E67691"/>
    <w:rsid w:val="00E7609E"/>
    <w:rsid w:val="00E87E8A"/>
    <w:rsid w:val="00E92237"/>
    <w:rsid w:val="00E951EF"/>
    <w:rsid w:val="00E95FEE"/>
    <w:rsid w:val="00EA16FA"/>
    <w:rsid w:val="00EA3D54"/>
    <w:rsid w:val="00EA56D9"/>
    <w:rsid w:val="00EA5CE3"/>
    <w:rsid w:val="00EB51C1"/>
    <w:rsid w:val="00EB5AE1"/>
    <w:rsid w:val="00EB5E0B"/>
    <w:rsid w:val="00EC2171"/>
    <w:rsid w:val="00ED442D"/>
    <w:rsid w:val="00ED70C2"/>
    <w:rsid w:val="00EE18FF"/>
    <w:rsid w:val="00EE489F"/>
    <w:rsid w:val="00EF3B85"/>
    <w:rsid w:val="00EF7AD8"/>
    <w:rsid w:val="00F0647F"/>
    <w:rsid w:val="00F10CE3"/>
    <w:rsid w:val="00F12006"/>
    <w:rsid w:val="00F13443"/>
    <w:rsid w:val="00F14F3B"/>
    <w:rsid w:val="00F16362"/>
    <w:rsid w:val="00F207C7"/>
    <w:rsid w:val="00F254E1"/>
    <w:rsid w:val="00F36B6D"/>
    <w:rsid w:val="00F43FA3"/>
    <w:rsid w:val="00F55648"/>
    <w:rsid w:val="00F70046"/>
    <w:rsid w:val="00F72FD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9E63B8"/>
  <w15:docId w15:val="{31FF1056-BC3B-466D-80E6-2E783148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83</TotalTime>
  <Pages>22</Pages>
  <Words>7751</Words>
  <Characters>45766</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Communicable Diseases Intelligence 2022 - “Scary to get, more scary not to”: COVID-19 vaccine acceptance among healthcare workers in Central Queensland, Australia, a cross-sectional survey</vt:lpstr>
    </vt:vector>
  </TitlesOfParts>
  <Company>Australian Government, Department of Health</Company>
  <LinksUpToDate>false</LinksUpToDate>
  <CharactersWithSpaces>53411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“Scary to get, more scary not to”: COVID-19 vaccine acceptance among healthcare workers in Central Queensland, Australia, a cross-sectional survey</dc:title>
  <dc:subject>The article investigated the Behavioural and social drivers (BeSD) of COVID-19 vaccine acceptance among Australian healthcare workers (HCW) living and working in a regional area. A cross sectional online survey based on BeSD framework adapted from the World Health Organization Data for Action guidance consisting of the five instrument domains: what people think and feel; social processes; motivations; practical issues; and vaccination uptake. Of 240 HCWs within CQHHS who responded, 64% percent are received at least one dose of a COVID-19 vaccine in the first 15 weeks of the vaccine roll out. These findings suggest a combination of communications and educational material framed around the benefits and social norms of vaccination, along with materials addressing vaccine safety concerns will encourage HCW to take up a COVID-19 vaccine.</dc:subject>
  <dc:creator>Gwenda Chapman; Mahmudul Hassan Al Imam; Arifuzzaman Khan; Nicolas Smoll; Odewumi Adegbija; Michael Kirk; Gulam Khandaker; Kerrie Wiley</dc:creator>
  <cp:keywords>Attitudes; COVID-19 vaccine; healthcare worker; questionnaire; vaccine acceptance</cp:keywords>
  <dc:description>© Commonwealth of Australia CC BY-NC-ND ISSN: 2209-6051 (Online)</dc:description>
  <cp:lastModifiedBy>YOUSEFI, Kasra</cp:lastModifiedBy>
  <cp:revision>98</cp:revision>
  <cp:lastPrinted>2018-05-10T02:19:00Z</cp:lastPrinted>
  <dcterms:created xsi:type="dcterms:W3CDTF">2022-03-31T22:52:00Z</dcterms:created>
  <dcterms:modified xsi:type="dcterms:W3CDTF">2022-06-06T03:40:00Z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19/5/2022</vt:lpwstr>
  </property>
  <property fmtid="{D5CDD505-2E9C-101B-9397-08002B2CF9AE}" pid="5" name="DOI">
    <vt:lpwstr>https://doi.org/10.33321/cdi.2022.46.30</vt:lpwstr>
  </property>
</Properties>
</file>