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78FCE" w14:textId="77777777" w:rsidR="004332E9" w:rsidRDefault="004332E9" w:rsidP="00D11B17">
      <w:pPr>
        <w:pStyle w:val="Title"/>
        <w:rPr>
          <w:rFonts w:eastAsia="Times New Roman"/>
          <w:sz w:val="48"/>
          <w:szCs w:val="48"/>
        </w:rPr>
      </w:pPr>
      <w:r>
        <w:rPr>
          <w:rFonts w:eastAsia="Times New Roman"/>
        </w:rPr>
        <w:t xml:space="preserve">Two </w:t>
      </w:r>
      <w:r w:rsidRPr="00A821B8">
        <w:rPr>
          <w:rStyle w:val="Emphasis"/>
          <w:rFonts w:eastAsia="Times New Roman"/>
          <w:b/>
        </w:rPr>
        <w:t>Treponema</w:t>
      </w:r>
      <w:r w:rsidRPr="00A821B8">
        <w:rPr>
          <w:rStyle w:val="Emphasis"/>
          <w:rFonts w:eastAsia="Times New Roman"/>
          <w:bCs w:val="0"/>
        </w:rPr>
        <w:t xml:space="preserve"> </w:t>
      </w:r>
      <w:r w:rsidRPr="00A821B8">
        <w:rPr>
          <w:rStyle w:val="Emphasis"/>
          <w:rFonts w:eastAsia="Times New Roman"/>
          <w:b/>
        </w:rPr>
        <w:t>pallidum</w:t>
      </w:r>
      <w:r>
        <w:rPr>
          <w:rFonts w:eastAsia="Times New Roman"/>
        </w:rPr>
        <w:t xml:space="preserve"> strains account for </w:t>
      </w:r>
      <w:proofErr w:type="gramStart"/>
      <w:r>
        <w:rPr>
          <w:rFonts w:eastAsia="Times New Roman"/>
        </w:rPr>
        <w:t>the majority of</w:t>
      </w:r>
      <w:proofErr w:type="gramEnd"/>
      <w:r>
        <w:rPr>
          <w:rFonts w:eastAsia="Times New Roman"/>
        </w:rPr>
        <w:t xml:space="preserve"> syphilis infections, including among females, in Queensland, Australia </w:t>
      </w:r>
    </w:p>
    <w:p w14:paraId="76F4BE41" w14:textId="77777777" w:rsidR="004332E9" w:rsidRDefault="004332E9" w:rsidP="004332E9">
      <w:r>
        <w:t xml:space="preserve">Emma L Sweeney, Kym Lowry, Mandy </w:t>
      </w:r>
      <w:proofErr w:type="spellStart"/>
      <w:r>
        <w:t>Seel</w:t>
      </w:r>
      <w:proofErr w:type="spellEnd"/>
      <w:r>
        <w:t xml:space="preserve">, </w:t>
      </w:r>
      <w:proofErr w:type="spellStart"/>
      <w:r>
        <w:t>Frashta</w:t>
      </w:r>
      <w:proofErr w:type="spellEnd"/>
      <w:r>
        <w:t xml:space="preserve"> Rahimi, Julian Langton-Lockton, Cheryl </w:t>
      </w:r>
      <w:proofErr w:type="spellStart"/>
      <w:r>
        <w:t>Bletchly</w:t>
      </w:r>
      <w:proofErr w:type="spellEnd"/>
      <w:r>
        <w:t xml:space="preserve">, Graeme R Nimmo and David M Whiley </w:t>
      </w:r>
    </w:p>
    <w:p w14:paraId="2633BD73" w14:textId="77777777" w:rsidR="004332E9" w:rsidRPr="004332E9" w:rsidRDefault="004332E9" w:rsidP="004332E9">
      <w:pPr>
        <w:pStyle w:val="Heading1"/>
      </w:pPr>
      <w:r w:rsidRPr="004332E9">
        <w:t xml:space="preserve">Abstract </w:t>
      </w:r>
    </w:p>
    <w:p w14:paraId="29F7A5BE" w14:textId="77777777" w:rsidR="004332E9" w:rsidRDefault="004332E9" w:rsidP="004332E9">
      <w:r>
        <w:t xml:space="preserve">An ongoing outbreak of syphilis in Australia, first reported in the state of Queensland in 2011, has led to increasing cases of congenital syphilis, including several deaths. Here, we applied multi-locus sequence typing (MLST) on available </w:t>
      </w:r>
      <w:r w:rsidRPr="00A821B8">
        <w:rPr>
          <w:rStyle w:val="Emphasis"/>
          <w:b w:val="0"/>
          <w:bCs w:val="0"/>
        </w:rPr>
        <w:t>Treponema pallidum</w:t>
      </w:r>
      <w:r>
        <w:t xml:space="preserve"> PCR-positive samples from the state of Queensland from the beginning of the outbreak to July 2020. In total, 393 samples from 337 males and 56 females were genotyped. Of 36 different </w:t>
      </w:r>
      <w:r w:rsidRPr="00A821B8">
        <w:rPr>
          <w:rStyle w:val="Emphasis"/>
          <w:b w:val="0"/>
          <w:bCs w:val="0"/>
        </w:rPr>
        <w:t>Treponema pallidum</w:t>
      </w:r>
      <w:r>
        <w:t xml:space="preserve"> sequence types (ST) observed, the two most common STs, ST 1 (also reported to be a dominant strain in various other countries) and ST 100 (the latter differing from ST 1 by only one single nucleotide polymorphism (SNP) based on the MLST scheme), together comprised 69% (271/393) of all samples, including </w:t>
      </w:r>
      <w:proofErr w:type="gramStart"/>
      <w:r>
        <w:t>the majority of</w:t>
      </w:r>
      <w:proofErr w:type="gramEnd"/>
      <w:r>
        <w:t xml:space="preserve"> samples in females (79%; 44/56). ST 1 was prevalent throughout the entire study period. Both strains remained the most common STs during the year 2020 where social distancing and other measures were implemented due to the COVID-19 pandemic. Both STs had high male-to-female ratios and included male rectal infections, therefore suggestive of occurrence primarily among men-who-have-sex-with-men (MSM). Hence, bridging from MSM to heterosexual networks may potentially contribute to infections among females, but further studies are needed to confirm this. Overall, there was considerable diversity of </w:t>
      </w:r>
      <w:r w:rsidRPr="00A821B8">
        <w:rPr>
          <w:rStyle w:val="Emphasis"/>
          <w:b w:val="0"/>
          <w:bCs w:val="0"/>
        </w:rPr>
        <w:t>Treponema pallidum</w:t>
      </w:r>
      <w:r>
        <w:t xml:space="preserve"> genotypes observed throughout the study period, but the fact that two key strains accounted for </w:t>
      </w:r>
      <w:proofErr w:type="gramStart"/>
      <w:r>
        <w:t>the majority of</w:t>
      </w:r>
      <w:proofErr w:type="gramEnd"/>
      <w:r>
        <w:t xml:space="preserve"> infections, including among females, stresses the need for further investigations into the transmission of these strains, and potentially a need for targeted public health interventions to better control the spread of syphilis in Queensland. </w:t>
      </w:r>
    </w:p>
    <w:p w14:paraId="1C9E3002" w14:textId="77777777" w:rsidR="004332E9" w:rsidRDefault="004332E9" w:rsidP="004332E9">
      <w:r>
        <w:t xml:space="preserve">Keywords: syphilis, </w:t>
      </w:r>
      <w:r w:rsidRPr="00A821B8">
        <w:rPr>
          <w:rStyle w:val="Emphasis"/>
          <w:b w:val="0"/>
          <w:bCs w:val="0"/>
        </w:rPr>
        <w:t xml:space="preserve">Treponema pallidum, </w:t>
      </w:r>
      <w:proofErr w:type="gramStart"/>
      <w:r>
        <w:t>sexually-transmitted</w:t>
      </w:r>
      <w:proofErr w:type="gramEnd"/>
      <w:r>
        <w:t xml:space="preserve"> infection, molecular diversity, multi-locus sequence typing, Queensland, Australia </w:t>
      </w:r>
    </w:p>
    <w:p w14:paraId="7BA4893A" w14:textId="77777777" w:rsidR="004332E9" w:rsidRPr="004332E9" w:rsidRDefault="004332E9" w:rsidP="004332E9">
      <w:pPr>
        <w:pStyle w:val="Heading1"/>
      </w:pPr>
      <w:r w:rsidRPr="004332E9">
        <w:t xml:space="preserve">Introduction </w:t>
      </w:r>
    </w:p>
    <w:p w14:paraId="7231615D" w14:textId="77777777" w:rsidR="004332E9" w:rsidRDefault="004332E9" w:rsidP="004332E9">
      <w:r w:rsidRPr="00A821B8">
        <w:rPr>
          <w:rStyle w:val="Emphasis"/>
          <w:b w:val="0"/>
          <w:bCs w:val="0"/>
        </w:rPr>
        <w:t xml:space="preserve">Treponema pallidum </w:t>
      </w:r>
      <w:r>
        <w:t xml:space="preserve">subspecies </w:t>
      </w:r>
      <w:r w:rsidRPr="00A821B8">
        <w:rPr>
          <w:rStyle w:val="Emphasis"/>
          <w:b w:val="0"/>
          <w:bCs w:val="0"/>
        </w:rPr>
        <w:t xml:space="preserve">pallidum </w:t>
      </w:r>
      <w:r>
        <w:t>is the bacterial agent responsible for syphilis. In Australia, there has been a syphilis outbreak affecting Aboriginal and Torres Strait Islander people, which originated in rural Queensland in 2011 and subsequently spread to other jurisdictions,</w:t>
      </w:r>
      <w:r>
        <w:rPr>
          <w:vertAlign w:val="superscript"/>
        </w:rPr>
        <w:t>1</w:t>
      </w:r>
      <w:r>
        <w:t xml:space="preserve"> including the Northern Territory, Western Australia and South Australia, with notification rates of syphilis increasing 135% between 2013 and 2017.</w:t>
      </w:r>
      <w:r>
        <w:rPr>
          <w:vertAlign w:val="superscript"/>
        </w:rPr>
        <w:t>2</w:t>
      </w:r>
      <w:r>
        <w:t xml:space="preserve"> Also of concern are the increasing cases of congenital syphilis, which disproportionately affect Indigenous Australians in Queensland where there have been 33 cases of confirmed congenital syphilis locally, with 12 deaths reported as a consequence of this sexually-transmitted infection.</w:t>
      </w:r>
      <w:r>
        <w:rPr>
          <w:vertAlign w:val="superscript"/>
        </w:rPr>
        <w:t>1,3</w:t>
      </w:r>
      <w:r>
        <w:t xml:space="preserve"> Due to the widespread nature and severity of this disease in Australia, a number of public health measures and awareness campaigns have been established; however, the outbreak continues to evolve. Overall, notification rates have continued to rise, partly fuelled by a change in the epidemiology of syphilis infection, as denoted by a rise in syphilis infections in urban, non-Indigenous people. Initially this was observed in men-who-have-sex-with-men (MSM); however, in the last two years there has been a sustained increase in the number of women with infectious syphilis and an associated re-emergence of congenital syphilis in urban, non-</w:t>
      </w:r>
      <w:r>
        <w:lastRenderedPageBreak/>
        <w:t>Indigenous Australian-born women.</w:t>
      </w:r>
      <w:r>
        <w:rPr>
          <w:vertAlign w:val="superscript"/>
        </w:rPr>
        <w:t>1</w:t>
      </w:r>
      <w:r>
        <w:t xml:space="preserve"> The relationship, if any, between syphilis infections in these populations is currently unknown. </w:t>
      </w:r>
    </w:p>
    <w:p w14:paraId="6B71312E" w14:textId="77777777" w:rsidR="004332E9" w:rsidRDefault="004332E9" w:rsidP="004332E9">
      <w:r>
        <w:t xml:space="preserve">Molecular typing is a valuable tool that has been used for a variety of bacterial </w:t>
      </w:r>
      <w:proofErr w:type="gramStart"/>
      <w:r>
        <w:t>pathogens, and</w:t>
      </w:r>
      <w:proofErr w:type="gramEnd"/>
      <w:r>
        <w:t xml:space="preserve"> can be used to explore transmission dynamics. A multi-locus sequence typing (MLST) scheme and associated public database was recently established for syphilis,</w:t>
      </w:r>
      <w:r>
        <w:rPr>
          <w:vertAlign w:val="superscript"/>
        </w:rPr>
        <w:t>4</w:t>
      </w:r>
      <w:r>
        <w:t xml:space="preserve"> and has since been used to understand the diversity of syphilis strains in various locations across Europe, North America, Asia and South America, and more recently in France, Switzerland, the Czech Republic and Cuba.</w:t>
      </w:r>
      <w:r>
        <w:rPr>
          <w:vertAlign w:val="superscript"/>
        </w:rPr>
        <w:t>4–7</w:t>
      </w:r>
      <w:r>
        <w:t xml:space="preserve"> These studies have highlighted that the genetic diversity was surprisingly high, suggesting these molecular typing tools may be useful in analysis of community transmission and sexual networks in syphilis infections; as yet, this MLST scheme has not been utilised in Australia. </w:t>
      </w:r>
    </w:p>
    <w:p w14:paraId="7078B069" w14:textId="77777777" w:rsidR="004332E9" w:rsidRDefault="004332E9" w:rsidP="004332E9">
      <w:r>
        <w:t xml:space="preserve">Here we sought to better understand the transmission of syphilis strains in Queensland, Australia, in the context of the ongoing syphilis outbreak in Queensland, as well as assessing any potential impacts of strong public health measures that were put in place due to COVID-19. We performed MLST studies on available syphilis samples, obtained from Pathology Queensland, dating from the beginning of the Queensland outbreak until July 2020, and mapped individual syphilis cases geographically and temporally. </w:t>
      </w:r>
    </w:p>
    <w:p w14:paraId="6114B257" w14:textId="77777777" w:rsidR="004332E9" w:rsidRPr="004332E9" w:rsidRDefault="004332E9" w:rsidP="004332E9">
      <w:pPr>
        <w:pStyle w:val="Heading1"/>
      </w:pPr>
      <w:r w:rsidRPr="004332E9">
        <w:t xml:space="preserve">Methods </w:t>
      </w:r>
    </w:p>
    <w:p w14:paraId="720A99BB" w14:textId="77777777" w:rsidR="004332E9" w:rsidRPr="004332E9" w:rsidRDefault="004332E9" w:rsidP="004332E9">
      <w:pPr>
        <w:pStyle w:val="Heading2"/>
      </w:pPr>
      <w:r w:rsidRPr="004332E9">
        <w:t xml:space="preserve">Sample bank </w:t>
      </w:r>
    </w:p>
    <w:p w14:paraId="1BB88AE1" w14:textId="77777777" w:rsidR="004332E9" w:rsidRDefault="004332E9" w:rsidP="004332E9">
      <w:r>
        <w:t xml:space="preserve">A total of 570 syphilis polymerase chain reaction (PCR) positive samples from the last decade were included in this study: 2011 (n = 82); 2012 (n = 4); 2016 (n = 1); 2017 (n = 65); and from 2018 to July 2020 (n = 418). All samples tested positive for syphilis by routine diagnostic real-time PCR assays targeting the </w:t>
      </w:r>
      <w:r w:rsidRPr="00A821B8">
        <w:rPr>
          <w:rStyle w:val="Emphasis"/>
          <w:b w:val="0"/>
          <w:bCs w:val="0"/>
        </w:rPr>
        <w:t xml:space="preserve">Treponema pallidum </w:t>
      </w:r>
      <w:r>
        <w:t>species specific TP47 gene.</w:t>
      </w:r>
      <w:r>
        <w:rPr>
          <w:vertAlign w:val="superscript"/>
        </w:rPr>
        <w:t>8</w:t>
      </w:r>
      <w:r>
        <w:t xml:space="preserve"> The study was approved by the Children’s Health Queensland Human Research Ethics Committee (HREC/12/QRCH/69) and all methods were performed in accordance with the relevant guidelines/approvals. Informed consent from patients was not required (as per the ethics approval) as these samples were already being submitted for routine diagnostic testing and there was no known or likely reason for thinking that patients would not consent to the samples’ involvement in research, particularly since it carries no more than low risk to participants. Available patient information as per HREC approval included gender, age group (note that as per our HREC approval, precise age was available for persons &lt; 18 years of age and all such ages were rounded to ‘&lt; 18 years’), specimen site, date of sample collection and region of Queensland. Owing to Queensland’s large land mass and decentralised population, we divided the state into distinct regions for the purposes of assessing transmission dynamics; South-East Queensland (SEQ, which includes the cities of Brisbane [the capital of Queensland] and the Gold Coast) and Northern Queensland (NQ, including the cities of Townsville and Cairns, as well as surrounding rural and remote communities). </w:t>
      </w:r>
    </w:p>
    <w:p w14:paraId="11B49B9A" w14:textId="77777777" w:rsidR="004332E9" w:rsidRPr="004332E9" w:rsidRDefault="004332E9" w:rsidP="004332E9">
      <w:pPr>
        <w:pStyle w:val="Heading2"/>
      </w:pPr>
      <w:r w:rsidRPr="004332E9">
        <w:t xml:space="preserve">MLST typing </w:t>
      </w:r>
    </w:p>
    <w:p w14:paraId="58C22FD2" w14:textId="77777777" w:rsidR="004332E9" w:rsidRDefault="004332E9" w:rsidP="004332E9">
      <w:r>
        <w:t xml:space="preserve">PCR and Sanger sequencing of the TP0136, TP0548 and TP0705 loci was performed as per the MLST scheme proposed by </w:t>
      </w:r>
      <w:proofErr w:type="spellStart"/>
      <w:r>
        <w:t>Grillova</w:t>
      </w:r>
      <w:proofErr w:type="spellEnd"/>
      <w:r>
        <w:t xml:space="preserve"> et al.</w:t>
      </w:r>
      <w:r>
        <w:rPr>
          <w:vertAlign w:val="superscript"/>
        </w:rPr>
        <w:t>5</w:t>
      </w:r>
      <w:r>
        <w:t xml:space="preserve"> Cleaned and trimmed sequences of each of the target genes were compared to those available within the </w:t>
      </w:r>
      <w:proofErr w:type="spellStart"/>
      <w:r>
        <w:t>PubMLST</w:t>
      </w:r>
      <w:proofErr w:type="spellEnd"/>
      <w:r>
        <w:t xml:space="preserve"> database for </w:t>
      </w:r>
      <w:r w:rsidRPr="00A821B8">
        <w:rPr>
          <w:rStyle w:val="Emphasis"/>
          <w:b w:val="0"/>
          <w:bCs w:val="0"/>
        </w:rPr>
        <w:t xml:space="preserve">T. pallidum </w:t>
      </w:r>
      <w:r>
        <w:t xml:space="preserve">subspecies </w:t>
      </w:r>
      <w:r w:rsidRPr="00A821B8">
        <w:rPr>
          <w:rStyle w:val="Emphasis"/>
          <w:b w:val="0"/>
          <w:bCs w:val="0"/>
        </w:rPr>
        <w:t>pallidum</w:t>
      </w:r>
      <w:r>
        <w:t xml:space="preserve">. Novel sequence types were formally submitted to the database and new sequence type numbers assigned. </w:t>
      </w:r>
    </w:p>
    <w:p w14:paraId="2CB17311" w14:textId="77777777" w:rsidR="004332E9" w:rsidRPr="004332E9" w:rsidRDefault="004332E9" w:rsidP="004332E9">
      <w:pPr>
        <w:pStyle w:val="Heading2"/>
      </w:pPr>
      <w:r w:rsidRPr="004332E9">
        <w:t xml:space="preserve">Antimicrobial resistance screening </w:t>
      </w:r>
    </w:p>
    <w:p w14:paraId="2E981C9B" w14:textId="77777777" w:rsidR="004332E9" w:rsidRDefault="004332E9" w:rsidP="004332E9">
      <w:r w:rsidRPr="00A821B8">
        <w:rPr>
          <w:rStyle w:val="Emphasis"/>
          <w:b w:val="0"/>
          <w:bCs w:val="0"/>
        </w:rPr>
        <w:t xml:space="preserve">T. pallidum </w:t>
      </w:r>
      <w:r>
        <w:t xml:space="preserve">macrolide resistance was determined using </w:t>
      </w:r>
      <w:proofErr w:type="gramStart"/>
      <w:r>
        <w:t>previously-published</w:t>
      </w:r>
      <w:proofErr w:type="gramEnd"/>
      <w:r>
        <w:t xml:space="preserve"> PCR primers,</w:t>
      </w:r>
      <w:r>
        <w:rPr>
          <w:vertAlign w:val="superscript"/>
        </w:rPr>
        <w:t>9</w:t>
      </w:r>
      <w:r>
        <w:t xml:space="preserve"> followed by Sanger sequencing to identify the single nucleotide polymorphisms (SNPs) in the 23S rRNA gene which are known to confer high-level resistance to macrolides. We also screened representative samples from each unique sequence type for the presence of putative markers of tetracycline resistance in the 16S rRNA gene using </w:t>
      </w:r>
      <w:proofErr w:type="gramStart"/>
      <w:r>
        <w:t>previously-published</w:t>
      </w:r>
      <w:proofErr w:type="gramEnd"/>
      <w:r>
        <w:t xml:space="preserve"> PCR </w:t>
      </w:r>
      <w:r>
        <w:lastRenderedPageBreak/>
        <w:t>primers,</w:t>
      </w:r>
      <w:r>
        <w:rPr>
          <w:vertAlign w:val="superscript"/>
        </w:rPr>
        <w:t>10</w:t>
      </w:r>
      <w:r>
        <w:t xml:space="preserve"> noting that these markers have been identified in other species but as yet there is limited data associating these mutations with resistance in </w:t>
      </w:r>
      <w:r w:rsidRPr="00A821B8">
        <w:rPr>
          <w:rStyle w:val="Emphasis"/>
          <w:b w:val="0"/>
          <w:bCs w:val="0"/>
        </w:rPr>
        <w:t>T. pallidum</w:t>
      </w:r>
      <w:r>
        <w:t xml:space="preserve">. </w:t>
      </w:r>
    </w:p>
    <w:p w14:paraId="1C8E4073" w14:textId="77777777" w:rsidR="004332E9" w:rsidRPr="004332E9" w:rsidRDefault="004332E9" w:rsidP="004332E9">
      <w:pPr>
        <w:pStyle w:val="Heading2"/>
      </w:pPr>
      <w:r w:rsidRPr="004332E9">
        <w:t xml:space="preserve">Phylogenetic analysis </w:t>
      </w:r>
    </w:p>
    <w:p w14:paraId="184B42F6" w14:textId="77777777" w:rsidR="004332E9" w:rsidRDefault="004332E9" w:rsidP="004332E9">
      <w:r>
        <w:t xml:space="preserve">Sequences were imported, </w:t>
      </w:r>
      <w:proofErr w:type="gramStart"/>
      <w:r>
        <w:t>concatenated</w:t>
      </w:r>
      <w:proofErr w:type="gramEnd"/>
      <w:r>
        <w:t xml:space="preserve"> and aligned using </w:t>
      </w:r>
      <w:proofErr w:type="spellStart"/>
      <w:r>
        <w:t>Geneious</w:t>
      </w:r>
      <w:proofErr w:type="spellEnd"/>
      <w:r>
        <w:t xml:space="preserve"> Prime software (version 2020.0.3). Maximum likelihood (</w:t>
      </w:r>
      <w:proofErr w:type="spellStart"/>
      <w:r>
        <w:t>PhyML</w:t>
      </w:r>
      <w:proofErr w:type="spellEnd"/>
      <w:r>
        <w:t xml:space="preserve">) trees were generated using the </w:t>
      </w:r>
      <w:proofErr w:type="spellStart"/>
      <w:r>
        <w:t>PhyML</w:t>
      </w:r>
      <w:proofErr w:type="spellEnd"/>
      <w:r>
        <w:t xml:space="preserve"> plugin within </w:t>
      </w:r>
      <w:proofErr w:type="spellStart"/>
      <w:r>
        <w:t>Geneious</w:t>
      </w:r>
      <w:proofErr w:type="spellEnd"/>
      <w:r>
        <w:t xml:space="preserve">, with default settings, using the Tamura </w:t>
      </w:r>
      <w:proofErr w:type="spellStart"/>
      <w:r>
        <w:t>Nei</w:t>
      </w:r>
      <w:proofErr w:type="spellEnd"/>
      <w:r>
        <w:t xml:space="preserve"> model. Trees were visualised and annotated using the interactive Tree of Life (</w:t>
      </w:r>
      <w:proofErr w:type="spellStart"/>
      <w:r>
        <w:t>iTOL</w:t>
      </w:r>
      <w:proofErr w:type="spellEnd"/>
      <w:r>
        <w:t xml:space="preserve">). </w:t>
      </w:r>
    </w:p>
    <w:p w14:paraId="1A54A046" w14:textId="77777777" w:rsidR="004332E9" w:rsidRDefault="004332E9" w:rsidP="004332E9">
      <w:r>
        <w:t xml:space="preserve">Prevalence and transmission of syphilis genotypes over time were graphed using RStudio (Version 4.0.2). </w:t>
      </w:r>
    </w:p>
    <w:p w14:paraId="3B956D27" w14:textId="77777777" w:rsidR="004332E9" w:rsidRPr="004332E9" w:rsidRDefault="004332E9" w:rsidP="004332E9">
      <w:pPr>
        <w:pStyle w:val="Heading1"/>
      </w:pPr>
      <w:r w:rsidRPr="004332E9">
        <w:t xml:space="preserve">Results </w:t>
      </w:r>
    </w:p>
    <w:p w14:paraId="6E895532" w14:textId="77777777" w:rsidR="004332E9" w:rsidRDefault="004332E9" w:rsidP="004332E9">
      <w:r>
        <w:t xml:space="preserve">A total of 570 samples were genotyped as part of this study. Of these, 139 had incomplete genotyping results, predominantly as a result of low-load syphilis </w:t>
      </w:r>
      <w:proofErr w:type="gramStart"/>
      <w:r>
        <w:t>infections, and</w:t>
      </w:r>
      <w:proofErr w:type="gramEnd"/>
      <w:r>
        <w:t xml:space="preserve"> were removed from further analyses. An additional seven samples were removed from the dataset as they were suspected to be to other </w:t>
      </w:r>
      <w:r w:rsidRPr="00A821B8">
        <w:rPr>
          <w:rStyle w:val="Emphasis"/>
          <w:b w:val="0"/>
          <w:bCs w:val="0"/>
        </w:rPr>
        <w:t xml:space="preserve">T. pallidum </w:t>
      </w:r>
      <w:r>
        <w:t xml:space="preserve">subspecies, based on a combination of </w:t>
      </w:r>
      <w:proofErr w:type="spellStart"/>
      <w:r>
        <w:t>PubMLST</w:t>
      </w:r>
      <w:proofErr w:type="spellEnd"/>
      <w:r>
        <w:t xml:space="preserve"> database information and subsequent BLAST searches of the genotyping targets. Of the remaining samples, 31 samples were found to be additional subsequent specimens from patients already included in the dataset and were removed, leaving only a single sample from each patient. Based on this, a final dataset of 393 samples were analysed. </w:t>
      </w:r>
    </w:p>
    <w:p w14:paraId="25964BD0" w14:textId="77777777" w:rsidR="004332E9" w:rsidRPr="004332E9" w:rsidRDefault="004332E9" w:rsidP="004332E9">
      <w:pPr>
        <w:pStyle w:val="Heading2"/>
      </w:pPr>
      <w:r w:rsidRPr="004332E9">
        <w:t xml:space="preserve">Patient population </w:t>
      </w:r>
    </w:p>
    <w:p w14:paraId="11E72CBA" w14:textId="77777777" w:rsidR="004332E9" w:rsidRDefault="004332E9" w:rsidP="004332E9">
      <w:r>
        <w:t xml:space="preserve">The majority of the 393 genotyped samples were from young people between the ages of 21–40 years (Appendix A, Table A.1) and were predominantly males (n = 337; 85.5%), with only 56 females in the dataset (Appendix A, Table A.2). The study included a variety of sample types, most commonly genital/labial samples from females and oropharyngeal/penile samples from males (Table A.2). Of the samples, 182 (46.3%) samples were isolated from patients residing in SEQ, while 74 (18.8%) were from NQ and a further 137 (34.9%) samples were from unspecified regions within Queensland. </w:t>
      </w:r>
    </w:p>
    <w:p w14:paraId="6CAB9DF4" w14:textId="77777777" w:rsidR="004332E9" w:rsidRPr="004332E9" w:rsidRDefault="004332E9" w:rsidP="004332E9">
      <w:pPr>
        <w:pStyle w:val="Heading2"/>
      </w:pPr>
      <w:r w:rsidRPr="004332E9">
        <w:t xml:space="preserve">MLST typing </w:t>
      </w:r>
    </w:p>
    <w:p w14:paraId="0ED7974C" w14:textId="77777777" w:rsidR="004332E9" w:rsidRDefault="004332E9" w:rsidP="004332E9">
      <w:r>
        <w:t xml:space="preserve">Of the 393 patient samples in our dataset with complete MLST typing results, we identified a total of 36 different sequence types (Figure 1; Table 1; Appendix A, Figure A.1). Of the 36 STs observed in this study, 23 were novel and one sample harboured a mixture of ST 1 and novel ST 100. The majority of STs (n = 28; 78%) belonged to the SS-14-like clonal complex; the remaining eight STs (22%) belonged to the Nichols-like clonal complex (Table 1). Of the 36 STs, 15 were present in two or more patients, whereas 21 were singletons (only observed in one patient). The top eight STs (ST 1; 100; 3; 26; 11; 2; 6; 103) comprised 89% of all samples. These mainly included males, with the proportions of females for each of these top eight STs ranging from 0% (0/10) to 19.8% (35/177). Two STs comprised 79% (44/56) of all samples from females; ST 1 (n = 35 females) and the </w:t>
      </w:r>
      <w:proofErr w:type="gramStart"/>
      <w:r>
        <w:t>closely-related</w:t>
      </w:r>
      <w:proofErr w:type="gramEnd"/>
      <w:r>
        <w:t xml:space="preserve"> ST 100 (n = 9 females). These trends held for both remote and urban areas (for samples where region was known), with these two strains comprising 86% (25/29) and 50% (6/12) of samples from females in NQ and SEQ areas, respectively. By using rectal samples from males as a proxy for MSM status (n = 31 in the dataset), we identified that several of the most common syphilis STs (ST 1; 100; 3, 26; 11; 6; 27) were present among both MSM and females, suggesting bridging of sexual networks (Figure 2; green dots). A comparison of the STs identified here with those already on the </w:t>
      </w:r>
      <w:proofErr w:type="spellStart"/>
      <w:r>
        <w:t>PubMLST</w:t>
      </w:r>
      <w:proofErr w:type="spellEnd"/>
      <w:r>
        <w:t xml:space="preserve"> database are presented in Figure A.1; in brief, 11 </w:t>
      </w:r>
      <w:proofErr w:type="gramStart"/>
      <w:r>
        <w:t>previously-identified</w:t>
      </w:r>
      <w:proofErr w:type="gramEnd"/>
      <w:r>
        <w:t xml:space="preserve"> STs were identified within our Queensland dataset. </w:t>
      </w:r>
    </w:p>
    <w:p w14:paraId="64E18E09" w14:textId="77777777" w:rsidR="009C543A" w:rsidRDefault="009C543A" w:rsidP="004332E9">
      <w:pPr>
        <w:pStyle w:val="Heading2"/>
        <w:sectPr w:rsidR="009C543A"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4ACB5D6C" w14:textId="77777777" w:rsidR="009C543A" w:rsidRPr="004D6ED6" w:rsidRDefault="009C543A" w:rsidP="009C543A">
      <w:pPr>
        <w:pStyle w:val="CDIFigures"/>
      </w:pPr>
      <w:r w:rsidRPr="004D6ED6">
        <w:rPr>
          <w:rStyle w:val="Strong"/>
          <w:b/>
          <w:bCs w:val="0"/>
        </w:rPr>
        <w:lastRenderedPageBreak/>
        <w:t xml:space="preserve">Table 1. Sequence types among the 393 fully typed </w:t>
      </w:r>
      <w:r w:rsidRPr="00CA7712">
        <w:rPr>
          <w:rStyle w:val="Strong"/>
          <w:b/>
          <w:bCs w:val="0"/>
          <w:i/>
          <w:iCs/>
        </w:rPr>
        <w:t>T. pallidum</w:t>
      </w:r>
      <w:r w:rsidRPr="004D6ED6">
        <w:rPr>
          <w:rStyle w:val="Strong"/>
          <w:b/>
          <w:bCs w:val="0"/>
        </w:rPr>
        <w:t xml:space="preserve"> subsp. </w:t>
      </w:r>
      <w:r w:rsidRPr="00CA7712">
        <w:rPr>
          <w:rStyle w:val="Strong"/>
          <w:b/>
          <w:bCs w:val="0"/>
          <w:i/>
          <w:iCs/>
        </w:rPr>
        <w:t>pallidum</w:t>
      </w:r>
      <w:r w:rsidRPr="004D6ED6">
        <w:rPr>
          <w:rStyle w:val="Strong"/>
          <w:b/>
          <w:bCs w:val="0"/>
        </w:rPr>
        <w:t xml:space="preserve"> samples</w:t>
      </w:r>
    </w:p>
    <w:tbl>
      <w:tblPr>
        <w:tblStyle w:val="CDI-StandardTable"/>
        <w:tblW w:w="0" w:type="auto"/>
        <w:tblLook w:val="04A0" w:firstRow="1" w:lastRow="0" w:firstColumn="1" w:lastColumn="0" w:noHBand="0" w:noVBand="1"/>
        <w:tblDescription w:val="Sequence types among the 393 fully typed T. pallidum subsp. pallidum samples"/>
      </w:tblPr>
      <w:tblGrid>
        <w:gridCol w:w="3261"/>
        <w:gridCol w:w="1134"/>
        <w:gridCol w:w="1134"/>
        <w:gridCol w:w="1134"/>
        <w:gridCol w:w="1559"/>
        <w:gridCol w:w="1984"/>
        <w:gridCol w:w="1560"/>
        <w:gridCol w:w="1417"/>
        <w:gridCol w:w="1577"/>
      </w:tblGrid>
      <w:tr w:rsidR="009C543A" w:rsidRPr="00A14162" w14:paraId="0DA127E1" w14:textId="77777777" w:rsidTr="009C543A">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tcBorders>
              <w:bottom w:val="single" w:sz="2" w:space="0" w:color="FFFFFF" w:themeColor="background1"/>
              <w:right w:val="single" w:sz="2" w:space="0" w:color="FFFFFF" w:themeColor="background1"/>
            </w:tcBorders>
            <w:vAlign w:val="center"/>
            <w:hideMark/>
          </w:tcPr>
          <w:p w14:paraId="76CBD2F8" w14:textId="77777777" w:rsidR="009C543A" w:rsidRPr="00A14162" w:rsidRDefault="009C543A" w:rsidP="00A14162">
            <w:pPr>
              <w:pStyle w:val="NormalWeb"/>
              <w:rPr>
                <w:color w:val="FFFFFF" w:themeColor="background1"/>
                <w:sz w:val="20"/>
                <w:szCs w:val="20"/>
              </w:rPr>
            </w:pPr>
            <w:r w:rsidRPr="00A14162">
              <w:rPr>
                <w:color w:val="FFFFFF" w:themeColor="background1"/>
                <w:sz w:val="20"/>
                <w:szCs w:val="20"/>
              </w:rPr>
              <w:t>Sequence type</w:t>
            </w:r>
          </w:p>
        </w:tc>
        <w:tc>
          <w:tcPr>
            <w:tcW w:w="3402" w:type="dxa"/>
            <w:gridSpan w:val="3"/>
            <w:tcBorders>
              <w:left w:val="single" w:sz="2" w:space="0" w:color="FFFFFF" w:themeColor="background1"/>
              <w:bottom w:val="single" w:sz="2" w:space="0" w:color="FFFFFF" w:themeColor="background1"/>
              <w:right w:val="single" w:sz="2" w:space="0" w:color="FFFFFF" w:themeColor="background1"/>
            </w:tcBorders>
            <w:vAlign w:val="center"/>
            <w:hideMark/>
          </w:tcPr>
          <w:p w14:paraId="04697307"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Allelic types</w:t>
            </w:r>
          </w:p>
        </w:tc>
        <w:tc>
          <w:tcPr>
            <w:tcW w:w="1559"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5C6E7BA1"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Clonal complex</w:t>
            </w:r>
          </w:p>
        </w:tc>
        <w:tc>
          <w:tcPr>
            <w:tcW w:w="1984" w:type="dxa"/>
            <w:tcBorders>
              <w:left w:val="single" w:sz="2" w:space="0" w:color="FFFFFF" w:themeColor="background1"/>
              <w:bottom w:val="single" w:sz="2" w:space="0" w:color="FFFFFF" w:themeColor="background1"/>
              <w:right w:val="single" w:sz="2" w:space="0" w:color="FFFFFF" w:themeColor="background1"/>
            </w:tcBorders>
            <w:vAlign w:val="center"/>
            <w:hideMark/>
          </w:tcPr>
          <w:p w14:paraId="1589B026"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Samples N = 393</w:t>
            </w:r>
          </w:p>
        </w:tc>
        <w:tc>
          <w:tcPr>
            <w:tcW w:w="4554" w:type="dxa"/>
            <w:gridSpan w:val="3"/>
            <w:tcBorders>
              <w:left w:val="single" w:sz="2" w:space="0" w:color="FFFFFF" w:themeColor="background1"/>
              <w:bottom w:val="single" w:sz="2" w:space="0" w:color="FFFFFF" w:themeColor="background1"/>
            </w:tcBorders>
            <w:vAlign w:val="center"/>
            <w:hideMark/>
          </w:tcPr>
          <w:p w14:paraId="5E37616B"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Macrolide resistance mutations (%)</w:t>
            </w:r>
          </w:p>
        </w:tc>
      </w:tr>
      <w:tr w:rsidR="009C543A" w:rsidRPr="00A14162" w14:paraId="19DF4E14" w14:textId="77777777" w:rsidTr="009C543A">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right w:val="single" w:sz="2" w:space="0" w:color="FFFFFF" w:themeColor="background1"/>
            </w:tcBorders>
            <w:vAlign w:val="center"/>
            <w:hideMark/>
          </w:tcPr>
          <w:p w14:paraId="7A83ACB0" w14:textId="77777777" w:rsidR="009C543A" w:rsidRPr="00A14162" w:rsidRDefault="009C543A" w:rsidP="00A14162">
            <w:pPr>
              <w:jc w:val="center"/>
              <w:rPr>
                <w:color w:val="FFFFFF" w:themeColor="background1"/>
                <w:sz w:val="20"/>
                <w:szCs w:val="20"/>
              </w:rPr>
            </w:pPr>
          </w:p>
        </w:tc>
        <w:tc>
          <w:tcPr>
            <w:tcW w:w="1134" w:type="dxa"/>
            <w:tcBorders>
              <w:top w:val="single" w:sz="2" w:space="0" w:color="FFFFFF" w:themeColor="background1"/>
              <w:left w:val="single" w:sz="2" w:space="0" w:color="FFFFFF" w:themeColor="background1"/>
              <w:right w:val="single" w:sz="2" w:space="0" w:color="FFFFFF" w:themeColor="background1"/>
            </w:tcBorders>
            <w:vAlign w:val="center"/>
            <w:hideMark/>
          </w:tcPr>
          <w:p w14:paraId="2884E6DB"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TP0136</w:t>
            </w:r>
          </w:p>
        </w:tc>
        <w:tc>
          <w:tcPr>
            <w:tcW w:w="1134" w:type="dxa"/>
            <w:tcBorders>
              <w:top w:val="single" w:sz="2" w:space="0" w:color="FFFFFF" w:themeColor="background1"/>
              <w:left w:val="single" w:sz="2" w:space="0" w:color="FFFFFF" w:themeColor="background1"/>
              <w:right w:val="single" w:sz="2" w:space="0" w:color="FFFFFF" w:themeColor="background1"/>
            </w:tcBorders>
            <w:vAlign w:val="center"/>
            <w:hideMark/>
          </w:tcPr>
          <w:p w14:paraId="0D993069"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TP0548</w:t>
            </w:r>
          </w:p>
        </w:tc>
        <w:tc>
          <w:tcPr>
            <w:tcW w:w="1134" w:type="dxa"/>
            <w:tcBorders>
              <w:top w:val="single" w:sz="2" w:space="0" w:color="FFFFFF" w:themeColor="background1"/>
              <w:left w:val="single" w:sz="2" w:space="0" w:color="FFFFFF" w:themeColor="background1"/>
              <w:right w:val="single" w:sz="2" w:space="0" w:color="FFFFFF" w:themeColor="background1"/>
            </w:tcBorders>
            <w:vAlign w:val="center"/>
            <w:hideMark/>
          </w:tcPr>
          <w:p w14:paraId="48E2DF3F"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TP0705</w:t>
            </w:r>
          </w:p>
        </w:tc>
        <w:tc>
          <w:tcPr>
            <w:tcW w:w="1559"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429B4915" w14:textId="77777777" w:rsidR="009C543A" w:rsidRPr="00A14162" w:rsidRDefault="009C543A" w:rsidP="00A14162">
            <w:pPr>
              <w:jc w:val="center"/>
              <w:rPr>
                <w:color w:val="FFFFFF" w:themeColor="background1"/>
                <w:sz w:val="20"/>
                <w:szCs w:val="20"/>
              </w:rPr>
            </w:pPr>
          </w:p>
        </w:tc>
        <w:tc>
          <w:tcPr>
            <w:tcW w:w="1984" w:type="dxa"/>
            <w:tcBorders>
              <w:top w:val="single" w:sz="2" w:space="0" w:color="FFFFFF" w:themeColor="background1"/>
              <w:left w:val="single" w:sz="2" w:space="0" w:color="FFFFFF" w:themeColor="background1"/>
              <w:right w:val="single" w:sz="2" w:space="0" w:color="FFFFFF" w:themeColor="background1"/>
            </w:tcBorders>
            <w:vAlign w:val="center"/>
            <w:hideMark/>
          </w:tcPr>
          <w:p w14:paraId="5A4F7242"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(Male/Female)</w:t>
            </w:r>
          </w:p>
        </w:tc>
        <w:tc>
          <w:tcPr>
            <w:tcW w:w="1560" w:type="dxa"/>
            <w:tcBorders>
              <w:top w:val="single" w:sz="2" w:space="0" w:color="FFFFFF" w:themeColor="background1"/>
              <w:left w:val="single" w:sz="2" w:space="0" w:color="FFFFFF" w:themeColor="background1"/>
              <w:right w:val="single" w:sz="2" w:space="0" w:color="FFFFFF" w:themeColor="background1"/>
            </w:tcBorders>
            <w:vAlign w:val="center"/>
            <w:hideMark/>
          </w:tcPr>
          <w:p w14:paraId="34DF40B1"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No mutation</w:t>
            </w:r>
          </w:p>
        </w:tc>
        <w:tc>
          <w:tcPr>
            <w:tcW w:w="1417" w:type="dxa"/>
            <w:tcBorders>
              <w:top w:val="single" w:sz="2" w:space="0" w:color="FFFFFF" w:themeColor="background1"/>
              <w:left w:val="single" w:sz="2" w:space="0" w:color="FFFFFF" w:themeColor="background1"/>
              <w:right w:val="single" w:sz="2" w:space="0" w:color="FFFFFF" w:themeColor="background1"/>
            </w:tcBorders>
            <w:vAlign w:val="center"/>
            <w:hideMark/>
          </w:tcPr>
          <w:p w14:paraId="73C1A3A9"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A2058G</w:t>
            </w:r>
          </w:p>
        </w:tc>
        <w:tc>
          <w:tcPr>
            <w:tcW w:w="1577" w:type="dxa"/>
            <w:tcBorders>
              <w:top w:val="single" w:sz="2" w:space="0" w:color="FFFFFF" w:themeColor="background1"/>
              <w:left w:val="single" w:sz="2" w:space="0" w:color="FFFFFF" w:themeColor="background1"/>
            </w:tcBorders>
            <w:vAlign w:val="center"/>
            <w:hideMark/>
          </w:tcPr>
          <w:p w14:paraId="66B070AB" w14:textId="77777777" w:rsidR="009C543A" w:rsidRPr="00A14162" w:rsidRDefault="009C543A" w:rsidP="00A14162">
            <w:pPr>
              <w:pStyle w:val="NormalWeb"/>
              <w:jc w:val="center"/>
              <w:rPr>
                <w:color w:val="FFFFFF" w:themeColor="background1"/>
                <w:sz w:val="20"/>
                <w:szCs w:val="20"/>
              </w:rPr>
            </w:pPr>
            <w:r w:rsidRPr="00A14162">
              <w:rPr>
                <w:color w:val="FFFFFF" w:themeColor="background1"/>
                <w:sz w:val="20"/>
                <w:szCs w:val="20"/>
              </w:rPr>
              <w:t>A2059G</w:t>
            </w:r>
          </w:p>
        </w:tc>
      </w:tr>
      <w:tr w:rsidR="009C543A" w:rsidRPr="00A14162" w14:paraId="6409E7E5" w14:textId="77777777" w:rsidTr="009C543A">
        <w:tblPrEx>
          <w:tblCellMar>
            <w:top w:w="57" w:type="dxa"/>
            <w:left w:w="57" w:type="dxa"/>
            <w:bottom w:w="57" w:type="dxa"/>
            <w:right w:w="57" w:type="dxa"/>
          </w:tblCellMar>
        </w:tblPrEx>
        <w:tc>
          <w:tcPr>
            <w:tcW w:w="3261" w:type="dxa"/>
            <w:hideMark/>
          </w:tcPr>
          <w:p w14:paraId="26C315B5" w14:textId="77777777" w:rsidR="009C543A" w:rsidRPr="00A14162" w:rsidRDefault="009C543A" w:rsidP="00A14162">
            <w:pPr>
              <w:pStyle w:val="NormalWeb"/>
              <w:rPr>
                <w:sz w:val="20"/>
                <w:szCs w:val="20"/>
              </w:rPr>
            </w:pPr>
            <w:r w:rsidRPr="00A14162">
              <w:rPr>
                <w:sz w:val="20"/>
                <w:szCs w:val="20"/>
              </w:rPr>
              <w:t>1</w:t>
            </w:r>
          </w:p>
        </w:tc>
        <w:tc>
          <w:tcPr>
            <w:tcW w:w="1134" w:type="dxa"/>
            <w:hideMark/>
          </w:tcPr>
          <w:p w14:paraId="25247C53"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03C23F24" w14:textId="77777777" w:rsidR="009C543A" w:rsidRPr="00A14162" w:rsidRDefault="009C543A" w:rsidP="00A14162">
            <w:pPr>
              <w:pStyle w:val="NormalWeb"/>
              <w:jc w:val="center"/>
              <w:rPr>
                <w:sz w:val="20"/>
                <w:szCs w:val="20"/>
              </w:rPr>
            </w:pPr>
            <w:r w:rsidRPr="00A14162">
              <w:rPr>
                <w:sz w:val="20"/>
                <w:szCs w:val="20"/>
              </w:rPr>
              <w:t>3</w:t>
            </w:r>
          </w:p>
        </w:tc>
        <w:tc>
          <w:tcPr>
            <w:tcW w:w="1134" w:type="dxa"/>
            <w:hideMark/>
          </w:tcPr>
          <w:p w14:paraId="4DFD0A64"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7F846EA6"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1695CBB8" w14:textId="77777777" w:rsidR="009C543A" w:rsidRPr="00A14162" w:rsidRDefault="009C543A" w:rsidP="00A14162">
            <w:pPr>
              <w:pStyle w:val="NormalWeb"/>
              <w:jc w:val="center"/>
              <w:rPr>
                <w:sz w:val="20"/>
                <w:szCs w:val="20"/>
              </w:rPr>
            </w:pPr>
            <w:r w:rsidRPr="00A14162">
              <w:rPr>
                <w:sz w:val="20"/>
                <w:szCs w:val="20"/>
              </w:rPr>
              <w:t>177 (142/35)</w:t>
            </w:r>
          </w:p>
        </w:tc>
        <w:tc>
          <w:tcPr>
            <w:tcW w:w="1560" w:type="dxa"/>
            <w:hideMark/>
          </w:tcPr>
          <w:p w14:paraId="0BB51D9A" w14:textId="77777777" w:rsidR="009C543A" w:rsidRPr="00A14162" w:rsidRDefault="009C543A" w:rsidP="00A14162">
            <w:pPr>
              <w:pStyle w:val="NormalWeb"/>
              <w:jc w:val="center"/>
              <w:rPr>
                <w:sz w:val="20"/>
                <w:szCs w:val="20"/>
              </w:rPr>
            </w:pPr>
            <w:r w:rsidRPr="00A14162">
              <w:rPr>
                <w:sz w:val="20"/>
                <w:szCs w:val="20"/>
              </w:rPr>
              <w:t>1 (0.6%)</w:t>
            </w:r>
          </w:p>
        </w:tc>
        <w:tc>
          <w:tcPr>
            <w:tcW w:w="1417" w:type="dxa"/>
            <w:hideMark/>
          </w:tcPr>
          <w:p w14:paraId="3E3D428F" w14:textId="77777777" w:rsidR="009C543A" w:rsidRPr="00A14162" w:rsidRDefault="009C543A" w:rsidP="00A14162">
            <w:pPr>
              <w:pStyle w:val="NormalWeb"/>
              <w:jc w:val="center"/>
              <w:rPr>
                <w:sz w:val="20"/>
                <w:szCs w:val="20"/>
              </w:rPr>
            </w:pPr>
            <w:r w:rsidRPr="00A14162">
              <w:rPr>
                <w:sz w:val="20"/>
                <w:szCs w:val="20"/>
              </w:rPr>
              <w:t>176 (99.4%)</w:t>
            </w:r>
          </w:p>
        </w:tc>
        <w:tc>
          <w:tcPr>
            <w:tcW w:w="1577" w:type="dxa"/>
            <w:hideMark/>
          </w:tcPr>
          <w:p w14:paraId="4F2F48D5"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57B989DB"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6B123832" w14:textId="77777777" w:rsidR="009C543A" w:rsidRPr="00A14162" w:rsidRDefault="009C543A" w:rsidP="00A14162">
            <w:pPr>
              <w:pStyle w:val="NormalWeb"/>
              <w:rPr>
                <w:sz w:val="20"/>
                <w:szCs w:val="20"/>
              </w:rPr>
            </w:pPr>
            <w:r w:rsidRPr="00A14162">
              <w:rPr>
                <w:sz w:val="20"/>
                <w:szCs w:val="20"/>
              </w:rPr>
              <w:t>100</w:t>
            </w:r>
          </w:p>
        </w:tc>
        <w:tc>
          <w:tcPr>
            <w:tcW w:w="1134" w:type="dxa"/>
            <w:hideMark/>
          </w:tcPr>
          <w:p w14:paraId="3502C79B"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46B05F72" w14:textId="77777777" w:rsidR="009C543A" w:rsidRPr="00A14162" w:rsidRDefault="009C543A" w:rsidP="00A14162">
            <w:pPr>
              <w:pStyle w:val="NormalWeb"/>
              <w:jc w:val="center"/>
              <w:rPr>
                <w:sz w:val="20"/>
                <w:szCs w:val="20"/>
              </w:rPr>
            </w:pPr>
            <w:r w:rsidRPr="00A14162">
              <w:rPr>
                <w:sz w:val="20"/>
                <w:szCs w:val="20"/>
              </w:rPr>
              <w:t>70</w:t>
            </w:r>
          </w:p>
        </w:tc>
        <w:tc>
          <w:tcPr>
            <w:tcW w:w="1134" w:type="dxa"/>
            <w:hideMark/>
          </w:tcPr>
          <w:p w14:paraId="774A85F5"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0101F747"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4378083A" w14:textId="77777777" w:rsidR="009C543A" w:rsidRPr="00A14162" w:rsidRDefault="009C543A" w:rsidP="00A14162">
            <w:pPr>
              <w:pStyle w:val="NormalWeb"/>
              <w:jc w:val="center"/>
              <w:rPr>
                <w:sz w:val="20"/>
                <w:szCs w:val="20"/>
              </w:rPr>
            </w:pPr>
            <w:r w:rsidRPr="00A14162">
              <w:rPr>
                <w:sz w:val="20"/>
                <w:szCs w:val="20"/>
              </w:rPr>
              <w:t>94 (85/9)</w:t>
            </w:r>
          </w:p>
        </w:tc>
        <w:tc>
          <w:tcPr>
            <w:tcW w:w="1560" w:type="dxa"/>
            <w:hideMark/>
          </w:tcPr>
          <w:p w14:paraId="6EE08411"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3637742A" w14:textId="77777777" w:rsidR="009C543A" w:rsidRPr="00A14162" w:rsidRDefault="009C543A" w:rsidP="00A14162">
            <w:pPr>
              <w:pStyle w:val="NormalWeb"/>
              <w:jc w:val="center"/>
              <w:rPr>
                <w:sz w:val="20"/>
                <w:szCs w:val="20"/>
              </w:rPr>
            </w:pPr>
            <w:r w:rsidRPr="00A14162">
              <w:rPr>
                <w:sz w:val="20"/>
                <w:szCs w:val="20"/>
              </w:rPr>
              <w:t>94 (100%)</w:t>
            </w:r>
          </w:p>
        </w:tc>
        <w:tc>
          <w:tcPr>
            <w:tcW w:w="1577" w:type="dxa"/>
            <w:hideMark/>
          </w:tcPr>
          <w:p w14:paraId="08704FFE"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3192E827" w14:textId="77777777" w:rsidTr="009C543A">
        <w:tblPrEx>
          <w:tblCellMar>
            <w:top w:w="57" w:type="dxa"/>
            <w:left w:w="57" w:type="dxa"/>
            <w:bottom w:w="57" w:type="dxa"/>
            <w:right w:w="57" w:type="dxa"/>
          </w:tblCellMar>
        </w:tblPrEx>
        <w:tc>
          <w:tcPr>
            <w:tcW w:w="3261" w:type="dxa"/>
            <w:hideMark/>
          </w:tcPr>
          <w:p w14:paraId="03EA7473" w14:textId="77777777" w:rsidR="009C543A" w:rsidRPr="00A14162" w:rsidRDefault="009C543A" w:rsidP="00A14162">
            <w:pPr>
              <w:pStyle w:val="NormalWeb"/>
              <w:rPr>
                <w:sz w:val="20"/>
                <w:szCs w:val="20"/>
              </w:rPr>
            </w:pPr>
            <w:r w:rsidRPr="00A14162">
              <w:rPr>
                <w:sz w:val="20"/>
                <w:szCs w:val="20"/>
              </w:rPr>
              <w:t>3</w:t>
            </w:r>
          </w:p>
        </w:tc>
        <w:tc>
          <w:tcPr>
            <w:tcW w:w="1134" w:type="dxa"/>
            <w:hideMark/>
          </w:tcPr>
          <w:p w14:paraId="548203BE"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1AD6710F"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2FBC088B" w14:textId="77777777" w:rsidR="009C543A" w:rsidRPr="00A14162" w:rsidRDefault="009C543A" w:rsidP="00A14162">
            <w:pPr>
              <w:pStyle w:val="NormalWeb"/>
              <w:jc w:val="center"/>
              <w:rPr>
                <w:sz w:val="20"/>
                <w:szCs w:val="20"/>
              </w:rPr>
            </w:pPr>
            <w:r w:rsidRPr="00A14162">
              <w:rPr>
                <w:sz w:val="20"/>
                <w:szCs w:val="20"/>
              </w:rPr>
              <w:t>8</w:t>
            </w:r>
          </w:p>
        </w:tc>
        <w:tc>
          <w:tcPr>
            <w:tcW w:w="1559" w:type="dxa"/>
            <w:hideMark/>
          </w:tcPr>
          <w:p w14:paraId="5BA089E5"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38D70862" w14:textId="77777777" w:rsidR="009C543A" w:rsidRPr="00A14162" w:rsidRDefault="009C543A" w:rsidP="00A14162">
            <w:pPr>
              <w:pStyle w:val="NormalWeb"/>
              <w:jc w:val="center"/>
              <w:rPr>
                <w:sz w:val="20"/>
                <w:szCs w:val="20"/>
              </w:rPr>
            </w:pPr>
            <w:r w:rsidRPr="00A14162">
              <w:rPr>
                <w:sz w:val="20"/>
                <w:szCs w:val="20"/>
              </w:rPr>
              <w:t>18 (16/2)</w:t>
            </w:r>
          </w:p>
        </w:tc>
        <w:tc>
          <w:tcPr>
            <w:tcW w:w="1560" w:type="dxa"/>
            <w:hideMark/>
          </w:tcPr>
          <w:p w14:paraId="2C696A8C" w14:textId="77777777" w:rsidR="009C543A" w:rsidRPr="00A14162" w:rsidRDefault="009C543A" w:rsidP="00A14162">
            <w:pPr>
              <w:pStyle w:val="NormalWeb"/>
              <w:jc w:val="center"/>
              <w:rPr>
                <w:sz w:val="20"/>
                <w:szCs w:val="20"/>
              </w:rPr>
            </w:pPr>
            <w:r w:rsidRPr="00A14162">
              <w:rPr>
                <w:sz w:val="20"/>
                <w:szCs w:val="20"/>
              </w:rPr>
              <w:t>1 (6%)</w:t>
            </w:r>
          </w:p>
        </w:tc>
        <w:tc>
          <w:tcPr>
            <w:tcW w:w="1417" w:type="dxa"/>
            <w:hideMark/>
          </w:tcPr>
          <w:p w14:paraId="6329599E" w14:textId="77777777" w:rsidR="009C543A" w:rsidRPr="00A14162" w:rsidRDefault="009C543A" w:rsidP="00A14162">
            <w:pPr>
              <w:pStyle w:val="NormalWeb"/>
              <w:jc w:val="center"/>
              <w:rPr>
                <w:sz w:val="20"/>
                <w:szCs w:val="20"/>
              </w:rPr>
            </w:pPr>
            <w:r w:rsidRPr="00A14162">
              <w:rPr>
                <w:sz w:val="20"/>
                <w:szCs w:val="20"/>
              </w:rPr>
              <w:t>17 (94%)</w:t>
            </w:r>
          </w:p>
        </w:tc>
        <w:tc>
          <w:tcPr>
            <w:tcW w:w="1577" w:type="dxa"/>
            <w:hideMark/>
          </w:tcPr>
          <w:p w14:paraId="445FFDA8"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62436A53"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6BE0FD00" w14:textId="77777777" w:rsidR="009C543A" w:rsidRPr="00A14162" w:rsidRDefault="009C543A" w:rsidP="00A14162">
            <w:pPr>
              <w:pStyle w:val="NormalWeb"/>
              <w:rPr>
                <w:sz w:val="20"/>
                <w:szCs w:val="20"/>
              </w:rPr>
            </w:pPr>
            <w:r w:rsidRPr="00A14162">
              <w:rPr>
                <w:sz w:val="20"/>
                <w:szCs w:val="20"/>
              </w:rPr>
              <w:t>26</w:t>
            </w:r>
          </w:p>
        </w:tc>
        <w:tc>
          <w:tcPr>
            <w:tcW w:w="1134" w:type="dxa"/>
            <w:hideMark/>
          </w:tcPr>
          <w:p w14:paraId="3156EB3A" w14:textId="77777777" w:rsidR="009C543A" w:rsidRPr="00A14162" w:rsidRDefault="009C543A" w:rsidP="00A14162">
            <w:pPr>
              <w:pStyle w:val="NormalWeb"/>
              <w:jc w:val="center"/>
              <w:rPr>
                <w:sz w:val="20"/>
                <w:szCs w:val="20"/>
              </w:rPr>
            </w:pPr>
            <w:r w:rsidRPr="00A14162">
              <w:rPr>
                <w:sz w:val="20"/>
                <w:szCs w:val="20"/>
              </w:rPr>
              <w:t>9</w:t>
            </w:r>
          </w:p>
        </w:tc>
        <w:tc>
          <w:tcPr>
            <w:tcW w:w="1134" w:type="dxa"/>
            <w:hideMark/>
          </w:tcPr>
          <w:p w14:paraId="6E8ADE38" w14:textId="77777777" w:rsidR="009C543A" w:rsidRPr="00A14162" w:rsidRDefault="009C543A" w:rsidP="00A14162">
            <w:pPr>
              <w:pStyle w:val="NormalWeb"/>
              <w:jc w:val="center"/>
              <w:rPr>
                <w:sz w:val="20"/>
                <w:szCs w:val="20"/>
              </w:rPr>
            </w:pPr>
            <w:r w:rsidRPr="00A14162">
              <w:rPr>
                <w:sz w:val="20"/>
                <w:szCs w:val="20"/>
              </w:rPr>
              <w:t>7</w:t>
            </w:r>
          </w:p>
        </w:tc>
        <w:tc>
          <w:tcPr>
            <w:tcW w:w="1134" w:type="dxa"/>
            <w:hideMark/>
          </w:tcPr>
          <w:p w14:paraId="607BF57D" w14:textId="77777777" w:rsidR="009C543A" w:rsidRPr="00A14162" w:rsidRDefault="009C543A" w:rsidP="00A14162">
            <w:pPr>
              <w:pStyle w:val="NormalWeb"/>
              <w:jc w:val="center"/>
              <w:rPr>
                <w:sz w:val="20"/>
                <w:szCs w:val="20"/>
              </w:rPr>
            </w:pPr>
            <w:r w:rsidRPr="00A14162">
              <w:rPr>
                <w:sz w:val="20"/>
                <w:szCs w:val="20"/>
              </w:rPr>
              <w:t>3</w:t>
            </w:r>
          </w:p>
        </w:tc>
        <w:tc>
          <w:tcPr>
            <w:tcW w:w="1559" w:type="dxa"/>
            <w:hideMark/>
          </w:tcPr>
          <w:p w14:paraId="0E85B306" w14:textId="77777777" w:rsidR="009C543A" w:rsidRPr="00A14162" w:rsidRDefault="009C543A" w:rsidP="00A14162">
            <w:pPr>
              <w:pStyle w:val="NormalWeb"/>
              <w:jc w:val="center"/>
              <w:rPr>
                <w:sz w:val="20"/>
                <w:szCs w:val="20"/>
              </w:rPr>
            </w:pPr>
            <w:r w:rsidRPr="00A14162">
              <w:rPr>
                <w:sz w:val="20"/>
                <w:szCs w:val="20"/>
              </w:rPr>
              <w:t>Nichols-like</w:t>
            </w:r>
          </w:p>
        </w:tc>
        <w:tc>
          <w:tcPr>
            <w:tcW w:w="1984" w:type="dxa"/>
            <w:hideMark/>
          </w:tcPr>
          <w:p w14:paraId="3A31B543" w14:textId="77777777" w:rsidR="009C543A" w:rsidRPr="00A14162" w:rsidRDefault="009C543A" w:rsidP="00A14162">
            <w:pPr>
              <w:pStyle w:val="NormalWeb"/>
              <w:jc w:val="center"/>
              <w:rPr>
                <w:sz w:val="20"/>
                <w:szCs w:val="20"/>
              </w:rPr>
            </w:pPr>
            <w:r w:rsidRPr="00A14162">
              <w:rPr>
                <w:sz w:val="20"/>
                <w:szCs w:val="20"/>
              </w:rPr>
              <w:t>18 (17/1)</w:t>
            </w:r>
          </w:p>
        </w:tc>
        <w:tc>
          <w:tcPr>
            <w:tcW w:w="1560" w:type="dxa"/>
            <w:hideMark/>
          </w:tcPr>
          <w:p w14:paraId="20039B24"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456378B6" w14:textId="77777777" w:rsidR="009C543A" w:rsidRPr="00A14162" w:rsidRDefault="009C543A" w:rsidP="00A14162">
            <w:pPr>
              <w:pStyle w:val="NormalWeb"/>
              <w:jc w:val="center"/>
              <w:rPr>
                <w:sz w:val="20"/>
                <w:szCs w:val="20"/>
              </w:rPr>
            </w:pPr>
            <w:r w:rsidRPr="00A14162">
              <w:rPr>
                <w:sz w:val="20"/>
                <w:szCs w:val="20"/>
              </w:rPr>
              <w:t>18 (100%)</w:t>
            </w:r>
          </w:p>
        </w:tc>
        <w:tc>
          <w:tcPr>
            <w:tcW w:w="1577" w:type="dxa"/>
            <w:hideMark/>
          </w:tcPr>
          <w:p w14:paraId="141AC6A5"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45C2F4D6" w14:textId="77777777" w:rsidTr="009C543A">
        <w:tblPrEx>
          <w:tblCellMar>
            <w:top w:w="57" w:type="dxa"/>
            <w:left w:w="57" w:type="dxa"/>
            <w:bottom w:w="57" w:type="dxa"/>
            <w:right w:w="57" w:type="dxa"/>
          </w:tblCellMar>
        </w:tblPrEx>
        <w:tc>
          <w:tcPr>
            <w:tcW w:w="3261" w:type="dxa"/>
            <w:hideMark/>
          </w:tcPr>
          <w:p w14:paraId="4F52EFCE" w14:textId="77777777" w:rsidR="009C543A" w:rsidRPr="00A14162" w:rsidRDefault="009C543A" w:rsidP="00A14162">
            <w:pPr>
              <w:pStyle w:val="NormalWeb"/>
              <w:rPr>
                <w:sz w:val="20"/>
                <w:szCs w:val="20"/>
              </w:rPr>
            </w:pPr>
            <w:r w:rsidRPr="00A14162">
              <w:rPr>
                <w:sz w:val="20"/>
                <w:szCs w:val="20"/>
              </w:rPr>
              <w:t>11</w:t>
            </w:r>
          </w:p>
        </w:tc>
        <w:tc>
          <w:tcPr>
            <w:tcW w:w="1134" w:type="dxa"/>
            <w:hideMark/>
          </w:tcPr>
          <w:p w14:paraId="3BC6A321"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4E6CF50A"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4501687C" w14:textId="77777777" w:rsidR="009C543A" w:rsidRPr="00A14162" w:rsidRDefault="009C543A" w:rsidP="00A14162">
            <w:pPr>
              <w:pStyle w:val="NormalWeb"/>
              <w:jc w:val="center"/>
              <w:rPr>
                <w:sz w:val="20"/>
                <w:szCs w:val="20"/>
              </w:rPr>
            </w:pPr>
            <w:r w:rsidRPr="00A14162">
              <w:rPr>
                <w:sz w:val="20"/>
                <w:szCs w:val="20"/>
              </w:rPr>
              <w:t>3</w:t>
            </w:r>
          </w:p>
        </w:tc>
        <w:tc>
          <w:tcPr>
            <w:tcW w:w="1559" w:type="dxa"/>
            <w:hideMark/>
          </w:tcPr>
          <w:p w14:paraId="62122D71"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6E66446E" w14:textId="77777777" w:rsidR="009C543A" w:rsidRPr="00A14162" w:rsidRDefault="009C543A" w:rsidP="00A14162">
            <w:pPr>
              <w:pStyle w:val="NormalWeb"/>
              <w:jc w:val="center"/>
              <w:rPr>
                <w:sz w:val="20"/>
                <w:szCs w:val="20"/>
              </w:rPr>
            </w:pPr>
            <w:r w:rsidRPr="00A14162">
              <w:rPr>
                <w:sz w:val="20"/>
                <w:szCs w:val="20"/>
              </w:rPr>
              <w:t>14 (13/1)</w:t>
            </w:r>
          </w:p>
        </w:tc>
        <w:tc>
          <w:tcPr>
            <w:tcW w:w="1560" w:type="dxa"/>
            <w:hideMark/>
          </w:tcPr>
          <w:p w14:paraId="645C1DE1" w14:textId="77777777" w:rsidR="009C543A" w:rsidRPr="00A14162" w:rsidRDefault="009C543A" w:rsidP="00A14162">
            <w:pPr>
              <w:pStyle w:val="NormalWeb"/>
              <w:jc w:val="center"/>
              <w:rPr>
                <w:sz w:val="20"/>
                <w:szCs w:val="20"/>
              </w:rPr>
            </w:pPr>
            <w:r w:rsidRPr="00A14162">
              <w:rPr>
                <w:sz w:val="20"/>
                <w:szCs w:val="20"/>
              </w:rPr>
              <w:t>8 (57%)</w:t>
            </w:r>
          </w:p>
        </w:tc>
        <w:tc>
          <w:tcPr>
            <w:tcW w:w="1417" w:type="dxa"/>
            <w:hideMark/>
          </w:tcPr>
          <w:p w14:paraId="3CF32C90" w14:textId="77777777" w:rsidR="009C543A" w:rsidRPr="00A14162" w:rsidRDefault="009C543A" w:rsidP="00A14162">
            <w:pPr>
              <w:pStyle w:val="NormalWeb"/>
              <w:jc w:val="center"/>
              <w:rPr>
                <w:sz w:val="20"/>
                <w:szCs w:val="20"/>
              </w:rPr>
            </w:pPr>
            <w:r w:rsidRPr="00A14162">
              <w:rPr>
                <w:sz w:val="20"/>
                <w:szCs w:val="20"/>
              </w:rPr>
              <w:t>0 (0%)</w:t>
            </w:r>
          </w:p>
        </w:tc>
        <w:tc>
          <w:tcPr>
            <w:tcW w:w="1577" w:type="dxa"/>
            <w:hideMark/>
          </w:tcPr>
          <w:p w14:paraId="58015266" w14:textId="77777777" w:rsidR="009C543A" w:rsidRPr="00A14162" w:rsidRDefault="009C543A" w:rsidP="00A14162">
            <w:pPr>
              <w:pStyle w:val="NormalWeb"/>
              <w:jc w:val="center"/>
              <w:rPr>
                <w:sz w:val="20"/>
                <w:szCs w:val="20"/>
              </w:rPr>
            </w:pPr>
            <w:r w:rsidRPr="00A14162">
              <w:rPr>
                <w:sz w:val="20"/>
                <w:szCs w:val="20"/>
              </w:rPr>
              <w:t>6 (43%)</w:t>
            </w:r>
          </w:p>
        </w:tc>
      </w:tr>
      <w:tr w:rsidR="00A14162" w:rsidRPr="00A14162" w14:paraId="16B18E5D"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63379127" w14:textId="77777777" w:rsidR="009C543A" w:rsidRPr="00A14162" w:rsidRDefault="009C543A" w:rsidP="00A14162">
            <w:pPr>
              <w:pStyle w:val="NormalWeb"/>
              <w:rPr>
                <w:sz w:val="20"/>
                <w:szCs w:val="20"/>
              </w:rPr>
            </w:pPr>
            <w:r w:rsidRPr="00A14162">
              <w:rPr>
                <w:sz w:val="20"/>
                <w:szCs w:val="20"/>
              </w:rPr>
              <w:t>2</w:t>
            </w:r>
          </w:p>
        </w:tc>
        <w:tc>
          <w:tcPr>
            <w:tcW w:w="1134" w:type="dxa"/>
            <w:hideMark/>
          </w:tcPr>
          <w:p w14:paraId="65C87615"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5666F991"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478105C5"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3BC72518"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61E6CAFB" w14:textId="77777777" w:rsidR="009C543A" w:rsidRPr="00A14162" w:rsidRDefault="009C543A" w:rsidP="00A14162">
            <w:pPr>
              <w:pStyle w:val="NormalWeb"/>
              <w:jc w:val="center"/>
              <w:rPr>
                <w:sz w:val="20"/>
                <w:szCs w:val="20"/>
              </w:rPr>
            </w:pPr>
            <w:r w:rsidRPr="00A14162">
              <w:rPr>
                <w:sz w:val="20"/>
                <w:szCs w:val="20"/>
              </w:rPr>
              <w:t>11 (9/2)</w:t>
            </w:r>
          </w:p>
        </w:tc>
        <w:tc>
          <w:tcPr>
            <w:tcW w:w="1560" w:type="dxa"/>
            <w:hideMark/>
          </w:tcPr>
          <w:p w14:paraId="6E05E10A" w14:textId="77777777" w:rsidR="009C543A" w:rsidRPr="00A14162" w:rsidRDefault="009C543A" w:rsidP="00A14162">
            <w:pPr>
              <w:pStyle w:val="NormalWeb"/>
              <w:jc w:val="center"/>
              <w:rPr>
                <w:sz w:val="20"/>
                <w:szCs w:val="20"/>
              </w:rPr>
            </w:pPr>
            <w:r w:rsidRPr="00A14162">
              <w:rPr>
                <w:sz w:val="20"/>
                <w:szCs w:val="20"/>
              </w:rPr>
              <w:t>3 (27%)</w:t>
            </w:r>
          </w:p>
        </w:tc>
        <w:tc>
          <w:tcPr>
            <w:tcW w:w="1417" w:type="dxa"/>
            <w:hideMark/>
          </w:tcPr>
          <w:p w14:paraId="72971F03" w14:textId="77777777" w:rsidR="009C543A" w:rsidRPr="00A14162" w:rsidRDefault="009C543A" w:rsidP="00A14162">
            <w:pPr>
              <w:pStyle w:val="NormalWeb"/>
              <w:jc w:val="center"/>
              <w:rPr>
                <w:sz w:val="20"/>
                <w:szCs w:val="20"/>
              </w:rPr>
            </w:pPr>
            <w:r w:rsidRPr="00A14162">
              <w:rPr>
                <w:sz w:val="20"/>
                <w:szCs w:val="20"/>
              </w:rPr>
              <w:t>8 (73%)</w:t>
            </w:r>
          </w:p>
        </w:tc>
        <w:tc>
          <w:tcPr>
            <w:tcW w:w="1577" w:type="dxa"/>
            <w:hideMark/>
          </w:tcPr>
          <w:p w14:paraId="2A8DA2F6"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0128D237" w14:textId="77777777" w:rsidTr="009C543A">
        <w:tblPrEx>
          <w:tblCellMar>
            <w:top w:w="57" w:type="dxa"/>
            <w:left w:w="57" w:type="dxa"/>
            <w:bottom w:w="57" w:type="dxa"/>
            <w:right w:w="57" w:type="dxa"/>
          </w:tblCellMar>
        </w:tblPrEx>
        <w:tc>
          <w:tcPr>
            <w:tcW w:w="3261" w:type="dxa"/>
            <w:hideMark/>
          </w:tcPr>
          <w:p w14:paraId="34AF34D7" w14:textId="77777777" w:rsidR="009C543A" w:rsidRPr="00A14162" w:rsidRDefault="009C543A" w:rsidP="00A14162">
            <w:pPr>
              <w:pStyle w:val="NormalWeb"/>
              <w:rPr>
                <w:sz w:val="20"/>
                <w:szCs w:val="20"/>
              </w:rPr>
            </w:pPr>
            <w:r w:rsidRPr="00A14162">
              <w:rPr>
                <w:sz w:val="20"/>
                <w:szCs w:val="20"/>
              </w:rPr>
              <w:t>6</w:t>
            </w:r>
          </w:p>
        </w:tc>
        <w:tc>
          <w:tcPr>
            <w:tcW w:w="1134" w:type="dxa"/>
            <w:hideMark/>
          </w:tcPr>
          <w:p w14:paraId="408AF8A4" w14:textId="77777777" w:rsidR="009C543A" w:rsidRPr="00A14162" w:rsidRDefault="009C543A" w:rsidP="00A14162">
            <w:pPr>
              <w:pStyle w:val="NormalWeb"/>
              <w:jc w:val="center"/>
              <w:rPr>
                <w:sz w:val="20"/>
                <w:szCs w:val="20"/>
              </w:rPr>
            </w:pPr>
            <w:r w:rsidRPr="00A14162">
              <w:rPr>
                <w:sz w:val="20"/>
                <w:szCs w:val="20"/>
              </w:rPr>
              <w:t>3</w:t>
            </w:r>
          </w:p>
        </w:tc>
        <w:tc>
          <w:tcPr>
            <w:tcW w:w="1134" w:type="dxa"/>
            <w:hideMark/>
          </w:tcPr>
          <w:p w14:paraId="2E7191EE" w14:textId="77777777" w:rsidR="009C543A" w:rsidRPr="00A14162" w:rsidRDefault="009C543A" w:rsidP="00A14162">
            <w:pPr>
              <w:pStyle w:val="NormalWeb"/>
              <w:jc w:val="center"/>
              <w:rPr>
                <w:sz w:val="20"/>
                <w:szCs w:val="20"/>
              </w:rPr>
            </w:pPr>
            <w:r w:rsidRPr="00A14162">
              <w:rPr>
                <w:sz w:val="20"/>
                <w:szCs w:val="20"/>
              </w:rPr>
              <w:t>2</w:t>
            </w:r>
          </w:p>
        </w:tc>
        <w:tc>
          <w:tcPr>
            <w:tcW w:w="1134" w:type="dxa"/>
            <w:hideMark/>
          </w:tcPr>
          <w:p w14:paraId="55F835F2" w14:textId="77777777" w:rsidR="009C543A" w:rsidRPr="00A14162" w:rsidRDefault="009C543A" w:rsidP="00A14162">
            <w:pPr>
              <w:pStyle w:val="NormalWeb"/>
              <w:jc w:val="center"/>
              <w:rPr>
                <w:sz w:val="20"/>
                <w:szCs w:val="20"/>
              </w:rPr>
            </w:pPr>
            <w:r w:rsidRPr="00A14162">
              <w:rPr>
                <w:sz w:val="20"/>
                <w:szCs w:val="20"/>
              </w:rPr>
              <w:t>3</w:t>
            </w:r>
          </w:p>
        </w:tc>
        <w:tc>
          <w:tcPr>
            <w:tcW w:w="1559" w:type="dxa"/>
            <w:hideMark/>
          </w:tcPr>
          <w:p w14:paraId="2E3A60A1" w14:textId="77777777" w:rsidR="009C543A" w:rsidRPr="00A14162" w:rsidRDefault="009C543A" w:rsidP="00A14162">
            <w:pPr>
              <w:pStyle w:val="NormalWeb"/>
              <w:jc w:val="center"/>
              <w:rPr>
                <w:sz w:val="20"/>
                <w:szCs w:val="20"/>
              </w:rPr>
            </w:pPr>
            <w:r w:rsidRPr="00A14162">
              <w:rPr>
                <w:sz w:val="20"/>
                <w:szCs w:val="20"/>
              </w:rPr>
              <w:t>Nichols-like</w:t>
            </w:r>
          </w:p>
        </w:tc>
        <w:tc>
          <w:tcPr>
            <w:tcW w:w="1984" w:type="dxa"/>
            <w:hideMark/>
          </w:tcPr>
          <w:p w14:paraId="1099C08E" w14:textId="77777777" w:rsidR="009C543A" w:rsidRPr="00A14162" w:rsidRDefault="009C543A" w:rsidP="00A14162">
            <w:pPr>
              <w:pStyle w:val="NormalWeb"/>
              <w:jc w:val="center"/>
              <w:rPr>
                <w:sz w:val="20"/>
                <w:szCs w:val="20"/>
              </w:rPr>
            </w:pPr>
            <w:r w:rsidRPr="00A14162">
              <w:rPr>
                <w:sz w:val="20"/>
                <w:szCs w:val="20"/>
              </w:rPr>
              <w:t>10 (10/0)</w:t>
            </w:r>
          </w:p>
        </w:tc>
        <w:tc>
          <w:tcPr>
            <w:tcW w:w="1560" w:type="dxa"/>
            <w:hideMark/>
          </w:tcPr>
          <w:p w14:paraId="757CC6AC"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4EDEB270" w14:textId="77777777" w:rsidR="009C543A" w:rsidRPr="00A14162" w:rsidRDefault="009C543A" w:rsidP="00A14162">
            <w:pPr>
              <w:pStyle w:val="NormalWeb"/>
              <w:jc w:val="center"/>
              <w:rPr>
                <w:sz w:val="20"/>
                <w:szCs w:val="20"/>
              </w:rPr>
            </w:pPr>
            <w:r w:rsidRPr="00A14162">
              <w:rPr>
                <w:sz w:val="20"/>
                <w:szCs w:val="20"/>
              </w:rPr>
              <w:t>10 (100%)</w:t>
            </w:r>
          </w:p>
        </w:tc>
        <w:tc>
          <w:tcPr>
            <w:tcW w:w="1577" w:type="dxa"/>
            <w:hideMark/>
          </w:tcPr>
          <w:p w14:paraId="50705990"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7CC936BA"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161546D9" w14:textId="77777777" w:rsidR="009C543A" w:rsidRPr="00A14162" w:rsidRDefault="009C543A" w:rsidP="00A14162">
            <w:pPr>
              <w:pStyle w:val="NormalWeb"/>
              <w:rPr>
                <w:sz w:val="20"/>
                <w:szCs w:val="20"/>
              </w:rPr>
            </w:pPr>
            <w:r w:rsidRPr="00A14162">
              <w:rPr>
                <w:sz w:val="20"/>
                <w:szCs w:val="20"/>
              </w:rPr>
              <w:t>103</w:t>
            </w:r>
          </w:p>
        </w:tc>
        <w:tc>
          <w:tcPr>
            <w:tcW w:w="1134" w:type="dxa"/>
            <w:hideMark/>
          </w:tcPr>
          <w:p w14:paraId="494BB585"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787F879E" w14:textId="77777777" w:rsidR="009C543A" w:rsidRPr="00A14162" w:rsidRDefault="009C543A" w:rsidP="00A14162">
            <w:pPr>
              <w:pStyle w:val="NormalWeb"/>
              <w:jc w:val="center"/>
              <w:rPr>
                <w:sz w:val="20"/>
                <w:szCs w:val="20"/>
              </w:rPr>
            </w:pPr>
            <w:r w:rsidRPr="00A14162">
              <w:rPr>
                <w:sz w:val="20"/>
                <w:szCs w:val="20"/>
              </w:rPr>
              <w:t>32</w:t>
            </w:r>
          </w:p>
        </w:tc>
        <w:tc>
          <w:tcPr>
            <w:tcW w:w="1134" w:type="dxa"/>
            <w:hideMark/>
          </w:tcPr>
          <w:p w14:paraId="4F82A7E4" w14:textId="77777777" w:rsidR="009C543A" w:rsidRPr="00A14162" w:rsidRDefault="009C543A" w:rsidP="00A14162">
            <w:pPr>
              <w:pStyle w:val="NormalWeb"/>
              <w:jc w:val="center"/>
              <w:rPr>
                <w:sz w:val="20"/>
                <w:szCs w:val="20"/>
              </w:rPr>
            </w:pPr>
            <w:r w:rsidRPr="00A14162">
              <w:rPr>
                <w:sz w:val="20"/>
                <w:szCs w:val="20"/>
              </w:rPr>
              <w:t>9</w:t>
            </w:r>
          </w:p>
        </w:tc>
        <w:tc>
          <w:tcPr>
            <w:tcW w:w="1559" w:type="dxa"/>
            <w:hideMark/>
          </w:tcPr>
          <w:p w14:paraId="626FBA74"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7350F22B" w14:textId="77777777" w:rsidR="009C543A" w:rsidRPr="00A14162" w:rsidRDefault="009C543A" w:rsidP="00A14162">
            <w:pPr>
              <w:pStyle w:val="NormalWeb"/>
              <w:jc w:val="center"/>
              <w:rPr>
                <w:sz w:val="20"/>
                <w:szCs w:val="20"/>
              </w:rPr>
            </w:pPr>
            <w:r w:rsidRPr="00A14162">
              <w:rPr>
                <w:sz w:val="20"/>
                <w:szCs w:val="20"/>
              </w:rPr>
              <w:t>9 (9/0)</w:t>
            </w:r>
          </w:p>
        </w:tc>
        <w:tc>
          <w:tcPr>
            <w:tcW w:w="1560" w:type="dxa"/>
            <w:hideMark/>
          </w:tcPr>
          <w:p w14:paraId="03674965"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2C775F37" w14:textId="77777777" w:rsidR="009C543A" w:rsidRPr="00A14162" w:rsidRDefault="009C543A" w:rsidP="00A14162">
            <w:pPr>
              <w:pStyle w:val="NormalWeb"/>
              <w:jc w:val="center"/>
              <w:rPr>
                <w:sz w:val="20"/>
                <w:szCs w:val="20"/>
              </w:rPr>
            </w:pPr>
            <w:r w:rsidRPr="00A14162">
              <w:rPr>
                <w:sz w:val="20"/>
                <w:szCs w:val="20"/>
              </w:rPr>
              <w:t>9 (100%)</w:t>
            </w:r>
          </w:p>
        </w:tc>
        <w:tc>
          <w:tcPr>
            <w:tcW w:w="1577" w:type="dxa"/>
            <w:hideMark/>
          </w:tcPr>
          <w:p w14:paraId="7A8C8B4E"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2F418EF4" w14:textId="77777777" w:rsidTr="009C543A">
        <w:tblPrEx>
          <w:tblCellMar>
            <w:top w:w="57" w:type="dxa"/>
            <w:left w:w="57" w:type="dxa"/>
            <w:bottom w:w="57" w:type="dxa"/>
            <w:right w:w="57" w:type="dxa"/>
          </w:tblCellMar>
        </w:tblPrEx>
        <w:tc>
          <w:tcPr>
            <w:tcW w:w="3261" w:type="dxa"/>
            <w:hideMark/>
          </w:tcPr>
          <w:p w14:paraId="4E458677" w14:textId="77777777" w:rsidR="009C543A" w:rsidRPr="00A14162" w:rsidRDefault="009C543A" w:rsidP="00A14162">
            <w:pPr>
              <w:pStyle w:val="NormalWeb"/>
              <w:rPr>
                <w:sz w:val="20"/>
                <w:szCs w:val="20"/>
              </w:rPr>
            </w:pPr>
            <w:r w:rsidRPr="00A14162">
              <w:rPr>
                <w:sz w:val="20"/>
                <w:szCs w:val="20"/>
              </w:rPr>
              <w:t>27</w:t>
            </w:r>
          </w:p>
        </w:tc>
        <w:tc>
          <w:tcPr>
            <w:tcW w:w="1134" w:type="dxa"/>
            <w:hideMark/>
          </w:tcPr>
          <w:p w14:paraId="5C4457AC"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44E45686"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06D821E2" w14:textId="77777777" w:rsidR="009C543A" w:rsidRPr="00A14162" w:rsidRDefault="009C543A" w:rsidP="00A14162">
            <w:pPr>
              <w:pStyle w:val="NormalWeb"/>
              <w:jc w:val="center"/>
              <w:rPr>
                <w:sz w:val="20"/>
                <w:szCs w:val="20"/>
              </w:rPr>
            </w:pPr>
            <w:r w:rsidRPr="00A14162">
              <w:rPr>
                <w:sz w:val="20"/>
                <w:szCs w:val="20"/>
              </w:rPr>
              <w:t>9</w:t>
            </w:r>
          </w:p>
        </w:tc>
        <w:tc>
          <w:tcPr>
            <w:tcW w:w="1559" w:type="dxa"/>
            <w:hideMark/>
          </w:tcPr>
          <w:p w14:paraId="2C988E5B"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7399F5D3" w14:textId="77777777" w:rsidR="009C543A" w:rsidRPr="00A14162" w:rsidRDefault="009C543A" w:rsidP="00A14162">
            <w:pPr>
              <w:pStyle w:val="NormalWeb"/>
              <w:jc w:val="center"/>
              <w:rPr>
                <w:sz w:val="20"/>
                <w:szCs w:val="20"/>
              </w:rPr>
            </w:pPr>
            <w:r w:rsidRPr="00A14162">
              <w:rPr>
                <w:sz w:val="20"/>
                <w:szCs w:val="20"/>
              </w:rPr>
              <w:t>5 (5/0)</w:t>
            </w:r>
          </w:p>
        </w:tc>
        <w:tc>
          <w:tcPr>
            <w:tcW w:w="1560" w:type="dxa"/>
            <w:hideMark/>
          </w:tcPr>
          <w:p w14:paraId="74788567"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4EA2B408" w14:textId="77777777" w:rsidR="009C543A" w:rsidRPr="00A14162" w:rsidRDefault="009C543A" w:rsidP="00A14162">
            <w:pPr>
              <w:pStyle w:val="NormalWeb"/>
              <w:jc w:val="center"/>
              <w:rPr>
                <w:sz w:val="20"/>
                <w:szCs w:val="20"/>
              </w:rPr>
            </w:pPr>
            <w:r w:rsidRPr="00A14162">
              <w:rPr>
                <w:sz w:val="20"/>
                <w:szCs w:val="20"/>
              </w:rPr>
              <w:t>5 (100%)</w:t>
            </w:r>
          </w:p>
        </w:tc>
        <w:tc>
          <w:tcPr>
            <w:tcW w:w="1577" w:type="dxa"/>
            <w:hideMark/>
          </w:tcPr>
          <w:p w14:paraId="52E17B3C"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3E28EEEA"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0115FE89" w14:textId="77777777" w:rsidR="009C543A" w:rsidRPr="00A14162" w:rsidRDefault="009C543A" w:rsidP="00A14162">
            <w:pPr>
              <w:pStyle w:val="NormalWeb"/>
              <w:rPr>
                <w:sz w:val="20"/>
                <w:szCs w:val="20"/>
              </w:rPr>
            </w:pPr>
            <w:r w:rsidRPr="00A14162">
              <w:rPr>
                <w:sz w:val="20"/>
                <w:szCs w:val="20"/>
              </w:rPr>
              <w:t>101</w:t>
            </w:r>
          </w:p>
        </w:tc>
        <w:tc>
          <w:tcPr>
            <w:tcW w:w="1134" w:type="dxa"/>
            <w:hideMark/>
          </w:tcPr>
          <w:p w14:paraId="43D283B8"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7E13FB4A" w14:textId="77777777" w:rsidR="009C543A" w:rsidRPr="00A14162" w:rsidRDefault="009C543A" w:rsidP="00A14162">
            <w:pPr>
              <w:pStyle w:val="NormalWeb"/>
              <w:jc w:val="center"/>
              <w:rPr>
                <w:sz w:val="20"/>
                <w:szCs w:val="20"/>
              </w:rPr>
            </w:pPr>
            <w:r w:rsidRPr="00A14162">
              <w:rPr>
                <w:sz w:val="20"/>
                <w:szCs w:val="20"/>
              </w:rPr>
              <w:t>79</w:t>
            </w:r>
          </w:p>
        </w:tc>
        <w:tc>
          <w:tcPr>
            <w:tcW w:w="1134" w:type="dxa"/>
            <w:hideMark/>
          </w:tcPr>
          <w:p w14:paraId="5F9C3C31"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07BE1CD0"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23641874" w14:textId="77777777" w:rsidR="009C543A" w:rsidRPr="00A14162" w:rsidRDefault="009C543A" w:rsidP="00A14162">
            <w:pPr>
              <w:pStyle w:val="NormalWeb"/>
              <w:jc w:val="center"/>
              <w:rPr>
                <w:sz w:val="20"/>
                <w:szCs w:val="20"/>
              </w:rPr>
            </w:pPr>
            <w:r w:rsidRPr="00A14162">
              <w:rPr>
                <w:sz w:val="20"/>
                <w:szCs w:val="20"/>
              </w:rPr>
              <w:t>3 (3/0)</w:t>
            </w:r>
          </w:p>
        </w:tc>
        <w:tc>
          <w:tcPr>
            <w:tcW w:w="1560" w:type="dxa"/>
            <w:hideMark/>
          </w:tcPr>
          <w:p w14:paraId="520AD928"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0539A428" w14:textId="77777777" w:rsidR="009C543A" w:rsidRPr="00A14162" w:rsidRDefault="009C543A" w:rsidP="00A14162">
            <w:pPr>
              <w:pStyle w:val="NormalWeb"/>
              <w:jc w:val="center"/>
              <w:rPr>
                <w:sz w:val="20"/>
                <w:szCs w:val="20"/>
              </w:rPr>
            </w:pPr>
            <w:r w:rsidRPr="00A14162">
              <w:rPr>
                <w:sz w:val="20"/>
                <w:szCs w:val="20"/>
              </w:rPr>
              <w:t>3 (100%)</w:t>
            </w:r>
          </w:p>
        </w:tc>
        <w:tc>
          <w:tcPr>
            <w:tcW w:w="1577" w:type="dxa"/>
            <w:hideMark/>
          </w:tcPr>
          <w:p w14:paraId="0F5B5718"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667DCDDE" w14:textId="77777777" w:rsidTr="009C543A">
        <w:tblPrEx>
          <w:tblCellMar>
            <w:top w:w="57" w:type="dxa"/>
            <w:left w:w="57" w:type="dxa"/>
            <w:bottom w:w="57" w:type="dxa"/>
            <w:right w:w="57" w:type="dxa"/>
          </w:tblCellMar>
        </w:tblPrEx>
        <w:tc>
          <w:tcPr>
            <w:tcW w:w="3261" w:type="dxa"/>
            <w:hideMark/>
          </w:tcPr>
          <w:p w14:paraId="43624D84" w14:textId="77777777" w:rsidR="009C543A" w:rsidRPr="00A14162" w:rsidRDefault="009C543A" w:rsidP="00A14162">
            <w:pPr>
              <w:pStyle w:val="NormalWeb"/>
              <w:rPr>
                <w:sz w:val="20"/>
                <w:szCs w:val="20"/>
              </w:rPr>
            </w:pPr>
            <w:r w:rsidRPr="00A14162">
              <w:rPr>
                <w:sz w:val="20"/>
                <w:szCs w:val="20"/>
              </w:rPr>
              <w:t>108</w:t>
            </w:r>
          </w:p>
        </w:tc>
        <w:tc>
          <w:tcPr>
            <w:tcW w:w="1134" w:type="dxa"/>
            <w:hideMark/>
          </w:tcPr>
          <w:p w14:paraId="2D4497DF" w14:textId="77777777" w:rsidR="009C543A" w:rsidRPr="00A14162" w:rsidRDefault="009C543A" w:rsidP="00A14162">
            <w:pPr>
              <w:pStyle w:val="NormalWeb"/>
              <w:jc w:val="center"/>
              <w:rPr>
                <w:sz w:val="20"/>
                <w:szCs w:val="20"/>
              </w:rPr>
            </w:pPr>
            <w:r w:rsidRPr="00A14162">
              <w:rPr>
                <w:sz w:val="20"/>
                <w:szCs w:val="20"/>
              </w:rPr>
              <w:t>19</w:t>
            </w:r>
          </w:p>
        </w:tc>
        <w:tc>
          <w:tcPr>
            <w:tcW w:w="1134" w:type="dxa"/>
            <w:hideMark/>
          </w:tcPr>
          <w:p w14:paraId="3B831476" w14:textId="77777777" w:rsidR="009C543A" w:rsidRPr="00A14162" w:rsidRDefault="009C543A" w:rsidP="00A14162">
            <w:pPr>
              <w:pStyle w:val="NormalWeb"/>
              <w:jc w:val="center"/>
              <w:rPr>
                <w:sz w:val="20"/>
                <w:szCs w:val="20"/>
              </w:rPr>
            </w:pPr>
            <w:r w:rsidRPr="00A14162">
              <w:rPr>
                <w:sz w:val="20"/>
                <w:szCs w:val="20"/>
              </w:rPr>
              <w:t>70</w:t>
            </w:r>
          </w:p>
        </w:tc>
        <w:tc>
          <w:tcPr>
            <w:tcW w:w="1134" w:type="dxa"/>
            <w:hideMark/>
          </w:tcPr>
          <w:p w14:paraId="2EB4D387"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6A23A1A8" w14:textId="77777777" w:rsidR="009C543A" w:rsidRPr="00A14162" w:rsidRDefault="009C543A" w:rsidP="00A14162">
            <w:pPr>
              <w:pStyle w:val="NormalWeb"/>
              <w:jc w:val="center"/>
              <w:rPr>
                <w:sz w:val="20"/>
                <w:szCs w:val="20"/>
              </w:rPr>
            </w:pPr>
            <w:r w:rsidRPr="00A14162">
              <w:rPr>
                <w:sz w:val="20"/>
                <w:szCs w:val="20"/>
              </w:rPr>
              <w:t>Nichols-like</w:t>
            </w:r>
          </w:p>
        </w:tc>
        <w:tc>
          <w:tcPr>
            <w:tcW w:w="1984" w:type="dxa"/>
            <w:hideMark/>
          </w:tcPr>
          <w:p w14:paraId="73FD8C09" w14:textId="77777777" w:rsidR="009C543A" w:rsidRPr="00A14162" w:rsidRDefault="009C543A" w:rsidP="00A14162">
            <w:pPr>
              <w:pStyle w:val="NormalWeb"/>
              <w:jc w:val="center"/>
              <w:rPr>
                <w:sz w:val="20"/>
                <w:szCs w:val="20"/>
              </w:rPr>
            </w:pPr>
            <w:r w:rsidRPr="00A14162">
              <w:rPr>
                <w:sz w:val="20"/>
                <w:szCs w:val="20"/>
              </w:rPr>
              <w:t>3 (3/0)</w:t>
            </w:r>
          </w:p>
        </w:tc>
        <w:tc>
          <w:tcPr>
            <w:tcW w:w="1560" w:type="dxa"/>
            <w:hideMark/>
          </w:tcPr>
          <w:p w14:paraId="60F22596"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4498D01F" w14:textId="77777777" w:rsidR="009C543A" w:rsidRPr="00A14162" w:rsidRDefault="009C543A" w:rsidP="00A14162">
            <w:pPr>
              <w:pStyle w:val="NormalWeb"/>
              <w:jc w:val="center"/>
              <w:rPr>
                <w:sz w:val="20"/>
                <w:szCs w:val="20"/>
              </w:rPr>
            </w:pPr>
            <w:r w:rsidRPr="00A14162">
              <w:rPr>
                <w:sz w:val="20"/>
                <w:szCs w:val="20"/>
              </w:rPr>
              <w:t>3 (100%)</w:t>
            </w:r>
          </w:p>
        </w:tc>
        <w:tc>
          <w:tcPr>
            <w:tcW w:w="1577" w:type="dxa"/>
            <w:hideMark/>
          </w:tcPr>
          <w:p w14:paraId="35750CEE"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101120B3"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034F9B76" w14:textId="77777777" w:rsidR="009C543A" w:rsidRPr="00A14162" w:rsidRDefault="009C543A" w:rsidP="00A14162">
            <w:pPr>
              <w:pStyle w:val="NormalWeb"/>
              <w:rPr>
                <w:sz w:val="20"/>
                <w:szCs w:val="20"/>
              </w:rPr>
            </w:pPr>
            <w:r w:rsidRPr="00A14162">
              <w:rPr>
                <w:sz w:val="20"/>
                <w:szCs w:val="20"/>
              </w:rPr>
              <w:t>92</w:t>
            </w:r>
          </w:p>
        </w:tc>
        <w:tc>
          <w:tcPr>
            <w:tcW w:w="1134" w:type="dxa"/>
            <w:hideMark/>
          </w:tcPr>
          <w:p w14:paraId="200BC13B" w14:textId="77777777" w:rsidR="009C543A" w:rsidRPr="00A14162" w:rsidRDefault="009C543A" w:rsidP="00A14162">
            <w:pPr>
              <w:pStyle w:val="NormalWeb"/>
              <w:jc w:val="center"/>
              <w:rPr>
                <w:sz w:val="20"/>
                <w:szCs w:val="20"/>
              </w:rPr>
            </w:pPr>
            <w:r w:rsidRPr="00A14162">
              <w:rPr>
                <w:sz w:val="20"/>
                <w:szCs w:val="20"/>
              </w:rPr>
              <w:t>35</w:t>
            </w:r>
          </w:p>
        </w:tc>
        <w:tc>
          <w:tcPr>
            <w:tcW w:w="1134" w:type="dxa"/>
            <w:hideMark/>
          </w:tcPr>
          <w:p w14:paraId="7E00B339" w14:textId="77777777" w:rsidR="009C543A" w:rsidRPr="00A14162" w:rsidRDefault="009C543A" w:rsidP="00A14162">
            <w:pPr>
              <w:pStyle w:val="NormalWeb"/>
              <w:jc w:val="center"/>
              <w:rPr>
                <w:sz w:val="20"/>
                <w:szCs w:val="20"/>
              </w:rPr>
            </w:pPr>
            <w:r w:rsidRPr="00A14162">
              <w:rPr>
                <w:sz w:val="20"/>
                <w:szCs w:val="20"/>
              </w:rPr>
              <w:t>70</w:t>
            </w:r>
          </w:p>
        </w:tc>
        <w:tc>
          <w:tcPr>
            <w:tcW w:w="1134" w:type="dxa"/>
            <w:hideMark/>
          </w:tcPr>
          <w:p w14:paraId="7BE88ACA"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2321559B"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50DDD647" w14:textId="77777777" w:rsidR="009C543A" w:rsidRPr="00A14162" w:rsidRDefault="009C543A" w:rsidP="00A14162">
            <w:pPr>
              <w:pStyle w:val="NormalWeb"/>
              <w:jc w:val="center"/>
              <w:rPr>
                <w:sz w:val="20"/>
                <w:szCs w:val="20"/>
              </w:rPr>
            </w:pPr>
            <w:r w:rsidRPr="00A14162">
              <w:rPr>
                <w:sz w:val="20"/>
                <w:szCs w:val="20"/>
              </w:rPr>
              <w:t>3 (1/2)</w:t>
            </w:r>
          </w:p>
        </w:tc>
        <w:tc>
          <w:tcPr>
            <w:tcW w:w="1560" w:type="dxa"/>
            <w:hideMark/>
          </w:tcPr>
          <w:p w14:paraId="697239C2"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5E1EAAC1" w14:textId="77777777" w:rsidR="009C543A" w:rsidRPr="00A14162" w:rsidRDefault="009C543A" w:rsidP="00A14162">
            <w:pPr>
              <w:pStyle w:val="NormalWeb"/>
              <w:jc w:val="center"/>
              <w:rPr>
                <w:sz w:val="20"/>
                <w:szCs w:val="20"/>
              </w:rPr>
            </w:pPr>
            <w:r w:rsidRPr="00A14162">
              <w:rPr>
                <w:sz w:val="20"/>
                <w:szCs w:val="20"/>
              </w:rPr>
              <w:t>3 (100%)</w:t>
            </w:r>
          </w:p>
        </w:tc>
        <w:tc>
          <w:tcPr>
            <w:tcW w:w="1577" w:type="dxa"/>
            <w:hideMark/>
          </w:tcPr>
          <w:p w14:paraId="5989A1CD"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395B7906" w14:textId="77777777" w:rsidTr="009C543A">
        <w:tblPrEx>
          <w:tblCellMar>
            <w:top w:w="57" w:type="dxa"/>
            <w:left w:w="57" w:type="dxa"/>
            <w:bottom w:w="57" w:type="dxa"/>
            <w:right w:w="57" w:type="dxa"/>
          </w:tblCellMar>
        </w:tblPrEx>
        <w:tc>
          <w:tcPr>
            <w:tcW w:w="3261" w:type="dxa"/>
            <w:hideMark/>
          </w:tcPr>
          <w:p w14:paraId="7C2023BA" w14:textId="77777777" w:rsidR="009C543A" w:rsidRPr="00A14162" w:rsidRDefault="009C543A" w:rsidP="00A14162">
            <w:pPr>
              <w:pStyle w:val="NormalWeb"/>
              <w:rPr>
                <w:sz w:val="20"/>
                <w:szCs w:val="20"/>
              </w:rPr>
            </w:pPr>
            <w:r w:rsidRPr="00A14162">
              <w:rPr>
                <w:sz w:val="20"/>
                <w:szCs w:val="20"/>
              </w:rPr>
              <w:t>94</w:t>
            </w:r>
          </w:p>
        </w:tc>
        <w:tc>
          <w:tcPr>
            <w:tcW w:w="1134" w:type="dxa"/>
            <w:hideMark/>
          </w:tcPr>
          <w:p w14:paraId="78079951" w14:textId="77777777" w:rsidR="009C543A" w:rsidRPr="00A14162" w:rsidRDefault="009C543A" w:rsidP="00A14162">
            <w:pPr>
              <w:pStyle w:val="NormalWeb"/>
              <w:jc w:val="center"/>
              <w:rPr>
                <w:sz w:val="20"/>
                <w:szCs w:val="20"/>
              </w:rPr>
            </w:pPr>
            <w:r w:rsidRPr="00A14162">
              <w:rPr>
                <w:sz w:val="20"/>
                <w:szCs w:val="20"/>
              </w:rPr>
              <w:t>6</w:t>
            </w:r>
          </w:p>
        </w:tc>
        <w:tc>
          <w:tcPr>
            <w:tcW w:w="1134" w:type="dxa"/>
            <w:hideMark/>
          </w:tcPr>
          <w:p w14:paraId="5691B747" w14:textId="77777777" w:rsidR="009C543A" w:rsidRPr="00A14162" w:rsidRDefault="009C543A" w:rsidP="00A14162">
            <w:pPr>
              <w:pStyle w:val="NormalWeb"/>
              <w:jc w:val="center"/>
              <w:rPr>
                <w:sz w:val="20"/>
                <w:szCs w:val="20"/>
              </w:rPr>
            </w:pPr>
            <w:r w:rsidRPr="00A14162">
              <w:rPr>
                <w:sz w:val="20"/>
                <w:szCs w:val="20"/>
              </w:rPr>
              <w:t>70</w:t>
            </w:r>
          </w:p>
        </w:tc>
        <w:tc>
          <w:tcPr>
            <w:tcW w:w="1134" w:type="dxa"/>
            <w:hideMark/>
          </w:tcPr>
          <w:p w14:paraId="2F310C90"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07BBCE20"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4ADF64FC" w14:textId="77777777" w:rsidR="009C543A" w:rsidRPr="00A14162" w:rsidRDefault="009C543A" w:rsidP="00A14162">
            <w:pPr>
              <w:pStyle w:val="NormalWeb"/>
              <w:jc w:val="center"/>
              <w:rPr>
                <w:sz w:val="20"/>
                <w:szCs w:val="20"/>
              </w:rPr>
            </w:pPr>
            <w:r w:rsidRPr="00A14162">
              <w:rPr>
                <w:sz w:val="20"/>
                <w:szCs w:val="20"/>
              </w:rPr>
              <w:t>3 (3/0)</w:t>
            </w:r>
          </w:p>
        </w:tc>
        <w:tc>
          <w:tcPr>
            <w:tcW w:w="1560" w:type="dxa"/>
            <w:hideMark/>
          </w:tcPr>
          <w:p w14:paraId="7731FCB2"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53B8411C" w14:textId="77777777" w:rsidR="009C543A" w:rsidRPr="00A14162" w:rsidRDefault="009C543A" w:rsidP="00A14162">
            <w:pPr>
              <w:pStyle w:val="NormalWeb"/>
              <w:jc w:val="center"/>
              <w:rPr>
                <w:sz w:val="20"/>
                <w:szCs w:val="20"/>
              </w:rPr>
            </w:pPr>
            <w:r w:rsidRPr="00A14162">
              <w:rPr>
                <w:sz w:val="20"/>
                <w:szCs w:val="20"/>
              </w:rPr>
              <w:t>3 (100%)</w:t>
            </w:r>
          </w:p>
        </w:tc>
        <w:tc>
          <w:tcPr>
            <w:tcW w:w="1577" w:type="dxa"/>
            <w:hideMark/>
          </w:tcPr>
          <w:p w14:paraId="5EA6A02B"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77CA981B"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053EA823" w14:textId="77777777" w:rsidR="009C543A" w:rsidRPr="00A14162" w:rsidRDefault="009C543A" w:rsidP="00A14162">
            <w:pPr>
              <w:pStyle w:val="NormalWeb"/>
              <w:rPr>
                <w:sz w:val="20"/>
                <w:szCs w:val="20"/>
              </w:rPr>
            </w:pPr>
            <w:r w:rsidRPr="00A14162">
              <w:rPr>
                <w:sz w:val="20"/>
                <w:szCs w:val="20"/>
              </w:rPr>
              <w:t>50</w:t>
            </w:r>
          </w:p>
        </w:tc>
        <w:tc>
          <w:tcPr>
            <w:tcW w:w="1134" w:type="dxa"/>
            <w:hideMark/>
          </w:tcPr>
          <w:p w14:paraId="4FC4E8BB"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5021399B" w14:textId="77777777" w:rsidR="009C543A" w:rsidRPr="00A14162" w:rsidRDefault="009C543A" w:rsidP="00A14162">
            <w:pPr>
              <w:pStyle w:val="NormalWeb"/>
              <w:jc w:val="center"/>
              <w:rPr>
                <w:sz w:val="20"/>
                <w:szCs w:val="20"/>
              </w:rPr>
            </w:pPr>
            <w:r w:rsidRPr="00A14162">
              <w:rPr>
                <w:sz w:val="20"/>
                <w:szCs w:val="20"/>
              </w:rPr>
              <w:t>32</w:t>
            </w:r>
          </w:p>
        </w:tc>
        <w:tc>
          <w:tcPr>
            <w:tcW w:w="1134" w:type="dxa"/>
            <w:hideMark/>
          </w:tcPr>
          <w:p w14:paraId="25ABC9D3"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4A6A6750"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6F0A42B9" w14:textId="77777777" w:rsidR="009C543A" w:rsidRPr="00A14162" w:rsidRDefault="009C543A" w:rsidP="00A14162">
            <w:pPr>
              <w:pStyle w:val="NormalWeb"/>
              <w:jc w:val="center"/>
              <w:rPr>
                <w:sz w:val="20"/>
                <w:szCs w:val="20"/>
              </w:rPr>
            </w:pPr>
            <w:r w:rsidRPr="00A14162">
              <w:rPr>
                <w:sz w:val="20"/>
                <w:szCs w:val="20"/>
              </w:rPr>
              <w:t>2 (1/1)</w:t>
            </w:r>
          </w:p>
        </w:tc>
        <w:tc>
          <w:tcPr>
            <w:tcW w:w="1560" w:type="dxa"/>
            <w:hideMark/>
          </w:tcPr>
          <w:p w14:paraId="77AEAB2A"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02E9631F" w14:textId="77777777" w:rsidR="009C543A" w:rsidRPr="00A14162" w:rsidRDefault="009C543A" w:rsidP="00A14162">
            <w:pPr>
              <w:pStyle w:val="NormalWeb"/>
              <w:jc w:val="center"/>
              <w:rPr>
                <w:sz w:val="20"/>
                <w:szCs w:val="20"/>
              </w:rPr>
            </w:pPr>
            <w:r w:rsidRPr="00A14162">
              <w:rPr>
                <w:sz w:val="20"/>
                <w:szCs w:val="20"/>
              </w:rPr>
              <w:t>2 (100%)</w:t>
            </w:r>
          </w:p>
        </w:tc>
        <w:tc>
          <w:tcPr>
            <w:tcW w:w="1577" w:type="dxa"/>
            <w:hideMark/>
          </w:tcPr>
          <w:p w14:paraId="4E8C4F4A"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11454E92" w14:textId="77777777" w:rsidTr="009C543A">
        <w:tblPrEx>
          <w:tblCellMar>
            <w:top w:w="57" w:type="dxa"/>
            <w:left w:w="57" w:type="dxa"/>
            <w:bottom w:w="57" w:type="dxa"/>
            <w:right w:w="57" w:type="dxa"/>
          </w:tblCellMar>
        </w:tblPrEx>
        <w:tc>
          <w:tcPr>
            <w:tcW w:w="3261" w:type="dxa"/>
            <w:hideMark/>
          </w:tcPr>
          <w:p w14:paraId="323A4CEE" w14:textId="77777777" w:rsidR="009C543A" w:rsidRPr="00A14162" w:rsidRDefault="009C543A" w:rsidP="00A14162">
            <w:pPr>
              <w:pStyle w:val="NormalWeb"/>
              <w:rPr>
                <w:sz w:val="20"/>
                <w:szCs w:val="20"/>
              </w:rPr>
            </w:pPr>
            <w:r w:rsidRPr="00A14162">
              <w:rPr>
                <w:sz w:val="20"/>
                <w:szCs w:val="20"/>
              </w:rPr>
              <w:t>109</w:t>
            </w:r>
          </w:p>
        </w:tc>
        <w:tc>
          <w:tcPr>
            <w:tcW w:w="1134" w:type="dxa"/>
            <w:hideMark/>
          </w:tcPr>
          <w:p w14:paraId="01A60987" w14:textId="77777777" w:rsidR="009C543A" w:rsidRPr="00A14162" w:rsidRDefault="009C543A" w:rsidP="00A14162">
            <w:pPr>
              <w:pStyle w:val="NormalWeb"/>
              <w:jc w:val="center"/>
              <w:rPr>
                <w:sz w:val="20"/>
                <w:szCs w:val="20"/>
              </w:rPr>
            </w:pPr>
            <w:r w:rsidRPr="00A14162">
              <w:rPr>
                <w:sz w:val="20"/>
                <w:szCs w:val="20"/>
              </w:rPr>
              <w:t>9</w:t>
            </w:r>
          </w:p>
        </w:tc>
        <w:tc>
          <w:tcPr>
            <w:tcW w:w="1134" w:type="dxa"/>
            <w:hideMark/>
          </w:tcPr>
          <w:p w14:paraId="59C822F5" w14:textId="77777777" w:rsidR="009C543A" w:rsidRPr="00A14162" w:rsidRDefault="009C543A" w:rsidP="00A14162">
            <w:pPr>
              <w:pStyle w:val="NormalWeb"/>
              <w:jc w:val="center"/>
              <w:rPr>
                <w:sz w:val="20"/>
                <w:szCs w:val="20"/>
              </w:rPr>
            </w:pPr>
            <w:r w:rsidRPr="00A14162">
              <w:rPr>
                <w:sz w:val="20"/>
                <w:szCs w:val="20"/>
              </w:rPr>
              <w:t>16</w:t>
            </w:r>
          </w:p>
        </w:tc>
        <w:tc>
          <w:tcPr>
            <w:tcW w:w="1134" w:type="dxa"/>
            <w:hideMark/>
          </w:tcPr>
          <w:p w14:paraId="6DF20391" w14:textId="77777777" w:rsidR="009C543A" w:rsidRPr="00A14162" w:rsidRDefault="009C543A" w:rsidP="00A14162">
            <w:pPr>
              <w:pStyle w:val="NormalWeb"/>
              <w:jc w:val="center"/>
              <w:rPr>
                <w:sz w:val="20"/>
                <w:szCs w:val="20"/>
              </w:rPr>
            </w:pPr>
            <w:r w:rsidRPr="00A14162">
              <w:rPr>
                <w:sz w:val="20"/>
                <w:szCs w:val="20"/>
              </w:rPr>
              <w:t>3</w:t>
            </w:r>
          </w:p>
        </w:tc>
        <w:tc>
          <w:tcPr>
            <w:tcW w:w="1559" w:type="dxa"/>
            <w:hideMark/>
          </w:tcPr>
          <w:p w14:paraId="787FD2ED" w14:textId="77777777" w:rsidR="009C543A" w:rsidRPr="00A14162" w:rsidRDefault="009C543A" w:rsidP="00A14162">
            <w:pPr>
              <w:pStyle w:val="NormalWeb"/>
              <w:jc w:val="center"/>
              <w:rPr>
                <w:sz w:val="20"/>
                <w:szCs w:val="20"/>
              </w:rPr>
            </w:pPr>
            <w:r w:rsidRPr="00A14162">
              <w:rPr>
                <w:sz w:val="20"/>
                <w:szCs w:val="20"/>
              </w:rPr>
              <w:t>Nichols-like</w:t>
            </w:r>
          </w:p>
        </w:tc>
        <w:tc>
          <w:tcPr>
            <w:tcW w:w="1984" w:type="dxa"/>
            <w:hideMark/>
          </w:tcPr>
          <w:p w14:paraId="5ACBB4AC" w14:textId="77777777" w:rsidR="009C543A" w:rsidRPr="00A14162" w:rsidRDefault="009C543A" w:rsidP="00A14162">
            <w:pPr>
              <w:pStyle w:val="NormalWeb"/>
              <w:jc w:val="center"/>
              <w:rPr>
                <w:sz w:val="20"/>
                <w:szCs w:val="20"/>
              </w:rPr>
            </w:pPr>
            <w:r w:rsidRPr="00A14162">
              <w:rPr>
                <w:sz w:val="20"/>
                <w:szCs w:val="20"/>
              </w:rPr>
              <w:t>2 (2/0)</w:t>
            </w:r>
          </w:p>
        </w:tc>
        <w:tc>
          <w:tcPr>
            <w:tcW w:w="1560" w:type="dxa"/>
            <w:hideMark/>
          </w:tcPr>
          <w:p w14:paraId="53DF1DF3"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318CC999" w14:textId="77777777" w:rsidR="009C543A" w:rsidRPr="00A14162" w:rsidRDefault="009C543A" w:rsidP="00A14162">
            <w:pPr>
              <w:pStyle w:val="NormalWeb"/>
              <w:jc w:val="center"/>
              <w:rPr>
                <w:sz w:val="20"/>
                <w:szCs w:val="20"/>
              </w:rPr>
            </w:pPr>
            <w:r w:rsidRPr="00A14162">
              <w:rPr>
                <w:sz w:val="20"/>
                <w:szCs w:val="20"/>
              </w:rPr>
              <w:t>2 (100%)</w:t>
            </w:r>
          </w:p>
        </w:tc>
        <w:tc>
          <w:tcPr>
            <w:tcW w:w="1577" w:type="dxa"/>
            <w:hideMark/>
          </w:tcPr>
          <w:p w14:paraId="011EAFA7"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5B953196"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2AE3F3A9" w14:textId="77777777" w:rsidR="009C543A" w:rsidRPr="00A14162" w:rsidRDefault="009C543A" w:rsidP="00A14162">
            <w:pPr>
              <w:pStyle w:val="NormalWeb"/>
              <w:rPr>
                <w:sz w:val="20"/>
                <w:szCs w:val="20"/>
              </w:rPr>
            </w:pPr>
            <w:r w:rsidRPr="00A14162">
              <w:rPr>
                <w:sz w:val="20"/>
                <w:szCs w:val="20"/>
              </w:rPr>
              <w:t>8</w:t>
            </w:r>
          </w:p>
        </w:tc>
        <w:tc>
          <w:tcPr>
            <w:tcW w:w="1134" w:type="dxa"/>
            <w:hideMark/>
          </w:tcPr>
          <w:p w14:paraId="0607575A"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62AED552" w14:textId="77777777" w:rsidR="009C543A" w:rsidRPr="00A14162" w:rsidRDefault="009C543A" w:rsidP="00A14162">
            <w:pPr>
              <w:pStyle w:val="NormalWeb"/>
              <w:jc w:val="center"/>
              <w:rPr>
                <w:sz w:val="20"/>
                <w:szCs w:val="20"/>
              </w:rPr>
            </w:pPr>
            <w:r w:rsidRPr="00A14162">
              <w:rPr>
                <w:sz w:val="20"/>
                <w:szCs w:val="20"/>
              </w:rPr>
              <w:t>5</w:t>
            </w:r>
          </w:p>
        </w:tc>
        <w:tc>
          <w:tcPr>
            <w:tcW w:w="1134" w:type="dxa"/>
            <w:hideMark/>
          </w:tcPr>
          <w:p w14:paraId="683AA721"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2D2A9A92"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567896FF" w14:textId="77777777" w:rsidR="009C543A" w:rsidRPr="00A14162" w:rsidRDefault="009C543A" w:rsidP="00A14162">
            <w:pPr>
              <w:pStyle w:val="NormalWeb"/>
              <w:jc w:val="center"/>
              <w:rPr>
                <w:sz w:val="20"/>
                <w:szCs w:val="20"/>
              </w:rPr>
            </w:pPr>
            <w:r w:rsidRPr="00A14162">
              <w:rPr>
                <w:sz w:val="20"/>
                <w:szCs w:val="20"/>
              </w:rPr>
              <w:t>1 (0/1)</w:t>
            </w:r>
          </w:p>
        </w:tc>
        <w:tc>
          <w:tcPr>
            <w:tcW w:w="1560" w:type="dxa"/>
            <w:hideMark/>
          </w:tcPr>
          <w:p w14:paraId="6B45AB2C"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6AC49E75"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13FFE8DD"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22986D25" w14:textId="77777777" w:rsidTr="009C543A">
        <w:tblPrEx>
          <w:tblCellMar>
            <w:top w:w="57" w:type="dxa"/>
            <w:left w:w="57" w:type="dxa"/>
            <w:bottom w:w="57" w:type="dxa"/>
            <w:right w:w="57" w:type="dxa"/>
          </w:tblCellMar>
        </w:tblPrEx>
        <w:tc>
          <w:tcPr>
            <w:tcW w:w="3261" w:type="dxa"/>
            <w:hideMark/>
          </w:tcPr>
          <w:p w14:paraId="059C3664" w14:textId="77777777" w:rsidR="009C543A" w:rsidRPr="00A14162" w:rsidRDefault="009C543A" w:rsidP="00A14162">
            <w:pPr>
              <w:pStyle w:val="NormalWeb"/>
              <w:rPr>
                <w:sz w:val="20"/>
                <w:szCs w:val="20"/>
              </w:rPr>
            </w:pPr>
            <w:r w:rsidRPr="00A14162">
              <w:rPr>
                <w:sz w:val="20"/>
                <w:szCs w:val="20"/>
              </w:rPr>
              <w:t>13</w:t>
            </w:r>
          </w:p>
        </w:tc>
        <w:tc>
          <w:tcPr>
            <w:tcW w:w="1134" w:type="dxa"/>
            <w:hideMark/>
          </w:tcPr>
          <w:p w14:paraId="54DF4736" w14:textId="77777777" w:rsidR="009C543A" w:rsidRPr="00A14162" w:rsidRDefault="009C543A" w:rsidP="00A14162">
            <w:pPr>
              <w:pStyle w:val="NormalWeb"/>
              <w:jc w:val="center"/>
              <w:rPr>
                <w:sz w:val="20"/>
                <w:szCs w:val="20"/>
              </w:rPr>
            </w:pPr>
            <w:r w:rsidRPr="00A14162">
              <w:rPr>
                <w:sz w:val="20"/>
                <w:szCs w:val="20"/>
              </w:rPr>
              <w:t>6</w:t>
            </w:r>
          </w:p>
        </w:tc>
        <w:tc>
          <w:tcPr>
            <w:tcW w:w="1134" w:type="dxa"/>
            <w:hideMark/>
          </w:tcPr>
          <w:p w14:paraId="14BBB4E4" w14:textId="77777777" w:rsidR="009C543A" w:rsidRPr="00A14162" w:rsidRDefault="009C543A" w:rsidP="00A14162">
            <w:pPr>
              <w:pStyle w:val="NormalWeb"/>
              <w:jc w:val="center"/>
              <w:rPr>
                <w:sz w:val="20"/>
                <w:szCs w:val="20"/>
              </w:rPr>
            </w:pPr>
            <w:r w:rsidRPr="00A14162">
              <w:rPr>
                <w:sz w:val="20"/>
                <w:szCs w:val="20"/>
              </w:rPr>
              <w:t>3</w:t>
            </w:r>
          </w:p>
        </w:tc>
        <w:tc>
          <w:tcPr>
            <w:tcW w:w="1134" w:type="dxa"/>
            <w:hideMark/>
          </w:tcPr>
          <w:p w14:paraId="0017533E"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19E11EC8"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6C66AD68"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3A17529B"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2BC8D442"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5283BA8C"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512C19A7"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4C9FE794" w14:textId="77777777" w:rsidR="009C543A" w:rsidRPr="00A14162" w:rsidRDefault="009C543A" w:rsidP="00A14162">
            <w:pPr>
              <w:pStyle w:val="NormalWeb"/>
              <w:rPr>
                <w:sz w:val="20"/>
                <w:szCs w:val="20"/>
              </w:rPr>
            </w:pPr>
            <w:r w:rsidRPr="00A14162">
              <w:rPr>
                <w:sz w:val="20"/>
                <w:szCs w:val="20"/>
              </w:rPr>
              <w:t>67</w:t>
            </w:r>
          </w:p>
        </w:tc>
        <w:tc>
          <w:tcPr>
            <w:tcW w:w="1134" w:type="dxa"/>
            <w:hideMark/>
          </w:tcPr>
          <w:p w14:paraId="2D83E904"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388F0689" w14:textId="77777777" w:rsidR="009C543A" w:rsidRPr="00A14162" w:rsidRDefault="009C543A" w:rsidP="00A14162">
            <w:pPr>
              <w:pStyle w:val="NormalWeb"/>
              <w:jc w:val="center"/>
              <w:rPr>
                <w:sz w:val="20"/>
                <w:szCs w:val="20"/>
              </w:rPr>
            </w:pPr>
            <w:r w:rsidRPr="00A14162">
              <w:rPr>
                <w:sz w:val="20"/>
                <w:szCs w:val="20"/>
              </w:rPr>
              <w:t>48</w:t>
            </w:r>
          </w:p>
        </w:tc>
        <w:tc>
          <w:tcPr>
            <w:tcW w:w="1134" w:type="dxa"/>
            <w:hideMark/>
          </w:tcPr>
          <w:p w14:paraId="61FA8591" w14:textId="77777777" w:rsidR="009C543A" w:rsidRPr="00A14162" w:rsidRDefault="009C543A" w:rsidP="00A14162">
            <w:pPr>
              <w:pStyle w:val="NormalWeb"/>
              <w:jc w:val="center"/>
              <w:rPr>
                <w:sz w:val="20"/>
                <w:szCs w:val="20"/>
              </w:rPr>
            </w:pPr>
            <w:r w:rsidRPr="00A14162">
              <w:rPr>
                <w:sz w:val="20"/>
                <w:szCs w:val="20"/>
              </w:rPr>
              <w:t>10</w:t>
            </w:r>
          </w:p>
        </w:tc>
        <w:tc>
          <w:tcPr>
            <w:tcW w:w="1559" w:type="dxa"/>
            <w:hideMark/>
          </w:tcPr>
          <w:p w14:paraId="62E2F6AC"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381E0D03"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73E5EE79" w14:textId="77777777" w:rsidR="009C543A" w:rsidRPr="00A14162" w:rsidRDefault="009C543A" w:rsidP="00A14162">
            <w:pPr>
              <w:pStyle w:val="NormalWeb"/>
              <w:jc w:val="center"/>
              <w:rPr>
                <w:sz w:val="20"/>
                <w:szCs w:val="20"/>
              </w:rPr>
            </w:pPr>
            <w:r w:rsidRPr="00A14162">
              <w:rPr>
                <w:sz w:val="20"/>
                <w:szCs w:val="20"/>
              </w:rPr>
              <w:t>1 (100%)</w:t>
            </w:r>
          </w:p>
        </w:tc>
        <w:tc>
          <w:tcPr>
            <w:tcW w:w="1417" w:type="dxa"/>
            <w:hideMark/>
          </w:tcPr>
          <w:p w14:paraId="56FA959C" w14:textId="77777777" w:rsidR="009C543A" w:rsidRPr="00A14162" w:rsidRDefault="009C543A" w:rsidP="00A14162">
            <w:pPr>
              <w:pStyle w:val="NormalWeb"/>
              <w:jc w:val="center"/>
              <w:rPr>
                <w:sz w:val="20"/>
                <w:szCs w:val="20"/>
              </w:rPr>
            </w:pPr>
            <w:r w:rsidRPr="00A14162">
              <w:rPr>
                <w:sz w:val="20"/>
                <w:szCs w:val="20"/>
              </w:rPr>
              <w:t>0 (0%)</w:t>
            </w:r>
          </w:p>
        </w:tc>
        <w:tc>
          <w:tcPr>
            <w:tcW w:w="1577" w:type="dxa"/>
            <w:hideMark/>
          </w:tcPr>
          <w:p w14:paraId="664A7309"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5A5A6584" w14:textId="77777777" w:rsidTr="009C543A">
        <w:tblPrEx>
          <w:tblCellMar>
            <w:top w:w="57" w:type="dxa"/>
            <w:left w:w="57" w:type="dxa"/>
            <w:bottom w:w="57" w:type="dxa"/>
            <w:right w:w="57" w:type="dxa"/>
          </w:tblCellMar>
        </w:tblPrEx>
        <w:tc>
          <w:tcPr>
            <w:tcW w:w="3261" w:type="dxa"/>
            <w:hideMark/>
          </w:tcPr>
          <w:p w14:paraId="23E0FF66" w14:textId="77777777" w:rsidR="009C543A" w:rsidRPr="00A14162" w:rsidRDefault="009C543A" w:rsidP="00A14162">
            <w:pPr>
              <w:pStyle w:val="NormalWeb"/>
              <w:rPr>
                <w:sz w:val="20"/>
                <w:szCs w:val="20"/>
              </w:rPr>
            </w:pPr>
            <w:r w:rsidRPr="00A14162">
              <w:rPr>
                <w:sz w:val="20"/>
                <w:szCs w:val="20"/>
              </w:rPr>
              <w:t>75</w:t>
            </w:r>
          </w:p>
        </w:tc>
        <w:tc>
          <w:tcPr>
            <w:tcW w:w="1134" w:type="dxa"/>
            <w:hideMark/>
          </w:tcPr>
          <w:p w14:paraId="09B2BCD5"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2902E383" w14:textId="77777777" w:rsidR="009C543A" w:rsidRPr="00A14162" w:rsidRDefault="009C543A" w:rsidP="00A14162">
            <w:pPr>
              <w:pStyle w:val="NormalWeb"/>
              <w:jc w:val="center"/>
              <w:rPr>
                <w:sz w:val="20"/>
                <w:szCs w:val="20"/>
              </w:rPr>
            </w:pPr>
            <w:r w:rsidRPr="00A14162">
              <w:rPr>
                <w:sz w:val="20"/>
                <w:szCs w:val="20"/>
              </w:rPr>
              <w:t>55</w:t>
            </w:r>
          </w:p>
        </w:tc>
        <w:tc>
          <w:tcPr>
            <w:tcW w:w="1134" w:type="dxa"/>
            <w:hideMark/>
          </w:tcPr>
          <w:p w14:paraId="6EDEF1E7"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79F31889"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7E013614"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0F849647"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6C85E2C1"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6758F275"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51C8F4FE"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58F57230" w14:textId="77777777" w:rsidR="009C543A" w:rsidRPr="00A14162" w:rsidRDefault="009C543A" w:rsidP="00A14162">
            <w:pPr>
              <w:pStyle w:val="NormalWeb"/>
              <w:rPr>
                <w:sz w:val="20"/>
                <w:szCs w:val="20"/>
              </w:rPr>
            </w:pPr>
            <w:r w:rsidRPr="00A14162">
              <w:rPr>
                <w:sz w:val="20"/>
                <w:szCs w:val="20"/>
              </w:rPr>
              <w:t>1 &amp; 70 mix</w:t>
            </w:r>
          </w:p>
        </w:tc>
        <w:tc>
          <w:tcPr>
            <w:tcW w:w="1134" w:type="dxa"/>
            <w:hideMark/>
          </w:tcPr>
          <w:p w14:paraId="5B2A713B"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0646BD74" w14:textId="77777777" w:rsidR="009C543A" w:rsidRPr="00A14162" w:rsidRDefault="009C543A" w:rsidP="00A14162">
            <w:pPr>
              <w:pStyle w:val="NormalWeb"/>
              <w:jc w:val="center"/>
              <w:rPr>
                <w:sz w:val="20"/>
                <w:szCs w:val="20"/>
              </w:rPr>
            </w:pPr>
            <w:r w:rsidRPr="00A14162">
              <w:rPr>
                <w:sz w:val="20"/>
                <w:szCs w:val="20"/>
              </w:rPr>
              <w:t>3 + 70 mix</w:t>
            </w:r>
          </w:p>
        </w:tc>
        <w:tc>
          <w:tcPr>
            <w:tcW w:w="1134" w:type="dxa"/>
            <w:hideMark/>
          </w:tcPr>
          <w:p w14:paraId="62DEB686"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150D130A"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31A030BD"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697A8EC9"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1DC4A3D7"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1BCE3B63"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474F49AF" w14:textId="77777777" w:rsidTr="009C543A">
        <w:tblPrEx>
          <w:tblCellMar>
            <w:top w:w="57" w:type="dxa"/>
            <w:left w:w="57" w:type="dxa"/>
            <w:bottom w:w="57" w:type="dxa"/>
            <w:right w:w="57" w:type="dxa"/>
          </w:tblCellMar>
        </w:tblPrEx>
        <w:tc>
          <w:tcPr>
            <w:tcW w:w="3261" w:type="dxa"/>
            <w:hideMark/>
          </w:tcPr>
          <w:p w14:paraId="256B9EAC" w14:textId="77777777" w:rsidR="009C543A" w:rsidRPr="00A14162" w:rsidRDefault="009C543A" w:rsidP="00A14162">
            <w:pPr>
              <w:pStyle w:val="NormalWeb"/>
              <w:rPr>
                <w:sz w:val="20"/>
                <w:szCs w:val="20"/>
              </w:rPr>
            </w:pPr>
            <w:r w:rsidRPr="00A14162">
              <w:rPr>
                <w:sz w:val="20"/>
                <w:szCs w:val="20"/>
              </w:rPr>
              <w:t>93</w:t>
            </w:r>
          </w:p>
        </w:tc>
        <w:tc>
          <w:tcPr>
            <w:tcW w:w="1134" w:type="dxa"/>
            <w:hideMark/>
          </w:tcPr>
          <w:p w14:paraId="2CB303A1"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6A9EF47A" w14:textId="77777777" w:rsidR="009C543A" w:rsidRPr="00A14162" w:rsidRDefault="009C543A" w:rsidP="00A14162">
            <w:pPr>
              <w:pStyle w:val="NormalWeb"/>
              <w:jc w:val="center"/>
              <w:rPr>
                <w:sz w:val="20"/>
                <w:szCs w:val="20"/>
              </w:rPr>
            </w:pPr>
            <w:r w:rsidRPr="00A14162">
              <w:rPr>
                <w:sz w:val="20"/>
                <w:szCs w:val="20"/>
              </w:rPr>
              <w:t>78</w:t>
            </w:r>
          </w:p>
        </w:tc>
        <w:tc>
          <w:tcPr>
            <w:tcW w:w="1134" w:type="dxa"/>
            <w:hideMark/>
          </w:tcPr>
          <w:p w14:paraId="6F15E6FA"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364AEBEC"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7349942C"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68C65B36"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1CA610F1"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29E4BDBA"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6BC676BF"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47CA927E" w14:textId="77777777" w:rsidR="009C543A" w:rsidRPr="00A14162" w:rsidRDefault="009C543A" w:rsidP="00A14162">
            <w:pPr>
              <w:pStyle w:val="NormalWeb"/>
              <w:rPr>
                <w:sz w:val="20"/>
                <w:szCs w:val="20"/>
              </w:rPr>
            </w:pPr>
            <w:r w:rsidRPr="00A14162">
              <w:rPr>
                <w:sz w:val="20"/>
                <w:szCs w:val="20"/>
              </w:rPr>
              <w:t>95</w:t>
            </w:r>
          </w:p>
        </w:tc>
        <w:tc>
          <w:tcPr>
            <w:tcW w:w="1134" w:type="dxa"/>
            <w:hideMark/>
          </w:tcPr>
          <w:p w14:paraId="4162D666"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07C7CCBE"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170645A8" w14:textId="77777777" w:rsidR="009C543A" w:rsidRPr="00A14162" w:rsidRDefault="009C543A" w:rsidP="00A14162">
            <w:pPr>
              <w:pStyle w:val="NormalWeb"/>
              <w:jc w:val="center"/>
              <w:rPr>
                <w:sz w:val="20"/>
                <w:szCs w:val="20"/>
              </w:rPr>
            </w:pPr>
            <w:r w:rsidRPr="00A14162">
              <w:rPr>
                <w:sz w:val="20"/>
                <w:szCs w:val="20"/>
              </w:rPr>
              <w:t>19</w:t>
            </w:r>
          </w:p>
        </w:tc>
        <w:tc>
          <w:tcPr>
            <w:tcW w:w="1559" w:type="dxa"/>
            <w:hideMark/>
          </w:tcPr>
          <w:p w14:paraId="66AAED16"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46564187" w14:textId="77777777" w:rsidR="009C543A" w:rsidRPr="00A14162" w:rsidRDefault="009C543A" w:rsidP="00A14162">
            <w:pPr>
              <w:pStyle w:val="NormalWeb"/>
              <w:jc w:val="center"/>
              <w:rPr>
                <w:sz w:val="20"/>
                <w:szCs w:val="20"/>
              </w:rPr>
            </w:pPr>
            <w:r w:rsidRPr="00A14162">
              <w:rPr>
                <w:sz w:val="20"/>
                <w:szCs w:val="20"/>
              </w:rPr>
              <w:t>1 (0/1)</w:t>
            </w:r>
          </w:p>
        </w:tc>
        <w:tc>
          <w:tcPr>
            <w:tcW w:w="1560" w:type="dxa"/>
            <w:hideMark/>
          </w:tcPr>
          <w:p w14:paraId="761CBE64"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47C1072D"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533D2522"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3984F51E" w14:textId="77777777" w:rsidTr="009C543A">
        <w:tblPrEx>
          <w:tblCellMar>
            <w:top w:w="57" w:type="dxa"/>
            <w:left w:w="57" w:type="dxa"/>
            <w:bottom w:w="57" w:type="dxa"/>
            <w:right w:w="57" w:type="dxa"/>
          </w:tblCellMar>
        </w:tblPrEx>
        <w:tc>
          <w:tcPr>
            <w:tcW w:w="3261" w:type="dxa"/>
            <w:hideMark/>
          </w:tcPr>
          <w:p w14:paraId="37C65EB8" w14:textId="77777777" w:rsidR="009C543A" w:rsidRPr="00A14162" w:rsidRDefault="009C543A" w:rsidP="00A14162">
            <w:pPr>
              <w:pStyle w:val="NormalWeb"/>
              <w:rPr>
                <w:sz w:val="20"/>
                <w:szCs w:val="20"/>
              </w:rPr>
            </w:pPr>
            <w:r w:rsidRPr="00A14162">
              <w:rPr>
                <w:sz w:val="20"/>
                <w:szCs w:val="20"/>
              </w:rPr>
              <w:t>96</w:t>
            </w:r>
          </w:p>
        </w:tc>
        <w:tc>
          <w:tcPr>
            <w:tcW w:w="1134" w:type="dxa"/>
            <w:hideMark/>
          </w:tcPr>
          <w:p w14:paraId="502C90E2"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58BF1859"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3615FDE7" w14:textId="77777777" w:rsidR="009C543A" w:rsidRPr="00A14162" w:rsidRDefault="009C543A" w:rsidP="00A14162">
            <w:pPr>
              <w:pStyle w:val="NormalWeb"/>
              <w:jc w:val="center"/>
              <w:rPr>
                <w:sz w:val="20"/>
                <w:szCs w:val="20"/>
              </w:rPr>
            </w:pPr>
            <w:r w:rsidRPr="00A14162">
              <w:rPr>
                <w:sz w:val="20"/>
                <w:szCs w:val="20"/>
              </w:rPr>
              <w:t>18</w:t>
            </w:r>
          </w:p>
        </w:tc>
        <w:tc>
          <w:tcPr>
            <w:tcW w:w="1559" w:type="dxa"/>
            <w:hideMark/>
          </w:tcPr>
          <w:p w14:paraId="04BA4C28"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7A0847B6"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2AB3FF43"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565487C7"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03E9C05A"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4D80834A"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3CBC511F" w14:textId="77777777" w:rsidR="009C543A" w:rsidRPr="00A14162" w:rsidRDefault="009C543A" w:rsidP="00A14162">
            <w:pPr>
              <w:pStyle w:val="NormalWeb"/>
              <w:rPr>
                <w:sz w:val="20"/>
                <w:szCs w:val="20"/>
              </w:rPr>
            </w:pPr>
            <w:r w:rsidRPr="00A14162">
              <w:rPr>
                <w:sz w:val="20"/>
                <w:szCs w:val="20"/>
              </w:rPr>
              <w:lastRenderedPageBreak/>
              <w:t>97</w:t>
            </w:r>
          </w:p>
        </w:tc>
        <w:tc>
          <w:tcPr>
            <w:tcW w:w="1134" w:type="dxa"/>
            <w:hideMark/>
          </w:tcPr>
          <w:p w14:paraId="1F80E835"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2F58F9D8" w14:textId="77777777" w:rsidR="009C543A" w:rsidRPr="00A14162" w:rsidRDefault="009C543A" w:rsidP="00A14162">
            <w:pPr>
              <w:pStyle w:val="NormalWeb"/>
              <w:jc w:val="center"/>
              <w:rPr>
                <w:sz w:val="20"/>
                <w:szCs w:val="20"/>
              </w:rPr>
            </w:pPr>
            <w:r w:rsidRPr="00A14162">
              <w:rPr>
                <w:sz w:val="20"/>
                <w:szCs w:val="20"/>
              </w:rPr>
              <w:t>71</w:t>
            </w:r>
          </w:p>
        </w:tc>
        <w:tc>
          <w:tcPr>
            <w:tcW w:w="1134" w:type="dxa"/>
            <w:hideMark/>
          </w:tcPr>
          <w:p w14:paraId="03759CFA"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5213DD90"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5F27C6BC"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140009F1"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608A2EC0"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3030718A"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108C6142" w14:textId="77777777" w:rsidTr="009C543A">
        <w:tblPrEx>
          <w:tblCellMar>
            <w:top w:w="57" w:type="dxa"/>
            <w:left w:w="57" w:type="dxa"/>
            <w:bottom w:w="57" w:type="dxa"/>
            <w:right w:w="57" w:type="dxa"/>
          </w:tblCellMar>
        </w:tblPrEx>
        <w:tc>
          <w:tcPr>
            <w:tcW w:w="3261" w:type="dxa"/>
            <w:hideMark/>
          </w:tcPr>
          <w:p w14:paraId="563984A6" w14:textId="77777777" w:rsidR="009C543A" w:rsidRPr="00A14162" w:rsidRDefault="009C543A" w:rsidP="00A14162">
            <w:pPr>
              <w:pStyle w:val="NormalWeb"/>
              <w:rPr>
                <w:sz w:val="20"/>
                <w:szCs w:val="20"/>
              </w:rPr>
            </w:pPr>
            <w:r w:rsidRPr="00A14162">
              <w:rPr>
                <w:sz w:val="20"/>
                <w:szCs w:val="20"/>
              </w:rPr>
              <w:t>98</w:t>
            </w:r>
          </w:p>
        </w:tc>
        <w:tc>
          <w:tcPr>
            <w:tcW w:w="1134" w:type="dxa"/>
            <w:hideMark/>
          </w:tcPr>
          <w:p w14:paraId="77A2BB2E"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38F3BC9C" w14:textId="77777777" w:rsidR="009C543A" w:rsidRPr="00A14162" w:rsidRDefault="009C543A" w:rsidP="00A14162">
            <w:pPr>
              <w:pStyle w:val="NormalWeb"/>
              <w:jc w:val="center"/>
              <w:rPr>
                <w:sz w:val="20"/>
                <w:szCs w:val="20"/>
              </w:rPr>
            </w:pPr>
            <w:r w:rsidRPr="00A14162">
              <w:rPr>
                <w:sz w:val="20"/>
                <w:szCs w:val="20"/>
              </w:rPr>
              <w:t>74</w:t>
            </w:r>
          </w:p>
        </w:tc>
        <w:tc>
          <w:tcPr>
            <w:tcW w:w="1134" w:type="dxa"/>
            <w:hideMark/>
          </w:tcPr>
          <w:p w14:paraId="799791E6" w14:textId="77777777" w:rsidR="009C543A" w:rsidRPr="00A14162" w:rsidRDefault="009C543A" w:rsidP="00A14162">
            <w:pPr>
              <w:pStyle w:val="NormalWeb"/>
              <w:jc w:val="center"/>
              <w:rPr>
                <w:sz w:val="20"/>
                <w:szCs w:val="20"/>
              </w:rPr>
            </w:pPr>
            <w:r w:rsidRPr="00A14162">
              <w:rPr>
                <w:sz w:val="20"/>
                <w:szCs w:val="20"/>
              </w:rPr>
              <w:t>8</w:t>
            </w:r>
          </w:p>
        </w:tc>
        <w:tc>
          <w:tcPr>
            <w:tcW w:w="1559" w:type="dxa"/>
            <w:hideMark/>
          </w:tcPr>
          <w:p w14:paraId="46C50D9B"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10A7C043"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0E8792B9"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02148885"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68C60A77"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74BE07C5"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747BEC47" w14:textId="77777777" w:rsidR="009C543A" w:rsidRPr="00A14162" w:rsidRDefault="009C543A" w:rsidP="00A14162">
            <w:pPr>
              <w:pStyle w:val="NormalWeb"/>
              <w:rPr>
                <w:sz w:val="20"/>
                <w:szCs w:val="20"/>
              </w:rPr>
            </w:pPr>
            <w:r w:rsidRPr="00A14162">
              <w:rPr>
                <w:sz w:val="20"/>
                <w:szCs w:val="20"/>
              </w:rPr>
              <w:t>99</w:t>
            </w:r>
          </w:p>
        </w:tc>
        <w:tc>
          <w:tcPr>
            <w:tcW w:w="1134" w:type="dxa"/>
            <w:hideMark/>
          </w:tcPr>
          <w:p w14:paraId="51244EB0"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78EB892E" w14:textId="77777777" w:rsidR="009C543A" w:rsidRPr="00A14162" w:rsidRDefault="009C543A" w:rsidP="00A14162">
            <w:pPr>
              <w:pStyle w:val="NormalWeb"/>
              <w:jc w:val="center"/>
              <w:rPr>
                <w:sz w:val="20"/>
                <w:szCs w:val="20"/>
              </w:rPr>
            </w:pPr>
            <w:r w:rsidRPr="00A14162">
              <w:rPr>
                <w:sz w:val="20"/>
                <w:szCs w:val="20"/>
              </w:rPr>
              <w:t>76</w:t>
            </w:r>
          </w:p>
        </w:tc>
        <w:tc>
          <w:tcPr>
            <w:tcW w:w="1134" w:type="dxa"/>
            <w:hideMark/>
          </w:tcPr>
          <w:p w14:paraId="7EFAA258"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7032F4E4"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6DE9B075"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39236C6B"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1F031EB6"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55BDFDCA"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14968966" w14:textId="77777777" w:rsidTr="009C543A">
        <w:tblPrEx>
          <w:tblCellMar>
            <w:top w:w="57" w:type="dxa"/>
            <w:left w:w="57" w:type="dxa"/>
            <w:bottom w:w="57" w:type="dxa"/>
            <w:right w:w="57" w:type="dxa"/>
          </w:tblCellMar>
        </w:tblPrEx>
        <w:tc>
          <w:tcPr>
            <w:tcW w:w="3261" w:type="dxa"/>
            <w:hideMark/>
          </w:tcPr>
          <w:p w14:paraId="393D0528" w14:textId="77777777" w:rsidR="009C543A" w:rsidRPr="00A14162" w:rsidRDefault="009C543A" w:rsidP="00A14162">
            <w:pPr>
              <w:pStyle w:val="NormalWeb"/>
              <w:rPr>
                <w:sz w:val="20"/>
                <w:szCs w:val="20"/>
              </w:rPr>
            </w:pPr>
            <w:r w:rsidRPr="00A14162">
              <w:rPr>
                <w:sz w:val="20"/>
                <w:szCs w:val="20"/>
              </w:rPr>
              <w:t>102</w:t>
            </w:r>
          </w:p>
        </w:tc>
        <w:tc>
          <w:tcPr>
            <w:tcW w:w="1134" w:type="dxa"/>
            <w:hideMark/>
          </w:tcPr>
          <w:p w14:paraId="74FB9B48"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73810B7E" w14:textId="77777777" w:rsidR="009C543A" w:rsidRPr="00A14162" w:rsidRDefault="009C543A" w:rsidP="00A14162">
            <w:pPr>
              <w:pStyle w:val="NormalWeb"/>
              <w:jc w:val="center"/>
              <w:rPr>
                <w:sz w:val="20"/>
                <w:szCs w:val="20"/>
              </w:rPr>
            </w:pPr>
            <w:r w:rsidRPr="00A14162">
              <w:rPr>
                <w:sz w:val="20"/>
                <w:szCs w:val="20"/>
              </w:rPr>
              <w:t>32</w:t>
            </w:r>
          </w:p>
        </w:tc>
        <w:tc>
          <w:tcPr>
            <w:tcW w:w="1134" w:type="dxa"/>
            <w:hideMark/>
          </w:tcPr>
          <w:p w14:paraId="38A2E82B" w14:textId="77777777" w:rsidR="009C543A" w:rsidRPr="00A14162" w:rsidRDefault="009C543A" w:rsidP="00A14162">
            <w:pPr>
              <w:pStyle w:val="NormalWeb"/>
              <w:jc w:val="center"/>
              <w:rPr>
                <w:sz w:val="20"/>
                <w:szCs w:val="20"/>
              </w:rPr>
            </w:pPr>
            <w:r w:rsidRPr="00A14162">
              <w:rPr>
                <w:sz w:val="20"/>
                <w:szCs w:val="20"/>
              </w:rPr>
              <w:t>8</w:t>
            </w:r>
          </w:p>
        </w:tc>
        <w:tc>
          <w:tcPr>
            <w:tcW w:w="1559" w:type="dxa"/>
            <w:hideMark/>
          </w:tcPr>
          <w:p w14:paraId="5CB19C26"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24C0588A"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02116DD8"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71AFA46C"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7A43C2D6"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2839CB41"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6E21D90E" w14:textId="77777777" w:rsidR="009C543A" w:rsidRPr="00A14162" w:rsidRDefault="009C543A" w:rsidP="00A14162">
            <w:pPr>
              <w:pStyle w:val="NormalWeb"/>
              <w:rPr>
                <w:sz w:val="20"/>
                <w:szCs w:val="20"/>
              </w:rPr>
            </w:pPr>
            <w:r w:rsidRPr="00A14162">
              <w:rPr>
                <w:sz w:val="20"/>
                <w:szCs w:val="20"/>
              </w:rPr>
              <w:t>114</w:t>
            </w:r>
          </w:p>
        </w:tc>
        <w:tc>
          <w:tcPr>
            <w:tcW w:w="1134" w:type="dxa"/>
            <w:hideMark/>
          </w:tcPr>
          <w:p w14:paraId="2390E779"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090CCA54" w14:textId="77777777" w:rsidR="009C543A" w:rsidRPr="00A14162" w:rsidRDefault="009C543A" w:rsidP="00A14162">
            <w:pPr>
              <w:pStyle w:val="NormalWeb"/>
              <w:jc w:val="center"/>
              <w:rPr>
                <w:sz w:val="20"/>
                <w:szCs w:val="20"/>
              </w:rPr>
            </w:pPr>
            <w:r w:rsidRPr="00A14162">
              <w:rPr>
                <w:sz w:val="20"/>
                <w:szCs w:val="20"/>
              </w:rPr>
              <w:t>73</w:t>
            </w:r>
          </w:p>
        </w:tc>
        <w:tc>
          <w:tcPr>
            <w:tcW w:w="1134" w:type="dxa"/>
            <w:hideMark/>
          </w:tcPr>
          <w:p w14:paraId="4ABAA2ED" w14:textId="77777777" w:rsidR="009C543A" w:rsidRPr="00A14162" w:rsidRDefault="009C543A" w:rsidP="00A14162">
            <w:pPr>
              <w:pStyle w:val="NormalWeb"/>
              <w:jc w:val="center"/>
              <w:rPr>
                <w:sz w:val="20"/>
                <w:szCs w:val="20"/>
              </w:rPr>
            </w:pPr>
            <w:r w:rsidRPr="00A14162">
              <w:rPr>
                <w:sz w:val="20"/>
                <w:szCs w:val="20"/>
              </w:rPr>
              <w:t>9</w:t>
            </w:r>
          </w:p>
        </w:tc>
        <w:tc>
          <w:tcPr>
            <w:tcW w:w="1559" w:type="dxa"/>
            <w:hideMark/>
          </w:tcPr>
          <w:p w14:paraId="75093097"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7C9A1088"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3D791F07" w14:textId="77777777" w:rsidR="009C543A" w:rsidRPr="00A14162" w:rsidRDefault="009C543A" w:rsidP="00A14162">
            <w:pPr>
              <w:pStyle w:val="NormalWeb"/>
              <w:jc w:val="center"/>
              <w:rPr>
                <w:sz w:val="20"/>
                <w:szCs w:val="20"/>
              </w:rPr>
            </w:pPr>
            <w:r w:rsidRPr="00A14162">
              <w:rPr>
                <w:sz w:val="20"/>
                <w:szCs w:val="20"/>
              </w:rPr>
              <w:t>1 (100%)</w:t>
            </w:r>
          </w:p>
        </w:tc>
        <w:tc>
          <w:tcPr>
            <w:tcW w:w="1417" w:type="dxa"/>
            <w:hideMark/>
          </w:tcPr>
          <w:p w14:paraId="6AA81F7D" w14:textId="77777777" w:rsidR="009C543A" w:rsidRPr="00A14162" w:rsidRDefault="009C543A" w:rsidP="00A14162">
            <w:pPr>
              <w:pStyle w:val="NormalWeb"/>
              <w:jc w:val="center"/>
              <w:rPr>
                <w:sz w:val="20"/>
                <w:szCs w:val="20"/>
              </w:rPr>
            </w:pPr>
            <w:r w:rsidRPr="00A14162">
              <w:rPr>
                <w:sz w:val="20"/>
                <w:szCs w:val="20"/>
              </w:rPr>
              <w:t>0 (0%)</w:t>
            </w:r>
          </w:p>
        </w:tc>
        <w:tc>
          <w:tcPr>
            <w:tcW w:w="1577" w:type="dxa"/>
            <w:hideMark/>
          </w:tcPr>
          <w:p w14:paraId="4ECCF758"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2776E794" w14:textId="77777777" w:rsidTr="009C543A">
        <w:tblPrEx>
          <w:tblCellMar>
            <w:top w:w="57" w:type="dxa"/>
            <w:left w:w="57" w:type="dxa"/>
            <w:bottom w:w="57" w:type="dxa"/>
            <w:right w:w="57" w:type="dxa"/>
          </w:tblCellMar>
        </w:tblPrEx>
        <w:tc>
          <w:tcPr>
            <w:tcW w:w="3261" w:type="dxa"/>
            <w:hideMark/>
          </w:tcPr>
          <w:p w14:paraId="4C373FC0" w14:textId="77777777" w:rsidR="009C543A" w:rsidRPr="00A14162" w:rsidRDefault="009C543A" w:rsidP="00A14162">
            <w:pPr>
              <w:pStyle w:val="NormalWeb"/>
              <w:rPr>
                <w:sz w:val="20"/>
                <w:szCs w:val="20"/>
              </w:rPr>
            </w:pPr>
            <w:r w:rsidRPr="00A14162">
              <w:rPr>
                <w:sz w:val="20"/>
                <w:szCs w:val="20"/>
              </w:rPr>
              <w:t>104</w:t>
            </w:r>
          </w:p>
        </w:tc>
        <w:tc>
          <w:tcPr>
            <w:tcW w:w="1134" w:type="dxa"/>
            <w:hideMark/>
          </w:tcPr>
          <w:p w14:paraId="7E9578FF" w14:textId="77777777" w:rsidR="009C543A" w:rsidRPr="00A14162" w:rsidRDefault="009C543A" w:rsidP="00A14162">
            <w:pPr>
              <w:pStyle w:val="NormalWeb"/>
              <w:jc w:val="center"/>
              <w:rPr>
                <w:sz w:val="20"/>
                <w:szCs w:val="20"/>
              </w:rPr>
            </w:pPr>
            <w:r w:rsidRPr="00A14162">
              <w:rPr>
                <w:sz w:val="20"/>
                <w:szCs w:val="20"/>
              </w:rPr>
              <w:t>34</w:t>
            </w:r>
          </w:p>
        </w:tc>
        <w:tc>
          <w:tcPr>
            <w:tcW w:w="1134" w:type="dxa"/>
            <w:hideMark/>
          </w:tcPr>
          <w:p w14:paraId="474FBD15" w14:textId="77777777" w:rsidR="009C543A" w:rsidRPr="00A14162" w:rsidRDefault="009C543A" w:rsidP="00A14162">
            <w:pPr>
              <w:pStyle w:val="NormalWeb"/>
              <w:jc w:val="center"/>
              <w:rPr>
                <w:sz w:val="20"/>
                <w:szCs w:val="20"/>
              </w:rPr>
            </w:pPr>
            <w:r w:rsidRPr="00A14162">
              <w:rPr>
                <w:sz w:val="20"/>
                <w:szCs w:val="20"/>
              </w:rPr>
              <w:t>1</w:t>
            </w:r>
          </w:p>
        </w:tc>
        <w:tc>
          <w:tcPr>
            <w:tcW w:w="1134" w:type="dxa"/>
            <w:hideMark/>
          </w:tcPr>
          <w:p w14:paraId="59159E94" w14:textId="77777777" w:rsidR="009C543A" w:rsidRPr="00A14162" w:rsidRDefault="009C543A" w:rsidP="00A14162">
            <w:pPr>
              <w:pStyle w:val="NormalWeb"/>
              <w:jc w:val="center"/>
              <w:rPr>
                <w:sz w:val="20"/>
                <w:szCs w:val="20"/>
              </w:rPr>
            </w:pPr>
            <w:r w:rsidRPr="00A14162">
              <w:rPr>
                <w:sz w:val="20"/>
                <w:szCs w:val="20"/>
              </w:rPr>
              <w:t>3</w:t>
            </w:r>
          </w:p>
        </w:tc>
        <w:tc>
          <w:tcPr>
            <w:tcW w:w="1559" w:type="dxa"/>
            <w:hideMark/>
          </w:tcPr>
          <w:p w14:paraId="2D716657"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726FD186"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46C5EB2E"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31DC13F6" w14:textId="77777777" w:rsidR="009C543A" w:rsidRPr="00A14162" w:rsidRDefault="009C543A" w:rsidP="00A14162">
            <w:pPr>
              <w:pStyle w:val="NormalWeb"/>
              <w:jc w:val="center"/>
              <w:rPr>
                <w:sz w:val="20"/>
                <w:szCs w:val="20"/>
              </w:rPr>
            </w:pPr>
            <w:r w:rsidRPr="00A14162">
              <w:rPr>
                <w:sz w:val="20"/>
                <w:szCs w:val="20"/>
              </w:rPr>
              <w:t>0 (0%)</w:t>
            </w:r>
          </w:p>
        </w:tc>
        <w:tc>
          <w:tcPr>
            <w:tcW w:w="1577" w:type="dxa"/>
            <w:hideMark/>
          </w:tcPr>
          <w:p w14:paraId="62F68C72" w14:textId="77777777" w:rsidR="009C543A" w:rsidRPr="00A14162" w:rsidRDefault="009C543A" w:rsidP="00A14162">
            <w:pPr>
              <w:pStyle w:val="NormalWeb"/>
              <w:jc w:val="center"/>
              <w:rPr>
                <w:sz w:val="20"/>
                <w:szCs w:val="20"/>
              </w:rPr>
            </w:pPr>
            <w:r w:rsidRPr="00A14162">
              <w:rPr>
                <w:sz w:val="20"/>
                <w:szCs w:val="20"/>
              </w:rPr>
              <w:t>1 (100%)</w:t>
            </w:r>
          </w:p>
        </w:tc>
      </w:tr>
      <w:tr w:rsidR="00A14162" w:rsidRPr="00A14162" w14:paraId="56B4C7D1"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179EDD67" w14:textId="77777777" w:rsidR="009C543A" w:rsidRPr="00A14162" w:rsidRDefault="009C543A" w:rsidP="00A14162">
            <w:pPr>
              <w:pStyle w:val="NormalWeb"/>
              <w:rPr>
                <w:sz w:val="20"/>
                <w:szCs w:val="20"/>
              </w:rPr>
            </w:pPr>
            <w:r w:rsidRPr="00A14162">
              <w:rPr>
                <w:sz w:val="20"/>
                <w:szCs w:val="20"/>
              </w:rPr>
              <w:t>105</w:t>
            </w:r>
          </w:p>
        </w:tc>
        <w:tc>
          <w:tcPr>
            <w:tcW w:w="1134" w:type="dxa"/>
            <w:hideMark/>
          </w:tcPr>
          <w:p w14:paraId="44A07A94" w14:textId="77777777" w:rsidR="009C543A" w:rsidRPr="00A14162" w:rsidRDefault="009C543A" w:rsidP="00A14162">
            <w:pPr>
              <w:pStyle w:val="NormalWeb"/>
              <w:jc w:val="center"/>
              <w:rPr>
                <w:sz w:val="20"/>
                <w:szCs w:val="20"/>
              </w:rPr>
            </w:pPr>
            <w:r w:rsidRPr="00A14162">
              <w:rPr>
                <w:sz w:val="20"/>
                <w:szCs w:val="20"/>
              </w:rPr>
              <w:t>32</w:t>
            </w:r>
          </w:p>
        </w:tc>
        <w:tc>
          <w:tcPr>
            <w:tcW w:w="1134" w:type="dxa"/>
            <w:hideMark/>
          </w:tcPr>
          <w:p w14:paraId="5B8B6884" w14:textId="77777777" w:rsidR="009C543A" w:rsidRPr="00A14162" w:rsidRDefault="009C543A" w:rsidP="00A14162">
            <w:pPr>
              <w:pStyle w:val="NormalWeb"/>
              <w:jc w:val="center"/>
              <w:rPr>
                <w:sz w:val="20"/>
                <w:szCs w:val="20"/>
              </w:rPr>
            </w:pPr>
            <w:r w:rsidRPr="00A14162">
              <w:rPr>
                <w:sz w:val="20"/>
                <w:szCs w:val="20"/>
              </w:rPr>
              <w:t>3</w:t>
            </w:r>
          </w:p>
        </w:tc>
        <w:tc>
          <w:tcPr>
            <w:tcW w:w="1134" w:type="dxa"/>
            <w:hideMark/>
          </w:tcPr>
          <w:p w14:paraId="0E35673F"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31C6A6D1"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2CFA6BFB" w14:textId="77777777" w:rsidR="009C543A" w:rsidRPr="00A14162" w:rsidRDefault="009C543A" w:rsidP="00A14162">
            <w:pPr>
              <w:pStyle w:val="NormalWeb"/>
              <w:jc w:val="center"/>
              <w:rPr>
                <w:sz w:val="20"/>
                <w:szCs w:val="20"/>
              </w:rPr>
            </w:pPr>
            <w:r w:rsidRPr="00A14162">
              <w:rPr>
                <w:sz w:val="20"/>
                <w:szCs w:val="20"/>
              </w:rPr>
              <w:t>1 (0/1)</w:t>
            </w:r>
          </w:p>
        </w:tc>
        <w:tc>
          <w:tcPr>
            <w:tcW w:w="1560" w:type="dxa"/>
            <w:hideMark/>
          </w:tcPr>
          <w:p w14:paraId="1E0D3DAC"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7D03BFE1"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13E5171F"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1B6644ED" w14:textId="77777777" w:rsidTr="009C543A">
        <w:tblPrEx>
          <w:tblCellMar>
            <w:top w:w="57" w:type="dxa"/>
            <w:left w:w="57" w:type="dxa"/>
            <w:bottom w:w="57" w:type="dxa"/>
            <w:right w:w="57" w:type="dxa"/>
          </w:tblCellMar>
        </w:tblPrEx>
        <w:tc>
          <w:tcPr>
            <w:tcW w:w="3261" w:type="dxa"/>
            <w:hideMark/>
          </w:tcPr>
          <w:p w14:paraId="706288AC" w14:textId="77777777" w:rsidR="009C543A" w:rsidRPr="00A14162" w:rsidRDefault="009C543A" w:rsidP="00A14162">
            <w:pPr>
              <w:pStyle w:val="NormalWeb"/>
              <w:rPr>
                <w:sz w:val="20"/>
                <w:szCs w:val="20"/>
              </w:rPr>
            </w:pPr>
            <w:r w:rsidRPr="00A14162">
              <w:rPr>
                <w:sz w:val="20"/>
                <w:szCs w:val="20"/>
              </w:rPr>
              <w:t>106</w:t>
            </w:r>
          </w:p>
        </w:tc>
        <w:tc>
          <w:tcPr>
            <w:tcW w:w="1134" w:type="dxa"/>
            <w:hideMark/>
          </w:tcPr>
          <w:p w14:paraId="0F220FF8" w14:textId="77777777" w:rsidR="009C543A" w:rsidRPr="00A14162" w:rsidRDefault="009C543A" w:rsidP="00A14162">
            <w:pPr>
              <w:pStyle w:val="NormalWeb"/>
              <w:jc w:val="center"/>
              <w:rPr>
                <w:sz w:val="20"/>
                <w:szCs w:val="20"/>
              </w:rPr>
            </w:pPr>
            <w:r w:rsidRPr="00A14162">
              <w:rPr>
                <w:sz w:val="20"/>
                <w:szCs w:val="20"/>
              </w:rPr>
              <w:t>39</w:t>
            </w:r>
          </w:p>
        </w:tc>
        <w:tc>
          <w:tcPr>
            <w:tcW w:w="1134" w:type="dxa"/>
            <w:hideMark/>
          </w:tcPr>
          <w:p w14:paraId="28CB5CB6" w14:textId="77777777" w:rsidR="009C543A" w:rsidRPr="00A14162" w:rsidRDefault="009C543A" w:rsidP="00A14162">
            <w:pPr>
              <w:pStyle w:val="NormalWeb"/>
              <w:jc w:val="center"/>
              <w:rPr>
                <w:sz w:val="20"/>
                <w:szCs w:val="20"/>
              </w:rPr>
            </w:pPr>
            <w:r w:rsidRPr="00A14162">
              <w:rPr>
                <w:sz w:val="20"/>
                <w:szCs w:val="20"/>
              </w:rPr>
              <w:t>70</w:t>
            </w:r>
          </w:p>
        </w:tc>
        <w:tc>
          <w:tcPr>
            <w:tcW w:w="1134" w:type="dxa"/>
            <w:hideMark/>
          </w:tcPr>
          <w:p w14:paraId="1CB06DC3"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376F9BCB"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4FB89F4D"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78C41DAB"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16B31B04"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70201F86"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2469FD43"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3D6F0BA5" w14:textId="77777777" w:rsidR="009C543A" w:rsidRPr="00A14162" w:rsidRDefault="009C543A" w:rsidP="00A14162">
            <w:pPr>
              <w:pStyle w:val="NormalWeb"/>
              <w:rPr>
                <w:sz w:val="20"/>
                <w:szCs w:val="20"/>
              </w:rPr>
            </w:pPr>
            <w:r w:rsidRPr="00A14162">
              <w:rPr>
                <w:sz w:val="20"/>
                <w:szCs w:val="20"/>
              </w:rPr>
              <w:t>107</w:t>
            </w:r>
          </w:p>
        </w:tc>
        <w:tc>
          <w:tcPr>
            <w:tcW w:w="1134" w:type="dxa"/>
            <w:hideMark/>
          </w:tcPr>
          <w:p w14:paraId="681E80B8" w14:textId="77777777" w:rsidR="009C543A" w:rsidRPr="00A14162" w:rsidRDefault="009C543A" w:rsidP="00A14162">
            <w:pPr>
              <w:pStyle w:val="NormalWeb"/>
              <w:jc w:val="center"/>
              <w:rPr>
                <w:sz w:val="20"/>
                <w:szCs w:val="20"/>
              </w:rPr>
            </w:pPr>
            <w:r w:rsidRPr="00A14162">
              <w:rPr>
                <w:sz w:val="20"/>
                <w:szCs w:val="20"/>
              </w:rPr>
              <w:t>40</w:t>
            </w:r>
          </w:p>
        </w:tc>
        <w:tc>
          <w:tcPr>
            <w:tcW w:w="1134" w:type="dxa"/>
            <w:hideMark/>
          </w:tcPr>
          <w:p w14:paraId="753D137E" w14:textId="77777777" w:rsidR="009C543A" w:rsidRPr="00A14162" w:rsidRDefault="009C543A" w:rsidP="00A14162">
            <w:pPr>
              <w:pStyle w:val="NormalWeb"/>
              <w:jc w:val="center"/>
              <w:rPr>
                <w:sz w:val="20"/>
                <w:szCs w:val="20"/>
              </w:rPr>
            </w:pPr>
            <w:r w:rsidRPr="00A14162">
              <w:rPr>
                <w:sz w:val="20"/>
                <w:szCs w:val="20"/>
              </w:rPr>
              <w:t>70</w:t>
            </w:r>
          </w:p>
        </w:tc>
        <w:tc>
          <w:tcPr>
            <w:tcW w:w="1134" w:type="dxa"/>
            <w:hideMark/>
          </w:tcPr>
          <w:p w14:paraId="4321C441"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0172D8A5" w14:textId="77777777" w:rsidR="009C543A" w:rsidRPr="00A14162" w:rsidRDefault="009C543A" w:rsidP="00A14162">
            <w:pPr>
              <w:pStyle w:val="NormalWeb"/>
              <w:jc w:val="center"/>
              <w:rPr>
                <w:sz w:val="20"/>
                <w:szCs w:val="20"/>
              </w:rPr>
            </w:pPr>
            <w:r w:rsidRPr="00A14162">
              <w:rPr>
                <w:sz w:val="20"/>
                <w:szCs w:val="20"/>
              </w:rPr>
              <w:t>SS14-like</w:t>
            </w:r>
          </w:p>
        </w:tc>
        <w:tc>
          <w:tcPr>
            <w:tcW w:w="1984" w:type="dxa"/>
            <w:hideMark/>
          </w:tcPr>
          <w:p w14:paraId="2DEDDC0D"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191FBBB6"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7171040D"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17B5617F"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2FE858EC" w14:textId="77777777" w:rsidTr="009C543A">
        <w:tblPrEx>
          <w:tblCellMar>
            <w:top w:w="57" w:type="dxa"/>
            <w:left w:w="57" w:type="dxa"/>
            <w:bottom w:w="57" w:type="dxa"/>
            <w:right w:w="57" w:type="dxa"/>
          </w:tblCellMar>
        </w:tblPrEx>
        <w:tc>
          <w:tcPr>
            <w:tcW w:w="3261" w:type="dxa"/>
            <w:hideMark/>
          </w:tcPr>
          <w:p w14:paraId="1125A8B1" w14:textId="77777777" w:rsidR="009C543A" w:rsidRPr="00A14162" w:rsidRDefault="009C543A" w:rsidP="00A14162">
            <w:pPr>
              <w:pStyle w:val="NormalWeb"/>
              <w:rPr>
                <w:sz w:val="20"/>
                <w:szCs w:val="20"/>
              </w:rPr>
            </w:pPr>
            <w:r w:rsidRPr="00A14162">
              <w:rPr>
                <w:sz w:val="20"/>
                <w:szCs w:val="20"/>
              </w:rPr>
              <w:t>110</w:t>
            </w:r>
          </w:p>
        </w:tc>
        <w:tc>
          <w:tcPr>
            <w:tcW w:w="1134" w:type="dxa"/>
            <w:hideMark/>
          </w:tcPr>
          <w:p w14:paraId="6CC54E5D" w14:textId="77777777" w:rsidR="009C543A" w:rsidRPr="00A14162" w:rsidRDefault="009C543A" w:rsidP="00A14162">
            <w:pPr>
              <w:pStyle w:val="NormalWeb"/>
              <w:jc w:val="center"/>
              <w:rPr>
                <w:sz w:val="20"/>
                <w:szCs w:val="20"/>
              </w:rPr>
            </w:pPr>
            <w:r w:rsidRPr="00A14162">
              <w:rPr>
                <w:sz w:val="20"/>
                <w:szCs w:val="20"/>
              </w:rPr>
              <w:t>9</w:t>
            </w:r>
          </w:p>
        </w:tc>
        <w:tc>
          <w:tcPr>
            <w:tcW w:w="1134" w:type="dxa"/>
            <w:hideMark/>
          </w:tcPr>
          <w:p w14:paraId="685C2B3C" w14:textId="77777777" w:rsidR="009C543A" w:rsidRPr="00A14162" w:rsidRDefault="009C543A" w:rsidP="00A14162">
            <w:pPr>
              <w:pStyle w:val="NormalWeb"/>
              <w:jc w:val="center"/>
              <w:rPr>
                <w:sz w:val="20"/>
                <w:szCs w:val="20"/>
              </w:rPr>
            </w:pPr>
            <w:r w:rsidRPr="00A14162">
              <w:rPr>
                <w:sz w:val="20"/>
                <w:szCs w:val="20"/>
              </w:rPr>
              <w:t>3</w:t>
            </w:r>
          </w:p>
        </w:tc>
        <w:tc>
          <w:tcPr>
            <w:tcW w:w="1134" w:type="dxa"/>
            <w:hideMark/>
          </w:tcPr>
          <w:p w14:paraId="32F39AE7" w14:textId="77777777" w:rsidR="009C543A" w:rsidRPr="00A14162" w:rsidRDefault="009C543A" w:rsidP="00A14162">
            <w:pPr>
              <w:pStyle w:val="NormalWeb"/>
              <w:jc w:val="center"/>
              <w:rPr>
                <w:sz w:val="20"/>
                <w:szCs w:val="20"/>
              </w:rPr>
            </w:pPr>
            <w:r w:rsidRPr="00A14162">
              <w:rPr>
                <w:sz w:val="20"/>
                <w:szCs w:val="20"/>
              </w:rPr>
              <w:t>1</w:t>
            </w:r>
          </w:p>
        </w:tc>
        <w:tc>
          <w:tcPr>
            <w:tcW w:w="1559" w:type="dxa"/>
            <w:hideMark/>
          </w:tcPr>
          <w:p w14:paraId="468A5E4B" w14:textId="77777777" w:rsidR="009C543A" w:rsidRPr="00A14162" w:rsidRDefault="009C543A" w:rsidP="00A14162">
            <w:pPr>
              <w:pStyle w:val="NormalWeb"/>
              <w:jc w:val="center"/>
              <w:rPr>
                <w:sz w:val="20"/>
                <w:szCs w:val="20"/>
              </w:rPr>
            </w:pPr>
            <w:r w:rsidRPr="00A14162">
              <w:rPr>
                <w:sz w:val="20"/>
                <w:szCs w:val="20"/>
              </w:rPr>
              <w:t>Nichols-like</w:t>
            </w:r>
          </w:p>
        </w:tc>
        <w:tc>
          <w:tcPr>
            <w:tcW w:w="1984" w:type="dxa"/>
            <w:hideMark/>
          </w:tcPr>
          <w:p w14:paraId="45503CEF"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323E86ED" w14:textId="77777777" w:rsidR="009C543A" w:rsidRPr="00A14162" w:rsidRDefault="009C543A" w:rsidP="00A14162">
            <w:pPr>
              <w:pStyle w:val="NormalWeb"/>
              <w:jc w:val="center"/>
              <w:rPr>
                <w:sz w:val="20"/>
                <w:szCs w:val="20"/>
              </w:rPr>
            </w:pPr>
            <w:r w:rsidRPr="00A14162">
              <w:rPr>
                <w:sz w:val="20"/>
                <w:szCs w:val="20"/>
              </w:rPr>
              <w:t>1 (100%)</w:t>
            </w:r>
          </w:p>
        </w:tc>
        <w:tc>
          <w:tcPr>
            <w:tcW w:w="1417" w:type="dxa"/>
            <w:hideMark/>
          </w:tcPr>
          <w:p w14:paraId="23CAED5E" w14:textId="77777777" w:rsidR="009C543A" w:rsidRPr="00A14162" w:rsidRDefault="009C543A" w:rsidP="00A14162">
            <w:pPr>
              <w:pStyle w:val="NormalWeb"/>
              <w:jc w:val="center"/>
              <w:rPr>
                <w:sz w:val="20"/>
                <w:szCs w:val="20"/>
              </w:rPr>
            </w:pPr>
            <w:r w:rsidRPr="00A14162">
              <w:rPr>
                <w:sz w:val="20"/>
                <w:szCs w:val="20"/>
              </w:rPr>
              <w:t>0 (0%)</w:t>
            </w:r>
          </w:p>
        </w:tc>
        <w:tc>
          <w:tcPr>
            <w:tcW w:w="1577" w:type="dxa"/>
            <w:hideMark/>
          </w:tcPr>
          <w:p w14:paraId="3B00FCA0"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103DA064"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7FA8248E" w14:textId="77777777" w:rsidR="009C543A" w:rsidRPr="00A14162" w:rsidRDefault="009C543A" w:rsidP="00A14162">
            <w:pPr>
              <w:pStyle w:val="NormalWeb"/>
              <w:rPr>
                <w:sz w:val="20"/>
                <w:szCs w:val="20"/>
              </w:rPr>
            </w:pPr>
            <w:r w:rsidRPr="00A14162">
              <w:rPr>
                <w:sz w:val="20"/>
                <w:szCs w:val="20"/>
              </w:rPr>
              <w:t>111</w:t>
            </w:r>
          </w:p>
        </w:tc>
        <w:tc>
          <w:tcPr>
            <w:tcW w:w="1134" w:type="dxa"/>
            <w:hideMark/>
          </w:tcPr>
          <w:p w14:paraId="708F5F15" w14:textId="77777777" w:rsidR="009C543A" w:rsidRPr="00A14162" w:rsidRDefault="009C543A" w:rsidP="00A14162">
            <w:pPr>
              <w:pStyle w:val="NormalWeb"/>
              <w:jc w:val="center"/>
              <w:rPr>
                <w:sz w:val="20"/>
                <w:szCs w:val="20"/>
              </w:rPr>
            </w:pPr>
            <w:r w:rsidRPr="00A14162">
              <w:rPr>
                <w:sz w:val="20"/>
                <w:szCs w:val="20"/>
              </w:rPr>
              <w:t>9</w:t>
            </w:r>
          </w:p>
        </w:tc>
        <w:tc>
          <w:tcPr>
            <w:tcW w:w="1134" w:type="dxa"/>
            <w:hideMark/>
          </w:tcPr>
          <w:p w14:paraId="473FA070" w14:textId="77777777" w:rsidR="009C543A" w:rsidRPr="00A14162" w:rsidRDefault="009C543A" w:rsidP="00A14162">
            <w:pPr>
              <w:pStyle w:val="NormalWeb"/>
              <w:jc w:val="center"/>
              <w:rPr>
                <w:sz w:val="20"/>
                <w:szCs w:val="20"/>
              </w:rPr>
            </w:pPr>
            <w:r w:rsidRPr="00A14162">
              <w:rPr>
                <w:sz w:val="20"/>
                <w:szCs w:val="20"/>
              </w:rPr>
              <w:t>3</w:t>
            </w:r>
          </w:p>
        </w:tc>
        <w:tc>
          <w:tcPr>
            <w:tcW w:w="1134" w:type="dxa"/>
            <w:hideMark/>
          </w:tcPr>
          <w:p w14:paraId="6EFAD39C" w14:textId="77777777" w:rsidR="009C543A" w:rsidRPr="00A14162" w:rsidRDefault="009C543A" w:rsidP="00A14162">
            <w:pPr>
              <w:pStyle w:val="NormalWeb"/>
              <w:jc w:val="center"/>
              <w:rPr>
                <w:sz w:val="20"/>
                <w:szCs w:val="20"/>
              </w:rPr>
            </w:pPr>
            <w:r w:rsidRPr="00A14162">
              <w:rPr>
                <w:sz w:val="20"/>
                <w:szCs w:val="20"/>
              </w:rPr>
              <w:t>3</w:t>
            </w:r>
          </w:p>
        </w:tc>
        <w:tc>
          <w:tcPr>
            <w:tcW w:w="1559" w:type="dxa"/>
            <w:hideMark/>
          </w:tcPr>
          <w:p w14:paraId="2794E93B" w14:textId="77777777" w:rsidR="009C543A" w:rsidRPr="00A14162" w:rsidRDefault="009C543A" w:rsidP="00A14162">
            <w:pPr>
              <w:pStyle w:val="NormalWeb"/>
              <w:jc w:val="center"/>
              <w:rPr>
                <w:sz w:val="20"/>
                <w:szCs w:val="20"/>
              </w:rPr>
            </w:pPr>
            <w:r w:rsidRPr="00A14162">
              <w:rPr>
                <w:sz w:val="20"/>
                <w:szCs w:val="20"/>
              </w:rPr>
              <w:t>Nichols-like</w:t>
            </w:r>
          </w:p>
        </w:tc>
        <w:tc>
          <w:tcPr>
            <w:tcW w:w="1984" w:type="dxa"/>
            <w:hideMark/>
          </w:tcPr>
          <w:p w14:paraId="16C44318"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024EAE37"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1F7E13D4"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42CB6710" w14:textId="77777777" w:rsidR="009C543A" w:rsidRPr="00A14162" w:rsidRDefault="009C543A" w:rsidP="00A14162">
            <w:pPr>
              <w:pStyle w:val="NormalWeb"/>
              <w:jc w:val="center"/>
              <w:rPr>
                <w:sz w:val="20"/>
                <w:szCs w:val="20"/>
              </w:rPr>
            </w:pPr>
            <w:r w:rsidRPr="00A14162">
              <w:rPr>
                <w:sz w:val="20"/>
                <w:szCs w:val="20"/>
              </w:rPr>
              <w:t>0 (0%)</w:t>
            </w:r>
          </w:p>
        </w:tc>
      </w:tr>
      <w:tr w:rsidR="009C543A" w:rsidRPr="00A14162" w14:paraId="4F3903DC" w14:textId="77777777" w:rsidTr="009C543A">
        <w:tblPrEx>
          <w:tblCellMar>
            <w:top w:w="57" w:type="dxa"/>
            <w:left w:w="57" w:type="dxa"/>
            <w:bottom w:w="57" w:type="dxa"/>
            <w:right w:w="57" w:type="dxa"/>
          </w:tblCellMar>
        </w:tblPrEx>
        <w:tc>
          <w:tcPr>
            <w:tcW w:w="3261" w:type="dxa"/>
            <w:hideMark/>
          </w:tcPr>
          <w:p w14:paraId="273ECC0F" w14:textId="77777777" w:rsidR="009C543A" w:rsidRPr="00A14162" w:rsidRDefault="009C543A" w:rsidP="00A14162">
            <w:pPr>
              <w:pStyle w:val="NormalWeb"/>
              <w:rPr>
                <w:sz w:val="20"/>
                <w:szCs w:val="20"/>
              </w:rPr>
            </w:pPr>
            <w:r w:rsidRPr="00A14162">
              <w:rPr>
                <w:sz w:val="20"/>
                <w:szCs w:val="20"/>
              </w:rPr>
              <w:t>112</w:t>
            </w:r>
          </w:p>
        </w:tc>
        <w:tc>
          <w:tcPr>
            <w:tcW w:w="1134" w:type="dxa"/>
            <w:hideMark/>
          </w:tcPr>
          <w:p w14:paraId="2F2729FA" w14:textId="77777777" w:rsidR="009C543A" w:rsidRPr="00A14162" w:rsidRDefault="009C543A" w:rsidP="00A14162">
            <w:pPr>
              <w:pStyle w:val="NormalWeb"/>
              <w:jc w:val="center"/>
              <w:rPr>
                <w:sz w:val="20"/>
                <w:szCs w:val="20"/>
              </w:rPr>
            </w:pPr>
            <w:r w:rsidRPr="00A14162">
              <w:rPr>
                <w:sz w:val="20"/>
                <w:szCs w:val="20"/>
              </w:rPr>
              <w:t>23</w:t>
            </w:r>
          </w:p>
        </w:tc>
        <w:tc>
          <w:tcPr>
            <w:tcW w:w="1134" w:type="dxa"/>
            <w:hideMark/>
          </w:tcPr>
          <w:p w14:paraId="0C821D16" w14:textId="77777777" w:rsidR="009C543A" w:rsidRPr="00A14162" w:rsidRDefault="009C543A" w:rsidP="00A14162">
            <w:pPr>
              <w:pStyle w:val="NormalWeb"/>
              <w:jc w:val="center"/>
              <w:rPr>
                <w:sz w:val="20"/>
                <w:szCs w:val="20"/>
              </w:rPr>
            </w:pPr>
            <w:r w:rsidRPr="00A14162">
              <w:rPr>
                <w:sz w:val="20"/>
                <w:szCs w:val="20"/>
              </w:rPr>
              <w:t>7</w:t>
            </w:r>
          </w:p>
        </w:tc>
        <w:tc>
          <w:tcPr>
            <w:tcW w:w="1134" w:type="dxa"/>
            <w:hideMark/>
          </w:tcPr>
          <w:p w14:paraId="76A2907B" w14:textId="77777777" w:rsidR="009C543A" w:rsidRPr="00A14162" w:rsidRDefault="009C543A" w:rsidP="00A14162">
            <w:pPr>
              <w:pStyle w:val="NormalWeb"/>
              <w:jc w:val="center"/>
              <w:rPr>
                <w:sz w:val="20"/>
                <w:szCs w:val="20"/>
              </w:rPr>
            </w:pPr>
            <w:r w:rsidRPr="00A14162">
              <w:rPr>
                <w:sz w:val="20"/>
                <w:szCs w:val="20"/>
              </w:rPr>
              <w:t>3</w:t>
            </w:r>
          </w:p>
        </w:tc>
        <w:tc>
          <w:tcPr>
            <w:tcW w:w="1559" w:type="dxa"/>
            <w:hideMark/>
          </w:tcPr>
          <w:p w14:paraId="558DC76D" w14:textId="77777777" w:rsidR="009C543A" w:rsidRPr="00A14162" w:rsidRDefault="009C543A" w:rsidP="00A14162">
            <w:pPr>
              <w:pStyle w:val="NormalWeb"/>
              <w:jc w:val="center"/>
              <w:rPr>
                <w:sz w:val="20"/>
                <w:szCs w:val="20"/>
              </w:rPr>
            </w:pPr>
            <w:r w:rsidRPr="00A14162">
              <w:rPr>
                <w:sz w:val="20"/>
                <w:szCs w:val="20"/>
              </w:rPr>
              <w:t>Nichols-like</w:t>
            </w:r>
          </w:p>
        </w:tc>
        <w:tc>
          <w:tcPr>
            <w:tcW w:w="1984" w:type="dxa"/>
            <w:hideMark/>
          </w:tcPr>
          <w:p w14:paraId="3B288D78"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1DC80B83"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1E6E6F0B"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0DA6B34B" w14:textId="77777777" w:rsidR="009C543A" w:rsidRPr="00A14162" w:rsidRDefault="009C543A" w:rsidP="00A14162">
            <w:pPr>
              <w:pStyle w:val="NormalWeb"/>
              <w:jc w:val="center"/>
              <w:rPr>
                <w:sz w:val="20"/>
                <w:szCs w:val="20"/>
              </w:rPr>
            </w:pPr>
            <w:r w:rsidRPr="00A14162">
              <w:rPr>
                <w:sz w:val="20"/>
                <w:szCs w:val="20"/>
              </w:rPr>
              <w:t>0 (0%)</w:t>
            </w:r>
          </w:p>
        </w:tc>
      </w:tr>
      <w:tr w:rsidR="00A14162" w:rsidRPr="00A14162" w14:paraId="117EB396" w14:textId="77777777" w:rsidTr="009C543A">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5955F0ED" w14:textId="77777777" w:rsidR="009C543A" w:rsidRPr="00A14162" w:rsidRDefault="009C543A" w:rsidP="00A14162">
            <w:pPr>
              <w:pStyle w:val="NormalWeb"/>
              <w:rPr>
                <w:sz w:val="20"/>
                <w:szCs w:val="20"/>
              </w:rPr>
            </w:pPr>
            <w:r w:rsidRPr="00A14162">
              <w:rPr>
                <w:sz w:val="20"/>
                <w:szCs w:val="20"/>
              </w:rPr>
              <w:t>113</w:t>
            </w:r>
          </w:p>
        </w:tc>
        <w:tc>
          <w:tcPr>
            <w:tcW w:w="1134" w:type="dxa"/>
            <w:hideMark/>
          </w:tcPr>
          <w:p w14:paraId="5108A46A" w14:textId="77777777" w:rsidR="009C543A" w:rsidRPr="00A14162" w:rsidRDefault="009C543A" w:rsidP="00A14162">
            <w:pPr>
              <w:pStyle w:val="NormalWeb"/>
              <w:jc w:val="center"/>
              <w:rPr>
                <w:sz w:val="20"/>
                <w:szCs w:val="20"/>
              </w:rPr>
            </w:pPr>
            <w:r w:rsidRPr="00A14162">
              <w:rPr>
                <w:sz w:val="20"/>
                <w:szCs w:val="20"/>
              </w:rPr>
              <w:t>31</w:t>
            </w:r>
          </w:p>
        </w:tc>
        <w:tc>
          <w:tcPr>
            <w:tcW w:w="1134" w:type="dxa"/>
            <w:hideMark/>
          </w:tcPr>
          <w:p w14:paraId="53985B10" w14:textId="77777777" w:rsidR="009C543A" w:rsidRPr="00A14162" w:rsidRDefault="009C543A" w:rsidP="00A14162">
            <w:pPr>
              <w:pStyle w:val="NormalWeb"/>
              <w:jc w:val="center"/>
              <w:rPr>
                <w:sz w:val="20"/>
                <w:szCs w:val="20"/>
              </w:rPr>
            </w:pPr>
            <w:r w:rsidRPr="00A14162">
              <w:rPr>
                <w:sz w:val="20"/>
                <w:szCs w:val="20"/>
              </w:rPr>
              <w:t>7</w:t>
            </w:r>
          </w:p>
        </w:tc>
        <w:tc>
          <w:tcPr>
            <w:tcW w:w="1134" w:type="dxa"/>
            <w:hideMark/>
          </w:tcPr>
          <w:p w14:paraId="16EA4583" w14:textId="77777777" w:rsidR="009C543A" w:rsidRPr="00A14162" w:rsidRDefault="009C543A" w:rsidP="00A14162">
            <w:pPr>
              <w:pStyle w:val="NormalWeb"/>
              <w:jc w:val="center"/>
              <w:rPr>
                <w:sz w:val="20"/>
                <w:szCs w:val="20"/>
              </w:rPr>
            </w:pPr>
            <w:r w:rsidRPr="00A14162">
              <w:rPr>
                <w:sz w:val="20"/>
                <w:szCs w:val="20"/>
              </w:rPr>
              <w:t>3</w:t>
            </w:r>
          </w:p>
        </w:tc>
        <w:tc>
          <w:tcPr>
            <w:tcW w:w="1559" w:type="dxa"/>
            <w:hideMark/>
          </w:tcPr>
          <w:p w14:paraId="34797E1E" w14:textId="77777777" w:rsidR="009C543A" w:rsidRPr="00A14162" w:rsidRDefault="009C543A" w:rsidP="00A14162">
            <w:pPr>
              <w:pStyle w:val="NormalWeb"/>
              <w:jc w:val="center"/>
              <w:rPr>
                <w:sz w:val="20"/>
                <w:szCs w:val="20"/>
              </w:rPr>
            </w:pPr>
            <w:r w:rsidRPr="00A14162">
              <w:rPr>
                <w:sz w:val="20"/>
                <w:szCs w:val="20"/>
              </w:rPr>
              <w:t>Nichols-like</w:t>
            </w:r>
          </w:p>
        </w:tc>
        <w:tc>
          <w:tcPr>
            <w:tcW w:w="1984" w:type="dxa"/>
            <w:hideMark/>
          </w:tcPr>
          <w:p w14:paraId="33E82256" w14:textId="77777777" w:rsidR="009C543A" w:rsidRPr="00A14162" w:rsidRDefault="009C543A" w:rsidP="00A14162">
            <w:pPr>
              <w:pStyle w:val="NormalWeb"/>
              <w:jc w:val="center"/>
              <w:rPr>
                <w:sz w:val="20"/>
                <w:szCs w:val="20"/>
              </w:rPr>
            </w:pPr>
            <w:r w:rsidRPr="00A14162">
              <w:rPr>
                <w:sz w:val="20"/>
                <w:szCs w:val="20"/>
              </w:rPr>
              <w:t>1 (1/0)</w:t>
            </w:r>
          </w:p>
        </w:tc>
        <w:tc>
          <w:tcPr>
            <w:tcW w:w="1560" w:type="dxa"/>
            <w:hideMark/>
          </w:tcPr>
          <w:p w14:paraId="6B7A041F" w14:textId="77777777" w:rsidR="009C543A" w:rsidRPr="00A14162" w:rsidRDefault="009C543A" w:rsidP="00A14162">
            <w:pPr>
              <w:pStyle w:val="NormalWeb"/>
              <w:jc w:val="center"/>
              <w:rPr>
                <w:sz w:val="20"/>
                <w:szCs w:val="20"/>
              </w:rPr>
            </w:pPr>
            <w:r w:rsidRPr="00A14162">
              <w:rPr>
                <w:sz w:val="20"/>
                <w:szCs w:val="20"/>
              </w:rPr>
              <w:t>0 (0%)</w:t>
            </w:r>
          </w:p>
        </w:tc>
        <w:tc>
          <w:tcPr>
            <w:tcW w:w="1417" w:type="dxa"/>
            <w:hideMark/>
          </w:tcPr>
          <w:p w14:paraId="42FD1305" w14:textId="77777777" w:rsidR="009C543A" w:rsidRPr="00A14162" w:rsidRDefault="009C543A" w:rsidP="00A14162">
            <w:pPr>
              <w:pStyle w:val="NormalWeb"/>
              <w:jc w:val="center"/>
              <w:rPr>
                <w:sz w:val="20"/>
                <w:szCs w:val="20"/>
              </w:rPr>
            </w:pPr>
            <w:r w:rsidRPr="00A14162">
              <w:rPr>
                <w:sz w:val="20"/>
                <w:szCs w:val="20"/>
              </w:rPr>
              <w:t>1 (100%)</w:t>
            </w:r>
          </w:p>
        </w:tc>
        <w:tc>
          <w:tcPr>
            <w:tcW w:w="1577" w:type="dxa"/>
            <w:hideMark/>
          </w:tcPr>
          <w:p w14:paraId="01CF871A" w14:textId="77777777" w:rsidR="009C543A" w:rsidRPr="00A14162" w:rsidRDefault="009C543A" w:rsidP="00A14162">
            <w:pPr>
              <w:pStyle w:val="NormalWeb"/>
              <w:jc w:val="center"/>
              <w:rPr>
                <w:sz w:val="20"/>
                <w:szCs w:val="20"/>
              </w:rPr>
            </w:pPr>
            <w:r w:rsidRPr="00A14162">
              <w:rPr>
                <w:sz w:val="20"/>
                <w:szCs w:val="20"/>
              </w:rPr>
              <w:t>0 (0%)</w:t>
            </w:r>
          </w:p>
        </w:tc>
      </w:tr>
    </w:tbl>
    <w:p w14:paraId="715EBEB3" w14:textId="3EAE7A29" w:rsidR="008C3C20" w:rsidRDefault="008C3C20">
      <w:pPr>
        <w:rPr>
          <w:rFonts w:asciiTheme="majorHAnsi" w:eastAsiaTheme="majorEastAsia" w:hAnsiTheme="majorHAnsi" w:cstheme="majorBidi"/>
          <w:b/>
          <w:bCs/>
          <w:sz w:val="26"/>
          <w:szCs w:val="26"/>
        </w:rPr>
      </w:pPr>
      <w:r>
        <w:br w:type="page"/>
      </w:r>
    </w:p>
    <w:p w14:paraId="4EADDB29" w14:textId="77777777" w:rsidR="008C3C20" w:rsidRPr="004A623B" w:rsidRDefault="008C3C20" w:rsidP="008C3C20">
      <w:pPr>
        <w:pStyle w:val="CDIFigures"/>
      </w:pPr>
      <w:r w:rsidRPr="004A623B">
        <w:rPr>
          <w:rStyle w:val="Strong"/>
          <w:b/>
          <w:bCs w:val="0"/>
        </w:rPr>
        <w:lastRenderedPageBreak/>
        <w:t>Figure 1: Prevalence of syphilis sequence types (STs) over time within the study for all 393 samples included in the final dataset</w:t>
      </w:r>
    </w:p>
    <w:p w14:paraId="7EBD8BA2" w14:textId="77777777" w:rsidR="008C3C20" w:rsidRDefault="008C3C20" w:rsidP="008C3C20">
      <w:pPr>
        <w:rPr>
          <w:rFonts w:eastAsia="Times New Roman"/>
          <w:lang w:val="en-GB"/>
        </w:rPr>
      </w:pPr>
      <w:r>
        <w:rPr>
          <w:rFonts w:eastAsia="Times New Roman"/>
          <w:noProof/>
          <w:lang w:val="en-GB"/>
        </w:rPr>
        <w:drawing>
          <wp:inline distT="0" distB="0" distL="0" distR="0" wp14:anchorId="48A2BA97" wp14:editId="7087CE90">
            <wp:extent cx="9451975" cy="4648200"/>
            <wp:effectExtent l="0" t="0" r="0" b="0"/>
            <wp:docPr id="2" name="Picture 2" descr="Stacked bar chart represents the percentage prevalence of each syphilis sequence type (ST) according to year of isolation. In particular, of the two main STs identified within the study, ST1 was the dominant strain in the first year of the Queensland syphilis outbreak, which went on to be displaced by ST100, which is a single SNP different to that of ST1, and this has now become the dominant syphilis ST in Queensland between 2018 and 2020. The prevalence of most other syphilis STs was either not sustained in the local population, or the prevalence did not significantly alter during the study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bar chart represents the percentage prevalence of each syphilis sequence type (ST) according to year of isolation. In particular, of the two main STs identified within the study, ST1 was the dominant strain in the first year of the Queensland syphilis outbreak, which went on to be displaced by ST100, which is a single SNP different to that of ST1, and this has now become the dominant syphilis ST in Queensland between 2018 and 2020. The prevalence of most other syphilis STs was either not sustained in the local population, or the prevalence did not significantly alter during the study period. "/>
                    <pic:cNvPicPr>
                      <a:picLocks noChangeAspect="1" noChangeArrowheads="1"/>
                    </pic:cNvPicPr>
                  </pic:nvPicPr>
                  <pic:blipFill rotWithShape="1">
                    <a:blip r:embed="rId12">
                      <a:extLst>
                        <a:ext uri="{28A0092B-C50C-407E-A947-70E740481C1C}">
                          <a14:useLocalDpi xmlns:a14="http://schemas.microsoft.com/office/drawing/2010/main" val="0"/>
                        </a:ext>
                      </a:extLst>
                    </a:blip>
                    <a:srcRect t="7345" b="5229"/>
                    <a:stretch>
                      <a:fillRect/>
                    </a:stretch>
                  </pic:blipFill>
                  <pic:spPr bwMode="auto">
                    <a:xfrm>
                      <a:off x="0" y="0"/>
                      <a:ext cx="9476805" cy="4660411"/>
                    </a:xfrm>
                    <a:prstGeom prst="rect">
                      <a:avLst/>
                    </a:prstGeom>
                    <a:ln>
                      <a:noFill/>
                    </a:ln>
                    <a:extLst>
                      <a:ext uri="{53640926-AAD7-44D8-BBD7-CCE9431645EC}">
                        <a14:shadowObscured xmlns:a14="http://schemas.microsoft.com/office/drawing/2010/main"/>
                      </a:ext>
                    </a:extLst>
                  </pic:spPr>
                </pic:pic>
              </a:graphicData>
            </a:graphic>
          </wp:inline>
        </w:drawing>
      </w:r>
    </w:p>
    <w:p w14:paraId="46914917" w14:textId="77777777" w:rsidR="009C543A" w:rsidRDefault="009C543A" w:rsidP="004332E9">
      <w:pPr>
        <w:pStyle w:val="Heading2"/>
        <w:sectPr w:rsidR="009C543A" w:rsidSect="009C543A">
          <w:pgSz w:w="16838" w:h="11906" w:orient="landscape"/>
          <w:pgMar w:top="720" w:right="720" w:bottom="720" w:left="1134" w:header="709" w:footer="284" w:gutter="0"/>
          <w:cols w:space="708"/>
          <w:titlePg/>
          <w:docGrid w:linePitch="360"/>
        </w:sectPr>
      </w:pPr>
    </w:p>
    <w:p w14:paraId="7FD4099C" w14:textId="3C12EA4D" w:rsidR="004332E9" w:rsidRPr="004332E9" w:rsidRDefault="004332E9" w:rsidP="004332E9">
      <w:pPr>
        <w:pStyle w:val="Heading2"/>
      </w:pPr>
      <w:r w:rsidRPr="004332E9">
        <w:lastRenderedPageBreak/>
        <w:t xml:space="preserve">Temporal analysis of syphilis STs in Queensland </w:t>
      </w:r>
    </w:p>
    <w:p w14:paraId="04819F0F" w14:textId="77777777" w:rsidR="004332E9" w:rsidRDefault="004332E9" w:rsidP="004332E9">
      <w:r>
        <w:t xml:space="preserve">Figure 1 shows all 393 samples and associated STs by year. ST 1 was the single most common sequence type (n = 177/393; 45%). Notably, ST 1 accounted for 80% (33/41) of syphilis STs at the beginning of the Queensland syphilis outbreak in </w:t>
      </w:r>
      <w:proofErr w:type="gramStart"/>
      <w:r>
        <w:t>2011, and</w:t>
      </w:r>
      <w:proofErr w:type="gramEnd"/>
      <w:r>
        <w:t xml:space="preserve"> remained common among circulating strains in subsequent years (2012–2020; mean prevalence 41%; 144/352) (Figure 2). Of further interest, the novel ST 100, which was highly </w:t>
      </w:r>
      <w:proofErr w:type="gramStart"/>
      <w:r>
        <w:t>similar to</w:t>
      </w:r>
      <w:proofErr w:type="gramEnd"/>
      <w:r>
        <w:t xml:space="preserve"> ST1 (one SNP difference in TP0548 allele), first appeared in samples in 2017 (n = 12/56; 21% of all STs) and appeared to displace ST 1 as the dominant ST in Queensland from 2018 to 2020 (mean prevalence 28%; 82/291). While the most stringent social distancing measures associated with the pandemic occurred in March 2020 when the Queensland border was closed to all international and interstate visitors, we still observed sustained transmission of major syphilis STs, as well as several singleton syphilis STs (Figure 2; Appendix A, Figures A.2 and A.3). </w:t>
      </w:r>
    </w:p>
    <w:p w14:paraId="7BBFBFD0" w14:textId="77777777" w:rsidR="004332E9" w:rsidRPr="004332E9" w:rsidRDefault="004332E9" w:rsidP="004332E9">
      <w:pPr>
        <w:pStyle w:val="Heading2"/>
      </w:pPr>
      <w:r w:rsidRPr="004332E9">
        <w:t xml:space="preserve">Antimicrobial resistance in syphilis </w:t>
      </w:r>
    </w:p>
    <w:p w14:paraId="0AF012E8" w14:textId="77777777" w:rsidR="00C37AA9" w:rsidRDefault="004332E9" w:rsidP="004332E9">
      <w:pPr>
        <w:sectPr w:rsidR="00C37AA9" w:rsidSect="00A30C37">
          <w:pgSz w:w="11906" w:h="16838"/>
          <w:pgMar w:top="720" w:right="720" w:bottom="1134" w:left="720" w:header="709" w:footer="284" w:gutter="0"/>
          <w:cols w:space="708"/>
          <w:titlePg/>
          <w:docGrid w:linePitch="360"/>
        </w:sectPr>
      </w:pPr>
      <w:r>
        <w:t xml:space="preserve">Macrolide resistance was prevalent among syphilis strains across the state, with 377/393 samples (96%) harbouring mutations associated with resistance. Of the top eight STs, 338/351 samples (94%) belonging to these STs had macrolide resistance mutations (Table 1), including STs 1 and 100. The most common macrolide resistance mutation was the A2058G mutation, which was harboured by </w:t>
      </w:r>
      <w:proofErr w:type="gramStart"/>
      <w:r>
        <w:t>the majority of</w:t>
      </w:r>
      <w:proofErr w:type="gramEnd"/>
      <w:r>
        <w:t xml:space="preserve"> syphilis samples within our study (370/393; 94%). The A2059G macrolide resistance mutation was observed in only seven samples in our </w:t>
      </w:r>
      <w:proofErr w:type="gramStart"/>
      <w:r>
        <w:t>dataset, and</w:t>
      </w:r>
      <w:proofErr w:type="gramEnd"/>
      <w:r>
        <w:t xml:space="preserve"> seemed to be linked to ST 11 and novel ST 104, which is 1 SNP different to ST 1.1.3. Only 16 samples within the dataset had no identifiable mutations associated with macrolide resistance (macrolide susceptibility denoted on Figure 2 by the letter “S” and in Figure A.2). The 16S rRNA gene did not indicate tetracycline resistance in any strain; all sequenced samples harboured the A965T mutation but no additional mutations (G966T, A967C or G1058C) that are otherwise associated with elevated minimum inhibitory concentrations (MICs) to tetracyclines. </w:t>
      </w:r>
    </w:p>
    <w:p w14:paraId="5A62C546" w14:textId="08CF6E78" w:rsidR="00C37AA9" w:rsidRDefault="00C37AA9" w:rsidP="00C37AA9">
      <w:pPr>
        <w:pStyle w:val="CDIFigures"/>
        <w:rPr>
          <w:rStyle w:val="Strong"/>
          <w:b/>
          <w:bCs w:val="0"/>
          <w:vertAlign w:val="superscript"/>
        </w:rPr>
      </w:pPr>
      <w:r w:rsidRPr="004A623B">
        <w:rPr>
          <w:rStyle w:val="Strong"/>
          <w:b/>
          <w:bCs w:val="0"/>
        </w:rPr>
        <w:lastRenderedPageBreak/>
        <w:t xml:space="preserve">Figure 2. Syphilis sequence types (STs) plotted by date of collection for 393 samples in our </w:t>
      </w:r>
      <w:proofErr w:type="spellStart"/>
      <w:r w:rsidRPr="004A623B">
        <w:rPr>
          <w:rStyle w:val="Strong"/>
          <w:b/>
          <w:bCs w:val="0"/>
        </w:rPr>
        <w:t>dataset</w:t>
      </w:r>
      <w:r w:rsidRPr="004A623B">
        <w:rPr>
          <w:rStyle w:val="Strong"/>
          <w:b/>
          <w:bCs w:val="0"/>
          <w:vertAlign w:val="superscript"/>
        </w:rPr>
        <w:t>a</w:t>
      </w:r>
      <w:proofErr w:type="spellEnd"/>
    </w:p>
    <w:p w14:paraId="18CDB110" w14:textId="4D7EBD6A" w:rsidR="00C37AA9" w:rsidRPr="004A623B" w:rsidRDefault="0039035F" w:rsidP="00C37AA9">
      <w:pPr>
        <w:pStyle w:val="CDIFigures"/>
      </w:pPr>
      <w:r>
        <w:rPr>
          <w:rFonts w:eastAsia="Times New Roman"/>
          <w:noProof/>
          <w:lang w:val="en-GB"/>
        </w:rPr>
        <w:drawing>
          <wp:inline distT="0" distB="0" distL="0" distR="0" wp14:anchorId="12356D24" wp14:editId="250C64F9">
            <wp:extent cx="9147067" cy="4639065"/>
            <wp:effectExtent l="0" t="0" r="0" b="9525"/>
            <wp:docPr id="3" name="Picture 3" descr="Syphilis sequence types (STs) plotted by date of collection for 393 samples in our dataset. Each dot represents an individual patient sample and is plotted according to the date of sample collection. Dots have been coloured according to gender, using male rectal samples as a proxy for MSM status, where samples were found to be susceptible to macrolide antibiotics, these samples are denoted by an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philis sequence types (STs) plotted by date of collection for 393 samples in our dataset. Each dot represents an individual patient sample and is plotted according to the date of sample collection. Dots have been coloured according to gender, using male rectal samples as a proxy for MSM status, where samples were found to be susceptible to macrolide antibiotics, these samples are denoted by an “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9147067" cy="4639065"/>
                    </a:xfrm>
                    <a:prstGeom prst="rect">
                      <a:avLst/>
                    </a:prstGeom>
                  </pic:spPr>
                </pic:pic>
              </a:graphicData>
            </a:graphic>
          </wp:inline>
        </w:drawing>
      </w:r>
    </w:p>
    <w:p w14:paraId="65D9F91B" w14:textId="77777777" w:rsidR="00C37AA9" w:rsidRPr="004A623B" w:rsidRDefault="00C37AA9" w:rsidP="00C37AA9">
      <w:pPr>
        <w:pStyle w:val="CDIfootnotes"/>
      </w:pPr>
      <w:proofErr w:type="spellStart"/>
      <w:r w:rsidRPr="004A623B">
        <w:t>a</w:t>
      </w:r>
      <w:proofErr w:type="spellEnd"/>
      <w:r w:rsidRPr="004A623B">
        <w:tab/>
        <w:t>Each dot represents an individual patient sample and is plotted according to the date of sample collection. Dots have been coloured according to gender, using male rectal samples as a proxy for MSM status, where samples were found to be susceptible to macrolide antibiotics, these samples are denoted by an ‘S’.</w:t>
      </w:r>
    </w:p>
    <w:p w14:paraId="495B9B54" w14:textId="5944B499" w:rsidR="00C37AA9" w:rsidRDefault="00C37AA9" w:rsidP="004332E9">
      <w:pPr>
        <w:sectPr w:rsidR="00C37AA9" w:rsidSect="00C37AA9">
          <w:pgSz w:w="16838" w:h="11906" w:orient="landscape"/>
          <w:pgMar w:top="720" w:right="720" w:bottom="720" w:left="1134" w:header="709" w:footer="284" w:gutter="0"/>
          <w:cols w:space="708"/>
          <w:titlePg/>
          <w:docGrid w:linePitch="360"/>
        </w:sectPr>
      </w:pPr>
    </w:p>
    <w:p w14:paraId="41CBF6AC" w14:textId="77777777" w:rsidR="004332E9" w:rsidRPr="004332E9" w:rsidRDefault="004332E9" w:rsidP="004332E9">
      <w:pPr>
        <w:pStyle w:val="Heading1"/>
      </w:pPr>
      <w:r w:rsidRPr="004332E9">
        <w:lastRenderedPageBreak/>
        <w:t xml:space="preserve">Discussion </w:t>
      </w:r>
    </w:p>
    <w:p w14:paraId="48C30BBC" w14:textId="262C5E5E" w:rsidR="004332E9" w:rsidRDefault="004332E9" w:rsidP="004332E9">
      <w:r>
        <w:t xml:space="preserve">Here, we used the </w:t>
      </w:r>
      <w:proofErr w:type="spellStart"/>
      <w:r>
        <w:t>PubMLST</w:t>
      </w:r>
      <w:proofErr w:type="spellEnd"/>
      <w:r>
        <w:t xml:space="preserve"> typing scheme to better understand the spread of syphilis within the Australian state of Queensland and its geographically distinct populations. We found that two </w:t>
      </w:r>
      <w:r w:rsidRPr="00A821B8">
        <w:rPr>
          <w:rStyle w:val="Emphasis"/>
          <w:b w:val="0"/>
          <w:bCs w:val="0"/>
        </w:rPr>
        <w:t xml:space="preserve">T. pallidum </w:t>
      </w:r>
      <w:r>
        <w:t xml:space="preserve">subspecies </w:t>
      </w:r>
      <w:r w:rsidRPr="00A821B8">
        <w:rPr>
          <w:rStyle w:val="Emphasis"/>
          <w:b w:val="0"/>
          <w:bCs w:val="0"/>
        </w:rPr>
        <w:t>pallidum</w:t>
      </w:r>
      <w:r>
        <w:t xml:space="preserve"> sequence types, ST </w:t>
      </w:r>
      <w:proofErr w:type="gramStart"/>
      <w:r>
        <w:t>1</w:t>
      </w:r>
      <w:proofErr w:type="gramEnd"/>
      <w:r>
        <w:t xml:space="preserve"> and ST 100—closely related (on the basis of only a single SNP difference in the TP0548 allele)—together accounted for the majority of syphilis cases (69%; 271/393) in Queensland, one of which (ST 1) was present at the start of the syphilis outbreak in 2011. Previous studies have reported ST 1 to be, for example, the predominant sequence type in samples originating from Europe, North America, Asia and South America.</w:t>
      </w:r>
      <w:r>
        <w:rPr>
          <w:vertAlign w:val="superscript"/>
        </w:rPr>
        <w:t>4</w:t>
      </w:r>
      <w:r>
        <w:t xml:space="preserve"> Subsequent studies have further confirmed that ST 1 is the most common syphilis sequence type in France, Switzerland,</w:t>
      </w:r>
      <w:r>
        <w:rPr>
          <w:vertAlign w:val="superscript"/>
        </w:rPr>
        <w:t>5</w:t>
      </w:r>
      <w:r>
        <w:t xml:space="preserve"> the Czech Republic,</w:t>
      </w:r>
      <w:r>
        <w:rPr>
          <w:vertAlign w:val="superscript"/>
        </w:rPr>
        <w:t>11</w:t>
      </w:r>
      <w:r>
        <w:t xml:space="preserve"> and Cuba.</w:t>
      </w:r>
      <w:r>
        <w:rPr>
          <w:vertAlign w:val="superscript"/>
        </w:rPr>
        <w:t>6</w:t>
      </w:r>
      <w:r>
        <w:t xml:space="preserve"> This could indicate that the outbreak within Queensland was perhaps driven via importation and expansion of an internationally successful macrolide-resistant ST 1 strain, followed by its displacement and the expansion of ST 100, which is only a single SNP different to ST 1, based on the </w:t>
      </w:r>
      <w:proofErr w:type="spellStart"/>
      <w:r>
        <w:t>PubMLST</w:t>
      </w:r>
      <w:proofErr w:type="spellEnd"/>
      <w:r>
        <w:t xml:space="preserve"> typing scheme. </w:t>
      </w:r>
    </w:p>
    <w:p w14:paraId="7DA610AC" w14:textId="77777777" w:rsidR="004332E9" w:rsidRDefault="004332E9" w:rsidP="004332E9">
      <w:r>
        <w:t xml:space="preserve">For females, we observed that ST 1 and ST 100 again comprised </w:t>
      </w:r>
      <w:proofErr w:type="gramStart"/>
      <w:r>
        <w:t>the majority of</w:t>
      </w:r>
      <w:proofErr w:type="gramEnd"/>
      <w:r>
        <w:t xml:space="preserve"> samples in both remote and urban settings. However, based on male to female ratios, </w:t>
      </w:r>
      <w:proofErr w:type="gramStart"/>
      <w:r>
        <w:t>and also</w:t>
      </w:r>
      <w:proofErr w:type="gramEnd"/>
      <w:r>
        <w:t xml:space="preserve"> male rectal samples, our data suggest these STs are primarily among MSM populations, and may further suggest that bridging of syphilis strains between MSM and heterosexuals may potentially contribute to infections among females. The concept of bridging of </w:t>
      </w:r>
      <w:proofErr w:type="gramStart"/>
      <w:r>
        <w:t>sexually-transmitted</w:t>
      </w:r>
      <w:proofErr w:type="gramEnd"/>
      <w:r>
        <w:t xml:space="preserve"> infections has been previously described for syphilis in MSM in the USA,</w:t>
      </w:r>
      <w:r>
        <w:rPr>
          <w:vertAlign w:val="superscript"/>
        </w:rPr>
        <w:t>12</w:t>
      </w:r>
      <w:r>
        <w:t xml:space="preserve"> while in China, syphilis rates among MSM who also engage in bisexual behaviour are reportedly high.</w:t>
      </w:r>
      <w:r>
        <w:rPr>
          <w:vertAlign w:val="superscript"/>
        </w:rPr>
        <w:t>13</w:t>
      </w:r>
      <w:r>
        <w:t xml:space="preserve"> Within Australia, bridging of gonorrhoea strains/lineages has been reported between MSM and heterosexual communities in the state of Victoria,</w:t>
      </w:r>
      <w:r>
        <w:rPr>
          <w:vertAlign w:val="superscript"/>
        </w:rPr>
        <w:t>14</w:t>
      </w:r>
      <w:r>
        <w:t xml:space="preserve"> but further studies are needed to substantiate this. </w:t>
      </w:r>
    </w:p>
    <w:p w14:paraId="66DA8D78" w14:textId="77777777" w:rsidR="004332E9" w:rsidRDefault="004332E9" w:rsidP="004332E9">
      <w:r>
        <w:t xml:space="preserve">Macrolide resistance rates were high in samples within our study, and are higher than those previously reported by Read </w:t>
      </w:r>
      <w:r w:rsidRPr="00A821B8">
        <w:rPr>
          <w:rStyle w:val="Emphasis"/>
          <w:b w:val="0"/>
          <w:bCs w:val="0"/>
        </w:rPr>
        <w:t xml:space="preserve">et al. </w:t>
      </w:r>
      <w:r>
        <w:t>who found that 83% of syphilis samples in Sydney, Australia, harboured the A2058G mutation associated with macrolide resistance, and who suggested that the presence of macrolide susceptible strains were importations from overseas.</w:t>
      </w:r>
      <w:r>
        <w:rPr>
          <w:vertAlign w:val="superscript"/>
        </w:rPr>
        <w:t>15</w:t>
      </w:r>
      <w:r>
        <w:t xml:space="preserve"> Of note was that our study also comprised samples when social distancing protocols were put in place to reduce the spread of COVID-19; however, we observed that these interventions clearly had limited impact upon syphilis notification rates. Given this, specific and targeted public health interventions are clearly warranted to reduce the spread of syphilis in Queensland and elsewhere in Australia. </w:t>
      </w:r>
    </w:p>
    <w:p w14:paraId="69721F84" w14:textId="77777777" w:rsidR="004332E9" w:rsidRDefault="004332E9" w:rsidP="004332E9">
      <w:r>
        <w:t xml:space="preserve">Of further interest, we identified a small number of samples which were suspected to be misclassified </w:t>
      </w:r>
      <w:r w:rsidRPr="00A821B8">
        <w:rPr>
          <w:rStyle w:val="Emphasis"/>
          <w:b w:val="0"/>
          <w:bCs w:val="0"/>
        </w:rPr>
        <w:t xml:space="preserve">T. pallidum </w:t>
      </w:r>
      <w:r>
        <w:t xml:space="preserve">subspecies </w:t>
      </w:r>
      <w:r w:rsidRPr="00A821B8">
        <w:rPr>
          <w:rStyle w:val="Emphasis"/>
          <w:b w:val="0"/>
          <w:bCs w:val="0"/>
        </w:rPr>
        <w:t xml:space="preserve">pallidum </w:t>
      </w:r>
      <w:r>
        <w:t xml:space="preserve">samples. While the number of misclassified samples was extremely low within our study (approximately 1% of all samples screened), the allelic profiles for these samples were easily distinguishable as they were remarkably different to the sequences available in the </w:t>
      </w:r>
      <w:proofErr w:type="spellStart"/>
      <w:r>
        <w:t>PubMLST</w:t>
      </w:r>
      <w:proofErr w:type="spellEnd"/>
      <w:r>
        <w:t xml:space="preserve"> scheme, and further BLAST searches pointed to the fact that these samples belonged to either non-venereal </w:t>
      </w:r>
      <w:r w:rsidRPr="00A821B8">
        <w:rPr>
          <w:rStyle w:val="Emphasis"/>
          <w:b w:val="0"/>
          <w:bCs w:val="0"/>
        </w:rPr>
        <w:t xml:space="preserve">T. pallidum </w:t>
      </w:r>
      <w:r>
        <w:t xml:space="preserve">subspecies </w:t>
      </w:r>
      <w:proofErr w:type="spellStart"/>
      <w:r w:rsidRPr="00A821B8">
        <w:rPr>
          <w:rStyle w:val="Emphasis"/>
          <w:b w:val="0"/>
          <w:bCs w:val="0"/>
        </w:rPr>
        <w:t>endemicum</w:t>
      </w:r>
      <w:proofErr w:type="spellEnd"/>
      <w:r w:rsidRPr="00A821B8">
        <w:rPr>
          <w:rStyle w:val="Emphasis"/>
          <w:b w:val="0"/>
          <w:bCs w:val="0"/>
        </w:rPr>
        <w:t xml:space="preserve"> </w:t>
      </w:r>
      <w:r>
        <w:t xml:space="preserve">or </w:t>
      </w:r>
      <w:proofErr w:type="spellStart"/>
      <w:r w:rsidRPr="00A821B8">
        <w:rPr>
          <w:rStyle w:val="Emphasis"/>
          <w:b w:val="0"/>
          <w:bCs w:val="0"/>
        </w:rPr>
        <w:t>pertenue</w:t>
      </w:r>
      <w:proofErr w:type="spellEnd"/>
      <w:r>
        <w:t>. While the TP0574 (TP47) and TP0105 (</w:t>
      </w:r>
      <w:proofErr w:type="spellStart"/>
      <w:r w:rsidRPr="00A821B8">
        <w:rPr>
          <w:rStyle w:val="Emphasis"/>
          <w:b w:val="0"/>
          <w:bCs w:val="0"/>
        </w:rPr>
        <w:t>polA</w:t>
      </w:r>
      <w:proofErr w:type="spellEnd"/>
      <w:r>
        <w:t>)</w:t>
      </w:r>
      <w:r w:rsidRPr="00A821B8">
        <w:rPr>
          <w:rStyle w:val="Emphasis"/>
          <w:b w:val="0"/>
          <w:bCs w:val="0"/>
        </w:rPr>
        <w:t xml:space="preserve"> </w:t>
      </w:r>
      <w:r>
        <w:t>targets remain the most widely used for molecular diagnosis of syphilis,</w:t>
      </w:r>
      <w:r>
        <w:rPr>
          <w:vertAlign w:val="superscript"/>
        </w:rPr>
        <w:t>16–18</w:t>
      </w:r>
      <w:r>
        <w:t xml:space="preserve"> our results act as a timely reminder that, due to highly-conserved sequences among </w:t>
      </w:r>
      <w:r w:rsidRPr="00A821B8">
        <w:rPr>
          <w:rStyle w:val="Emphasis"/>
          <w:b w:val="0"/>
          <w:bCs w:val="0"/>
        </w:rPr>
        <w:t xml:space="preserve">T. pallidum </w:t>
      </w:r>
      <w:r>
        <w:t xml:space="preserve">subspecies, these tests can also detect non-venereal </w:t>
      </w:r>
      <w:r w:rsidRPr="00A821B8">
        <w:rPr>
          <w:rStyle w:val="Emphasis"/>
          <w:b w:val="0"/>
          <w:bCs w:val="0"/>
        </w:rPr>
        <w:t xml:space="preserve">Treponema </w:t>
      </w:r>
      <w:r>
        <w:t xml:space="preserve">species and thus caution may be required in the interpretation and clinical context of the patient symptoms </w:t>
      </w:r>
      <w:proofErr w:type="gramStart"/>
      <w:r>
        <w:t>in order to</w:t>
      </w:r>
      <w:proofErr w:type="gramEnd"/>
      <w:r>
        <w:t xml:space="preserve"> make the correct diagnosis. </w:t>
      </w:r>
    </w:p>
    <w:p w14:paraId="5A2FEC82" w14:textId="77777777" w:rsidR="004332E9" w:rsidRDefault="004332E9" w:rsidP="004332E9">
      <w:r>
        <w:t xml:space="preserve">There are some limitations of this study. Firstly, we were reliant on nucleic acid samples for testing. </w:t>
      </w:r>
      <w:proofErr w:type="gramStart"/>
      <w:r>
        <w:t>The majority of</w:t>
      </w:r>
      <w:proofErr w:type="gramEnd"/>
      <w:r>
        <w:t xml:space="preserve"> samples collected for diagnosis of syphilis include rapid plasma </w:t>
      </w:r>
      <w:proofErr w:type="spellStart"/>
      <w:r>
        <w:t>reagin</w:t>
      </w:r>
      <w:proofErr w:type="spellEnd"/>
      <w:r>
        <w:t xml:space="preserve"> (RPR)/serology testing, and additional samples such as these were not available. The samples used for this study relied heavily on convenience banks, which also meant that they were not sufficiently representative, potentially including the relative numbers of males and females in the study, and particularly between 2012 and 2017 in terms of sequences types; for this </w:t>
      </w:r>
      <w:proofErr w:type="gramStart"/>
      <w:r>
        <w:t>period</w:t>
      </w:r>
      <w:proofErr w:type="gramEnd"/>
      <w:r>
        <w:t xml:space="preserve"> we only obtained a single sample for analysis, and there may be other syphilis sequence types that were not able to be captured or reported within this study. Secondly, the sample dataset appeared to contain higher numbers of samples from South East Queensland, and we had a high number of samples that were reported to be from </w:t>
      </w:r>
      <w:r>
        <w:lastRenderedPageBreak/>
        <w:t xml:space="preserve">unspecified regions in Queensland. Similarly, whole genome sequencing analyses are required to better assess the utility of the </w:t>
      </w:r>
      <w:proofErr w:type="spellStart"/>
      <w:r>
        <w:t>PubMLST</w:t>
      </w:r>
      <w:proofErr w:type="spellEnd"/>
      <w:r>
        <w:t xml:space="preserve"> scheme in our dataset, as it is likely that targeting only a small number of gene loci may lead to some errors in strain groupings; therefore, additional studies are required to provide further local context and resolution for transmission/sexual network analyses. </w:t>
      </w:r>
    </w:p>
    <w:p w14:paraId="7B912418" w14:textId="77777777" w:rsidR="004332E9" w:rsidRDefault="004332E9" w:rsidP="004332E9">
      <w:r>
        <w:t xml:space="preserve">Overall, this study provides novel insight into the geographical and temporal spread of syphilis sequence types in Queensland, Australia. The fact that two key strains accounted for </w:t>
      </w:r>
      <w:proofErr w:type="gramStart"/>
      <w:r>
        <w:t>the majority of</w:t>
      </w:r>
      <w:proofErr w:type="gramEnd"/>
      <w:r>
        <w:t xml:space="preserve"> infections, including among females, stresses the need for further studies to inform targeted public health interventions against chains of transmission, in order to better control the spread of syphilis in Queensland.</w:t>
      </w:r>
    </w:p>
    <w:p w14:paraId="0A22AA01" w14:textId="77777777" w:rsidR="004332E9" w:rsidRPr="004332E9" w:rsidRDefault="004332E9" w:rsidP="004332E9">
      <w:pPr>
        <w:pStyle w:val="Heading1"/>
      </w:pPr>
      <w:r w:rsidRPr="004332E9">
        <w:t xml:space="preserve">Acknowledgements </w:t>
      </w:r>
    </w:p>
    <w:p w14:paraId="6EE09073" w14:textId="77777777" w:rsidR="004332E9" w:rsidRDefault="004332E9" w:rsidP="004332E9">
      <w:r>
        <w:t>The authors wish to acknowledge Pathology Queensland staff for their assistance in the provision of nucleic acid extracts and patient samples for this study.</w:t>
      </w:r>
    </w:p>
    <w:p w14:paraId="38126C70" w14:textId="77777777" w:rsidR="004332E9" w:rsidRPr="004332E9" w:rsidRDefault="004332E9" w:rsidP="004332E9">
      <w:pPr>
        <w:pStyle w:val="Heading1"/>
      </w:pPr>
      <w:r w:rsidRPr="004332E9">
        <w:t xml:space="preserve">Author contributions </w:t>
      </w:r>
    </w:p>
    <w:p w14:paraId="35D6C474" w14:textId="77777777" w:rsidR="004332E9" w:rsidRDefault="004332E9" w:rsidP="004332E9">
      <w:r>
        <w:t xml:space="preserve">ELS and DMW planned the study; ELS, KL and FR conducted the study and performed the analyses; ELS and DMW wrote the manuscript; KL, MS, JLL, CB, GRN critically appraised the manuscript and provided feedback; ELS submitted the study. </w:t>
      </w:r>
    </w:p>
    <w:p w14:paraId="0B3B5FB9" w14:textId="77777777" w:rsidR="004332E9" w:rsidRPr="004332E9" w:rsidRDefault="004332E9" w:rsidP="004332E9">
      <w:pPr>
        <w:pStyle w:val="Heading1"/>
      </w:pPr>
      <w:r w:rsidRPr="004332E9">
        <w:t xml:space="preserve">Funding </w:t>
      </w:r>
    </w:p>
    <w:p w14:paraId="7FD3FDEA" w14:textId="77777777" w:rsidR="004332E9" w:rsidRDefault="004332E9" w:rsidP="004332E9">
      <w:r>
        <w:t>This study was supported by the Queensland Sexual Health Research Fund, as well as an Advancing Queensland Clinical Research Fellowship from the Queensland Government, held by DMW.</w:t>
      </w:r>
    </w:p>
    <w:p w14:paraId="02C105AE" w14:textId="77777777" w:rsidR="004332E9" w:rsidRPr="004332E9" w:rsidRDefault="004332E9" w:rsidP="004332E9">
      <w:pPr>
        <w:pStyle w:val="Heading1"/>
      </w:pPr>
      <w:r w:rsidRPr="004332E9">
        <w:t xml:space="preserve">Author details </w:t>
      </w:r>
    </w:p>
    <w:p w14:paraId="42038781" w14:textId="71A8DF61" w:rsidR="004332E9" w:rsidRDefault="004332E9" w:rsidP="004332E9">
      <w:r>
        <w:t>Emma L Sweeney</w:t>
      </w:r>
      <w:r>
        <w:rPr>
          <w:vertAlign w:val="superscript"/>
        </w:rPr>
        <w:t>1</w:t>
      </w:r>
      <w:r>
        <w:t xml:space="preserve"> </w:t>
      </w:r>
      <w:r w:rsidR="00CA7712">
        <w:br/>
      </w:r>
      <w:r>
        <w:t>Kym Lowry</w:t>
      </w:r>
      <w:r>
        <w:rPr>
          <w:vertAlign w:val="superscript"/>
        </w:rPr>
        <w:t>1</w:t>
      </w:r>
      <w:r>
        <w:t xml:space="preserve"> </w:t>
      </w:r>
      <w:r w:rsidR="00CA7712">
        <w:br/>
      </w:r>
      <w:r>
        <w:t>Mandy Seel</w:t>
      </w:r>
      <w:r>
        <w:rPr>
          <w:vertAlign w:val="superscript"/>
        </w:rPr>
        <w:t>2</w:t>
      </w:r>
      <w:r>
        <w:t xml:space="preserve"> </w:t>
      </w:r>
      <w:r w:rsidR="00CA7712">
        <w:br/>
      </w:r>
      <w:proofErr w:type="spellStart"/>
      <w:r>
        <w:t>Frashta</w:t>
      </w:r>
      <w:proofErr w:type="spellEnd"/>
      <w:r>
        <w:t xml:space="preserve"> Rahimi</w:t>
      </w:r>
      <w:r>
        <w:rPr>
          <w:vertAlign w:val="superscript"/>
        </w:rPr>
        <w:t>1</w:t>
      </w:r>
      <w:r>
        <w:t xml:space="preserve"> </w:t>
      </w:r>
      <w:r w:rsidR="00CA7712">
        <w:br/>
      </w:r>
      <w:r>
        <w:t>Julian Langton-Lockton</w:t>
      </w:r>
      <w:r>
        <w:rPr>
          <w:vertAlign w:val="superscript"/>
        </w:rPr>
        <w:t>3</w:t>
      </w:r>
      <w:r>
        <w:t xml:space="preserve"> </w:t>
      </w:r>
      <w:r w:rsidR="00CA7712">
        <w:br/>
      </w:r>
      <w:r>
        <w:t>Cheryl Bletchly</w:t>
      </w:r>
      <w:r>
        <w:rPr>
          <w:vertAlign w:val="superscript"/>
        </w:rPr>
        <w:t>4</w:t>
      </w:r>
      <w:r>
        <w:t xml:space="preserve"> </w:t>
      </w:r>
      <w:r w:rsidR="00CA7712">
        <w:br/>
      </w:r>
      <w:r>
        <w:t>Graeme R Nimmo</w:t>
      </w:r>
      <w:r>
        <w:rPr>
          <w:vertAlign w:val="superscript"/>
        </w:rPr>
        <w:t>4,5</w:t>
      </w:r>
      <w:r>
        <w:t xml:space="preserve"> </w:t>
      </w:r>
      <w:r w:rsidR="00CA7712">
        <w:br/>
      </w:r>
      <w:r>
        <w:t>David M Whiley</w:t>
      </w:r>
      <w:r>
        <w:rPr>
          <w:vertAlign w:val="superscript"/>
        </w:rPr>
        <w:t xml:space="preserve">1,4 </w:t>
      </w:r>
    </w:p>
    <w:p w14:paraId="1C72288C" w14:textId="77777777" w:rsidR="004332E9" w:rsidRPr="004332E9" w:rsidRDefault="004332E9" w:rsidP="004332E9">
      <w:pPr>
        <w:pStyle w:val="ListParagraph"/>
        <w:numPr>
          <w:ilvl w:val="0"/>
          <w:numId w:val="9"/>
        </w:numPr>
        <w:rPr>
          <w:rFonts w:eastAsia="Times New Roman"/>
        </w:rPr>
      </w:pPr>
      <w:r w:rsidRPr="004332E9">
        <w:rPr>
          <w:rFonts w:eastAsia="Times New Roman"/>
        </w:rPr>
        <w:t xml:space="preserve">The University of Queensland Centre for Clinical Research (UQ-CCR), Faculty of Medicine, The University of Queensland, Brisbane, Queensland, Australia </w:t>
      </w:r>
    </w:p>
    <w:p w14:paraId="628A54AE" w14:textId="77777777" w:rsidR="004332E9" w:rsidRPr="004332E9" w:rsidRDefault="004332E9" w:rsidP="004332E9">
      <w:pPr>
        <w:pStyle w:val="ListParagraph"/>
        <w:numPr>
          <w:ilvl w:val="0"/>
          <w:numId w:val="9"/>
        </w:numPr>
        <w:rPr>
          <w:rFonts w:eastAsia="Times New Roman"/>
        </w:rPr>
      </w:pPr>
      <w:r w:rsidRPr="004332E9">
        <w:rPr>
          <w:rFonts w:eastAsia="Times New Roman"/>
        </w:rPr>
        <w:t xml:space="preserve">Metro North Public Health Unit, Brisbane, Queensland, Australia </w:t>
      </w:r>
    </w:p>
    <w:p w14:paraId="6FDF7E89" w14:textId="77777777" w:rsidR="004332E9" w:rsidRPr="004332E9" w:rsidRDefault="004332E9" w:rsidP="004332E9">
      <w:pPr>
        <w:pStyle w:val="ListParagraph"/>
        <w:numPr>
          <w:ilvl w:val="0"/>
          <w:numId w:val="9"/>
        </w:numPr>
        <w:rPr>
          <w:rFonts w:eastAsia="Times New Roman"/>
        </w:rPr>
      </w:pPr>
      <w:r w:rsidRPr="004332E9">
        <w:rPr>
          <w:rFonts w:eastAsia="Times New Roman"/>
        </w:rPr>
        <w:t xml:space="preserve">Biala Community Health Centre, Brisbane, Queensland, Australia </w:t>
      </w:r>
    </w:p>
    <w:p w14:paraId="6C063A1D" w14:textId="77777777" w:rsidR="004332E9" w:rsidRPr="004332E9" w:rsidRDefault="004332E9" w:rsidP="004332E9">
      <w:pPr>
        <w:pStyle w:val="ListParagraph"/>
        <w:numPr>
          <w:ilvl w:val="0"/>
          <w:numId w:val="9"/>
        </w:numPr>
        <w:rPr>
          <w:rFonts w:eastAsia="Times New Roman"/>
        </w:rPr>
      </w:pPr>
      <w:r w:rsidRPr="004332E9">
        <w:rPr>
          <w:rFonts w:eastAsia="Times New Roman"/>
        </w:rPr>
        <w:t xml:space="preserve">Pathology Queensland Central Laboratory, Brisbane, Queensland, Australia </w:t>
      </w:r>
    </w:p>
    <w:p w14:paraId="45F05D8D" w14:textId="77777777" w:rsidR="004332E9" w:rsidRPr="004332E9" w:rsidRDefault="004332E9" w:rsidP="004332E9">
      <w:pPr>
        <w:pStyle w:val="ListParagraph"/>
        <w:numPr>
          <w:ilvl w:val="0"/>
          <w:numId w:val="9"/>
        </w:numPr>
        <w:rPr>
          <w:rFonts w:eastAsia="Times New Roman"/>
        </w:rPr>
      </w:pPr>
      <w:r w:rsidRPr="004332E9">
        <w:rPr>
          <w:rFonts w:eastAsia="Times New Roman"/>
        </w:rPr>
        <w:t xml:space="preserve">Griffith University, School of Medicine, Queensland, Australia </w:t>
      </w:r>
    </w:p>
    <w:p w14:paraId="3141BD2B" w14:textId="77777777" w:rsidR="004332E9" w:rsidRPr="004332E9" w:rsidRDefault="004332E9" w:rsidP="004332E9">
      <w:pPr>
        <w:pStyle w:val="Heading2"/>
      </w:pPr>
      <w:r w:rsidRPr="004332E9">
        <w:lastRenderedPageBreak/>
        <w:t xml:space="preserve">Corresponding author </w:t>
      </w:r>
    </w:p>
    <w:p w14:paraId="4202F762" w14:textId="77777777" w:rsidR="004332E9" w:rsidRDefault="004332E9" w:rsidP="004332E9">
      <w:r>
        <w:t xml:space="preserve">Dr Emma L. Sweeney </w:t>
      </w:r>
    </w:p>
    <w:p w14:paraId="06D93F80" w14:textId="77777777" w:rsidR="004332E9" w:rsidRDefault="004332E9" w:rsidP="004332E9">
      <w:r>
        <w:t xml:space="preserve">The University of Queensland Centre for Clinical Research, Faculty of Medicine, The University of Queensland, Brisbane, Queensland, Australia </w:t>
      </w:r>
    </w:p>
    <w:p w14:paraId="5765BD42" w14:textId="77777777" w:rsidR="004332E9" w:rsidRDefault="004332E9" w:rsidP="004332E9">
      <w:r>
        <w:t xml:space="preserve">Email: e.l.sweeney@uq.edu.au </w:t>
      </w:r>
    </w:p>
    <w:p w14:paraId="751A69CF" w14:textId="77777777" w:rsidR="004332E9" w:rsidRPr="004332E9" w:rsidRDefault="004332E9" w:rsidP="004332E9">
      <w:pPr>
        <w:pStyle w:val="Heading1"/>
      </w:pPr>
      <w:r w:rsidRPr="004332E9">
        <w:t xml:space="preserve">References </w:t>
      </w:r>
    </w:p>
    <w:p w14:paraId="115A2C6E"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Queensland Health. </w:t>
      </w:r>
      <w:r w:rsidRPr="00A821B8">
        <w:rPr>
          <w:rStyle w:val="Emphasis"/>
          <w:rFonts w:eastAsia="Times New Roman"/>
          <w:b w:val="0"/>
          <w:bCs w:val="0"/>
        </w:rPr>
        <w:t>Notifications of Syphilis in Queensland. 2019 Report</w:t>
      </w:r>
      <w:r w:rsidRPr="004332E9">
        <w:rPr>
          <w:rFonts w:eastAsia="Times New Roman"/>
        </w:rPr>
        <w:t xml:space="preserve">. Brisbane: Queensland Government, Queensland Health; April 2020. Available from: https://www.health.qld.gov.au/__data/assets/pdf_file/0040/959809/syphilis-in-queensland-2019.pdf. </w:t>
      </w:r>
    </w:p>
    <w:p w14:paraId="4B671FBF"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Kirby Institute. </w:t>
      </w:r>
      <w:r w:rsidRPr="00A821B8">
        <w:rPr>
          <w:rStyle w:val="Emphasis"/>
          <w:rFonts w:eastAsia="Times New Roman"/>
          <w:b w:val="0"/>
          <w:bCs w:val="0"/>
        </w:rPr>
        <w:t xml:space="preserve">HIV, viral </w:t>
      </w:r>
      <w:proofErr w:type="gramStart"/>
      <w:r w:rsidRPr="00A821B8">
        <w:rPr>
          <w:rStyle w:val="Emphasis"/>
          <w:rFonts w:eastAsia="Times New Roman"/>
          <w:b w:val="0"/>
          <w:bCs w:val="0"/>
        </w:rPr>
        <w:t>hepatitis</w:t>
      </w:r>
      <w:proofErr w:type="gramEnd"/>
      <w:r w:rsidRPr="00A821B8">
        <w:rPr>
          <w:rStyle w:val="Emphasis"/>
          <w:rFonts w:eastAsia="Times New Roman"/>
          <w:b w:val="0"/>
          <w:bCs w:val="0"/>
        </w:rPr>
        <w:t xml:space="preserve"> and sexually transmissible infections in Australia: annual surveillance report 2018</w:t>
      </w:r>
      <w:r w:rsidRPr="004332E9">
        <w:rPr>
          <w:rFonts w:eastAsia="Times New Roman"/>
        </w:rPr>
        <w:t xml:space="preserve">. Sydney: University of New South Wales, Kirby Institute; 2018. Available from: https://kirby.unsw.edu.au/sites/default/files/kirby/report/KI_Annual-Surveillance-Report-2018.pdf. </w:t>
      </w:r>
    </w:p>
    <w:p w14:paraId="4E39CD89"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Multi-jurisdictional Syphilis Outbreak Working Group. </w:t>
      </w:r>
      <w:r w:rsidRPr="00A821B8">
        <w:rPr>
          <w:rStyle w:val="Emphasis"/>
          <w:rFonts w:eastAsia="Times New Roman"/>
          <w:b w:val="0"/>
          <w:bCs w:val="0"/>
        </w:rPr>
        <w:t>Multijurisdictional syphilis outbreak surveillance report: October 2020</w:t>
      </w:r>
      <w:r w:rsidRPr="004332E9">
        <w:rPr>
          <w:rFonts w:eastAsia="Times New Roman"/>
        </w:rPr>
        <w:t xml:space="preserve">. Canberra: Australian Government Department of Health; October 2020. Available from: https://www1.health.gov.au/internet/main/publishing.nsf/Content/ohp-infectious-syphilis-outbreak.htm#historical. </w:t>
      </w:r>
    </w:p>
    <w:p w14:paraId="1A8ED0DF" w14:textId="77777777" w:rsidR="004332E9" w:rsidRPr="004332E9" w:rsidRDefault="004332E9" w:rsidP="004332E9">
      <w:pPr>
        <w:pStyle w:val="ListParagraph"/>
        <w:numPr>
          <w:ilvl w:val="0"/>
          <w:numId w:val="10"/>
        </w:numPr>
        <w:rPr>
          <w:rFonts w:eastAsia="Times New Roman"/>
        </w:rPr>
      </w:pPr>
      <w:proofErr w:type="spellStart"/>
      <w:r w:rsidRPr="004332E9">
        <w:rPr>
          <w:rFonts w:eastAsia="Times New Roman"/>
        </w:rPr>
        <w:t>Grillova</w:t>
      </w:r>
      <w:proofErr w:type="spellEnd"/>
      <w:r w:rsidRPr="004332E9">
        <w:rPr>
          <w:rFonts w:eastAsia="Times New Roman"/>
        </w:rPr>
        <w:t xml:space="preserve"> L, Jolley K, </w:t>
      </w:r>
      <w:proofErr w:type="spellStart"/>
      <w:r w:rsidRPr="004332E9">
        <w:rPr>
          <w:rFonts w:eastAsia="Times New Roman"/>
        </w:rPr>
        <w:t>Šmajs</w:t>
      </w:r>
      <w:proofErr w:type="spellEnd"/>
      <w:r w:rsidRPr="004332E9">
        <w:rPr>
          <w:rFonts w:eastAsia="Times New Roman"/>
        </w:rPr>
        <w:t xml:space="preserve"> D, </w:t>
      </w:r>
      <w:proofErr w:type="spellStart"/>
      <w:r w:rsidRPr="004332E9">
        <w:rPr>
          <w:rFonts w:eastAsia="Times New Roman"/>
        </w:rPr>
        <w:t>Picardeau</w:t>
      </w:r>
      <w:proofErr w:type="spellEnd"/>
      <w:r w:rsidRPr="004332E9">
        <w:rPr>
          <w:rFonts w:eastAsia="Times New Roman"/>
        </w:rPr>
        <w:t xml:space="preserve"> M. A public database for the new MLST scheme for </w:t>
      </w:r>
      <w:r w:rsidRPr="00A821B8">
        <w:rPr>
          <w:rStyle w:val="Emphasis"/>
          <w:rFonts w:eastAsia="Times New Roman"/>
          <w:b w:val="0"/>
          <w:bCs w:val="0"/>
        </w:rPr>
        <w:t>Treponema pallidum</w:t>
      </w:r>
      <w:r w:rsidRPr="004332E9">
        <w:rPr>
          <w:rFonts w:eastAsia="Times New Roman"/>
        </w:rPr>
        <w:t xml:space="preserve"> subsp. pallidum: surveillance and epidemiology of the causative agent of syphilis. </w:t>
      </w:r>
      <w:proofErr w:type="spellStart"/>
      <w:r w:rsidRPr="00A821B8">
        <w:rPr>
          <w:rStyle w:val="Emphasis"/>
          <w:rFonts w:eastAsia="Times New Roman"/>
          <w:b w:val="0"/>
          <w:bCs w:val="0"/>
        </w:rPr>
        <w:t>PeerJ</w:t>
      </w:r>
      <w:proofErr w:type="spellEnd"/>
      <w:r w:rsidRPr="004332E9">
        <w:rPr>
          <w:rFonts w:eastAsia="Times New Roman"/>
        </w:rPr>
        <w:t>. 2019;</w:t>
      </w:r>
      <w:proofErr w:type="gramStart"/>
      <w:r w:rsidRPr="004332E9">
        <w:rPr>
          <w:rFonts w:eastAsia="Times New Roman"/>
        </w:rPr>
        <w:t>6:e</w:t>
      </w:r>
      <w:proofErr w:type="gramEnd"/>
      <w:r w:rsidRPr="004332E9">
        <w:rPr>
          <w:rFonts w:eastAsia="Times New Roman"/>
        </w:rPr>
        <w:t xml:space="preserve">6182. </w:t>
      </w:r>
      <w:proofErr w:type="spellStart"/>
      <w:r w:rsidRPr="004332E9">
        <w:rPr>
          <w:rFonts w:eastAsia="Times New Roman"/>
        </w:rPr>
        <w:t>doi</w:t>
      </w:r>
      <w:proofErr w:type="spellEnd"/>
      <w:r w:rsidRPr="004332E9">
        <w:rPr>
          <w:rFonts w:eastAsia="Times New Roman"/>
        </w:rPr>
        <w:t xml:space="preserve">: https://doi.org/10.7717/peerj.6182. </w:t>
      </w:r>
    </w:p>
    <w:p w14:paraId="73EFB527" w14:textId="77777777" w:rsidR="004332E9" w:rsidRPr="004332E9" w:rsidRDefault="004332E9" w:rsidP="004332E9">
      <w:pPr>
        <w:pStyle w:val="ListParagraph"/>
        <w:numPr>
          <w:ilvl w:val="0"/>
          <w:numId w:val="10"/>
        </w:numPr>
        <w:rPr>
          <w:rFonts w:eastAsia="Times New Roman"/>
        </w:rPr>
      </w:pPr>
      <w:proofErr w:type="spellStart"/>
      <w:r w:rsidRPr="004332E9">
        <w:rPr>
          <w:rFonts w:eastAsia="Times New Roman"/>
        </w:rPr>
        <w:t>Grillová</w:t>
      </w:r>
      <w:proofErr w:type="spellEnd"/>
      <w:r w:rsidRPr="004332E9">
        <w:rPr>
          <w:rFonts w:eastAsia="Times New Roman"/>
        </w:rPr>
        <w:t xml:space="preserve"> L, </w:t>
      </w:r>
      <w:proofErr w:type="spellStart"/>
      <w:r w:rsidRPr="004332E9">
        <w:rPr>
          <w:rFonts w:eastAsia="Times New Roman"/>
        </w:rPr>
        <w:t>Bawa</w:t>
      </w:r>
      <w:proofErr w:type="spellEnd"/>
      <w:r w:rsidRPr="004332E9">
        <w:rPr>
          <w:rFonts w:eastAsia="Times New Roman"/>
        </w:rPr>
        <w:t xml:space="preserve"> T, </w:t>
      </w:r>
      <w:proofErr w:type="spellStart"/>
      <w:r w:rsidRPr="004332E9">
        <w:rPr>
          <w:rFonts w:eastAsia="Times New Roman"/>
        </w:rPr>
        <w:t>Mikalová</w:t>
      </w:r>
      <w:proofErr w:type="spellEnd"/>
      <w:r w:rsidRPr="004332E9">
        <w:rPr>
          <w:rFonts w:eastAsia="Times New Roman"/>
        </w:rPr>
        <w:t xml:space="preserve"> L, </w:t>
      </w:r>
      <w:proofErr w:type="spellStart"/>
      <w:r w:rsidRPr="004332E9">
        <w:rPr>
          <w:rFonts w:eastAsia="Times New Roman"/>
        </w:rPr>
        <w:t>Gayet-Ageron</w:t>
      </w:r>
      <w:proofErr w:type="spellEnd"/>
      <w:r w:rsidRPr="004332E9">
        <w:rPr>
          <w:rFonts w:eastAsia="Times New Roman"/>
        </w:rPr>
        <w:t xml:space="preserve"> A, </w:t>
      </w:r>
      <w:proofErr w:type="spellStart"/>
      <w:r w:rsidRPr="004332E9">
        <w:rPr>
          <w:rFonts w:eastAsia="Times New Roman"/>
        </w:rPr>
        <w:t>Nieselt</w:t>
      </w:r>
      <w:proofErr w:type="spellEnd"/>
      <w:r w:rsidRPr="004332E9">
        <w:rPr>
          <w:rFonts w:eastAsia="Times New Roman"/>
        </w:rPr>
        <w:t xml:space="preserve"> K, Strouhal M et al. Molecular characterization of </w:t>
      </w:r>
      <w:r w:rsidRPr="00A821B8">
        <w:rPr>
          <w:rStyle w:val="Emphasis"/>
          <w:rFonts w:eastAsia="Times New Roman"/>
          <w:b w:val="0"/>
          <w:bCs w:val="0"/>
        </w:rPr>
        <w:t>Treponema pallidum</w:t>
      </w:r>
      <w:r w:rsidRPr="004332E9">
        <w:rPr>
          <w:rFonts w:eastAsia="Times New Roman"/>
        </w:rPr>
        <w:t xml:space="preserve"> subsp. </w:t>
      </w:r>
      <w:r w:rsidRPr="00A821B8">
        <w:rPr>
          <w:rStyle w:val="Emphasis"/>
          <w:rFonts w:eastAsia="Times New Roman"/>
          <w:b w:val="0"/>
          <w:bCs w:val="0"/>
        </w:rPr>
        <w:t>pallidum</w:t>
      </w:r>
      <w:r w:rsidRPr="004332E9">
        <w:rPr>
          <w:rFonts w:eastAsia="Times New Roman"/>
        </w:rPr>
        <w:t xml:space="preserve"> in Switzerland and France with a new </w:t>
      </w:r>
      <w:proofErr w:type="spellStart"/>
      <w:r w:rsidRPr="004332E9">
        <w:rPr>
          <w:rFonts w:eastAsia="Times New Roman"/>
        </w:rPr>
        <w:t>multilocus</w:t>
      </w:r>
      <w:proofErr w:type="spellEnd"/>
      <w:r w:rsidRPr="004332E9">
        <w:rPr>
          <w:rFonts w:eastAsia="Times New Roman"/>
        </w:rPr>
        <w:t xml:space="preserve"> sequence typing scheme. </w:t>
      </w:r>
      <w:proofErr w:type="spellStart"/>
      <w:r w:rsidRPr="00A821B8">
        <w:rPr>
          <w:rStyle w:val="Emphasis"/>
          <w:rFonts w:eastAsia="Times New Roman"/>
          <w:b w:val="0"/>
          <w:bCs w:val="0"/>
        </w:rPr>
        <w:t>PloS</w:t>
      </w:r>
      <w:proofErr w:type="spellEnd"/>
      <w:r w:rsidRPr="00A821B8">
        <w:rPr>
          <w:rStyle w:val="Emphasis"/>
          <w:rFonts w:eastAsia="Times New Roman"/>
          <w:b w:val="0"/>
          <w:bCs w:val="0"/>
        </w:rPr>
        <w:t xml:space="preserve"> One</w:t>
      </w:r>
      <w:r w:rsidRPr="004332E9">
        <w:rPr>
          <w:rFonts w:eastAsia="Times New Roman"/>
        </w:rPr>
        <w:t>. 2018;13(7</w:t>
      </w:r>
      <w:proofErr w:type="gramStart"/>
      <w:r w:rsidRPr="004332E9">
        <w:rPr>
          <w:rFonts w:eastAsia="Times New Roman"/>
        </w:rPr>
        <w:t>):e</w:t>
      </w:r>
      <w:proofErr w:type="gramEnd"/>
      <w:r w:rsidRPr="004332E9">
        <w:rPr>
          <w:rFonts w:eastAsia="Times New Roman"/>
        </w:rPr>
        <w:t xml:space="preserve">0200773. </w:t>
      </w:r>
      <w:proofErr w:type="spellStart"/>
      <w:r w:rsidRPr="004332E9">
        <w:rPr>
          <w:rFonts w:eastAsia="Times New Roman"/>
        </w:rPr>
        <w:t>doi</w:t>
      </w:r>
      <w:proofErr w:type="spellEnd"/>
      <w:r w:rsidRPr="004332E9">
        <w:rPr>
          <w:rFonts w:eastAsia="Times New Roman"/>
        </w:rPr>
        <w:t xml:space="preserve">: https://doi.org/10.1371/journal.pone.0200773. </w:t>
      </w:r>
    </w:p>
    <w:p w14:paraId="4E059792" w14:textId="77777777" w:rsidR="004332E9" w:rsidRPr="004332E9" w:rsidRDefault="004332E9" w:rsidP="004332E9">
      <w:pPr>
        <w:pStyle w:val="ListParagraph"/>
        <w:numPr>
          <w:ilvl w:val="0"/>
          <w:numId w:val="10"/>
        </w:numPr>
        <w:rPr>
          <w:rFonts w:eastAsia="Times New Roman"/>
        </w:rPr>
      </w:pPr>
      <w:proofErr w:type="spellStart"/>
      <w:r w:rsidRPr="004332E9">
        <w:rPr>
          <w:rFonts w:eastAsia="Times New Roman"/>
        </w:rPr>
        <w:t>Grillová</w:t>
      </w:r>
      <w:proofErr w:type="spellEnd"/>
      <w:r w:rsidRPr="004332E9">
        <w:rPr>
          <w:rFonts w:eastAsia="Times New Roman"/>
        </w:rPr>
        <w:t xml:space="preserve"> L, Noda AA, </w:t>
      </w:r>
      <w:proofErr w:type="spellStart"/>
      <w:r w:rsidRPr="004332E9">
        <w:rPr>
          <w:rFonts w:eastAsia="Times New Roman"/>
        </w:rPr>
        <w:t>Lienhard</w:t>
      </w:r>
      <w:proofErr w:type="spellEnd"/>
      <w:r w:rsidRPr="004332E9">
        <w:rPr>
          <w:rFonts w:eastAsia="Times New Roman"/>
        </w:rPr>
        <w:t xml:space="preserve"> R, Blanco O, Rodríguez I, </w:t>
      </w:r>
      <w:proofErr w:type="spellStart"/>
      <w:r w:rsidRPr="004332E9">
        <w:rPr>
          <w:rFonts w:eastAsia="Times New Roman"/>
        </w:rPr>
        <w:t>Šmajs</w:t>
      </w:r>
      <w:proofErr w:type="spellEnd"/>
      <w:r w:rsidRPr="004332E9">
        <w:rPr>
          <w:rFonts w:eastAsia="Times New Roman"/>
        </w:rPr>
        <w:t xml:space="preserve"> D. </w:t>
      </w:r>
      <w:proofErr w:type="spellStart"/>
      <w:r w:rsidRPr="004332E9">
        <w:rPr>
          <w:rFonts w:eastAsia="Times New Roman"/>
        </w:rPr>
        <w:t>Multilocus</w:t>
      </w:r>
      <w:proofErr w:type="spellEnd"/>
      <w:r w:rsidRPr="004332E9">
        <w:rPr>
          <w:rFonts w:eastAsia="Times New Roman"/>
        </w:rPr>
        <w:t xml:space="preserve"> sequence typing of </w:t>
      </w:r>
      <w:r w:rsidRPr="00A821B8">
        <w:rPr>
          <w:rStyle w:val="Emphasis"/>
          <w:rFonts w:eastAsia="Times New Roman"/>
          <w:b w:val="0"/>
          <w:bCs w:val="0"/>
        </w:rPr>
        <w:t>Treponema pallidum</w:t>
      </w:r>
      <w:r w:rsidRPr="004332E9">
        <w:rPr>
          <w:rFonts w:eastAsia="Times New Roman"/>
        </w:rPr>
        <w:t xml:space="preserve"> subsp. </w:t>
      </w:r>
      <w:r w:rsidRPr="00A821B8">
        <w:rPr>
          <w:rStyle w:val="Emphasis"/>
          <w:rFonts w:eastAsia="Times New Roman"/>
          <w:b w:val="0"/>
          <w:bCs w:val="0"/>
        </w:rPr>
        <w:t>pallidum</w:t>
      </w:r>
      <w:r w:rsidRPr="004332E9">
        <w:rPr>
          <w:rFonts w:eastAsia="Times New Roman"/>
        </w:rPr>
        <w:t xml:space="preserve"> in Cuba </w:t>
      </w:r>
      <w:proofErr w:type="gramStart"/>
      <w:r w:rsidRPr="004332E9">
        <w:rPr>
          <w:rFonts w:eastAsia="Times New Roman"/>
        </w:rPr>
        <w:t>From</w:t>
      </w:r>
      <w:proofErr w:type="gramEnd"/>
      <w:r w:rsidRPr="004332E9">
        <w:rPr>
          <w:rFonts w:eastAsia="Times New Roman"/>
        </w:rPr>
        <w:t xml:space="preserve"> 2012 to 2017. </w:t>
      </w:r>
      <w:r w:rsidRPr="00A821B8">
        <w:rPr>
          <w:rStyle w:val="Emphasis"/>
          <w:rFonts w:eastAsia="Times New Roman"/>
          <w:b w:val="0"/>
          <w:bCs w:val="0"/>
        </w:rPr>
        <w:t>J Infect Dis</w:t>
      </w:r>
      <w:r w:rsidRPr="004332E9">
        <w:rPr>
          <w:rFonts w:eastAsia="Times New Roman"/>
        </w:rPr>
        <w:t xml:space="preserve">. 2019;219(7):1138–45. </w:t>
      </w:r>
    </w:p>
    <w:p w14:paraId="4794A65D" w14:textId="77777777" w:rsidR="004332E9" w:rsidRPr="004332E9" w:rsidRDefault="004332E9" w:rsidP="004332E9">
      <w:pPr>
        <w:pStyle w:val="ListParagraph"/>
        <w:numPr>
          <w:ilvl w:val="0"/>
          <w:numId w:val="10"/>
        </w:numPr>
        <w:rPr>
          <w:rFonts w:eastAsia="Times New Roman"/>
        </w:rPr>
      </w:pPr>
      <w:proofErr w:type="spellStart"/>
      <w:r w:rsidRPr="004332E9">
        <w:rPr>
          <w:rFonts w:eastAsia="Times New Roman"/>
        </w:rPr>
        <w:t>Pospíšilová</w:t>
      </w:r>
      <w:proofErr w:type="spellEnd"/>
      <w:r w:rsidRPr="004332E9">
        <w:rPr>
          <w:rFonts w:eastAsia="Times New Roman"/>
        </w:rPr>
        <w:t xml:space="preserve"> P, Grange PA, </w:t>
      </w:r>
      <w:proofErr w:type="spellStart"/>
      <w:r w:rsidRPr="004332E9">
        <w:rPr>
          <w:rFonts w:eastAsia="Times New Roman"/>
        </w:rPr>
        <w:t>Grillová</w:t>
      </w:r>
      <w:proofErr w:type="spellEnd"/>
      <w:r w:rsidRPr="004332E9">
        <w:rPr>
          <w:rFonts w:eastAsia="Times New Roman"/>
        </w:rPr>
        <w:t xml:space="preserve"> L, </w:t>
      </w:r>
      <w:proofErr w:type="spellStart"/>
      <w:r w:rsidRPr="004332E9">
        <w:rPr>
          <w:rFonts w:eastAsia="Times New Roman"/>
        </w:rPr>
        <w:t>Mikalová</w:t>
      </w:r>
      <w:proofErr w:type="spellEnd"/>
      <w:r w:rsidRPr="004332E9">
        <w:rPr>
          <w:rFonts w:eastAsia="Times New Roman"/>
        </w:rPr>
        <w:t xml:space="preserve"> L, Martinet P, </w:t>
      </w:r>
      <w:proofErr w:type="spellStart"/>
      <w:r w:rsidRPr="004332E9">
        <w:rPr>
          <w:rFonts w:eastAsia="Times New Roman"/>
        </w:rPr>
        <w:t>Janier</w:t>
      </w:r>
      <w:proofErr w:type="spellEnd"/>
      <w:r w:rsidRPr="004332E9">
        <w:rPr>
          <w:rFonts w:eastAsia="Times New Roman"/>
        </w:rPr>
        <w:t xml:space="preserve"> M et al. Multi-locus sequence typing of </w:t>
      </w:r>
      <w:r w:rsidRPr="00A821B8">
        <w:rPr>
          <w:rStyle w:val="Emphasis"/>
          <w:rFonts w:eastAsia="Times New Roman"/>
          <w:b w:val="0"/>
          <w:bCs w:val="0"/>
        </w:rPr>
        <w:t>Treponema pallidum</w:t>
      </w:r>
      <w:r w:rsidRPr="004332E9">
        <w:rPr>
          <w:rFonts w:eastAsia="Times New Roman"/>
        </w:rPr>
        <w:t xml:space="preserve"> subsp. </w:t>
      </w:r>
      <w:r w:rsidRPr="00A821B8">
        <w:rPr>
          <w:rStyle w:val="Emphasis"/>
          <w:rFonts w:eastAsia="Times New Roman"/>
          <w:b w:val="0"/>
          <w:bCs w:val="0"/>
        </w:rPr>
        <w:t>pallidum</w:t>
      </w:r>
      <w:r w:rsidRPr="004332E9">
        <w:rPr>
          <w:rFonts w:eastAsia="Times New Roman"/>
        </w:rPr>
        <w:t xml:space="preserve"> present in clinical samples from France: infecting treponemes are genetically diverse and belong to 18 allelic profiles. </w:t>
      </w:r>
      <w:proofErr w:type="spellStart"/>
      <w:r w:rsidRPr="00A821B8">
        <w:rPr>
          <w:rStyle w:val="Emphasis"/>
          <w:rFonts w:eastAsia="Times New Roman"/>
          <w:b w:val="0"/>
          <w:bCs w:val="0"/>
        </w:rPr>
        <w:t>PloS</w:t>
      </w:r>
      <w:proofErr w:type="spellEnd"/>
      <w:r w:rsidRPr="00A821B8">
        <w:rPr>
          <w:rStyle w:val="Emphasis"/>
          <w:rFonts w:eastAsia="Times New Roman"/>
          <w:b w:val="0"/>
          <w:bCs w:val="0"/>
        </w:rPr>
        <w:t xml:space="preserve"> One</w:t>
      </w:r>
      <w:r w:rsidRPr="004332E9">
        <w:rPr>
          <w:rFonts w:eastAsia="Times New Roman"/>
        </w:rPr>
        <w:t>. 2018;13(7</w:t>
      </w:r>
      <w:proofErr w:type="gramStart"/>
      <w:r w:rsidRPr="004332E9">
        <w:rPr>
          <w:rFonts w:eastAsia="Times New Roman"/>
        </w:rPr>
        <w:t>):e</w:t>
      </w:r>
      <w:proofErr w:type="gramEnd"/>
      <w:r w:rsidRPr="004332E9">
        <w:rPr>
          <w:rFonts w:eastAsia="Times New Roman"/>
        </w:rPr>
        <w:t xml:space="preserve">0201068. </w:t>
      </w:r>
      <w:proofErr w:type="spellStart"/>
      <w:r w:rsidRPr="004332E9">
        <w:rPr>
          <w:rFonts w:eastAsia="Times New Roman"/>
        </w:rPr>
        <w:t>doi</w:t>
      </w:r>
      <w:proofErr w:type="spellEnd"/>
      <w:r w:rsidRPr="004332E9">
        <w:rPr>
          <w:rFonts w:eastAsia="Times New Roman"/>
        </w:rPr>
        <w:t xml:space="preserve">: https://doi.org/10.1371/journal.pone.0201068. </w:t>
      </w:r>
    </w:p>
    <w:p w14:paraId="2CBF0DF6"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Palmer HM, Higgins SP, Herring AJ, Kingston MA. Use of PCR in the diagnosis of early syphilis in the United Kingdom. </w:t>
      </w:r>
      <w:r w:rsidRPr="00A821B8">
        <w:rPr>
          <w:rStyle w:val="Emphasis"/>
          <w:rFonts w:eastAsia="Times New Roman"/>
          <w:b w:val="0"/>
          <w:bCs w:val="0"/>
        </w:rPr>
        <w:t xml:space="preserve">Sex </w:t>
      </w:r>
      <w:proofErr w:type="spellStart"/>
      <w:r w:rsidRPr="00A821B8">
        <w:rPr>
          <w:rStyle w:val="Emphasis"/>
          <w:rFonts w:eastAsia="Times New Roman"/>
          <w:b w:val="0"/>
          <w:bCs w:val="0"/>
        </w:rPr>
        <w:t>Transm</w:t>
      </w:r>
      <w:proofErr w:type="spellEnd"/>
      <w:r w:rsidRPr="00A821B8">
        <w:rPr>
          <w:rStyle w:val="Emphasis"/>
          <w:rFonts w:eastAsia="Times New Roman"/>
          <w:b w:val="0"/>
          <w:bCs w:val="0"/>
        </w:rPr>
        <w:t xml:space="preserve"> Infect</w:t>
      </w:r>
      <w:r w:rsidRPr="004332E9">
        <w:rPr>
          <w:rFonts w:eastAsia="Times New Roman"/>
        </w:rPr>
        <w:t xml:space="preserve">. 2003;79(6):479–83. </w:t>
      </w:r>
    </w:p>
    <w:p w14:paraId="3887577B"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Li Z, Hou J, Zheng R, Li Z, Wen J, Liu D et al. Two mutations associated with macrolide resistance in </w:t>
      </w:r>
      <w:r w:rsidRPr="00A821B8">
        <w:rPr>
          <w:rStyle w:val="Emphasis"/>
          <w:rFonts w:eastAsia="Times New Roman"/>
          <w:b w:val="0"/>
          <w:bCs w:val="0"/>
        </w:rPr>
        <w:t>Treponema pallidum</w:t>
      </w:r>
      <w:r w:rsidRPr="004332E9">
        <w:rPr>
          <w:rFonts w:eastAsia="Times New Roman"/>
        </w:rPr>
        <w:t xml:space="preserve"> in Shandong, China. </w:t>
      </w:r>
      <w:r w:rsidRPr="00A821B8">
        <w:rPr>
          <w:rStyle w:val="Emphasis"/>
          <w:rFonts w:eastAsia="Times New Roman"/>
          <w:b w:val="0"/>
          <w:bCs w:val="0"/>
        </w:rPr>
        <w:t>J Clin Microbiol</w:t>
      </w:r>
      <w:r w:rsidRPr="004332E9">
        <w:rPr>
          <w:rFonts w:eastAsia="Times New Roman"/>
        </w:rPr>
        <w:t xml:space="preserve">. 2013;51(12):4270–1. </w:t>
      </w:r>
    </w:p>
    <w:p w14:paraId="3B33DD9B"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Wu BR, Liu WC, Wu PY, </w:t>
      </w:r>
      <w:proofErr w:type="spellStart"/>
      <w:r w:rsidRPr="004332E9">
        <w:rPr>
          <w:rFonts w:eastAsia="Times New Roman"/>
        </w:rPr>
        <w:t>Su</w:t>
      </w:r>
      <w:proofErr w:type="spellEnd"/>
      <w:r w:rsidRPr="004332E9">
        <w:rPr>
          <w:rFonts w:eastAsia="Times New Roman"/>
        </w:rPr>
        <w:t xml:space="preserve"> YC, Yang SP, Hung CC et al. Surveillance study of </w:t>
      </w:r>
      <w:r w:rsidRPr="00A821B8">
        <w:rPr>
          <w:rStyle w:val="Emphasis"/>
          <w:rFonts w:eastAsia="Times New Roman"/>
          <w:b w:val="0"/>
          <w:bCs w:val="0"/>
        </w:rPr>
        <w:t>Treponema pallidum</w:t>
      </w:r>
      <w:r w:rsidRPr="004332E9">
        <w:rPr>
          <w:rFonts w:eastAsia="Times New Roman"/>
        </w:rPr>
        <w:t xml:space="preserve"> harbouring tetracycline resistance mutations in patients with syphilis. </w:t>
      </w:r>
      <w:r w:rsidRPr="00A821B8">
        <w:rPr>
          <w:rStyle w:val="Emphasis"/>
          <w:rFonts w:eastAsia="Times New Roman"/>
          <w:b w:val="0"/>
          <w:bCs w:val="0"/>
        </w:rPr>
        <w:t xml:space="preserve">Int J </w:t>
      </w:r>
      <w:proofErr w:type="spellStart"/>
      <w:r w:rsidRPr="00A821B8">
        <w:rPr>
          <w:rStyle w:val="Emphasis"/>
          <w:rFonts w:eastAsia="Times New Roman"/>
          <w:b w:val="0"/>
          <w:bCs w:val="0"/>
        </w:rPr>
        <w:t>Antimicrob</w:t>
      </w:r>
      <w:proofErr w:type="spellEnd"/>
      <w:r w:rsidRPr="00A821B8">
        <w:rPr>
          <w:rStyle w:val="Emphasis"/>
          <w:rFonts w:eastAsia="Times New Roman"/>
          <w:b w:val="0"/>
          <w:bCs w:val="0"/>
        </w:rPr>
        <w:t xml:space="preserve"> Agents</w:t>
      </w:r>
      <w:r w:rsidRPr="004332E9">
        <w:rPr>
          <w:rFonts w:eastAsia="Times New Roman"/>
        </w:rPr>
        <w:t xml:space="preserve">. 2014;44(4):370–2. </w:t>
      </w:r>
    </w:p>
    <w:p w14:paraId="4FC94791" w14:textId="77777777" w:rsidR="004332E9" w:rsidRPr="004332E9" w:rsidRDefault="004332E9" w:rsidP="004332E9">
      <w:pPr>
        <w:pStyle w:val="ListParagraph"/>
        <w:numPr>
          <w:ilvl w:val="0"/>
          <w:numId w:val="10"/>
        </w:numPr>
        <w:rPr>
          <w:rFonts w:eastAsia="Times New Roman"/>
        </w:rPr>
      </w:pPr>
      <w:proofErr w:type="spellStart"/>
      <w:r w:rsidRPr="004332E9">
        <w:rPr>
          <w:rFonts w:eastAsia="Times New Roman"/>
        </w:rPr>
        <w:t>Vrbová</w:t>
      </w:r>
      <w:proofErr w:type="spellEnd"/>
      <w:r w:rsidRPr="004332E9">
        <w:rPr>
          <w:rFonts w:eastAsia="Times New Roman"/>
        </w:rPr>
        <w:t xml:space="preserve"> E, </w:t>
      </w:r>
      <w:proofErr w:type="spellStart"/>
      <w:r w:rsidRPr="004332E9">
        <w:rPr>
          <w:rFonts w:eastAsia="Times New Roman"/>
        </w:rPr>
        <w:t>Grillová</w:t>
      </w:r>
      <w:proofErr w:type="spellEnd"/>
      <w:r w:rsidRPr="004332E9">
        <w:rPr>
          <w:rFonts w:eastAsia="Times New Roman"/>
        </w:rPr>
        <w:t xml:space="preserve"> L, </w:t>
      </w:r>
      <w:proofErr w:type="spellStart"/>
      <w:r w:rsidRPr="004332E9">
        <w:rPr>
          <w:rFonts w:eastAsia="Times New Roman"/>
        </w:rPr>
        <w:t>Mikalová</w:t>
      </w:r>
      <w:proofErr w:type="spellEnd"/>
      <w:r w:rsidRPr="004332E9">
        <w:rPr>
          <w:rFonts w:eastAsia="Times New Roman"/>
        </w:rPr>
        <w:t xml:space="preserve"> L, </w:t>
      </w:r>
      <w:proofErr w:type="spellStart"/>
      <w:r w:rsidRPr="004332E9">
        <w:rPr>
          <w:rFonts w:eastAsia="Times New Roman"/>
        </w:rPr>
        <w:t>Pospíšilová</w:t>
      </w:r>
      <w:proofErr w:type="spellEnd"/>
      <w:r w:rsidRPr="004332E9">
        <w:rPr>
          <w:rFonts w:eastAsia="Times New Roman"/>
        </w:rPr>
        <w:t xml:space="preserve"> P, </w:t>
      </w:r>
      <w:proofErr w:type="spellStart"/>
      <w:r w:rsidRPr="004332E9">
        <w:rPr>
          <w:rFonts w:eastAsia="Times New Roman"/>
        </w:rPr>
        <w:t>Strnadel</w:t>
      </w:r>
      <w:proofErr w:type="spellEnd"/>
      <w:r w:rsidRPr="004332E9">
        <w:rPr>
          <w:rFonts w:eastAsia="Times New Roman"/>
        </w:rPr>
        <w:t xml:space="preserve"> R, </w:t>
      </w:r>
      <w:proofErr w:type="spellStart"/>
      <w:r w:rsidRPr="004332E9">
        <w:rPr>
          <w:rFonts w:eastAsia="Times New Roman"/>
        </w:rPr>
        <w:t>Dastychová</w:t>
      </w:r>
      <w:proofErr w:type="spellEnd"/>
      <w:r w:rsidRPr="004332E9">
        <w:rPr>
          <w:rFonts w:eastAsia="Times New Roman"/>
        </w:rPr>
        <w:t xml:space="preserve"> E et al. MLST typing of </w:t>
      </w:r>
      <w:r w:rsidRPr="00A821B8">
        <w:rPr>
          <w:rStyle w:val="Emphasis"/>
          <w:rFonts w:eastAsia="Times New Roman"/>
          <w:b w:val="0"/>
          <w:bCs w:val="0"/>
        </w:rPr>
        <w:t>Treponema pallidum</w:t>
      </w:r>
      <w:r w:rsidRPr="004332E9">
        <w:rPr>
          <w:rFonts w:eastAsia="Times New Roman"/>
        </w:rPr>
        <w:t xml:space="preserve"> subsp. </w:t>
      </w:r>
      <w:r w:rsidRPr="00A821B8">
        <w:rPr>
          <w:rStyle w:val="Emphasis"/>
          <w:rFonts w:eastAsia="Times New Roman"/>
          <w:b w:val="0"/>
          <w:bCs w:val="0"/>
        </w:rPr>
        <w:t>pallidum</w:t>
      </w:r>
      <w:r w:rsidRPr="004332E9">
        <w:rPr>
          <w:rFonts w:eastAsia="Times New Roman"/>
        </w:rPr>
        <w:t xml:space="preserve"> in the Czech Republic during 2004–2017: clinical isolates belonged to 25 allelic profiles and </w:t>
      </w:r>
      <w:proofErr w:type="spellStart"/>
      <w:r w:rsidRPr="004332E9">
        <w:rPr>
          <w:rFonts w:eastAsia="Times New Roman"/>
        </w:rPr>
        <w:t>harbored</w:t>
      </w:r>
      <w:proofErr w:type="spellEnd"/>
      <w:r w:rsidRPr="004332E9">
        <w:rPr>
          <w:rFonts w:eastAsia="Times New Roman"/>
        </w:rPr>
        <w:t xml:space="preserve"> 8 novel allelic variants. </w:t>
      </w:r>
      <w:proofErr w:type="spellStart"/>
      <w:r w:rsidRPr="00A821B8">
        <w:rPr>
          <w:rStyle w:val="Emphasis"/>
          <w:rFonts w:eastAsia="Times New Roman"/>
          <w:b w:val="0"/>
          <w:bCs w:val="0"/>
        </w:rPr>
        <w:t>PloS</w:t>
      </w:r>
      <w:proofErr w:type="spellEnd"/>
      <w:r w:rsidRPr="00A821B8">
        <w:rPr>
          <w:rStyle w:val="Emphasis"/>
          <w:rFonts w:eastAsia="Times New Roman"/>
          <w:b w:val="0"/>
          <w:bCs w:val="0"/>
        </w:rPr>
        <w:t xml:space="preserve"> One</w:t>
      </w:r>
      <w:r w:rsidRPr="004332E9">
        <w:rPr>
          <w:rFonts w:eastAsia="Times New Roman"/>
        </w:rPr>
        <w:t>. 2019;14(5</w:t>
      </w:r>
      <w:proofErr w:type="gramStart"/>
      <w:r w:rsidRPr="004332E9">
        <w:rPr>
          <w:rFonts w:eastAsia="Times New Roman"/>
        </w:rPr>
        <w:t>):e</w:t>
      </w:r>
      <w:proofErr w:type="gramEnd"/>
      <w:r w:rsidRPr="004332E9">
        <w:rPr>
          <w:rFonts w:eastAsia="Times New Roman"/>
        </w:rPr>
        <w:t xml:space="preserve">0217611. </w:t>
      </w:r>
      <w:proofErr w:type="spellStart"/>
      <w:r w:rsidRPr="004332E9">
        <w:rPr>
          <w:rFonts w:eastAsia="Times New Roman"/>
        </w:rPr>
        <w:t>doi</w:t>
      </w:r>
      <w:proofErr w:type="spellEnd"/>
      <w:r w:rsidRPr="004332E9">
        <w:rPr>
          <w:rFonts w:eastAsia="Times New Roman"/>
        </w:rPr>
        <w:t xml:space="preserve">: https://doi.org/10.1371/journal.pone.0217611. </w:t>
      </w:r>
    </w:p>
    <w:p w14:paraId="77CB71B8"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Cunningham SD, </w:t>
      </w:r>
      <w:proofErr w:type="spellStart"/>
      <w:r w:rsidRPr="004332E9">
        <w:rPr>
          <w:rFonts w:eastAsia="Times New Roman"/>
        </w:rPr>
        <w:t>Olthoff</w:t>
      </w:r>
      <w:proofErr w:type="spellEnd"/>
      <w:r w:rsidRPr="004332E9">
        <w:rPr>
          <w:rFonts w:eastAsia="Times New Roman"/>
        </w:rPr>
        <w:t xml:space="preserve"> G, Burnett P, </w:t>
      </w:r>
      <w:proofErr w:type="spellStart"/>
      <w:r w:rsidRPr="004332E9">
        <w:rPr>
          <w:rFonts w:eastAsia="Times New Roman"/>
        </w:rPr>
        <w:t>Rompalo</w:t>
      </w:r>
      <w:proofErr w:type="spellEnd"/>
      <w:r w:rsidRPr="004332E9">
        <w:rPr>
          <w:rFonts w:eastAsia="Times New Roman"/>
        </w:rPr>
        <w:t xml:space="preserve"> AM, Ellen JM. Evidence of heterosexual bridging among syphilis-positive men who have sex with men. </w:t>
      </w:r>
      <w:r w:rsidRPr="00A821B8">
        <w:rPr>
          <w:rStyle w:val="Emphasis"/>
          <w:rFonts w:eastAsia="Times New Roman"/>
          <w:b w:val="0"/>
          <w:bCs w:val="0"/>
        </w:rPr>
        <w:t xml:space="preserve">Sex </w:t>
      </w:r>
      <w:proofErr w:type="spellStart"/>
      <w:r w:rsidRPr="00A821B8">
        <w:rPr>
          <w:rStyle w:val="Emphasis"/>
          <w:rFonts w:eastAsia="Times New Roman"/>
          <w:b w:val="0"/>
          <w:bCs w:val="0"/>
        </w:rPr>
        <w:t>Transm</w:t>
      </w:r>
      <w:proofErr w:type="spellEnd"/>
      <w:r w:rsidRPr="00A821B8">
        <w:rPr>
          <w:rStyle w:val="Emphasis"/>
          <w:rFonts w:eastAsia="Times New Roman"/>
          <w:b w:val="0"/>
          <w:bCs w:val="0"/>
        </w:rPr>
        <w:t xml:space="preserve"> Infect</w:t>
      </w:r>
      <w:r w:rsidRPr="004332E9">
        <w:rPr>
          <w:rFonts w:eastAsia="Times New Roman"/>
        </w:rPr>
        <w:t xml:space="preserve">. 2006;82(6):444–5. </w:t>
      </w:r>
    </w:p>
    <w:p w14:paraId="52D69D33" w14:textId="77777777" w:rsidR="004332E9" w:rsidRPr="004332E9" w:rsidRDefault="004332E9" w:rsidP="004332E9">
      <w:pPr>
        <w:pStyle w:val="ListParagraph"/>
        <w:numPr>
          <w:ilvl w:val="0"/>
          <w:numId w:val="10"/>
        </w:numPr>
        <w:rPr>
          <w:rFonts w:eastAsia="Times New Roman"/>
        </w:rPr>
      </w:pPr>
      <w:r w:rsidRPr="004332E9">
        <w:rPr>
          <w:rFonts w:eastAsia="Times New Roman"/>
        </w:rPr>
        <w:lastRenderedPageBreak/>
        <w:t xml:space="preserve">Yun K, Xu JJ, Reilly KH, Zhang J, Jiang YJ, Wang N et al. Prevalence of bisexual behaviour among bridge population of men who have sex with men in China: a meta-analysis of observational studies. </w:t>
      </w:r>
      <w:r w:rsidRPr="00A821B8">
        <w:rPr>
          <w:rStyle w:val="Emphasis"/>
          <w:rFonts w:eastAsia="Times New Roman"/>
          <w:b w:val="0"/>
          <w:bCs w:val="0"/>
        </w:rPr>
        <w:t xml:space="preserve">Sex </w:t>
      </w:r>
      <w:proofErr w:type="spellStart"/>
      <w:r w:rsidRPr="00A821B8">
        <w:rPr>
          <w:rStyle w:val="Emphasis"/>
          <w:rFonts w:eastAsia="Times New Roman"/>
          <w:b w:val="0"/>
          <w:bCs w:val="0"/>
        </w:rPr>
        <w:t>Transm</w:t>
      </w:r>
      <w:proofErr w:type="spellEnd"/>
      <w:r w:rsidRPr="00A821B8">
        <w:rPr>
          <w:rStyle w:val="Emphasis"/>
          <w:rFonts w:eastAsia="Times New Roman"/>
          <w:b w:val="0"/>
          <w:bCs w:val="0"/>
        </w:rPr>
        <w:t xml:space="preserve"> Infect</w:t>
      </w:r>
      <w:r w:rsidRPr="004332E9">
        <w:rPr>
          <w:rFonts w:eastAsia="Times New Roman"/>
        </w:rPr>
        <w:t xml:space="preserve">. 2011;87(7):563–70. </w:t>
      </w:r>
    </w:p>
    <w:p w14:paraId="0E598306"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Williamson DA, Chow EPF, </w:t>
      </w:r>
      <w:proofErr w:type="spellStart"/>
      <w:r w:rsidRPr="004332E9">
        <w:rPr>
          <w:rFonts w:eastAsia="Times New Roman"/>
        </w:rPr>
        <w:t>Gorrie</w:t>
      </w:r>
      <w:proofErr w:type="spellEnd"/>
      <w:r w:rsidRPr="004332E9">
        <w:rPr>
          <w:rFonts w:eastAsia="Times New Roman"/>
        </w:rPr>
        <w:t xml:space="preserve"> CL, Seemann T, Ingle DJ, Higgins N et al. Bridging of </w:t>
      </w:r>
      <w:r w:rsidRPr="00A821B8">
        <w:rPr>
          <w:rStyle w:val="Emphasis"/>
          <w:rFonts w:eastAsia="Times New Roman"/>
          <w:b w:val="0"/>
          <w:bCs w:val="0"/>
        </w:rPr>
        <w:t>Neisseria gonorrhoeae</w:t>
      </w:r>
      <w:r w:rsidRPr="004332E9">
        <w:rPr>
          <w:rFonts w:eastAsia="Times New Roman"/>
        </w:rPr>
        <w:t xml:space="preserve"> lineages across sexual networks in the HIV pre-exposure prophylaxis era. </w:t>
      </w:r>
      <w:r w:rsidRPr="00A821B8">
        <w:rPr>
          <w:rStyle w:val="Emphasis"/>
          <w:rFonts w:eastAsia="Times New Roman"/>
          <w:b w:val="0"/>
          <w:bCs w:val="0"/>
        </w:rPr>
        <w:t xml:space="preserve">Nat </w:t>
      </w:r>
      <w:proofErr w:type="spellStart"/>
      <w:r w:rsidRPr="00A821B8">
        <w:rPr>
          <w:rStyle w:val="Emphasis"/>
          <w:rFonts w:eastAsia="Times New Roman"/>
          <w:b w:val="0"/>
          <w:bCs w:val="0"/>
        </w:rPr>
        <w:t>Commun</w:t>
      </w:r>
      <w:proofErr w:type="spellEnd"/>
      <w:r w:rsidRPr="004332E9">
        <w:rPr>
          <w:rFonts w:eastAsia="Times New Roman"/>
        </w:rPr>
        <w:t xml:space="preserve">. 2019;10(1):3988. </w:t>
      </w:r>
      <w:proofErr w:type="spellStart"/>
      <w:r w:rsidRPr="004332E9">
        <w:rPr>
          <w:rFonts w:eastAsia="Times New Roman"/>
        </w:rPr>
        <w:t>doi</w:t>
      </w:r>
      <w:proofErr w:type="spellEnd"/>
      <w:r w:rsidRPr="004332E9">
        <w:rPr>
          <w:rFonts w:eastAsia="Times New Roman"/>
        </w:rPr>
        <w:t xml:space="preserve">: https://doi.org/10.1038/s41467-019-12053-4. </w:t>
      </w:r>
    </w:p>
    <w:p w14:paraId="1B043A53"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Read P, </w:t>
      </w:r>
      <w:proofErr w:type="spellStart"/>
      <w:r w:rsidRPr="004332E9">
        <w:rPr>
          <w:rFonts w:eastAsia="Times New Roman"/>
        </w:rPr>
        <w:t>Tagg</w:t>
      </w:r>
      <w:proofErr w:type="spellEnd"/>
      <w:r w:rsidRPr="004332E9">
        <w:rPr>
          <w:rFonts w:eastAsia="Times New Roman"/>
        </w:rPr>
        <w:t xml:space="preserve"> KA, </w:t>
      </w:r>
      <w:proofErr w:type="spellStart"/>
      <w:r w:rsidRPr="004332E9">
        <w:rPr>
          <w:rFonts w:eastAsia="Times New Roman"/>
        </w:rPr>
        <w:t>Jeoffreys</w:t>
      </w:r>
      <w:proofErr w:type="spellEnd"/>
      <w:r w:rsidRPr="004332E9">
        <w:rPr>
          <w:rFonts w:eastAsia="Times New Roman"/>
        </w:rPr>
        <w:t xml:space="preserve"> N, Guy RJ, Gilbert GL, Donovan B. </w:t>
      </w:r>
      <w:r w:rsidRPr="00A821B8">
        <w:rPr>
          <w:rStyle w:val="Emphasis"/>
          <w:rFonts w:eastAsia="Times New Roman"/>
          <w:b w:val="0"/>
          <w:bCs w:val="0"/>
        </w:rPr>
        <w:t>Treponema pallidum</w:t>
      </w:r>
      <w:r w:rsidRPr="004332E9">
        <w:rPr>
          <w:rFonts w:eastAsia="Times New Roman"/>
        </w:rPr>
        <w:t xml:space="preserve"> strain types and association with macrolide resistance in Sydney, Australia: new TP0548 gene types identified. </w:t>
      </w:r>
      <w:r w:rsidRPr="00A821B8">
        <w:rPr>
          <w:rStyle w:val="Emphasis"/>
          <w:rFonts w:eastAsia="Times New Roman"/>
          <w:b w:val="0"/>
          <w:bCs w:val="0"/>
        </w:rPr>
        <w:t>J Clin Microbiol</w:t>
      </w:r>
      <w:r w:rsidRPr="004332E9">
        <w:rPr>
          <w:rFonts w:eastAsia="Times New Roman"/>
        </w:rPr>
        <w:t xml:space="preserve">. 2016;54(8):2172–4. </w:t>
      </w:r>
    </w:p>
    <w:p w14:paraId="0C3E3E06" w14:textId="77777777" w:rsidR="004332E9" w:rsidRPr="004332E9" w:rsidRDefault="004332E9" w:rsidP="004332E9">
      <w:pPr>
        <w:pStyle w:val="ListParagraph"/>
        <w:numPr>
          <w:ilvl w:val="0"/>
          <w:numId w:val="10"/>
        </w:numPr>
        <w:rPr>
          <w:rFonts w:eastAsia="Times New Roman"/>
        </w:rPr>
      </w:pPr>
      <w:proofErr w:type="spellStart"/>
      <w:r w:rsidRPr="004332E9">
        <w:rPr>
          <w:rFonts w:eastAsia="Times New Roman"/>
        </w:rPr>
        <w:t>Gayet-Ageron</w:t>
      </w:r>
      <w:proofErr w:type="spellEnd"/>
      <w:r w:rsidRPr="004332E9">
        <w:rPr>
          <w:rFonts w:eastAsia="Times New Roman"/>
        </w:rPr>
        <w:t xml:space="preserve"> A, </w:t>
      </w:r>
      <w:proofErr w:type="spellStart"/>
      <w:r w:rsidRPr="004332E9">
        <w:rPr>
          <w:rFonts w:eastAsia="Times New Roman"/>
        </w:rPr>
        <w:t>Combescure</w:t>
      </w:r>
      <w:proofErr w:type="spellEnd"/>
      <w:r w:rsidRPr="004332E9">
        <w:rPr>
          <w:rFonts w:eastAsia="Times New Roman"/>
        </w:rPr>
        <w:t xml:space="preserve"> C, Lautenschlager S, </w:t>
      </w:r>
      <w:proofErr w:type="spellStart"/>
      <w:r w:rsidRPr="004332E9">
        <w:rPr>
          <w:rFonts w:eastAsia="Times New Roman"/>
        </w:rPr>
        <w:t>Ninet</w:t>
      </w:r>
      <w:proofErr w:type="spellEnd"/>
      <w:r w:rsidRPr="004332E9">
        <w:rPr>
          <w:rFonts w:eastAsia="Times New Roman"/>
        </w:rPr>
        <w:t xml:space="preserve"> B, </w:t>
      </w:r>
      <w:proofErr w:type="spellStart"/>
      <w:r w:rsidRPr="004332E9">
        <w:rPr>
          <w:rFonts w:eastAsia="Times New Roman"/>
        </w:rPr>
        <w:t>Perneger</w:t>
      </w:r>
      <w:proofErr w:type="spellEnd"/>
      <w:r w:rsidRPr="004332E9">
        <w:rPr>
          <w:rFonts w:eastAsia="Times New Roman"/>
        </w:rPr>
        <w:t xml:space="preserve"> TV. Comparison of diagnostic accuracy of PCR targeting the 47-kilodalton protein membrane gene of </w:t>
      </w:r>
      <w:r w:rsidRPr="00A821B8">
        <w:rPr>
          <w:rStyle w:val="Emphasis"/>
          <w:rFonts w:eastAsia="Times New Roman"/>
          <w:b w:val="0"/>
          <w:bCs w:val="0"/>
        </w:rPr>
        <w:t>Treponema pallidum</w:t>
      </w:r>
      <w:r w:rsidRPr="004332E9">
        <w:rPr>
          <w:rFonts w:eastAsia="Times New Roman"/>
        </w:rPr>
        <w:t xml:space="preserve"> and PCR targeting the DNA polymerase I gene: systematic review and meta-analysis. </w:t>
      </w:r>
      <w:r w:rsidRPr="00A821B8">
        <w:rPr>
          <w:rStyle w:val="Emphasis"/>
          <w:rFonts w:eastAsia="Times New Roman"/>
          <w:b w:val="0"/>
          <w:bCs w:val="0"/>
        </w:rPr>
        <w:t>J Clin Microbiol</w:t>
      </w:r>
      <w:r w:rsidRPr="004332E9">
        <w:rPr>
          <w:rFonts w:eastAsia="Times New Roman"/>
        </w:rPr>
        <w:t xml:space="preserve">. 2015;53(11):3522–9. </w:t>
      </w:r>
    </w:p>
    <w:p w14:paraId="4ADE24AD"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Liu H, </w:t>
      </w:r>
      <w:proofErr w:type="spellStart"/>
      <w:r w:rsidRPr="004332E9">
        <w:rPr>
          <w:rFonts w:eastAsia="Times New Roman"/>
        </w:rPr>
        <w:t>Rodes</w:t>
      </w:r>
      <w:proofErr w:type="spellEnd"/>
      <w:r w:rsidRPr="004332E9">
        <w:rPr>
          <w:rFonts w:eastAsia="Times New Roman"/>
        </w:rPr>
        <w:t xml:space="preserve"> B, Chen CY, Steiner B. New tests for syphilis: rational design of a PCR method for detection of </w:t>
      </w:r>
      <w:r w:rsidRPr="00A821B8">
        <w:rPr>
          <w:rStyle w:val="Emphasis"/>
          <w:rFonts w:eastAsia="Times New Roman"/>
          <w:b w:val="0"/>
          <w:bCs w:val="0"/>
        </w:rPr>
        <w:t>Treponema pallidum</w:t>
      </w:r>
      <w:r w:rsidRPr="004332E9">
        <w:rPr>
          <w:rFonts w:eastAsia="Times New Roman"/>
        </w:rPr>
        <w:t xml:space="preserve"> in clinical specimens using unique regions of the DNA polymerase I gene. </w:t>
      </w:r>
      <w:r w:rsidRPr="00A821B8">
        <w:rPr>
          <w:rStyle w:val="Emphasis"/>
          <w:rFonts w:eastAsia="Times New Roman"/>
          <w:b w:val="0"/>
          <w:bCs w:val="0"/>
        </w:rPr>
        <w:t>J Clin Microbiol</w:t>
      </w:r>
      <w:r w:rsidRPr="004332E9">
        <w:rPr>
          <w:rFonts w:eastAsia="Times New Roman"/>
        </w:rPr>
        <w:t xml:space="preserve">. 2001;39(5):1941–6. </w:t>
      </w:r>
    </w:p>
    <w:p w14:paraId="4731D90A" w14:textId="77777777" w:rsidR="004332E9" w:rsidRPr="004332E9" w:rsidRDefault="004332E9" w:rsidP="004332E9">
      <w:pPr>
        <w:pStyle w:val="ListParagraph"/>
        <w:numPr>
          <w:ilvl w:val="0"/>
          <w:numId w:val="10"/>
        </w:numPr>
        <w:rPr>
          <w:rFonts w:eastAsia="Times New Roman"/>
        </w:rPr>
      </w:pPr>
      <w:r w:rsidRPr="004332E9">
        <w:rPr>
          <w:rFonts w:eastAsia="Times New Roman"/>
        </w:rPr>
        <w:t xml:space="preserve">Noda AA, Rodríguez I, </w:t>
      </w:r>
      <w:proofErr w:type="spellStart"/>
      <w:r w:rsidRPr="004332E9">
        <w:rPr>
          <w:rFonts w:eastAsia="Times New Roman"/>
        </w:rPr>
        <w:t>Grillová</w:t>
      </w:r>
      <w:proofErr w:type="spellEnd"/>
      <w:r w:rsidRPr="004332E9">
        <w:rPr>
          <w:rFonts w:eastAsia="Times New Roman"/>
        </w:rPr>
        <w:t xml:space="preserve"> L, </w:t>
      </w:r>
      <w:proofErr w:type="spellStart"/>
      <w:r w:rsidRPr="004332E9">
        <w:rPr>
          <w:rFonts w:eastAsia="Times New Roman"/>
        </w:rPr>
        <w:t>Bosshard</w:t>
      </w:r>
      <w:proofErr w:type="spellEnd"/>
      <w:r w:rsidRPr="004332E9">
        <w:rPr>
          <w:rFonts w:eastAsia="Times New Roman"/>
        </w:rPr>
        <w:t xml:space="preserve"> PP, </w:t>
      </w:r>
      <w:proofErr w:type="spellStart"/>
      <w:r w:rsidRPr="004332E9">
        <w:rPr>
          <w:rFonts w:eastAsia="Times New Roman"/>
        </w:rPr>
        <w:t>Lienhard</w:t>
      </w:r>
      <w:proofErr w:type="spellEnd"/>
      <w:r w:rsidRPr="004332E9">
        <w:rPr>
          <w:rFonts w:eastAsia="Times New Roman"/>
        </w:rPr>
        <w:t xml:space="preserve"> R. Accuracy of </w:t>
      </w:r>
      <w:proofErr w:type="gramStart"/>
      <w:r w:rsidRPr="004332E9">
        <w:rPr>
          <w:rFonts w:eastAsia="Times New Roman"/>
        </w:rPr>
        <w:t>PCR</w:t>
      </w:r>
      <w:proofErr w:type="gramEnd"/>
      <w:r w:rsidRPr="004332E9">
        <w:rPr>
          <w:rFonts w:eastAsia="Times New Roman"/>
        </w:rPr>
        <w:t xml:space="preserve"> and serological testing for the diagnosis of primary syphilis: both tests are necessary. </w:t>
      </w:r>
      <w:r w:rsidRPr="00A821B8">
        <w:rPr>
          <w:rStyle w:val="Emphasis"/>
          <w:rFonts w:eastAsia="Times New Roman"/>
          <w:b w:val="0"/>
          <w:bCs w:val="0"/>
        </w:rPr>
        <w:t>Int J STD AIDS</w:t>
      </w:r>
      <w:r w:rsidRPr="004332E9">
        <w:rPr>
          <w:rFonts w:eastAsia="Times New Roman"/>
        </w:rPr>
        <w:t>. 2019;30(11):1087–94.</w:t>
      </w:r>
    </w:p>
    <w:p w14:paraId="3AFE4D5E" w14:textId="48EAF294" w:rsidR="005305E5" w:rsidRDefault="005305E5">
      <w:pPr>
        <w:sectPr w:rsidR="005305E5" w:rsidSect="00A30C37">
          <w:pgSz w:w="11906" w:h="16838"/>
          <w:pgMar w:top="720" w:right="720" w:bottom="1134" w:left="720" w:header="709" w:footer="284" w:gutter="0"/>
          <w:cols w:space="708"/>
          <w:titlePg/>
          <w:docGrid w:linePitch="360"/>
        </w:sectPr>
      </w:pPr>
    </w:p>
    <w:p w14:paraId="5E602674" w14:textId="53CD9C7E" w:rsidR="004332E9" w:rsidRPr="004332E9" w:rsidRDefault="004332E9" w:rsidP="004332E9">
      <w:pPr>
        <w:pStyle w:val="Heading1"/>
      </w:pPr>
      <w:r w:rsidRPr="004332E9">
        <w:lastRenderedPageBreak/>
        <w:t>Appendix A</w:t>
      </w:r>
    </w:p>
    <w:p w14:paraId="5DD12FAE" w14:textId="77777777" w:rsidR="005305E5" w:rsidRDefault="005305E5" w:rsidP="005305E5">
      <w:pPr>
        <w:pStyle w:val="CDIFigures"/>
        <w:rPr>
          <w:lang w:val="en-GB"/>
        </w:rPr>
      </w:pPr>
      <w:r>
        <w:rPr>
          <w:lang w:val="en-GB"/>
        </w:rPr>
        <w:t xml:space="preserve">Figure A.1: Phylogenetic tree showing all alleles available in the </w:t>
      </w:r>
      <w:proofErr w:type="spellStart"/>
      <w:r>
        <w:rPr>
          <w:lang w:val="en-GB"/>
        </w:rPr>
        <w:t>PubMLST</w:t>
      </w:r>
      <w:proofErr w:type="spellEnd"/>
      <w:r>
        <w:rPr>
          <w:lang w:val="en-GB"/>
        </w:rPr>
        <w:t xml:space="preserve"> database, including all previously identified and novel sequence types isolated within our study of syphilis samples in Queensland, Australia</w:t>
      </w:r>
    </w:p>
    <w:p w14:paraId="0B8710D4" w14:textId="5F12DECB" w:rsidR="001125BE" w:rsidRDefault="00EC452B" w:rsidP="00EC452B">
      <w:pPr>
        <w:jc w:val="center"/>
        <w:rPr>
          <w:rStyle w:val="A10"/>
        </w:rPr>
        <w:sectPr w:rsidR="001125BE" w:rsidSect="00A30C37">
          <w:pgSz w:w="11906" w:h="16838"/>
          <w:pgMar w:top="720" w:right="720" w:bottom="1134" w:left="720" w:header="709" w:footer="284" w:gutter="0"/>
          <w:cols w:space="708"/>
          <w:titlePg/>
          <w:docGrid w:linePitch="360"/>
        </w:sectPr>
      </w:pPr>
      <w:r>
        <w:rPr>
          <w:rFonts w:eastAsia="Times New Roman"/>
          <w:noProof/>
          <w:lang w:val="en-GB"/>
        </w:rPr>
        <w:drawing>
          <wp:inline distT="0" distB="0" distL="0" distR="0" wp14:anchorId="69F23B74" wp14:editId="678A6545">
            <wp:extent cx="3295650" cy="7851626"/>
            <wp:effectExtent l="0" t="0" r="0" b="0"/>
            <wp:docPr id="5" name="Picture 5" descr="phylogenetic tree showing the relatedness of each syphilis sequence type identified as part of our study. Yellow and red boxes denote whether the syphilis sequence type belongs to the Nichols or SS-14 clonal complex. Open circles denote this sequence type was not identified within the study in that year, while shaded circles indicate that this particular sequence type was identified in samples obtained during that year of the study peri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logenetic tree showing the relatedness of each syphilis sequence type identified as part of our study. Yellow and red boxes denote whether the syphilis sequence type belongs to the Nichols or SS-14 clonal complex. Open circles denote this sequence type was not identified within the study in that year, while shaded circles indicate that this particular sequence type was identified in samples obtained during that year of the study period.     "/>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308029" cy="7881117"/>
                    </a:xfrm>
                    <a:prstGeom prst="rect">
                      <a:avLst/>
                    </a:prstGeom>
                  </pic:spPr>
                </pic:pic>
              </a:graphicData>
            </a:graphic>
          </wp:inline>
        </w:drawing>
      </w:r>
    </w:p>
    <w:p w14:paraId="5415B176" w14:textId="00261C90" w:rsidR="001125BE" w:rsidRDefault="001125BE" w:rsidP="001125BE">
      <w:pPr>
        <w:pStyle w:val="CDIFigures"/>
        <w:rPr>
          <w:lang w:val="en-GB"/>
        </w:rPr>
      </w:pPr>
      <w:r>
        <w:rPr>
          <w:lang w:val="en-GB"/>
        </w:rPr>
        <w:lastRenderedPageBreak/>
        <w:t xml:space="preserve">Figure A.2: Syphilis sequence types (STs) plotted by date of collection for 393 </w:t>
      </w:r>
      <w:proofErr w:type="spellStart"/>
      <w:proofErr w:type="gramStart"/>
      <w:r>
        <w:rPr>
          <w:lang w:val="en-GB"/>
        </w:rPr>
        <w:t>samples,</w:t>
      </w:r>
      <w:r w:rsidRPr="00B909F1">
        <w:rPr>
          <w:vertAlign w:val="superscript"/>
          <w:lang w:val="en-GB"/>
        </w:rPr>
        <w:t>a</w:t>
      </w:r>
      <w:proofErr w:type="spellEnd"/>
      <w:proofErr w:type="gramEnd"/>
      <w:r>
        <w:rPr>
          <w:lang w:val="en-GB"/>
        </w:rPr>
        <w:t xml:space="preserve"> and coloured according to </w:t>
      </w:r>
      <w:proofErr w:type="spellStart"/>
      <w:r>
        <w:rPr>
          <w:lang w:val="en-GB"/>
        </w:rPr>
        <w:t>region</w:t>
      </w:r>
      <w:r w:rsidRPr="00B909F1">
        <w:rPr>
          <w:vertAlign w:val="superscript"/>
          <w:lang w:val="en-GB"/>
        </w:rPr>
        <w:t>b</w:t>
      </w:r>
      <w:proofErr w:type="spellEnd"/>
    </w:p>
    <w:p w14:paraId="1B519466" w14:textId="3F4FFE14" w:rsidR="00F51A39" w:rsidRDefault="001125BE">
      <w:pPr>
        <w:rPr>
          <w:rStyle w:val="A10"/>
        </w:rPr>
      </w:pPr>
      <w:r>
        <w:rPr>
          <w:rFonts w:eastAsia="Times New Roman"/>
          <w:noProof/>
          <w:lang w:val="en-GB"/>
        </w:rPr>
        <w:drawing>
          <wp:inline distT="0" distB="0" distL="0" distR="0" wp14:anchorId="0AE17272" wp14:editId="435BE67A">
            <wp:extent cx="9481535" cy="4848225"/>
            <wp:effectExtent l="0" t="0" r="5715" b="0"/>
            <wp:docPr id="7" name="Picture 7" descr="Syphilis sequence types (STs) plotted according to the date of sample collection for n = 393 samples. Each dot represents an individual patient sample, and is coloured according to the region in Queensland, Australia. Purple dots include samples originating from South East Queensland (including the capital of Queensland, Brisbane), orange dots represent samples originating from Northern Queensland (including Cairns and Townsville), while grey dots represents samples collection in otherwise unspecified regions of Queens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philis sequence types (STs) plotted according to the date of sample collection for n = 393 samples. Each dot represents an individual patient sample, and is coloured according to the region in Queensland, Australia. Purple dots include samples originating from South East Queensland (including the capital of Queensland, Brisbane), orange dots represent samples originating from Northern Queensland (including Cairns and Townsville), while grey dots represents samples collection in otherwise unspecified regions of Queensland. "/>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9485325" cy="4850163"/>
                    </a:xfrm>
                    <a:prstGeom prst="rect">
                      <a:avLst/>
                    </a:prstGeom>
                  </pic:spPr>
                </pic:pic>
              </a:graphicData>
            </a:graphic>
          </wp:inline>
        </w:drawing>
      </w:r>
    </w:p>
    <w:p w14:paraId="0D451A39" w14:textId="5DAB23C8" w:rsidR="001812ED" w:rsidRDefault="001812ED" w:rsidP="001812ED">
      <w:pPr>
        <w:pStyle w:val="CDIfootnotes"/>
      </w:pPr>
      <w:proofErr w:type="spellStart"/>
      <w:r>
        <w:t>a</w:t>
      </w:r>
      <w:proofErr w:type="spellEnd"/>
      <w:r>
        <w:tab/>
        <w:t xml:space="preserve">Each dot represents an individual patient sample. </w:t>
      </w:r>
    </w:p>
    <w:p w14:paraId="7AD31416" w14:textId="5361A37F" w:rsidR="001812ED" w:rsidRDefault="001812ED" w:rsidP="001812ED">
      <w:pPr>
        <w:pStyle w:val="CDIfootnotes"/>
        <w:rPr>
          <w:rStyle w:val="A10"/>
        </w:rPr>
      </w:pPr>
      <w:r>
        <w:t>b</w:t>
      </w:r>
      <w:r>
        <w:tab/>
        <w:t xml:space="preserve">NQ: Northern Queensland; OR: </w:t>
      </w:r>
      <w:proofErr w:type="gramStart"/>
      <w:r>
        <w:t>Other</w:t>
      </w:r>
      <w:proofErr w:type="gramEnd"/>
      <w:r>
        <w:t xml:space="preserve"> region in Queensland not specified; SEQ: South East Queensland; S = macrolide susceptibility.</w:t>
      </w:r>
    </w:p>
    <w:p w14:paraId="57C74998" w14:textId="77777777" w:rsidR="00F51A39" w:rsidRDefault="00F51A39">
      <w:pPr>
        <w:rPr>
          <w:rStyle w:val="A10"/>
        </w:rPr>
      </w:pPr>
      <w:r>
        <w:rPr>
          <w:rStyle w:val="A10"/>
        </w:rPr>
        <w:br w:type="page"/>
      </w:r>
    </w:p>
    <w:p w14:paraId="5D462833" w14:textId="77777777" w:rsidR="00F51A39" w:rsidRDefault="00F51A39" w:rsidP="00F51A39">
      <w:pPr>
        <w:pStyle w:val="CDIFigures"/>
        <w:rPr>
          <w:lang w:val="en-GB"/>
        </w:rPr>
      </w:pPr>
      <w:r>
        <w:rPr>
          <w:lang w:val="en-GB"/>
        </w:rPr>
        <w:lastRenderedPageBreak/>
        <w:t>Figure A.3: Syphilis sequence types (STs) present in the months leading up to the implementation of COVID-19 social distancing rules (from November 2019), through to July 2020</w:t>
      </w:r>
      <w:proofErr w:type="gramStart"/>
      <w:r w:rsidRPr="00837711">
        <w:rPr>
          <w:vertAlign w:val="superscript"/>
          <w:lang w:val="en-GB"/>
        </w:rPr>
        <w:t>a,b</w:t>
      </w:r>
      <w:proofErr w:type="gramEnd"/>
    </w:p>
    <w:p w14:paraId="0A8EE4CE" w14:textId="06E270F7" w:rsidR="00F51A39" w:rsidRDefault="00F51A39">
      <w:pPr>
        <w:rPr>
          <w:rStyle w:val="A10"/>
        </w:rPr>
      </w:pPr>
      <w:r>
        <w:rPr>
          <w:rFonts w:eastAsia="Times New Roman"/>
          <w:noProof/>
          <w:lang w:val="en-GB"/>
        </w:rPr>
        <w:drawing>
          <wp:inline distT="0" distB="0" distL="0" distR="0" wp14:anchorId="5BF73A96" wp14:editId="7A7B0E6A">
            <wp:extent cx="9644932" cy="4902464"/>
            <wp:effectExtent l="0" t="0" r="0" b="0"/>
            <wp:docPr id="8" name="Picture 8" descr="Syphilis sequence types (STs) present in the months immediately prior to the implementation of COVID-19 social distancing measures (from November 2019), through to the end of the study period (July 2020). Each dot represents an individual patient sample, while the solid red line denotes the date implementation for enhanced social distancing measures in Queensland,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yphilis sequence types (STs) present in the months immediately prior to the implementation of COVID-19 social distancing measures (from November 2019), through to the end of the study period (July 2020). Each dot represents an individual patient sample, while the solid red line denotes the date implementation for enhanced social distancing measures in Queensland, Australia. "/>
                    <pic:cNvPicPr>
                      <a:picLocks noChangeAspect="1" noChangeArrowheads="1"/>
                    </pic:cNvPicPr>
                  </pic:nvPicPr>
                  <pic:blipFill rotWithShape="1">
                    <a:blip r:embed="rId16">
                      <a:extLst>
                        <a:ext uri="{28A0092B-C50C-407E-A947-70E740481C1C}">
                          <a14:useLocalDpi xmlns:a14="http://schemas.microsoft.com/office/drawing/2010/main" val="0"/>
                        </a:ext>
                      </a:extLst>
                    </a:blip>
                    <a:srcRect l="1107" t="5246" b="5390"/>
                    <a:stretch/>
                  </pic:blipFill>
                  <pic:spPr bwMode="auto">
                    <a:xfrm>
                      <a:off x="0" y="0"/>
                      <a:ext cx="9669716" cy="4915062"/>
                    </a:xfrm>
                    <a:prstGeom prst="rect">
                      <a:avLst/>
                    </a:prstGeom>
                    <a:ln>
                      <a:noFill/>
                    </a:ln>
                    <a:extLst>
                      <a:ext uri="{53640926-AAD7-44D8-BBD7-CCE9431645EC}">
                        <a14:shadowObscured xmlns:a14="http://schemas.microsoft.com/office/drawing/2010/main"/>
                      </a:ext>
                    </a:extLst>
                  </pic:spPr>
                </pic:pic>
              </a:graphicData>
            </a:graphic>
          </wp:inline>
        </w:drawing>
      </w:r>
    </w:p>
    <w:p w14:paraId="4413176D" w14:textId="05EEF173" w:rsidR="00196665" w:rsidRDefault="00196665" w:rsidP="00196665">
      <w:pPr>
        <w:pStyle w:val="CDIfootnotes"/>
      </w:pPr>
      <w:proofErr w:type="spellStart"/>
      <w:r>
        <w:t>a</w:t>
      </w:r>
      <w:proofErr w:type="spellEnd"/>
      <w:r>
        <w:tab/>
        <w:t xml:space="preserve">Each dot represents an individual patient sample and is plotted according to the date of sample collection. </w:t>
      </w:r>
    </w:p>
    <w:p w14:paraId="38145A05" w14:textId="0B3EDE9D" w:rsidR="00F51A39" w:rsidRDefault="00196665" w:rsidP="00196665">
      <w:pPr>
        <w:pStyle w:val="CDIfootnotes"/>
        <w:rPr>
          <w:rStyle w:val="A10"/>
        </w:rPr>
      </w:pPr>
      <w:r>
        <w:t>b</w:t>
      </w:r>
      <w:r>
        <w:tab/>
      </w:r>
      <w:proofErr w:type="gramStart"/>
      <w:r>
        <w:t>The</w:t>
      </w:r>
      <w:proofErr w:type="gramEnd"/>
      <w:r>
        <w:t xml:space="preserve"> red line coincides with the approximate timing of the Queensland COVID-19 ‘lockdown’, highlighting the timing of enhanced social distancing measures, which included border lockdown to other states of Australia.</w:t>
      </w:r>
      <w:r w:rsidR="00F51A39">
        <w:rPr>
          <w:rStyle w:val="A10"/>
        </w:rPr>
        <w:br w:type="page"/>
      </w:r>
    </w:p>
    <w:p w14:paraId="7BD2AB2B" w14:textId="77777777" w:rsidR="00F51A39" w:rsidRDefault="00F51A39">
      <w:pPr>
        <w:rPr>
          <w:rStyle w:val="A10"/>
        </w:rPr>
        <w:sectPr w:rsidR="00F51A39" w:rsidSect="001125BE">
          <w:pgSz w:w="16838" w:h="11906" w:orient="landscape"/>
          <w:pgMar w:top="720" w:right="720" w:bottom="720" w:left="1134" w:header="709" w:footer="284" w:gutter="0"/>
          <w:cols w:space="708"/>
          <w:titlePg/>
          <w:docGrid w:linePitch="360"/>
        </w:sectPr>
      </w:pPr>
    </w:p>
    <w:p w14:paraId="4D9D6985" w14:textId="77777777" w:rsidR="00F51A39" w:rsidRDefault="00F51A39" w:rsidP="00F51A39">
      <w:pPr>
        <w:pStyle w:val="CDIFigures"/>
        <w:rPr>
          <w:lang w:val="en-GB"/>
        </w:rPr>
      </w:pPr>
      <w:r>
        <w:rPr>
          <w:lang w:val="en-GB"/>
        </w:rPr>
        <w:lastRenderedPageBreak/>
        <w:t>Table A.1: Age range of patient samples included in the study</w:t>
      </w:r>
    </w:p>
    <w:tbl>
      <w:tblPr>
        <w:tblStyle w:val="CDI-StandardTable"/>
        <w:tblW w:w="0" w:type="auto"/>
        <w:tblLook w:val="04A0" w:firstRow="1" w:lastRow="0" w:firstColumn="1" w:lastColumn="0" w:noHBand="0" w:noVBand="1"/>
        <w:tblDescription w:val="A tabulation of the age distribution of the 392 patients for whom age was recorded, for the age ranges 0-18 years, 19-20 years, then by 5-year increments from 21-25 years to 61-65 years, and &gt; 65 years. The predominant age ranges of patients were 21-25 years (71 cases, 18.1%) and 31-35 years (70 cases, 17.9%)."/>
      </w:tblPr>
      <w:tblGrid>
        <w:gridCol w:w="5220"/>
        <w:gridCol w:w="5220"/>
      </w:tblGrid>
      <w:tr w:rsidR="00F51A39" w:rsidRPr="00837711" w14:paraId="51FD5297" w14:textId="77777777" w:rsidTr="009E22BB">
        <w:trPr>
          <w:cnfStyle w:val="100000000000" w:firstRow="1" w:lastRow="0" w:firstColumn="0" w:lastColumn="0" w:oddVBand="0" w:evenVBand="0" w:oddHBand="0" w:evenHBand="0" w:firstRowFirstColumn="0" w:firstRowLastColumn="0" w:lastRowFirstColumn="0" w:lastRowLastColumn="0"/>
        </w:trPr>
        <w:tc>
          <w:tcPr>
            <w:tcW w:w="5220" w:type="dxa"/>
            <w:tcBorders>
              <w:right w:val="single" w:sz="2" w:space="0" w:color="FFFFFF" w:themeColor="background1"/>
            </w:tcBorders>
            <w:hideMark/>
          </w:tcPr>
          <w:p w14:paraId="2AE5EC42" w14:textId="77777777" w:rsidR="00F51A39" w:rsidRPr="00837711" w:rsidRDefault="00F51A39" w:rsidP="00D11256">
            <w:pPr>
              <w:pStyle w:val="NormalWeb"/>
              <w:rPr>
                <w:color w:val="FFFFFF" w:themeColor="background1"/>
              </w:rPr>
            </w:pPr>
            <w:r w:rsidRPr="00837711">
              <w:rPr>
                <w:color w:val="FFFFFF" w:themeColor="background1"/>
              </w:rPr>
              <w:t>Age range (years)</w:t>
            </w:r>
          </w:p>
        </w:tc>
        <w:tc>
          <w:tcPr>
            <w:tcW w:w="5220" w:type="dxa"/>
            <w:tcBorders>
              <w:left w:val="single" w:sz="2" w:space="0" w:color="FFFFFF" w:themeColor="background1"/>
            </w:tcBorders>
            <w:hideMark/>
          </w:tcPr>
          <w:p w14:paraId="51A56AC1" w14:textId="77777777" w:rsidR="00F51A39" w:rsidRPr="00837711" w:rsidRDefault="00F51A39" w:rsidP="00D11256">
            <w:pPr>
              <w:pStyle w:val="NormalWeb"/>
              <w:jc w:val="center"/>
              <w:rPr>
                <w:color w:val="FFFFFF" w:themeColor="background1"/>
              </w:rPr>
            </w:pPr>
            <w:r w:rsidRPr="00837711">
              <w:rPr>
                <w:color w:val="FFFFFF" w:themeColor="background1"/>
              </w:rPr>
              <w:t>Number of patients (%), n = 392</w:t>
            </w:r>
            <w:r w:rsidRPr="001C3A8E">
              <w:rPr>
                <w:color w:val="FFFFFF" w:themeColor="background1"/>
                <w:vertAlign w:val="superscript"/>
              </w:rPr>
              <w:t>a</w:t>
            </w:r>
          </w:p>
        </w:tc>
      </w:tr>
      <w:tr w:rsidR="00F51A39" w14:paraId="62C6C03B" w14:textId="77777777" w:rsidTr="009E22BB">
        <w:tblPrEx>
          <w:tblCellMar>
            <w:top w:w="57" w:type="dxa"/>
            <w:left w:w="57" w:type="dxa"/>
            <w:bottom w:w="57" w:type="dxa"/>
            <w:right w:w="57" w:type="dxa"/>
          </w:tblCellMar>
        </w:tblPrEx>
        <w:tc>
          <w:tcPr>
            <w:tcW w:w="5220" w:type="dxa"/>
            <w:hideMark/>
          </w:tcPr>
          <w:p w14:paraId="7E565AF2" w14:textId="77777777" w:rsidR="00F51A39" w:rsidRDefault="00F51A39" w:rsidP="00D11256">
            <w:pPr>
              <w:pStyle w:val="NormalWeb"/>
            </w:pPr>
            <w:r>
              <w:t>&lt; 18</w:t>
            </w:r>
          </w:p>
        </w:tc>
        <w:tc>
          <w:tcPr>
            <w:tcW w:w="5220" w:type="dxa"/>
            <w:hideMark/>
          </w:tcPr>
          <w:p w14:paraId="51EBEBED" w14:textId="77777777" w:rsidR="00F51A39" w:rsidRDefault="00F51A39" w:rsidP="00D11256">
            <w:pPr>
              <w:pStyle w:val="NormalWeb"/>
              <w:jc w:val="center"/>
            </w:pPr>
            <w:r>
              <w:t>16 (4.1%)</w:t>
            </w:r>
          </w:p>
        </w:tc>
      </w:tr>
      <w:tr w:rsidR="00F51A39" w14:paraId="1298354A" w14:textId="77777777" w:rsidTr="009E22B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7DC98F2A" w14:textId="77777777" w:rsidR="00F51A39" w:rsidRDefault="00F51A39" w:rsidP="00D11256">
            <w:pPr>
              <w:pStyle w:val="NormalWeb"/>
            </w:pPr>
            <w:r>
              <w:t>19–20</w:t>
            </w:r>
          </w:p>
        </w:tc>
        <w:tc>
          <w:tcPr>
            <w:tcW w:w="5220" w:type="dxa"/>
            <w:hideMark/>
          </w:tcPr>
          <w:p w14:paraId="38864880" w14:textId="77777777" w:rsidR="00F51A39" w:rsidRDefault="00F51A39" w:rsidP="00D11256">
            <w:pPr>
              <w:pStyle w:val="NormalWeb"/>
              <w:jc w:val="center"/>
            </w:pPr>
            <w:r>
              <w:t>17 (4.3%)</w:t>
            </w:r>
          </w:p>
        </w:tc>
      </w:tr>
      <w:tr w:rsidR="00F51A39" w14:paraId="5E4BD2C1" w14:textId="77777777" w:rsidTr="009E22BB">
        <w:tblPrEx>
          <w:tblCellMar>
            <w:top w:w="57" w:type="dxa"/>
            <w:left w:w="57" w:type="dxa"/>
            <w:bottom w:w="57" w:type="dxa"/>
            <w:right w:w="57" w:type="dxa"/>
          </w:tblCellMar>
        </w:tblPrEx>
        <w:tc>
          <w:tcPr>
            <w:tcW w:w="5220" w:type="dxa"/>
            <w:hideMark/>
          </w:tcPr>
          <w:p w14:paraId="744102BD" w14:textId="77777777" w:rsidR="00F51A39" w:rsidRDefault="00F51A39" w:rsidP="00D11256">
            <w:pPr>
              <w:pStyle w:val="NormalWeb"/>
            </w:pPr>
            <w:r>
              <w:t>21–25</w:t>
            </w:r>
          </w:p>
        </w:tc>
        <w:tc>
          <w:tcPr>
            <w:tcW w:w="5220" w:type="dxa"/>
            <w:hideMark/>
          </w:tcPr>
          <w:p w14:paraId="7D1308F6" w14:textId="77777777" w:rsidR="00F51A39" w:rsidRDefault="00F51A39" w:rsidP="00D11256">
            <w:pPr>
              <w:pStyle w:val="NormalWeb"/>
              <w:jc w:val="center"/>
            </w:pPr>
            <w:r>
              <w:t>71 (18.1%)</w:t>
            </w:r>
          </w:p>
        </w:tc>
      </w:tr>
      <w:tr w:rsidR="00F51A39" w14:paraId="4215B508" w14:textId="77777777" w:rsidTr="009E22B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1DE12D07" w14:textId="77777777" w:rsidR="00F51A39" w:rsidRDefault="00F51A39" w:rsidP="00D11256">
            <w:pPr>
              <w:pStyle w:val="NormalWeb"/>
            </w:pPr>
            <w:r>
              <w:t>26–30</w:t>
            </w:r>
          </w:p>
        </w:tc>
        <w:tc>
          <w:tcPr>
            <w:tcW w:w="5220" w:type="dxa"/>
            <w:hideMark/>
          </w:tcPr>
          <w:p w14:paraId="62892322" w14:textId="77777777" w:rsidR="00F51A39" w:rsidRDefault="00F51A39" w:rsidP="00D11256">
            <w:pPr>
              <w:pStyle w:val="NormalWeb"/>
              <w:jc w:val="center"/>
            </w:pPr>
            <w:r>
              <w:t>58 (14.8%)</w:t>
            </w:r>
          </w:p>
        </w:tc>
      </w:tr>
      <w:tr w:rsidR="00F51A39" w14:paraId="55445198" w14:textId="77777777" w:rsidTr="009E22BB">
        <w:tblPrEx>
          <w:tblCellMar>
            <w:top w:w="57" w:type="dxa"/>
            <w:left w:w="57" w:type="dxa"/>
            <w:bottom w:w="57" w:type="dxa"/>
            <w:right w:w="57" w:type="dxa"/>
          </w:tblCellMar>
        </w:tblPrEx>
        <w:tc>
          <w:tcPr>
            <w:tcW w:w="5220" w:type="dxa"/>
            <w:hideMark/>
          </w:tcPr>
          <w:p w14:paraId="55CEBA0A" w14:textId="77777777" w:rsidR="00F51A39" w:rsidRDefault="00F51A39" w:rsidP="00D11256">
            <w:pPr>
              <w:pStyle w:val="NormalWeb"/>
            </w:pPr>
            <w:r>
              <w:t>31–35</w:t>
            </w:r>
          </w:p>
        </w:tc>
        <w:tc>
          <w:tcPr>
            <w:tcW w:w="5220" w:type="dxa"/>
            <w:hideMark/>
          </w:tcPr>
          <w:p w14:paraId="76C3EC11" w14:textId="77777777" w:rsidR="00F51A39" w:rsidRDefault="00F51A39" w:rsidP="00D11256">
            <w:pPr>
              <w:pStyle w:val="NormalWeb"/>
              <w:jc w:val="center"/>
            </w:pPr>
            <w:r>
              <w:t>70 (17.9%)</w:t>
            </w:r>
          </w:p>
        </w:tc>
      </w:tr>
      <w:tr w:rsidR="00F51A39" w14:paraId="7F38CA36" w14:textId="77777777" w:rsidTr="009E22B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38FB1327" w14:textId="77777777" w:rsidR="00F51A39" w:rsidRDefault="00F51A39" w:rsidP="00D11256">
            <w:pPr>
              <w:pStyle w:val="NormalWeb"/>
            </w:pPr>
            <w:r>
              <w:t>36–40</w:t>
            </w:r>
          </w:p>
        </w:tc>
        <w:tc>
          <w:tcPr>
            <w:tcW w:w="5220" w:type="dxa"/>
            <w:hideMark/>
          </w:tcPr>
          <w:p w14:paraId="131A9E54" w14:textId="77777777" w:rsidR="00F51A39" w:rsidRDefault="00F51A39" w:rsidP="00D11256">
            <w:pPr>
              <w:pStyle w:val="NormalWeb"/>
              <w:jc w:val="center"/>
            </w:pPr>
            <w:r>
              <w:t>52 (13.3%)</w:t>
            </w:r>
          </w:p>
        </w:tc>
      </w:tr>
      <w:tr w:rsidR="00F51A39" w14:paraId="1476C288" w14:textId="77777777" w:rsidTr="009E22BB">
        <w:tblPrEx>
          <w:tblCellMar>
            <w:top w:w="57" w:type="dxa"/>
            <w:left w:w="57" w:type="dxa"/>
            <w:bottom w:w="57" w:type="dxa"/>
            <w:right w:w="57" w:type="dxa"/>
          </w:tblCellMar>
        </w:tblPrEx>
        <w:tc>
          <w:tcPr>
            <w:tcW w:w="5220" w:type="dxa"/>
            <w:hideMark/>
          </w:tcPr>
          <w:p w14:paraId="40B287AE" w14:textId="77777777" w:rsidR="00F51A39" w:rsidRDefault="00F51A39" w:rsidP="00D11256">
            <w:pPr>
              <w:pStyle w:val="NormalWeb"/>
            </w:pPr>
            <w:r>
              <w:t>41–45</w:t>
            </w:r>
          </w:p>
        </w:tc>
        <w:tc>
          <w:tcPr>
            <w:tcW w:w="5220" w:type="dxa"/>
            <w:hideMark/>
          </w:tcPr>
          <w:p w14:paraId="1C0C070A" w14:textId="77777777" w:rsidR="00F51A39" w:rsidRDefault="00F51A39" w:rsidP="00D11256">
            <w:pPr>
              <w:pStyle w:val="NormalWeb"/>
              <w:jc w:val="center"/>
            </w:pPr>
            <w:r>
              <w:t>27 (6.9%)</w:t>
            </w:r>
          </w:p>
        </w:tc>
      </w:tr>
      <w:tr w:rsidR="00F51A39" w14:paraId="44AF4E1C" w14:textId="77777777" w:rsidTr="009E22B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2B11A237" w14:textId="77777777" w:rsidR="00F51A39" w:rsidRDefault="00F51A39" w:rsidP="00D11256">
            <w:pPr>
              <w:pStyle w:val="NormalWeb"/>
            </w:pPr>
            <w:r>
              <w:t>45–50</w:t>
            </w:r>
          </w:p>
        </w:tc>
        <w:tc>
          <w:tcPr>
            <w:tcW w:w="5220" w:type="dxa"/>
            <w:hideMark/>
          </w:tcPr>
          <w:p w14:paraId="5E88E468" w14:textId="77777777" w:rsidR="00F51A39" w:rsidRDefault="00F51A39" w:rsidP="00D11256">
            <w:pPr>
              <w:pStyle w:val="NormalWeb"/>
              <w:jc w:val="center"/>
            </w:pPr>
            <w:r>
              <w:t>27 (6.9%)</w:t>
            </w:r>
          </w:p>
        </w:tc>
      </w:tr>
      <w:tr w:rsidR="00F51A39" w14:paraId="1836A218" w14:textId="77777777" w:rsidTr="009E22BB">
        <w:tblPrEx>
          <w:tblCellMar>
            <w:top w:w="57" w:type="dxa"/>
            <w:left w:w="57" w:type="dxa"/>
            <w:bottom w:w="57" w:type="dxa"/>
            <w:right w:w="57" w:type="dxa"/>
          </w:tblCellMar>
        </w:tblPrEx>
        <w:tc>
          <w:tcPr>
            <w:tcW w:w="5220" w:type="dxa"/>
            <w:hideMark/>
          </w:tcPr>
          <w:p w14:paraId="14546A55" w14:textId="77777777" w:rsidR="00F51A39" w:rsidRDefault="00F51A39" w:rsidP="00D11256">
            <w:pPr>
              <w:pStyle w:val="NormalWeb"/>
            </w:pPr>
            <w:r>
              <w:t>51–55</w:t>
            </w:r>
          </w:p>
        </w:tc>
        <w:tc>
          <w:tcPr>
            <w:tcW w:w="5220" w:type="dxa"/>
            <w:hideMark/>
          </w:tcPr>
          <w:p w14:paraId="057FF069" w14:textId="77777777" w:rsidR="00F51A39" w:rsidRDefault="00F51A39" w:rsidP="00D11256">
            <w:pPr>
              <w:pStyle w:val="NormalWeb"/>
              <w:jc w:val="center"/>
            </w:pPr>
            <w:r>
              <w:t>23 (5.9%)</w:t>
            </w:r>
          </w:p>
        </w:tc>
      </w:tr>
      <w:tr w:rsidR="00F51A39" w14:paraId="6CD5E866" w14:textId="77777777" w:rsidTr="009E22B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02F5442B" w14:textId="77777777" w:rsidR="00F51A39" w:rsidRDefault="00F51A39" w:rsidP="00D11256">
            <w:pPr>
              <w:pStyle w:val="NormalWeb"/>
            </w:pPr>
            <w:r>
              <w:t>56–60</w:t>
            </w:r>
          </w:p>
        </w:tc>
        <w:tc>
          <w:tcPr>
            <w:tcW w:w="5220" w:type="dxa"/>
            <w:hideMark/>
          </w:tcPr>
          <w:p w14:paraId="1644EA1C" w14:textId="77777777" w:rsidR="00F51A39" w:rsidRDefault="00F51A39" w:rsidP="00D11256">
            <w:pPr>
              <w:pStyle w:val="NormalWeb"/>
              <w:jc w:val="center"/>
            </w:pPr>
            <w:r>
              <w:t>15 (3.8%)</w:t>
            </w:r>
          </w:p>
        </w:tc>
      </w:tr>
      <w:tr w:rsidR="00F51A39" w14:paraId="2895702D" w14:textId="77777777" w:rsidTr="009E22BB">
        <w:tblPrEx>
          <w:tblCellMar>
            <w:top w:w="57" w:type="dxa"/>
            <w:left w:w="57" w:type="dxa"/>
            <w:bottom w:w="57" w:type="dxa"/>
            <w:right w:w="57" w:type="dxa"/>
          </w:tblCellMar>
        </w:tblPrEx>
        <w:tc>
          <w:tcPr>
            <w:tcW w:w="5220" w:type="dxa"/>
            <w:hideMark/>
          </w:tcPr>
          <w:p w14:paraId="654172AF" w14:textId="77777777" w:rsidR="00F51A39" w:rsidRDefault="00F51A39" w:rsidP="00D11256">
            <w:pPr>
              <w:pStyle w:val="NormalWeb"/>
            </w:pPr>
            <w:r>
              <w:t>61–65</w:t>
            </w:r>
          </w:p>
        </w:tc>
        <w:tc>
          <w:tcPr>
            <w:tcW w:w="5220" w:type="dxa"/>
            <w:hideMark/>
          </w:tcPr>
          <w:p w14:paraId="1AD9977E" w14:textId="77777777" w:rsidR="00F51A39" w:rsidRDefault="00F51A39" w:rsidP="00D11256">
            <w:pPr>
              <w:pStyle w:val="NormalWeb"/>
              <w:jc w:val="center"/>
            </w:pPr>
            <w:r>
              <w:t>8 (2.0%)</w:t>
            </w:r>
          </w:p>
        </w:tc>
      </w:tr>
      <w:tr w:rsidR="00F51A39" w14:paraId="623E1CA5" w14:textId="77777777" w:rsidTr="009E22BB">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220" w:type="dxa"/>
            <w:hideMark/>
          </w:tcPr>
          <w:p w14:paraId="07FD390E" w14:textId="77777777" w:rsidR="00F51A39" w:rsidRDefault="00F51A39" w:rsidP="00D11256">
            <w:pPr>
              <w:pStyle w:val="NormalWeb"/>
            </w:pPr>
            <w:r>
              <w:t>&gt; 65</w:t>
            </w:r>
          </w:p>
        </w:tc>
        <w:tc>
          <w:tcPr>
            <w:tcW w:w="5220" w:type="dxa"/>
            <w:hideMark/>
          </w:tcPr>
          <w:p w14:paraId="1882853C" w14:textId="77777777" w:rsidR="00F51A39" w:rsidRDefault="00F51A39" w:rsidP="00D11256">
            <w:pPr>
              <w:pStyle w:val="NormalWeb"/>
              <w:jc w:val="center"/>
            </w:pPr>
            <w:r>
              <w:t>8 (2.0%)</w:t>
            </w:r>
          </w:p>
        </w:tc>
      </w:tr>
    </w:tbl>
    <w:p w14:paraId="03DDDB95" w14:textId="08927ADC" w:rsidR="00F51A39" w:rsidRDefault="00F51A39" w:rsidP="00F51A39">
      <w:pPr>
        <w:pStyle w:val="CDIfootnotes"/>
        <w:rPr>
          <w:lang w:val="en-GB"/>
        </w:rPr>
      </w:pPr>
      <w:proofErr w:type="spellStart"/>
      <w:proofErr w:type="gramStart"/>
      <w:r>
        <w:rPr>
          <w:lang w:val="en-GB"/>
        </w:rPr>
        <w:t>a</w:t>
      </w:r>
      <w:proofErr w:type="spellEnd"/>
      <w:proofErr w:type="gramEnd"/>
      <w:r>
        <w:rPr>
          <w:lang w:val="en-GB"/>
        </w:rPr>
        <w:tab/>
        <w:t>Age range for one patient sample in the dataset was not available; n = 392 patients with available age ranges are shown.</w:t>
      </w:r>
    </w:p>
    <w:p w14:paraId="59C739ED" w14:textId="4B060EAA" w:rsidR="00DB2405" w:rsidRPr="00DB2405" w:rsidRDefault="00DB2405" w:rsidP="00DB2405">
      <w:pPr>
        <w:pStyle w:val="CDIFigures"/>
      </w:pPr>
      <w:r w:rsidRPr="00DB2405">
        <w:t>Table A.2: Gender and specimen type for all samples</w:t>
      </w:r>
    </w:p>
    <w:tbl>
      <w:tblPr>
        <w:tblStyle w:val="CDI-StandardTable"/>
        <w:tblW w:w="0" w:type="auto"/>
        <w:tblLook w:val="04A0" w:firstRow="1" w:lastRow="0" w:firstColumn="1" w:lastColumn="0" w:noHBand="0" w:noVBand="1"/>
        <w:tblDescription w:val="A summary of the distribution of specimen types by gender, for 56 samples from female patients and 337 samples from male patients. Principal specimen types from female patients were genital (15 samples), labia (12 samples) and not specified (11 samples). From male patients, principal specimen types were penile/scrotum (180 samples), not specified (51 samples), lip/oral/throat (45 samples) and anal/rectal (31 samples)."/>
      </w:tblPr>
      <w:tblGrid>
        <w:gridCol w:w="2552"/>
        <w:gridCol w:w="3682"/>
      </w:tblGrid>
      <w:tr w:rsidR="00F51A39" w:rsidRPr="00837711" w14:paraId="60C675BB" w14:textId="77777777" w:rsidTr="006F68FA">
        <w:trPr>
          <w:cnfStyle w:val="100000000000" w:firstRow="1" w:lastRow="0" w:firstColumn="0" w:lastColumn="0" w:oddVBand="0" w:evenVBand="0" w:oddHBand="0" w:evenHBand="0" w:firstRowFirstColumn="0" w:firstRowLastColumn="0" w:lastRowFirstColumn="0" w:lastRowLastColumn="0"/>
        </w:trPr>
        <w:tc>
          <w:tcPr>
            <w:tcW w:w="2552" w:type="dxa"/>
            <w:tcBorders>
              <w:top w:val="single" w:sz="2" w:space="0" w:color="auto"/>
              <w:left w:val="single" w:sz="2" w:space="0" w:color="auto"/>
              <w:bottom w:val="single" w:sz="2" w:space="0" w:color="auto"/>
              <w:right w:val="single" w:sz="2" w:space="0" w:color="FFFFFF" w:themeColor="background1"/>
            </w:tcBorders>
            <w:hideMark/>
          </w:tcPr>
          <w:p w14:paraId="713D9D58" w14:textId="77777777" w:rsidR="00F51A39" w:rsidRPr="00837711" w:rsidRDefault="00F51A39" w:rsidP="00D11256">
            <w:pPr>
              <w:pStyle w:val="NormalWeb"/>
              <w:rPr>
                <w:color w:val="FFFFFF" w:themeColor="background1"/>
              </w:rPr>
            </w:pPr>
            <w:r w:rsidRPr="00837711">
              <w:rPr>
                <w:color w:val="FFFFFF" w:themeColor="background1"/>
              </w:rPr>
              <w:t>Gender</w:t>
            </w:r>
          </w:p>
        </w:tc>
        <w:tc>
          <w:tcPr>
            <w:tcW w:w="3682" w:type="dxa"/>
            <w:tcBorders>
              <w:top w:val="single" w:sz="2" w:space="0" w:color="auto"/>
              <w:left w:val="single" w:sz="2" w:space="0" w:color="FFFFFF" w:themeColor="background1"/>
              <w:bottom w:val="single" w:sz="2" w:space="0" w:color="auto"/>
              <w:right w:val="single" w:sz="2" w:space="0" w:color="auto"/>
            </w:tcBorders>
            <w:hideMark/>
          </w:tcPr>
          <w:p w14:paraId="63CA3E57" w14:textId="77777777" w:rsidR="00F51A39" w:rsidRPr="00837711" w:rsidRDefault="00F51A39" w:rsidP="00D11256">
            <w:pPr>
              <w:pStyle w:val="NormalWeb"/>
              <w:rPr>
                <w:color w:val="FFFFFF" w:themeColor="background1"/>
              </w:rPr>
            </w:pPr>
            <w:r w:rsidRPr="00837711">
              <w:rPr>
                <w:color w:val="FFFFFF" w:themeColor="background1"/>
              </w:rPr>
              <w:t>Specimen type (number of samples)</w:t>
            </w:r>
          </w:p>
        </w:tc>
      </w:tr>
      <w:tr w:rsidR="00F51A39" w14:paraId="5F9BE3EB" w14:textId="77777777" w:rsidTr="006F68FA">
        <w:tblPrEx>
          <w:tblCellMar>
            <w:top w:w="57" w:type="dxa"/>
            <w:left w:w="57" w:type="dxa"/>
            <w:bottom w:w="57" w:type="dxa"/>
            <w:right w:w="57" w:type="dxa"/>
          </w:tblCellMar>
        </w:tblPrEx>
        <w:tc>
          <w:tcPr>
            <w:tcW w:w="2552" w:type="dxa"/>
            <w:tcBorders>
              <w:top w:val="single" w:sz="2" w:space="0" w:color="auto"/>
              <w:left w:val="single" w:sz="2" w:space="0" w:color="auto"/>
              <w:bottom w:val="single" w:sz="2" w:space="0" w:color="auto"/>
              <w:right w:val="single" w:sz="2" w:space="0" w:color="auto"/>
            </w:tcBorders>
            <w:vAlign w:val="center"/>
            <w:hideMark/>
          </w:tcPr>
          <w:p w14:paraId="389F76E1" w14:textId="77777777" w:rsidR="00F51A39" w:rsidRDefault="00F51A39" w:rsidP="006F68FA">
            <w:pPr>
              <w:pStyle w:val="NormalWeb"/>
            </w:pPr>
            <w:r>
              <w:t>Female (n = 56)</w:t>
            </w:r>
          </w:p>
        </w:tc>
        <w:tc>
          <w:tcPr>
            <w:tcW w:w="3682" w:type="dxa"/>
            <w:tcBorders>
              <w:top w:val="single" w:sz="2" w:space="0" w:color="auto"/>
              <w:left w:val="single" w:sz="2" w:space="0" w:color="auto"/>
              <w:bottom w:val="single" w:sz="2" w:space="0" w:color="auto"/>
              <w:right w:val="single" w:sz="2" w:space="0" w:color="auto"/>
            </w:tcBorders>
            <w:hideMark/>
          </w:tcPr>
          <w:p w14:paraId="649913DD" w14:textId="3A6CF84F" w:rsidR="00F51A39" w:rsidRDefault="00F51A39" w:rsidP="00D11256">
            <w:pPr>
              <w:pStyle w:val="NormalWeb"/>
            </w:pPr>
            <w:r>
              <w:t>Specimen not specified (11)</w:t>
            </w:r>
            <w:r w:rsidR="00302520">
              <w:br/>
            </w:r>
            <w:r>
              <w:t>Anal/rectal (1)</w:t>
            </w:r>
            <w:r w:rsidR="00302520">
              <w:br/>
            </w:r>
            <w:r>
              <w:t>Back lesion (1)</w:t>
            </w:r>
            <w:r w:rsidR="00302520">
              <w:br/>
            </w:r>
            <w:r>
              <w:t>Buttocks (1)</w:t>
            </w:r>
            <w:r w:rsidR="00302520">
              <w:br/>
            </w:r>
            <w:r>
              <w:t>Cervix (1)</w:t>
            </w:r>
            <w:r w:rsidR="00302520">
              <w:br/>
            </w:r>
            <w:r>
              <w:t>Foot (1)</w:t>
            </w:r>
            <w:r w:rsidR="00302520">
              <w:br/>
            </w:r>
            <w:r>
              <w:t>Genital (15)</w:t>
            </w:r>
            <w:r w:rsidR="00302520">
              <w:br/>
            </w:r>
            <w:r>
              <w:t>Labia (12)</w:t>
            </w:r>
            <w:r w:rsidR="00302520">
              <w:br/>
            </w:r>
            <w:r>
              <w:t>Lesion not specified (3)</w:t>
            </w:r>
            <w:r w:rsidR="00302520">
              <w:br/>
            </w:r>
            <w:r>
              <w:t>Vulva (3)</w:t>
            </w:r>
            <w:r w:rsidR="00302520">
              <w:br/>
            </w:r>
            <w:r>
              <w:t>Lip/oral/throat (2)</w:t>
            </w:r>
            <w:r w:rsidR="00302520">
              <w:br/>
            </w:r>
            <w:r>
              <w:t>Perianal (1)</w:t>
            </w:r>
            <w:r w:rsidR="00302520">
              <w:br/>
            </w:r>
            <w:r>
              <w:t>Pharynx (2)</w:t>
            </w:r>
            <w:r w:rsidR="00302520">
              <w:br/>
            </w:r>
            <w:r>
              <w:t>Skin biopsy (1)</w:t>
            </w:r>
            <w:r w:rsidR="00302520">
              <w:br/>
            </w:r>
            <w:r>
              <w:t>Tongue (1)</w:t>
            </w:r>
          </w:p>
        </w:tc>
      </w:tr>
      <w:tr w:rsidR="00DB2405" w14:paraId="04E29714" w14:textId="77777777" w:rsidTr="00400C25">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55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A839804" w14:textId="77777777" w:rsidR="00F51A39" w:rsidRDefault="00F51A39" w:rsidP="006F68FA">
            <w:pPr>
              <w:pStyle w:val="NormalWeb"/>
            </w:pPr>
            <w:r>
              <w:t>Male (n = 337)</w:t>
            </w:r>
          </w:p>
        </w:tc>
        <w:tc>
          <w:tcPr>
            <w:tcW w:w="3682" w:type="dxa"/>
            <w:tcBorders>
              <w:top w:val="single" w:sz="2" w:space="0" w:color="auto"/>
              <w:left w:val="single" w:sz="2" w:space="0" w:color="auto"/>
              <w:bottom w:val="single" w:sz="2" w:space="0" w:color="auto"/>
              <w:right w:val="single" w:sz="2" w:space="0" w:color="auto"/>
            </w:tcBorders>
            <w:shd w:val="clear" w:color="auto" w:fill="auto"/>
            <w:hideMark/>
          </w:tcPr>
          <w:p w14:paraId="13BE417A" w14:textId="37C22DE5" w:rsidR="00F51A39" w:rsidRDefault="00F51A39" w:rsidP="00D11256">
            <w:pPr>
              <w:pStyle w:val="NormalWeb"/>
            </w:pPr>
            <w:r>
              <w:t>Specimen not specified (51)</w:t>
            </w:r>
            <w:r w:rsidR="00302520">
              <w:br/>
            </w:r>
            <w:r>
              <w:t>Anal/rectal (31)</w:t>
            </w:r>
            <w:r w:rsidR="00302520">
              <w:br/>
            </w:r>
            <w:r>
              <w:t>Foot (1)</w:t>
            </w:r>
            <w:r w:rsidR="00302520">
              <w:br/>
            </w:r>
            <w:r>
              <w:t>Genital (7)</w:t>
            </w:r>
            <w:r w:rsidR="00302520">
              <w:br/>
            </w:r>
            <w:r>
              <w:t>Glans (11)</w:t>
            </w:r>
            <w:r w:rsidR="00302520">
              <w:br/>
            </w:r>
            <w:r>
              <w:t>Lesion not specified (5)</w:t>
            </w:r>
            <w:r w:rsidR="00302520">
              <w:br/>
            </w:r>
            <w:r>
              <w:t>Lip/oral/throat (45)</w:t>
            </w:r>
            <w:r w:rsidR="00302520">
              <w:br/>
            </w:r>
            <w:r>
              <w:t>Liver (1)</w:t>
            </w:r>
            <w:r w:rsidR="00302520">
              <w:br/>
            </w:r>
            <w:r>
              <w:t>Penile/scrotum (180)</w:t>
            </w:r>
            <w:r w:rsidR="00302520">
              <w:br/>
            </w:r>
            <w:r>
              <w:t>Perineum (4)</w:t>
            </w:r>
            <w:r w:rsidR="00302520">
              <w:br/>
            </w:r>
            <w:r>
              <w:t>Thigh lesion (1)</w:t>
            </w:r>
          </w:p>
        </w:tc>
      </w:tr>
    </w:tbl>
    <w:p w14:paraId="7BD07341" w14:textId="2B79D44F" w:rsidR="008B5348" w:rsidRDefault="008B5348">
      <w:pPr>
        <w:rPr>
          <w:rStyle w:val="A10"/>
        </w:rPr>
        <w:sectPr w:rsidR="008B5348" w:rsidSect="00F51A39">
          <w:pgSz w:w="11906" w:h="16838"/>
          <w:pgMar w:top="720" w:right="720" w:bottom="1134" w:left="720" w:header="709" w:footer="284" w:gutter="0"/>
          <w:cols w:space="708"/>
          <w:titlePg/>
          <w:docGrid w:linePitch="360"/>
        </w:sectPr>
      </w:pPr>
    </w:p>
    <w:p w14:paraId="23B6D5F6"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83B0E17"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C986C62" w14:textId="77777777" w:rsidR="000A5F42" w:rsidRPr="000606CC" w:rsidRDefault="000A5F42" w:rsidP="000A5F42">
      <w:pPr>
        <w:pStyle w:val="NoSpacing"/>
        <w:rPr>
          <w:rStyle w:val="URI"/>
          <w:rFonts w:cstheme="minorHAnsi"/>
          <w:sz w:val="20"/>
          <w:szCs w:val="18"/>
        </w:rPr>
      </w:pPr>
    </w:p>
    <w:p w14:paraId="0E82D84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4CAED143" w14:textId="77777777" w:rsidR="000A5F42" w:rsidRPr="000606CC" w:rsidRDefault="000A5F42" w:rsidP="000A5F42">
      <w:pPr>
        <w:pStyle w:val="NoSpacing"/>
        <w:rPr>
          <w:rStyle w:val="Strong"/>
          <w:rFonts w:cstheme="minorHAnsi"/>
          <w:sz w:val="20"/>
          <w:szCs w:val="18"/>
        </w:rPr>
      </w:pPr>
    </w:p>
    <w:p w14:paraId="699ED227" w14:textId="4B845D3E"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3A30D8">
        <w:rPr>
          <w:rFonts w:cstheme="minorHAnsi"/>
          <w:sz w:val="20"/>
          <w:szCs w:val="18"/>
        </w:rPr>
        <w:t>Noel Lally</w:t>
      </w:r>
    </w:p>
    <w:p w14:paraId="0CF101B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4DB209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57D5423"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2411870D" w14:textId="77777777" w:rsidR="000A5F42" w:rsidRPr="000606CC" w:rsidRDefault="000A5F42" w:rsidP="000A5F42">
      <w:pPr>
        <w:pStyle w:val="NoSpacing"/>
        <w:rPr>
          <w:rStyle w:val="Strong"/>
          <w:rFonts w:cstheme="minorHAnsi"/>
          <w:sz w:val="20"/>
          <w:szCs w:val="18"/>
        </w:rPr>
      </w:pPr>
    </w:p>
    <w:p w14:paraId="4F76CA60" w14:textId="006D076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B3E97C0" w14:textId="77777777" w:rsidR="000A5F42" w:rsidRPr="000606CC" w:rsidRDefault="000A5F42" w:rsidP="000A5F42">
      <w:pPr>
        <w:pStyle w:val="NoSpacing"/>
        <w:rPr>
          <w:rStyle w:val="Strong"/>
          <w:rFonts w:cstheme="minorHAnsi"/>
          <w:sz w:val="20"/>
          <w:szCs w:val="18"/>
        </w:rPr>
      </w:pPr>
    </w:p>
    <w:p w14:paraId="4B50502E"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6320CDB9" w14:textId="77777777" w:rsidR="000A5F42" w:rsidRPr="000606CC" w:rsidRDefault="000A5F42" w:rsidP="000A5F42">
      <w:pPr>
        <w:pStyle w:val="NoSpacing"/>
        <w:rPr>
          <w:rStyle w:val="Strong"/>
          <w:rFonts w:cstheme="minorHAnsi"/>
          <w:sz w:val="20"/>
          <w:szCs w:val="18"/>
        </w:rPr>
      </w:pPr>
    </w:p>
    <w:p w14:paraId="7C812A50" w14:textId="4106060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24145CA" w14:textId="77777777" w:rsidR="000A5F42" w:rsidRPr="000606CC" w:rsidRDefault="000A5F42" w:rsidP="000A5F42">
      <w:pPr>
        <w:pStyle w:val="NoSpacing"/>
        <w:rPr>
          <w:rStyle w:val="Strong"/>
          <w:rFonts w:cstheme="minorHAnsi"/>
          <w:sz w:val="20"/>
          <w:szCs w:val="18"/>
        </w:rPr>
      </w:pPr>
    </w:p>
    <w:p w14:paraId="1D1EFA47" w14:textId="5371F7A9"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874297F" w14:textId="5435933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0" w:history="1">
        <w:r w:rsidRPr="000606CC">
          <w:rPr>
            <w:rStyle w:val="Hyperlink"/>
            <w:rFonts w:cstheme="minorHAnsi"/>
            <w:sz w:val="20"/>
            <w:szCs w:val="18"/>
          </w:rPr>
          <w:t>cdi.editor@health.gov.au</w:t>
        </w:r>
      </w:hyperlink>
      <w:r w:rsidRPr="000606CC">
        <w:rPr>
          <w:rFonts w:cstheme="minorHAnsi"/>
          <w:sz w:val="20"/>
          <w:szCs w:val="18"/>
        </w:rPr>
        <w:t>.</w:t>
      </w:r>
    </w:p>
    <w:p w14:paraId="2B68C45B" w14:textId="77777777" w:rsidR="000A5F42" w:rsidRPr="000606CC" w:rsidRDefault="000A5F42" w:rsidP="000A5F42">
      <w:pPr>
        <w:pStyle w:val="NoSpacing"/>
        <w:pBdr>
          <w:bottom w:val="single" w:sz="6" w:space="1" w:color="auto"/>
        </w:pBdr>
        <w:rPr>
          <w:rStyle w:val="Strong"/>
          <w:rFonts w:cstheme="minorHAnsi"/>
          <w:sz w:val="12"/>
          <w:szCs w:val="18"/>
        </w:rPr>
      </w:pPr>
    </w:p>
    <w:p w14:paraId="6D419B04" w14:textId="77777777" w:rsidR="000A5F42" w:rsidRPr="000606CC" w:rsidRDefault="000A5F42" w:rsidP="000A5F42">
      <w:pPr>
        <w:pStyle w:val="NoSpacing"/>
        <w:rPr>
          <w:rFonts w:cstheme="minorHAnsi"/>
          <w:sz w:val="20"/>
          <w:szCs w:val="18"/>
        </w:rPr>
      </w:pPr>
    </w:p>
    <w:p w14:paraId="08E4DEFE"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F4B7789" w14:textId="77777777" w:rsidR="000A5F42" w:rsidRPr="000606CC" w:rsidRDefault="000A5F42" w:rsidP="000A5F42">
      <w:pPr>
        <w:pStyle w:val="NoSpacing"/>
        <w:rPr>
          <w:rFonts w:cstheme="minorHAnsi"/>
          <w:sz w:val="20"/>
          <w:szCs w:val="18"/>
        </w:rPr>
      </w:pPr>
    </w:p>
    <w:p w14:paraId="1D35A4A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DF9708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6E16A7">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555DF1A8" w14:textId="46CFA5F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00CB059" w14:textId="77777777" w:rsidR="000A5F42" w:rsidRPr="000606CC" w:rsidRDefault="000A5F42" w:rsidP="000A5F42">
      <w:pPr>
        <w:pStyle w:val="NoSpacing"/>
        <w:rPr>
          <w:rFonts w:cstheme="minorHAnsi"/>
          <w:sz w:val="20"/>
          <w:szCs w:val="18"/>
        </w:rPr>
      </w:pPr>
    </w:p>
    <w:p w14:paraId="51D5F28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7C6786B" w14:textId="45058EA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2"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3406640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743770F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DF5EEE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EDAE3D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E648E39" w14:textId="77777777" w:rsidR="000A5F42" w:rsidRPr="000606CC" w:rsidRDefault="000A5F42" w:rsidP="000A5F42">
      <w:pPr>
        <w:pStyle w:val="NoSpacing"/>
        <w:rPr>
          <w:rStyle w:val="Strong"/>
          <w:rFonts w:cstheme="minorHAnsi"/>
          <w:sz w:val="20"/>
          <w:szCs w:val="18"/>
        </w:rPr>
      </w:pPr>
    </w:p>
    <w:p w14:paraId="12B0DAA1"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5C015A0" w14:textId="77777777" w:rsidR="000A5F42" w:rsidRPr="000606CC" w:rsidRDefault="000A5F42" w:rsidP="000A5F42">
      <w:pPr>
        <w:pStyle w:val="NoSpacing"/>
        <w:rPr>
          <w:rStyle w:val="Strong"/>
          <w:rFonts w:cstheme="minorHAnsi"/>
          <w:sz w:val="20"/>
          <w:szCs w:val="18"/>
        </w:rPr>
      </w:pPr>
    </w:p>
    <w:p w14:paraId="550A6B5F" w14:textId="0640B21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BC609F6" w14:textId="77777777" w:rsidR="000A5F42" w:rsidRPr="000606CC" w:rsidRDefault="000A5F42" w:rsidP="000A5F42">
      <w:pPr>
        <w:pStyle w:val="NoSpacing"/>
        <w:rPr>
          <w:rStyle w:val="URI"/>
          <w:rFonts w:cstheme="minorHAnsi"/>
          <w:sz w:val="20"/>
          <w:szCs w:val="18"/>
        </w:rPr>
      </w:pPr>
    </w:p>
    <w:p w14:paraId="4778CBCD" w14:textId="2A582BDA"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4" w:tooltip="Communicable Diseases Network Australia website" w:history="1">
        <w:r w:rsidRPr="000606CC">
          <w:rPr>
            <w:rStyle w:val="Hyperlink"/>
            <w:rFonts w:cstheme="minorHAnsi"/>
            <w:sz w:val="20"/>
            <w:szCs w:val="18"/>
          </w:rPr>
          <w:t>http://www.health.gov.au/cdna</w:t>
        </w:r>
      </w:hyperlink>
    </w:p>
    <w:p w14:paraId="002F6279" w14:textId="77777777" w:rsidR="001B37B8" w:rsidRPr="00E92237" w:rsidRDefault="001B37B8" w:rsidP="001B37B8">
      <w:pPr>
        <w:rPr>
          <w:rFonts w:cs="Myriad Pro"/>
          <w:color w:val="211D1E"/>
          <w:sz w:val="20"/>
          <w:szCs w:val="20"/>
        </w:rPr>
      </w:pPr>
    </w:p>
    <w:sectPr w:rsidR="001B37B8" w:rsidRPr="00E92237" w:rsidSect="002B75A9">
      <w:headerReference w:type="default" r:id="rId25"/>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4257B" w14:textId="77777777" w:rsidR="00D11256" w:rsidRDefault="00D11256" w:rsidP="00E54DBA">
      <w:r>
        <w:separator/>
      </w:r>
    </w:p>
    <w:p w14:paraId="0B1E8F44" w14:textId="77777777" w:rsidR="00D11256" w:rsidRDefault="00D11256"/>
    <w:p w14:paraId="2E6AE44B" w14:textId="77777777" w:rsidR="00D11256" w:rsidRDefault="00D11256" w:rsidP="008714B0"/>
  </w:endnote>
  <w:endnote w:type="continuationSeparator" w:id="0">
    <w:p w14:paraId="7C08D8DB" w14:textId="77777777" w:rsidR="00D11256" w:rsidRDefault="00D11256" w:rsidP="00E54DBA">
      <w:r>
        <w:continuationSeparator/>
      </w:r>
    </w:p>
    <w:p w14:paraId="7A7432FB" w14:textId="77777777" w:rsidR="00D11256" w:rsidRDefault="00D11256"/>
    <w:p w14:paraId="56D4B6E7" w14:textId="77777777" w:rsidR="00D11256" w:rsidRDefault="00D1125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alibr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Variable Concep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7268B" w14:textId="3F5D5BA6" w:rsidR="00D11256" w:rsidRPr="0042435E" w:rsidRDefault="00D11256"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A821B8">
      <w:rPr>
        <w:i/>
        <w:sz w:val="18"/>
      </w:rPr>
      <w:t>Commun</w:t>
    </w:r>
    <w:proofErr w:type="spellEnd"/>
    <w:r w:rsidRPr="00A821B8">
      <w:rPr>
        <w:i/>
        <w:sz w:val="18"/>
      </w:rPr>
      <w:t xml:space="preserve"> Dis </w:t>
    </w:r>
    <w:proofErr w:type="spellStart"/>
    <w:r w:rsidRPr="00A821B8">
      <w:rPr>
        <w:i/>
        <w:sz w:val="18"/>
      </w:rPr>
      <w:t>Intell</w:t>
    </w:r>
    <w:proofErr w:type="spellEnd"/>
    <w:r w:rsidRPr="00A821B8">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23BBF">
      <w:rPr>
        <w:sz w:val="18"/>
      </w:rPr>
      <w:t>https://doi.org/10.33321/cdi.2022.46.26</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723BBF">
      <w:rPr>
        <w:sz w:val="18"/>
      </w:rPr>
      <w:t>19/5/2022</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11D8" w14:textId="52AFB9AC" w:rsidR="00D11256" w:rsidRPr="00BB5378" w:rsidRDefault="00D11256"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A821B8">
      <w:rPr>
        <w:i/>
        <w:sz w:val="18"/>
      </w:rPr>
      <w:t>Commun</w:t>
    </w:r>
    <w:proofErr w:type="spellEnd"/>
    <w:r w:rsidRPr="00A821B8">
      <w:rPr>
        <w:i/>
        <w:sz w:val="18"/>
      </w:rPr>
      <w:t xml:space="preserve"> Dis </w:t>
    </w:r>
    <w:proofErr w:type="spellStart"/>
    <w:r w:rsidRPr="00A821B8">
      <w:rPr>
        <w:i/>
        <w:sz w:val="18"/>
      </w:rPr>
      <w:t>Intell</w:t>
    </w:r>
    <w:proofErr w:type="spellEnd"/>
    <w:r w:rsidRPr="00A821B8">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23BBF">
      <w:rPr>
        <w:sz w:val="18"/>
      </w:rPr>
      <w:t>https://doi.org/10.33321/cdi.2022.46.26</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723BBF">
      <w:rPr>
        <w:sz w:val="18"/>
      </w:rPr>
      <w:t>19/5/2022</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02DA6" w14:textId="77777777" w:rsidR="00D11256" w:rsidRPr="00B91FB5" w:rsidRDefault="00D11256" w:rsidP="00B91FB5">
      <w:pPr>
        <w:spacing w:after="0" w:line="240" w:lineRule="auto"/>
        <w:rPr>
          <w:sz w:val="18"/>
          <w:szCs w:val="18"/>
        </w:rPr>
      </w:pPr>
      <w:r w:rsidRPr="00B91FB5">
        <w:rPr>
          <w:sz w:val="18"/>
          <w:szCs w:val="18"/>
        </w:rPr>
        <w:separator/>
      </w:r>
    </w:p>
  </w:footnote>
  <w:footnote w:type="continuationSeparator" w:id="0">
    <w:p w14:paraId="12B56FAF" w14:textId="77777777" w:rsidR="00D11256" w:rsidRDefault="00D11256" w:rsidP="00E54DBA">
      <w:r>
        <w:continuationSeparator/>
      </w:r>
    </w:p>
  </w:footnote>
  <w:footnote w:type="continuationNotice" w:id="1">
    <w:p w14:paraId="33DF035C" w14:textId="77777777" w:rsidR="00D11256" w:rsidRPr="00224EFF" w:rsidRDefault="00D1125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61088" w14:textId="2174F03D" w:rsidR="00D11256" w:rsidRPr="00A153B6" w:rsidRDefault="00DC1B8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11256">
          <w:t>Original article</w:t>
        </w:r>
      </w:sdtContent>
    </w:sdt>
    <w:r w:rsidR="00D11256">
      <w:ptab w:relativeTo="margin" w:alignment="right" w:leader="none"/>
    </w:r>
    <w:r w:rsidR="00D1125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2A2D4" w14:textId="77777777" w:rsidR="00D11256" w:rsidRPr="000A5F42" w:rsidRDefault="00D11256" w:rsidP="000A5F42">
    <w:pPr>
      <w:pStyle w:val="Header"/>
      <w:jc w:val="center"/>
      <w:rPr>
        <w:b/>
      </w:rPr>
    </w:pPr>
    <w:r w:rsidRPr="00E810C5">
      <w:rPr>
        <w:rFonts w:cs="Myriad Pro"/>
        <w:noProof/>
        <w:color w:val="211D1E"/>
        <w:sz w:val="16"/>
      </w:rPr>
      <w:drawing>
        <wp:inline distT="0" distB="0" distL="0" distR="0" wp14:anchorId="0573F39C" wp14:editId="4C555048">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A4E22"/>
    <w:multiLevelType w:val="multilevel"/>
    <w:tmpl w:val="425E9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0C3F9E"/>
    <w:multiLevelType w:val="hybridMultilevel"/>
    <w:tmpl w:val="B5C6D9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8A7D0F"/>
    <w:multiLevelType w:val="hybridMultilevel"/>
    <w:tmpl w:val="1B6C5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545B7D"/>
    <w:multiLevelType w:val="multilevel"/>
    <w:tmpl w:val="3E2C6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7"/>
  </w:num>
  <w:num w:numId="6">
    <w:abstractNumId w:val="9"/>
  </w:num>
  <w:num w:numId="7">
    <w:abstractNumId w:val="8"/>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A7"/>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25BE"/>
    <w:rsid w:val="00113D58"/>
    <w:rsid w:val="001200CB"/>
    <w:rsid w:val="001378A3"/>
    <w:rsid w:val="00155582"/>
    <w:rsid w:val="00161590"/>
    <w:rsid w:val="00171CC0"/>
    <w:rsid w:val="00175494"/>
    <w:rsid w:val="00175629"/>
    <w:rsid w:val="001812ED"/>
    <w:rsid w:val="001830EC"/>
    <w:rsid w:val="00183534"/>
    <w:rsid w:val="00196665"/>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2342"/>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2520"/>
    <w:rsid w:val="003059EC"/>
    <w:rsid w:val="00316CCD"/>
    <w:rsid w:val="00321EF4"/>
    <w:rsid w:val="00324F7E"/>
    <w:rsid w:val="003323BC"/>
    <w:rsid w:val="00346D42"/>
    <w:rsid w:val="00346E11"/>
    <w:rsid w:val="003601C0"/>
    <w:rsid w:val="003635F5"/>
    <w:rsid w:val="00372A88"/>
    <w:rsid w:val="00381A0F"/>
    <w:rsid w:val="0039035F"/>
    <w:rsid w:val="003A1B3A"/>
    <w:rsid w:val="003A30D8"/>
    <w:rsid w:val="003A40F5"/>
    <w:rsid w:val="003B5B8C"/>
    <w:rsid w:val="003D79B1"/>
    <w:rsid w:val="003E74EE"/>
    <w:rsid w:val="003F0552"/>
    <w:rsid w:val="003F3BC2"/>
    <w:rsid w:val="00400C25"/>
    <w:rsid w:val="00401ED1"/>
    <w:rsid w:val="0040224C"/>
    <w:rsid w:val="00413EE1"/>
    <w:rsid w:val="004164BB"/>
    <w:rsid w:val="0042000E"/>
    <w:rsid w:val="00421ECE"/>
    <w:rsid w:val="00422FEB"/>
    <w:rsid w:val="0042435E"/>
    <w:rsid w:val="004315F5"/>
    <w:rsid w:val="004332E9"/>
    <w:rsid w:val="00433456"/>
    <w:rsid w:val="00433DFA"/>
    <w:rsid w:val="00435D67"/>
    <w:rsid w:val="00464A58"/>
    <w:rsid w:val="00473D2D"/>
    <w:rsid w:val="004A2125"/>
    <w:rsid w:val="004A38F6"/>
    <w:rsid w:val="004B4EB6"/>
    <w:rsid w:val="004C083C"/>
    <w:rsid w:val="004C67C6"/>
    <w:rsid w:val="004D29DE"/>
    <w:rsid w:val="004F6933"/>
    <w:rsid w:val="00510EAC"/>
    <w:rsid w:val="005305E5"/>
    <w:rsid w:val="00542A57"/>
    <w:rsid w:val="005444AD"/>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72F7B"/>
    <w:rsid w:val="006971F3"/>
    <w:rsid w:val="006C74A3"/>
    <w:rsid w:val="006D1381"/>
    <w:rsid w:val="006D31BC"/>
    <w:rsid w:val="006E16A7"/>
    <w:rsid w:val="006E7943"/>
    <w:rsid w:val="006F24EA"/>
    <w:rsid w:val="006F68FA"/>
    <w:rsid w:val="00704CA9"/>
    <w:rsid w:val="0071048D"/>
    <w:rsid w:val="00710F86"/>
    <w:rsid w:val="007111A8"/>
    <w:rsid w:val="00723BBF"/>
    <w:rsid w:val="00731BC3"/>
    <w:rsid w:val="00741192"/>
    <w:rsid w:val="00743A33"/>
    <w:rsid w:val="00746080"/>
    <w:rsid w:val="0075144A"/>
    <w:rsid w:val="00786329"/>
    <w:rsid w:val="00792C7D"/>
    <w:rsid w:val="00794A4D"/>
    <w:rsid w:val="007A5234"/>
    <w:rsid w:val="007B7854"/>
    <w:rsid w:val="007C56A1"/>
    <w:rsid w:val="007C6454"/>
    <w:rsid w:val="007E01E0"/>
    <w:rsid w:val="007E0489"/>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3C20"/>
    <w:rsid w:val="008C4520"/>
    <w:rsid w:val="008C5F09"/>
    <w:rsid w:val="008D470F"/>
    <w:rsid w:val="008E1F8F"/>
    <w:rsid w:val="008E4768"/>
    <w:rsid w:val="008E6DB6"/>
    <w:rsid w:val="008E761E"/>
    <w:rsid w:val="008F77B3"/>
    <w:rsid w:val="009008F5"/>
    <w:rsid w:val="00904CC1"/>
    <w:rsid w:val="009066AF"/>
    <w:rsid w:val="00912050"/>
    <w:rsid w:val="00912E48"/>
    <w:rsid w:val="0092746F"/>
    <w:rsid w:val="00935DC9"/>
    <w:rsid w:val="009446C0"/>
    <w:rsid w:val="0095088C"/>
    <w:rsid w:val="0096082E"/>
    <w:rsid w:val="00961347"/>
    <w:rsid w:val="00967410"/>
    <w:rsid w:val="00967D73"/>
    <w:rsid w:val="0098119A"/>
    <w:rsid w:val="00984AAF"/>
    <w:rsid w:val="00991B09"/>
    <w:rsid w:val="00993CB2"/>
    <w:rsid w:val="009A5166"/>
    <w:rsid w:val="009A76F8"/>
    <w:rsid w:val="009B2B83"/>
    <w:rsid w:val="009C49F8"/>
    <w:rsid w:val="009C543A"/>
    <w:rsid w:val="009D77CC"/>
    <w:rsid w:val="009E22BB"/>
    <w:rsid w:val="009E2423"/>
    <w:rsid w:val="009E55D7"/>
    <w:rsid w:val="009F4150"/>
    <w:rsid w:val="009F5665"/>
    <w:rsid w:val="009F5DAD"/>
    <w:rsid w:val="00A01BCA"/>
    <w:rsid w:val="00A10458"/>
    <w:rsid w:val="00A14162"/>
    <w:rsid w:val="00A153B6"/>
    <w:rsid w:val="00A164D5"/>
    <w:rsid w:val="00A273C3"/>
    <w:rsid w:val="00A30C37"/>
    <w:rsid w:val="00A36C65"/>
    <w:rsid w:val="00A41BBE"/>
    <w:rsid w:val="00A443E3"/>
    <w:rsid w:val="00A45BDD"/>
    <w:rsid w:val="00A46A0A"/>
    <w:rsid w:val="00A553F8"/>
    <w:rsid w:val="00A6708F"/>
    <w:rsid w:val="00A71BF6"/>
    <w:rsid w:val="00A72AF9"/>
    <w:rsid w:val="00A821B8"/>
    <w:rsid w:val="00A86F9A"/>
    <w:rsid w:val="00AA35E6"/>
    <w:rsid w:val="00AA50B6"/>
    <w:rsid w:val="00AB3472"/>
    <w:rsid w:val="00AD0762"/>
    <w:rsid w:val="00AE3DCF"/>
    <w:rsid w:val="00AE4452"/>
    <w:rsid w:val="00AE7C38"/>
    <w:rsid w:val="00B01F99"/>
    <w:rsid w:val="00B02B37"/>
    <w:rsid w:val="00B05276"/>
    <w:rsid w:val="00B132DB"/>
    <w:rsid w:val="00B206F1"/>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37AA9"/>
    <w:rsid w:val="00C42834"/>
    <w:rsid w:val="00C42FFA"/>
    <w:rsid w:val="00C507D8"/>
    <w:rsid w:val="00C62EAC"/>
    <w:rsid w:val="00C63F9F"/>
    <w:rsid w:val="00C675B6"/>
    <w:rsid w:val="00C7723C"/>
    <w:rsid w:val="00C838F5"/>
    <w:rsid w:val="00C841C0"/>
    <w:rsid w:val="00CA1AF4"/>
    <w:rsid w:val="00CA6068"/>
    <w:rsid w:val="00CA7712"/>
    <w:rsid w:val="00CB15E1"/>
    <w:rsid w:val="00CB3D46"/>
    <w:rsid w:val="00CD1A87"/>
    <w:rsid w:val="00CD35F3"/>
    <w:rsid w:val="00CD5C93"/>
    <w:rsid w:val="00CE342B"/>
    <w:rsid w:val="00CF013E"/>
    <w:rsid w:val="00CF320C"/>
    <w:rsid w:val="00CF3A4B"/>
    <w:rsid w:val="00CF4001"/>
    <w:rsid w:val="00D04C8D"/>
    <w:rsid w:val="00D05837"/>
    <w:rsid w:val="00D11256"/>
    <w:rsid w:val="00D11B17"/>
    <w:rsid w:val="00D12D8A"/>
    <w:rsid w:val="00D13E0C"/>
    <w:rsid w:val="00D25896"/>
    <w:rsid w:val="00D373A1"/>
    <w:rsid w:val="00D37C0F"/>
    <w:rsid w:val="00D45661"/>
    <w:rsid w:val="00D45943"/>
    <w:rsid w:val="00D47D22"/>
    <w:rsid w:val="00D51865"/>
    <w:rsid w:val="00D51D0C"/>
    <w:rsid w:val="00D74140"/>
    <w:rsid w:val="00D9252D"/>
    <w:rsid w:val="00DA6E56"/>
    <w:rsid w:val="00DB2405"/>
    <w:rsid w:val="00DC24E5"/>
    <w:rsid w:val="00DC6705"/>
    <w:rsid w:val="00DD2DE8"/>
    <w:rsid w:val="00DE38B4"/>
    <w:rsid w:val="00DE5D02"/>
    <w:rsid w:val="00E005A9"/>
    <w:rsid w:val="00E031D8"/>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C452B"/>
    <w:rsid w:val="00ED442D"/>
    <w:rsid w:val="00ED70C2"/>
    <w:rsid w:val="00EE18FF"/>
    <w:rsid w:val="00EE489F"/>
    <w:rsid w:val="00EF279E"/>
    <w:rsid w:val="00F0647F"/>
    <w:rsid w:val="00F076C2"/>
    <w:rsid w:val="00F10CE3"/>
    <w:rsid w:val="00F12006"/>
    <w:rsid w:val="00F13443"/>
    <w:rsid w:val="00F14F3B"/>
    <w:rsid w:val="00F16362"/>
    <w:rsid w:val="00F207C7"/>
    <w:rsid w:val="00F36B6D"/>
    <w:rsid w:val="00F43FA3"/>
    <w:rsid w:val="00F51A39"/>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9C3191"/>
  <w15:docId w15:val="{2D42FB33-8563-43B0-8E17-16987D51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Pa6">
    <w:name w:val="Pa6"/>
    <w:basedOn w:val="Normal"/>
    <w:next w:val="Normal"/>
    <w:uiPriority w:val="99"/>
    <w:rsid w:val="001812ED"/>
    <w:pPr>
      <w:autoSpaceDE w:val="0"/>
      <w:autoSpaceDN w:val="0"/>
      <w:adjustRightInd w:val="0"/>
      <w:spacing w:after="0" w:line="167" w:lineRule="atLeast"/>
    </w:pPr>
    <w:rPr>
      <w:rFonts w:ascii="Myriad Variable Concept" w:hAnsi="Myriad Variable Concept"/>
      <w:sz w:val="24"/>
      <w:szCs w:val="24"/>
    </w:rPr>
  </w:style>
  <w:style w:type="character" w:styleId="CommentReference">
    <w:name w:val="annotation reference"/>
    <w:basedOn w:val="DefaultParagraphFont"/>
    <w:uiPriority w:val="99"/>
    <w:semiHidden/>
    <w:unhideWhenUsed/>
    <w:rsid w:val="00D04C8D"/>
    <w:rPr>
      <w:sz w:val="16"/>
      <w:szCs w:val="16"/>
    </w:rPr>
  </w:style>
  <w:style w:type="paragraph" w:styleId="CommentText">
    <w:name w:val="annotation text"/>
    <w:basedOn w:val="Normal"/>
    <w:link w:val="CommentTextChar"/>
    <w:uiPriority w:val="99"/>
    <w:semiHidden/>
    <w:unhideWhenUsed/>
    <w:rsid w:val="00D04C8D"/>
    <w:pPr>
      <w:spacing w:line="240" w:lineRule="auto"/>
    </w:pPr>
    <w:rPr>
      <w:sz w:val="20"/>
      <w:szCs w:val="20"/>
    </w:rPr>
  </w:style>
  <w:style w:type="character" w:customStyle="1" w:styleId="CommentTextChar">
    <w:name w:val="Comment Text Char"/>
    <w:basedOn w:val="DefaultParagraphFont"/>
    <w:link w:val="CommentText"/>
    <w:uiPriority w:val="99"/>
    <w:semiHidden/>
    <w:rsid w:val="00D04C8D"/>
    <w:rPr>
      <w:sz w:val="20"/>
      <w:szCs w:val="20"/>
    </w:rPr>
  </w:style>
  <w:style w:type="paragraph" w:styleId="CommentSubject">
    <w:name w:val="annotation subject"/>
    <w:basedOn w:val="CommentText"/>
    <w:next w:val="CommentText"/>
    <w:link w:val="CommentSubjectChar"/>
    <w:uiPriority w:val="99"/>
    <w:semiHidden/>
    <w:unhideWhenUsed/>
    <w:rsid w:val="00D04C8D"/>
    <w:rPr>
      <w:b/>
      <w:bCs/>
    </w:rPr>
  </w:style>
  <w:style w:type="character" w:customStyle="1" w:styleId="CommentSubjectChar">
    <w:name w:val="Comment Subject Char"/>
    <w:basedOn w:val="CommentTextChar"/>
    <w:link w:val="CommentSubject"/>
    <w:uiPriority w:val="99"/>
    <w:semiHidden/>
    <w:rsid w:val="00D04C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cdi.editor@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hyperlink" Target="http://www.health.gov.au/cd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health.gov.au/cdna"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mailto:copyright@health.gov.au" TargetMode="External"/><Relationship Id="rId10" Type="http://schemas.openxmlformats.org/officeDocument/2006/relationships/footer" Target="footer1.xml"/><Relationship Id="rId19" Type="http://schemas.openxmlformats.org/officeDocument/2006/relationships/hyperlink" Target="http://health.gov.au/cd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www.itsanhonour.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12</TotalTime>
  <Pages>17</Pages>
  <Words>4954</Words>
  <Characters>27635</Characters>
  <Application>Microsoft Office Word</Application>
  <DocSecurity>0</DocSecurity>
  <Lines>2302</Lines>
  <Paragraphs>1551</Paragraphs>
  <ScaleCrop>false</ScaleCrop>
  <HeadingPairs>
    <vt:vector size="2" baseType="variant">
      <vt:variant>
        <vt:lpstr>Title</vt:lpstr>
      </vt:variant>
      <vt:variant>
        <vt:i4>1</vt:i4>
      </vt:variant>
    </vt:vector>
  </HeadingPairs>
  <TitlesOfParts>
    <vt:vector size="1" baseType="lpstr">
      <vt:lpstr>Communicable Diseases Intelligence 2022 - Two Treponema pallidum strains account for the majority of syphilis infections, including among females, in Queensland, Australia</vt:lpstr>
    </vt:vector>
  </TitlesOfParts>
  <Company>Australian Government, Department of Health</Company>
  <LinksUpToDate>false</LinksUpToDate>
  <CharactersWithSpaces>31038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Two Treponema pallidum strains account for the majority of syphilis infections, including among females, in Queensland, Australia</dc:title>
  <dc:subject>Two key syphilis strains account for the majority (69%) of samples in the syphilis outbreak occurring in Queensland, Australia. We observed high male-to-female ratios among these key strains, including men-who-have-sex-with-men, suggesting that bridging between heterosexual and MSM networks may be a key driver of infection.</dc:subject>
  <dc:creator>Emma L Sweeney; Kym Lowry; Mandy Seel; Frashta Rahimi; Julian Langton-Lockton; Cheryl Bletchly; Graeme R Nimmo and David M Whiley</dc:creator>
  <cp:keywords>syphilis; Treponema pallidum; sexually-transmitted infection; molecular diversity; multi-locus sequence typing; Queensland; Australia</cp:keywords>
  <dc:description>© Commonwealth of Australia CC BY-NC-ND ISSN: 2209-6051 (Online)</dc:description>
  <cp:lastModifiedBy>YOUSEFI, Kasra</cp:lastModifiedBy>
  <cp:revision>7</cp:revision>
  <cp:lastPrinted>2018-05-10T02:19:00Z</cp:lastPrinted>
  <dcterms:created xsi:type="dcterms:W3CDTF">2022-04-05T01:07:00Z</dcterms:created>
  <dcterms:modified xsi:type="dcterms:W3CDTF">2022-05-09T06:33:00Z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19/5/2022</vt:lpwstr>
  </property>
  <property fmtid="{D5CDD505-2E9C-101B-9397-08002B2CF9AE}" pid="5" name="DOI">
    <vt:lpwstr>https://doi.org/10.33321/cdi.2022.46.26</vt:lpwstr>
  </property>
</Properties>
</file>