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0918D" w14:textId="77777777" w:rsidR="00F4785C" w:rsidRPr="00780FC1" w:rsidRDefault="00F4785C" w:rsidP="00780FC1">
      <w:pPr>
        <w:pStyle w:val="Title"/>
      </w:pPr>
      <w:r w:rsidRPr="00780FC1">
        <w:t>An outbreak of leptospirosis associated with cattle workers during the wet season, in the Northern Territory of Australia, 2021</w:t>
      </w:r>
    </w:p>
    <w:p w14:paraId="7E2C73D6" w14:textId="77777777" w:rsidR="00F4785C" w:rsidRDefault="00F4785C" w:rsidP="00780FC1">
      <w:r>
        <w:t>Damien R Brown, Ruwani Peiris, Claire Waller, Elizabeth M Stedman, Susanne E Fitzpatrick, Vicki L Krause, Anthony DK Draper</w:t>
      </w:r>
    </w:p>
    <w:p w14:paraId="0A64D0A2" w14:textId="77777777" w:rsidR="00F4785C" w:rsidRPr="00F4785C" w:rsidRDefault="00F4785C" w:rsidP="00F4785C">
      <w:pPr>
        <w:pStyle w:val="Heading1"/>
      </w:pPr>
      <w:r w:rsidRPr="00F4785C">
        <w:t>Abstract</w:t>
      </w:r>
    </w:p>
    <w:p w14:paraId="58A47BF1" w14:textId="77777777" w:rsidR="00F4785C" w:rsidRDefault="00F4785C" w:rsidP="00F4785C">
      <w:r>
        <w:t xml:space="preserve">An outbreak of leptospirosis occurred in the Top End of the Northern Territory, Australia, during the wet season in early 2021. There were 14 outbreak cases; most were male (12/14; 86%) and non-Indigenous (13/14; 93%) with a median age of 22 years (range 19–52 years). We conducted a descriptive case series to investigate the outbreak. We determined that the outbreak was most likely due to higher than usual rainfall in a workplace with exposure to cattle, heightened by wearing clothing and footwear which offered little protection, with limited use of personal protective equipment (PPE). Increased and ongoing education for cattle industry workers, and promotion of the use of appropriate clothing and PPE, may minimise the risk of future outbreaks. Australia’s national surveillance case definition for leptospirosis should be reviewed to incorporate the use of nucleic acid testing in the detection of leptospirosis. </w:t>
      </w:r>
    </w:p>
    <w:p w14:paraId="3933A305" w14:textId="3537CBC7" w:rsidR="00F4785C" w:rsidRDefault="00F4785C" w:rsidP="00F4785C">
      <w:r>
        <w:t xml:space="preserve">Keywords: outbreak, leptospirosis, </w:t>
      </w:r>
      <w:r w:rsidRPr="00F37CC0">
        <w:rPr>
          <w:rStyle w:val="Emphasis"/>
          <w:b w:val="0"/>
          <w:bCs w:val="0"/>
        </w:rPr>
        <w:t>Leptospira</w:t>
      </w:r>
      <w:r>
        <w:t>, cattle, Northern Territory, rainfall.</w:t>
      </w:r>
    </w:p>
    <w:p w14:paraId="0D01C1D3" w14:textId="77777777" w:rsidR="00F4785C" w:rsidRPr="00F4785C" w:rsidRDefault="00F4785C" w:rsidP="00F4785C">
      <w:pPr>
        <w:pStyle w:val="Heading1"/>
      </w:pPr>
      <w:r w:rsidRPr="00F4785C">
        <w:t>Background</w:t>
      </w:r>
    </w:p>
    <w:p w14:paraId="17756850" w14:textId="04FA2844" w:rsidR="00F4785C" w:rsidRPr="00B1412D" w:rsidRDefault="00F4785C" w:rsidP="00F4785C">
      <w:pPr>
        <w:rPr>
          <w:w w:val="95"/>
        </w:rPr>
      </w:pPr>
      <w:r w:rsidRPr="00B1412D">
        <w:rPr>
          <w:w w:val="95"/>
        </w:rPr>
        <w:t>Leptospirosis is a widespread bacterial zoonotic illness, occurring worldwide but more commonly in the tropics.</w:t>
      </w:r>
      <w:r w:rsidRPr="00B1412D">
        <w:rPr>
          <w:w w:val="95"/>
          <w:vertAlign w:val="superscript"/>
        </w:rPr>
        <w:t>1</w:t>
      </w:r>
      <w:r w:rsidRPr="00B1412D">
        <w:rPr>
          <w:w w:val="95"/>
        </w:rPr>
        <w:t xml:space="preserve"> </w:t>
      </w:r>
      <w:r w:rsidRPr="00B1412D">
        <w:rPr>
          <w:rStyle w:val="Emphasis"/>
          <w:b w:val="0"/>
          <w:bCs w:val="0"/>
          <w:w w:val="95"/>
        </w:rPr>
        <w:t>Leptospira</w:t>
      </w:r>
      <w:r w:rsidRPr="00B1412D">
        <w:rPr>
          <w:w w:val="95"/>
        </w:rPr>
        <w:t xml:space="preserve"> spirochetes, of which there are nearly 300 serovars, are found in numerous domestic and wild animals, including rats, cattle, pigs and dogs.</w:t>
      </w:r>
      <w:r w:rsidRPr="00B1412D">
        <w:rPr>
          <w:w w:val="95"/>
          <w:vertAlign w:val="superscript"/>
        </w:rPr>
        <w:t>1</w:t>
      </w:r>
      <w:r w:rsidRPr="00B1412D">
        <w:rPr>
          <w:w w:val="95"/>
        </w:rPr>
        <w:t xml:space="preserve"> Humans can become infected when animal urine or tissue, or environmental matter contaminated with the same, enters the body through skin abrasions or via mucous membranes.</w:t>
      </w:r>
      <w:r w:rsidRPr="00B1412D">
        <w:rPr>
          <w:w w:val="95"/>
          <w:vertAlign w:val="superscript"/>
        </w:rPr>
        <w:t>1</w:t>
      </w:r>
      <w:r w:rsidRPr="00B1412D">
        <w:rPr>
          <w:w w:val="95"/>
        </w:rPr>
        <w:t xml:space="preserve"> Illness can range from a mild, self-limiting flu-like condition to severe and potentially fatal disease.</w:t>
      </w:r>
      <w:r w:rsidRPr="00B1412D">
        <w:rPr>
          <w:w w:val="95"/>
          <w:vertAlign w:val="superscript"/>
        </w:rPr>
        <w:t>1</w:t>
      </w:r>
      <w:r w:rsidRPr="00B1412D">
        <w:rPr>
          <w:w w:val="95"/>
        </w:rPr>
        <w:t xml:space="preserve"> Appropriate antibiotic therapy is usually highly effective.</w:t>
      </w:r>
      <w:r w:rsidRPr="00B1412D">
        <w:rPr>
          <w:w w:val="95"/>
          <w:vertAlign w:val="superscript"/>
        </w:rPr>
        <w:t>2</w:t>
      </w:r>
      <w:r w:rsidRPr="00B1412D">
        <w:rPr>
          <w:w w:val="95"/>
        </w:rPr>
        <w:t xml:space="preserve"> Outbreaks are often associated with occupation (e.g. farming and cattle work)</w:t>
      </w:r>
      <w:r w:rsidRPr="00B1412D">
        <w:rPr>
          <w:w w:val="95"/>
          <w:vertAlign w:val="superscript"/>
        </w:rPr>
        <w:t>3,4</w:t>
      </w:r>
      <w:r w:rsidRPr="00B1412D">
        <w:rPr>
          <w:w w:val="95"/>
        </w:rPr>
        <w:t xml:space="preserve"> and with recreational activities (e.g. freshwater sports),</w:t>
      </w:r>
      <w:r w:rsidRPr="00B1412D">
        <w:rPr>
          <w:w w:val="95"/>
          <w:vertAlign w:val="superscript"/>
        </w:rPr>
        <w:t>5,6</w:t>
      </w:r>
      <w:r w:rsidRPr="00B1412D">
        <w:rPr>
          <w:w w:val="95"/>
        </w:rPr>
        <w:t xml:space="preserve"> with spread exacerbated by heavy rainfall and flooding.</w:t>
      </w:r>
      <w:r w:rsidRPr="00B1412D">
        <w:rPr>
          <w:w w:val="95"/>
          <w:vertAlign w:val="superscript"/>
        </w:rPr>
        <w:t>7–11</w:t>
      </w:r>
      <w:r w:rsidRPr="00B1412D">
        <w:rPr>
          <w:w w:val="95"/>
        </w:rPr>
        <w:t xml:space="preserve"> </w:t>
      </w:r>
    </w:p>
    <w:p w14:paraId="0E2F826F" w14:textId="7C909A94" w:rsidR="00F4785C" w:rsidRDefault="00F4785C" w:rsidP="00F4785C">
      <w:r>
        <w:t>On average, two or three cases of leptospirosis are notified annually in the Northern Territory (NT), usually in the Top End wet season (Figure 1) with a previous outbreak occurring in 2017.</w:t>
      </w:r>
      <w:r>
        <w:rPr>
          <w:vertAlign w:val="superscript"/>
        </w:rPr>
        <w:t>12</w:t>
      </w:r>
      <w:r>
        <w:t xml:space="preserve"> </w:t>
      </w:r>
    </w:p>
    <w:p w14:paraId="4FAB86BC" w14:textId="77777777" w:rsidR="00F4785C" w:rsidRDefault="00F4785C" w:rsidP="00F4785C">
      <w:r>
        <w:t>In 2021, a cluster/outbreak investigation was initiated after six cases were notified to the NT Centre for Disease Control (CDC) by 18 February. We describe the investigation.</w:t>
      </w:r>
    </w:p>
    <w:p w14:paraId="379FEEF4" w14:textId="77777777" w:rsidR="00812C52" w:rsidRDefault="00812C52">
      <w:pPr>
        <w:rPr>
          <w:rFonts w:asciiTheme="majorHAnsi" w:eastAsiaTheme="majorEastAsia" w:hAnsiTheme="majorHAnsi" w:cstheme="majorBidi"/>
          <w:b/>
          <w:bCs/>
          <w:sz w:val="32"/>
          <w:szCs w:val="28"/>
        </w:rPr>
      </w:pPr>
      <w:r>
        <w:br w:type="page"/>
      </w:r>
    </w:p>
    <w:p w14:paraId="0D9ED53E" w14:textId="77777777" w:rsidR="00812C52" w:rsidRPr="00E409E8" w:rsidRDefault="00812C52" w:rsidP="00812C52">
      <w:pPr>
        <w:pStyle w:val="CDIFigures"/>
      </w:pPr>
      <w:r w:rsidRPr="00E409E8">
        <w:rPr>
          <w:rStyle w:val="Strong"/>
          <w:b/>
          <w:bCs w:val="0"/>
        </w:rPr>
        <w:lastRenderedPageBreak/>
        <w:t>Figure 1: Epidemiological curve of leptospirosis cases notified in the Northern Territory, Australia (2000-2021)</w:t>
      </w:r>
    </w:p>
    <w:p w14:paraId="216773C2" w14:textId="77777777" w:rsidR="00812C52" w:rsidRDefault="00812C52" w:rsidP="00812C52">
      <w:pPr>
        <w:rPr>
          <w:rFonts w:eastAsia="Times New Roman"/>
          <w:lang w:val="en-GB"/>
        </w:rPr>
      </w:pPr>
      <w:r>
        <w:rPr>
          <w:rFonts w:eastAsia="Times New Roman"/>
          <w:noProof/>
          <w:lang w:val="en-GB"/>
        </w:rPr>
        <w:drawing>
          <wp:inline distT="0" distB="0" distL="0" distR="0" wp14:anchorId="18D090DA" wp14:editId="2595955D">
            <wp:extent cx="6625742" cy="4481050"/>
            <wp:effectExtent l="0" t="0" r="3810" b="0"/>
            <wp:docPr id="5" name="Picture 5" descr="Epidemic curve of leptospirosis cases notified in the Northern Territory, Australia (1992-2021).&#10;&#10;Figure 1 shows the numbers of leptospirosis cases notified in the Northern Territory between 1992 and 2021 per year. Between 2000 and 2021 there are on average, 4 cases notified per year. In 2021 there were 15 notifica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demic curve of leptospirosis cases notified in the Northern Territory, Australia (1992-2021).&#10;&#10;Figure 1 shows the numbers of leptospirosis cases notified in the Northern Territory between 1992 and 2021 per year. Between 2000 and 2021 there are on average, 4 cases notified per year. In 2021 there were 15 notifications.&#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0555" cy="4484305"/>
                    </a:xfrm>
                    <a:prstGeom prst="rect">
                      <a:avLst/>
                    </a:prstGeom>
                  </pic:spPr>
                </pic:pic>
              </a:graphicData>
            </a:graphic>
          </wp:inline>
        </w:drawing>
      </w:r>
    </w:p>
    <w:p w14:paraId="025CACCC" w14:textId="25C2A77B" w:rsidR="00F4785C" w:rsidRPr="00F4785C" w:rsidRDefault="00F4785C" w:rsidP="00F4785C">
      <w:pPr>
        <w:pStyle w:val="Heading1"/>
      </w:pPr>
      <w:r w:rsidRPr="00F4785C">
        <w:t>Methods</w:t>
      </w:r>
    </w:p>
    <w:p w14:paraId="385DC110" w14:textId="77777777" w:rsidR="00F4785C" w:rsidRPr="00F4785C" w:rsidRDefault="00F4785C" w:rsidP="00F4785C">
      <w:pPr>
        <w:pStyle w:val="Heading2"/>
      </w:pPr>
      <w:r w:rsidRPr="00F4785C">
        <w:t>Epidemiological investigation</w:t>
      </w:r>
    </w:p>
    <w:p w14:paraId="7FC44A11" w14:textId="10FEEF41" w:rsidR="00F4785C" w:rsidRDefault="00F4785C" w:rsidP="00F4785C">
      <w:r>
        <w:t>A confirmed outbreak case was defined as any person notified with leptospirosis in the NT (i.e. meeting the Australian national notifiable diseases case definition)</w:t>
      </w:r>
      <w:r>
        <w:rPr>
          <w:vertAlign w:val="superscript"/>
        </w:rPr>
        <w:t>13</w:t>
      </w:r>
      <w:r>
        <w:t xml:space="preserve"> with onset after 1 January 2021. A probable outbreak case was defined as any person with a clinically compatible illness AND an epidemiological link to a confirmed outbreak case AND leptospirosis detected by nucleic acid testing from urine or blood samples, with onset after 1 January 2021. The detection of leptospirosis by nucleic acid testing is an accepted surveillance case definition by the United States of America’s Centres for Disease Control and Prevention</w:t>
      </w:r>
      <w:r w:rsidR="001F7058">
        <w:t>,</w:t>
      </w:r>
      <w:r>
        <w:rPr>
          <w:vertAlign w:val="superscript"/>
        </w:rPr>
        <w:t>14</w:t>
      </w:r>
      <w:r>
        <w:t xml:space="preserve"> but is not regarded, in Australia, as definitive</w:t>
      </w:r>
      <w:r w:rsidR="00D407C5">
        <w:t> </w:t>
      </w:r>
      <w:r>
        <w:t>evidence.</w:t>
      </w:r>
    </w:p>
    <w:p w14:paraId="285A7B6B" w14:textId="1F2D3C26" w:rsidR="00F4785C" w:rsidRDefault="00F4785C" w:rsidP="00F4785C">
      <w:r>
        <w:t>Case finding occurred through routine notification activity. Some potential cases self-reported to the CDC following a media release on 1 March 2021 which alerted the NT public to the outbreak.</w:t>
      </w:r>
      <w:r>
        <w:rPr>
          <w:vertAlign w:val="superscript"/>
        </w:rPr>
        <w:t>15</w:t>
      </w:r>
      <w:r>
        <w:t xml:space="preserve"> </w:t>
      </w:r>
    </w:p>
    <w:p w14:paraId="323D7A7C" w14:textId="77777777" w:rsidR="00F4785C" w:rsidRDefault="00F4785C" w:rsidP="00F4785C">
      <w:r>
        <w:t>We conducted a descriptive case series investigation. We used a case questionnaire to record symptoms, laboratory results, exposures and risk factors. Descriptive analysis was performed using Microsoft Excel 2010.</w:t>
      </w:r>
    </w:p>
    <w:p w14:paraId="7B90ACE0" w14:textId="77777777" w:rsidR="00F4785C" w:rsidRPr="00F4785C" w:rsidRDefault="00F4785C" w:rsidP="00F4785C">
      <w:pPr>
        <w:pStyle w:val="Heading2"/>
      </w:pPr>
      <w:r w:rsidRPr="00F4785C">
        <w:t>Laboratory investigation</w:t>
      </w:r>
    </w:p>
    <w:p w14:paraId="784518AA" w14:textId="77777777" w:rsidR="00F4785C" w:rsidRDefault="00F4785C" w:rsidP="00F4785C">
      <w:r>
        <w:t xml:space="preserve">Serum, blood or urine was collected and polymerase chain reaction (PCR) testing or serological testing was performed, depending on what was requested by the treating clinician. Serology testing for leptospirosis immunoglobulin M (IgM) was performed on acute phase serum and on convalescent serum (which, if obtained, was </w:t>
      </w:r>
      <w:r>
        <w:lastRenderedPageBreak/>
        <w:t xml:space="preserve">collected at least two weeks later) using the microscopic agglutination test (MAT). Serovars of </w:t>
      </w:r>
      <w:r w:rsidRPr="00F37CC0">
        <w:rPr>
          <w:rStyle w:val="Emphasis"/>
          <w:b w:val="0"/>
          <w:bCs w:val="0"/>
        </w:rPr>
        <w:t>Leptospira</w:t>
      </w:r>
      <w:r>
        <w:t xml:space="preserve"> spp. included in the MAT panel were: Arborea; Australis; Bataviae; Bulgarica; Canicola; Celledoni; Copenhageni; Cynopteri; Djasimen; Grippotyphosa; Hardjo; Javanica; Kremastos; Mendanensis; Panama; Pomona; Robinsoni; Shermani; Szwajizsk; Tarassovi; Topaz; and Zanoni.</w:t>
      </w:r>
    </w:p>
    <w:p w14:paraId="0DD02560" w14:textId="77777777" w:rsidR="00F4785C" w:rsidRPr="00F4785C" w:rsidRDefault="00F4785C" w:rsidP="00F4785C">
      <w:pPr>
        <w:pStyle w:val="Heading2"/>
      </w:pPr>
      <w:r w:rsidRPr="00F4785C">
        <w:t>Veterinary and environmental investigation</w:t>
      </w:r>
    </w:p>
    <w:p w14:paraId="053691D8" w14:textId="77777777" w:rsidR="00F4785C" w:rsidRDefault="00F4785C" w:rsidP="00F4785C">
      <w:r>
        <w:t>Leptospirosis is not a notifiable disease of animals; however, we reviewed submissions of diagnostic animal cases to the Berrimah Veterinary Laboratory, Darwin, from 1 January 2021 for possible related animal cases. We examined rainfall patterns in the NT using data from the Australian Bureau of Meteorology (BoM).</w:t>
      </w:r>
    </w:p>
    <w:p w14:paraId="1985C744" w14:textId="77777777" w:rsidR="00F4785C" w:rsidRPr="00F4785C" w:rsidRDefault="00F4785C" w:rsidP="00F4785C">
      <w:pPr>
        <w:pStyle w:val="Heading1"/>
      </w:pPr>
      <w:r w:rsidRPr="00F4785C">
        <w:t>Results</w:t>
      </w:r>
    </w:p>
    <w:p w14:paraId="3C3A2D3B" w14:textId="77777777" w:rsidR="00F4785C" w:rsidRPr="00F4785C" w:rsidRDefault="00F4785C" w:rsidP="00F4785C">
      <w:pPr>
        <w:pStyle w:val="Heading2"/>
      </w:pPr>
      <w:r w:rsidRPr="00F4785C">
        <w:t>Epidemiological investigation</w:t>
      </w:r>
    </w:p>
    <w:p w14:paraId="1EE60CBF" w14:textId="3230799B" w:rsidR="00F4785C" w:rsidRDefault="00F4785C" w:rsidP="00F4785C">
      <w:r>
        <w:t>There were 14 cases that met the outbreak case definition: 12 confirmed and two probable cases (Figure 2). The majority of cases were male (12/14; 86%) and non-Indigenous (13/14; 93%), with a median age of 22 years (range 19–52 years).</w:t>
      </w:r>
    </w:p>
    <w:p w14:paraId="483C82FD" w14:textId="77777777" w:rsidR="003B2D8D" w:rsidRPr="00E409E8" w:rsidRDefault="003B2D8D" w:rsidP="003B2D8D">
      <w:pPr>
        <w:pStyle w:val="CDIFigures"/>
      </w:pPr>
      <w:r w:rsidRPr="00E409E8">
        <w:rPr>
          <w:rStyle w:val="Strong"/>
          <w:b/>
          <w:bCs w:val="0"/>
        </w:rPr>
        <w:t>Figure 2: Epidemiological curve of outbreak cases by onset date, 1 January to 31 March 2021 (n = 14)</w:t>
      </w:r>
    </w:p>
    <w:p w14:paraId="08B5F9CB" w14:textId="136BE98F" w:rsidR="003B2D8D" w:rsidRPr="003B2D8D" w:rsidRDefault="003B2D8D" w:rsidP="00F4785C">
      <w:pPr>
        <w:rPr>
          <w:rFonts w:eastAsia="Times New Roman"/>
          <w:lang w:val="en-GB"/>
        </w:rPr>
      </w:pPr>
      <w:r>
        <w:rPr>
          <w:rFonts w:eastAsia="Times New Roman"/>
          <w:noProof/>
          <w:lang w:val="en-GB"/>
        </w:rPr>
        <w:drawing>
          <wp:inline distT="0" distB="0" distL="0" distR="0" wp14:anchorId="6716DFC6" wp14:editId="69F10AE4">
            <wp:extent cx="6629400" cy="4585751"/>
            <wp:effectExtent l="0" t="0" r="0" b="5715"/>
            <wp:docPr id="2" name="Picture 2" descr="Figure 2. Epidemiological curve of outbreak cases by onset date, 1 January to 31 March 2021 (n=14).&#10;&#10;Figure 2 shows the number of cases of leptospirosis in the outbreak. The blue bars represent confirmed outbreak cases and the red bars represent probable outbreak cases. The onset date of the first outbreak case was on 9 January 2021 and the onset date of the last case was on 10 March 2021. There were 5 cases who worked on the same cattle station and this accounts for the peak in cases in mid-February 2021.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Epidemiological curve of outbreak cases by onset date, 1 January to 31 March 2021 (n=14).&#10;&#10;Figure 2 shows the number of cases of leptospirosis in the outbreak. The blue bars represent confirmed outbreak cases and the red bars represent probable outbreak cases. The onset date of the first outbreak case was on 9 January 2021 and the onset date of the last case was on 10 March 2021. There were 5 cases who worked on the same cattle station and this accounts for the peak in cases in mid-February 2021.  &#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65" r="1135" b="4060"/>
                    <a:stretch/>
                  </pic:blipFill>
                  <pic:spPr bwMode="auto">
                    <a:xfrm>
                      <a:off x="0" y="0"/>
                      <a:ext cx="6638785" cy="4592243"/>
                    </a:xfrm>
                    <a:prstGeom prst="rect">
                      <a:avLst/>
                    </a:prstGeom>
                    <a:ln>
                      <a:noFill/>
                    </a:ln>
                    <a:extLst>
                      <a:ext uri="{53640926-AAD7-44D8-BBD7-CCE9431645EC}">
                        <a14:shadowObscured xmlns:a14="http://schemas.microsoft.com/office/drawing/2010/main"/>
                      </a:ext>
                    </a:extLst>
                  </pic:spPr>
                </pic:pic>
              </a:graphicData>
            </a:graphic>
          </wp:inline>
        </w:drawing>
      </w:r>
    </w:p>
    <w:p w14:paraId="7A83CCD5" w14:textId="77777777" w:rsidR="00F4785C" w:rsidRDefault="00F4785C" w:rsidP="00F4785C">
      <w:r>
        <w:t xml:space="preserve">In addition to fever (14/14; 100%), the predominant symptoms were myalgia/arthralgia (10/14; 71%), headache (10/14; 71%), and rigors (8/14; 57%) (Table 1). There were four cases who required hospitalisation with a median duration of three days (range 2–6 days). No cases required admission to an intensive care unit, and none died. </w:t>
      </w:r>
    </w:p>
    <w:p w14:paraId="2D55F23A" w14:textId="52A52585" w:rsidR="00F4785C" w:rsidRDefault="00F4785C" w:rsidP="00F4785C">
      <w:r>
        <w:lastRenderedPageBreak/>
        <w:t>Twelve cases had significant cattle exposure through their work, one through recreation (fishing near cattle); another could not be interviewed. Two had been pig hunting; another reported a number of rats/mice on their property. All reported minimal if any PPE use; many worked in shorts and wore no gloves when handling cattle, citing high ambient heat and humidity as reasons. Regular handwashing was seldom practi</w:t>
      </w:r>
      <w:r w:rsidR="001F7058">
        <w:t>s</w:t>
      </w:r>
      <w:r>
        <w:t>ed.</w:t>
      </w:r>
    </w:p>
    <w:p w14:paraId="5AF9ADFA" w14:textId="4DE36F55" w:rsidR="0080345F" w:rsidRPr="008A7C77" w:rsidRDefault="0080345F" w:rsidP="0080345F">
      <w:pPr>
        <w:pStyle w:val="CDIFigures"/>
      </w:pPr>
      <w:r w:rsidRPr="00241BD8">
        <w:rPr>
          <w:rStyle w:val="Strong"/>
          <w:b/>
          <w:bCs w:val="0"/>
        </w:rPr>
        <w:t>Table 1: Clinical characteristics of leptospirosis outbreak cases, Northern Territory, Australia, January to March</w:t>
      </w:r>
      <w:r w:rsidR="00EA1E66">
        <w:rPr>
          <w:rStyle w:val="Strong"/>
          <w:b/>
          <w:bCs w:val="0"/>
        </w:rPr>
        <w:t> </w:t>
      </w:r>
      <w:r w:rsidRPr="00241BD8">
        <w:rPr>
          <w:rStyle w:val="Strong"/>
          <w:b/>
          <w:bCs w:val="0"/>
        </w:rPr>
        <w:t>2021 (n = 14)</w:t>
      </w:r>
    </w:p>
    <w:tbl>
      <w:tblPr>
        <w:tblStyle w:val="CDI-StandardTable"/>
        <w:tblW w:w="0" w:type="auto"/>
        <w:tblLook w:val="04A0" w:firstRow="1" w:lastRow="0" w:firstColumn="1" w:lastColumn="0" w:noHBand="0" w:noVBand="1"/>
        <w:tblDescription w:val="Table 1 shows that there were 14 cases in the outbreak; all 14 reported fever; 10 (71%) reported myalgia or arthralgia; 10 (71%) reported headache; 8 (57%) reported rigors; 6 (43%) reported vomiting; 3 (21%) reported diarrhoea and 1 (7%) reported conjunctival suffusion. "/>
      </w:tblPr>
      <w:tblGrid>
        <w:gridCol w:w="5220"/>
        <w:gridCol w:w="5220"/>
      </w:tblGrid>
      <w:tr w:rsidR="0080345F" w:rsidRPr="00D12653" w14:paraId="68D289D3" w14:textId="77777777" w:rsidTr="00E942C1">
        <w:trPr>
          <w:cnfStyle w:val="100000000000" w:firstRow="1" w:lastRow="0" w:firstColumn="0" w:lastColumn="0" w:oddVBand="0" w:evenVBand="0" w:oddHBand="0" w:evenHBand="0" w:firstRowFirstColumn="0" w:firstRowLastColumn="0" w:lastRowFirstColumn="0" w:lastRowLastColumn="0"/>
        </w:trPr>
        <w:tc>
          <w:tcPr>
            <w:tcW w:w="5220" w:type="dxa"/>
            <w:tcBorders>
              <w:right w:val="single" w:sz="2" w:space="0" w:color="E3B77B"/>
            </w:tcBorders>
            <w:hideMark/>
          </w:tcPr>
          <w:p w14:paraId="37943E0A" w14:textId="77777777" w:rsidR="0080345F" w:rsidRPr="00D12653" w:rsidRDefault="0080345F" w:rsidP="00222E80">
            <w:pPr>
              <w:pStyle w:val="NormalWeb"/>
              <w:rPr>
                <w:color w:val="FFFFFF" w:themeColor="background1"/>
                <w:sz w:val="18"/>
                <w:szCs w:val="18"/>
              </w:rPr>
            </w:pPr>
            <w:r w:rsidRPr="00D12653">
              <w:rPr>
                <w:color w:val="FFFFFF" w:themeColor="background1"/>
                <w:sz w:val="18"/>
                <w:szCs w:val="18"/>
              </w:rPr>
              <w:t>Symptom</w:t>
            </w:r>
          </w:p>
        </w:tc>
        <w:tc>
          <w:tcPr>
            <w:tcW w:w="5220" w:type="dxa"/>
            <w:tcBorders>
              <w:left w:val="single" w:sz="2" w:space="0" w:color="E3B77B"/>
            </w:tcBorders>
            <w:hideMark/>
          </w:tcPr>
          <w:p w14:paraId="4D1CE6E4" w14:textId="77777777" w:rsidR="0080345F" w:rsidRPr="00D12653" w:rsidRDefault="0080345F" w:rsidP="00222E80">
            <w:pPr>
              <w:pStyle w:val="NormalWeb"/>
              <w:jc w:val="center"/>
              <w:rPr>
                <w:color w:val="FFFFFF" w:themeColor="background1"/>
                <w:sz w:val="18"/>
                <w:szCs w:val="18"/>
              </w:rPr>
            </w:pPr>
            <w:r w:rsidRPr="00D12653">
              <w:rPr>
                <w:color w:val="FFFFFF" w:themeColor="background1"/>
                <w:sz w:val="18"/>
                <w:szCs w:val="18"/>
              </w:rPr>
              <w:t>Number of cases (%)</w:t>
            </w:r>
          </w:p>
        </w:tc>
      </w:tr>
      <w:tr w:rsidR="0080345F" w:rsidRPr="00D12653" w14:paraId="46A3B917" w14:textId="77777777" w:rsidTr="00E942C1">
        <w:tblPrEx>
          <w:tblCellMar>
            <w:top w:w="57" w:type="dxa"/>
            <w:left w:w="57" w:type="dxa"/>
            <w:bottom w:w="57" w:type="dxa"/>
            <w:right w:w="57" w:type="dxa"/>
          </w:tblCellMar>
        </w:tblPrEx>
        <w:tc>
          <w:tcPr>
            <w:tcW w:w="5220" w:type="dxa"/>
            <w:hideMark/>
          </w:tcPr>
          <w:p w14:paraId="6FFE4B0D" w14:textId="77777777" w:rsidR="0080345F" w:rsidRPr="00D12653" w:rsidRDefault="0080345F" w:rsidP="00222E80">
            <w:pPr>
              <w:pStyle w:val="NormalWeb"/>
              <w:rPr>
                <w:sz w:val="18"/>
                <w:szCs w:val="18"/>
              </w:rPr>
            </w:pPr>
            <w:r w:rsidRPr="00D12653">
              <w:rPr>
                <w:sz w:val="18"/>
                <w:szCs w:val="18"/>
              </w:rPr>
              <w:t>Fever</w:t>
            </w:r>
          </w:p>
        </w:tc>
        <w:tc>
          <w:tcPr>
            <w:tcW w:w="5220" w:type="dxa"/>
            <w:hideMark/>
          </w:tcPr>
          <w:p w14:paraId="0992250A" w14:textId="77777777" w:rsidR="0080345F" w:rsidRPr="00D12653" w:rsidRDefault="0080345F" w:rsidP="00222E80">
            <w:pPr>
              <w:pStyle w:val="NormalWeb"/>
              <w:jc w:val="center"/>
              <w:rPr>
                <w:sz w:val="18"/>
                <w:szCs w:val="18"/>
              </w:rPr>
            </w:pPr>
            <w:r w:rsidRPr="00D12653">
              <w:rPr>
                <w:sz w:val="18"/>
                <w:szCs w:val="18"/>
              </w:rPr>
              <w:t>14 (100)</w:t>
            </w:r>
          </w:p>
        </w:tc>
      </w:tr>
      <w:tr w:rsidR="0080345F" w:rsidRPr="00D12653" w14:paraId="3E2108EC" w14:textId="77777777" w:rsidTr="00E942C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120073A3" w14:textId="77777777" w:rsidR="0080345F" w:rsidRPr="00D12653" w:rsidRDefault="0080345F" w:rsidP="00222E80">
            <w:pPr>
              <w:pStyle w:val="NormalWeb"/>
              <w:rPr>
                <w:sz w:val="18"/>
                <w:szCs w:val="18"/>
              </w:rPr>
            </w:pPr>
            <w:r w:rsidRPr="00D12653">
              <w:rPr>
                <w:sz w:val="18"/>
                <w:szCs w:val="18"/>
              </w:rPr>
              <w:t>Myalgia/arthralgia</w:t>
            </w:r>
          </w:p>
        </w:tc>
        <w:tc>
          <w:tcPr>
            <w:tcW w:w="5220" w:type="dxa"/>
            <w:hideMark/>
          </w:tcPr>
          <w:p w14:paraId="3660E43F" w14:textId="77777777" w:rsidR="0080345F" w:rsidRPr="00D12653" w:rsidRDefault="0080345F" w:rsidP="00222E80">
            <w:pPr>
              <w:pStyle w:val="NormalWeb"/>
              <w:jc w:val="center"/>
              <w:rPr>
                <w:sz w:val="18"/>
                <w:szCs w:val="18"/>
              </w:rPr>
            </w:pPr>
            <w:r w:rsidRPr="00D12653">
              <w:rPr>
                <w:sz w:val="18"/>
                <w:szCs w:val="18"/>
              </w:rPr>
              <w:t>10 (71)</w:t>
            </w:r>
          </w:p>
        </w:tc>
      </w:tr>
      <w:tr w:rsidR="0080345F" w:rsidRPr="00D12653" w14:paraId="3862FA3B" w14:textId="77777777" w:rsidTr="00E942C1">
        <w:tblPrEx>
          <w:tblCellMar>
            <w:top w:w="57" w:type="dxa"/>
            <w:left w:w="57" w:type="dxa"/>
            <w:bottom w:w="57" w:type="dxa"/>
            <w:right w:w="57" w:type="dxa"/>
          </w:tblCellMar>
        </w:tblPrEx>
        <w:tc>
          <w:tcPr>
            <w:tcW w:w="5220" w:type="dxa"/>
            <w:hideMark/>
          </w:tcPr>
          <w:p w14:paraId="14601CE1" w14:textId="77777777" w:rsidR="0080345F" w:rsidRPr="00D12653" w:rsidRDefault="0080345F" w:rsidP="00222E80">
            <w:pPr>
              <w:pStyle w:val="NormalWeb"/>
              <w:rPr>
                <w:sz w:val="18"/>
                <w:szCs w:val="18"/>
              </w:rPr>
            </w:pPr>
            <w:r w:rsidRPr="00D12653">
              <w:rPr>
                <w:sz w:val="18"/>
                <w:szCs w:val="18"/>
              </w:rPr>
              <w:t>Headache</w:t>
            </w:r>
          </w:p>
        </w:tc>
        <w:tc>
          <w:tcPr>
            <w:tcW w:w="5220" w:type="dxa"/>
            <w:hideMark/>
          </w:tcPr>
          <w:p w14:paraId="4640A0BB" w14:textId="77777777" w:rsidR="0080345F" w:rsidRPr="00D12653" w:rsidRDefault="0080345F" w:rsidP="00222E80">
            <w:pPr>
              <w:pStyle w:val="NormalWeb"/>
              <w:jc w:val="center"/>
              <w:rPr>
                <w:sz w:val="18"/>
                <w:szCs w:val="18"/>
              </w:rPr>
            </w:pPr>
            <w:r w:rsidRPr="00D12653">
              <w:rPr>
                <w:sz w:val="18"/>
                <w:szCs w:val="18"/>
              </w:rPr>
              <w:t>10 (71)</w:t>
            </w:r>
          </w:p>
        </w:tc>
      </w:tr>
      <w:tr w:rsidR="0080345F" w:rsidRPr="00D12653" w14:paraId="6C11BB76" w14:textId="77777777" w:rsidTr="00E942C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48266A2C" w14:textId="77777777" w:rsidR="0080345F" w:rsidRPr="00D12653" w:rsidRDefault="0080345F" w:rsidP="00222E80">
            <w:pPr>
              <w:pStyle w:val="NormalWeb"/>
              <w:rPr>
                <w:sz w:val="18"/>
                <w:szCs w:val="18"/>
              </w:rPr>
            </w:pPr>
            <w:r w:rsidRPr="00D12653">
              <w:rPr>
                <w:sz w:val="18"/>
                <w:szCs w:val="18"/>
              </w:rPr>
              <w:t>Rigors</w:t>
            </w:r>
          </w:p>
        </w:tc>
        <w:tc>
          <w:tcPr>
            <w:tcW w:w="5220" w:type="dxa"/>
            <w:hideMark/>
          </w:tcPr>
          <w:p w14:paraId="04C3F16E" w14:textId="77777777" w:rsidR="0080345F" w:rsidRPr="00D12653" w:rsidRDefault="0080345F" w:rsidP="00222E80">
            <w:pPr>
              <w:pStyle w:val="NormalWeb"/>
              <w:jc w:val="center"/>
              <w:rPr>
                <w:sz w:val="18"/>
                <w:szCs w:val="18"/>
              </w:rPr>
            </w:pPr>
            <w:r w:rsidRPr="00D12653">
              <w:rPr>
                <w:sz w:val="18"/>
                <w:szCs w:val="18"/>
              </w:rPr>
              <w:t>8 (57)</w:t>
            </w:r>
          </w:p>
        </w:tc>
      </w:tr>
      <w:tr w:rsidR="0080345F" w:rsidRPr="00D12653" w14:paraId="33303719" w14:textId="77777777" w:rsidTr="00E942C1">
        <w:tblPrEx>
          <w:tblCellMar>
            <w:top w:w="57" w:type="dxa"/>
            <w:left w:w="57" w:type="dxa"/>
            <w:bottom w:w="57" w:type="dxa"/>
            <w:right w:w="57" w:type="dxa"/>
          </w:tblCellMar>
        </w:tblPrEx>
        <w:tc>
          <w:tcPr>
            <w:tcW w:w="5220" w:type="dxa"/>
            <w:hideMark/>
          </w:tcPr>
          <w:p w14:paraId="7F518809" w14:textId="77777777" w:rsidR="0080345F" w:rsidRPr="00D12653" w:rsidRDefault="0080345F" w:rsidP="00222E80">
            <w:pPr>
              <w:pStyle w:val="NormalWeb"/>
              <w:rPr>
                <w:sz w:val="18"/>
                <w:szCs w:val="18"/>
              </w:rPr>
            </w:pPr>
            <w:r w:rsidRPr="00D12653">
              <w:rPr>
                <w:sz w:val="18"/>
                <w:szCs w:val="18"/>
              </w:rPr>
              <w:t>Vomiting</w:t>
            </w:r>
          </w:p>
        </w:tc>
        <w:tc>
          <w:tcPr>
            <w:tcW w:w="5220" w:type="dxa"/>
            <w:hideMark/>
          </w:tcPr>
          <w:p w14:paraId="75DCD04E" w14:textId="77777777" w:rsidR="0080345F" w:rsidRPr="00D12653" w:rsidRDefault="0080345F" w:rsidP="00222E80">
            <w:pPr>
              <w:pStyle w:val="NormalWeb"/>
              <w:jc w:val="center"/>
              <w:rPr>
                <w:sz w:val="18"/>
                <w:szCs w:val="18"/>
              </w:rPr>
            </w:pPr>
            <w:r w:rsidRPr="00D12653">
              <w:rPr>
                <w:sz w:val="18"/>
                <w:szCs w:val="18"/>
              </w:rPr>
              <w:t>6 (43)</w:t>
            </w:r>
          </w:p>
        </w:tc>
      </w:tr>
      <w:tr w:rsidR="0080345F" w:rsidRPr="00D12653" w14:paraId="00FF3EA4" w14:textId="77777777" w:rsidTr="00E942C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5BBE902C" w14:textId="77777777" w:rsidR="0080345F" w:rsidRPr="00D12653" w:rsidRDefault="0080345F" w:rsidP="00222E80">
            <w:pPr>
              <w:pStyle w:val="NormalWeb"/>
              <w:rPr>
                <w:sz w:val="18"/>
                <w:szCs w:val="18"/>
              </w:rPr>
            </w:pPr>
            <w:r w:rsidRPr="00D12653">
              <w:rPr>
                <w:sz w:val="18"/>
                <w:szCs w:val="18"/>
              </w:rPr>
              <w:t>Diarrhoea</w:t>
            </w:r>
          </w:p>
        </w:tc>
        <w:tc>
          <w:tcPr>
            <w:tcW w:w="5220" w:type="dxa"/>
            <w:hideMark/>
          </w:tcPr>
          <w:p w14:paraId="38ADDCE0" w14:textId="77777777" w:rsidR="0080345F" w:rsidRPr="00D12653" w:rsidRDefault="0080345F" w:rsidP="00222E80">
            <w:pPr>
              <w:pStyle w:val="NormalWeb"/>
              <w:jc w:val="center"/>
              <w:rPr>
                <w:sz w:val="18"/>
                <w:szCs w:val="18"/>
              </w:rPr>
            </w:pPr>
            <w:r w:rsidRPr="00D12653">
              <w:rPr>
                <w:sz w:val="18"/>
                <w:szCs w:val="18"/>
              </w:rPr>
              <w:t>3 (21)</w:t>
            </w:r>
          </w:p>
        </w:tc>
      </w:tr>
      <w:tr w:rsidR="0080345F" w:rsidRPr="00D12653" w14:paraId="13DB30A2" w14:textId="77777777" w:rsidTr="00E942C1">
        <w:tblPrEx>
          <w:tblCellMar>
            <w:top w:w="57" w:type="dxa"/>
            <w:left w:w="57" w:type="dxa"/>
            <w:bottom w:w="57" w:type="dxa"/>
            <w:right w:w="57" w:type="dxa"/>
          </w:tblCellMar>
        </w:tblPrEx>
        <w:tc>
          <w:tcPr>
            <w:tcW w:w="5220" w:type="dxa"/>
            <w:tcBorders>
              <w:bottom w:val="single" w:sz="2" w:space="0" w:color="808080" w:themeColor="background1" w:themeShade="80"/>
            </w:tcBorders>
            <w:hideMark/>
          </w:tcPr>
          <w:p w14:paraId="5B12D512" w14:textId="77777777" w:rsidR="0080345F" w:rsidRPr="00D12653" w:rsidRDefault="0080345F" w:rsidP="00222E80">
            <w:pPr>
              <w:pStyle w:val="NormalWeb"/>
              <w:rPr>
                <w:sz w:val="18"/>
                <w:szCs w:val="18"/>
              </w:rPr>
            </w:pPr>
            <w:r w:rsidRPr="00D12653">
              <w:rPr>
                <w:sz w:val="18"/>
                <w:szCs w:val="18"/>
              </w:rPr>
              <w:t>Conjunctival suffusion</w:t>
            </w:r>
          </w:p>
        </w:tc>
        <w:tc>
          <w:tcPr>
            <w:tcW w:w="5220" w:type="dxa"/>
            <w:tcBorders>
              <w:bottom w:val="single" w:sz="2" w:space="0" w:color="808080" w:themeColor="background1" w:themeShade="80"/>
            </w:tcBorders>
            <w:hideMark/>
          </w:tcPr>
          <w:p w14:paraId="7C84F5EB" w14:textId="77777777" w:rsidR="0080345F" w:rsidRPr="00D12653" w:rsidRDefault="0080345F" w:rsidP="00222E80">
            <w:pPr>
              <w:pStyle w:val="NormalWeb"/>
              <w:jc w:val="center"/>
              <w:rPr>
                <w:sz w:val="18"/>
                <w:szCs w:val="18"/>
              </w:rPr>
            </w:pPr>
            <w:r w:rsidRPr="00D12653">
              <w:rPr>
                <w:sz w:val="18"/>
                <w:szCs w:val="18"/>
              </w:rPr>
              <w:t>1 (7)</w:t>
            </w:r>
          </w:p>
        </w:tc>
      </w:tr>
    </w:tbl>
    <w:p w14:paraId="7BA3EE4B" w14:textId="77777777" w:rsidR="0080345F" w:rsidRDefault="0080345F" w:rsidP="00F4785C"/>
    <w:p w14:paraId="553A75CF" w14:textId="69C8A126" w:rsidR="00F4785C" w:rsidRDefault="00F4785C" w:rsidP="00F4785C">
      <w:r>
        <w:t>Two cases worked and/or lived in the Katherine region and 12 cases in the Daly River/Litchfield regions (Figure 3). Five of the cases worked on the same cattle station, accounting for the mid-February peak in cases; two others worked at a cattle transfer station which received cattle from this first cattle station, and indeed from the wider region. Five other stations had one case each.</w:t>
      </w:r>
    </w:p>
    <w:p w14:paraId="4A06638E" w14:textId="77777777" w:rsidR="00CE05E0" w:rsidRDefault="00CE05E0">
      <w:pPr>
        <w:rPr>
          <w:rStyle w:val="Strong"/>
          <w:bCs w:val="0"/>
        </w:rPr>
      </w:pPr>
      <w:r>
        <w:rPr>
          <w:rStyle w:val="Strong"/>
          <w:b w:val="0"/>
          <w:bCs w:val="0"/>
        </w:rPr>
        <w:br w:type="page"/>
      </w:r>
    </w:p>
    <w:p w14:paraId="7F9C5FF4" w14:textId="4ED12F0A" w:rsidR="00CE05E0" w:rsidRPr="00161FFD" w:rsidRDefault="00CE05E0" w:rsidP="00CE05E0">
      <w:pPr>
        <w:pStyle w:val="CDIFigures"/>
      </w:pPr>
      <w:r w:rsidRPr="00161FFD">
        <w:rPr>
          <w:rStyle w:val="Strong"/>
          <w:b/>
          <w:bCs w:val="0"/>
        </w:rPr>
        <w:lastRenderedPageBreak/>
        <w:t>Figure 3: Location of leptospirosis cases in the Top End of the Northern Territory, Australia, January to March 2021</w:t>
      </w:r>
      <w:r>
        <w:rPr>
          <w:rStyle w:val="Strong"/>
          <w:b/>
          <w:bCs w:val="0"/>
        </w:rPr>
        <w:t> </w:t>
      </w:r>
      <w:r w:rsidRPr="00161FFD">
        <w:rPr>
          <w:rStyle w:val="Strong"/>
          <w:b/>
          <w:bCs w:val="0"/>
        </w:rPr>
        <w:t>(n = 14)</w:t>
      </w:r>
      <w:r w:rsidRPr="00161FFD">
        <w:rPr>
          <w:rStyle w:val="Strong"/>
          <w:b/>
          <w:bCs w:val="0"/>
          <w:vertAlign w:val="superscript"/>
        </w:rPr>
        <w:t>a,b</w:t>
      </w:r>
    </w:p>
    <w:p w14:paraId="2D1A06CF" w14:textId="77777777" w:rsidR="00CE05E0" w:rsidRDefault="00CE05E0" w:rsidP="00CE05E0">
      <w:pPr>
        <w:rPr>
          <w:lang w:val="en-GB"/>
        </w:rPr>
      </w:pPr>
      <w:r>
        <w:rPr>
          <w:rFonts w:eastAsia="Times New Roman"/>
          <w:noProof/>
          <w:lang w:val="en-GB"/>
        </w:rPr>
        <w:drawing>
          <wp:inline distT="0" distB="0" distL="0" distR="0" wp14:anchorId="42A0456E" wp14:editId="768FD7F7">
            <wp:extent cx="6625742" cy="6132860"/>
            <wp:effectExtent l="0" t="0" r="3810" b="1270"/>
            <wp:docPr id="3" name="Picture 3" descr="Figure 3 is a map of the Top End of the Northern Territory, Australia. Yellow circles show the wider regions where cases likely acquired their infections, with numbers inside the circles representing the number of cases. There is a large circle with ‘12’ inside it located in the Daly River/Litchfield region in the central left area of the map. There is a smaller circle with ‘2’ inside it located west of the town of Katherine. This circle is located at the lower, central right of the m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is a map of the Top End of the Northern Territory, Australia. Yellow circles show the wider regions where cases likely acquired their infections, with numbers inside the circles representing the number of cases. There is a large circle with ‘12’ inside it located in the Daly River/Litchfield region in the central left area of the map. There is a smaller circle with ‘2’ inside it located west of the town of Katherine. This circle is located at the lower, central right of the map.  "/>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645758" cy="6151387"/>
                    </a:xfrm>
                    <a:prstGeom prst="rect">
                      <a:avLst/>
                    </a:prstGeom>
                  </pic:spPr>
                </pic:pic>
              </a:graphicData>
            </a:graphic>
          </wp:inline>
        </w:drawing>
      </w:r>
    </w:p>
    <w:p w14:paraId="5A83EDB8" w14:textId="77777777" w:rsidR="00CE05E0" w:rsidRDefault="00CE05E0" w:rsidP="00CE05E0">
      <w:pPr>
        <w:pStyle w:val="CDIfootnotes"/>
        <w:rPr>
          <w:lang w:val="en-GB"/>
        </w:rPr>
      </w:pPr>
      <w:r>
        <w:rPr>
          <w:lang w:val="en-GB"/>
        </w:rPr>
        <w:t>a</w:t>
      </w:r>
      <w:r>
        <w:rPr>
          <w:lang w:val="en-GB"/>
        </w:rPr>
        <w:tab/>
        <w:t>Map credit: Google.</w:t>
      </w:r>
    </w:p>
    <w:p w14:paraId="50DB1408" w14:textId="72261F04" w:rsidR="00CE05E0" w:rsidRPr="00CE05E0" w:rsidRDefault="00CE05E0" w:rsidP="00CE05E0">
      <w:pPr>
        <w:pStyle w:val="CDIfootnotes"/>
        <w:rPr>
          <w:lang w:val="en-GB"/>
        </w:rPr>
      </w:pPr>
      <w:r>
        <w:rPr>
          <w:lang w:val="en-GB"/>
        </w:rPr>
        <w:t>b</w:t>
      </w:r>
      <w:r>
        <w:rPr>
          <w:lang w:val="en-GB"/>
        </w:rPr>
        <w:tab/>
        <w:t>Circles with case numbers represent the wider regions where cases likely acquired their infections.</w:t>
      </w:r>
    </w:p>
    <w:p w14:paraId="70EFD240" w14:textId="77777777" w:rsidR="00B40E4A" w:rsidRDefault="00B40E4A">
      <w:pPr>
        <w:rPr>
          <w:rFonts w:asciiTheme="majorHAnsi" w:eastAsiaTheme="majorEastAsia" w:hAnsiTheme="majorHAnsi" w:cstheme="majorBidi"/>
          <w:b/>
          <w:bCs/>
          <w:sz w:val="32"/>
          <w:szCs w:val="28"/>
        </w:rPr>
      </w:pPr>
      <w:r>
        <w:br w:type="page"/>
      </w:r>
    </w:p>
    <w:p w14:paraId="3B61E56D" w14:textId="77777777" w:rsidR="00B40E4A" w:rsidRPr="002D43C9" w:rsidRDefault="00B40E4A" w:rsidP="00B40E4A">
      <w:pPr>
        <w:pStyle w:val="CDIFigures"/>
      </w:pPr>
      <w:r w:rsidRPr="002D43C9">
        <w:rPr>
          <w:rStyle w:val="Strong"/>
          <w:b/>
          <w:bCs w:val="0"/>
        </w:rPr>
        <w:lastRenderedPageBreak/>
        <w:t>Figure 4: Northern Territory total rainfall compared to mean, February 2021</w:t>
      </w:r>
    </w:p>
    <w:p w14:paraId="35AB49F6" w14:textId="77777777" w:rsidR="00B40E4A" w:rsidRDefault="00B40E4A" w:rsidP="00B40E4A">
      <w:pPr>
        <w:jc w:val="center"/>
        <w:rPr>
          <w:rFonts w:eastAsia="Times New Roman"/>
          <w:lang w:val="en-GB"/>
        </w:rPr>
      </w:pPr>
      <w:r>
        <w:rPr>
          <w:rFonts w:eastAsia="Times New Roman"/>
          <w:noProof/>
          <w:lang w:val="en-GB"/>
        </w:rPr>
        <w:drawing>
          <wp:inline distT="0" distB="0" distL="0" distR="0" wp14:anchorId="07412129" wp14:editId="075D0E01">
            <wp:extent cx="4914900" cy="5857875"/>
            <wp:effectExtent l="0" t="0" r="0" b="9525"/>
            <wp:docPr id="4" name="Picture 4" descr="Figure 4 is a map of the Northern Territory which shows the rainfall recorded in February 2021 compared to the mean rainfall. Areas of the map shaded in dark blue represent rainfall 300-400% higher than the mean; areas in sky blue represent rainfall 200-300% higher than the mean; areas in dark green represent rainfall 150-200% higher than the mean and areas in mid-green represent rainfall 125-150% higher than the mean. The map shows that in the Top End of the Northern Territory, and particularly in regions where the cases likely acquired their infection, rainfall was 150-200% higher than average in February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4 is a map of the Northern Territory which shows the rainfall recorded in February 2021 compared to the mean rainfall. Areas of the map shaded in dark blue represent rainfall 300-400% higher than the mean; areas in sky blue represent rainfall 200-300% higher than the mean; areas in dark green represent rainfall 150-200% higher than the mean and areas in mid-green represent rainfall 125-150% higher than the mean. The map shows that in the Top End of the Northern Territory, and particularly in regions where the cases likely acquired their infection, rainfall was 150-200% higher than average in February 2021. "/>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914900" cy="5857875"/>
                    </a:xfrm>
                    <a:prstGeom prst="rect">
                      <a:avLst/>
                    </a:prstGeom>
                  </pic:spPr>
                </pic:pic>
              </a:graphicData>
            </a:graphic>
          </wp:inline>
        </w:drawing>
      </w:r>
    </w:p>
    <w:p w14:paraId="3EC65EC4" w14:textId="165FB6AD" w:rsidR="00F4785C" w:rsidRPr="00F4785C" w:rsidRDefault="00F4785C" w:rsidP="00F4785C">
      <w:pPr>
        <w:pStyle w:val="Heading1"/>
      </w:pPr>
      <w:r w:rsidRPr="00F4785C">
        <w:t>Laboratory investigation</w:t>
      </w:r>
    </w:p>
    <w:p w14:paraId="5B2E5380" w14:textId="77777777" w:rsidR="00F4785C" w:rsidRDefault="00F4785C" w:rsidP="00F4785C">
      <w:r>
        <w:t xml:space="preserve">Of the 14 outbreak cases, 12 were identified to the serovar level; 11 were </w:t>
      </w:r>
      <w:r w:rsidRPr="00F37CC0">
        <w:rPr>
          <w:rStyle w:val="Emphasis"/>
          <w:b w:val="0"/>
          <w:bCs w:val="0"/>
        </w:rPr>
        <w:t>Leptospira interrogans</w:t>
      </w:r>
      <w:r>
        <w:t xml:space="preserve"> serovar Hardjo and one was </w:t>
      </w:r>
      <w:r w:rsidRPr="00F37CC0">
        <w:rPr>
          <w:rStyle w:val="Emphasis"/>
          <w:b w:val="0"/>
          <w:bCs w:val="0"/>
        </w:rPr>
        <w:t>L. weilii</w:t>
      </w:r>
      <w:r>
        <w:t xml:space="preserve"> serovar Topaz. Two cases were positive by PCR only (Table 2).</w:t>
      </w:r>
    </w:p>
    <w:p w14:paraId="1B464E96" w14:textId="2076B271" w:rsidR="00F4785C" w:rsidRDefault="00F4785C" w:rsidP="00F4785C">
      <w:r>
        <w:t xml:space="preserve">Of the 11 cases that were identified as </w:t>
      </w:r>
      <w:r w:rsidRPr="00F37CC0">
        <w:rPr>
          <w:rStyle w:val="Emphasis"/>
          <w:b w:val="0"/>
          <w:bCs w:val="0"/>
        </w:rPr>
        <w:t>L</w:t>
      </w:r>
      <w:r>
        <w:t xml:space="preserve">. Hardjo, ten were interviewed; 9/10 (90%) reported their occupation as ‘cattle worker’ and the other was a student who reported fishing near cattle. The case of </w:t>
      </w:r>
      <w:r w:rsidRPr="00F37CC0">
        <w:rPr>
          <w:rStyle w:val="Emphasis"/>
          <w:b w:val="0"/>
          <w:bCs w:val="0"/>
        </w:rPr>
        <w:t>L</w:t>
      </w:r>
      <w:r>
        <w:t>. Topaz and the two cases that were PCR positive only (no serovar determined) also worked in the cattle industry.</w:t>
      </w:r>
    </w:p>
    <w:p w14:paraId="73419858" w14:textId="77777777" w:rsidR="00F4785C" w:rsidRPr="00F4785C" w:rsidRDefault="00F4785C" w:rsidP="00F4785C">
      <w:pPr>
        <w:pStyle w:val="Heading2"/>
      </w:pPr>
      <w:r w:rsidRPr="00F4785C">
        <w:t>Veterinary and environmental investigation</w:t>
      </w:r>
    </w:p>
    <w:p w14:paraId="367E6F97" w14:textId="77777777" w:rsidR="00F4785C" w:rsidRDefault="00F4785C" w:rsidP="00F4785C">
      <w:r>
        <w:t>There were no cases of suspected or confirmed clinical leptospirosis identified in animals. Relevant cattle properties were contacted by a veterinary officer; none reported clinical signs of leptospirosis or other illness in any animals.</w:t>
      </w:r>
    </w:p>
    <w:p w14:paraId="2B8BC501" w14:textId="04A85BE4" w:rsidR="00F4785C" w:rsidRDefault="00F4785C" w:rsidP="00F4785C">
      <w:r>
        <w:lastRenderedPageBreak/>
        <w:t>February 2021 began with an active monsoon across the Top End of the NT. Rainfall in the NT was 22% above the long-term average for the month and two sites within the generalised outbreak region received their highest February rainfall on record.</w:t>
      </w:r>
      <w:r>
        <w:rPr>
          <w:vertAlign w:val="superscript"/>
        </w:rPr>
        <w:t>16</w:t>
      </w:r>
      <w:r>
        <w:t xml:space="preserve"> </w:t>
      </w:r>
    </w:p>
    <w:p w14:paraId="2C118657" w14:textId="77777777" w:rsidR="00F4785C" w:rsidRPr="00F4785C" w:rsidRDefault="00F4785C" w:rsidP="00F4785C">
      <w:pPr>
        <w:pStyle w:val="Heading2"/>
      </w:pPr>
      <w:r w:rsidRPr="00F4785C">
        <w:t>Public health response</w:t>
      </w:r>
    </w:p>
    <w:p w14:paraId="375B7C51" w14:textId="48941975" w:rsidR="00F4785C" w:rsidRDefault="00F4785C" w:rsidP="00F4785C">
      <w:r>
        <w:t>Following the initial detection of an outbreak in February 2021, a media release was issued and industry was engaged.</w:t>
      </w:r>
      <w:r>
        <w:rPr>
          <w:vertAlign w:val="superscript"/>
        </w:rPr>
        <w:t>15</w:t>
      </w:r>
      <w:r>
        <w:t xml:space="preserve"> An advisory group was assembled which included the public health unit, Environmental Health, the NT Chief Veterinary Officer, and government media. Managers of cattle stations with known human cases were contacted directly and were provided with information and education on prevention.</w:t>
      </w:r>
      <w:r>
        <w:rPr>
          <w:vertAlign w:val="superscript"/>
        </w:rPr>
        <w:t>17</w:t>
      </w:r>
      <w:r>
        <w:t xml:space="preserve"> Medical officers and clinic managers were advised to be alert for potential leptospirosis cases in the outbreak region, particularly amongst cattle workers.</w:t>
      </w:r>
    </w:p>
    <w:p w14:paraId="223E389C" w14:textId="77777777" w:rsidR="00636699" w:rsidRPr="00241BD8" w:rsidRDefault="00636699" w:rsidP="00636699">
      <w:pPr>
        <w:pStyle w:val="CDIFigures"/>
      </w:pPr>
      <w:r w:rsidRPr="00241BD8">
        <w:rPr>
          <w:rStyle w:val="Strong"/>
          <w:b/>
          <w:bCs w:val="0"/>
        </w:rPr>
        <w:t xml:space="preserve">Table 2: Leptospirosis outbreak cases by diagnostic method(s) and results, Northern Territory, Australia, January to March 2021 (n = 14) </w:t>
      </w:r>
    </w:p>
    <w:tbl>
      <w:tblPr>
        <w:tblStyle w:val="CDI-StandardTable"/>
        <w:tblW w:w="0" w:type="auto"/>
        <w:tblLook w:val="04A0" w:firstRow="1" w:lastRow="0" w:firstColumn="1" w:lastColumn="0" w:noHBand="0" w:noVBand="1"/>
        <w:tblDescription w:val="Table 2 shows the diagnostic methods and results of each of the 14 outbreak cases, ordered by date of initial test. The table show that 12/14 cases were able to be identified to the serovar level; 11 were Leptospira hardjo and 1 was L. topaz. Two cases were positive by PCR only. Three cases were notified based on a single high acute titre; 9 were notified due to an increased convalescent titre; 2 were PCR positive only."/>
      </w:tblPr>
      <w:tblGrid>
        <w:gridCol w:w="1272"/>
        <w:gridCol w:w="1836"/>
        <w:gridCol w:w="1428"/>
        <w:gridCol w:w="1134"/>
        <w:gridCol w:w="1679"/>
        <w:gridCol w:w="879"/>
        <w:gridCol w:w="1119"/>
        <w:gridCol w:w="1119"/>
      </w:tblGrid>
      <w:tr w:rsidR="00636699" w:rsidRPr="00241BD8" w14:paraId="15D8CADA" w14:textId="77777777" w:rsidTr="00FA599B">
        <w:trPr>
          <w:cnfStyle w:val="100000000000" w:firstRow="1" w:lastRow="0" w:firstColumn="0" w:lastColumn="0" w:oddVBand="0" w:evenVBand="0" w:oddHBand="0" w:evenHBand="0" w:firstRowFirstColumn="0" w:firstRowLastColumn="0" w:lastRowFirstColumn="0" w:lastRowLastColumn="0"/>
          <w:tblHeader/>
        </w:trPr>
        <w:tc>
          <w:tcPr>
            <w:tcW w:w="4536" w:type="dxa"/>
            <w:gridSpan w:val="3"/>
            <w:tcBorders>
              <w:bottom w:val="single" w:sz="2" w:space="0" w:color="E3B77B"/>
              <w:right w:val="single" w:sz="2" w:space="0" w:color="E3B77B"/>
            </w:tcBorders>
            <w:hideMark/>
          </w:tcPr>
          <w:p w14:paraId="480E6D0C" w14:textId="77777777" w:rsidR="00636699" w:rsidRPr="00241BD8" w:rsidRDefault="00636699" w:rsidP="00222E80">
            <w:pPr>
              <w:rPr>
                <w:color w:val="FFFFFF" w:themeColor="background1"/>
                <w:sz w:val="18"/>
                <w:szCs w:val="18"/>
                <w:lang w:val="en-GB"/>
              </w:rPr>
            </w:pPr>
          </w:p>
        </w:tc>
        <w:tc>
          <w:tcPr>
            <w:tcW w:w="3692" w:type="dxa"/>
            <w:gridSpan w:val="3"/>
            <w:tcBorders>
              <w:left w:val="single" w:sz="2" w:space="0" w:color="E3B77B"/>
              <w:bottom w:val="single" w:sz="2" w:space="0" w:color="E3B77B"/>
              <w:right w:val="single" w:sz="2" w:space="0" w:color="E3B77B"/>
            </w:tcBorders>
            <w:hideMark/>
          </w:tcPr>
          <w:p w14:paraId="6C7A3DEC" w14:textId="77777777" w:rsidR="00636699" w:rsidRPr="00241BD8" w:rsidRDefault="00636699" w:rsidP="00222E80">
            <w:pPr>
              <w:pStyle w:val="NormalWeb"/>
              <w:jc w:val="center"/>
              <w:rPr>
                <w:color w:val="FFFFFF" w:themeColor="background1"/>
                <w:sz w:val="18"/>
                <w:szCs w:val="18"/>
              </w:rPr>
            </w:pPr>
            <w:r w:rsidRPr="00241BD8">
              <w:rPr>
                <w:color w:val="FFFFFF" w:themeColor="background1"/>
                <w:sz w:val="18"/>
                <w:szCs w:val="18"/>
              </w:rPr>
              <w:t>Serology</w:t>
            </w:r>
          </w:p>
        </w:tc>
        <w:tc>
          <w:tcPr>
            <w:tcW w:w="2238" w:type="dxa"/>
            <w:gridSpan w:val="2"/>
            <w:tcBorders>
              <w:left w:val="single" w:sz="2" w:space="0" w:color="E3B77B"/>
              <w:bottom w:val="single" w:sz="2" w:space="0" w:color="E3B77B"/>
            </w:tcBorders>
            <w:hideMark/>
          </w:tcPr>
          <w:p w14:paraId="28A67B66" w14:textId="77777777" w:rsidR="00636699" w:rsidRPr="00241BD8" w:rsidRDefault="00636699" w:rsidP="00222E80">
            <w:pPr>
              <w:pStyle w:val="NormalWeb"/>
              <w:jc w:val="center"/>
              <w:rPr>
                <w:color w:val="FFFFFF" w:themeColor="background1"/>
                <w:sz w:val="18"/>
                <w:szCs w:val="18"/>
              </w:rPr>
            </w:pPr>
            <w:r w:rsidRPr="00241BD8">
              <w:rPr>
                <w:color w:val="FFFFFF" w:themeColor="background1"/>
                <w:sz w:val="18"/>
                <w:szCs w:val="18"/>
              </w:rPr>
              <w:t>PCR</w:t>
            </w:r>
            <w:r w:rsidRPr="00241BD8">
              <w:rPr>
                <w:color w:val="FFFFFF" w:themeColor="background1"/>
                <w:sz w:val="18"/>
                <w:szCs w:val="18"/>
                <w:vertAlign w:val="superscript"/>
              </w:rPr>
              <w:t>a</w:t>
            </w:r>
          </w:p>
        </w:tc>
      </w:tr>
      <w:tr w:rsidR="00636699" w:rsidRPr="00241BD8" w14:paraId="587EB4CD" w14:textId="77777777" w:rsidTr="00FA599B">
        <w:trPr>
          <w:cnfStyle w:val="100000000000" w:firstRow="1" w:lastRow="0" w:firstColumn="0" w:lastColumn="0" w:oddVBand="0" w:evenVBand="0" w:oddHBand="0" w:evenHBand="0" w:firstRowFirstColumn="0" w:firstRowLastColumn="0" w:lastRowFirstColumn="0" w:lastRowLastColumn="0"/>
          <w:tblHeader/>
        </w:trPr>
        <w:tc>
          <w:tcPr>
            <w:tcW w:w="1272" w:type="dxa"/>
            <w:tcBorders>
              <w:top w:val="single" w:sz="2" w:space="0" w:color="E3B77B"/>
              <w:right w:val="single" w:sz="2" w:space="0" w:color="E3B77B"/>
            </w:tcBorders>
            <w:hideMark/>
          </w:tcPr>
          <w:p w14:paraId="38EADC05" w14:textId="77777777" w:rsidR="00636699" w:rsidRPr="00241BD8" w:rsidRDefault="00636699" w:rsidP="00222E80">
            <w:pPr>
              <w:pStyle w:val="NormalWeb"/>
              <w:rPr>
                <w:color w:val="FFFFFF" w:themeColor="background1"/>
                <w:sz w:val="18"/>
                <w:szCs w:val="18"/>
              </w:rPr>
            </w:pPr>
            <w:r w:rsidRPr="00241BD8">
              <w:rPr>
                <w:color w:val="FFFFFF" w:themeColor="background1"/>
                <w:sz w:val="18"/>
                <w:szCs w:val="18"/>
              </w:rPr>
              <w:t>Case number</w:t>
            </w:r>
          </w:p>
        </w:tc>
        <w:tc>
          <w:tcPr>
            <w:tcW w:w="1836" w:type="dxa"/>
            <w:tcBorders>
              <w:top w:val="single" w:sz="2" w:space="0" w:color="E3B77B"/>
              <w:left w:val="single" w:sz="2" w:space="0" w:color="E3B77B"/>
              <w:right w:val="single" w:sz="2" w:space="0" w:color="E3B77B"/>
            </w:tcBorders>
            <w:hideMark/>
          </w:tcPr>
          <w:p w14:paraId="250788F4" w14:textId="77777777" w:rsidR="00636699" w:rsidRPr="00241BD8" w:rsidRDefault="00636699" w:rsidP="00222E80">
            <w:pPr>
              <w:pStyle w:val="NormalWeb"/>
              <w:jc w:val="center"/>
              <w:rPr>
                <w:color w:val="FFFFFF" w:themeColor="background1"/>
                <w:sz w:val="18"/>
                <w:szCs w:val="18"/>
              </w:rPr>
            </w:pPr>
            <w:r w:rsidRPr="00241BD8">
              <w:rPr>
                <w:color w:val="FFFFFF" w:themeColor="background1"/>
                <w:sz w:val="18"/>
                <w:szCs w:val="18"/>
              </w:rPr>
              <w:t>Date of initial test</w:t>
            </w:r>
          </w:p>
        </w:tc>
        <w:tc>
          <w:tcPr>
            <w:tcW w:w="1428" w:type="dxa"/>
            <w:tcBorders>
              <w:top w:val="single" w:sz="2" w:space="0" w:color="E3B77B"/>
              <w:left w:val="single" w:sz="2" w:space="0" w:color="E3B77B"/>
              <w:right w:val="single" w:sz="2" w:space="0" w:color="E3B77B"/>
            </w:tcBorders>
            <w:hideMark/>
          </w:tcPr>
          <w:p w14:paraId="2D1DCA04" w14:textId="77777777" w:rsidR="00636699" w:rsidRPr="00241BD8" w:rsidRDefault="00636699" w:rsidP="00222E80">
            <w:pPr>
              <w:pStyle w:val="NormalWeb"/>
              <w:jc w:val="center"/>
              <w:rPr>
                <w:color w:val="FFFFFF" w:themeColor="background1"/>
                <w:sz w:val="18"/>
                <w:szCs w:val="18"/>
              </w:rPr>
            </w:pPr>
            <w:r w:rsidRPr="00241BD8">
              <w:rPr>
                <w:color w:val="FFFFFF" w:themeColor="background1"/>
                <w:sz w:val="18"/>
                <w:szCs w:val="18"/>
              </w:rPr>
              <w:t>Onset date</w:t>
            </w:r>
          </w:p>
        </w:tc>
        <w:tc>
          <w:tcPr>
            <w:tcW w:w="1134" w:type="dxa"/>
            <w:tcBorders>
              <w:top w:val="single" w:sz="2" w:space="0" w:color="E3B77B"/>
              <w:left w:val="single" w:sz="2" w:space="0" w:color="E3B77B"/>
              <w:right w:val="single" w:sz="2" w:space="0" w:color="E3B77B"/>
            </w:tcBorders>
            <w:hideMark/>
          </w:tcPr>
          <w:p w14:paraId="6ADBB8F8" w14:textId="77777777" w:rsidR="00636699" w:rsidRPr="00241BD8" w:rsidRDefault="00636699" w:rsidP="00222E80">
            <w:pPr>
              <w:pStyle w:val="NormalWeb"/>
              <w:jc w:val="center"/>
              <w:rPr>
                <w:color w:val="FFFFFF" w:themeColor="background1"/>
                <w:sz w:val="18"/>
                <w:szCs w:val="18"/>
              </w:rPr>
            </w:pPr>
            <w:r w:rsidRPr="00241BD8">
              <w:rPr>
                <w:color w:val="FFFFFF" w:themeColor="background1"/>
                <w:sz w:val="18"/>
                <w:szCs w:val="18"/>
              </w:rPr>
              <w:t>Acute titre</w:t>
            </w:r>
          </w:p>
        </w:tc>
        <w:tc>
          <w:tcPr>
            <w:tcW w:w="1679" w:type="dxa"/>
            <w:tcBorders>
              <w:top w:val="single" w:sz="2" w:space="0" w:color="E3B77B"/>
              <w:left w:val="single" w:sz="2" w:space="0" w:color="E3B77B"/>
              <w:right w:val="single" w:sz="2" w:space="0" w:color="E3B77B"/>
            </w:tcBorders>
            <w:hideMark/>
          </w:tcPr>
          <w:p w14:paraId="0A53E0CF" w14:textId="77777777" w:rsidR="00636699" w:rsidRPr="00241BD8" w:rsidRDefault="00636699" w:rsidP="00222E80">
            <w:pPr>
              <w:pStyle w:val="NormalWeb"/>
              <w:jc w:val="center"/>
              <w:rPr>
                <w:color w:val="FFFFFF" w:themeColor="background1"/>
                <w:sz w:val="18"/>
                <w:szCs w:val="18"/>
              </w:rPr>
            </w:pPr>
            <w:r w:rsidRPr="00241BD8">
              <w:rPr>
                <w:color w:val="FFFFFF" w:themeColor="background1"/>
                <w:sz w:val="18"/>
                <w:szCs w:val="18"/>
              </w:rPr>
              <w:t>Convalescent titre</w:t>
            </w:r>
            <w:r w:rsidRPr="00241BD8">
              <w:rPr>
                <w:color w:val="FFFFFF" w:themeColor="background1"/>
                <w:sz w:val="18"/>
                <w:szCs w:val="18"/>
                <w:vertAlign w:val="superscript"/>
              </w:rPr>
              <w:t>b</w:t>
            </w:r>
          </w:p>
        </w:tc>
        <w:tc>
          <w:tcPr>
            <w:tcW w:w="879" w:type="dxa"/>
            <w:tcBorders>
              <w:top w:val="single" w:sz="2" w:space="0" w:color="E3B77B"/>
              <w:left w:val="single" w:sz="2" w:space="0" w:color="E3B77B"/>
              <w:right w:val="single" w:sz="2" w:space="0" w:color="E3B77B"/>
            </w:tcBorders>
            <w:hideMark/>
          </w:tcPr>
          <w:p w14:paraId="4EE40917" w14:textId="77777777" w:rsidR="00636699" w:rsidRPr="00241BD8" w:rsidRDefault="00636699" w:rsidP="00222E80">
            <w:pPr>
              <w:pStyle w:val="NormalWeb"/>
              <w:jc w:val="center"/>
              <w:rPr>
                <w:color w:val="FFFFFF" w:themeColor="background1"/>
                <w:sz w:val="18"/>
                <w:szCs w:val="18"/>
              </w:rPr>
            </w:pPr>
            <w:r w:rsidRPr="00241BD8">
              <w:rPr>
                <w:color w:val="FFFFFF" w:themeColor="background1"/>
                <w:sz w:val="18"/>
                <w:szCs w:val="18"/>
              </w:rPr>
              <w:t>Serovar</w:t>
            </w:r>
            <w:r w:rsidRPr="00241BD8">
              <w:rPr>
                <w:color w:val="FFFFFF" w:themeColor="background1"/>
                <w:sz w:val="18"/>
                <w:szCs w:val="18"/>
                <w:vertAlign w:val="superscript"/>
              </w:rPr>
              <w:t>b</w:t>
            </w:r>
          </w:p>
        </w:tc>
        <w:tc>
          <w:tcPr>
            <w:tcW w:w="1119" w:type="dxa"/>
            <w:tcBorders>
              <w:top w:val="single" w:sz="2" w:space="0" w:color="E3B77B"/>
              <w:left w:val="single" w:sz="2" w:space="0" w:color="E3B77B"/>
              <w:right w:val="single" w:sz="2" w:space="0" w:color="E3B77B"/>
            </w:tcBorders>
            <w:hideMark/>
          </w:tcPr>
          <w:p w14:paraId="1D3D916C" w14:textId="77777777" w:rsidR="00636699" w:rsidRPr="00241BD8" w:rsidRDefault="00636699" w:rsidP="00222E80">
            <w:pPr>
              <w:pStyle w:val="NormalWeb"/>
              <w:jc w:val="center"/>
              <w:rPr>
                <w:color w:val="FFFFFF" w:themeColor="background1"/>
                <w:sz w:val="18"/>
                <w:szCs w:val="18"/>
              </w:rPr>
            </w:pPr>
            <w:r w:rsidRPr="00241BD8">
              <w:rPr>
                <w:color w:val="FFFFFF" w:themeColor="background1"/>
                <w:sz w:val="18"/>
                <w:szCs w:val="18"/>
              </w:rPr>
              <w:t>Serum</w:t>
            </w:r>
            <w:r w:rsidRPr="00241BD8">
              <w:rPr>
                <w:color w:val="FFFFFF" w:themeColor="background1"/>
                <w:sz w:val="18"/>
                <w:szCs w:val="18"/>
                <w:vertAlign w:val="superscript"/>
              </w:rPr>
              <w:t>b</w:t>
            </w:r>
          </w:p>
        </w:tc>
        <w:tc>
          <w:tcPr>
            <w:tcW w:w="1119" w:type="dxa"/>
            <w:tcBorders>
              <w:top w:val="single" w:sz="2" w:space="0" w:color="E3B77B"/>
              <w:left w:val="single" w:sz="2" w:space="0" w:color="E3B77B"/>
            </w:tcBorders>
            <w:hideMark/>
          </w:tcPr>
          <w:p w14:paraId="5E009C72" w14:textId="77777777" w:rsidR="00636699" w:rsidRPr="00241BD8" w:rsidRDefault="00636699" w:rsidP="00222E80">
            <w:pPr>
              <w:pStyle w:val="NormalWeb"/>
              <w:jc w:val="center"/>
              <w:rPr>
                <w:color w:val="FFFFFF" w:themeColor="background1"/>
                <w:sz w:val="18"/>
                <w:szCs w:val="18"/>
              </w:rPr>
            </w:pPr>
            <w:r w:rsidRPr="00241BD8">
              <w:rPr>
                <w:color w:val="FFFFFF" w:themeColor="background1"/>
                <w:sz w:val="18"/>
                <w:szCs w:val="18"/>
              </w:rPr>
              <w:t>Urine</w:t>
            </w:r>
            <w:r w:rsidRPr="00241BD8">
              <w:rPr>
                <w:color w:val="FFFFFF" w:themeColor="background1"/>
                <w:sz w:val="18"/>
                <w:szCs w:val="18"/>
                <w:vertAlign w:val="superscript"/>
              </w:rPr>
              <w:t>b</w:t>
            </w:r>
          </w:p>
        </w:tc>
      </w:tr>
      <w:tr w:rsidR="00636699" w:rsidRPr="00241BD8" w14:paraId="69711987" w14:textId="77777777" w:rsidTr="005C24C3">
        <w:tblPrEx>
          <w:tblCellMar>
            <w:top w:w="57" w:type="dxa"/>
            <w:left w:w="57" w:type="dxa"/>
            <w:bottom w:w="57" w:type="dxa"/>
            <w:right w:w="57" w:type="dxa"/>
          </w:tblCellMar>
        </w:tblPrEx>
        <w:tc>
          <w:tcPr>
            <w:tcW w:w="1272" w:type="dxa"/>
            <w:tcBorders>
              <w:right w:val="single" w:sz="2" w:space="0" w:color="808080" w:themeColor="background1" w:themeShade="80"/>
            </w:tcBorders>
            <w:hideMark/>
          </w:tcPr>
          <w:p w14:paraId="0FEB1230" w14:textId="77777777" w:rsidR="00636699" w:rsidRPr="00241BD8" w:rsidRDefault="00636699" w:rsidP="00222E80">
            <w:pPr>
              <w:pStyle w:val="NormalWeb"/>
              <w:rPr>
                <w:sz w:val="18"/>
                <w:szCs w:val="18"/>
              </w:rPr>
            </w:pPr>
            <w:r w:rsidRPr="00241BD8">
              <w:rPr>
                <w:sz w:val="18"/>
                <w:szCs w:val="18"/>
              </w:rPr>
              <w:t>1</w:t>
            </w:r>
          </w:p>
        </w:tc>
        <w:tc>
          <w:tcPr>
            <w:tcW w:w="1836" w:type="dxa"/>
            <w:tcBorders>
              <w:left w:val="single" w:sz="2" w:space="0" w:color="808080" w:themeColor="background1" w:themeShade="80"/>
              <w:right w:val="single" w:sz="2" w:space="0" w:color="808080" w:themeColor="background1" w:themeShade="80"/>
            </w:tcBorders>
            <w:hideMark/>
          </w:tcPr>
          <w:p w14:paraId="48257CA0" w14:textId="77777777" w:rsidR="00636699" w:rsidRPr="00241BD8" w:rsidRDefault="00636699" w:rsidP="00222E80">
            <w:pPr>
              <w:pStyle w:val="NormalWeb"/>
              <w:jc w:val="center"/>
              <w:rPr>
                <w:sz w:val="18"/>
                <w:szCs w:val="18"/>
              </w:rPr>
            </w:pPr>
            <w:r w:rsidRPr="00241BD8">
              <w:rPr>
                <w:sz w:val="18"/>
                <w:szCs w:val="18"/>
              </w:rPr>
              <w:t>13/01/2021</w:t>
            </w:r>
          </w:p>
        </w:tc>
        <w:tc>
          <w:tcPr>
            <w:tcW w:w="1428" w:type="dxa"/>
            <w:tcBorders>
              <w:left w:val="single" w:sz="2" w:space="0" w:color="808080" w:themeColor="background1" w:themeShade="80"/>
              <w:right w:val="single" w:sz="2" w:space="0" w:color="808080" w:themeColor="background1" w:themeShade="80"/>
            </w:tcBorders>
            <w:hideMark/>
          </w:tcPr>
          <w:p w14:paraId="612AE103" w14:textId="77777777" w:rsidR="00636699" w:rsidRPr="00241BD8" w:rsidRDefault="00636699" w:rsidP="00222E80">
            <w:pPr>
              <w:pStyle w:val="NormalWeb"/>
              <w:jc w:val="center"/>
              <w:rPr>
                <w:sz w:val="18"/>
                <w:szCs w:val="18"/>
              </w:rPr>
            </w:pPr>
            <w:r w:rsidRPr="00241BD8">
              <w:rPr>
                <w:sz w:val="18"/>
                <w:szCs w:val="18"/>
              </w:rPr>
              <w:t>09/01/2021</w:t>
            </w:r>
          </w:p>
        </w:tc>
        <w:tc>
          <w:tcPr>
            <w:tcW w:w="1134" w:type="dxa"/>
            <w:tcBorders>
              <w:left w:val="single" w:sz="2" w:space="0" w:color="808080" w:themeColor="background1" w:themeShade="80"/>
              <w:right w:val="single" w:sz="2" w:space="0" w:color="808080" w:themeColor="background1" w:themeShade="80"/>
            </w:tcBorders>
            <w:hideMark/>
          </w:tcPr>
          <w:p w14:paraId="45071697" w14:textId="77777777" w:rsidR="00636699" w:rsidRPr="00241BD8" w:rsidRDefault="00636699" w:rsidP="00222E80">
            <w:pPr>
              <w:pStyle w:val="NormalWeb"/>
              <w:jc w:val="center"/>
              <w:rPr>
                <w:sz w:val="18"/>
                <w:szCs w:val="18"/>
              </w:rPr>
            </w:pPr>
            <w:r w:rsidRPr="00241BD8">
              <w:rPr>
                <w:sz w:val="18"/>
                <w:szCs w:val="18"/>
              </w:rPr>
              <w:t>3200</w:t>
            </w:r>
          </w:p>
        </w:tc>
        <w:tc>
          <w:tcPr>
            <w:tcW w:w="1679" w:type="dxa"/>
            <w:tcBorders>
              <w:left w:val="single" w:sz="2" w:space="0" w:color="808080" w:themeColor="background1" w:themeShade="80"/>
              <w:right w:val="single" w:sz="2" w:space="0" w:color="808080" w:themeColor="background1" w:themeShade="80"/>
            </w:tcBorders>
            <w:hideMark/>
          </w:tcPr>
          <w:p w14:paraId="3BFA8B47" w14:textId="77777777" w:rsidR="00636699" w:rsidRPr="00241BD8" w:rsidRDefault="00636699" w:rsidP="00222E80">
            <w:pPr>
              <w:pStyle w:val="NormalWeb"/>
              <w:jc w:val="center"/>
              <w:rPr>
                <w:sz w:val="18"/>
                <w:szCs w:val="18"/>
              </w:rPr>
            </w:pPr>
            <w:r w:rsidRPr="00241BD8">
              <w:rPr>
                <w:sz w:val="18"/>
                <w:szCs w:val="18"/>
              </w:rPr>
              <w:t>—</w:t>
            </w:r>
          </w:p>
        </w:tc>
        <w:tc>
          <w:tcPr>
            <w:tcW w:w="879" w:type="dxa"/>
            <w:tcBorders>
              <w:left w:val="single" w:sz="2" w:space="0" w:color="808080" w:themeColor="background1" w:themeShade="80"/>
              <w:right w:val="single" w:sz="2" w:space="0" w:color="808080" w:themeColor="background1" w:themeShade="80"/>
            </w:tcBorders>
            <w:hideMark/>
          </w:tcPr>
          <w:p w14:paraId="15BDF644" w14:textId="77777777" w:rsidR="00636699" w:rsidRPr="00241BD8" w:rsidRDefault="00636699" w:rsidP="00222E80">
            <w:pPr>
              <w:pStyle w:val="NormalWeb"/>
              <w:jc w:val="center"/>
              <w:rPr>
                <w:sz w:val="18"/>
                <w:szCs w:val="18"/>
              </w:rPr>
            </w:pPr>
            <w:r w:rsidRPr="00241BD8">
              <w:rPr>
                <w:sz w:val="18"/>
                <w:szCs w:val="18"/>
              </w:rPr>
              <w:t>Hardjo</w:t>
            </w:r>
          </w:p>
        </w:tc>
        <w:tc>
          <w:tcPr>
            <w:tcW w:w="1119" w:type="dxa"/>
            <w:tcBorders>
              <w:left w:val="single" w:sz="2" w:space="0" w:color="808080" w:themeColor="background1" w:themeShade="80"/>
              <w:right w:val="single" w:sz="2" w:space="0" w:color="808080" w:themeColor="background1" w:themeShade="80"/>
            </w:tcBorders>
            <w:hideMark/>
          </w:tcPr>
          <w:p w14:paraId="339D4F84" w14:textId="77777777" w:rsidR="00636699" w:rsidRPr="00241BD8" w:rsidRDefault="00636699" w:rsidP="00222E80">
            <w:pPr>
              <w:pStyle w:val="NormalWeb"/>
              <w:jc w:val="center"/>
              <w:rPr>
                <w:sz w:val="18"/>
                <w:szCs w:val="18"/>
              </w:rPr>
            </w:pPr>
            <w:r w:rsidRPr="00241BD8">
              <w:rPr>
                <w:sz w:val="18"/>
                <w:szCs w:val="18"/>
              </w:rPr>
              <w:t>—</w:t>
            </w:r>
          </w:p>
        </w:tc>
        <w:tc>
          <w:tcPr>
            <w:tcW w:w="1119" w:type="dxa"/>
            <w:tcBorders>
              <w:left w:val="single" w:sz="2" w:space="0" w:color="808080" w:themeColor="background1" w:themeShade="80"/>
            </w:tcBorders>
            <w:hideMark/>
          </w:tcPr>
          <w:p w14:paraId="3500595D" w14:textId="77777777" w:rsidR="00636699" w:rsidRPr="00241BD8" w:rsidRDefault="00636699" w:rsidP="00222E80">
            <w:pPr>
              <w:pStyle w:val="NormalWeb"/>
              <w:jc w:val="center"/>
              <w:rPr>
                <w:sz w:val="18"/>
                <w:szCs w:val="18"/>
              </w:rPr>
            </w:pPr>
            <w:r w:rsidRPr="00241BD8">
              <w:rPr>
                <w:sz w:val="18"/>
                <w:szCs w:val="18"/>
              </w:rPr>
              <w:t>—</w:t>
            </w:r>
          </w:p>
        </w:tc>
      </w:tr>
      <w:tr w:rsidR="00636699" w:rsidRPr="00241BD8" w14:paraId="3706F879" w14:textId="77777777" w:rsidTr="005C24C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272" w:type="dxa"/>
            <w:tcBorders>
              <w:right w:val="single" w:sz="2" w:space="0" w:color="808080" w:themeColor="background1" w:themeShade="80"/>
            </w:tcBorders>
            <w:hideMark/>
          </w:tcPr>
          <w:p w14:paraId="32ED3A98" w14:textId="77777777" w:rsidR="00636699" w:rsidRPr="00241BD8" w:rsidRDefault="00636699" w:rsidP="00222E80">
            <w:pPr>
              <w:pStyle w:val="NormalWeb"/>
              <w:rPr>
                <w:sz w:val="18"/>
                <w:szCs w:val="18"/>
              </w:rPr>
            </w:pPr>
            <w:r w:rsidRPr="00241BD8">
              <w:rPr>
                <w:sz w:val="18"/>
                <w:szCs w:val="18"/>
              </w:rPr>
              <w:t>2</w:t>
            </w:r>
          </w:p>
        </w:tc>
        <w:tc>
          <w:tcPr>
            <w:tcW w:w="1836" w:type="dxa"/>
            <w:tcBorders>
              <w:left w:val="single" w:sz="2" w:space="0" w:color="808080" w:themeColor="background1" w:themeShade="80"/>
              <w:right w:val="single" w:sz="2" w:space="0" w:color="808080" w:themeColor="background1" w:themeShade="80"/>
            </w:tcBorders>
            <w:hideMark/>
          </w:tcPr>
          <w:p w14:paraId="51ED97EF" w14:textId="77777777" w:rsidR="00636699" w:rsidRPr="00241BD8" w:rsidRDefault="00636699" w:rsidP="00222E80">
            <w:pPr>
              <w:pStyle w:val="NormalWeb"/>
              <w:jc w:val="center"/>
              <w:rPr>
                <w:sz w:val="18"/>
                <w:szCs w:val="18"/>
              </w:rPr>
            </w:pPr>
            <w:r w:rsidRPr="00241BD8">
              <w:rPr>
                <w:sz w:val="18"/>
                <w:szCs w:val="18"/>
              </w:rPr>
              <w:t>15/01/2021</w:t>
            </w:r>
          </w:p>
        </w:tc>
        <w:tc>
          <w:tcPr>
            <w:tcW w:w="1428" w:type="dxa"/>
            <w:tcBorders>
              <w:left w:val="single" w:sz="2" w:space="0" w:color="808080" w:themeColor="background1" w:themeShade="80"/>
              <w:right w:val="single" w:sz="2" w:space="0" w:color="808080" w:themeColor="background1" w:themeShade="80"/>
            </w:tcBorders>
            <w:hideMark/>
          </w:tcPr>
          <w:p w14:paraId="22EA86F0" w14:textId="77777777" w:rsidR="00636699" w:rsidRPr="00241BD8" w:rsidRDefault="00636699" w:rsidP="00222E80">
            <w:pPr>
              <w:pStyle w:val="NormalWeb"/>
              <w:jc w:val="center"/>
              <w:rPr>
                <w:sz w:val="18"/>
                <w:szCs w:val="18"/>
              </w:rPr>
            </w:pPr>
            <w:r w:rsidRPr="00241BD8">
              <w:rPr>
                <w:sz w:val="18"/>
                <w:szCs w:val="18"/>
              </w:rPr>
              <w:t>12/01/2021</w:t>
            </w:r>
          </w:p>
        </w:tc>
        <w:tc>
          <w:tcPr>
            <w:tcW w:w="1134" w:type="dxa"/>
            <w:tcBorders>
              <w:left w:val="single" w:sz="2" w:space="0" w:color="808080" w:themeColor="background1" w:themeShade="80"/>
              <w:right w:val="single" w:sz="2" w:space="0" w:color="808080" w:themeColor="background1" w:themeShade="80"/>
            </w:tcBorders>
            <w:hideMark/>
          </w:tcPr>
          <w:p w14:paraId="1A477A3C" w14:textId="77777777" w:rsidR="00636699" w:rsidRPr="00241BD8" w:rsidRDefault="00636699" w:rsidP="00222E80">
            <w:pPr>
              <w:pStyle w:val="NormalWeb"/>
              <w:jc w:val="center"/>
              <w:rPr>
                <w:sz w:val="18"/>
                <w:szCs w:val="18"/>
              </w:rPr>
            </w:pPr>
            <w:r w:rsidRPr="00241BD8">
              <w:rPr>
                <w:sz w:val="18"/>
                <w:szCs w:val="18"/>
              </w:rPr>
              <w:t>800</w:t>
            </w:r>
          </w:p>
        </w:tc>
        <w:tc>
          <w:tcPr>
            <w:tcW w:w="1679" w:type="dxa"/>
            <w:tcBorders>
              <w:left w:val="single" w:sz="2" w:space="0" w:color="808080" w:themeColor="background1" w:themeShade="80"/>
              <w:right w:val="single" w:sz="2" w:space="0" w:color="808080" w:themeColor="background1" w:themeShade="80"/>
            </w:tcBorders>
            <w:hideMark/>
          </w:tcPr>
          <w:p w14:paraId="4329097E" w14:textId="77777777" w:rsidR="00636699" w:rsidRPr="00241BD8" w:rsidRDefault="00636699" w:rsidP="00222E80">
            <w:pPr>
              <w:pStyle w:val="NormalWeb"/>
              <w:jc w:val="center"/>
              <w:rPr>
                <w:sz w:val="18"/>
                <w:szCs w:val="18"/>
              </w:rPr>
            </w:pPr>
            <w:r w:rsidRPr="00241BD8">
              <w:rPr>
                <w:sz w:val="18"/>
                <w:szCs w:val="18"/>
              </w:rPr>
              <w:t>—</w:t>
            </w:r>
          </w:p>
        </w:tc>
        <w:tc>
          <w:tcPr>
            <w:tcW w:w="879" w:type="dxa"/>
            <w:tcBorders>
              <w:left w:val="single" w:sz="2" w:space="0" w:color="808080" w:themeColor="background1" w:themeShade="80"/>
              <w:right w:val="single" w:sz="2" w:space="0" w:color="808080" w:themeColor="background1" w:themeShade="80"/>
            </w:tcBorders>
            <w:hideMark/>
          </w:tcPr>
          <w:p w14:paraId="185DFB5F" w14:textId="77777777" w:rsidR="00636699" w:rsidRPr="00241BD8" w:rsidRDefault="00636699" w:rsidP="00222E80">
            <w:pPr>
              <w:pStyle w:val="NormalWeb"/>
              <w:jc w:val="center"/>
              <w:rPr>
                <w:sz w:val="18"/>
                <w:szCs w:val="18"/>
              </w:rPr>
            </w:pPr>
            <w:r w:rsidRPr="00241BD8">
              <w:rPr>
                <w:sz w:val="18"/>
                <w:szCs w:val="18"/>
              </w:rPr>
              <w:t>Hardjo</w:t>
            </w:r>
          </w:p>
        </w:tc>
        <w:tc>
          <w:tcPr>
            <w:tcW w:w="1119" w:type="dxa"/>
            <w:tcBorders>
              <w:left w:val="single" w:sz="2" w:space="0" w:color="808080" w:themeColor="background1" w:themeShade="80"/>
              <w:right w:val="single" w:sz="2" w:space="0" w:color="808080" w:themeColor="background1" w:themeShade="80"/>
            </w:tcBorders>
            <w:hideMark/>
          </w:tcPr>
          <w:p w14:paraId="688121C2" w14:textId="77777777" w:rsidR="00636699" w:rsidRPr="00241BD8" w:rsidRDefault="00636699" w:rsidP="00222E80">
            <w:pPr>
              <w:pStyle w:val="NormalWeb"/>
              <w:jc w:val="center"/>
              <w:rPr>
                <w:sz w:val="18"/>
                <w:szCs w:val="18"/>
              </w:rPr>
            </w:pPr>
            <w:r w:rsidRPr="00241BD8">
              <w:rPr>
                <w:sz w:val="18"/>
                <w:szCs w:val="18"/>
              </w:rPr>
              <w:t>—</w:t>
            </w:r>
          </w:p>
        </w:tc>
        <w:tc>
          <w:tcPr>
            <w:tcW w:w="1119" w:type="dxa"/>
            <w:tcBorders>
              <w:left w:val="single" w:sz="2" w:space="0" w:color="808080" w:themeColor="background1" w:themeShade="80"/>
            </w:tcBorders>
            <w:hideMark/>
          </w:tcPr>
          <w:p w14:paraId="3CF8FCCC" w14:textId="77777777" w:rsidR="00636699" w:rsidRPr="00241BD8" w:rsidRDefault="00636699" w:rsidP="00222E80">
            <w:pPr>
              <w:pStyle w:val="NormalWeb"/>
              <w:jc w:val="center"/>
              <w:rPr>
                <w:sz w:val="18"/>
                <w:szCs w:val="18"/>
              </w:rPr>
            </w:pPr>
            <w:r w:rsidRPr="00241BD8">
              <w:rPr>
                <w:sz w:val="18"/>
                <w:szCs w:val="18"/>
              </w:rPr>
              <w:t>—</w:t>
            </w:r>
          </w:p>
        </w:tc>
      </w:tr>
      <w:tr w:rsidR="00636699" w:rsidRPr="00241BD8" w14:paraId="2BD788A4" w14:textId="77777777" w:rsidTr="005C24C3">
        <w:tblPrEx>
          <w:tblCellMar>
            <w:top w:w="57" w:type="dxa"/>
            <w:left w:w="57" w:type="dxa"/>
            <w:bottom w:w="57" w:type="dxa"/>
            <w:right w:w="57" w:type="dxa"/>
          </w:tblCellMar>
        </w:tblPrEx>
        <w:tc>
          <w:tcPr>
            <w:tcW w:w="1272" w:type="dxa"/>
            <w:tcBorders>
              <w:right w:val="single" w:sz="2" w:space="0" w:color="808080" w:themeColor="background1" w:themeShade="80"/>
            </w:tcBorders>
            <w:hideMark/>
          </w:tcPr>
          <w:p w14:paraId="2177160C" w14:textId="77777777" w:rsidR="00636699" w:rsidRPr="00241BD8" w:rsidRDefault="00636699" w:rsidP="00222E80">
            <w:pPr>
              <w:pStyle w:val="NormalWeb"/>
              <w:rPr>
                <w:sz w:val="18"/>
                <w:szCs w:val="18"/>
              </w:rPr>
            </w:pPr>
            <w:r w:rsidRPr="00241BD8">
              <w:rPr>
                <w:sz w:val="18"/>
                <w:szCs w:val="18"/>
              </w:rPr>
              <w:t>3</w:t>
            </w:r>
          </w:p>
        </w:tc>
        <w:tc>
          <w:tcPr>
            <w:tcW w:w="1836" w:type="dxa"/>
            <w:tcBorders>
              <w:left w:val="single" w:sz="2" w:space="0" w:color="808080" w:themeColor="background1" w:themeShade="80"/>
              <w:right w:val="single" w:sz="2" w:space="0" w:color="808080" w:themeColor="background1" w:themeShade="80"/>
            </w:tcBorders>
            <w:hideMark/>
          </w:tcPr>
          <w:p w14:paraId="709586E6" w14:textId="77777777" w:rsidR="00636699" w:rsidRPr="00241BD8" w:rsidRDefault="00636699" w:rsidP="00222E80">
            <w:pPr>
              <w:pStyle w:val="NormalWeb"/>
              <w:jc w:val="center"/>
              <w:rPr>
                <w:sz w:val="18"/>
                <w:szCs w:val="18"/>
              </w:rPr>
            </w:pPr>
            <w:r w:rsidRPr="00241BD8">
              <w:rPr>
                <w:sz w:val="18"/>
                <w:szCs w:val="18"/>
              </w:rPr>
              <w:t>28/01/2021</w:t>
            </w:r>
          </w:p>
        </w:tc>
        <w:tc>
          <w:tcPr>
            <w:tcW w:w="1428" w:type="dxa"/>
            <w:tcBorders>
              <w:left w:val="single" w:sz="2" w:space="0" w:color="808080" w:themeColor="background1" w:themeShade="80"/>
              <w:right w:val="single" w:sz="2" w:space="0" w:color="808080" w:themeColor="background1" w:themeShade="80"/>
            </w:tcBorders>
            <w:hideMark/>
          </w:tcPr>
          <w:p w14:paraId="33651CC4" w14:textId="77777777" w:rsidR="00636699" w:rsidRPr="00241BD8" w:rsidRDefault="00636699" w:rsidP="00222E80">
            <w:pPr>
              <w:pStyle w:val="NormalWeb"/>
              <w:jc w:val="center"/>
              <w:rPr>
                <w:sz w:val="18"/>
                <w:szCs w:val="18"/>
              </w:rPr>
            </w:pPr>
            <w:r w:rsidRPr="00241BD8">
              <w:rPr>
                <w:sz w:val="18"/>
                <w:szCs w:val="18"/>
              </w:rPr>
              <w:t>28/01/2021</w:t>
            </w:r>
          </w:p>
        </w:tc>
        <w:tc>
          <w:tcPr>
            <w:tcW w:w="1134" w:type="dxa"/>
            <w:tcBorders>
              <w:left w:val="single" w:sz="2" w:space="0" w:color="808080" w:themeColor="background1" w:themeShade="80"/>
              <w:right w:val="single" w:sz="2" w:space="0" w:color="808080" w:themeColor="background1" w:themeShade="80"/>
            </w:tcBorders>
            <w:hideMark/>
          </w:tcPr>
          <w:p w14:paraId="490D64BE" w14:textId="77777777" w:rsidR="00636699" w:rsidRPr="00241BD8" w:rsidRDefault="00636699" w:rsidP="00222E80">
            <w:pPr>
              <w:pStyle w:val="NormalWeb"/>
              <w:jc w:val="center"/>
              <w:rPr>
                <w:sz w:val="18"/>
                <w:szCs w:val="18"/>
              </w:rPr>
            </w:pPr>
            <w:r w:rsidRPr="00241BD8">
              <w:rPr>
                <w:sz w:val="18"/>
                <w:szCs w:val="18"/>
              </w:rPr>
              <w:t>3200</w:t>
            </w:r>
          </w:p>
        </w:tc>
        <w:tc>
          <w:tcPr>
            <w:tcW w:w="1679" w:type="dxa"/>
            <w:tcBorders>
              <w:left w:val="single" w:sz="2" w:space="0" w:color="808080" w:themeColor="background1" w:themeShade="80"/>
              <w:right w:val="single" w:sz="2" w:space="0" w:color="808080" w:themeColor="background1" w:themeShade="80"/>
            </w:tcBorders>
            <w:hideMark/>
          </w:tcPr>
          <w:p w14:paraId="21DEA930" w14:textId="77777777" w:rsidR="00636699" w:rsidRPr="00241BD8" w:rsidRDefault="00636699" w:rsidP="00222E80">
            <w:pPr>
              <w:pStyle w:val="NormalWeb"/>
              <w:jc w:val="center"/>
              <w:rPr>
                <w:sz w:val="18"/>
                <w:szCs w:val="18"/>
              </w:rPr>
            </w:pPr>
            <w:r w:rsidRPr="00241BD8">
              <w:rPr>
                <w:sz w:val="18"/>
                <w:szCs w:val="18"/>
              </w:rPr>
              <w:t>—</w:t>
            </w:r>
          </w:p>
        </w:tc>
        <w:tc>
          <w:tcPr>
            <w:tcW w:w="879" w:type="dxa"/>
            <w:tcBorders>
              <w:left w:val="single" w:sz="2" w:space="0" w:color="808080" w:themeColor="background1" w:themeShade="80"/>
              <w:right w:val="single" w:sz="2" w:space="0" w:color="808080" w:themeColor="background1" w:themeShade="80"/>
            </w:tcBorders>
            <w:hideMark/>
          </w:tcPr>
          <w:p w14:paraId="760D59F2" w14:textId="77777777" w:rsidR="00636699" w:rsidRPr="00241BD8" w:rsidRDefault="00636699" w:rsidP="00222E80">
            <w:pPr>
              <w:pStyle w:val="NormalWeb"/>
              <w:jc w:val="center"/>
              <w:rPr>
                <w:sz w:val="18"/>
                <w:szCs w:val="18"/>
              </w:rPr>
            </w:pPr>
            <w:r w:rsidRPr="00241BD8">
              <w:rPr>
                <w:sz w:val="18"/>
                <w:szCs w:val="18"/>
              </w:rPr>
              <w:t>Hardjo</w:t>
            </w:r>
          </w:p>
        </w:tc>
        <w:tc>
          <w:tcPr>
            <w:tcW w:w="1119" w:type="dxa"/>
            <w:tcBorders>
              <w:left w:val="single" w:sz="2" w:space="0" w:color="808080" w:themeColor="background1" w:themeShade="80"/>
              <w:right w:val="single" w:sz="2" w:space="0" w:color="808080" w:themeColor="background1" w:themeShade="80"/>
            </w:tcBorders>
            <w:hideMark/>
          </w:tcPr>
          <w:p w14:paraId="79408C00" w14:textId="77777777" w:rsidR="00636699" w:rsidRPr="00241BD8" w:rsidRDefault="00636699" w:rsidP="00222E80">
            <w:pPr>
              <w:pStyle w:val="NormalWeb"/>
              <w:jc w:val="center"/>
              <w:rPr>
                <w:sz w:val="18"/>
                <w:szCs w:val="18"/>
              </w:rPr>
            </w:pPr>
            <w:r w:rsidRPr="00241BD8">
              <w:rPr>
                <w:sz w:val="18"/>
                <w:szCs w:val="18"/>
              </w:rPr>
              <w:t>—</w:t>
            </w:r>
          </w:p>
        </w:tc>
        <w:tc>
          <w:tcPr>
            <w:tcW w:w="1119" w:type="dxa"/>
            <w:tcBorders>
              <w:left w:val="single" w:sz="2" w:space="0" w:color="808080" w:themeColor="background1" w:themeShade="80"/>
            </w:tcBorders>
            <w:hideMark/>
          </w:tcPr>
          <w:p w14:paraId="3C47DC34" w14:textId="77777777" w:rsidR="00636699" w:rsidRPr="00241BD8" w:rsidRDefault="00636699" w:rsidP="00222E80">
            <w:pPr>
              <w:pStyle w:val="NormalWeb"/>
              <w:jc w:val="center"/>
              <w:rPr>
                <w:sz w:val="18"/>
                <w:szCs w:val="18"/>
              </w:rPr>
            </w:pPr>
            <w:r w:rsidRPr="00241BD8">
              <w:rPr>
                <w:sz w:val="18"/>
                <w:szCs w:val="18"/>
              </w:rPr>
              <w:t>—</w:t>
            </w:r>
          </w:p>
        </w:tc>
      </w:tr>
      <w:tr w:rsidR="00636699" w:rsidRPr="00241BD8" w14:paraId="5ADDC4A4" w14:textId="77777777" w:rsidTr="005C24C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272" w:type="dxa"/>
            <w:tcBorders>
              <w:right w:val="single" w:sz="2" w:space="0" w:color="808080" w:themeColor="background1" w:themeShade="80"/>
            </w:tcBorders>
            <w:hideMark/>
          </w:tcPr>
          <w:p w14:paraId="06A1B594" w14:textId="77777777" w:rsidR="00636699" w:rsidRPr="00241BD8" w:rsidRDefault="00636699" w:rsidP="00222E80">
            <w:pPr>
              <w:pStyle w:val="NormalWeb"/>
              <w:rPr>
                <w:sz w:val="18"/>
                <w:szCs w:val="18"/>
              </w:rPr>
            </w:pPr>
            <w:r w:rsidRPr="00241BD8">
              <w:rPr>
                <w:sz w:val="18"/>
                <w:szCs w:val="18"/>
              </w:rPr>
              <w:t>4</w:t>
            </w:r>
          </w:p>
        </w:tc>
        <w:tc>
          <w:tcPr>
            <w:tcW w:w="1836" w:type="dxa"/>
            <w:tcBorders>
              <w:left w:val="single" w:sz="2" w:space="0" w:color="808080" w:themeColor="background1" w:themeShade="80"/>
              <w:right w:val="single" w:sz="2" w:space="0" w:color="808080" w:themeColor="background1" w:themeShade="80"/>
            </w:tcBorders>
            <w:hideMark/>
          </w:tcPr>
          <w:p w14:paraId="04BF9283" w14:textId="77777777" w:rsidR="00636699" w:rsidRPr="00241BD8" w:rsidRDefault="00636699" w:rsidP="00222E80">
            <w:pPr>
              <w:pStyle w:val="NormalWeb"/>
              <w:jc w:val="center"/>
              <w:rPr>
                <w:sz w:val="18"/>
                <w:szCs w:val="18"/>
              </w:rPr>
            </w:pPr>
            <w:r w:rsidRPr="00241BD8">
              <w:rPr>
                <w:sz w:val="18"/>
                <w:szCs w:val="18"/>
              </w:rPr>
              <w:t>6/02/2021</w:t>
            </w:r>
          </w:p>
        </w:tc>
        <w:tc>
          <w:tcPr>
            <w:tcW w:w="1428" w:type="dxa"/>
            <w:tcBorders>
              <w:left w:val="single" w:sz="2" w:space="0" w:color="808080" w:themeColor="background1" w:themeShade="80"/>
              <w:right w:val="single" w:sz="2" w:space="0" w:color="808080" w:themeColor="background1" w:themeShade="80"/>
            </w:tcBorders>
            <w:hideMark/>
          </w:tcPr>
          <w:p w14:paraId="4464515B" w14:textId="77777777" w:rsidR="00636699" w:rsidRPr="00241BD8" w:rsidRDefault="00636699" w:rsidP="00222E80">
            <w:pPr>
              <w:pStyle w:val="NormalWeb"/>
              <w:jc w:val="center"/>
              <w:rPr>
                <w:sz w:val="18"/>
                <w:szCs w:val="18"/>
              </w:rPr>
            </w:pPr>
            <w:r w:rsidRPr="00241BD8">
              <w:rPr>
                <w:sz w:val="18"/>
                <w:szCs w:val="18"/>
              </w:rPr>
              <w:t>05/02/2021</w:t>
            </w:r>
          </w:p>
        </w:tc>
        <w:tc>
          <w:tcPr>
            <w:tcW w:w="1134" w:type="dxa"/>
            <w:tcBorders>
              <w:left w:val="single" w:sz="2" w:space="0" w:color="808080" w:themeColor="background1" w:themeShade="80"/>
              <w:right w:val="single" w:sz="2" w:space="0" w:color="808080" w:themeColor="background1" w:themeShade="80"/>
            </w:tcBorders>
            <w:hideMark/>
          </w:tcPr>
          <w:p w14:paraId="5791D883" w14:textId="77777777" w:rsidR="00636699" w:rsidRPr="00241BD8" w:rsidRDefault="00636699" w:rsidP="00222E80">
            <w:pPr>
              <w:pStyle w:val="NormalWeb"/>
              <w:jc w:val="center"/>
              <w:rPr>
                <w:sz w:val="18"/>
                <w:szCs w:val="18"/>
              </w:rPr>
            </w:pPr>
            <w:r w:rsidRPr="00241BD8">
              <w:rPr>
                <w:sz w:val="18"/>
                <w:szCs w:val="18"/>
              </w:rPr>
              <w:t>0</w:t>
            </w:r>
          </w:p>
        </w:tc>
        <w:tc>
          <w:tcPr>
            <w:tcW w:w="1679" w:type="dxa"/>
            <w:tcBorders>
              <w:left w:val="single" w:sz="2" w:space="0" w:color="808080" w:themeColor="background1" w:themeShade="80"/>
              <w:right w:val="single" w:sz="2" w:space="0" w:color="808080" w:themeColor="background1" w:themeShade="80"/>
            </w:tcBorders>
            <w:hideMark/>
          </w:tcPr>
          <w:p w14:paraId="112C0C3C" w14:textId="77777777" w:rsidR="00636699" w:rsidRPr="00241BD8" w:rsidRDefault="00636699" w:rsidP="00222E80">
            <w:pPr>
              <w:pStyle w:val="NormalWeb"/>
              <w:jc w:val="center"/>
              <w:rPr>
                <w:sz w:val="18"/>
                <w:szCs w:val="18"/>
              </w:rPr>
            </w:pPr>
            <w:r w:rsidRPr="00241BD8">
              <w:rPr>
                <w:sz w:val="18"/>
                <w:szCs w:val="18"/>
              </w:rPr>
              <w:t>800</w:t>
            </w:r>
          </w:p>
        </w:tc>
        <w:tc>
          <w:tcPr>
            <w:tcW w:w="879" w:type="dxa"/>
            <w:tcBorders>
              <w:left w:val="single" w:sz="2" w:space="0" w:color="808080" w:themeColor="background1" w:themeShade="80"/>
              <w:right w:val="single" w:sz="2" w:space="0" w:color="808080" w:themeColor="background1" w:themeShade="80"/>
            </w:tcBorders>
            <w:hideMark/>
          </w:tcPr>
          <w:p w14:paraId="61DE09D3" w14:textId="77777777" w:rsidR="00636699" w:rsidRPr="00241BD8" w:rsidRDefault="00636699" w:rsidP="00222E80">
            <w:pPr>
              <w:pStyle w:val="NormalWeb"/>
              <w:jc w:val="center"/>
              <w:rPr>
                <w:sz w:val="18"/>
                <w:szCs w:val="18"/>
              </w:rPr>
            </w:pPr>
            <w:r w:rsidRPr="00241BD8">
              <w:rPr>
                <w:sz w:val="18"/>
                <w:szCs w:val="18"/>
              </w:rPr>
              <w:t>Hardjo</w:t>
            </w:r>
          </w:p>
        </w:tc>
        <w:tc>
          <w:tcPr>
            <w:tcW w:w="1119" w:type="dxa"/>
            <w:tcBorders>
              <w:left w:val="single" w:sz="2" w:space="0" w:color="808080" w:themeColor="background1" w:themeShade="80"/>
              <w:right w:val="single" w:sz="2" w:space="0" w:color="808080" w:themeColor="background1" w:themeShade="80"/>
            </w:tcBorders>
            <w:hideMark/>
          </w:tcPr>
          <w:p w14:paraId="1E2BCE0E" w14:textId="77777777" w:rsidR="00636699" w:rsidRPr="00241BD8" w:rsidRDefault="00636699" w:rsidP="00222E80">
            <w:pPr>
              <w:pStyle w:val="NormalWeb"/>
              <w:jc w:val="center"/>
              <w:rPr>
                <w:sz w:val="18"/>
                <w:szCs w:val="18"/>
              </w:rPr>
            </w:pPr>
            <w:r w:rsidRPr="00241BD8">
              <w:rPr>
                <w:sz w:val="18"/>
                <w:szCs w:val="18"/>
              </w:rPr>
              <w:t>Detected</w:t>
            </w:r>
          </w:p>
        </w:tc>
        <w:tc>
          <w:tcPr>
            <w:tcW w:w="1119" w:type="dxa"/>
            <w:tcBorders>
              <w:left w:val="single" w:sz="2" w:space="0" w:color="808080" w:themeColor="background1" w:themeShade="80"/>
            </w:tcBorders>
            <w:hideMark/>
          </w:tcPr>
          <w:p w14:paraId="118C9FDE" w14:textId="77777777" w:rsidR="00636699" w:rsidRPr="00241BD8" w:rsidRDefault="00636699" w:rsidP="00222E80">
            <w:pPr>
              <w:pStyle w:val="NormalWeb"/>
              <w:jc w:val="center"/>
              <w:rPr>
                <w:sz w:val="18"/>
                <w:szCs w:val="18"/>
              </w:rPr>
            </w:pPr>
            <w:r w:rsidRPr="00241BD8">
              <w:rPr>
                <w:sz w:val="18"/>
                <w:szCs w:val="18"/>
              </w:rPr>
              <w:t>Not detected</w:t>
            </w:r>
          </w:p>
        </w:tc>
      </w:tr>
      <w:tr w:rsidR="00636699" w:rsidRPr="00241BD8" w14:paraId="7FEB038C" w14:textId="77777777" w:rsidTr="005C24C3">
        <w:tblPrEx>
          <w:tblCellMar>
            <w:top w:w="57" w:type="dxa"/>
            <w:left w:w="57" w:type="dxa"/>
            <w:bottom w:w="57" w:type="dxa"/>
            <w:right w:w="57" w:type="dxa"/>
          </w:tblCellMar>
        </w:tblPrEx>
        <w:tc>
          <w:tcPr>
            <w:tcW w:w="1272" w:type="dxa"/>
            <w:tcBorders>
              <w:right w:val="single" w:sz="2" w:space="0" w:color="808080" w:themeColor="background1" w:themeShade="80"/>
            </w:tcBorders>
            <w:hideMark/>
          </w:tcPr>
          <w:p w14:paraId="08CD9BE0" w14:textId="77777777" w:rsidR="00636699" w:rsidRPr="00241BD8" w:rsidRDefault="00636699" w:rsidP="00222E80">
            <w:pPr>
              <w:pStyle w:val="NormalWeb"/>
              <w:rPr>
                <w:sz w:val="18"/>
                <w:szCs w:val="18"/>
              </w:rPr>
            </w:pPr>
            <w:r w:rsidRPr="00241BD8">
              <w:rPr>
                <w:sz w:val="18"/>
                <w:szCs w:val="18"/>
              </w:rPr>
              <w:t>5</w:t>
            </w:r>
          </w:p>
        </w:tc>
        <w:tc>
          <w:tcPr>
            <w:tcW w:w="1836" w:type="dxa"/>
            <w:tcBorders>
              <w:left w:val="single" w:sz="2" w:space="0" w:color="808080" w:themeColor="background1" w:themeShade="80"/>
              <w:right w:val="single" w:sz="2" w:space="0" w:color="808080" w:themeColor="background1" w:themeShade="80"/>
            </w:tcBorders>
            <w:hideMark/>
          </w:tcPr>
          <w:p w14:paraId="52E1A11D" w14:textId="77777777" w:rsidR="00636699" w:rsidRPr="00241BD8" w:rsidRDefault="00636699" w:rsidP="00222E80">
            <w:pPr>
              <w:pStyle w:val="NormalWeb"/>
              <w:jc w:val="center"/>
              <w:rPr>
                <w:sz w:val="18"/>
                <w:szCs w:val="18"/>
              </w:rPr>
            </w:pPr>
            <w:r w:rsidRPr="00241BD8">
              <w:rPr>
                <w:sz w:val="18"/>
                <w:szCs w:val="18"/>
              </w:rPr>
              <w:t>9/02/2021</w:t>
            </w:r>
          </w:p>
        </w:tc>
        <w:tc>
          <w:tcPr>
            <w:tcW w:w="1428" w:type="dxa"/>
            <w:tcBorders>
              <w:left w:val="single" w:sz="2" w:space="0" w:color="808080" w:themeColor="background1" w:themeShade="80"/>
              <w:right w:val="single" w:sz="2" w:space="0" w:color="808080" w:themeColor="background1" w:themeShade="80"/>
            </w:tcBorders>
            <w:hideMark/>
          </w:tcPr>
          <w:p w14:paraId="34EEACFA" w14:textId="77777777" w:rsidR="00636699" w:rsidRPr="00241BD8" w:rsidRDefault="00636699" w:rsidP="00222E80">
            <w:pPr>
              <w:pStyle w:val="NormalWeb"/>
              <w:jc w:val="center"/>
              <w:rPr>
                <w:sz w:val="18"/>
                <w:szCs w:val="18"/>
              </w:rPr>
            </w:pPr>
            <w:r w:rsidRPr="00241BD8">
              <w:rPr>
                <w:sz w:val="18"/>
                <w:szCs w:val="18"/>
              </w:rPr>
              <w:t>09/02/2021</w:t>
            </w:r>
          </w:p>
        </w:tc>
        <w:tc>
          <w:tcPr>
            <w:tcW w:w="1134" w:type="dxa"/>
            <w:tcBorders>
              <w:left w:val="single" w:sz="2" w:space="0" w:color="808080" w:themeColor="background1" w:themeShade="80"/>
              <w:right w:val="single" w:sz="2" w:space="0" w:color="808080" w:themeColor="background1" w:themeShade="80"/>
            </w:tcBorders>
            <w:hideMark/>
          </w:tcPr>
          <w:p w14:paraId="436ECBAF" w14:textId="77777777" w:rsidR="00636699" w:rsidRPr="00241BD8" w:rsidRDefault="00636699" w:rsidP="00222E80">
            <w:pPr>
              <w:pStyle w:val="NormalWeb"/>
              <w:jc w:val="center"/>
              <w:rPr>
                <w:sz w:val="18"/>
                <w:szCs w:val="18"/>
              </w:rPr>
            </w:pPr>
            <w:r w:rsidRPr="00241BD8">
              <w:rPr>
                <w:sz w:val="18"/>
                <w:szCs w:val="18"/>
              </w:rPr>
              <w:t>0</w:t>
            </w:r>
          </w:p>
        </w:tc>
        <w:tc>
          <w:tcPr>
            <w:tcW w:w="1679" w:type="dxa"/>
            <w:tcBorders>
              <w:left w:val="single" w:sz="2" w:space="0" w:color="808080" w:themeColor="background1" w:themeShade="80"/>
              <w:right w:val="single" w:sz="2" w:space="0" w:color="808080" w:themeColor="background1" w:themeShade="80"/>
            </w:tcBorders>
            <w:hideMark/>
          </w:tcPr>
          <w:p w14:paraId="0C88E2C0" w14:textId="77777777" w:rsidR="00636699" w:rsidRPr="00241BD8" w:rsidRDefault="00636699" w:rsidP="00222E80">
            <w:pPr>
              <w:pStyle w:val="NormalWeb"/>
              <w:jc w:val="center"/>
              <w:rPr>
                <w:sz w:val="18"/>
                <w:szCs w:val="18"/>
              </w:rPr>
            </w:pPr>
            <w:r w:rsidRPr="00241BD8">
              <w:rPr>
                <w:sz w:val="18"/>
                <w:szCs w:val="18"/>
              </w:rPr>
              <w:t>800</w:t>
            </w:r>
          </w:p>
        </w:tc>
        <w:tc>
          <w:tcPr>
            <w:tcW w:w="879" w:type="dxa"/>
            <w:tcBorders>
              <w:left w:val="single" w:sz="2" w:space="0" w:color="808080" w:themeColor="background1" w:themeShade="80"/>
              <w:right w:val="single" w:sz="2" w:space="0" w:color="808080" w:themeColor="background1" w:themeShade="80"/>
            </w:tcBorders>
            <w:hideMark/>
          </w:tcPr>
          <w:p w14:paraId="7A6FA1FC" w14:textId="77777777" w:rsidR="00636699" w:rsidRPr="00241BD8" w:rsidRDefault="00636699" w:rsidP="00222E80">
            <w:pPr>
              <w:pStyle w:val="NormalWeb"/>
              <w:jc w:val="center"/>
              <w:rPr>
                <w:sz w:val="18"/>
                <w:szCs w:val="18"/>
              </w:rPr>
            </w:pPr>
            <w:r w:rsidRPr="00241BD8">
              <w:rPr>
                <w:sz w:val="18"/>
                <w:szCs w:val="18"/>
              </w:rPr>
              <w:t>Hardjo</w:t>
            </w:r>
          </w:p>
        </w:tc>
        <w:tc>
          <w:tcPr>
            <w:tcW w:w="1119" w:type="dxa"/>
            <w:tcBorders>
              <w:left w:val="single" w:sz="2" w:space="0" w:color="808080" w:themeColor="background1" w:themeShade="80"/>
              <w:right w:val="single" w:sz="2" w:space="0" w:color="808080" w:themeColor="background1" w:themeShade="80"/>
            </w:tcBorders>
            <w:hideMark/>
          </w:tcPr>
          <w:p w14:paraId="27A63044" w14:textId="77777777" w:rsidR="00636699" w:rsidRPr="00241BD8" w:rsidRDefault="00636699" w:rsidP="00222E80">
            <w:pPr>
              <w:pStyle w:val="NormalWeb"/>
              <w:jc w:val="center"/>
              <w:rPr>
                <w:sz w:val="18"/>
                <w:szCs w:val="18"/>
              </w:rPr>
            </w:pPr>
            <w:r w:rsidRPr="00241BD8">
              <w:rPr>
                <w:sz w:val="18"/>
                <w:szCs w:val="18"/>
              </w:rPr>
              <w:t>Not detected</w:t>
            </w:r>
          </w:p>
        </w:tc>
        <w:tc>
          <w:tcPr>
            <w:tcW w:w="1119" w:type="dxa"/>
            <w:tcBorders>
              <w:left w:val="single" w:sz="2" w:space="0" w:color="808080" w:themeColor="background1" w:themeShade="80"/>
            </w:tcBorders>
            <w:hideMark/>
          </w:tcPr>
          <w:p w14:paraId="2D9673F3" w14:textId="77777777" w:rsidR="00636699" w:rsidRPr="00241BD8" w:rsidRDefault="00636699" w:rsidP="00222E80">
            <w:pPr>
              <w:pStyle w:val="NormalWeb"/>
              <w:jc w:val="center"/>
              <w:rPr>
                <w:sz w:val="18"/>
                <w:szCs w:val="18"/>
              </w:rPr>
            </w:pPr>
            <w:r w:rsidRPr="00241BD8">
              <w:rPr>
                <w:sz w:val="18"/>
                <w:szCs w:val="18"/>
              </w:rPr>
              <w:t>Not detected</w:t>
            </w:r>
          </w:p>
        </w:tc>
      </w:tr>
      <w:tr w:rsidR="00636699" w:rsidRPr="00241BD8" w14:paraId="2E402751" w14:textId="77777777" w:rsidTr="005C24C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272" w:type="dxa"/>
            <w:tcBorders>
              <w:right w:val="single" w:sz="2" w:space="0" w:color="808080" w:themeColor="background1" w:themeShade="80"/>
            </w:tcBorders>
            <w:hideMark/>
          </w:tcPr>
          <w:p w14:paraId="75F3FCA1" w14:textId="77777777" w:rsidR="00636699" w:rsidRPr="00241BD8" w:rsidRDefault="00636699" w:rsidP="00222E80">
            <w:pPr>
              <w:pStyle w:val="NormalWeb"/>
              <w:rPr>
                <w:sz w:val="18"/>
                <w:szCs w:val="18"/>
              </w:rPr>
            </w:pPr>
            <w:r w:rsidRPr="00241BD8">
              <w:rPr>
                <w:sz w:val="18"/>
                <w:szCs w:val="18"/>
              </w:rPr>
              <w:t>6</w:t>
            </w:r>
          </w:p>
        </w:tc>
        <w:tc>
          <w:tcPr>
            <w:tcW w:w="1836" w:type="dxa"/>
            <w:tcBorders>
              <w:left w:val="single" w:sz="2" w:space="0" w:color="808080" w:themeColor="background1" w:themeShade="80"/>
              <w:right w:val="single" w:sz="2" w:space="0" w:color="808080" w:themeColor="background1" w:themeShade="80"/>
            </w:tcBorders>
            <w:hideMark/>
          </w:tcPr>
          <w:p w14:paraId="2C2FA68C" w14:textId="77777777" w:rsidR="00636699" w:rsidRPr="00241BD8" w:rsidRDefault="00636699" w:rsidP="00222E80">
            <w:pPr>
              <w:pStyle w:val="NormalWeb"/>
              <w:jc w:val="center"/>
              <w:rPr>
                <w:sz w:val="18"/>
                <w:szCs w:val="18"/>
              </w:rPr>
            </w:pPr>
            <w:r w:rsidRPr="00241BD8">
              <w:rPr>
                <w:sz w:val="18"/>
                <w:szCs w:val="18"/>
              </w:rPr>
              <w:t>11/02/2021</w:t>
            </w:r>
          </w:p>
        </w:tc>
        <w:tc>
          <w:tcPr>
            <w:tcW w:w="1428" w:type="dxa"/>
            <w:tcBorders>
              <w:left w:val="single" w:sz="2" w:space="0" w:color="808080" w:themeColor="background1" w:themeShade="80"/>
              <w:right w:val="single" w:sz="2" w:space="0" w:color="808080" w:themeColor="background1" w:themeShade="80"/>
            </w:tcBorders>
            <w:hideMark/>
          </w:tcPr>
          <w:p w14:paraId="3B151EA7" w14:textId="77777777" w:rsidR="00636699" w:rsidRPr="00241BD8" w:rsidRDefault="00636699" w:rsidP="00222E80">
            <w:pPr>
              <w:pStyle w:val="NormalWeb"/>
              <w:jc w:val="center"/>
              <w:rPr>
                <w:sz w:val="18"/>
                <w:szCs w:val="18"/>
              </w:rPr>
            </w:pPr>
            <w:r w:rsidRPr="00241BD8">
              <w:rPr>
                <w:sz w:val="18"/>
                <w:szCs w:val="18"/>
              </w:rPr>
              <w:t>10/02/2021</w:t>
            </w:r>
          </w:p>
        </w:tc>
        <w:tc>
          <w:tcPr>
            <w:tcW w:w="1134" w:type="dxa"/>
            <w:tcBorders>
              <w:left w:val="single" w:sz="2" w:space="0" w:color="808080" w:themeColor="background1" w:themeShade="80"/>
              <w:right w:val="single" w:sz="2" w:space="0" w:color="808080" w:themeColor="background1" w:themeShade="80"/>
            </w:tcBorders>
            <w:hideMark/>
          </w:tcPr>
          <w:p w14:paraId="3445C5AF" w14:textId="77777777" w:rsidR="00636699" w:rsidRPr="00241BD8" w:rsidRDefault="00636699" w:rsidP="00222E80">
            <w:pPr>
              <w:pStyle w:val="NormalWeb"/>
              <w:jc w:val="center"/>
              <w:rPr>
                <w:sz w:val="18"/>
                <w:szCs w:val="18"/>
              </w:rPr>
            </w:pPr>
            <w:r w:rsidRPr="00241BD8">
              <w:rPr>
                <w:sz w:val="18"/>
                <w:szCs w:val="18"/>
              </w:rPr>
              <w:t>0</w:t>
            </w:r>
          </w:p>
        </w:tc>
        <w:tc>
          <w:tcPr>
            <w:tcW w:w="1679" w:type="dxa"/>
            <w:tcBorders>
              <w:left w:val="single" w:sz="2" w:space="0" w:color="808080" w:themeColor="background1" w:themeShade="80"/>
              <w:right w:val="single" w:sz="2" w:space="0" w:color="808080" w:themeColor="background1" w:themeShade="80"/>
            </w:tcBorders>
            <w:hideMark/>
          </w:tcPr>
          <w:p w14:paraId="73BD9C51" w14:textId="77777777" w:rsidR="00636699" w:rsidRPr="00241BD8" w:rsidRDefault="00636699" w:rsidP="00222E80">
            <w:pPr>
              <w:pStyle w:val="NormalWeb"/>
              <w:jc w:val="center"/>
              <w:rPr>
                <w:sz w:val="18"/>
                <w:szCs w:val="18"/>
              </w:rPr>
            </w:pPr>
            <w:r w:rsidRPr="00241BD8">
              <w:rPr>
                <w:sz w:val="18"/>
                <w:szCs w:val="18"/>
              </w:rPr>
              <w:t>200</w:t>
            </w:r>
          </w:p>
        </w:tc>
        <w:tc>
          <w:tcPr>
            <w:tcW w:w="879" w:type="dxa"/>
            <w:tcBorders>
              <w:left w:val="single" w:sz="2" w:space="0" w:color="808080" w:themeColor="background1" w:themeShade="80"/>
              <w:right w:val="single" w:sz="2" w:space="0" w:color="808080" w:themeColor="background1" w:themeShade="80"/>
            </w:tcBorders>
            <w:hideMark/>
          </w:tcPr>
          <w:p w14:paraId="4C22D625" w14:textId="77777777" w:rsidR="00636699" w:rsidRPr="00241BD8" w:rsidRDefault="00636699" w:rsidP="00222E80">
            <w:pPr>
              <w:pStyle w:val="NormalWeb"/>
              <w:jc w:val="center"/>
              <w:rPr>
                <w:sz w:val="18"/>
                <w:szCs w:val="18"/>
              </w:rPr>
            </w:pPr>
            <w:r w:rsidRPr="00241BD8">
              <w:rPr>
                <w:sz w:val="18"/>
                <w:szCs w:val="18"/>
              </w:rPr>
              <w:t>Hardjo</w:t>
            </w:r>
          </w:p>
        </w:tc>
        <w:tc>
          <w:tcPr>
            <w:tcW w:w="1119" w:type="dxa"/>
            <w:tcBorders>
              <w:left w:val="single" w:sz="2" w:space="0" w:color="808080" w:themeColor="background1" w:themeShade="80"/>
              <w:right w:val="single" w:sz="2" w:space="0" w:color="808080" w:themeColor="background1" w:themeShade="80"/>
            </w:tcBorders>
            <w:hideMark/>
          </w:tcPr>
          <w:p w14:paraId="6F7E3A0E" w14:textId="77777777" w:rsidR="00636699" w:rsidRPr="00241BD8" w:rsidRDefault="00636699" w:rsidP="00222E80">
            <w:pPr>
              <w:pStyle w:val="NormalWeb"/>
              <w:jc w:val="center"/>
              <w:rPr>
                <w:sz w:val="18"/>
                <w:szCs w:val="18"/>
              </w:rPr>
            </w:pPr>
            <w:r w:rsidRPr="00241BD8">
              <w:rPr>
                <w:sz w:val="18"/>
                <w:szCs w:val="18"/>
              </w:rPr>
              <w:t>Detected</w:t>
            </w:r>
          </w:p>
        </w:tc>
        <w:tc>
          <w:tcPr>
            <w:tcW w:w="1119" w:type="dxa"/>
            <w:tcBorders>
              <w:left w:val="single" w:sz="2" w:space="0" w:color="808080" w:themeColor="background1" w:themeShade="80"/>
            </w:tcBorders>
            <w:hideMark/>
          </w:tcPr>
          <w:p w14:paraId="58862B83" w14:textId="77777777" w:rsidR="00636699" w:rsidRPr="00241BD8" w:rsidRDefault="00636699" w:rsidP="00222E80">
            <w:pPr>
              <w:pStyle w:val="NormalWeb"/>
              <w:jc w:val="center"/>
              <w:rPr>
                <w:sz w:val="18"/>
                <w:szCs w:val="18"/>
              </w:rPr>
            </w:pPr>
            <w:r w:rsidRPr="00241BD8">
              <w:rPr>
                <w:sz w:val="18"/>
                <w:szCs w:val="18"/>
              </w:rPr>
              <w:t>—</w:t>
            </w:r>
          </w:p>
        </w:tc>
      </w:tr>
      <w:tr w:rsidR="00636699" w:rsidRPr="00241BD8" w14:paraId="2B6C18CB" w14:textId="77777777" w:rsidTr="005C24C3">
        <w:tblPrEx>
          <w:tblCellMar>
            <w:top w:w="57" w:type="dxa"/>
            <w:left w:w="57" w:type="dxa"/>
            <w:bottom w:w="57" w:type="dxa"/>
            <w:right w:w="57" w:type="dxa"/>
          </w:tblCellMar>
        </w:tblPrEx>
        <w:tc>
          <w:tcPr>
            <w:tcW w:w="1272" w:type="dxa"/>
            <w:tcBorders>
              <w:right w:val="single" w:sz="2" w:space="0" w:color="808080" w:themeColor="background1" w:themeShade="80"/>
            </w:tcBorders>
            <w:hideMark/>
          </w:tcPr>
          <w:p w14:paraId="6E312963" w14:textId="77777777" w:rsidR="00636699" w:rsidRPr="00241BD8" w:rsidRDefault="00636699" w:rsidP="00222E80">
            <w:pPr>
              <w:pStyle w:val="NormalWeb"/>
              <w:rPr>
                <w:sz w:val="18"/>
                <w:szCs w:val="18"/>
              </w:rPr>
            </w:pPr>
            <w:r w:rsidRPr="00241BD8">
              <w:rPr>
                <w:sz w:val="18"/>
                <w:szCs w:val="18"/>
              </w:rPr>
              <w:t>7</w:t>
            </w:r>
          </w:p>
        </w:tc>
        <w:tc>
          <w:tcPr>
            <w:tcW w:w="1836" w:type="dxa"/>
            <w:tcBorders>
              <w:left w:val="single" w:sz="2" w:space="0" w:color="808080" w:themeColor="background1" w:themeShade="80"/>
              <w:right w:val="single" w:sz="2" w:space="0" w:color="808080" w:themeColor="background1" w:themeShade="80"/>
            </w:tcBorders>
            <w:hideMark/>
          </w:tcPr>
          <w:p w14:paraId="6F0DA86F" w14:textId="77777777" w:rsidR="00636699" w:rsidRPr="00241BD8" w:rsidRDefault="00636699" w:rsidP="00222E80">
            <w:pPr>
              <w:pStyle w:val="NormalWeb"/>
              <w:jc w:val="center"/>
              <w:rPr>
                <w:sz w:val="18"/>
                <w:szCs w:val="18"/>
              </w:rPr>
            </w:pPr>
            <w:r w:rsidRPr="00241BD8">
              <w:rPr>
                <w:sz w:val="18"/>
                <w:szCs w:val="18"/>
              </w:rPr>
              <w:t>15/02/2021</w:t>
            </w:r>
          </w:p>
        </w:tc>
        <w:tc>
          <w:tcPr>
            <w:tcW w:w="1428" w:type="dxa"/>
            <w:tcBorders>
              <w:left w:val="single" w:sz="2" w:space="0" w:color="808080" w:themeColor="background1" w:themeShade="80"/>
              <w:right w:val="single" w:sz="2" w:space="0" w:color="808080" w:themeColor="background1" w:themeShade="80"/>
            </w:tcBorders>
            <w:hideMark/>
          </w:tcPr>
          <w:p w14:paraId="7A0392B2" w14:textId="77777777" w:rsidR="00636699" w:rsidRPr="00241BD8" w:rsidRDefault="00636699" w:rsidP="00222E80">
            <w:pPr>
              <w:pStyle w:val="NormalWeb"/>
              <w:jc w:val="center"/>
              <w:rPr>
                <w:sz w:val="18"/>
                <w:szCs w:val="18"/>
              </w:rPr>
            </w:pPr>
            <w:r w:rsidRPr="00241BD8">
              <w:rPr>
                <w:sz w:val="18"/>
                <w:szCs w:val="18"/>
              </w:rPr>
              <w:t>12/02/2021</w:t>
            </w:r>
          </w:p>
        </w:tc>
        <w:tc>
          <w:tcPr>
            <w:tcW w:w="1134" w:type="dxa"/>
            <w:tcBorders>
              <w:left w:val="single" w:sz="2" w:space="0" w:color="808080" w:themeColor="background1" w:themeShade="80"/>
              <w:right w:val="single" w:sz="2" w:space="0" w:color="808080" w:themeColor="background1" w:themeShade="80"/>
            </w:tcBorders>
            <w:hideMark/>
          </w:tcPr>
          <w:p w14:paraId="761FB7EA" w14:textId="77777777" w:rsidR="00636699" w:rsidRPr="00241BD8" w:rsidRDefault="00636699" w:rsidP="00222E80">
            <w:pPr>
              <w:pStyle w:val="NormalWeb"/>
              <w:jc w:val="center"/>
              <w:rPr>
                <w:sz w:val="18"/>
                <w:szCs w:val="18"/>
              </w:rPr>
            </w:pPr>
            <w:r w:rsidRPr="00241BD8">
              <w:rPr>
                <w:sz w:val="18"/>
                <w:szCs w:val="18"/>
              </w:rPr>
              <w:t>0</w:t>
            </w:r>
          </w:p>
        </w:tc>
        <w:tc>
          <w:tcPr>
            <w:tcW w:w="1679" w:type="dxa"/>
            <w:tcBorders>
              <w:left w:val="single" w:sz="2" w:space="0" w:color="808080" w:themeColor="background1" w:themeShade="80"/>
              <w:right w:val="single" w:sz="2" w:space="0" w:color="808080" w:themeColor="background1" w:themeShade="80"/>
            </w:tcBorders>
            <w:hideMark/>
          </w:tcPr>
          <w:p w14:paraId="39DF7296" w14:textId="77777777" w:rsidR="00636699" w:rsidRPr="00241BD8" w:rsidRDefault="00636699" w:rsidP="00222E80">
            <w:pPr>
              <w:pStyle w:val="NormalWeb"/>
              <w:jc w:val="center"/>
              <w:rPr>
                <w:sz w:val="18"/>
                <w:szCs w:val="18"/>
              </w:rPr>
            </w:pPr>
            <w:r w:rsidRPr="00241BD8">
              <w:rPr>
                <w:sz w:val="18"/>
                <w:szCs w:val="18"/>
              </w:rPr>
              <w:t>3200</w:t>
            </w:r>
          </w:p>
        </w:tc>
        <w:tc>
          <w:tcPr>
            <w:tcW w:w="879" w:type="dxa"/>
            <w:tcBorders>
              <w:left w:val="single" w:sz="2" w:space="0" w:color="808080" w:themeColor="background1" w:themeShade="80"/>
              <w:right w:val="single" w:sz="2" w:space="0" w:color="808080" w:themeColor="background1" w:themeShade="80"/>
            </w:tcBorders>
            <w:hideMark/>
          </w:tcPr>
          <w:p w14:paraId="4C3BB198" w14:textId="77777777" w:rsidR="00636699" w:rsidRPr="00241BD8" w:rsidRDefault="00636699" w:rsidP="00222E80">
            <w:pPr>
              <w:pStyle w:val="NormalWeb"/>
              <w:jc w:val="center"/>
              <w:rPr>
                <w:sz w:val="18"/>
                <w:szCs w:val="18"/>
              </w:rPr>
            </w:pPr>
            <w:r w:rsidRPr="00241BD8">
              <w:rPr>
                <w:sz w:val="18"/>
                <w:szCs w:val="18"/>
              </w:rPr>
              <w:t>Hardjo</w:t>
            </w:r>
          </w:p>
        </w:tc>
        <w:tc>
          <w:tcPr>
            <w:tcW w:w="1119" w:type="dxa"/>
            <w:tcBorders>
              <w:left w:val="single" w:sz="2" w:space="0" w:color="808080" w:themeColor="background1" w:themeShade="80"/>
              <w:right w:val="single" w:sz="2" w:space="0" w:color="808080" w:themeColor="background1" w:themeShade="80"/>
            </w:tcBorders>
            <w:hideMark/>
          </w:tcPr>
          <w:p w14:paraId="2918EA8A" w14:textId="77777777" w:rsidR="00636699" w:rsidRPr="00241BD8" w:rsidRDefault="00636699" w:rsidP="00222E80">
            <w:pPr>
              <w:pStyle w:val="NormalWeb"/>
              <w:jc w:val="center"/>
              <w:rPr>
                <w:sz w:val="18"/>
                <w:szCs w:val="18"/>
              </w:rPr>
            </w:pPr>
            <w:r w:rsidRPr="00241BD8">
              <w:rPr>
                <w:sz w:val="18"/>
                <w:szCs w:val="18"/>
              </w:rPr>
              <w:t>Detected</w:t>
            </w:r>
          </w:p>
        </w:tc>
        <w:tc>
          <w:tcPr>
            <w:tcW w:w="1119" w:type="dxa"/>
            <w:tcBorders>
              <w:left w:val="single" w:sz="2" w:space="0" w:color="808080" w:themeColor="background1" w:themeShade="80"/>
            </w:tcBorders>
            <w:hideMark/>
          </w:tcPr>
          <w:p w14:paraId="3BEA6D33" w14:textId="77777777" w:rsidR="00636699" w:rsidRPr="00241BD8" w:rsidRDefault="00636699" w:rsidP="00222E80">
            <w:pPr>
              <w:pStyle w:val="NormalWeb"/>
              <w:jc w:val="center"/>
              <w:rPr>
                <w:sz w:val="18"/>
                <w:szCs w:val="18"/>
              </w:rPr>
            </w:pPr>
            <w:r w:rsidRPr="00241BD8">
              <w:rPr>
                <w:sz w:val="18"/>
                <w:szCs w:val="18"/>
              </w:rPr>
              <w:t>—</w:t>
            </w:r>
          </w:p>
        </w:tc>
      </w:tr>
      <w:tr w:rsidR="00636699" w:rsidRPr="00241BD8" w14:paraId="31EC0AD0" w14:textId="77777777" w:rsidTr="005C24C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272" w:type="dxa"/>
            <w:tcBorders>
              <w:right w:val="single" w:sz="2" w:space="0" w:color="808080" w:themeColor="background1" w:themeShade="80"/>
            </w:tcBorders>
            <w:hideMark/>
          </w:tcPr>
          <w:p w14:paraId="6CFFE05C" w14:textId="77777777" w:rsidR="00636699" w:rsidRPr="00241BD8" w:rsidRDefault="00636699" w:rsidP="00222E80">
            <w:pPr>
              <w:pStyle w:val="NormalWeb"/>
              <w:rPr>
                <w:sz w:val="18"/>
                <w:szCs w:val="18"/>
              </w:rPr>
            </w:pPr>
            <w:r w:rsidRPr="00241BD8">
              <w:rPr>
                <w:sz w:val="18"/>
                <w:szCs w:val="18"/>
              </w:rPr>
              <w:t>8</w:t>
            </w:r>
          </w:p>
        </w:tc>
        <w:tc>
          <w:tcPr>
            <w:tcW w:w="1836" w:type="dxa"/>
            <w:tcBorders>
              <w:left w:val="single" w:sz="2" w:space="0" w:color="808080" w:themeColor="background1" w:themeShade="80"/>
              <w:right w:val="single" w:sz="2" w:space="0" w:color="808080" w:themeColor="background1" w:themeShade="80"/>
            </w:tcBorders>
            <w:hideMark/>
          </w:tcPr>
          <w:p w14:paraId="2F4F279A" w14:textId="77777777" w:rsidR="00636699" w:rsidRPr="00241BD8" w:rsidRDefault="00636699" w:rsidP="00222E80">
            <w:pPr>
              <w:pStyle w:val="NormalWeb"/>
              <w:jc w:val="center"/>
              <w:rPr>
                <w:sz w:val="18"/>
                <w:szCs w:val="18"/>
              </w:rPr>
            </w:pPr>
            <w:r w:rsidRPr="00241BD8">
              <w:rPr>
                <w:sz w:val="18"/>
                <w:szCs w:val="18"/>
              </w:rPr>
              <w:t>15/02/2021</w:t>
            </w:r>
          </w:p>
        </w:tc>
        <w:tc>
          <w:tcPr>
            <w:tcW w:w="1428" w:type="dxa"/>
            <w:tcBorders>
              <w:left w:val="single" w:sz="2" w:space="0" w:color="808080" w:themeColor="background1" w:themeShade="80"/>
              <w:right w:val="single" w:sz="2" w:space="0" w:color="808080" w:themeColor="background1" w:themeShade="80"/>
            </w:tcBorders>
            <w:hideMark/>
          </w:tcPr>
          <w:p w14:paraId="0AAF144B" w14:textId="77777777" w:rsidR="00636699" w:rsidRPr="00241BD8" w:rsidRDefault="00636699" w:rsidP="00222E80">
            <w:pPr>
              <w:pStyle w:val="NormalWeb"/>
              <w:jc w:val="center"/>
              <w:rPr>
                <w:sz w:val="18"/>
                <w:szCs w:val="18"/>
              </w:rPr>
            </w:pPr>
            <w:r w:rsidRPr="00241BD8">
              <w:rPr>
                <w:sz w:val="18"/>
                <w:szCs w:val="18"/>
              </w:rPr>
              <w:t>15/02/2021</w:t>
            </w:r>
          </w:p>
        </w:tc>
        <w:tc>
          <w:tcPr>
            <w:tcW w:w="1134" w:type="dxa"/>
            <w:tcBorders>
              <w:left w:val="single" w:sz="2" w:space="0" w:color="808080" w:themeColor="background1" w:themeShade="80"/>
              <w:right w:val="single" w:sz="2" w:space="0" w:color="808080" w:themeColor="background1" w:themeShade="80"/>
            </w:tcBorders>
            <w:hideMark/>
          </w:tcPr>
          <w:p w14:paraId="79AA3073" w14:textId="77777777" w:rsidR="00636699" w:rsidRPr="00241BD8" w:rsidRDefault="00636699" w:rsidP="00222E80">
            <w:pPr>
              <w:pStyle w:val="NormalWeb"/>
              <w:jc w:val="center"/>
              <w:rPr>
                <w:sz w:val="18"/>
                <w:szCs w:val="18"/>
              </w:rPr>
            </w:pPr>
            <w:r w:rsidRPr="00241BD8">
              <w:rPr>
                <w:sz w:val="18"/>
                <w:szCs w:val="18"/>
              </w:rPr>
              <w:t>0</w:t>
            </w:r>
          </w:p>
        </w:tc>
        <w:tc>
          <w:tcPr>
            <w:tcW w:w="1679" w:type="dxa"/>
            <w:tcBorders>
              <w:left w:val="single" w:sz="2" w:space="0" w:color="808080" w:themeColor="background1" w:themeShade="80"/>
              <w:right w:val="single" w:sz="2" w:space="0" w:color="808080" w:themeColor="background1" w:themeShade="80"/>
            </w:tcBorders>
            <w:hideMark/>
          </w:tcPr>
          <w:p w14:paraId="11119641" w14:textId="77777777" w:rsidR="00636699" w:rsidRPr="00241BD8" w:rsidRDefault="00636699" w:rsidP="00222E80">
            <w:pPr>
              <w:pStyle w:val="NormalWeb"/>
              <w:jc w:val="center"/>
              <w:rPr>
                <w:sz w:val="18"/>
                <w:szCs w:val="18"/>
              </w:rPr>
            </w:pPr>
            <w:r w:rsidRPr="00241BD8">
              <w:rPr>
                <w:sz w:val="18"/>
                <w:szCs w:val="18"/>
              </w:rPr>
              <w:t>400</w:t>
            </w:r>
          </w:p>
        </w:tc>
        <w:tc>
          <w:tcPr>
            <w:tcW w:w="879" w:type="dxa"/>
            <w:tcBorders>
              <w:left w:val="single" w:sz="2" w:space="0" w:color="808080" w:themeColor="background1" w:themeShade="80"/>
              <w:right w:val="single" w:sz="2" w:space="0" w:color="808080" w:themeColor="background1" w:themeShade="80"/>
            </w:tcBorders>
            <w:hideMark/>
          </w:tcPr>
          <w:p w14:paraId="6ABDF36F" w14:textId="77777777" w:rsidR="00636699" w:rsidRPr="00241BD8" w:rsidRDefault="00636699" w:rsidP="00222E80">
            <w:pPr>
              <w:pStyle w:val="NormalWeb"/>
              <w:jc w:val="center"/>
              <w:rPr>
                <w:sz w:val="18"/>
                <w:szCs w:val="18"/>
              </w:rPr>
            </w:pPr>
            <w:r w:rsidRPr="00241BD8">
              <w:rPr>
                <w:sz w:val="18"/>
                <w:szCs w:val="18"/>
              </w:rPr>
              <w:t>Hardjo</w:t>
            </w:r>
          </w:p>
        </w:tc>
        <w:tc>
          <w:tcPr>
            <w:tcW w:w="1119" w:type="dxa"/>
            <w:tcBorders>
              <w:left w:val="single" w:sz="2" w:space="0" w:color="808080" w:themeColor="background1" w:themeShade="80"/>
              <w:right w:val="single" w:sz="2" w:space="0" w:color="808080" w:themeColor="background1" w:themeShade="80"/>
            </w:tcBorders>
            <w:hideMark/>
          </w:tcPr>
          <w:p w14:paraId="1430CF88" w14:textId="77777777" w:rsidR="00636699" w:rsidRPr="00241BD8" w:rsidRDefault="00636699" w:rsidP="00222E80">
            <w:pPr>
              <w:pStyle w:val="NormalWeb"/>
              <w:jc w:val="center"/>
              <w:rPr>
                <w:sz w:val="18"/>
                <w:szCs w:val="18"/>
              </w:rPr>
            </w:pPr>
            <w:r w:rsidRPr="00241BD8">
              <w:rPr>
                <w:sz w:val="18"/>
                <w:szCs w:val="18"/>
              </w:rPr>
              <w:t>Detected</w:t>
            </w:r>
          </w:p>
        </w:tc>
        <w:tc>
          <w:tcPr>
            <w:tcW w:w="1119" w:type="dxa"/>
            <w:tcBorders>
              <w:left w:val="single" w:sz="2" w:space="0" w:color="808080" w:themeColor="background1" w:themeShade="80"/>
            </w:tcBorders>
            <w:hideMark/>
          </w:tcPr>
          <w:p w14:paraId="2F963E98" w14:textId="77777777" w:rsidR="00636699" w:rsidRPr="00241BD8" w:rsidRDefault="00636699" w:rsidP="00222E80">
            <w:pPr>
              <w:pStyle w:val="NormalWeb"/>
              <w:jc w:val="center"/>
              <w:rPr>
                <w:sz w:val="18"/>
                <w:szCs w:val="18"/>
              </w:rPr>
            </w:pPr>
            <w:r w:rsidRPr="00241BD8">
              <w:rPr>
                <w:sz w:val="18"/>
                <w:szCs w:val="18"/>
              </w:rPr>
              <w:t>Detected</w:t>
            </w:r>
          </w:p>
        </w:tc>
      </w:tr>
      <w:tr w:rsidR="00636699" w:rsidRPr="00241BD8" w14:paraId="4A1F7FF9" w14:textId="77777777" w:rsidTr="005C24C3">
        <w:tblPrEx>
          <w:tblCellMar>
            <w:top w:w="57" w:type="dxa"/>
            <w:left w:w="57" w:type="dxa"/>
            <w:bottom w:w="57" w:type="dxa"/>
            <w:right w:w="57" w:type="dxa"/>
          </w:tblCellMar>
        </w:tblPrEx>
        <w:tc>
          <w:tcPr>
            <w:tcW w:w="1272" w:type="dxa"/>
            <w:tcBorders>
              <w:right w:val="single" w:sz="2" w:space="0" w:color="808080" w:themeColor="background1" w:themeShade="80"/>
            </w:tcBorders>
            <w:hideMark/>
          </w:tcPr>
          <w:p w14:paraId="47678CE0" w14:textId="77777777" w:rsidR="00636699" w:rsidRPr="00241BD8" w:rsidRDefault="00636699" w:rsidP="00222E80">
            <w:pPr>
              <w:pStyle w:val="NormalWeb"/>
              <w:rPr>
                <w:sz w:val="18"/>
                <w:szCs w:val="18"/>
              </w:rPr>
            </w:pPr>
            <w:r w:rsidRPr="00241BD8">
              <w:rPr>
                <w:sz w:val="18"/>
                <w:szCs w:val="18"/>
              </w:rPr>
              <w:t>9</w:t>
            </w:r>
          </w:p>
        </w:tc>
        <w:tc>
          <w:tcPr>
            <w:tcW w:w="1836" w:type="dxa"/>
            <w:tcBorders>
              <w:left w:val="single" w:sz="2" w:space="0" w:color="808080" w:themeColor="background1" w:themeShade="80"/>
              <w:right w:val="single" w:sz="2" w:space="0" w:color="808080" w:themeColor="background1" w:themeShade="80"/>
            </w:tcBorders>
            <w:hideMark/>
          </w:tcPr>
          <w:p w14:paraId="6A9459DE" w14:textId="77777777" w:rsidR="00636699" w:rsidRPr="00241BD8" w:rsidRDefault="00636699" w:rsidP="00222E80">
            <w:pPr>
              <w:pStyle w:val="NormalWeb"/>
              <w:jc w:val="center"/>
              <w:rPr>
                <w:sz w:val="18"/>
                <w:szCs w:val="18"/>
              </w:rPr>
            </w:pPr>
            <w:r w:rsidRPr="00241BD8">
              <w:rPr>
                <w:sz w:val="18"/>
                <w:szCs w:val="18"/>
              </w:rPr>
              <w:t>15/02/2021</w:t>
            </w:r>
          </w:p>
        </w:tc>
        <w:tc>
          <w:tcPr>
            <w:tcW w:w="1428" w:type="dxa"/>
            <w:tcBorders>
              <w:left w:val="single" w:sz="2" w:space="0" w:color="808080" w:themeColor="background1" w:themeShade="80"/>
              <w:right w:val="single" w:sz="2" w:space="0" w:color="808080" w:themeColor="background1" w:themeShade="80"/>
            </w:tcBorders>
            <w:hideMark/>
          </w:tcPr>
          <w:p w14:paraId="58489A73" w14:textId="77777777" w:rsidR="00636699" w:rsidRPr="00241BD8" w:rsidRDefault="00636699" w:rsidP="00222E80">
            <w:pPr>
              <w:pStyle w:val="NormalWeb"/>
              <w:jc w:val="center"/>
              <w:rPr>
                <w:sz w:val="18"/>
                <w:szCs w:val="18"/>
              </w:rPr>
            </w:pPr>
            <w:r w:rsidRPr="00241BD8">
              <w:rPr>
                <w:sz w:val="18"/>
                <w:szCs w:val="18"/>
              </w:rPr>
              <w:t>10/02/2021</w:t>
            </w:r>
          </w:p>
        </w:tc>
        <w:tc>
          <w:tcPr>
            <w:tcW w:w="1134" w:type="dxa"/>
            <w:tcBorders>
              <w:left w:val="single" w:sz="2" w:space="0" w:color="808080" w:themeColor="background1" w:themeShade="80"/>
              <w:right w:val="single" w:sz="2" w:space="0" w:color="808080" w:themeColor="background1" w:themeShade="80"/>
            </w:tcBorders>
            <w:hideMark/>
          </w:tcPr>
          <w:p w14:paraId="745A10D4" w14:textId="77777777" w:rsidR="00636699" w:rsidRPr="00241BD8" w:rsidRDefault="00636699" w:rsidP="00222E80">
            <w:pPr>
              <w:pStyle w:val="NormalWeb"/>
              <w:jc w:val="center"/>
              <w:rPr>
                <w:sz w:val="18"/>
                <w:szCs w:val="18"/>
              </w:rPr>
            </w:pPr>
            <w:r w:rsidRPr="00241BD8">
              <w:rPr>
                <w:sz w:val="18"/>
                <w:szCs w:val="18"/>
              </w:rPr>
              <w:t>800</w:t>
            </w:r>
          </w:p>
        </w:tc>
        <w:tc>
          <w:tcPr>
            <w:tcW w:w="1679" w:type="dxa"/>
            <w:tcBorders>
              <w:left w:val="single" w:sz="2" w:space="0" w:color="808080" w:themeColor="background1" w:themeShade="80"/>
              <w:right w:val="single" w:sz="2" w:space="0" w:color="808080" w:themeColor="background1" w:themeShade="80"/>
            </w:tcBorders>
            <w:hideMark/>
          </w:tcPr>
          <w:p w14:paraId="3E449A2A" w14:textId="77777777" w:rsidR="00636699" w:rsidRPr="00241BD8" w:rsidRDefault="00636699" w:rsidP="00222E80">
            <w:pPr>
              <w:pStyle w:val="NormalWeb"/>
              <w:jc w:val="center"/>
              <w:rPr>
                <w:sz w:val="18"/>
                <w:szCs w:val="18"/>
              </w:rPr>
            </w:pPr>
            <w:r w:rsidRPr="00241BD8">
              <w:rPr>
                <w:sz w:val="18"/>
                <w:szCs w:val="18"/>
              </w:rPr>
              <w:t>1600</w:t>
            </w:r>
          </w:p>
        </w:tc>
        <w:tc>
          <w:tcPr>
            <w:tcW w:w="879" w:type="dxa"/>
            <w:tcBorders>
              <w:left w:val="single" w:sz="2" w:space="0" w:color="808080" w:themeColor="background1" w:themeShade="80"/>
              <w:right w:val="single" w:sz="2" w:space="0" w:color="808080" w:themeColor="background1" w:themeShade="80"/>
            </w:tcBorders>
            <w:hideMark/>
          </w:tcPr>
          <w:p w14:paraId="68DB0E8E" w14:textId="77777777" w:rsidR="00636699" w:rsidRPr="00241BD8" w:rsidRDefault="00636699" w:rsidP="00222E80">
            <w:pPr>
              <w:pStyle w:val="NormalWeb"/>
              <w:jc w:val="center"/>
              <w:rPr>
                <w:sz w:val="18"/>
                <w:szCs w:val="18"/>
              </w:rPr>
            </w:pPr>
            <w:r w:rsidRPr="00241BD8">
              <w:rPr>
                <w:sz w:val="18"/>
                <w:szCs w:val="18"/>
              </w:rPr>
              <w:t>Hardjo</w:t>
            </w:r>
          </w:p>
        </w:tc>
        <w:tc>
          <w:tcPr>
            <w:tcW w:w="1119" w:type="dxa"/>
            <w:tcBorders>
              <w:left w:val="single" w:sz="2" w:space="0" w:color="808080" w:themeColor="background1" w:themeShade="80"/>
              <w:right w:val="single" w:sz="2" w:space="0" w:color="808080" w:themeColor="background1" w:themeShade="80"/>
            </w:tcBorders>
            <w:hideMark/>
          </w:tcPr>
          <w:p w14:paraId="36CA3A7F" w14:textId="77777777" w:rsidR="00636699" w:rsidRPr="00241BD8" w:rsidRDefault="00636699" w:rsidP="00222E80">
            <w:pPr>
              <w:pStyle w:val="NormalWeb"/>
              <w:jc w:val="center"/>
              <w:rPr>
                <w:sz w:val="18"/>
                <w:szCs w:val="18"/>
              </w:rPr>
            </w:pPr>
            <w:r w:rsidRPr="00241BD8">
              <w:rPr>
                <w:sz w:val="18"/>
                <w:szCs w:val="18"/>
              </w:rPr>
              <w:t>Not detected</w:t>
            </w:r>
          </w:p>
        </w:tc>
        <w:tc>
          <w:tcPr>
            <w:tcW w:w="1119" w:type="dxa"/>
            <w:tcBorders>
              <w:left w:val="single" w:sz="2" w:space="0" w:color="808080" w:themeColor="background1" w:themeShade="80"/>
            </w:tcBorders>
            <w:hideMark/>
          </w:tcPr>
          <w:p w14:paraId="0732FCF9" w14:textId="77777777" w:rsidR="00636699" w:rsidRPr="00241BD8" w:rsidRDefault="00636699" w:rsidP="00222E80">
            <w:pPr>
              <w:pStyle w:val="NormalWeb"/>
              <w:jc w:val="center"/>
              <w:rPr>
                <w:sz w:val="18"/>
                <w:szCs w:val="18"/>
              </w:rPr>
            </w:pPr>
            <w:r w:rsidRPr="00241BD8">
              <w:rPr>
                <w:sz w:val="18"/>
                <w:szCs w:val="18"/>
              </w:rPr>
              <w:t>—</w:t>
            </w:r>
          </w:p>
        </w:tc>
      </w:tr>
      <w:tr w:rsidR="00636699" w:rsidRPr="00241BD8" w14:paraId="20A16344" w14:textId="77777777" w:rsidTr="005C24C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272" w:type="dxa"/>
            <w:tcBorders>
              <w:right w:val="single" w:sz="2" w:space="0" w:color="808080" w:themeColor="background1" w:themeShade="80"/>
            </w:tcBorders>
            <w:hideMark/>
          </w:tcPr>
          <w:p w14:paraId="357D510B" w14:textId="77777777" w:rsidR="00636699" w:rsidRPr="00241BD8" w:rsidRDefault="00636699" w:rsidP="00222E80">
            <w:pPr>
              <w:pStyle w:val="NormalWeb"/>
              <w:rPr>
                <w:sz w:val="18"/>
                <w:szCs w:val="18"/>
              </w:rPr>
            </w:pPr>
            <w:r w:rsidRPr="00241BD8">
              <w:rPr>
                <w:sz w:val="18"/>
                <w:szCs w:val="18"/>
              </w:rPr>
              <w:t>10</w:t>
            </w:r>
          </w:p>
        </w:tc>
        <w:tc>
          <w:tcPr>
            <w:tcW w:w="1836" w:type="dxa"/>
            <w:tcBorders>
              <w:left w:val="single" w:sz="2" w:space="0" w:color="808080" w:themeColor="background1" w:themeShade="80"/>
              <w:right w:val="single" w:sz="2" w:space="0" w:color="808080" w:themeColor="background1" w:themeShade="80"/>
            </w:tcBorders>
            <w:hideMark/>
          </w:tcPr>
          <w:p w14:paraId="239AE7D1" w14:textId="77777777" w:rsidR="00636699" w:rsidRPr="00241BD8" w:rsidRDefault="00636699" w:rsidP="00222E80">
            <w:pPr>
              <w:pStyle w:val="NormalWeb"/>
              <w:jc w:val="center"/>
              <w:rPr>
                <w:sz w:val="18"/>
                <w:szCs w:val="18"/>
              </w:rPr>
            </w:pPr>
            <w:r w:rsidRPr="00241BD8">
              <w:rPr>
                <w:sz w:val="18"/>
                <w:szCs w:val="18"/>
              </w:rPr>
              <w:t>18/02/2021</w:t>
            </w:r>
          </w:p>
        </w:tc>
        <w:tc>
          <w:tcPr>
            <w:tcW w:w="1428" w:type="dxa"/>
            <w:tcBorders>
              <w:left w:val="single" w:sz="2" w:space="0" w:color="808080" w:themeColor="background1" w:themeShade="80"/>
              <w:right w:val="single" w:sz="2" w:space="0" w:color="808080" w:themeColor="background1" w:themeShade="80"/>
            </w:tcBorders>
            <w:hideMark/>
          </w:tcPr>
          <w:p w14:paraId="08BC0815" w14:textId="77777777" w:rsidR="00636699" w:rsidRPr="00241BD8" w:rsidRDefault="00636699" w:rsidP="00222E80">
            <w:pPr>
              <w:pStyle w:val="NormalWeb"/>
              <w:jc w:val="center"/>
              <w:rPr>
                <w:sz w:val="18"/>
                <w:szCs w:val="18"/>
              </w:rPr>
            </w:pPr>
            <w:r w:rsidRPr="00241BD8">
              <w:rPr>
                <w:sz w:val="18"/>
                <w:szCs w:val="18"/>
              </w:rPr>
              <w:t>04/02/2021</w:t>
            </w:r>
          </w:p>
        </w:tc>
        <w:tc>
          <w:tcPr>
            <w:tcW w:w="1134" w:type="dxa"/>
            <w:tcBorders>
              <w:left w:val="single" w:sz="2" w:space="0" w:color="808080" w:themeColor="background1" w:themeShade="80"/>
              <w:right w:val="single" w:sz="2" w:space="0" w:color="808080" w:themeColor="background1" w:themeShade="80"/>
            </w:tcBorders>
            <w:hideMark/>
          </w:tcPr>
          <w:p w14:paraId="308EC839" w14:textId="77777777" w:rsidR="00636699" w:rsidRPr="00241BD8" w:rsidRDefault="00636699" w:rsidP="00222E80">
            <w:pPr>
              <w:pStyle w:val="NormalWeb"/>
              <w:jc w:val="center"/>
              <w:rPr>
                <w:sz w:val="18"/>
                <w:szCs w:val="18"/>
              </w:rPr>
            </w:pPr>
            <w:r w:rsidRPr="00241BD8">
              <w:rPr>
                <w:sz w:val="18"/>
                <w:szCs w:val="18"/>
              </w:rPr>
              <w:t>1600</w:t>
            </w:r>
          </w:p>
        </w:tc>
        <w:tc>
          <w:tcPr>
            <w:tcW w:w="1679" w:type="dxa"/>
            <w:tcBorders>
              <w:left w:val="single" w:sz="2" w:space="0" w:color="808080" w:themeColor="background1" w:themeShade="80"/>
              <w:right w:val="single" w:sz="2" w:space="0" w:color="808080" w:themeColor="background1" w:themeShade="80"/>
            </w:tcBorders>
            <w:hideMark/>
          </w:tcPr>
          <w:p w14:paraId="70A40E31" w14:textId="77777777" w:rsidR="00636699" w:rsidRPr="00241BD8" w:rsidRDefault="00636699" w:rsidP="00222E80">
            <w:pPr>
              <w:pStyle w:val="NormalWeb"/>
              <w:jc w:val="center"/>
              <w:rPr>
                <w:sz w:val="18"/>
                <w:szCs w:val="18"/>
              </w:rPr>
            </w:pPr>
            <w:r w:rsidRPr="00241BD8">
              <w:rPr>
                <w:sz w:val="18"/>
                <w:szCs w:val="18"/>
              </w:rPr>
              <w:t>3200</w:t>
            </w:r>
          </w:p>
        </w:tc>
        <w:tc>
          <w:tcPr>
            <w:tcW w:w="879" w:type="dxa"/>
            <w:tcBorders>
              <w:left w:val="single" w:sz="2" w:space="0" w:color="808080" w:themeColor="background1" w:themeShade="80"/>
              <w:right w:val="single" w:sz="2" w:space="0" w:color="808080" w:themeColor="background1" w:themeShade="80"/>
            </w:tcBorders>
            <w:hideMark/>
          </w:tcPr>
          <w:p w14:paraId="60C165AF" w14:textId="77777777" w:rsidR="00636699" w:rsidRPr="00241BD8" w:rsidRDefault="00636699" w:rsidP="00222E80">
            <w:pPr>
              <w:pStyle w:val="NormalWeb"/>
              <w:jc w:val="center"/>
              <w:rPr>
                <w:sz w:val="18"/>
                <w:szCs w:val="18"/>
              </w:rPr>
            </w:pPr>
            <w:r w:rsidRPr="00241BD8">
              <w:rPr>
                <w:sz w:val="18"/>
                <w:szCs w:val="18"/>
              </w:rPr>
              <w:t>Topaz</w:t>
            </w:r>
          </w:p>
        </w:tc>
        <w:tc>
          <w:tcPr>
            <w:tcW w:w="1119" w:type="dxa"/>
            <w:tcBorders>
              <w:left w:val="single" w:sz="2" w:space="0" w:color="808080" w:themeColor="background1" w:themeShade="80"/>
              <w:right w:val="single" w:sz="2" w:space="0" w:color="808080" w:themeColor="background1" w:themeShade="80"/>
            </w:tcBorders>
            <w:hideMark/>
          </w:tcPr>
          <w:p w14:paraId="7666DC63" w14:textId="77777777" w:rsidR="00636699" w:rsidRPr="00241BD8" w:rsidRDefault="00636699" w:rsidP="00222E80">
            <w:pPr>
              <w:pStyle w:val="NormalWeb"/>
              <w:jc w:val="center"/>
              <w:rPr>
                <w:sz w:val="18"/>
                <w:szCs w:val="18"/>
              </w:rPr>
            </w:pPr>
            <w:r w:rsidRPr="00241BD8">
              <w:rPr>
                <w:sz w:val="18"/>
                <w:szCs w:val="18"/>
              </w:rPr>
              <w:t>Detected</w:t>
            </w:r>
          </w:p>
        </w:tc>
        <w:tc>
          <w:tcPr>
            <w:tcW w:w="1119" w:type="dxa"/>
            <w:tcBorders>
              <w:left w:val="single" w:sz="2" w:space="0" w:color="808080" w:themeColor="background1" w:themeShade="80"/>
            </w:tcBorders>
            <w:hideMark/>
          </w:tcPr>
          <w:p w14:paraId="6321BECB" w14:textId="77777777" w:rsidR="00636699" w:rsidRPr="00241BD8" w:rsidRDefault="00636699" w:rsidP="00222E80">
            <w:pPr>
              <w:pStyle w:val="NormalWeb"/>
              <w:jc w:val="center"/>
              <w:rPr>
                <w:sz w:val="18"/>
                <w:szCs w:val="18"/>
              </w:rPr>
            </w:pPr>
            <w:r w:rsidRPr="00241BD8">
              <w:rPr>
                <w:sz w:val="18"/>
                <w:szCs w:val="18"/>
              </w:rPr>
              <w:t>—</w:t>
            </w:r>
          </w:p>
        </w:tc>
      </w:tr>
      <w:tr w:rsidR="00636699" w:rsidRPr="00241BD8" w14:paraId="7B03B325" w14:textId="77777777" w:rsidTr="005C24C3">
        <w:tblPrEx>
          <w:tblCellMar>
            <w:top w:w="57" w:type="dxa"/>
            <w:left w:w="57" w:type="dxa"/>
            <w:bottom w:w="57" w:type="dxa"/>
            <w:right w:w="57" w:type="dxa"/>
          </w:tblCellMar>
        </w:tblPrEx>
        <w:tc>
          <w:tcPr>
            <w:tcW w:w="1272" w:type="dxa"/>
            <w:tcBorders>
              <w:right w:val="single" w:sz="2" w:space="0" w:color="808080" w:themeColor="background1" w:themeShade="80"/>
            </w:tcBorders>
            <w:hideMark/>
          </w:tcPr>
          <w:p w14:paraId="6A69E24B" w14:textId="77777777" w:rsidR="00636699" w:rsidRPr="00241BD8" w:rsidRDefault="00636699" w:rsidP="00222E80">
            <w:pPr>
              <w:pStyle w:val="NormalWeb"/>
              <w:rPr>
                <w:sz w:val="18"/>
                <w:szCs w:val="18"/>
              </w:rPr>
            </w:pPr>
            <w:r w:rsidRPr="00241BD8">
              <w:rPr>
                <w:sz w:val="18"/>
                <w:szCs w:val="18"/>
              </w:rPr>
              <w:t>11</w:t>
            </w:r>
          </w:p>
        </w:tc>
        <w:tc>
          <w:tcPr>
            <w:tcW w:w="1836" w:type="dxa"/>
            <w:tcBorders>
              <w:left w:val="single" w:sz="2" w:space="0" w:color="808080" w:themeColor="background1" w:themeShade="80"/>
              <w:right w:val="single" w:sz="2" w:space="0" w:color="808080" w:themeColor="background1" w:themeShade="80"/>
            </w:tcBorders>
            <w:hideMark/>
          </w:tcPr>
          <w:p w14:paraId="7B1B5918" w14:textId="77777777" w:rsidR="00636699" w:rsidRPr="00241BD8" w:rsidRDefault="00636699" w:rsidP="00222E80">
            <w:pPr>
              <w:pStyle w:val="NormalWeb"/>
              <w:jc w:val="center"/>
              <w:rPr>
                <w:sz w:val="18"/>
                <w:szCs w:val="18"/>
              </w:rPr>
            </w:pPr>
            <w:r w:rsidRPr="00241BD8">
              <w:rPr>
                <w:sz w:val="18"/>
                <w:szCs w:val="18"/>
              </w:rPr>
              <w:t>4/03/2021</w:t>
            </w:r>
          </w:p>
        </w:tc>
        <w:tc>
          <w:tcPr>
            <w:tcW w:w="1428" w:type="dxa"/>
            <w:tcBorders>
              <w:left w:val="single" w:sz="2" w:space="0" w:color="808080" w:themeColor="background1" w:themeShade="80"/>
              <w:right w:val="single" w:sz="2" w:space="0" w:color="808080" w:themeColor="background1" w:themeShade="80"/>
            </w:tcBorders>
            <w:hideMark/>
          </w:tcPr>
          <w:p w14:paraId="6335E59A" w14:textId="77777777" w:rsidR="00636699" w:rsidRPr="00241BD8" w:rsidRDefault="00636699" w:rsidP="00222E80">
            <w:pPr>
              <w:pStyle w:val="NormalWeb"/>
              <w:jc w:val="center"/>
              <w:rPr>
                <w:sz w:val="18"/>
                <w:szCs w:val="18"/>
              </w:rPr>
            </w:pPr>
            <w:r w:rsidRPr="00241BD8">
              <w:rPr>
                <w:sz w:val="18"/>
                <w:szCs w:val="18"/>
              </w:rPr>
              <w:t>04/03/2021</w:t>
            </w:r>
          </w:p>
        </w:tc>
        <w:tc>
          <w:tcPr>
            <w:tcW w:w="1134" w:type="dxa"/>
            <w:tcBorders>
              <w:left w:val="single" w:sz="2" w:space="0" w:color="808080" w:themeColor="background1" w:themeShade="80"/>
              <w:right w:val="single" w:sz="2" w:space="0" w:color="808080" w:themeColor="background1" w:themeShade="80"/>
            </w:tcBorders>
            <w:hideMark/>
          </w:tcPr>
          <w:p w14:paraId="25B636C3" w14:textId="77777777" w:rsidR="00636699" w:rsidRPr="00241BD8" w:rsidRDefault="00636699" w:rsidP="00222E80">
            <w:pPr>
              <w:pStyle w:val="NormalWeb"/>
              <w:jc w:val="center"/>
              <w:rPr>
                <w:sz w:val="18"/>
                <w:szCs w:val="18"/>
              </w:rPr>
            </w:pPr>
            <w:r w:rsidRPr="00241BD8">
              <w:rPr>
                <w:sz w:val="18"/>
                <w:szCs w:val="18"/>
              </w:rPr>
              <w:t>0</w:t>
            </w:r>
          </w:p>
        </w:tc>
        <w:tc>
          <w:tcPr>
            <w:tcW w:w="1679" w:type="dxa"/>
            <w:tcBorders>
              <w:left w:val="single" w:sz="2" w:space="0" w:color="808080" w:themeColor="background1" w:themeShade="80"/>
              <w:right w:val="single" w:sz="2" w:space="0" w:color="808080" w:themeColor="background1" w:themeShade="80"/>
            </w:tcBorders>
            <w:hideMark/>
          </w:tcPr>
          <w:p w14:paraId="5A5FAD4E" w14:textId="77777777" w:rsidR="00636699" w:rsidRPr="00241BD8" w:rsidRDefault="00636699" w:rsidP="00222E80">
            <w:pPr>
              <w:pStyle w:val="NormalWeb"/>
              <w:jc w:val="center"/>
              <w:rPr>
                <w:sz w:val="18"/>
                <w:szCs w:val="18"/>
              </w:rPr>
            </w:pPr>
            <w:r w:rsidRPr="00241BD8">
              <w:rPr>
                <w:sz w:val="18"/>
                <w:szCs w:val="18"/>
              </w:rPr>
              <w:t>—</w:t>
            </w:r>
          </w:p>
        </w:tc>
        <w:tc>
          <w:tcPr>
            <w:tcW w:w="879" w:type="dxa"/>
            <w:tcBorders>
              <w:left w:val="single" w:sz="2" w:space="0" w:color="808080" w:themeColor="background1" w:themeShade="80"/>
              <w:right w:val="single" w:sz="2" w:space="0" w:color="808080" w:themeColor="background1" w:themeShade="80"/>
            </w:tcBorders>
            <w:hideMark/>
          </w:tcPr>
          <w:p w14:paraId="23887AB4" w14:textId="77777777" w:rsidR="00636699" w:rsidRPr="00241BD8" w:rsidRDefault="00636699" w:rsidP="00222E80">
            <w:pPr>
              <w:pStyle w:val="NormalWeb"/>
              <w:jc w:val="center"/>
              <w:rPr>
                <w:sz w:val="18"/>
                <w:szCs w:val="18"/>
              </w:rPr>
            </w:pPr>
            <w:r w:rsidRPr="00241BD8">
              <w:rPr>
                <w:sz w:val="18"/>
                <w:szCs w:val="18"/>
              </w:rPr>
              <w:t>—</w:t>
            </w:r>
          </w:p>
        </w:tc>
        <w:tc>
          <w:tcPr>
            <w:tcW w:w="1119" w:type="dxa"/>
            <w:tcBorders>
              <w:left w:val="single" w:sz="2" w:space="0" w:color="808080" w:themeColor="background1" w:themeShade="80"/>
              <w:right w:val="single" w:sz="2" w:space="0" w:color="808080" w:themeColor="background1" w:themeShade="80"/>
            </w:tcBorders>
            <w:hideMark/>
          </w:tcPr>
          <w:p w14:paraId="45D81E69" w14:textId="77777777" w:rsidR="00636699" w:rsidRPr="00241BD8" w:rsidRDefault="00636699" w:rsidP="00222E80">
            <w:pPr>
              <w:pStyle w:val="NormalWeb"/>
              <w:jc w:val="center"/>
              <w:rPr>
                <w:sz w:val="18"/>
                <w:szCs w:val="18"/>
              </w:rPr>
            </w:pPr>
            <w:r w:rsidRPr="00241BD8">
              <w:rPr>
                <w:sz w:val="18"/>
                <w:szCs w:val="18"/>
              </w:rPr>
              <w:t>Detected</w:t>
            </w:r>
          </w:p>
        </w:tc>
        <w:tc>
          <w:tcPr>
            <w:tcW w:w="1119" w:type="dxa"/>
            <w:tcBorders>
              <w:left w:val="single" w:sz="2" w:space="0" w:color="808080" w:themeColor="background1" w:themeShade="80"/>
            </w:tcBorders>
            <w:hideMark/>
          </w:tcPr>
          <w:p w14:paraId="0F1385E1" w14:textId="77777777" w:rsidR="00636699" w:rsidRPr="00241BD8" w:rsidRDefault="00636699" w:rsidP="00222E80">
            <w:pPr>
              <w:pStyle w:val="NormalWeb"/>
              <w:jc w:val="center"/>
              <w:rPr>
                <w:sz w:val="18"/>
                <w:szCs w:val="18"/>
              </w:rPr>
            </w:pPr>
            <w:r w:rsidRPr="00241BD8">
              <w:rPr>
                <w:sz w:val="18"/>
                <w:szCs w:val="18"/>
              </w:rPr>
              <w:t>—</w:t>
            </w:r>
          </w:p>
        </w:tc>
      </w:tr>
      <w:tr w:rsidR="00636699" w:rsidRPr="00241BD8" w14:paraId="4D7AEAEE" w14:textId="77777777" w:rsidTr="005C24C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272" w:type="dxa"/>
            <w:tcBorders>
              <w:right w:val="single" w:sz="2" w:space="0" w:color="808080" w:themeColor="background1" w:themeShade="80"/>
            </w:tcBorders>
            <w:hideMark/>
          </w:tcPr>
          <w:p w14:paraId="57FC8B4D" w14:textId="77777777" w:rsidR="00636699" w:rsidRPr="00241BD8" w:rsidRDefault="00636699" w:rsidP="00222E80">
            <w:pPr>
              <w:pStyle w:val="NormalWeb"/>
              <w:rPr>
                <w:sz w:val="18"/>
                <w:szCs w:val="18"/>
              </w:rPr>
            </w:pPr>
            <w:r w:rsidRPr="00241BD8">
              <w:rPr>
                <w:sz w:val="18"/>
                <w:szCs w:val="18"/>
              </w:rPr>
              <w:t>12</w:t>
            </w:r>
          </w:p>
        </w:tc>
        <w:tc>
          <w:tcPr>
            <w:tcW w:w="1836" w:type="dxa"/>
            <w:tcBorders>
              <w:left w:val="single" w:sz="2" w:space="0" w:color="808080" w:themeColor="background1" w:themeShade="80"/>
              <w:right w:val="single" w:sz="2" w:space="0" w:color="808080" w:themeColor="background1" w:themeShade="80"/>
            </w:tcBorders>
            <w:hideMark/>
          </w:tcPr>
          <w:p w14:paraId="0E78E25E" w14:textId="77777777" w:rsidR="00636699" w:rsidRPr="00241BD8" w:rsidRDefault="00636699" w:rsidP="00222E80">
            <w:pPr>
              <w:pStyle w:val="NormalWeb"/>
              <w:jc w:val="center"/>
              <w:rPr>
                <w:sz w:val="18"/>
                <w:szCs w:val="18"/>
              </w:rPr>
            </w:pPr>
            <w:r w:rsidRPr="00241BD8">
              <w:rPr>
                <w:sz w:val="18"/>
                <w:szCs w:val="18"/>
              </w:rPr>
              <w:t>10/03/2021</w:t>
            </w:r>
          </w:p>
        </w:tc>
        <w:tc>
          <w:tcPr>
            <w:tcW w:w="1428" w:type="dxa"/>
            <w:tcBorders>
              <w:left w:val="single" w:sz="2" w:space="0" w:color="808080" w:themeColor="background1" w:themeShade="80"/>
              <w:right w:val="single" w:sz="2" w:space="0" w:color="808080" w:themeColor="background1" w:themeShade="80"/>
            </w:tcBorders>
            <w:hideMark/>
          </w:tcPr>
          <w:p w14:paraId="4E90D802" w14:textId="77777777" w:rsidR="00636699" w:rsidRPr="00241BD8" w:rsidRDefault="00636699" w:rsidP="00222E80">
            <w:pPr>
              <w:pStyle w:val="NormalWeb"/>
              <w:jc w:val="center"/>
              <w:rPr>
                <w:sz w:val="18"/>
                <w:szCs w:val="18"/>
              </w:rPr>
            </w:pPr>
            <w:r w:rsidRPr="00241BD8">
              <w:rPr>
                <w:sz w:val="18"/>
                <w:szCs w:val="18"/>
              </w:rPr>
              <w:t>09/03/2021</w:t>
            </w:r>
          </w:p>
        </w:tc>
        <w:tc>
          <w:tcPr>
            <w:tcW w:w="1134" w:type="dxa"/>
            <w:tcBorders>
              <w:left w:val="single" w:sz="2" w:space="0" w:color="808080" w:themeColor="background1" w:themeShade="80"/>
              <w:right w:val="single" w:sz="2" w:space="0" w:color="808080" w:themeColor="background1" w:themeShade="80"/>
            </w:tcBorders>
            <w:hideMark/>
          </w:tcPr>
          <w:p w14:paraId="25BBB6D8" w14:textId="77777777" w:rsidR="00636699" w:rsidRPr="00241BD8" w:rsidRDefault="00636699" w:rsidP="00222E80">
            <w:pPr>
              <w:pStyle w:val="NormalWeb"/>
              <w:jc w:val="center"/>
              <w:rPr>
                <w:sz w:val="18"/>
                <w:szCs w:val="18"/>
              </w:rPr>
            </w:pPr>
            <w:r w:rsidRPr="00241BD8">
              <w:rPr>
                <w:sz w:val="18"/>
                <w:szCs w:val="18"/>
              </w:rPr>
              <w:t>0</w:t>
            </w:r>
          </w:p>
        </w:tc>
        <w:tc>
          <w:tcPr>
            <w:tcW w:w="1679" w:type="dxa"/>
            <w:tcBorders>
              <w:left w:val="single" w:sz="2" w:space="0" w:color="808080" w:themeColor="background1" w:themeShade="80"/>
              <w:right w:val="single" w:sz="2" w:space="0" w:color="808080" w:themeColor="background1" w:themeShade="80"/>
            </w:tcBorders>
            <w:hideMark/>
          </w:tcPr>
          <w:p w14:paraId="2D624873" w14:textId="77777777" w:rsidR="00636699" w:rsidRPr="00241BD8" w:rsidRDefault="00636699" w:rsidP="00222E80">
            <w:pPr>
              <w:pStyle w:val="NormalWeb"/>
              <w:jc w:val="center"/>
              <w:rPr>
                <w:sz w:val="18"/>
                <w:szCs w:val="18"/>
              </w:rPr>
            </w:pPr>
            <w:r w:rsidRPr="00241BD8">
              <w:rPr>
                <w:sz w:val="18"/>
                <w:szCs w:val="18"/>
              </w:rPr>
              <w:t>—</w:t>
            </w:r>
          </w:p>
        </w:tc>
        <w:tc>
          <w:tcPr>
            <w:tcW w:w="879" w:type="dxa"/>
            <w:tcBorders>
              <w:left w:val="single" w:sz="2" w:space="0" w:color="808080" w:themeColor="background1" w:themeShade="80"/>
              <w:right w:val="single" w:sz="2" w:space="0" w:color="808080" w:themeColor="background1" w:themeShade="80"/>
            </w:tcBorders>
            <w:hideMark/>
          </w:tcPr>
          <w:p w14:paraId="2E821E4C" w14:textId="77777777" w:rsidR="00636699" w:rsidRPr="00241BD8" w:rsidRDefault="00636699" w:rsidP="00222E80">
            <w:pPr>
              <w:pStyle w:val="NormalWeb"/>
              <w:jc w:val="center"/>
              <w:rPr>
                <w:sz w:val="18"/>
                <w:szCs w:val="18"/>
              </w:rPr>
            </w:pPr>
            <w:r w:rsidRPr="00241BD8">
              <w:rPr>
                <w:sz w:val="18"/>
                <w:szCs w:val="18"/>
              </w:rPr>
              <w:t>—</w:t>
            </w:r>
          </w:p>
        </w:tc>
        <w:tc>
          <w:tcPr>
            <w:tcW w:w="1119" w:type="dxa"/>
            <w:tcBorders>
              <w:left w:val="single" w:sz="2" w:space="0" w:color="808080" w:themeColor="background1" w:themeShade="80"/>
              <w:right w:val="single" w:sz="2" w:space="0" w:color="808080" w:themeColor="background1" w:themeShade="80"/>
            </w:tcBorders>
            <w:hideMark/>
          </w:tcPr>
          <w:p w14:paraId="50D11E21" w14:textId="77777777" w:rsidR="00636699" w:rsidRPr="00241BD8" w:rsidRDefault="00636699" w:rsidP="00222E80">
            <w:pPr>
              <w:pStyle w:val="NormalWeb"/>
              <w:jc w:val="center"/>
              <w:rPr>
                <w:sz w:val="18"/>
                <w:szCs w:val="18"/>
              </w:rPr>
            </w:pPr>
            <w:r w:rsidRPr="00241BD8">
              <w:rPr>
                <w:sz w:val="18"/>
                <w:szCs w:val="18"/>
              </w:rPr>
              <w:t>Detected</w:t>
            </w:r>
          </w:p>
        </w:tc>
        <w:tc>
          <w:tcPr>
            <w:tcW w:w="1119" w:type="dxa"/>
            <w:tcBorders>
              <w:left w:val="single" w:sz="2" w:space="0" w:color="808080" w:themeColor="background1" w:themeShade="80"/>
            </w:tcBorders>
            <w:hideMark/>
          </w:tcPr>
          <w:p w14:paraId="017DADA3" w14:textId="77777777" w:rsidR="00636699" w:rsidRPr="00241BD8" w:rsidRDefault="00636699" w:rsidP="00222E80">
            <w:pPr>
              <w:pStyle w:val="NormalWeb"/>
              <w:jc w:val="center"/>
              <w:rPr>
                <w:sz w:val="18"/>
                <w:szCs w:val="18"/>
              </w:rPr>
            </w:pPr>
            <w:r w:rsidRPr="00241BD8">
              <w:rPr>
                <w:sz w:val="18"/>
                <w:szCs w:val="18"/>
              </w:rPr>
              <w:t>—</w:t>
            </w:r>
          </w:p>
        </w:tc>
      </w:tr>
      <w:tr w:rsidR="00636699" w:rsidRPr="00241BD8" w14:paraId="2F1517D6" w14:textId="77777777" w:rsidTr="005C24C3">
        <w:tblPrEx>
          <w:tblCellMar>
            <w:top w:w="57" w:type="dxa"/>
            <w:left w:w="57" w:type="dxa"/>
            <w:bottom w:w="57" w:type="dxa"/>
            <w:right w:w="57" w:type="dxa"/>
          </w:tblCellMar>
        </w:tblPrEx>
        <w:tc>
          <w:tcPr>
            <w:tcW w:w="1272" w:type="dxa"/>
            <w:tcBorders>
              <w:right w:val="single" w:sz="2" w:space="0" w:color="808080" w:themeColor="background1" w:themeShade="80"/>
            </w:tcBorders>
            <w:hideMark/>
          </w:tcPr>
          <w:p w14:paraId="7F938673" w14:textId="77777777" w:rsidR="00636699" w:rsidRPr="00241BD8" w:rsidRDefault="00636699" w:rsidP="00222E80">
            <w:pPr>
              <w:pStyle w:val="NormalWeb"/>
              <w:rPr>
                <w:sz w:val="18"/>
                <w:szCs w:val="18"/>
              </w:rPr>
            </w:pPr>
            <w:r w:rsidRPr="00241BD8">
              <w:rPr>
                <w:sz w:val="18"/>
                <w:szCs w:val="18"/>
              </w:rPr>
              <w:t>13</w:t>
            </w:r>
          </w:p>
        </w:tc>
        <w:tc>
          <w:tcPr>
            <w:tcW w:w="1836" w:type="dxa"/>
            <w:tcBorders>
              <w:left w:val="single" w:sz="2" w:space="0" w:color="808080" w:themeColor="background1" w:themeShade="80"/>
              <w:right w:val="single" w:sz="2" w:space="0" w:color="808080" w:themeColor="background1" w:themeShade="80"/>
            </w:tcBorders>
            <w:hideMark/>
          </w:tcPr>
          <w:p w14:paraId="5999D4D9" w14:textId="77777777" w:rsidR="00636699" w:rsidRPr="00241BD8" w:rsidRDefault="00636699" w:rsidP="00222E80">
            <w:pPr>
              <w:pStyle w:val="NormalWeb"/>
              <w:jc w:val="center"/>
              <w:rPr>
                <w:sz w:val="18"/>
                <w:szCs w:val="18"/>
              </w:rPr>
            </w:pPr>
            <w:r w:rsidRPr="00241BD8">
              <w:rPr>
                <w:sz w:val="18"/>
                <w:szCs w:val="18"/>
              </w:rPr>
              <w:t>11/03/2021</w:t>
            </w:r>
          </w:p>
        </w:tc>
        <w:tc>
          <w:tcPr>
            <w:tcW w:w="1428" w:type="dxa"/>
            <w:tcBorders>
              <w:left w:val="single" w:sz="2" w:space="0" w:color="808080" w:themeColor="background1" w:themeShade="80"/>
              <w:right w:val="single" w:sz="2" w:space="0" w:color="808080" w:themeColor="background1" w:themeShade="80"/>
            </w:tcBorders>
            <w:hideMark/>
          </w:tcPr>
          <w:p w14:paraId="7D877866" w14:textId="77777777" w:rsidR="00636699" w:rsidRPr="00241BD8" w:rsidRDefault="00636699" w:rsidP="00222E80">
            <w:pPr>
              <w:pStyle w:val="NormalWeb"/>
              <w:jc w:val="center"/>
              <w:rPr>
                <w:sz w:val="18"/>
                <w:szCs w:val="18"/>
              </w:rPr>
            </w:pPr>
            <w:r w:rsidRPr="00241BD8">
              <w:rPr>
                <w:sz w:val="18"/>
                <w:szCs w:val="18"/>
              </w:rPr>
              <w:t>07/03/2021</w:t>
            </w:r>
          </w:p>
        </w:tc>
        <w:tc>
          <w:tcPr>
            <w:tcW w:w="1134" w:type="dxa"/>
            <w:tcBorders>
              <w:left w:val="single" w:sz="2" w:space="0" w:color="808080" w:themeColor="background1" w:themeShade="80"/>
              <w:right w:val="single" w:sz="2" w:space="0" w:color="808080" w:themeColor="background1" w:themeShade="80"/>
            </w:tcBorders>
            <w:hideMark/>
          </w:tcPr>
          <w:p w14:paraId="5122CCA7" w14:textId="77777777" w:rsidR="00636699" w:rsidRPr="00241BD8" w:rsidRDefault="00636699" w:rsidP="00222E80">
            <w:pPr>
              <w:pStyle w:val="NormalWeb"/>
              <w:jc w:val="center"/>
              <w:rPr>
                <w:sz w:val="18"/>
                <w:szCs w:val="18"/>
              </w:rPr>
            </w:pPr>
            <w:r w:rsidRPr="00241BD8">
              <w:rPr>
                <w:sz w:val="18"/>
                <w:szCs w:val="18"/>
              </w:rPr>
              <w:t>0</w:t>
            </w:r>
          </w:p>
        </w:tc>
        <w:tc>
          <w:tcPr>
            <w:tcW w:w="1679" w:type="dxa"/>
            <w:tcBorders>
              <w:left w:val="single" w:sz="2" w:space="0" w:color="808080" w:themeColor="background1" w:themeShade="80"/>
              <w:right w:val="single" w:sz="2" w:space="0" w:color="808080" w:themeColor="background1" w:themeShade="80"/>
            </w:tcBorders>
            <w:hideMark/>
          </w:tcPr>
          <w:p w14:paraId="3F11F637" w14:textId="77777777" w:rsidR="00636699" w:rsidRPr="00241BD8" w:rsidRDefault="00636699" w:rsidP="00222E80">
            <w:pPr>
              <w:pStyle w:val="NormalWeb"/>
              <w:jc w:val="center"/>
              <w:rPr>
                <w:sz w:val="18"/>
                <w:szCs w:val="18"/>
              </w:rPr>
            </w:pPr>
            <w:r w:rsidRPr="00241BD8">
              <w:rPr>
                <w:sz w:val="18"/>
                <w:szCs w:val="18"/>
              </w:rPr>
              <w:t>1600</w:t>
            </w:r>
          </w:p>
        </w:tc>
        <w:tc>
          <w:tcPr>
            <w:tcW w:w="879" w:type="dxa"/>
            <w:tcBorders>
              <w:left w:val="single" w:sz="2" w:space="0" w:color="808080" w:themeColor="background1" w:themeShade="80"/>
              <w:right w:val="single" w:sz="2" w:space="0" w:color="808080" w:themeColor="background1" w:themeShade="80"/>
            </w:tcBorders>
            <w:hideMark/>
          </w:tcPr>
          <w:p w14:paraId="2F1F63C3" w14:textId="77777777" w:rsidR="00636699" w:rsidRPr="00241BD8" w:rsidRDefault="00636699" w:rsidP="00222E80">
            <w:pPr>
              <w:pStyle w:val="NormalWeb"/>
              <w:jc w:val="center"/>
              <w:rPr>
                <w:sz w:val="18"/>
                <w:szCs w:val="18"/>
              </w:rPr>
            </w:pPr>
            <w:r w:rsidRPr="00241BD8">
              <w:rPr>
                <w:sz w:val="18"/>
                <w:szCs w:val="18"/>
              </w:rPr>
              <w:t>Hardjo</w:t>
            </w:r>
          </w:p>
        </w:tc>
        <w:tc>
          <w:tcPr>
            <w:tcW w:w="1119" w:type="dxa"/>
            <w:tcBorders>
              <w:left w:val="single" w:sz="2" w:space="0" w:color="808080" w:themeColor="background1" w:themeShade="80"/>
              <w:right w:val="single" w:sz="2" w:space="0" w:color="808080" w:themeColor="background1" w:themeShade="80"/>
            </w:tcBorders>
            <w:hideMark/>
          </w:tcPr>
          <w:p w14:paraId="62430A20" w14:textId="77777777" w:rsidR="00636699" w:rsidRPr="00241BD8" w:rsidRDefault="00636699" w:rsidP="00222E80">
            <w:pPr>
              <w:pStyle w:val="NormalWeb"/>
              <w:jc w:val="center"/>
              <w:rPr>
                <w:sz w:val="18"/>
                <w:szCs w:val="18"/>
              </w:rPr>
            </w:pPr>
            <w:r w:rsidRPr="00241BD8">
              <w:rPr>
                <w:sz w:val="18"/>
                <w:szCs w:val="18"/>
              </w:rPr>
              <w:t>Detected</w:t>
            </w:r>
          </w:p>
        </w:tc>
        <w:tc>
          <w:tcPr>
            <w:tcW w:w="1119" w:type="dxa"/>
            <w:tcBorders>
              <w:left w:val="single" w:sz="2" w:space="0" w:color="808080" w:themeColor="background1" w:themeShade="80"/>
            </w:tcBorders>
            <w:hideMark/>
          </w:tcPr>
          <w:p w14:paraId="40E8691B" w14:textId="77777777" w:rsidR="00636699" w:rsidRPr="00241BD8" w:rsidRDefault="00636699" w:rsidP="00222E80">
            <w:pPr>
              <w:pStyle w:val="NormalWeb"/>
              <w:jc w:val="center"/>
              <w:rPr>
                <w:sz w:val="18"/>
                <w:szCs w:val="18"/>
              </w:rPr>
            </w:pPr>
            <w:r w:rsidRPr="00241BD8">
              <w:rPr>
                <w:sz w:val="18"/>
                <w:szCs w:val="18"/>
              </w:rPr>
              <w:t>—</w:t>
            </w:r>
          </w:p>
        </w:tc>
      </w:tr>
      <w:tr w:rsidR="00636699" w:rsidRPr="00241BD8" w14:paraId="3875AB67" w14:textId="77777777" w:rsidTr="005C24C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272" w:type="dxa"/>
            <w:tcBorders>
              <w:right w:val="single" w:sz="2" w:space="0" w:color="808080" w:themeColor="background1" w:themeShade="80"/>
            </w:tcBorders>
            <w:hideMark/>
          </w:tcPr>
          <w:p w14:paraId="57403D37" w14:textId="77777777" w:rsidR="00636699" w:rsidRPr="00241BD8" w:rsidRDefault="00636699" w:rsidP="00222E80">
            <w:pPr>
              <w:pStyle w:val="NormalWeb"/>
              <w:rPr>
                <w:sz w:val="18"/>
                <w:szCs w:val="18"/>
              </w:rPr>
            </w:pPr>
            <w:r w:rsidRPr="00241BD8">
              <w:rPr>
                <w:sz w:val="18"/>
                <w:szCs w:val="18"/>
              </w:rPr>
              <w:t>14</w:t>
            </w:r>
          </w:p>
        </w:tc>
        <w:tc>
          <w:tcPr>
            <w:tcW w:w="1836" w:type="dxa"/>
            <w:tcBorders>
              <w:left w:val="single" w:sz="2" w:space="0" w:color="808080" w:themeColor="background1" w:themeShade="80"/>
              <w:right w:val="single" w:sz="2" w:space="0" w:color="808080" w:themeColor="background1" w:themeShade="80"/>
            </w:tcBorders>
            <w:hideMark/>
          </w:tcPr>
          <w:p w14:paraId="567943F7" w14:textId="77777777" w:rsidR="00636699" w:rsidRPr="00241BD8" w:rsidRDefault="00636699" w:rsidP="00222E80">
            <w:pPr>
              <w:pStyle w:val="NormalWeb"/>
              <w:jc w:val="center"/>
              <w:rPr>
                <w:sz w:val="18"/>
                <w:szCs w:val="18"/>
              </w:rPr>
            </w:pPr>
            <w:r w:rsidRPr="00241BD8">
              <w:rPr>
                <w:sz w:val="18"/>
                <w:szCs w:val="18"/>
              </w:rPr>
              <w:t>12/03/2021</w:t>
            </w:r>
          </w:p>
        </w:tc>
        <w:tc>
          <w:tcPr>
            <w:tcW w:w="1428" w:type="dxa"/>
            <w:tcBorders>
              <w:left w:val="single" w:sz="2" w:space="0" w:color="808080" w:themeColor="background1" w:themeShade="80"/>
              <w:right w:val="single" w:sz="2" w:space="0" w:color="808080" w:themeColor="background1" w:themeShade="80"/>
            </w:tcBorders>
            <w:hideMark/>
          </w:tcPr>
          <w:p w14:paraId="05314488" w14:textId="77777777" w:rsidR="00636699" w:rsidRPr="00241BD8" w:rsidRDefault="00636699" w:rsidP="00222E80">
            <w:pPr>
              <w:pStyle w:val="NormalWeb"/>
              <w:jc w:val="center"/>
              <w:rPr>
                <w:sz w:val="18"/>
                <w:szCs w:val="18"/>
              </w:rPr>
            </w:pPr>
            <w:r w:rsidRPr="00241BD8">
              <w:rPr>
                <w:sz w:val="18"/>
                <w:szCs w:val="18"/>
              </w:rPr>
              <w:t>10/03/2021</w:t>
            </w:r>
          </w:p>
        </w:tc>
        <w:tc>
          <w:tcPr>
            <w:tcW w:w="1134" w:type="dxa"/>
            <w:tcBorders>
              <w:left w:val="single" w:sz="2" w:space="0" w:color="808080" w:themeColor="background1" w:themeShade="80"/>
              <w:right w:val="single" w:sz="2" w:space="0" w:color="808080" w:themeColor="background1" w:themeShade="80"/>
            </w:tcBorders>
            <w:hideMark/>
          </w:tcPr>
          <w:p w14:paraId="4E1EDB2A" w14:textId="77777777" w:rsidR="00636699" w:rsidRPr="00241BD8" w:rsidRDefault="00636699" w:rsidP="00222E80">
            <w:pPr>
              <w:pStyle w:val="NormalWeb"/>
              <w:jc w:val="center"/>
              <w:rPr>
                <w:sz w:val="18"/>
                <w:szCs w:val="18"/>
              </w:rPr>
            </w:pPr>
            <w:r w:rsidRPr="00241BD8">
              <w:rPr>
                <w:sz w:val="18"/>
                <w:szCs w:val="18"/>
              </w:rPr>
              <w:t>0</w:t>
            </w:r>
          </w:p>
        </w:tc>
        <w:tc>
          <w:tcPr>
            <w:tcW w:w="1679" w:type="dxa"/>
            <w:tcBorders>
              <w:left w:val="single" w:sz="2" w:space="0" w:color="808080" w:themeColor="background1" w:themeShade="80"/>
              <w:right w:val="single" w:sz="2" w:space="0" w:color="808080" w:themeColor="background1" w:themeShade="80"/>
            </w:tcBorders>
            <w:hideMark/>
          </w:tcPr>
          <w:p w14:paraId="10CAB839" w14:textId="77777777" w:rsidR="00636699" w:rsidRPr="00241BD8" w:rsidRDefault="00636699" w:rsidP="00222E80">
            <w:pPr>
              <w:pStyle w:val="NormalWeb"/>
              <w:jc w:val="center"/>
              <w:rPr>
                <w:sz w:val="18"/>
                <w:szCs w:val="18"/>
              </w:rPr>
            </w:pPr>
            <w:r w:rsidRPr="00241BD8">
              <w:rPr>
                <w:sz w:val="18"/>
                <w:szCs w:val="18"/>
              </w:rPr>
              <w:t>1600</w:t>
            </w:r>
          </w:p>
        </w:tc>
        <w:tc>
          <w:tcPr>
            <w:tcW w:w="879" w:type="dxa"/>
            <w:tcBorders>
              <w:left w:val="single" w:sz="2" w:space="0" w:color="808080" w:themeColor="background1" w:themeShade="80"/>
              <w:right w:val="single" w:sz="2" w:space="0" w:color="808080" w:themeColor="background1" w:themeShade="80"/>
            </w:tcBorders>
            <w:hideMark/>
          </w:tcPr>
          <w:p w14:paraId="4C0A0DA4" w14:textId="77777777" w:rsidR="00636699" w:rsidRPr="00241BD8" w:rsidRDefault="00636699" w:rsidP="00222E80">
            <w:pPr>
              <w:pStyle w:val="NormalWeb"/>
              <w:jc w:val="center"/>
              <w:rPr>
                <w:sz w:val="18"/>
                <w:szCs w:val="18"/>
              </w:rPr>
            </w:pPr>
            <w:r w:rsidRPr="00241BD8">
              <w:rPr>
                <w:sz w:val="18"/>
                <w:szCs w:val="18"/>
              </w:rPr>
              <w:t>Hardjo</w:t>
            </w:r>
          </w:p>
        </w:tc>
        <w:tc>
          <w:tcPr>
            <w:tcW w:w="1119" w:type="dxa"/>
            <w:tcBorders>
              <w:left w:val="single" w:sz="2" w:space="0" w:color="808080" w:themeColor="background1" w:themeShade="80"/>
              <w:right w:val="single" w:sz="2" w:space="0" w:color="808080" w:themeColor="background1" w:themeShade="80"/>
            </w:tcBorders>
            <w:hideMark/>
          </w:tcPr>
          <w:p w14:paraId="38BA297D" w14:textId="77777777" w:rsidR="00636699" w:rsidRPr="00241BD8" w:rsidRDefault="00636699" w:rsidP="00222E80">
            <w:pPr>
              <w:pStyle w:val="NormalWeb"/>
              <w:jc w:val="center"/>
              <w:rPr>
                <w:sz w:val="18"/>
                <w:szCs w:val="18"/>
              </w:rPr>
            </w:pPr>
            <w:r w:rsidRPr="00241BD8">
              <w:rPr>
                <w:sz w:val="18"/>
                <w:szCs w:val="18"/>
              </w:rPr>
              <w:t>—</w:t>
            </w:r>
          </w:p>
        </w:tc>
        <w:tc>
          <w:tcPr>
            <w:tcW w:w="1119" w:type="dxa"/>
            <w:tcBorders>
              <w:left w:val="single" w:sz="2" w:space="0" w:color="808080" w:themeColor="background1" w:themeShade="80"/>
            </w:tcBorders>
            <w:hideMark/>
          </w:tcPr>
          <w:p w14:paraId="58D6833D" w14:textId="77777777" w:rsidR="00636699" w:rsidRPr="00241BD8" w:rsidRDefault="00636699" w:rsidP="00222E80">
            <w:pPr>
              <w:pStyle w:val="NormalWeb"/>
              <w:jc w:val="center"/>
              <w:rPr>
                <w:sz w:val="18"/>
                <w:szCs w:val="18"/>
              </w:rPr>
            </w:pPr>
            <w:r w:rsidRPr="00241BD8">
              <w:rPr>
                <w:sz w:val="18"/>
                <w:szCs w:val="18"/>
              </w:rPr>
              <w:t>Detected</w:t>
            </w:r>
          </w:p>
        </w:tc>
      </w:tr>
    </w:tbl>
    <w:p w14:paraId="153D6C02" w14:textId="77777777" w:rsidR="00636699" w:rsidRDefault="00636699" w:rsidP="00636699">
      <w:pPr>
        <w:pStyle w:val="CDIfootnotes"/>
        <w:rPr>
          <w:lang w:val="en-GB"/>
        </w:rPr>
      </w:pPr>
      <w:r>
        <w:rPr>
          <w:lang w:val="en-GB"/>
        </w:rPr>
        <w:t>a</w:t>
      </w:r>
      <w:r>
        <w:rPr>
          <w:lang w:val="en-GB"/>
        </w:rPr>
        <w:tab/>
        <w:t>PCR: polymerase chain reaction.</w:t>
      </w:r>
    </w:p>
    <w:p w14:paraId="7625C688" w14:textId="696040B6" w:rsidR="00636699" w:rsidRPr="00636699" w:rsidRDefault="00636699" w:rsidP="00636699">
      <w:pPr>
        <w:pStyle w:val="CDIfootnotes"/>
        <w:rPr>
          <w:lang w:val="en-GB"/>
        </w:rPr>
      </w:pPr>
      <w:r>
        <w:rPr>
          <w:lang w:val="en-GB"/>
        </w:rPr>
        <w:t>b</w:t>
      </w:r>
      <w:r>
        <w:rPr>
          <w:lang w:val="en-GB"/>
        </w:rPr>
        <w:tab/>
        <w:t>‘—‘: not available/not tested.</w:t>
      </w:r>
    </w:p>
    <w:p w14:paraId="4BBCF88E" w14:textId="3F31D784" w:rsidR="00F4785C" w:rsidRPr="00F4785C" w:rsidRDefault="00F4785C" w:rsidP="00F4785C">
      <w:pPr>
        <w:pStyle w:val="Heading1"/>
      </w:pPr>
      <w:r w:rsidRPr="00F4785C">
        <w:t>Discussion and conclusion</w:t>
      </w:r>
    </w:p>
    <w:p w14:paraId="2B984437" w14:textId="0A0385CF" w:rsidR="00F4785C" w:rsidRDefault="00F4785C" w:rsidP="00F4785C">
      <w:r>
        <w:t xml:space="preserve">Cattle are well-known sources of human leptospirosis, particularly due to </w:t>
      </w:r>
      <w:r w:rsidRPr="00F37CC0">
        <w:rPr>
          <w:rStyle w:val="Emphasis"/>
          <w:b w:val="0"/>
          <w:bCs w:val="0"/>
        </w:rPr>
        <w:t>L</w:t>
      </w:r>
      <w:r>
        <w:t>. Hardjo.</w:t>
      </w:r>
      <w:r>
        <w:rPr>
          <w:vertAlign w:val="superscript"/>
        </w:rPr>
        <w:t>3</w:t>
      </w:r>
      <w:r>
        <w:t xml:space="preserve"> The majority of cases in our outbreak were young cattle workers and the Hardjo serovar was predominant. While no cases of clinical animal disease were reported during this outbreak investigation, </w:t>
      </w:r>
      <w:r w:rsidRPr="00F37CC0">
        <w:rPr>
          <w:rStyle w:val="Emphasis"/>
          <w:b w:val="0"/>
          <w:bCs w:val="0"/>
        </w:rPr>
        <w:t>L.</w:t>
      </w:r>
      <w:r>
        <w:t xml:space="preserve"> Hardjo infection in cattle is often subclinical in presentation and may not be observed.</w:t>
      </w:r>
      <w:r>
        <w:rPr>
          <w:vertAlign w:val="superscript"/>
        </w:rPr>
        <w:t>18</w:t>
      </w:r>
      <w:r>
        <w:t xml:space="preserve"> </w:t>
      </w:r>
    </w:p>
    <w:p w14:paraId="0B7DC9A6" w14:textId="77777777" w:rsidR="00F4785C" w:rsidRDefault="00F4785C" w:rsidP="00F4785C">
      <w:r>
        <w:t xml:space="preserve">It is likely that high rainfall and wet and muddy conditions contributed to the transmission of disease, with hot and humid temperatures also likely contributing to work practices that increased the risk of exposure to workers such as: working in shorts; wearing open footwear (thongs/sandals); and not using appropriate PPE such as gloves, eye </w:t>
      </w:r>
      <w:r>
        <w:lastRenderedPageBreak/>
        <w:t>shields or aprons when handling cattle or in environments contaminated with urine. Infrequent handwashing, and smoking while working, also likely increased the risk of infection. There was a lack of awareness of the risks of leptospirosis, with a high turnover of seasonal workers possibly a contributing factor. The provision, upon commencement, of ongoing and regular training and education to cattle workers is arguably the most effective intervention to prevent future outbreaks.</w:t>
      </w:r>
    </w:p>
    <w:p w14:paraId="73ADACB5" w14:textId="296C7697" w:rsidR="00F4785C" w:rsidRDefault="00F4785C" w:rsidP="00F4785C">
      <w:r>
        <w:t>Seasonal prophylactic doxycycline (200 mg weekly) could be a possible preventative measure for cattle workers in the Top End;</w:t>
      </w:r>
      <w:r>
        <w:rPr>
          <w:vertAlign w:val="superscript"/>
        </w:rPr>
        <w:t>19</w:t>
      </w:r>
      <w:r>
        <w:t xml:space="preserve"> however, the common side effect of increased photosensitivity and susceptibility to sunburn may detract from its uptake. Furthermore, a systematic review in 2009 did not identify clear benefit from prophylactic doxycycline in preventing leptospirosis.</w:t>
      </w:r>
      <w:r>
        <w:rPr>
          <w:vertAlign w:val="superscript"/>
        </w:rPr>
        <w:t>20</w:t>
      </w:r>
      <w:r>
        <w:t xml:space="preserve"> </w:t>
      </w:r>
    </w:p>
    <w:p w14:paraId="68C79FED" w14:textId="5A17E841" w:rsidR="00F4785C" w:rsidRDefault="00F4785C" w:rsidP="00F4785C">
      <w:r>
        <w:t xml:space="preserve">Cattle can be effectively vaccinated against </w:t>
      </w:r>
      <w:r w:rsidRPr="00F37CC0">
        <w:rPr>
          <w:rStyle w:val="Emphasis"/>
          <w:b w:val="0"/>
          <w:bCs w:val="0"/>
        </w:rPr>
        <w:t>L</w:t>
      </w:r>
      <w:r>
        <w:t xml:space="preserve">. Hardjo and </w:t>
      </w:r>
      <w:r w:rsidRPr="00F37CC0">
        <w:rPr>
          <w:rStyle w:val="Emphasis"/>
          <w:b w:val="0"/>
          <w:bCs w:val="0"/>
        </w:rPr>
        <w:t>L. interrogans</w:t>
      </w:r>
      <w:r>
        <w:t xml:space="preserve"> serovar Pomona; however, the vaccine schedule is onerous, with doses required at 6 and 12 weeks of age, followed by annual boosters.</w:t>
      </w:r>
      <w:r>
        <w:rPr>
          <w:vertAlign w:val="superscript"/>
        </w:rPr>
        <w:t>21</w:t>
      </w:r>
      <w:r>
        <w:t xml:space="preserve"> Leptospirosis vaccination of cattle in the Northern Territory is uncommon, due to the practical challenges and costs associated with the mustering of large numbers of cattle on extensive pastoral properties.</w:t>
      </w:r>
    </w:p>
    <w:p w14:paraId="4D4F30D2" w14:textId="77777777" w:rsidR="00F4785C" w:rsidRDefault="00F4785C" w:rsidP="00F4785C">
      <w:r>
        <w:t xml:space="preserve">Our investigation identified that Australia’s national notifiable diseases case definition is in need of review. Two of our outbreak cases (probable) were detected by PCR only which currently does not meet the confirmed national surveillance case definition which has not been updated since 2004. A simple change in nomenclature to the required laboratory definitive evidence from “isolation of pathogenic </w:t>
      </w:r>
      <w:r w:rsidRPr="00F37CC0">
        <w:rPr>
          <w:rStyle w:val="Emphasis"/>
          <w:b w:val="0"/>
          <w:bCs w:val="0"/>
        </w:rPr>
        <w:t>Leptospira</w:t>
      </w:r>
      <w:r>
        <w:t xml:space="preserve"> species” to “detection of pathogenic </w:t>
      </w:r>
      <w:r w:rsidRPr="00F37CC0">
        <w:rPr>
          <w:rStyle w:val="Emphasis"/>
          <w:b w:val="0"/>
          <w:bCs w:val="0"/>
        </w:rPr>
        <w:t>Leptospira</w:t>
      </w:r>
      <w:r>
        <w:t xml:space="preserve"> species” would result in our probable cases meeting confirmed national surveillance case definitions and would see Australia align with other developed countries.</w:t>
      </w:r>
    </w:p>
    <w:p w14:paraId="7210CD71" w14:textId="77777777" w:rsidR="00F4785C" w:rsidRPr="00F4785C" w:rsidRDefault="00F4785C" w:rsidP="00F4785C">
      <w:pPr>
        <w:pStyle w:val="Heading1"/>
      </w:pPr>
      <w:r w:rsidRPr="00F4785C">
        <w:t>Acknowledgements</w:t>
      </w:r>
    </w:p>
    <w:p w14:paraId="09A64A23" w14:textId="77777777" w:rsidR="00F4785C" w:rsidRDefault="00F4785C" w:rsidP="00F4785C">
      <w:r>
        <w:t>We acknowledge the station owners and managers in the NT, and cattle industry representatives, who assisted with our outbreak investigation and response.</w:t>
      </w:r>
    </w:p>
    <w:p w14:paraId="4B76CB59" w14:textId="77777777" w:rsidR="00F4785C" w:rsidRPr="00F4785C" w:rsidRDefault="00F4785C" w:rsidP="00F4785C">
      <w:pPr>
        <w:pStyle w:val="Heading1"/>
      </w:pPr>
      <w:r w:rsidRPr="00F4785C">
        <w:t>Author details</w:t>
      </w:r>
    </w:p>
    <w:p w14:paraId="2763FCBC" w14:textId="4854A4F6" w:rsidR="00F4785C" w:rsidRDefault="00F4785C" w:rsidP="00F4785C">
      <w:r>
        <w:t>Damien R Brown,</w:t>
      </w:r>
      <w:r>
        <w:rPr>
          <w:vertAlign w:val="superscript"/>
        </w:rPr>
        <w:t>1</w:t>
      </w:r>
      <w:r>
        <w:t xml:space="preserve"> </w:t>
      </w:r>
      <w:r w:rsidR="001F7058">
        <w:br/>
      </w:r>
      <w:r>
        <w:t>Ruwani Peiris,</w:t>
      </w:r>
      <w:r>
        <w:rPr>
          <w:vertAlign w:val="superscript"/>
        </w:rPr>
        <w:t>1</w:t>
      </w:r>
      <w:r>
        <w:t xml:space="preserve"> </w:t>
      </w:r>
      <w:r w:rsidR="001F7058">
        <w:br/>
      </w:r>
      <w:r>
        <w:t>Claire Waller,</w:t>
      </w:r>
      <w:r>
        <w:rPr>
          <w:vertAlign w:val="superscript"/>
        </w:rPr>
        <w:t>2</w:t>
      </w:r>
      <w:r>
        <w:t xml:space="preserve"> </w:t>
      </w:r>
      <w:r w:rsidR="001F7058">
        <w:br/>
      </w:r>
      <w:r>
        <w:t>Elizabeth M Stedman,</w:t>
      </w:r>
      <w:r>
        <w:rPr>
          <w:vertAlign w:val="superscript"/>
        </w:rPr>
        <w:t>3</w:t>
      </w:r>
      <w:r>
        <w:t xml:space="preserve"> </w:t>
      </w:r>
      <w:r w:rsidR="001F7058">
        <w:br/>
      </w:r>
      <w:r>
        <w:t>Susanne E Fitzpatrick,</w:t>
      </w:r>
      <w:r>
        <w:rPr>
          <w:vertAlign w:val="superscript"/>
        </w:rPr>
        <w:t>3</w:t>
      </w:r>
      <w:r>
        <w:t xml:space="preserve"> </w:t>
      </w:r>
      <w:r w:rsidR="001F7058">
        <w:br/>
      </w:r>
      <w:r>
        <w:t>Vicki L Krause,</w:t>
      </w:r>
      <w:r>
        <w:rPr>
          <w:vertAlign w:val="superscript"/>
        </w:rPr>
        <w:t>1</w:t>
      </w:r>
      <w:r>
        <w:t xml:space="preserve"> </w:t>
      </w:r>
      <w:r w:rsidR="001F7058">
        <w:br/>
      </w:r>
      <w:r>
        <w:t>Anthony DK Draper</w:t>
      </w:r>
      <w:r>
        <w:rPr>
          <w:vertAlign w:val="superscript"/>
        </w:rPr>
        <w:t>1,4</w:t>
      </w:r>
      <w:r>
        <w:t xml:space="preserve"> </w:t>
      </w:r>
    </w:p>
    <w:p w14:paraId="41E38540" w14:textId="77777777" w:rsidR="00F4785C" w:rsidRPr="00F4785C" w:rsidRDefault="00F4785C" w:rsidP="00F4785C">
      <w:pPr>
        <w:pStyle w:val="ListParagraph"/>
        <w:numPr>
          <w:ilvl w:val="0"/>
          <w:numId w:val="9"/>
        </w:numPr>
        <w:rPr>
          <w:rFonts w:eastAsia="Times New Roman"/>
        </w:rPr>
      </w:pPr>
      <w:r w:rsidRPr="00F4785C">
        <w:rPr>
          <w:rFonts w:eastAsia="Times New Roman"/>
        </w:rPr>
        <w:t>Centre for Disease Control, Public Health Unit, Top End Health Service, Northern Territory Government Department of Health, Darwin, Northern Territory, Australia.</w:t>
      </w:r>
    </w:p>
    <w:p w14:paraId="507BB0A1" w14:textId="77777777" w:rsidR="00F4785C" w:rsidRPr="00F4785C" w:rsidRDefault="00F4785C" w:rsidP="00F4785C">
      <w:pPr>
        <w:pStyle w:val="ListParagraph"/>
        <w:numPr>
          <w:ilvl w:val="0"/>
          <w:numId w:val="9"/>
        </w:numPr>
        <w:rPr>
          <w:rFonts w:eastAsia="Times New Roman"/>
        </w:rPr>
      </w:pPr>
      <w:r w:rsidRPr="00F4785C">
        <w:rPr>
          <w:rFonts w:eastAsia="Times New Roman"/>
        </w:rPr>
        <w:t>Territory Pathology, Northern Territory Government Department of Health, Darwin, Northern Territory, Australia</w:t>
      </w:r>
    </w:p>
    <w:p w14:paraId="3433FC29" w14:textId="77777777" w:rsidR="00F4785C" w:rsidRPr="00F4785C" w:rsidRDefault="00F4785C" w:rsidP="00F4785C">
      <w:pPr>
        <w:pStyle w:val="ListParagraph"/>
        <w:numPr>
          <w:ilvl w:val="0"/>
          <w:numId w:val="9"/>
        </w:numPr>
        <w:rPr>
          <w:rFonts w:eastAsia="Times New Roman"/>
        </w:rPr>
      </w:pPr>
      <w:r w:rsidRPr="00F4785C">
        <w:rPr>
          <w:rFonts w:eastAsia="Times New Roman"/>
        </w:rPr>
        <w:t>Livestock Biosecurity, Biosecurity and Animal Welfare Branch, Department of Industry, Tourism and Trade, Berrimah, Northern Territory, Australia.</w:t>
      </w:r>
    </w:p>
    <w:p w14:paraId="495D8B68" w14:textId="77777777" w:rsidR="00F4785C" w:rsidRPr="00F4785C" w:rsidRDefault="00F4785C" w:rsidP="00F4785C">
      <w:pPr>
        <w:pStyle w:val="ListParagraph"/>
        <w:numPr>
          <w:ilvl w:val="0"/>
          <w:numId w:val="9"/>
        </w:numPr>
        <w:rPr>
          <w:rFonts w:eastAsia="Times New Roman"/>
        </w:rPr>
      </w:pPr>
      <w:r w:rsidRPr="00F4785C">
        <w:rPr>
          <w:rFonts w:eastAsia="Times New Roman"/>
        </w:rPr>
        <w:t>Menzies School of Health Research, Darwin, Northern Territory, Australia.</w:t>
      </w:r>
    </w:p>
    <w:p w14:paraId="1232A1AF" w14:textId="77777777" w:rsidR="00EE5473" w:rsidRDefault="00EE5473">
      <w:pPr>
        <w:rPr>
          <w:rFonts w:asciiTheme="majorHAnsi" w:eastAsiaTheme="majorEastAsia" w:hAnsiTheme="majorHAnsi" w:cstheme="majorBidi"/>
          <w:b/>
          <w:bCs/>
          <w:sz w:val="26"/>
          <w:szCs w:val="26"/>
        </w:rPr>
      </w:pPr>
      <w:r>
        <w:br w:type="page"/>
      </w:r>
    </w:p>
    <w:p w14:paraId="24B9FECF" w14:textId="0CD2E89E" w:rsidR="00F4785C" w:rsidRPr="00F4785C" w:rsidRDefault="00F4785C" w:rsidP="00F4785C">
      <w:pPr>
        <w:pStyle w:val="Heading2"/>
      </w:pPr>
      <w:r w:rsidRPr="00F4785C">
        <w:lastRenderedPageBreak/>
        <w:t>Corresponding author</w:t>
      </w:r>
    </w:p>
    <w:p w14:paraId="0E70FF81" w14:textId="3B717776" w:rsidR="00F4785C" w:rsidRDefault="00F4785C" w:rsidP="002F73E4">
      <w:r>
        <w:t xml:space="preserve">Anthony Draper </w:t>
      </w:r>
      <w:r w:rsidR="00EE5473">
        <w:br/>
      </w:r>
      <w:r>
        <w:t>Centre for Disease Control, Public Health Unit, Top End Health Service, Northern Territory Government Department of Health, PO Box 45096, Casuarina NT 0811.</w:t>
      </w:r>
      <w:r w:rsidR="002F73E4">
        <w:br/>
      </w:r>
      <w:r w:rsidRPr="0010018A">
        <w:t>Telephone: +61 8 8922 7635.</w:t>
      </w:r>
      <w:r w:rsidR="002F73E4" w:rsidRPr="0010018A">
        <w:br/>
      </w:r>
      <w:r w:rsidRPr="0010018A">
        <w:t>Facsimile: +61 8 8922 8310.</w:t>
      </w:r>
      <w:r w:rsidR="002F73E4" w:rsidRPr="0010018A">
        <w:br/>
      </w:r>
      <w:r w:rsidRPr="0010018A">
        <w:t>Email: anthony.draper@nt.gov.au</w:t>
      </w:r>
    </w:p>
    <w:p w14:paraId="2006A319" w14:textId="6A45FBFE" w:rsidR="00F4785C" w:rsidRPr="00F4785C" w:rsidRDefault="00F4785C" w:rsidP="00F4785C">
      <w:pPr>
        <w:pStyle w:val="Heading1"/>
      </w:pPr>
      <w:r w:rsidRPr="00F4785C">
        <w:t>References</w:t>
      </w:r>
    </w:p>
    <w:p w14:paraId="39ABC881" w14:textId="77777777" w:rsidR="00F4785C" w:rsidRPr="00F4785C" w:rsidRDefault="00F4785C" w:rsidP="00F4785C">
      <w:pPr>
        <w:pStyle w:val="ListParagraph"/>
        <w:numPr>
          <w:ilvl w:val="0"/>
          <w:numId w:val="10"/>
        </w:numPr>
        <w:rPr>
          <w:rFonts w:eastAsia="Times New Roman"/>
        </w:rPr>
      </w:pPr>
      <w:r w:rsidRPr="00F4785C">
        <w:rPr>
          <w:rFonts w:eastAsia="Times New Roman"/>
        </w:rPr>
        <w:t xml:space="preserve">Lau CL, Craig SB. Leptospirosis. In Heymann DL, ed. </w:t>
      </w:r>
      <w:r w:rsidRPr="00F37CC0">
        <w:rPr>
          <w:rStyle w:val="Emphasis"/>
          <w:rFonts w:eastAsia="Times New Roman"/>
          <w:b w:val="0"/>
          <w:bCs w:val="0"/>
        </w:rPr>
        <w:t>Control of Communicable Diseases Manual</w:t>
      </w:r>
      <w:r w:rsidRPr="00F4785C">
        <w:rPr>
          <w:rFonts w:eastAsia="Times New Roman"/>
        </w:rPr>
        <w:t xml:space="preserve"> (20th edition). Washington, DC: American Public Health Association (APHA), 2015. doi: https://doi.org/10.2105/CCDM.2745.090.</w:t>
      </w:r>
    </w:p>
    <w:p w14:paraId="0E37CF36" w14:textId="77777777" w:rsidR="00F4785C" w:rsidRPr="00F4785C" w:rsidRDefault="00F4785C" w:rsidP="00F4785C">
      <w:pPr>
        <w:pStyle w:val="ListParagraph"/>
        <w:numPr>
          <w:ilvl w:val="0"/>
          <w:numId w:val="10"/>
        </w:numPr>
        <w:rPr>
          <w:rFonts w:eastAsia="Times New Roman"/>
        </w:rPr>
      </w:pPr>
      <w:r w:rsidRPr="00F4785C">
        <w:rPr>
          <w:rFonts w:eastAsia="Times New Roman"/>
        </w:rPr>
        <w:t xml:space="preserve">Lau CL, Townell N, Stephenson E, van den Berg D, Craig SB. Leptospirosis: An important zoonosis acquired through work, play and travel. </w:t>
      </w:r>
      <w:r w:rsidRPr="00F37CC0">
        <w:rPr>
          <w:rStyle w:val="Emphasis"/>
          <w:rFonts w:eastAsia="Times New Roman"/>
          <w:b w:val="0"/>
          <w:bCs w:val="0"/>
        </w:rPr>
        <w:t>Aust J Gen Pract.</w:t>
      </w:r>
      <w:r w:rsidRPr="00F4785C">
        <w:rPr>
          <w:rFonts w:eastAsia="Times New Roman"/>
        </w:rPr>
        <w:t xml:space="preserve"> 2018;47(3):105–10. doi: https://doi.org/10.31128/AFP-07-17-4286.</w:t>
      </w:r>
    </w:p>
    <w:p w14:paraId="0E151600" w14:textId="4500688B" w:rsidR="00F4785C" w:rsidRPr="00F4785C" w:rsidRDefault="00F4785C" w:rsidP="00F4785C">
      <w:pPr>
        <w:pStyle w:val="ListParagraph"/>
        <w:numPr>
          <w:ilvl w:val="0"/>
          <w:numId w:val="10"/>
        </w:numPr>
        <w:rPr>
          <w:rFonts w:eastAsia="Times New Roman"/>
        </w:rPr>
      </w:pPr>
      <w:r w:rsidRPr="00F4785C">
        <w:rPr>
          <w:rFonts w:eastAsia="Times New Roman"/>
        </w:rPr>
        <w:t xml:space="preserve">Smythe L, Dohnt M, Symonds M, Barnett L, Moore M, Brookes D et al. Review of leptospirosis notifications in Queensland and Australia: January 1998 – June 1999. </w:t>
      </w:r>
      <w:r w:rsidRPr="00F37CC0">
        <w:rPr>
          <w:rStyle w:val="Emphasis"/>
          <w:rFonts w:eastAsia="Times New Roman"/>
          <w:b w:val="0"/>
          <w:bCs w:val="0"/>
        </w:rPr>
        <w:t>Commun Dis Intell</w:t>
      </w:r>
      <w:r w:rsidRPr="00F4785C">
        <w:rPr>
          <w:rFonts w:eastAsia="Times New Roman"/>
        </w:rPr>
        <w:t>. 2000;24(6):153–7.</w:t>
      </w:r>
    </w:p>
    <w:p w14:paraId="59F9A722" w14:textId="796F7C4C" w:rsidR="00F4785C" w:rsidRPr="00F4785C" w:rsidRDefault="00F4785C" w:rsidP="00F4785C">
      <w:pPr>
        <w:pStyle w:val="ListParagraph"/>
        <w:numPr>
          <w:ilvl w:val="0"/>
          <w:numId w:val="10"/>
        </w:numPr>
        <w:rPr>
          <w:rFonts w:eastAsia="Times New Roman"/>
        </w:rPr>
      </w:pPr>
      <w:r w:rsidRPr="00F4785C">
        <w:rPr>
          <w:rFonts w:eastAsia="Times New Roman"/>
        </w:rPr>
        <w:t xml:space="preserve">Lau CL, Skelly C, Dohnt M, Smythe LD. The emergence of </w:t>
      </w:r>
      <w:r w:rsidRPr="00F37CC0">
        <w:rPr>
          <w:rStyle w:val="Emphasis"/>
          <w:rFonts w:eastAsia="Times New Roman"/>
          <w:b w:val="0"/>
          <w:bCs w:val="0"/>
        </w:rPr>
        <w:t>Leptospira borgpetersenii</w:t>
      </w:r>
      <w:r w:rsidRPr="00F4785C">
        <w:rPr>
          <w:rFonts w:eastAsia="Times New Roman"/>
        </w:rPr>
        <w:t xml:space="preserve"> serovar Arborea in Queensland, Australia, 2001 to 2013. </w:t>
      </w:r>
      <w:r w:rsidRPr="00F37CC0">
        <w:rPr>
          <w:rStyle w:val="Emphasis"/>
          <w:rFonts w:eastAsia="Times New Roman"/>
          <w:b w:val="0"/>
          <w:bCs w:val="0"/>
        </w:rPr>
        <w:t>BMC Infect Dis</w:t>
      </w:r>
      <w:r w:rsidRPr="00F4785C">
        <w:rPr>
          <w:rFonts w:eastAsia="Times New Roman"/>
        </w:rPr>
        <w:t>. 2015;15:230. doi: https://doi.org/10.1186/s12879-015-0982-0.</w:t>
      </w:r>
    </w:p>
    <w:p w14:paraId="598DB8D6" w14:textId="77777777" w:rsidR="00F4785C" w:rsidRPr="00F4785C" w:rsidRDefault="00F4785C" w:rsidP="00F4785C">
      <w:pPr>
        <w:pStyle w:val="ListParagraph"/>
        <w:numPr>
          <w:ilvl w:val="0"/>
          <w:numId w:val="10"/>
        </w:numPr>
        <w:rPr>
          <w:rFonts w:eastAsia="Times New Roman"/>
        </w:rPr>
      </w:pPr>
      <w:r w:rsidRPr="00F4785C">
        <w:rPr>
          <w:rFonts w:eastAsia="Times New Roman"/>
        </w:rPr>
        <w:t xml:space="preserve">Morgan J, Bornstein SL, Karpati AM, Bruce M, Bolin CA, Austin CC et al. Outbreak of leptospirosis among triathlon participants and community residents in Springfield, Illinois, 1998. </w:t>
      </w:r>
      <w:r w:rsidRPr="00F37CC0">
        <w:rPr>
          <w:rStyle w:val="Emphasis"/>
          <w:rFonts w:eastAsia="Times New Roman"/>
          <w:b w:val="0"/>
          <w:bCs w:val="0"/>
        </w:rPr>
        <w:t>Clin Infect Dis</w:t>
      </w:r>
      <w:r w:rsidRPr="00F4785C">
        <w:rPr>
          <w:rFonts w:eastAsia="Times New Roman"/>
        </w:rPr>
        <w:t xml:space="preserve"> . 2002;34(12):1593–9. doi: https://doi.org/10.1086/340615.</w:t>
      </w:r>
    </w:p>
    <w:p w14:paraId="2CF8E2C1" w14:textId="2C52A422" w:rsidR="00F4785C" w:rsidRPr="00F4785C" w:rsidRDefault="00F4785C" w:rsidP="00F4785C">
      <w:pPr>
        <w:pStyle w:val="ListParagraph"/>
        <w:numPr>
          <w:ilvl w:val="0"/>
          <w:numId w:val="10"/>
        </w:numPr>
        <w:rPr>
          <w:rFonts w:eastAsia="Times New Roman"/>
        </w:rPr>
      </w:pPr>
      <w:r w:rsidRPr="00F4785C">
        <w:rPr>
          <w:rFonts w:eastAsia="Times New Roman"/>
        </w:rPr>
        <w:t xml:space="preserve">Agampodi SB, Karunarathna D, Jayathilala N, Rathnayaka H, Agampodi TC, Karunanayaka L. Outbreak of leptospirosis after white-water rafting: sign of a shift from rural to recreational leptospirosis in Sri Lanka? </w:t>
      </w:r>
      <w:r w:rsidRPr="00F37CC0">
        <w:rPr>
          <w:rStyle w:val="Emphasis"/>
          <w:rFonts w:eastAsia="Times New Roman"/>
          <w:b w:val="0"/>
          <w:bCs w:val="0"/>
        </w:rPr>
        <w:t>Epidemiol Infect</w:t>
      </w:r>
      <w:r w:rsidRPr="00F4785C">
        <w:rPr>
          <w:rFonts w:eastAsia="Times New Roman"/>
        </w:rPr>
        <w:t>. 2014;142(4):843–6. doi: https://doi.org/10.1017/S0950268813001465.</w:t>
      </w:r>
    </w:p>
    <w:p w14:paraId="631FC700" w14:textId="753FD170" w:rsidR="00F4785C" w:rsidRPr="00F4785C" w:rsidRDefault="00F4785C" w:rsidP="00F4785C">
      <w:pPr>
        <w:pStyle w:val="ListParagraph"/>
        <w:numPr>
          <w:ilvl w:val="0"/>
          <w:numId w:val="10"/>
        </w:numPr>
        <w:rPr>
          <w:rFonts w:eastAsia="Times New Roman"/>
        </w:rPr>
      </w:pPr>
      <w:r w:rsidRPr="00F4785C">
        <w:rPr>
          <w:rFonts w:eastAsia="Times New Roman"/>
        </w:rPr>
        <w:t xml:space="preserve">Naing C, Reid SA, Aye SN, Htet NH, Ambu S. Risk factors for human leptospirosis following flooding: a meta-analysis of observational studies. </w:t>
      </w:r>
      <w:r w:rsidRPr="00F37CC0">
        <w:rPr>
          <w:rStyle w:val="Emphasis"/>
          <w:rFonts w:eastAsia="Times New Roman"/>
          <w:b w:val="0"/>
          <w:bCs w:val="0"/>
        </w:rPr>
        <w:t>PLoS One</w:t>
      </w:r>
      <w:r w:rsidRPr="00F4785C">
        <w:rPr>
          <w:rFonts w:eastAsia="Times New Roman"/>
        </w:rPr>
        <w:t>. 2019;14(5):e0217643. doi: https://doi.org/10.1371/journal.pone.0217643.</w:t>
      </w:r>
    </w:p>
    <w:p w14:paraId="55223061" w14:textId="49E870E5" w:rsidR="00F4785C" w:rsidRPr="00F4785C" w:rsidRDefault="00F4785C" w:rsidP="00F4785C">
      <w:pPr>
        <w:pStyle w:val="ListParagraph"/>
        <w:numPr>
          <w:ilvl w:val="0"/>
          <w:numId w:val="10"/>
        </w:numPr>
        <w:rPr>
          <w:rFonts w:eastAsia="Times New Roman"/>
        </w:rPr>
      </w:pPr>
      <w:r w:rsidRPr="00F4785C">
        <w:rPr>
          <w:rFonts w:eastAsia="Times New Roman"/>
        </w:rPr>
        <w:t xml:space="preserve">Hacker KP, Sacramento GA, Cruz JS, de Oliveira D, Nery N, Lindow JC et al. Influence of rainfall on </w:t>
      </w:r>
      <w:r w:rsidRPr="00F37CC0">
        <w:rPr>
          <w:rStyle w:val="Emphasis"/>
          <w:rFonts w:eastAsia="Times New Roman"/>
          <w:b w:val="0"/>
          <w:bCs w:val="0"/>
        </w:rPr>
        <w:t>Leptospira</w:t>
      </w:r>
      <w:r w:rsidRPr="00F4785C">
        <w:rPr>
          <w:rFonts w:eastAsia="Times New Roman"/>
        </w:rPr>
        <w:t xml:space="preserve"> infection and disease in a tropical urban setting, Brazil. </w:t>
      </w:r>
      <w:r w:rsidRPr="00F37CC0">
        <w:rPr>
          <w:rStyle w:val="Emphasis"/>
          <w:rFonts w:eastAsia="Times New Roman"/>
          <w:b w:val="0"/>
          <w:bCs w:val="0"/>
        </w:rPr>
        <w:t>Emerg Infect Dis</w:t>
      </w:r>
      <w:r w:rsidRPr="00F4785C">
        <w:rPr>
          <w:rFonts w:eastAsia="Times New Roman"/>
        </w:rPr>
        <w:t>. 2020;26(2):311–4. doi: https://doi.org/10.3201/eid2602.190102.</w:t>
      </w:r>
    </w:p>
    <w:p w14:paraId="1BA6C9DD" w14:textId="7795D3BA" w:rsidR="00F4785C" w:rsidRPr="00F4785C" w:rsidRDefault="00F4785C" w:rsidP="00F4785C">
      <w:pPr>
        <w:pStyle w:val="ListParagraph"/>
        <w:numPr>
          <w:ilvl w:val="0"/>
          <w:numId w:val="10"/>
        </w:numPr>
        <w:rPr>
          <w:rFonts w:eastAsia="Times New Roman"/>
        </w:rPr>
      </w:pPr>
      <w:r w:rsidRPr="00F4785C">
        <w:rPr>
          <w:rFonts w:eastAsia="Times New Roman"/>
        </w:rPr>
        <w:t xml:space="preserve">Radi MFM, Hashim JH, Jaafar MH, Hod R, Ahmad N, Nawi AW et al. Leptospirosis outbreak after the 2014 major flooding event in Kelantan, Malaysia: a spatial-temporal analysis. </w:t>
      </w:r>
      <w:r w:rsidRPr="00F37CC0">
        <w:rPr>
          <w:rStyle w:val="Emphasis"/>
          <w:rFonts w:eastAsia="Times New Roman"/>
          <w:b w:val="0"/>
          <w:bCs w:val="0"/>
        </w:rPr>
        <w:t>Am J Trop Med Hyg</w:t>
      </w:r>
      <w:r w:rsidRPr="00F4785C">
        <w:rPr>
          <w:rFonts w:eastAsia="Times New Roman"/>
        </w:rPr>
        <w:t>. 2018;98(5):1281–95. doi: https://doi.org/10.4269/ajtmh.16-0922.</w:t>
      </w:r>
    </w:p>
    <w:p w14:paraId="689AE7D8" w14:textId="3939C05F" w:rsidR="00F4785C" w:rsidRPr="00F4785C" w:rsidRDefault="00F4785C" w:rsidP="00F4785C">
      <w:pPr>
        <w:pStyle w:val="ListParagraph"/>
        <w:numPr>
          <w:ilvl w:val="0"/>
          <w:numId w:val="10"/>
        </w:numPr>
        <w:rPr>
          <w:rFonts w:eastAsia="Times New Roman"/>
        </w:rPr>
      </w:pPr>
      <w:r w:rsidRPr="00F4785C">
        <w:rPr>
          <w:rFonts w:eastAsia="Times New Roman"/>
        </w:rPr>
        <w:t xml:space="preserve">Wynwood SJ, Craig SB, Graham GC, Blair BR, Burns MA, Weier SL et al. The emergence of </w:t>
      </w:r>
      <w:r w:rsidRPr="00F37CC0">
        <w:rPr>
          <w:rStyle w:val="Emphasis"/>
          <w:rFonts w:eastAsia="Times New Roman"/>
          <w:b w:val="0"/>
          <w:bCs w:val="0"/>
        </w:rPr>
        <w:t>Leptospira borgpetersenii</w:t>
      </w:r>
      <w:r w:rsidRPr="00F4785C">
        <w:rPr>
          <w:rFonts w:eastAsia="Times New Roman"/>
        </w:rPr>
        <w:t xml:space="preserve"> serovar Arborea as the dominant infecting serovar following the summer of natural disasters in Queensland, Australia 2011. </w:t>
      </w:r>
      <w:r w:rsidRPr="00F37CC0">
        <w:rPr>
          <w:rStyle w:val="Emphasis"/>
          <w:rFonts w:eastAsia="Times New Roman"/>
          <w:b w:val="0"/>
          <w:bCs w:val="0"/>
        </w:rPr>
        <w:t>Trop Biomed</w:t>
      </w:r>
      <w:r w:rsidRPr="00F4785C">
        <w:rPr>
          <w:rFonts w:eastAsia="Times New Roman"/>
        </w:rPr>
        <w:t>. 2014;31(2):281–5.</w:t>
      </w:r>
    </w:p>
    <w:p w14:paraId="19BD2B07" w14:textId="03A3AD3D" w:rsidR="00F4785C" w:rsidRPr="00F4785C" w:rsidRDefault="00F4785C" w:rsidP="00F4785C">
      <w:pPr>
        <w:pStyle w:val="ListParagraph"/>
        <w:numPr>
          <w:ilvl w:val="0"/>
          <w:numId w:val="10"/>
        </w:numPr>
        <w:rPr>
          <w:rFonts w:eastAsia="Times New Roman"/>
        </w:rPr>
      </w:pPr>
      <w:r w:rsidRPr="00F4785C">
        <w:rPr>
          <w:rFonts w:eastAsia="Times New Roman"/>
        </w:rPr>
        <w:t xml:space="preserve">Smith JKG, Young MM, Wilson KL, Craig SB. Leptospirosis following a major flood in Central Queensland, Australia. </w:t>
      </w:r>
      <w:r w:rsidRPr="00F37CC0">
        <w:rPr>
          <w:rStyle w:val="Emphasis"/>
          <w:rFonts w:eastAsia="Times New Roman"/>
          <w:b w:val="0"/>
          <w:bCs w:val="0"/>
        </w:rPr>
        <w:t>Epidemiol Infect</w:t>
      </w:r>
      <w:r w:rsidRPr="00F4785C">
        <w:rPr>
          <w:rFonts w:eastAsia="Times New Roman"/>
        </w:rPr>
        <w:t>. 2013;141(3):585–90. doi:https://doi.org/10.1017/S0950268812001021.</w:t>
      </w:r>
    </w:p>
    <w:p w14:paraId="0928720E" w14:textId="77777777" w:rsidR="00F4785C" w:rsidRPr="00F4785C" w:rsidRDefault="00F4785C" w:rsidP="00F4785C">
      <w:pPr>
        <w:pStyle w:val="ListParagraph"/>
        <w:numPr>
          <w:ilvl w:val="0"/>
          <w:numId w:val="10"/>
        </w:numPr>
        <w:rPr>
          <w:rFonts w:eastAsia="Times New Roman"/>
        </w:rPr>
      </w:pPr>
      <w:r w:rsidRPr="00F4785C">
        <w:rPr>
          <w:rFonts w:eastAsia="Times New Roman"/>
        </w:rPr>
        <w:t>Australian Government Department of Health, National Notifiable Disease Surveillance System (NNDSS). Public datasets. [Internet.] Canberra: Australian Government Department of Health; 2021. [Accessed on 1 March 2021.] Available from: https://www1.health.gov.au/internet/main/publishing.nsf/Content/ohp-pub-datasets.htm.</w:t>
      </w:r>
    </w:p>
    <w:p w14:paraId="6FAC33A3" w14:textId="77777777" w:rsidR="00F4785C" w:rsidRPr="00F4785C" w:rsidRDefault="00F4785C" w:rsidP="00F4785C">
      <w:pPr>
        <w:pStyle w:val="ListParagraph"/>
        <w:numPr>
          <w:ilvl w:val="0"/>
          <w:numId w:val="10"/>
        </w:numPr>
        <w:rPr>
          <w:rFonts w:eastAsia="Times New Roman"/>
        </w:rPr>
      </w:pPr>
      <w:r w:rsidRPr="00F4785C">
        <w:rPr>
          <w:rFonts w:eastAsia="Times New Roman"/>
        </w:rPr>
        <w:lastRenderedPageBreak/>
        <w:t>Australian Government Department of Health. Australian national notifiable diseases case definitions. Leptospirosis case definition. [Internet.] Canberra: Australian Government Department of Health; 2004. [Accessed on 1 February 2021.] Available from: https://www1.health.gov.au/internet/main/publishing.nsf/Content/cda-surveil-nndss-casedefs-cd_lepto.htm.</w:t>
      </w:r>
    </w:p>
    <w:p w14:paraId="3C45E907" w14:textId="28DEBA74" w:rsidR="00F4785C" w:rsidRPr="00F4785C" w:rsidRDefault="00F4785C" w:rsidP="00F4785C">
      <w:pPr>
        <w:pStyle w:val="ListParagraph"/>
        <w:numPr>
          <w:ilvl w:val="0"/>
          <w:numId w:val="10"/>
        </w:numPr>
        <w:rPr>
          <w:rFonts w:eastAsia="Times New Roman"/>
        </w:rPr>
      </w:pPr>
      <w:r w:rsidRPr="00F4785C">
        <w:rPr>
          <w:rFonts w:eastAsia="Times New Roman"/>
        </w:rPr>
        <w:t>Centers for Disease Control and Prevention (CDC). National Notifiable Diseases Surveillance System Surveillance Case Definitions. Leptospirosis (</w:t>
      </w:r>
      <w:r w:rsidRPr="00F37CC0">
        <w:rPr>
          <w:rStyle w:val="Emphasis"/>
          <w:rFonts w:eastAsia="Times New Roman"/>
          <w:b w:val="0"/>
          <w:bCs w:val="0"/>
        </w:rPr>
        <w:t>Leptospira interrogans</w:t>
      </w:r>
      <w:r w:rsidRPr="00F4785C">
        <w:rPr>
          <w:rFonts w:eastAsia="Times New Roman"/>
        </w:rPr>
        <w:t>) 2013 Case Definition. [Internet.] Atlanta: United States Government Department of Health and Human Services, CDC; 2013. [Accessed on 20 Feburary 2021.] Available from: https://ndc.services.cdc.gov/case-definitions/leptospirosis-2013/.</w:t>
      </w:r>
    </w:p>
    <w:p w14:paraId="61099246" w14:textId="77777777" w:rsidR="00F4785C" w:rsidRPr="00F4785C" w:rsidRDefault="00F4785C" w:rsidP="00F4785C">
      <w:pPr>
        <w:pStyle w:val="ListParagraph"/>
        <w:numPr>
          <w:ilvl w:val="0"/>
          <w:numId w:val="10"/>
        </w:numPr>
        <w:rPr>
          <w:rFonts w:eastAsia="Times New Roman"/>
        </w:rPr>
      </w:pPr>
      <w:r w:rsidRPr="00F4785C">
        <w:rPr>
          <w:rFonts w:eastAsia="Times New Roman"/>
        </w:rPr>
        <w:t>Northern Territory Government Department of Health (NT Health). News – Leptospirosis warning. [Internet.] Darwin: Northern Territory Government, NT Health; 1 March 2021. [Accessed on 1 March 2021.] Available from: https://health.nt.gov.au/news/leptospirosis-warning.</w:t>
      </w:r>
    </w:p>
    <w:p w14:paraId="473D7460" w14:textId="77777777" w:rsidR="00F4785C" w:rsidRPr="00F4785C" w:rsidRDefault="00F4785C" w:rsidP="00F4785C">
      <w:pPr>
        <w:pStyle w:val="ListParagraph"/>
        <w:numPr>
          <w:ilvl w:val="0"/>
          <w:numId w:val="10"/>
        </w:numPr>
        <w:rPr>
          <w:rFonts w:eastAsia="Times New Roman"/>
        </w:rPr>
      </w:pPr>
      <w:r w:rsidRPr="00F4785C">
        <w:rPr>
          <w:rFonts w:eastAsia="Times New Roman"/>
        </w:rPr>
        <w:t>Australian Government Bureau of Meteorology (BoM). Northern Territory in February 2021: wet in the north and southwest; cool days, warm nights. [Internet.] Canberra: Australian Government, BoM; 1 March 2021. [Accessed on 30 October 2021.] Available from: http://www.bom.gov.au/climate/current/month/nt/archive/202102.summary.shtml.</w:t>
      </w:r>
    </w:p>
    <w:p w14:paraId="1BA664C3" w14:textId="77777777" w:rsidR="00F4785C" w:rsidRPr="00F4785C" w:rsidRDefault="00F4785C" w:rsidP="00F4785C">
      <w:pPr>
        <w:pStyle w:val="ListParagraph"/>
        <w:numPr>
          <w:ilvl w:val="0"/>
          <w:numId w:val="10"/>
        </w:numPr>
        <w:rPr>
          <w:rFonts w:eastAsia="Times New Roman"/>
        </w:rPr>
      </w:pPr>
      <w:r w:rsidRPr="00F4785C">
        <w:rPr>
          <w:rFonts w:eastAsia="Times New Roman"/>
        </w:rPr>
        <w:t>Northern Territory Government. Leptospirosis. [Internet.] Darwin: Northern Territory Government; 12 May 2016. [Accessed on 20 February 2021.] Available from: https://nt.gov.au/wellbeing/health-conditions-treatments/bacterial/leptospirosis.</w:t>
      </w:r>
    </w:p>
    <w:p w14:paraId="5974572B" w14:textId="713226B4" w:rsidR="00F4785C" w:rsidRPr="00F4785C" w:rsidRDefault="00F4785C" w:rsidP="00F4785C">
      <w:pPr>
        <w:pStyle w:val="ListParagraph"/>
        <w:numPr>
          <w:ilvl w:val="0"/>
          <w:numId w:val="10"/>
        </w:numPr>
        <w:rPr>
          <w:rFonts w:eastAsia="Times New Roman"/>
        </w:rPr>
      </w:pPr>
      <w:r w:rsidRPr="00F4785C">
        <w:rPr>
          <w:rFonts w:eastAsia="Times New Roman"/>
        </w:rPr>
        <w:t xml:space="preserve">Lilenbaum W, Martins G. Leptospirosis in cattle: a challenging scenario for the understanding of the epidemiology. </w:t>
      </w:r>
      <w:r w:rsidRPr="00F37CC0">
        <w:rPr>
          <w:rStyle w:val="Emphasis"/>
          <w:rFonts w:eastAsia="Times New Roman"/>
          <w:b w:val="0"/>
          <w:bCs w:val="0"/>
        </w:rPr>
        <w:t>Transbound Emerg Dis</w:t>
      </w:r>
      <w:r w:rsidRPr="00F4785C">
        <w:rPr>
          <w:rFonts w:eastAsia="Times New Roman"/>
        </w:rPr>
        <w:t>. 2014;61(Suppl 1);63–8. doi: https://doi.org/10.1111/tbed.12233.</w:t>
      </w:r>
    </w:p>
    <w:p w14:paraId="5F40EDA7" w14:textId="2DFD805C" w:rsidR="00F4785C" w:rsidRPr="00F4785C" w:rsidRDefault="00F4785C" w:rsidP="00F4785C">
      <w:pPr>
        <w:pStyle w:val="ListParagraph"/>
        <w:numPr>
          <w:ilvl w:val="0"/>
          <w:numId w:val="10"/>
        </w:numPr>
        <w:rPr>
          <w:rFonts w:eastAsia="Times New Roman"/>
        </w:rPr>
      </w:pPr>
      <w:r w:rsidRPr="00F4785C">
        <w:rPr>
          <w:rFonts w:eastAsia="Times New Roman"/>
        </w:rPr>
        <w:t xml:space="preserve">Takafuji ET, Kirkpatrick JW, Miller RN, Karwacki JJ, Kelley PW, Gray MR et al. An efficacy trial of doxycycline chemoprophylaxis against leptospirosis. </w:t>
      </w:r>
      <w:r w:rsidRPr="00F37CC0">
        <w:rPr>
          <w:rStyle w:val="Emphasis"/>
          <w:rFonts w:eastAsia="Times New Roman"/>
          <w:b w:val="0"/>
          <w:bCs w:val="0"/>
        </w:rPr>
        <w:t>N Engl J Med</w:t>
      </w:r>
      <w:r w:rsidRPr="00F4785C">
        <w:rPr>
          <w:rFonts w:eastAsia="Times New Roman"/>
        </w:rPr>
        <w:t>. 1984;310(8):497–500. doi: https://doi.org/10.1056/NEJM198402233100805.</w:t>
      </w:r>
    </w:p>
    <w:p w14:paraId="58EA021F" w14:textId="77777777" w:rsidR="00F4785C" w:rsidRPr="00F4785C" w:rsidRDefault="00F4785C" w:rsidP="00F4785C">
      <w:pPr>
        <w:pStyle w:val="ListParagraph"/>
        <w:numPr>
          <w:ilvl w:val="0"/>
          <w:numId w:val="10"/>
        </w:numPr>
        <w:rPr>
          <w:rFonts w:eastAsia="Times New Roman"/>
        </w:rPr>
      </w:pPr>
      <w:r w:rsidRPr="00F4785C">
        <w:rPr>
          <w:rFonts w:eastAsia="Times New Roman"/>
        </w:rPr>
        <w:t>Brett-Major DM, Lipnick RJ. Antibiotic prophylaxis for leptospirosis. Cochrane Database Syst Rev. 2009;3:CD007342. doi: https://doi.org/10.1002/14651858.CD007342.pub2.</w:t>
      </w:r>
    </w:p>
    <w:p w14:paraId="24605307" w14:textId="245A0EFB" w:rsidR="00F4785C" w:rsidRPr="00F4785C" w:rsidRDefault="00F4785C" w:rsidP="00F4785C">
      <w:pPr>
        <w:pStyle w:val="ListParagraph"/>
        <w:numPr>
          <w:ilvl w:val="0"/>
          <w:numId w:val="10"/>
        </w:numPr>
        <w:rPr>
          <w:rFonts w:eastAsia="Times New Roman"/>
        </w:rPr>
      </w:pPr>
      <w:r w:rsidRPr="00F4785C">
        <w:rPr>
          <w:rFonts w:eastAsia="Times New Roman"/>
        </w:rPr>
        <w:t xml:space="preserve">Zoetis Australia. </w:t>
      </w:r>
      <w:r w:rsidRPr="00F37CC0">
        <w:rPr>
          <w:rStyle w:val="Emphasis"/>
          <w:rFonts w:eastAsia="Times New Roman"/>
          <w:b w:val="0"/>
          <w:bCs w:val="0"/>
        </w:rPr>
        <w:t>Cattle product information sheet – Leptoshield® Vaccine</w:t>
      </w:r>
      <w:r w:rsidRPr="00F4785C">
        <w:rPr>
          <w:rFonts w:eastAsia="Times New Roman"/>
        </w:rPr>
        <w:t>. Rhodes (NSW): Zoetis; September 2019. [Accessed on 1 March 2021.] Available from: https://www.zoetis.com.au/livestock-solutions/pdfs/zoetis_leptoshield-product-information_print_notrim_hr.pdf.</w:t>
      </w:r>
    </w:p>
    <w:p w14:paraId="39C5C36B" w14:textId="77777777" w:rsidR="002E0D94" w:rsidRDefault="002E0D94">
      <w:pPr>
        <w:rPr>
          <w:rFonts w:asciiTheme="majorHAnsi" w:eastAsiaTheme="majorEastAsia" w:hAnsiTheme="majorHAnsi" w:cstheme="majorBidi"/>
          <w:b/>
          <w:bCs/>
          <w:sz w:val="32"/>
          <w:szCs w:val="28"/>
        </w:rPr>
      </w:pPr>
      <w:r>
        <w:br w:type="page"/>
      </w:r>
    </w:p>
    <w:p w14:paraId="1E5DFF5F" w14:textId="3EB17AEE" w:rsidR="00F4785C" w:rsidRPr="00F4785C" w:rsidRDefault="00F4785C" w:rsidP="00F4785C">
      <w:pPr>
        <w:pStyle w:val="Heading1"/>
      </w:pPr>
      <w:r w:rsidRPr="00F4785C">
        <w:lastRenderedPageBreak/>
        <w:t>Appendix A</w:t>
      </w:r>
    </w:p>
    <w:p w14:paraId="1F2C9F29" w14:textId="173E5535" w:rsidR="00161FFD" w:rsidRPr="004C4434" w:rsidRDefault="004C4434" w:rsidP="004C4434">
      <w:pPr>
        <w:pStyle w:val="CDIFigures"/>
      </w:pPr>
      <w:r w:rsidRPr="004C4434">
        <w:rPr>
          <w:rStyle w:val="Strong"/>
          <w:b/>
          <w:bCs w:val="0"/>
        </w:rPr>
        <w:t>Box A.1: Australian national surveillance case definition</w:t>
      </w:r>
      <w:r w:rsidRPr="004C4434">
        <w:rPr>
          <w:rStyle w:val="Strong"/>
          <w:b/>
          <w:bCs w:val="0"/>
          <w:vertAlign w:val="superscript"/>
        </w:rPr>
        <w:t>a</w:t>
      </w:r>
    </w:p>
    <w:p w14:paraId="1B8BE9A4" w14:textId="68634585" w:rsidR="00BA765E" w:rsidRDefault="00BA765E" w:rsidP="00F4785C">
      <w:pPr>
        <w:rPr>
          <w:rFonts w:eastAsia="Times New Roman"/>
        </w:rPr>
      </w:pPr>
      <w:r w:rsidRPr="00BA765E">
        <w:rPr>
          <w:rStyle w:val="Emphasis"/>
          <w:rFonts w:eastAsia="Times New Roman"/>
          <w:b w:val="0"/>
          <w:bCs w:val="0"/>
          <w:i w:val="0"/>
          <w:iCs w:val="0"/>
          <w:noProof/>
        </w:rPr>
        <mc:AlternateContent>
          <mc:Choice Requires="wps">
            <w:drawing>
              <wp:inline distT="0" distB="0" distL="0" distR="0" wp14:anchorId="436EE119" wp14:editId="1EF6D2BF">
                <wp:extent cx="6625424" cy="1090323"/>
                <wp:effectExtent l="0" t="0" r="23495" b="28575"/>
                <wp:docPr id="6" name="Text Box 6"/>
                <wp:cNvGraphicFramePr/>
                <a:graphic xmlns:a="http://schemas.openxmlformats.org/drawingml/2006/main">
                  <a:graphicData uri="http://schemas.microsoft.com/office/word/2010/wordprocessingShape">
                    <wps:wsp>
                      <wps:cNvSpPr txBox="1"/>
                      <wps:spPr>
                        <a:xfrm>
                          <a:off x="0" y="0"/>
                          <a:ext cx="6625424" cy="1090323"/>
                        </a:xfrm>
                        <a:prstGeom prst="rect">
                          <a:avLst/>
                        </a:prstGeom>
                        <a:solidFill>
                          <a:srgbClr val="E3B77B">
                            <a:alpha val="20000"/>
                          </a:srgbClr>
                        </a:solidFill>
                        <a:ln w="3175">
                          <a:solidFill>
                            <a:srgbClr val="E3B77B"/>
                          </a:solidFill>
                        </a:ln>
                      </wps:spPr>
                      <wps:txbx>
                        <w:txbxContent>
                          <w:p w14:paraId="40D80343" w14:textId="35BBAD53" w:rsidR="00BA765E" w:rsidRPr="00292FE8" w:rsidRDefault="00BA765E" w:rsidP="009018C8">
                            <w:pPr>
                              <w:rPr>
                                <w:sz w:val="18"/>
                                <w:szCs w:val="18"/>
                              </w:rPr>
                            </w:pPr>
                            <w:r w:rsidRPr="00292FE8">
                              <w:rPr>
                                <w:sz w:val="18"/>
                                <w:szCs w:val="18"/>
                              </w:rPr>
                              <w:t xml:space="preserve">Only </w:t>
                            </w:r>
                            <w:r w:rsidRPr="00292FE8">
                              <w:rPr>
                                <w:rStyle w:val="Strong"/>
                                <w:sz w:val="18"/>
                                <w:szCs w:val="18"/>
                              </w:rPr>
                              <w:t>confirmed cases</w:t>
                            </w:r>
                            <w:r w:rsidRPr="00292FE8">
                              <w:rPr>
                                <w:sz w:val="18"/>
                                <w:szCs w:val="18"/>
                              </w:rPr>
                              <w:t xml:space="preserve"> should be notified.</w:t>
                            </w:r>
                          </w:p>
                          <w:p w14:paraId="3A020465" w14:textId="52B3BDBA" w:rsidR="00BA765E" w:rsidRPr="00292FE8" w:rsidRDefault="00BA765E" w:rsidP="009018C8">
                            <w:pPr>
                              <w:rPr>
                                <w:sz w:val="18"/>
                                <w:szCs w:val="18"/>
                              </w:rPr>
                            </w:pPr>
                            <w:r w:rsidRPr="00292FE8">
                              <w:rPr>
                                <w:sz w:val="18"/>
                                <w:szCs w:val="18"/>
                              </w:rPr>
                              <w:t xml:space="preserve">Confirmed case A confirmed case </w:t>
                            </w:r>
                            <w:r w:rsidR="008F44A8" w:rsidRPr="00292FE8">
                              <w:rPr>
                                <w:sz w:val="18"/>
                                <w:szCs w:val="18"/>
                              </w:rPr>
                              <w:t xml:space="preserve">requires </w:t>
                            </w:r>
                            <w:r w:rsidR="008F44A8" w:rsidRPr="00292FE8">
                              <w:rPr>
                                <w:b/>
                                <w:bCs/>
                                <w:sz w:val="18"/>
                                <w:szCs w:val="18"/>
                              </w:rPr>
                              <w:t>laboratory</w:t>
                            </w:r>
                            <w:r w:rsidRPr="00292FE8">
                              <w:rPr>
                                <w:rStyle w:val="Strong"/>
                                <w:sz w:val="18"/>
                                <w:szCs w:val="18"/>
                              </w:rPr>
                              <w:t xml:space="preserve"> definitive evidence</w:t>
                            </w:r>
                            <w:r w:rsidRPr="00292FE8">
                              <w:rPr>
                                <w:sz w:val="18"/>
                                <w:szCs w:val="18"/>
                              </w:rPr>
                              <w:t xml:space="preserve"> only.</w:t>
                            </w:r>
                          </w:p>
                          <w:p w14:paraId="7A6F7579" w14:textId="77777777" w:rsidR="00BA765E" w:rsidRPr="00292FE8" w:rsidRDefault="00BA765E" w:rsidP="009018C8">
                            <w:pPr>
                              <w:rPr>
                                <w:sz w:val="18"/>
                                <w:szCs w:val="18"/>
                              </w:rPr>
                            </w:pPr>
                            <w:r w:rsidRPr="00292FE8">
                              <w:rPr>
                                <w:sz w:val="18"/>
                                <w:szCs w:val="18"/>
                              </w:rPr>
                              <w:t>Laboratory definitive evidence</w:t>
                            </w:r>
                          </w:p>
                          <w:p w14:paraId="20FA9A8B" w14:textId="77777777" w:rsidR="00BA765E" w:rsidRPr="00292FE8" w:rsidRDefault="00BA765E" w:rsidP="008F44A8">
                            <w:pPr>
                              <w:ind w:left="720"/>
                              <w:rPr>
                                <w:sz w:val="18"/>
                                <w:szCs w:val="18"/>
                              </w:rPr>
                            </w:pPr>
                            <w:r w:rsidRPr="00292FE8">
                              <w:rPr>
                                <w:sz w:val="18"/>
                                <w:szCs w:val="18"/>
                              </w:rPr>
                              <w:t xml:space="preserve">1. Isolation of pathogenic  </w:t>
                            </w:r>
                            <w:r w:rsidRPr="00292FE8">
                              <w:rPr>
                                <w:rStyle w:val="Emphasis"/>
                                <w:b w:val="0"/>
                                <w:bCs w:val="0"/>
                                <w:sz w:val="18"/>
                                <w:szCs w:val="18"/>
                              </w:rPr>
                              <w:t>Leptospira</w:t>
                            </w:r>
                            <w:r w:rsidRPr="00292FE8">
                              <w:rPr>
                                <w:sz w:val="18"/>
                                <w:szCs w:val="18"/>
                              </w:rPr>
                              <w:t xml:space="preserve"> species</w:t>
                            </w:r>
                          </w:p>
                          <w:p w14:paraId="49079C70" w14:textId="77777777" w:rsidR="00BA765E" w:rsidRPr="00292FE8" w:rsidRDefault="00BA765E" w:rsidP="00BA765E">
                            <w:pPr>
                              <w:rPr>
                                <w:sz w:val="18"/>
                                <w:szCs w:val="18"/>
                              </w:rPr>
                            </w:pPr>
                            <w:r w:rsidRPr="00292FE8">
                              <w:rPr>
                                <w:sz w:val="18"/>
                                <w:szCs w:val="18"/>
                              </w:rPr>
                              <w:t>OR</w:t>
                            </w:r>
                          </w:p>
                          <w:p w14:paraId="44095BA4" w14:textId="77777777" w:rsidR="00BA765E" w:rsidRPr="00292FE8" w:rsidRDefault="00BA765E" w:rsidP="008F44A8">
                            <w:pPr>
                              <w:ind w:left="720"/>
                              <w:rPr>
                                <w:sz w:val="18"/>
                                <w:szCs w:val="18"/>
                              </w:rPr>
                            </w:pPr>
                            <w:r w:rsidRPr="00292FE8">
                              <w:rPr>
                                <w:sz w:val="18"/>
                                <w:szCs w:val="18"/>
                              </w:rPr>
                              <w:t xml:space="preserve">2. A fourfold or greater rise in  </w:t>
                            </w:r>
                            <w:r w:rsidRPr="00292FE8">
                              <w:rPr>
                                <w:rStyle w:val="Emphasis"/>
                                <w:b w:val="0"/>
                                <w:bCs w:val="0"/>
                                <w:sz w:val="18"/>
                                <w:szCs w:val="18"/>
                              </w:rPr>
                              <w:t>Leptospira</w:t>
                            </w:r>
                            <w:r w:rsidRPr="00292FE8">
                              <w:rPr>
                                <w:sz w:val="18"/>
                                <w:szCs w:val="18"/>
                              </w:rPr>
                              <w:t xml:space="preserve"> agglutination titre between acute and convalescent phase sera obtained at least two weeks apart and preferably conducted at the same laboratory</w:t>
                            </w:r>
                          </w:p>
                          <w:p w14:paraId="360D6C15" w14:textId="77777777" w:rsidR="00BA765E" w:rsidRPr="00292FE8" w:rsidRDefault="00BA765E" w:rsidP="00BA765E">
                            <w:pPr>
                              <w:rPr>
                                <w:sz w:val="18"/>
                                <w:szCs w:val="18"/>
                              </w:rPr>
                            </w:pPr>
                            <w:r w:rsidRPr="00292FE8">
                              <w:rPr>
                                <w:sz w:val="18"/>
                                <w:szCs w:val="18"/>
                              </w:rPr>
                              <w:t>OR</w:t>
                            </w:r>
                          </w:p>
                          <w:p w14:paraId="38EE9B89" w14:textId="3E250FB9" w:rsidR="00BA765E" w:rsidRPr="00292FE8" w:rsidRDefault="00BA765E" w:rsidP="008F44A8">
                            <w:pPr>
                              <w:ind w:left="720"/>
                              <w:rPr>
                                <w:sz w:val="18"/>
                                <w:szCs w:val="18"/>
                              </w:rPr>
                            </w:pPr>
                            <w:r w:rsidRPr="00292FE8">
                              <w:rPr>
                                <w:sz w:val="18"/>
                                <w:szCs w:val="18"/>
                              </w:rPr>
                              <w:t xml:space="preserve">3. A single  </w:t>
                            </w:r>
                            <w:r w:rsidRPr="00292FE8">
                              <w:rPr>
                                <w:rStyle w:val="Emphasis"/>
                                <w:b w:val="0"/>
                                <w:bCs w:val="0"/>
                                <w:sz w:val="18"/>
                                <w:szCs w:val="18"/>
                              </w:rPr>
                              <w:t>Leptospira</w:t>
                            </w:r>
                            <w:r w:rsidRPr="00292FE8">
                              <w:rPr>
                                <w:sz w:val="18"/>
                                <w:szCs w:val="18"/>
                              </w:rPr>
                              <w:t xml:space="preserve"> micro agglutination titre greater than or equal to 400 supported by a positive enzyme-linked immunosorbent assay IgM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436EE119" id="_x0000_t202" coordsize="21600,21600" o:spt="202" path="m,l,21600r21600,l21600,xe">
                <v:stroke joinstyle="miter"/>
                <v:path gradientshapeok="t" o:connecttype="rect"/>
              </v:shapetype>
              <v:shape id="Text Box 6" o:spid="_x0000_s1026" type="#_x0000_t202" style="width:521.7pt;height: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" fillcolor="#e3b77b" strokecolor="#e3b77b" strokeweight=".25pt">
                <v:fill opacity="13107f"/>
                <v:textbox style="mso-fit-shape-to-text:t">
                  <w:txbxContent>
                    <w:p w14:paraId="40D80343" w14:textId="35BBAD53" w:rsidR="00BA765E" w:rsidRPr="00292FE8" w:rsidRDefault="00BA765E" w:rsidP="009018C8">
                      <w:pPr>
                        <w:rPr>
                          <w:sz w:val="18"/>
                          <w:szCs w:val="18"/>
                        </w:rPr>
                      </w:pPr>
                      <w:r w:rsidRPr="00292FE8">
                        <w:rPr>
                          <w:sz w:val="18"/>
                          <w:szCs w:val="18"/>
                        </w:rPr>
                        <w:t xml:space="preserve">Only </w:t>
                      </w:r>
                      <w:r w:rsidRPr="00292FE8">
                        <w:rPr>
                          <w:rStyle w:val="Strong"/>
                          <w:sz w:val="18"/>
                          <w:szCs w:val="18"/>
                        </w:rPr>
                        <w:t>confirmed cases</w:t>
                      </w:r>
                      <w:r w:rsidRPr="00292FE8">
                        <w:rPr>
                          <w:sz w:val="18"/>
                          <w:szCs w:val="18"/>
                        </w:rPr>
                        <w:t xml:space="preserve"> should be notified.</w:t>
                      </w:r>
                    </w:p>
                    <w:p w14:paraId="3A020465" w14:textId="52B3BDBA" w:rsidR="00BA765E" w:rsidRPr="00292FE8" w:rsidRDefault="00BA765E" w:rsidP="009018C8">
                      <w:pPr>
                        <w:rPr>
                          <w:sz w:val="18"/>
                          <w:szCs w:val="18"/>
                        </w:rPr>
                      </w:pPr>
                      <w:r w:rsidRPr="00292FE8">
                        <w:rPr>
                          <w:sz w:val="18"/>
                          <w:szCs w:val="18"/>
                        </w:rPr>
                        <w:t xml:space="preserve">Confirmed case A confirmed case </w:t>
                      </w:r>
                      <w:r w:rsidR="008F44A8" w:rsidRPr="00292FE8">
                        <w:rPr>
                          <w:sz w:val="18"/>
                          <w:szCs w:val="18"/>
                        </w:rPr>
                        <w:t xml:space="preserve">requires </w:t>
                      </w:r>
                      <w:r w:rsidR="008F44A8" w:rsidRPr="00292FE8">
                        <w:rPr>
                          <w:b/>
                          <w:bCs/>
                          <w:sz w:val="18"/>
                          <w:szCs w:val="18"/>
                        </w:rPr>
                        <w:t>laboratory</w:t>
                      </w:r>
                      <w:r w:rsidRPr="00292FE8">
                        <w:rPr>
                          <w:rStyle w:val="Strong"/>
                          <w:sz w:val="18"/>
                          <w:szCs w:val="18"/>
                        </w:rPr>
                        <w:t xml:space="preserve"> definitive evidence</w:t>
                      </w:r>
                      <w:r w:rsidRPr="00292FE8">
                        <w:rPr>
                          <w:sz w:val="18"/>
                          <w:szCs w:val="18"/>
                        </w:rPr>
                        <w:t xml:space="preserve"> only.</w:t>
                      </w:r>
                    </w:p>
                    <w:p w14:paraId="7A6F7579" w14:textId="77777777" w:rsidR="00BA765E" w:rsidRPr="00292FE8" w:rsidRDefault="00BA765E" w:rsidP="009018C8">
                      <w:pPr>
                        <w:rPr>
                          <w:sz w:val="18"/>
                          <w:szCs w:val="18"/>
                        </w:rPr>
                      </w:pPr>
                      <w:r w:rsidRPr="00292FE8">
                        <w:rPr>
                          <w:sz w:val="18"/>
                          <w:szCs w:val="18"/>
                        </w:rPr>
                        <w:t>Laboratory definitive evidence</w:t>
                      </w:r>
                    </w:p>
                    <w:p w14:paraId="20FA9A8B" w14:textId="77777777" w:rsidR="00BA765E" w:rsidRPr="00292FE8" w:rsidRDefault="00BA765E" w:rsidP="008F44A8">
                      <w:pPr>
                        <w:ind w:left="720"/>
                        <w:rPr>
                          <w:sz w:val="18"/>
                          <w:szCs w:val="18"/>
                        </w:rPr>
                      </w:pPr>
                      <w:r w:rsidRPr="00292FE8">
                        <w:rPr>
                          <w:sz w:val="18"/>
                          <w:szCs w:val="18"/>
                        </w:rPr>
                        <w:t xml:space="preserve">1. Isolation of pathogenic  </w:t>
                      </w:r>
                      <w:r w:rsidRPr="00292FE8">
                        <w:rPr>
                          <w:rStyle w:val="Emphasis"/>
                          <w:b w:val="0"/>
                          <w:bCs w:val="0"/>
                          <w:sz w:val="18"/>
                          <w:szCs w:val="18"/>
                        </w:rPr>
                        <w:t>Leptospira</w:t>
                      </w:r>
                      <w:r w:rsidRPr="00292FE8">
                        <w:rPr>
                          <w:sz w:val="18"/>
                          <w:szCs w:val="18"/>
                        </w:rPr>
                        <w:t xml:space="preserve"> species</w:t>
                      </w:r>
                    </w:p>
                    <w:p w14:paraId="49079C70" w14:textId="77777777" w:rsidR="00BA765E" w:rsidRPr="00292FE8" w:rsidRDefault="00BA765E" w:rsidP="00BA765E">
                      <w:pPr>
                        <w:rPr>
                          <w:sz w:val="18"/>
                          <w:szCs w:val="18"/>
                        </w:rPr>
                      </w:pPr>
                      <w:r w:rsidRPr="00292FE8">
                        <w:rPr>
                          <w:sz w:val="18"/>
                          <w:szCs w:val="18"/>
                        </w:rPr>
                        <w:t>OR</w:t>
                      </w:r>
                    </w:p>
                    <w:p w14:paraId="44095BA4" w14:textId="77777777" w:rsidR="00BA765E" w:rsidRPr="00292FE8" w:rsidRDefault="00BA765E" w:rsidP="008F44A8">
                      <w:pPr>
                        <w:ind w:left="720"/>
                        <w:rPr>
                          <w:sz w:val="18"/>
                          <w:szCs w:val="18"/>
                        </w:rPr>
                      </w:pPr>
                      <w:r w:rsidRPr="00292FE8">
                        <w:rPr>
                          <w:sz w:val="18"/>
                          <w:szCs w:val="18"/>
                        </w:rPr>
                        <w:t xml:space="preserve">2. A fourfold or greater rise in  </w:t>
                      </w:r>
                      <w:r w:rsidRPr="00292FE8">
                        <w:rPr>
                          <w:rStyle w:val="Emphasis"/>
                          <w:b w:val="0"/>
                          <w:bCs w:val="0"/>
                          <w:sz w:val="18"/>
                          <w:szCs w:val="18"/>
                        </w:rPr>
                        <w:t>Leptospira</w:t>
                      </w:r>
                      <w:r w:rsidRPr="00292FE8">
                        <w:rPr>
                          <w:sz w:val="18"/>
                          <w:szCs w:val="18"/>
                        </w:rPr>
                        <w:t xml:space="preserve"> agglutination titre between acute and convalescent phase sera obtained at least two weeks apart and preferably conducted at the same laboratory</w:t>
                      </w:r>
                    </w:p>
                    <w:p w14:paraId="360D6C15" w14:textId="77777777" w:rsidR="00BA765E" w:rsidRPr="00292FE8" w:rsidRDefault="00BA765E" w:rsidP="00BA765E">
                      <w:pPr>
                        <w:rPr>
                          <w:sz w:val="18"/>
                          <w:szCs w:val="18"/>
                        </w:rPr>
                      </w:pPr>
                      <w:r w:rsidRPr="00292FE8">
                        <w:rPr>
                          <w:sz w:val="18"/>
                          <w:szCs w:val="18"/>
                        </w:rPr>
                        <w:t>OR</w:t>
                      </w:r>
                    </w:p>
                    <w:p w14:paraId="38EE9B89" w14:textId="3E250FB9" w:rsidR="00BA765E" w:rsidRPr="00292FE8" w:rsidRDefault="00BA765E" w:rsidP="008F44A8">
                      <w:pPr>
                        <w:ind w:left="720"/>
                        <w:rPr>
                          <w:sz w:val="18"/>
                          <w:szCs w:val="18"/>
                        </w:rPr>
                      </w:pPr>
                      <w:r w:rsidRPr="00292FE8">
                        <w:rPr>
                          <w:sz w:val="18"/>
                          <w:szCs w:val="18"/>
                        </w:rPr>
                        <w:t xml:space="preserve">3. A single  </w:t>
                      </w:r>
                      <w:r w:rsidRPr="00292FE8">
                        <w:rPr>
                          <w:rStyle w:val="Emphasis"/>
                          <w:b w:val="0"/>
                          <w:bCs w:val="0"/>
                          <w:sz w:val="18"/>
                          <w:szCs w:val="18"/>
                        </w:rPr>
                        <w:t>Leptospira</w:t>
                      </w:r>
                      <w:r w:rsidRPr="00292FE8">
                        <w:rPr>
                          <w:sz w:val="18"/>
                          <w:szCs w:val="18"/>
                        </w:rPr>
                        <w:t xml:space="preserve"> micro agglutination titre greater than or equal to 400 supported by a positive enzyme-linked immunosorbent assay IgM result.</w:t>
                      </w:r>
                    </w:p>
                  </w:txbxContent>
                </v:textbox>
                <w10:anchorlock/>
              </v:shape>
            </w:pict>
          </mc:Fallback>
        </mc:AlternateContent>
      </w:r>
    </w:p>
    <w:p w14:paraId="20BF005D" w14:textId="66F2C1A0" w:rsidR="00E46940" w:rsidRPr="00E46940" w:rsidRDefault="00E46940" w:rsidP="00E46940">
      <w:pPr>
        <w:pStyle w:val="CDIfootnotes"/>
      </w:pPr>
      <w:r w:rsidRPr="00E46940">
        <w:t>a</w:t>
      </w:r>
      <w:r w:rsidRPr="00E46940">
        <w:tab/>
        <w:t>Australian Government Department of Health.</w:t>
      </w:r>
      <w:r w:rsidRPr="00E46940">
        <w:rPr>
          <w:vertAlign w:val="superscript"/>
        </w:rPr>
        <w:t>13</w:t>
      </w:r>
    </w:p>
    <w:p w14:paraId="5A1CDE13" w14:textId="77777777" w:rsidR="008F44A8" w:rsidRDefault="008F44A8">
      <w:pPr>
        <w:rPr>
          <w:rFonts w:eastAsia="Times New Roman"/>
          <w:b/>
        </w:rPr>
      </w:pPr>
      <w:r>
        <w:rPr>
          <w:rFonts w:eastAsia="Times New Roman"/>
        </w:rPr>
        <w:br w:type="page"/>
      </w:r>
    </w:p>
    <w:p w14:paraId="70B069E8" w14:textId="30937772" w:rsidR="00F4785C" w:rsidRDefault="00F4785C" w:rsidP="00E84B27">
      <w:pPr>
        <w:pStyle w:val="CDIFigures"/>
        <w:rPr>
          <w:rFonts w:eastAsia="Times New Roman"/>
        </w:rPr>
      </w:pPr>
      <w:r>
        <w:rPr>
          <w:rFonts w:eastAsia="Times New Roman"/>
        </w:rPr>
        <w:lastRenderedPageBreak/>
        <w:t>Box A.2: CDC (United States of America) surveillance case definition</w:t>
      </w:r>
      <w:r>
        <w:rPr>
          <w:rFonts w:eastAsia="Times New Roman"/>
          <w:vertAlign w:val="superscript"/>
        </w:rPr>
        <w:t>a</w:t>
      </w:r>
      <w:r>
        <w:rPr>
          <w:rFonts w:eastAsia="Times New Roman"/>
        </w:rPr>
        <w:t xml:space="preserve"> </w:t>
      </w:r>
    </w:p>
    <w:p w14:paraId="2275011E" w14:textId="77777777" w:rsidR="009018C8" w:rsidRDefault="008F44A8">
      <w:pPr>
        <w:rPr>
          <w:rStyle w:val="A10"/>
        </w:rPr>
      </w:pPr>
      <w:r w:rsidRPr="008F44A8">
        <w:rPr>
          <w:rStyle w:val="A10"/>
          <w:b/>
          <w:bCs/>
          <w:i/>
          <w:iCs/>
          <w:noProof/>
        </w:rPr>
        <mc:AlternateContent>
          <mc:Choice Requires="wps">
            <w:drawing>
              <wp:inline distT="0" distB="0" distL="0" distR="0" wp14:anchorId="0936A397" wp14:editId="1F7CAABF">
                <wp:extent cx="6625424" cy="4893869"/>
                <wp:effectExtent l="0" t="0" r="23495" b="21590"/>
                <wp:docPr id="7" name="Text Box 7"/>
                <wp:cNvGraphicFramePr/>
                <a:graphic xmlns:a="http://schemas.openxmlformats.org/drawingml/2006/main">
                  <a:graphicData uri="http://schemas.microsoft.com/office/word/2010/wordprocessingShape">
                    <wps:wsp>
                      <wps:cNvSpPr txBox="1"/>
                      <wps:spPr>
                        <a:xfrm>
                          <a:off x="0" y="0"/>
                          <a:ext cx="6625424" cy="4893869"/>
                        </a:xfrm>
                        <a:prstGeom prst="rect">
                          <a:avLst/>
                        </a:prstGeom>
                        <a:solidFill>
                          <a:srgbClr val="E3B77B">
                            <a:alpha val="20000"/>
                          </a:srgbClr>
                        </a:solidFill>
                        <a:ln w="3175">
                          <a:solidFill>
                            <a:srgbClr val="E3B77B"/>
                          </a:solidFill>
                        </a:ln>
                      </wps:spPr>
                      <wps:txbx>
                        <w:txbxContent>
                          <w:p w14:paraId="66789878" w14:textId="77777777" w:rsidR="008F44A8" w:rsidRPr="00F7405B" w:rsidRDefault="008F44A8" w:rsidP="008F44A8">
                            <w:pPr>
                              <w:pStyle w:val="NormalWeb"/>
                              <w:rPr>
                                <w:i/>
                                <w:iCs/>
                                <w:sz w:val="18"/>
                                <w:szCs w:val="18"/>
                                <w:lang w:val="en-GB"/>
                              </w:rPr>
                            </w:pPr>
                            <w:r w:rsidRPr="00F7405B">
                              <w:rPr>
                                <w:i/>
                                <w:iCs/>
                                <w:sz w:val="18"/>
                                <w:szCs w:val="18"/>
                                <w:lang w:val="en-GB"/>
                              </w:rPr>
                              <w:t>Probable</w:t>
                            </w:r>
                          </w:p>
                          <w:p w14:paraId="3B7E1FCA" w14:textId="77777777" w:rsidR="008F44A8" w:rsidRPr="00F7405B" w:rsidRDefault="008F44A8" w:rsidP="009018C8">
                            <w:pPr>
                              <w:rPr>
                                <w:sz w:val="18"/>
                                <w:szCs w:val="18"/>
                                <w:lang w:val="en-GB"/>
                              </w:rPr>
                            </w:pPr>
                            <w:r w:rsidRPr="00F7405B">
                              <w:rPr>
                                <w:sz w:val="18"/>
                                <w:szCs w:val="18"/>
                                <w:lang w:val="en-GB"/>
                              </w:rPr>
                              <w:t>A clinically compatible case with at least one of the following:</w:t>
                            </w:r>
                          </w:p>
                          <w:p w14:paraId="70966D4F" w14:textId="77777777" w:rsidR="008F44A8" w:rsidRPr="00F7405B" w:rsidRDefault="008F44A8" w:rsidP="009018C8">
                            <w:pPr>
                              <w:pStyle w:val="ListParagraph"/>
                              <w:numPr>
                                <w:ilvl w:val="0"/>
                                <w:numId w:val="14"/>
                              </w:numPr>
                              <w:rPr>
                                <w:rFonts w:eastAsia="Times New Roman"/>
                                <w:sz w:val="18"/>
                                <w:szCs w:val="18"/>
                                <w:lang w:val="en-GB"/>
                              </w:rPr>
                            </w:pPr>
                            <w:r w:rsidRPr="00F7405B">
                              <w:rPr>
                                <w:rFonts w:eastAsia="Times New Roman"/>
                                <w:sz w:val="18"/>
                                <w:szCs w:val="18"/>
                                <w:lang w:val="en-GB"/>
                              </w:rPr>
                              <w:t>Involvement in an exposure event (e.g., adventure race, triathlon, flooding) with known associated cases, or</w:t>
                            </w:r>
                          </w:p>
                          <w:p w14:paraId="55EC633D" w14:textId="77777777" w:rsidR="008F44A8" w:rsidRPr="00F7405B" w:rsidRDefault="008F44A8" w:rsidP="009018C8">
                            <w:pPr>
                              <w:pStyle w:val="ListParagraph"/>
                              <w:numPr>
                                <w:ilvl w:val="0"/>
                                <w:numId w:val="14"/>
                              </w:numPr>
                              <w:rPr>
                                <w:rFonts w:eastAsia="Times New Roman"/>
                                <w:sz w:val="18"/>
                                <w:szCs w:val="18"/>
                                <w:lang w:val="en-GB"/>
                              </w:rPr>
                            </w:pPr>
                            <w:r w:rsidRPr="00F7405B">
                              <w:rPr>
                                <w:rFonts w:eastAsia="Times New Roman"/>
                                <w:sz w:val="18"/>
                                <w:szCs w:val="18"/>
                                <w:lang w:val="en-GB"/>
                              </w:rPr>
                              <w:t>Presumptive laboratory findings, but without confirmatory laboratory evidence of Leptospira infection.</w:t>
                            </w:r>
                          </w:p>
                          <w:p w14:paraId="68A7F898" w14:textId="77777777" w:rsidR="008F44A8" w:rsidRPr="00F7405B" w:rsidRDefault="008F44A8" w:rsidP="009018C8">
                            <w:pPr>
                              <w:rPr>
                                <w:i/>
                                <w:iCs/>
                                <w:sz w:val="18"/>
                                <w:szCs w:val="18"/>
                                <w:lang w:val="en-GB"/>
                              </w:rPr>
                            </w:pPr>
                            <w:r w:rsidRPr="00F7405B">
                              <w:rPr>
                                <w:i/>
                                <w:iCs/>
                                <w:sz w:val="18"/>
                                <w:szCs w:val="18"/>
                                <w:lang w:val="en-GB"/>
                              </w:rPr>
                              <w:t>Confirmed</w:t>
                            </w:r>
                          </w:p>
                          <w:p w14:paraId="0EF8CC78" w14:textId="77777777" w:rsidR="008F44A8" w:rsidRPr="00F7405B" w:rsidRDefault="008F44A8" w:rsidP="009018C8">
                            <w:pPr>
                              <w:rPr>
                                <w:sz w:val="18"/>
                                <w:szCs w:val="18"/>
                                <w:lang w:val="en-GB"/>
                              </w:rPr>
                            </w:pPr>
                            <w:r w:rsidRPr="00F7405B">
                              <w:rPr>
                                <w:sz w:val="18"/>
                                <w:szCs w:val="18"/>
                                <w:lang w:val="en-GB"/>
                              </w:rPr>
                              <w:t>A case with confirmatory laboratory results, as listed below.</w:t>
                            </w:r>
                          </w:p>
                          <w:p w14:paraId="79C8C49F" w14:textId="77777777" w:rsidR="008F44A8" w:rsidRPr="00F7405B" w:rsidRDefault="008F44A8" w:rsidP="009018C8">
                            <w:pPr>
                              <w:rPr>
                                <w:b/>
                                <w:bCs/>
                                <w:sz w:val="18"/>
                                <w:szCs w:val="18"/>
                                <w:lang w:val="en-GB"/>
                              </w:rPr>
                            </w:pPr>
                            <w:r w:rsidRPr="00F7405B">
                              <w:rPr>
                                <w:b/>
                                <w:bCs/>
                                <w:sz w:val="18"/>
                                <w:szCs w:val="18"/>
                                <w:lang w:val="en-GB"/>
                              </w:rPr>
                              <w:t>Laboratory Criteria for Diagnosis</w:t>
                            </w:r>
                          </w:p>
                          <w:p w14:paraId="262C0E56" w14:textId="77777777" w:rsidR="008F44A8" w:rsidRPr="00F7405B" w:rsidRDefault="008F44A8" w:rsidP="009018C8">
                            <w:pPr>
                              <w:rPr>
                                <w:sz w:val="18"/>
                                <w:szCs w:val="18"/>
                                <w:lang w:val="en-GB"/>
                              </w:rPr>
                            </w:pPr>
                            <w:r w:rsidRPr="00F7405B">
                              <w:rPr>
                                <w:sz w:val="18"/>
                                <w:szCs w:val="18"/>
                                <w:lang w:val="en-GB"/>
                              </w:rPr>
                              <w:t>Diagnostic testing should be requested for patients in whom there is a high index of suspicion for leptospirosis, based either on signs and symptoms, or on occupational, recreational or vocational exposure to animals or environments contaminated with animal urine.</w:t>
                            </w:r>
                          </w:p>
                          <w:p w14:paraId="032EB56A" w14:textId="77777777" w:rsidR="008F44A8" w:rsidRPr="00F7405B" w:rsidRDefault="008F44A8" w:rsidP="009018C8">
                            <w:pPr>
                              <w:rPr>
                                <w:sz w:val="18"/>
                                <w:szCs w:val="18"/>
                                <w:lang w:val="en-GB"/>
                              </w:rPr>
                            </w:pPr>
                            <w:r w:rsidRPr="00F7405B">
                              <w:rPr>
                                <w:sz w:val="18"/>
                                <w:szCs w:val="18"/>
                                <w:lang w:val="en-GB"/>
                              </w:rPr>
                              <w:t>Supportive:</w:t>
                            </w:r>
                          </w:p>
                          <w:p w14:paraId="31F25184" w14:textId="77777777" w:rsidR="008F44A8" w:rsidRPr="00F7405B" w:rsidRDefault="008F44A8" w:rsidP="009018C8">
                            <w:pPr>
                              <w:pStyle w:val="CDIfootnotes"/>
                              <w:numPr>
                                <w:ilvl w:val="0"/>
                                <w:numId w:val="15"/>
                              </w:numPr>
                              <w:rPr>
                                <w:rFonts w:eastAsia="Times New Roman"/>
                                <w:szCs w:val="18"/>
                                <w:lang w:val="en-GB"/>
                              </w:rPr>
                            </w:pPr>
                            <w:r w:rsidRPr="00F7405B">
                              <w:rPr>
                                <w:rFonts w:eastAsia="Times New Roman"/>
                                <w:szCs w:val="18"/>
                                <w:lang w:val="en-GB"/>
                              </w:rPr>
                              <w:t>Leptospira agglutination titer of ≥ 200 but &lt; 800 by Microscopic Agglutination Test (MAT) in one or more serum specimens, or</w:t>
                            </w:r>
                          </w:p>
                          <w:p w14:paraId="382DFCAA" w14:textId="77777777" w:rsidR="008F44A8" w:rsidRPr="00F7405B" w:rsidRDefault="008F44A8" w:rsidP="009018C8">
                            <w:pPr>
                              <w:pStyle w:val="CDIfootnotes"/>
                              <w:numPr>
                                <w:ilvl w:val="0"/>
                                <w:numId w:val="15"/>
                              </w:numPr>
                              <w:rPr>
                                <w:rFonts w:eastAsia="Times New Roman"/>
                                <w:szCs w:val="18"/>
                                <w:lang w:val="en-GB"/>
                              </w:rPr>
                            </w:pPr>
                            <w:r w:rsidRPr="00F7405B">
                              <w:rPr>
                                <w:rFonts w:eastAsia="Times New Roman"/>
                                <w:szCs w:val="18"/>
                                <w:lang w:val="en-GB"/>
                              </w:rPr>
                              <w:t>Demonstration of anti-Leptospira antibodies in a clinical specimen by indirect immunofluorescence, or</w:t>
                            </w:r>
                          </w:p>
                          <w:p w14:paraId="5742C9B7" w14:textId="77777777" w:rsidR="008F44A8" w:rsidRPr="00F7405B" w:rsidRDefault="008F44A8" w:rsidP="009018C8">
                            <w:pPr>
                              <w:pStyle w:val="CDIfootnotes"/>
                              <w:numPr>
                                <w:ilvl w:val="0"/>
                                <w:numId w:val="15"/>
                              </w:numPr>
                              <w:rPr>
                                <w:rFonts w:eastAsia="Times New Roman"/>
                                <w:szCs w:val="18"/>
                                <w:lang w:val="en-GB"/>
                              </w:rPr>
                            </w:pPr>
                            <w:r w:rsidRPr="00F7405B">
                              <w:rPr>
                                <w:rFonts w:eastAsia="Times New Roman"/>
                                <w:szCs w:val="18"/>
                                <w:lang w:val="en-GB"/>
                              </w:rPr>
                              <w:t>Demonstration of Leptospira in a clinical specimen by darkfield microscopy, or</w:t>
                            </w:r>
                          </w:p>
                          <w:p w14:paraId="38416805" w14:textId="77777777" w:rsidR="008F44A8" w:rsidRPr="00F7405B" w:rsidRDefault="008F44A8" w:rsidP="009018C8">
                            <w:pPr>
                              <w:pStyle w:val="CDIfootnotes"/>
                              <w:numPr>
                                <w:ilvl w:val="0"/>
                                <w:numId w:val="15"/>
                              </w:numPr>
                              <w:rPr>
                                <w:rFonts w:eastAsia="Times New Roman"/>
                                <w:szCs w:val="18"/>
                                <w:lang w:val="en-GB"/>
                              </w:rPr>
                            </w:pPr>
                            <w:r w:rsidRPr="00F7405B">
                              <w:rPr>
                                <w:rFonts w:eastAsia="Times New Roman"/>
                                <w:szCs w:val="18"/>
                                <w:lang w:val="en-GB"/>
                              </w:rPr>
                              <w:t>Detection of IgM antibodies against Leptospira in an in acute phase serum specimen.</w:t>
                            </w:r>
                          </w:p>
                          <w:p w14:paraId="404048EE" w14:textId="77777777" w:rsidR="008F44A8" w:rsidRPr="00F7405B" w:rsidRDefault="008F44A8" w:rsidP="009018C8">
                            <w:pPr>
                              <w:rPr>
                                <w:sz w:val="18"/>
                                <w:szCs w:val="18"/>
                                <w:lang w:val="en-GB"/>
                              </w:rPr>
                            </w:pPr>
                            <w:r w:rsidRPr="00F7405B">
                              <w:rPr>
                                <w:sz w:val="18"/>
                                <w:szCs w:val="18"/>
                                <w:lang w:val="en-GB"/>
                              </w:rPr>
                              <w:t>Confirmed:</w:t>
                            </w:r>
                          </w:p>
                          <w:p w14:paraId="7D3AA661" w14:textId="77777777" w:rsidR="008F44A8" w:rsidRPr="00F7405B" w:rsidRDefault="008F44A8" w:rsidP="00F7405B">
                            <w:pPr>
                              <w:pStyle w:val="ListParagraph"/>
                              <w:numPr>
                                <w:ilvl w:val="0"/>
                                <w:numId w:val="17"/>
                              </w:numPr>
                              <w:rPr>
                                <w:rFonts w:eastAsia="Times New Roman"/>
                                <w:sz w:val="18"/>
                                <w:szCs w:val="18"/>
                                <w:lang w:val="en-GB"/>
                              </w:rPr>
                            </w:pPr>
                            <w:r w:rsidRPr="00F7405B">
                              <w:rPr>
                                <w:rFonts w:eastAsia="Times New Roman"/>
                                <w:sz w:val="18"/>
                                <w:szCs w:val="18"/>
                                <w:lang w:val="en-GB"/>
                              </w:rPr>
                              <w:t>Isolation of Leptospira from a clinical specimen, or</w:t>
                            </w:r>
                          </w:p>
                          <w:p w14:paraId="4E0DC1DC" w14:textId="77777777" w:rsidR="008F44A8" w:rsidRPr="00F7405B" w:rsidRDefault="008F44A8" w:rsidP="00F7405B">
                            <w:pPr>
                              <w:pStyle w:val="ListParagraph"/>
                              <w:numPr>
                                <w:ilvl w:val="0"/>
                                <w:numId w:val="17"/>
                              </w:numPr>
                              <w:rPr>
                                <w:rFonts w:eastAsia="Times New Roman"/>
                                <w:sz w:val="18"/>
                                <w:szCs w:val="18"/>
                                <w:lang w:val="en-GB"/>
                              </w:rPr>
                            </w:pPr>
                            <w:r w:rsidRPr="00F7405B">
                              <w:rPr>
                                <w:rFonts w:eastAsia="Times New Roman"/>
                                <w:sz w:val="18"/>
                                <w:szCs w:val="18"/>
                                <w:lang w:val="en-GB"/>
                              </w:rPr>
                              <w:t>Fourfold or greater increase in Leptospira agglutination titer between acute- and convalescent-phase serum specimens studied at the same laboratory, or</w:t>
                            </w:r>
                          </w:p>
                          <w:p w14:paraId="00D3010C" w14:textId="77777777" w:rsidR="008F44A8" w:rsidRPr="00F7405B" w:rsidRDefault="008F44A8" w:rsidP="00F7405B">
                            <w:pPr>
                              <w:pStyle w:val="ListParagraph"/>
                              <w:numPr>
                                <w:ilvl w:val="0"/>
                                <w:numId w:val="17"/>
                              </w:numPr>
                              <w:rPr>
                                <w:rFonts w:eastAsia="Times New Roman"/>
                                <w:sz w:val="18"/>
                                <w:szCs w:val="18"/>
                                <w:lang w:val="en-GB"/>
                              </w:rPr>
                            </w:pPr>
                            <w:r w:rsidRPr="00F7405B">
                              <w:rPr>
                                <w:rFonts w:eastAsia="Times New Roman"/>
                                <w:sz w:val="18"/>
                                <w:szCs w:val="18"/>
                                <w:lang w:val="en-GB"/>
                              </w:rPr>
                              <w:t>Demonstration of Leptospira in tissue by direct immunofluorescence, or</w:t>
                            </w:r>
                          </w:p>
                          <w:p w14:paraId="39DBE0F5" w14:textId="77777777" w:rsidR="008F44A8" w:rsidRPr="00F7405B" w:rsidRDefault="008F44A8" w:rsidP="00F7405B">
                            <w:pPr>
                              <w:pStyle w:val="ListParagraph"/>
                              <w:numPr>
                                <w:ilvl w:val="0"/>
                                <w:numId w:val="17"/>
                              </w:numPr>
                              <w:rPr>
                                <w:rFonts w:eastAsia="Times New Roman"/>
                                <w:sz w:val="18"/>
                                <w:szCs w:val="18"/>
                                <w:lang w:val="en-GB"/>
                              </w:rPr>
                            </w:pPr>
                            <w:r w:rsidRPr="00F7405B">
                              <w:rPr>
                                <w:rFonts w:eastAsia="Times New Roman"/>
                                <w:sz w:val="18"/>
                                <w:szCs w:val="18"/>
                                <w:lang w:val="en-GB"/>
                              </w:rPr>
                              <w:t>Leptospira agglutination titer of ≥ 800 by Microscopic Agglutination Test (MAT) in one or more serum specimens, or</w:t>
                            </w:r>
                          </w:p>
                          <w:p w14:paraId="32A04B37" w14:textId="783DB353" w:rsidR="008F44A8" w:rsidRPr="00F7405B" w:rsidRDefault="008F44A8" w:rsidP="00F7405B">
                            <w:pPr>
                              <w:pStyle w:val="ListParagraph"/>
                              <w:numPr>
                                <w:ilvl w:val="0"/>
                                <w:numId w:val="17"/>
                              </w:numPr>
                              <w:rPr>
                                <w:rFonts w:eastAsia="Times New Roman"/>
                                <w:sz w:val="18"/>
                                <w:szCs w:val="18"/>
                                <w:lang w:val="en-GB"/>
                              </w:rPr>
                            </w:pPr>
                            <w:r w:rsidRPr="00F7405B">
                              <w:rPr>
                                <w:rFonts w:eastAsia="Times New Roman"/>
                                <w:sz w:val="18"/>
                                <w:szCs w:val="18"/>
                                <w:lang w:val="en-GB"/>
                              </w:rPr>
                              <w:t>Detection of pathogenic Leptospira DNA (e.g., by PCR) from a clinical specimen.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936A397" id="Text Box 7" o:spid="_x0000_s1027" type="#_x0000_t202" style="width:521.7pt;height:38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" fillcolor="#e3b77b" strokecolor="#e3b77b" strokeweight=".25pt">
                <v:fill opacity="13107f"/>
                <v:textbox>
                  <w:txbxContent>
                    <w:p w14:paraId="66789878" w14:textId="77777777" w:rsidR="008F44A8" w:rsidRPr="00F7405B" w:rsidRDefault="008F44A8" w:rsidP="008F44A8">
                      <w:pPr>
                        <w:pStyle w:val="NormalWeb"/>
                        <w:rPr>
                          <w:i/>
                          <w:iCs/>
                          <w:sz w:val="18"/>
                          <w:szCs w:val="18"/>
                          <w:lang w:val="en-GB"/>
                        </w:rPr>
                      </w:pPr>
                      <w:r w:rsidRPr="00F7405B">
                        <w:rPr>
                          <w:i/>
                          <w:iCs/>
                          <w:sz w:val="18"/>
                          <w:szCs w:val="18"/>
                          <w:lang w:val="en-GB"/>
                        </w:rPr>
                        <w:t>Probable</w:t>
                      </w:r>
                    </w:p>
                    <w:p w14:paraId="3B7E1FCA" w14:textId="77777777" w:rsidR="008F44A8" w:rsidRPr="00F7405B" w:rsidRDefault="008F44A8" w:rsidP="009018C8">
                      <w:pPr>
                        <w:rPr>
                          <w:sz w:val="18"/>
                          <w:szCs w:val="18"/>
                          <w:lang w:val="en-GB"/>
                        </w:rPr>
                      </w:pPr>
                      <w:r w:rsidRPr="00F7405B">
                        <w:rPr>
                          <w:sz w:val="18"/>
                          <w:szCs w:val="18"/>
                          <w:lang w:val="en-GB"/>
                        </w:rPr>
                        <w:t>A clinically compatible case with at least one of the following:</w:t>
                      </w:r>
                    </w:p>
                    <w:p w14:paraId="70966D4F" w14:textId="77777777" w:rsidR="008F44A8" w:rsidRPr="00F7405B" w:rsidRDefault="008F44A8" w:rsidP="009018C8">
                      <w:pPr>
                        <w:pStyle w:val="ListParagraph"/>
                        <w:numPr>
                          <w:ilvl w:val="0"/>
                          <w:numId w:val="14"/>
                        </w:numPr>
                        <w:rPr>
                          <w:rFonts w:eastAsia="Times New Roman"/>
                          <w:sz w:val="18"/>
                          <w:szCs w:val="18"/>
                          <w:lang w:val="en-GB"/>
                        </w:rPr>
                      </w:pPr>
                      <w:r w:rsidRPr="00F7405B">
                        <w:rPr>
                          <w:rFonts w:eastAsia="Times New Roman"/>
                          <w:sz w:val="18"/>
                          <w:szCs w:val="18"/>
                          <w:lang w:val="en-GB"/>
                        </w:rPr>
                        <w:t>Involvement in an exposure event (e.g., adventure race, triathlon, flooding) with known associated cases, or</w:t>
                      </w:r>
                    </w:p>
                    <w:p w14:paraId="55EC633D" w14:textId="77777777" w:rsidR="008F44A8" w:rsidRPr="00F7405B" w:rsidRDefault="008F44A8" w:rsidP="009018C8">
                      <w:pPr>
                        <w:pStyle w:val="ListParagraph"/>
                        <w:numPr>
                          <w:ilvl w:val="0"/>
                          <w:numId w:val="14"/>
                        </w:numPr>
                        <w:rPr>
                          <w:rFonts w:eastAsia="Times New Roman"/>
                          <w:sz w:val="18"/>
                          <w:szCs w:val="18"/>
                          <w:lang w:val="en-GB"/>
                        </w:rPr>
                      </w:pPr>
                      <w:r w:rsidRPr="00F7405B">
                        <w:rPr>
                          <w:rFonts w:eastAsia="Times New Roman"/>
                          <w:sz w:val="18"/>
                          <w:szCs w:val="18"/>
                          <w:lang w:val="en-GB"/>
                        </w:rPr>
                        <w:t>Presumptive laboratory findings, but without confirmatory laboratory evidence of Leptospira infection.</w:t>
                      </w:r>
                    </w:p>
                    <w:p w14:paraId="68A7F898" w14:textId="77777777" w:rsidR="008F44A8" w:rsidRPr="00F7405B" w:rsidRDefault="008F44A8" w:rsidP="009018C8">
                      <w:pPr>
                        <w:rPr>
                          <w:i/>
                          <w:iCs/>
                          <w:sz w:val="18"/>
                          <w:szCs w:val="18"/>
                          <w:lang w:val="en-GB"/>
                        </w:rPr>
                      </w:pPr>
                      <w:r w:rsidRPr="00F7405B">
                        <w:rPr>
                          <w:i/>
                          <w:iCs/>
                          <w:sz w:val="18"/>
                          <w:szCs w:val="18"/>
                          <w:lang w:val="en-GB"/>
                        </w:rPr>
                        <w:t>Confirmed</w:t>
                      </w:r>
                    </w:p>
                    <w:p w14:paraId="0EF8CC78" w14:textId="77777777" w:rsidR="008F44A8" w:rsidRPr="00F7405B" w:rsidRDefault="008F44A8" w:rsidP="009018C8">
                      <w:pPr>
                        <w:rPr>
                          <w:sz w:val="18"/>
                          <w:szCs w:val="18"/>
                          <w:lang w:val="en-GB"/>
                        </w:rPr>
                      </w:pPr>
                      <w:r w:rsidRPr="00F7405B">
                        <w:rPr>
                          <w:sz w:val="18"/>
                          <w:szCs w:val="18"/>
                          <w:lang w:val="en-GB"/>
                        </w:rPr>
                        <w:t>A case with confirmatory laboratory results, as listed below.</w:t>
                      </w:r>
                    </w:p>
                    <w:p w14:paraId="79C8C49F" w14:textId="77777777" w:rsidR="008F44A8" w:rsidRPr="00F7405B" w:rsidRDefault="008F44A8" w:rsidP="009018C8">
                      <w:pPr>
                        <w:rPr>
                          <w:b/>
                          <w:bCs/>
                          <w:sz w:val="18"/>
                          <w:szCs w:val="18"/>
                          <w:lang w:val="en-GB"/>
                        </w:rPr>
                      </w:pPr>
                      <w:r w:rsidRPr="00F7405B">
                        <w:rPr>
                          <w:b/>
                          <w:bCs/>
                          <w:sz w:val="18"/>
                          <w:szCs w:val="18"/>
                          <w:lang w:val="en-GB"/>
                        </w:rPr>
                        <w:t>Laboratory Criteria for Diagnosis</w:t>
                      </w:r>
                    </w:p>
                    <w:p w14:paraId="262C0E56" w14:textId="77777777" w:rsidR="008F44A8" w:rsidRPr="00F7405B" w:rsidRDefault="008F44A8" w:rsidP="009018C8">
                      <w:pPr>
                        <w:rPr>
                          <w:sz w:val="18"/>
                          <w:szCs w:val="18"/>
                          <w:lang w:val="en-GB"/>
                        </w:rPr>
                      </w:pPr>
                      <w:r w:rsidRPr="00F7405B">
                        <w:rPr>
                          <w:sz w:val="18"/>
                          <w:szCs w:val="18"/>
                          <w:lang w:val="en-GB"/>
                        </w:rPr>
                        <w:t>Diagnostic testing should be requested for patients in whom there is a high index of suspicion for leptospirosis, based either on signs and symptoms, or on occupational, recreational or vocational exposure to animals or environments contaminated with animal urine.</w:t>
                      </w:r>
                    </w:p>
                    <w:p w14:paraId="032EB56A" w14:textId="77777777" w:rsidR="008F44A8" w:rsidRPr="00F7405B" w:rsidRDefault="008F44A8" w:rsidP="009018C8">
                      <w:pPr>
                        <w:rPr>
                          <w:sz w:val="18"/>
                          <w:szCs w:val="18"/>
                          <w:lang w:val="en-GB"/>
                        </w:rPr>
                      </w:pPr>
                      <w:r w:rsidRPr="00F7405B">
                        <w:rPr>
                          <w:sz w:val="18"/>
                          <w:szCs w:val="18"/>
                          <w:lang w:val="en-GB"/>
                        </w:rPr>
                        <w:t>Supportive:</w:t>
                      </w:r>
                    </w:p>
                    <w:p w14:paraId="31F25184" w14:textId="77777777" w:rsidR="008F44A8" w:rsidRPr="00F7405B" w:rsidRDefault="008F44A8" w:rsidP="009018C8">
                      <w:pPr>
                        <w:pStyle w:val="CDIfootnotes"/>
                        <w:numPr>
                          <w:ilvl w:val="0"/>
                          <w:numId w:val="15"/>
                        </w:numPr>
                        <w:rPr>
                          <w:rFonts w:eastAsia="Times New Roman"/>
                          <w:szCs w:val="18"/>
                          <w:lang w:val="en-GB"/>
                        </w:rPr>
                      </w:pPr>
                      <w:r w:rsidRPr="00F7405B">
                        <w:rPr>
                          <w:rFonts w:eastAsia="Times New Roman"/>
                          <w:szCs w:val="18"/>
                          <w:lang w:val="en-GB"/>
                        </w:rPr>
                        <w:t>Leptospira agglutination titer of ≥ 200 but &lt; 800 by Microscopic Agglutination Test (MAT) in one or more serum specimens, or</w:t>
                      </w:r>
                    </w:p>
                    <w:p w14:paraId="382DFCAA" w14:textId="77777777" w:rsidR="008F44A8" w:rsidRPr="00F7405B" w:rsidRDefault="008F44A8" w:rsidP="009018C8">
                      <w:pPr>
                        <w:pStyle w:val="CDIfootnotes"/>
                        <w:numPr>
                          <w:ilvl w:val="0"/>
                          <w:numId w:val="15"/>
                        </w:numPr>
                        <w:rPr>
                          <w:rFonts w:eastAsia="Times New Roman"/>
                          <w:szCs w:val="18"/>
                          <w:lang w:val="en-GB"/>
                        </w:rPr>
                      </w:pPr>
                      <w:r w:rsidRPr="00F7405B">
                        <w:rPr>
                          <w:rFonts w:eastAsia="Times New Roman"/>
                          <w:szCs w:val="18"/>
                          <w:lang w:val="en-GB"/>
                        </w:rPr>
                        <w:t>Demonstration of anti-Leptospira antibodies in a clinical specimen by indirect immunofluorescence, or</w:t>
                      </w:r>
                    </w:p>
                    <w:p w14:paraId="5742C9B7" w14:textId="77777777" w:rsidR="008F44A8" w:rsidRPr="00F7405B" w:rsidRDefault="008F44A8" w:rsidP="009018C8">
                      <w:pPr>
                        <w:pStyle w:val="CDIfootnotes"/>
                        <w:numPr>
                          <w:ilvl w:val="0"/>
                          <w:numId w:val="15"/>
                        </w:numPr>
                        <w:rPr>
                          <w:rFonts w:eastAsia="Times New Roman"/>
                          <w:szCs w:val="18"/>
                          <w:lang w:val="en-GB"/>
                        </w:rPr>
                      </w:pPr>
                      <w:r w:rsidRPr="00F7405B">
                        <w:rPr>
                          <w:rFonts w:eastAsia="Times New Roman"/>
                          <w:szCs w:val="18"/>
                          <w:lang w:val="en-GB"/>
                        </w:rPr>
                        <w:t>Demonstration of Leptospira in a clinical specimen by darkfield microscopy, or</w:t>
                      </w:r>
                    </w:p>
                    <w:p w14:paraId="38416805" w14:textId="77777777" w:rsidR="008F44A8" w:rsidRPr="00F7405B" w:rsidRDefault="008F44A8" w:rsidP="009018C8">
                      <w:pPr>
                        <w:pStyle w:val="CDIfootnotes"/>
                        <w:numPr>
                          <w:ilvl w:val="0"/>
                          <w:numId w:val="15"/>
                        </w:numPr>
                        <w:rPr>
                          <w:rFonts w:eastAsia="Times New Roman"/>
                          <w:szCs w:val="18"/>
                          <w:lang w:val="en-GB"/>
                        </w:rPr>
                      </w:pPr>
                      <w:r w:rsidRPr="00F7405B">
                        <w:rPr>
                          <w:rFonts w:eastAsia="Times New Roman"/>
                          <w:szCs w:val="18"/>
                          <w:lang w:val="en-GB"/>
                        </w:rPr>
                        <w:t>Detection of IgM antibodies against Leptospira in an in acute phase serum specimen.</w:t>
                      </w:r>
                    </w:p>
                    <w:p w14:paraId="404048EE" w14:textId="77777777" w:rsidR="008F44A8" w:rsidRPr="00F7405B" w:rsidRDefault="008F44A8" w:rsidP="009018C8">
                      <w:pPr>
                        <w:rPr>
                          <w:sz w:val="18"/>
                          <w:szCs w:val="18"/>
                          <w:lang w:val="en-GB"/>
                        </w:rPr>
                      </w:pPr>
                      <w:r w:rsidRPr="00F7405B">
                        <w:rPr>
                          <w:sz w:val="18"/>
                          <w:szCs w:val="18"/>
                          <w:lang w:val="en-GB"/>
                        </w:rPr>
                        <w:t>Confirmed:</w:t>
                      </w:r>
                    </w:p>
                    <w:p w14:paraId="7D3AA661" w14:textId="77777777" w:rsidR="008F44A8" w:rsidRPr="00F7405B" w:rsidRDefault="008F44A8" w:rsidP="00F7405B">
                      <w:pPr>
                        <w:pStyle w:val="ListParagraph"/>
                        <w:numPr>
                          <w:ilvl w:val="0"/>
                          <w:numId w:val="17"/>
                        </w:numPr>
                        <w:rPr>
                          <w:rFonts w:eastAsia="Times New Roman"/>
                          <w:sz w:val="18"/>
                          <w:szCs w:val="18"/>
                          <w:lang w:val="en-GB"/>
                        </w:rPr>
                      </w:pPr>
                      <w:r w:rsidRPr="00F7405B">
                        <w:rPr>
                          <w:rFonts w:eastAsia="Times New Roman"/>
                          <w:sz w:val="18"/>
                          <w:szCs w:val="18"/>
                          <w:lang w:val="en-GB"/>
                        </w:rPr>
                        <w:t>Isolation of Leptospira from a clinical specimen, or</w:t>
                      </w:r>
                    </w:p>
                    <w:p w14:paraId="4E0DC1DC" w14:textId="77777777" w:rsidR="008F44A8" w:rsidRPr="00F7405B" w:rsidRDefault="008F44A8" w:rsidP="00F7405B">
                      <w:pPr>
                        <w:pStyle w:val="ListParagraph"/>
                        <w:numPr>
                          <w:ilvl w:val="0"/>
                          <w:numId w:val="17"/>
                        </w:numPr>
                        <w:rPr>
                          <w:rFonts w:eastAsia="Times New Roman"/>
                          <w:sz w:val="18"/>
                          <w:szCs w:val="18"/>
                          <w:lang w:val="en-GB"/>
                        </w:rPr>
                      </w:pPr>
                      <w:r w:rsidRPr="00F7405B">
                        <w:rPr>
                          <w:rFonts w:eastAsia="Times New Roman"/>
                          <w:sz w:val="18"/>
                          <w:szCs w:val="18"/>
                          <w:lang w:val="en-GB"/>
                        </w:rPr>
                        <w:t>Fourfold or greater increase in Leptospira agglutination titer between acute- and convalescent-phase serum specimens studied at the same laboratory, or</w:t>
                      </w:r>
                    </w:p>
                    <w:p w14:paraId="00D3010C" w14:textId="77777777" w:rsidR="008F44A8" w:rsidRPr="00F7405B" w:rsidRDefault="008F44A8" w:rsidP="00F7405B">
                      <w:pPr>
                        <w:pStyle w:val="ListParagraph"/>
                        <w:numPr>
                          <w:ilvl w:val="0"/>
                          <w:numId w:val="17"/>
                        </w:numPr>
                        <w:rPr>
                          <w:rFonts w:eastAsia="Times New Roman"/>
                          <w:sz w:val="18"/>
                          <w:szCs w:val="18"/>
                          <w:lang w:val="en-GB"/>
                        </w:rPr>
                      </w:pPr>
                      <w:r w:rsidRPr="00F7405B">
                        <w:rPr>
                          <w:rFonts w:eastAsia="Times New Roman"/>
                          <w:sz w:val="18"/>
                          <w:szCs w:val="18"/>
                          <w:lang w:val="en-GB"/>
                        </w:rPr>
                        <w:t>Demonstration of Leptospira in tissue by direct immunofluorescence, or</w:t>
                      </w:r>
                    </w:p>
                    <w:p w14:paraId="39DBE0F5" w14:textId="77777777" w:rsidR="008F44A8" w:rsidRPr="00F7405B" w:rsidRDefault="008F44A8" w:rsidP="00F7405B">
                      <w:pPr>
                        <w:pStyle w:val="ListParagraph"/>
                        <w:numPr>
                          <w:ilvl w:val="0"/>
                          <w:numId w:val="17"/>
                        </w:numPr>
                        <w:rPr>
                          <w:rFonts w:eastAsia="Times New Roman"/>
                          <w:sz w:val="18"/>
                          <w:szCs w:val="18"/>
                          <w:lang w:val="en-GB"/>
                        </w:rPr>
                      </w:pPr>
                      <w:r w:rsidRPr="00F7405B">
                        <w:rPr>
                          <w:rFonts w:eastAsia="Times New Roman"/>
                          <w:sz w:val="18"/>
                          <w:szCs w:val="18"/>
                          <w:lang w:val="en-GB"/>
                        </w:rPr>
                        <w:t>Leptospira agglutination titer of ≥ 800 by Microscopic Agglutination Test (MAT) in one or more serum specimens, or</w:t>
                      </w:r>
                    </w:p>
                    <w:p w14:paraId="32A04B37" w14:textId="783DB353" w:rsidR="008F44A8" w:rsidRPr="00F7405B" w:rsidRDefault="008F44A8" w:rsidP="00F7405B">
                      <w:pPr>
                        <w:pStyle w:val="ListParagraph"/>
                        <w:numPr>
                          <w:ilvl w:val="0"/>
                          <w:numId w:val="17"/>
                        </w:numPr>
                        <w:rPr>
                          <w:rFonts w:eastAsia="Times New Roman"/>
                          <w:sz w:val="18"/>
                          <w:szCs w:val="18"/>
                          <w:lang w:val="en-GB"/>
                        </w:rPr>
                      </w:pPr>
                      <w:r w:rsidRPr="00F7405B">
                        <w:rPr>
                          <w:rFonts w:eastAsia="Times New Roman"/>
                          <w:sz w:val="18"/>
                          <w:szCs w:val="18"/>
                          <w:lang w:val="en-GB"/>
                        </w:rPr>
                        <w:t>Detection of pathogenic Leptospira DNA (e.g., by PCR) from a clinical specimen.</w:t>
                      </w:r>
                    </w:p>
                  </w:txbxContent>
                </v:textbox>
                <w10:anchorlock/>
              </v:shape>
            </w:pict>
          </mc:Fallback>
        </mc:AlternateContent>
      </w:r>
    </w:p>
    <w:p w14:paraId="18F4E7FD" w14:textId="66346AC4" w:rsidR="008B5348" w:rsidRPr="009018C8" w:rsidRDefault="009018C8" w:rsidP="009018C8">
      <w:pPr>
        <w:pStyle w:val="CDIfootnotes"/>
        <w:rPr>
          <w:rStyle w:val="A10"/>
          <w:rFonts w:cstheme="minorBidi"/>
          <w:color w:val="auto"/>
          <w:sz w:val="18"/>
        </w:rPr>
      </w:pPr>
      <w:r w:rsidRPr="009018C8">
        <w:t>a</w:t>
      </w:r>
      <w:r w:rsidRPr="009018C8">
        <w:tab/>
        <w:t>United States Government Department of Health and Human Services, Centers for Disease Control and Prevention.</w:t>
      </w:r>
      <w:r w:rsidRPr="009018C8">
        <w:rPr>
          <w:vertAlign w:val="superscript"/>
        </w:rPr>
        <w:t>14</w:t>
      </w:r>
      <w:r w:rsidR="008B5348" w:rsidRPr="009018C8">
        <w:rPr>
          <w:rStyle w:val="A10"/>
          <w:rFonts w:cstheme="minorBidi"/>
          <w:color w:val="auto"/>
          <w:sz w:val="18"/>
        </w:rPr>
        <w:br w:type="page"/>
      </w:r>
    </w:p>
    <w:p w14:paraId="41981901" w14:textId="5DDF8C9F" w:rsidR="008B5348" w:rsidRDefault="008B5348">
      <w:pPr>
        <w:rPr>
          <w:rStyle w:val="A10"/>
        </w:rPr>
        <w:sectPr w:rsidR="008B5348" w:rsidSect="00A30C37">
          <w:headerReference w:type="default" r:id="rId13"/>
          <w:footerReference w:type="default" r:id="rId14"/>
          <w:footerReference w:type="first" r:id="rId15"/>
          <w:pgSz w:w="11906" w:h="16838"/>
          <w:pgMar w:top="720" w:right="720" w:bottom="1134" w:left="720" w:header="709" w:footer="284" w:gutter="0"/>
          <w:cols w:space="708"/>
          <w:titlePg/>
          <w:docGrid w:linePitch="360"/>
        </w:sectPr>
      </w:pPr>
    </w:p>
    <w:p w14:paraId="03041C79"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FC5110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62AB619" w14:textId="77777777" w:rsidR="000A5F42" w:rsidRPr="000606CC" w:rsidRDefault="000A5F42" w:rsidP="000A5F42">
      <w:pPr>
        <w:pStyle w:val="NoSpacing"/>
        <w:rPr>
          <w:rStyle w:val="URI"/>
          <w:rFonts w:cstheme="minorHAnsi"/>
          <w:sz w:val="20"/>
          <w:szCs w:val="18"/>
        </w:rPr>
      </w:pPr>
    </w:p>
    <w:p w14:paraId="3F98C04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62159D3D" w14:textId="77777777" w:rsidR="000A5F42" w:rsidRPr="000606CC" w:rsidRDefault="000A5F42" w:rsidP="000A5F42">
      <w:pPr>
        <w:pStyle w:val="NoSpacing"/>
        <w:rPr>
          <w:rStyle w:val="Strong"/>
          <w:rFonts w:cstheme="minorHAnsi"/>
          <w:sz w:val="20"/>
          <w:szCs w:val="18"/>
        </w:rPr>
      </w:pPr>
    </w:p>
    <w:p w14:paraId="723E1C80" w14:textId="20371380"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r w:rsidR="00551098">
        <w:rPr>
          <w:rFonts w:cstheme="minorHAnsi"/>
          <w:sz w:val="20"/>
          <w:szCs w:val="18"/>
        </w:rPr>
        <w:t xml:space="preserve"> and </w:t>
      </w:r>
      <w:r w:rsidR="00551098" w:rsidRPr="00551098">
        <w:rPr>
          <w:rFonts w:cstheme="minorHAnsi"/>
          <w:sz w:val="20"/>
          <w:szCs w:val="18"/>
        </w:rPr>
        <w:t>Noel Lally</w:t>
      </w:r>
    </w:p>
    <w:p w14:paraId="53D8578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DA3C292"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E6C28A9"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1660E27E" w14:textId="77777777" w:rsidR="000A5F42" w:rsidRPr="000606CC" w:rsidRDefault="000A5F42" w:rsidP="000A5F42">
      <w:pPr>
        <w:pStyle w:val="NoSpacing"/>
        <w:rPr>
          <w:rStyle w:val="Strong"/>
          <w:rFonts w:cstheme="minorHAnsi"/>
          <w:sz w:val="20"/>
          <w:szCs w:val="18"/>
        </w:rPr>
      </w:pPr>
    </w:p>
    <w:p w14:paraId="1DDDC26F" w14:textId="25C8D62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F78DAD0" w14:textId="77777777" w:rsidR="000A5F42" w:rsidRPr="000606CC" w:rsidRDefault="000A5F42" w:rsidP="000A5F42">
      <w:pPr>
        <w:pStyle w:val="NoSpacing"/>
        <w:rPr>
          <w:rStyle w:val="Strong"/>
          <w:rFonts w:cstheme="minorHAnsi"/>
          <w:sz w:val="20"/>
          <w:szCs w:val="18"/>
        </w:rPr>
      </w:pPr>
    </w:p>
    <w:p w14:paraId="3A6F4A22"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5A7BDBC2" w14:textId="77777777" w:rsidR="000A5F42" w:rsidRPr="000606CC" w:rsidRDefault="000A5F42" w:rsidP="000A5F42">
      <w:pPr>
        <w:pStyle w:val="NoSpacing"/>
        <w:rPr>
          <w:rStyle w:val="Strong"/>
          <w:rFonts w:cstheme="minorHAnsi"/>
          <w:sz w:val="20"/>
          <w:szCs w:val="18"/>
        </w:rPr>
      </w:pPr>
    </w:p>
    <w:p w14:paraId="5CAA8069" w14:textId="453AC4B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40D1B4E" w14:textId="77777777" w:rsidR="000A5F42" w:rsidRPr="000606CC" w:rsidRDefault="000A5F42" w:rsidP="000A5F42">
      <w:pPr>
        <w:pStyle w:val="NoSpacing"/>
        <w:rPr>
          <w:rStyle w:val="Strong"/>
          <w:rFonts w:cstheme="minorHAnsi"/>
          <w:sz w:val="20"/>
          <w:szCs w:val="18"/>
        </w:rPr>
      </w:pPr>
    </w:p>
    <w:p w14:paraId="55DD4D09" w14:textId="3A2F5035"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5E139F9" w14:textId="5504166E"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4C79C7EB" w14:textId="77777777" w:rsidR="000A5F42" w:rsidRPr="000606CC" w:rsidRDefault="000A5F42" w:rsidP="000A5F42">
      <w:pPr>
        <w:pStyle w:val="NoSpacing"/>
        <w:pBdr>
          <w:bottom w:val="single" w:sz="6" w:space="1" w:color="auto"/>
        </w:pBdr>
        <w:rPr>
          <w:rStyle w:val="Strong"/>
          <w:rFonts w:cstheme="minorHAnsi"/>
          <w:sz w:val="12"/>
          <w:szCs w:val="18"/>
        </w:rPr>
      </w:pPr>
    </w:p>
    <w:p w14:paraId="76F760A1" w14:textId="77777777" w:rsidR="000A5F42" w:rsidRPr="000606CC" w:rsidRDefault="000A5F42" w:rsidP="000A5F42">
      <w:pPr>
        <w:pStyle w:val="NoSpacing"/>
        <w:rPr>
          <w:rFonts w:cstheme="minorHAnsi"/>
          <w:sz w:val="20"/>
          <w:szCs w:val="18"/>
        </w:rPr>
      </w:pPr>
    </w:p>
    <w:p w14:paraId="0B42EDAA"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21A438E6" w14:textId="77777777" w:rsidR="000A5F42" w:rsidRPr="000606CC" w:rsidRDefault="000A5F42" w:rsidP="000A5F42">
      <w:pPr>
        <w:pStyle w:val="NoSpacing"/>
        <w:rPr>
          <w:rFonts w:cstheme="minorHAnsi"/>
          <w:sz w:val="20"/>
          <w:szCs w:val="18"/>
        </w:rPr>
      </w:pPr>
    </w:p>
    <w:p w14:paraId="3427947D"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6D785D7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BD4208">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3DA5B6AE" w14:textId="636EB4D3"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95E0A27" w14:textId="77777777" w:rsidR="000A5F42" w:rsidRPr="000606CC" w:rsidRDefault="000A5F42" w:rsidP="000A5F42">
      <w:pPr>
        <w:pStyle w:val="NoSpacing"/>
        <w:rPr>
          <w:rFonts w:cstheme="minorHAnsi"/>
          <w:sz w:val="20"/>
          <w:szCs w:val="18"/>
        </w:rPr>
      </w:pPr>
    </w:p>
    <w:p w14:paraId="47B844F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339DC66" w14:textId="2422C31E"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DC8D86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7D2376E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494B02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737230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947D9B3" w14:textId="77777777" w:rsidR="000A5F42" w:rsidRPr="000606CC" w:rsidRDefault="000A5F42" w:rsidP="000A5F42">
      <w:pPr>
        <w:pStyle w:val="NoSpacing"/>
        <w:rPr>
          <w:rStyle w:val="Strong"/>
          <w:rFonts w:cstheme="minorHAnsi"/>
          <w:sz w:val="20"/>
          <w:szCs w:val="18"/>
        </w:rPr>
      </w:pPr>
    </w:p>
    <w:p w14:paraId="6477822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57C972CD" w14:textId="77777777" w:rsidR="000A5F42" w:rsidRPr="000606CC" w:rsidRDefault="000A5F42" w:rsidP="000A5F42">
      <w:pPr>
        <w:pStyle w:val="NoSpacing"/>
        <w:rPr>
          <w:rStyle w:val="Strong"/>
          <w:rFonts w:cstheme="minorHAnsi"/>
          <w:sz w:val="20"/>
          <w:szCs w:val="18"/>
        </w:rPr>
      </w:pPr>
    </w:p>
    <w:p w14:paraId="664611BD" w14:textId="44974C3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92375C0" w14:textId="77777777" w:rsidR="000A5F42" w:rsidRPr="000606CC" w:rsidRDefault="000A5F42" w:rsidP="000A5F42">
      <w:pPr>
        <w:pStyle w:val="NoSpacing"/>
        <w:rPr>
          <w:rStyle w:val="URI"/>
          <w:rFonts w:cstheme="minorHAnsi"/>
          <w:sz w:val="20"/>
          <w:szCs w:val="18"/>
        </w:rPr>
      </w:pPr>
    </w:p>
    <w:p w14:paraId="5069046A" w14:textId="50246983"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67DB4327" w14:textId="77777777" w:rsidR="001B37B8" w:rsidRPr="00E92237" w:rsidRDefault="001B37B8" w:rsidP="001B37B8">
      <w:pPr>
        <w:rPr>
          <w:rFonts w:cs="Myriad Pro"/>
          <w:color w:val="211D1E"/>
          <w:sz w:val="20"/>
          <w:szCs w:val="20"/>
        </w:rPr>
      </w:pPr>
    </w:p>
    <w:sectPr w:rsidR="001B37B8" w:rsidRPr="00E92237"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593A7" w14:textId="77777777" w:rsidR="00BD4208" w:rsidRDefault="00BD4208" w:rsidP="00E54DBA">
      <w:r>
        <w:separator/>
      </w:r>
    </w:p>
    <w:p w14:paraId="58EE4376" w14:textId="77777777" w:rsidR="00BD4208" w:rsidRDefault="00BD4208"/>
    <w:p w14:paraId="479EDEE2" w14:textId="77777777" w:rsidR="00BD4208" w:rsidRDefault="00BD4208" w:rsidP="008714B0"/>
  </w:endnote>
  <w:endnote w:type="continuationSeparator" w:id="0">
    <w:p w14:paraId="10BF4631" w14:textId="77777777" w:rsidR="00BD4208" w:rsidRDefault="00BD4208" w:rsidP="00E54DBA">
      <w:r>
        <w:continuationSeparator/>
      </w:r>
    </w:p>
    <w:p w14:paraId="14F48FE8" w14:textId="77777777" w:rsidR="00BD4208" w:rsidRDefault="00BD4208"/>
    <w:p w14:paraId="0541836A" w14:textId="77777777" w:rsidR="00BD4208" w:rsidRDefault="00BD420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54D8F" w14:textId="6D2CBE5B"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F37CC0">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BD4208">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BD4208">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1A793F">
      <w:rPr>
        <w:sz w:val="18"/>
      </w:rPr>
      <w:t>https://doi.org/10.33321/cdi.2022.46.23</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1A793F">
      <w:rPr>
        <w:sz w:val="18"/>
      </w:rPr>
      <w:t>26/04/2022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F71E7" w14:textId="7A2F4136"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F37CC0">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BD4208">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BD4208">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1A793F">
      <w:rPr>
        <w:sz w:val="18"/>
      </w:rPr>
      <w:t>https://doi.org/10.33321/cdi.2022.46.23</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1A793F">
      <w:rPr>
        <w:sz w:val="18"/>
      </w:rPr>
      <w:t>26/04/2022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00A50" w14:textId="77777777" w:rsidR="00BD4208" w:rsidRPr="00B91FB5" w:rsidRDefault="00BD4208" w:rsidP="00B91FB5">
      <w:pPr>
        <w:spacing w:after="0" w:line="240" w:lineRule="auto"/>
        <w:rPr>
          <w:sz w:val="18"/>
          <w:szCs w:val="18"/>
        </w:rPr>
      </w:pPr>
      <w:r w:rsidRPr="00B91FB5">
        <w:rPr>
          <w:sz w:val="18"/>
          <w:szCs w:val="18"/>
        </w:rPr>
        <w:separator/>
      </w:r>
    </w:p>
  </w:footnote>
  <w:footnote w:type="continuationSeparator" w:id="0">
    <w:p w14:paraId="2A0DBFFA" w14:textId="77777777" w:rsidR="00BD4208" w:rsidRDefault="00BD4208" w:rsidP="00E54DBA">
      <w:r>
        <w:continuationSeparator/>
      </w:r>
    </w:p>
  </w:footnote>
  <w:footnote w:type="continuationNotice" w:id="1">
    <w:p w14:paraId="1F1877B5" w14:textId="77777777" w:rsidR="00BD4208" w:rsidRPr="00224EFF" w:rsidRDefault="00BD4208"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EAF38" w14:textId="0853C3CF" w:rsidR="00257484" w:rsidRPr="00A153B6" w:rsidRDefault="0055109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F1FD2">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8C349"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18F83EF8" wp14:editId="06946AFE">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51CEC"/>
    <w:multiLevelType w:val="hybridMultilevel"/>
    <w:tmpl w:val="64742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716FCD"/>
    <w:multiLevelType w:val="multilevel"/>
    <w:tmpl w:val="CB22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427618"/>
    <w:multiLevelType w:val="hybridMultilevel"/>
    <w:tmpl w:val="A64E7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9F6F17"/>
    <w:multiLevelType w:val="multilevel"/>
    <w:tmpl w:val="1030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333D7"/>
    <w:multiLevelType w:val="multilevel"/>
    <w:tmpl w:val="11B23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8F2048"/>
    <w:multiLevelType w:val="hybridMultilevel"/>
    <w:tmpl w:val="562A0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826B03"/>
    <w:multiLevelType w:val="multilevel"/>
    <w:tmpl w:val="2CE8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4B7B91"/>
    <w:multiLevelType w:val="hybridMultilevel"/>
    <w:tmpl w:val="596626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B30116"/>
    <w:multiLevelType w:val="hybridMultilevel"/>
    <w:tmpl w:val="A8262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3F485E"/>
    <w:multiLevelType w:val="multilevel"/>
    <w:tmpl w:val="049A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D16B3A"/>
    <w:multiLevelType w:val="hybridMultilevel"/>
    <w:tmpl w:val="971CB8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2"/>
  </w:num>
  <w:num w:numId="5">
    <w:abstractNumId w:val="15"/>
  </w:num>
  <w:num w:numId="6">
    <w:abstractNumId w:val="16"/>
  </w:num>
  <w:num w:numId="7">
    <w:abstractNumId w:val="1"/>
  </w:num>
  <w:num w:numId="8">
    <w:abstractNumId w:val="6"/>
  </w:num>
  <w:num w:numId="9">
    <w:abstractNumId w:val="14"/>
  </w:num>
  <w:num w:numId="10">
    <w:abstractNumId w:val="11"/>
  </w:num>
  <w:num w:numId="11">
    <w:abstractNumId w:val="13"/>
  </w:num>
  <w:num w:numId="12">
    <w:abstractNumId w:val="10"/>
  </w:num>
  <w:num w:numId="13">
    <w:abstractNumId w:val="5"/>
  </w:num>
  <w:num w:numId="14">
    <w:abstractNumId w:val="12"/>
  </w:num>
  <w:num w:numId="15">
    <w:abstractNumId w:val="7"/>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20"/>
  <w:noPunctuationKerning/>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08"/>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0018A"/>
    <w:rsid w:val="00113D58"/>
    <w:rsid w:val="001200CB"/>
    <w:rsid w:val="001378A3"/>
    <w:rsid w:val="00155582"/>
    <w:rsid w:val="00161590"/>
    <w:rsid w:val="00161FFD"/>
    <w:rsid w:val="00171CC0"/>
    <w:rsid w:val="00175494"/>
    <w:rsid w:val="00175629"/>
    <w:rsid w:val="001830EC"/>
    <w:rsid w:val="00183534"/>
    <w:rsid w:val="00184538"/>
    <w:rsid w:val="001A4A96"/>
    <w:rsid w:val="001A5D05"/>
    <w:rsid w:val="001A793F"/>
    <w:rsid w:val="001A796C"/>
    <w:rsid w:val="001B2614"/>
    <w:rsid w:val="001B37B8"/>
    <w:rsid w:val="001B552F"/>
    <w:rsid w:val="001C0893"/>
    <w:rsid w:val="001C1303"/>
    <w:rsid w:val="001C70B2"/>
    <w:rsid w:val="001D37C7"/>
    <w:rsid w:val="001D6888"/>
    <w:rsid w:val="001F705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63CA5"/>
    <w:rsid w:val="00275C78"/>
    <w:rsid w:val="00280594"/>
    <w:rsid w:val="00281EE3"/>
    <w:rsid w:val="00284E4A"/>
    <w:rsid w:val="00292FE8"/>
    <w:rsid w:val="002A3799"/>
    <w:rsid w:val="002A3BCC"/>
    <w:rsid w:val="002A4516"/>
    <w:rsid w:val="002A569F"/>
    <w:rsid w:val="002A7066"/>
    <w:rsid w:val="002B001E"/>
    <w:rsid w:val="002B09B7"/>
    <w:rsid w:val="002B75A9"/>
    <w:rsid w:val="002C21B0"/>
    <w:rsid w:val="002E0D94"/>
    <w:rsid w:val="002E2FB3"/>
    <w:rsid w:val="002F327B"/>
    <w:rsid w:val="002F73E4"/>
    <w:rsid w:val="00301626"/>
    <w:rsid w:val="003059EC"/>
    <w:rsid w:val="00316CCD"/>
    <w:rsid w:val="00324F7E"/>
    <w:rsid w:val="003323BC"/>
    <w:rsid w:val="00346D42"/>
    <w:rsid w:val="00346E11"/>
    <w:rsid w:val="003601C0"/>
    <w:rsid w:val="003635F5"/>
    <w:rsid w:val="00372A88"/>
    <w:rsid w:val="00381A0F"/>
    <w:rsid w:val="003A1B3A"/>
    <w:rsid w:val="003A40F5"/>
    <w:rsid w:val="003B2D8D"/>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87A36"/>
    <w:rsid w:val="004A2125"/>
    <w:rsid w:val="004A38F6"/>
    <w:rsid w:val="004B4EB6"/>
    <w:rsid w:val="004C083C"/>
    <w:rsid w:val="004C4434"/>
    <w:rsid w:val="004C67C6"/>
    <w:rsid w:val="004D29DE"/>
    <w:rsid w:val="00510EAC"/>
    <w:rsid w:val="00542A57"/>
    <w:rsid w:val="00551098"/>
    <w:rsid w:val="00565974"/>
    <w:rsid w:val="005732C0"/>
    <w:rsid w:val="0057336D"/>
    <w:rsid w:val="0057489A"/>
    <w:rsid w:val="00574ACF"/>
    <w:rsid w:val="00581588"/>
    <w:rsid w:val="0058540B"/>
    <w:rsid w:val="00587C87"/>
    <w:rsid w:val="00590B80"/>
    <w:rsid w:val="005972B5"/>
    <w:rsid w:val="005B3134"/>
    <w:rsid w:val="005B4E61"/>
    <w:rsid w:val="005B595A"/>
    <w:rsid w:val="005B66C2"/>
    <w:rsid w:val="005C24C3"/>
    <w:rsid w:val="005C66A6"/>
    <w:rsid w:val="005D2465"/>
    <w:rsid w:val="005E33DD"/>
    <w:rsid w:val="005E4229"/>
    <w:rsid w:val="005E540E"/>
    <w:rsid w:val="005E55FB"/>
    <w:rsid w:val="005F16BB"/>
    <w:rsid w:val="00607115"/>
    <w:rsid w:val="00620768"/>
    <w:rsid w:val="0062594B"/>
    <w:rsid w:val="00631406"/>
    <w:rsid w:val="006324FF"/>
    <w:rsid w:val="006351D6"/>
    <w:rsid w:val="00636699"/>
    <w:rsid w:val="00636E0D"/>
    <w:rsid w:val="0064142F"/>
    <w:rsid w:val="00643CB4"/>
    <w:rsid w:val="00656427"/>
    <w:rsid w:val="00660255"/>
    <w:rsid w:val="00663EA5"/>
    <w:rsid w:val="006838C9"/>
    <w:rsid w:val="006971F3"/>
    <w:rsid w:val="006C74A3"/>
    <w:rsid w:val="006D1381"/>
    <w:rsid w:val="006D31BC"/>
    <w:rsid w:val="006E7943"/>
    <w:rsid w:val="006F1FD2"/>
    <w:rsid w:val="006F24EA"/>
    <w:rsid w:val="00704CA9"/>
    <w:rsid w:val="0071048D"/>
    <w:rsid w:val="00710F86"/>
    <w:rsid w:val="007111A8"/>
    <w:rsid w:val="00731BC3"/>
    <w:rsid w:val="00741192"/>
    <w:rsid w:val="00743A33"/>
    <w:rsid w:val="00746080"/>
    <w:rsid w:val="0075144A"/>
    <w:rsid w:val="00780FC1"/>
    <w:rsid w:val="00786329"/>
    <w:rsid w:val="00792C7D"/>
    <w:rsid w:val="00794A4D"/>
    <w:rsid w:val="007A5234"/>
    <w:rsid w:val="007B7854"/>
    <w:rsid w:val="007C56A1"/>
    <w:rsid w:val="007C6454"/>
    <w:rsid w:val="007E01E0"/>
    <w:rsid w:val="007E34B8"/>
    <w:rsid w:val="007F0B93"/>
    <w:rsid w:val="007F2ECA"/>
    <w:rsid w:val="0080345F"/>
    <w:rsid w:val="00811708"/>
    <w:rsid w:val="00812C52"/>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E7BB3"/>
    <w:rsid w:val="008F44A8"/>
    <w:rsid w:val="008F77B3"/>
    <w:rsid w:val="009008F5"/>
    <w:rsid w:val="009018C8"/>
    <w:rsid w:val="00904CC1"/>
    <w:rsid w:val="009066AF"/>
    <w:rsid w:val="00912050"/>
    <w:rsid w:val="00912E48"/>
    <w:rsid w:val="0092746F"/>
    <w:rsid w:val="00935DC9"/>
    <w:rsid w:val="009446C0"/>
    <w:rsid w:val="0096082E"/>
    <w:rsid w:val="00961347"/>
    <w:rsid w:val="00963515"/>
    <w:rsid w:val="00967410"/>
    <w:rsid w:val="00967D73"/>
    <w:rsid w:val="0098119A"/>
    <w:rsid w:val="00984AAF"/>
    <w:rsid w:val="00991B09"/>
    <w:rsid w:val="00993CB2"/>
    <w:rsid w:val="009A5166"/>
    <w:rsid w:val="009A76F8"/>
    <w:rsid w:val="009B2B83"/>
    <w:rsid w:val="009C49F8"/>
    <w:rsid w:val="009D77CC"/>
    <w:rsid w:val="009E2423"/>
    <w:rsid w:val="009E45A9"/>
    <w:rsid w:val="009E55D7"/>
    <w:rsid w:val="009F4150"/>
    <w:rsid w:val="009F5665"/>
    <w:rsid w:val="009F5DAD"/>
    <w:rsid w:val="00A01BCA"/>
    <w:rsid w:val="00A10458"/>
    <w:rsid w:val="00A10903"/>
    <w:rsid w:val="00A153B6"/>
    <w:rsid w:val="00A164D5"/>
    <w:rsid w:val="00A24EAF"/>
    <w:rsid w:val="00A273C3"/>
    <w:rsid w:val="00A30C37"/>
    <w:rsid w:val="00A36C65"/>
    <w:rsid w:val="00A41BBE"/>
    <w:rsid w:val="00A443E3"/>
    <w:rsid w:val="00A45BDD"/>
    <w:rsid w:val="00A46A0A"/>
    <w:rsid w:val="00A553F8"/>
    <w:rsid w:val="00A6708F"/>
    <w:rsid w:val="00A71BF6"/>
    <w:rsid w:val="00A72AF9"/>
    <w:rsid w:val="00A85E2D"/>
    <w:rsid w:val="00A86F9A"/>
    <w:rsid w:val="00AA35E6"/>
    <w:rsid w:val="00AA50B6"/>
    <w:rsid w:val="00AB3472"/>
    <w:rsid w:val="00AD0762"/>
    <w:rsid w:val="00AE3DCF"/>
    <w:rsid w:val="00AE4452"/>
    <w:rsid w:val="00AE7C38"/>
    <w:rsid w:val="00B01F99"/>
    <w:rsid w:val="00B02B37"/>
    <w:rsid w:val="00B05276"/>
    <w:rsid w:val="00B10BBA"/>
    <w:rsid w:val="00B132DB"/>
    <w:rsid w:val="00B1412D"/>
    <w:rsid w:val="00B31427"/>
    <w:rsid w:val="00B33861"/>
    <w:rsid w:val="00B40DE2"/>
    <w:rsid w:val="00B40E4A"/>
    <w:rsid w:val="00B50210"/>
    <w:rsid w:val="00B53955"/>
    <w:rsid w:val="00B6408A"/>
    <w:rsid w:val="00B714B8"/>
    <w:rsid w:val="00B82C2C"/>
    <w:rsid w:val="00B8720B"/>
    <w:rsid w:val="00B876EF"/>
    <w:rsid w:val="00B91FB5"/>
    <w:rsid w:val="00B93865"/>
    <w:rsid w:val="00BA4697"/>
    <w:rsid w:val="00BA765E"/>
    <w:rsid w:val="00BB5378"/>
    <w:rsid w:val="00BC0BD3"/>
    <w:rsid w:val="00BD0107"/>
    <w:rsid w:val="00BD4208"/>
    <w:rsid w:val="00BE0C33"/>
    <w:rsid w:val="00BE262C"/>
    <w:rsid w:val="00BE4C25"/>
    <w:rsid w:val="00BE6C3D"/>
    <w:rsid w:val="00C0742F"/>
    <w:rsid w:val="00C07606"/>
    <w:rsid w:val="00C12542"/>
    <w:rsid w:val="00C24725"/>
    <w:rsid w:val="00C30BA9"/>
    <w:rsid w:val="00C3541E"/>
    <w:rsid w:val="00C36A8F"/>
    <w:rsid w:val="00C42834"/>
    <w:rsid w:val="00C42FFA"/>
    <w:rsid w:val="00C507D8"/>
    <w:rsid w:val="00C62EAC"/>
    <w:rsid w:val="00C63F9F"/>
    <w:rsid w:val="00C7723C"/>
    <w:rsid w:val="00C838F5"/>
    <w:rsid w:val="00C841C0"/>
    <w:rsid w:val="00C86ACD"/>
    <w:rsid w:val="00CA1AF4"/>
    <w:rsid w:val="00CA6068"/>
    <w:rsid w:val="00CB15E1"/>
    <w:rsid w:val="00CB3D46"/>
    <w:rsid w:val="00CD1A87"/>
    <w:rsid w:val="00CD35F3"/>
    <w:rsid w:val="00CD5C93"/>
    <w:rsid w:val="00CE05E0"/>
    <w:rsid w:val="00CE342B"/>
    <w:rsid w:val="00CF320C"/>
    <w:rsid w:val="00CF3A4B"/>
    <w:rsid w:val="00CF4001"/>
    <w:rsid w:val="00D01662"/>
    <w:rsid w:val="00D05837"/>
    <w:rsid w:val="00D12653"/>
    <w:rsid w:val="00D12D8A"/>
    <w:rsid w:val="00D13E0C"/>
    <w:rsid w:val="00D25896"/>
    <w:rsid w:val="00D373A1"/>
    <w:rsid w:val="00D37C0F"/>
    <w:rsid w:val="00D407C5"/>
    <w:rsid w:val="00D45661"/>
    <w:rsid w:val="00D45943"/>
    <w:rsid w:val="00D47D22"/>
    <w:rsid w:val="00D51865"/>
    <w:rsid w:val="00D51D0C"/>
    <w:rsid w:val="00D74140"/>
    <w:rsid w:val="00DA6E56"/>
    <w:rsid w:val="00DC24E5"/>
    <w:rsid w:val="00DC6705"/>
    <w:rsid w:val="00DD2DE8"/>
    <w:rsid w:val="00DE38B4"/>
    <w:rsid w:val="00DE5D02"/>
    <w:rsid w:val="00E005A9"/>
    <w:rsid w:val="00E1166E"/>
    <w:rsid w:val="00E24DC0"/>
    <w:rsid w:val="00E2519C"/>
    <w:rsid w:val="00E25F2A"/>
    <w:rsid w:val="00E41455"/>
    <w:rsid w:val="00E42AD2"/>
    <w:rsid w:val="00E46940"/>
    <w:rsid w:val="00E50856"/>
    <w:rsid w:val="00E538CC"/>
    <w:rsid w:val="00E54BBD"/>
    <w:rsid w:val="00E54DBA"/>
    <w:rsid w:val="00E63D7C"/>
    <w:rsid w:val="00E640D5"/>
    <w:rsid w:val="00E66E2E"/>
    <w:rsid w:val="00E67691"/>
    <w:rsid w:val="00E84B27"/>
    <w:rsid w:val="00E92237"/>
    <w:rsid w:val="00E942C1"/>
    <w:rsid w:val="00E951EF"/>
    <w:rsid w:val="00EA1E66"/>
    <w:rsid w:val="00EA3D54"/>
    <w:rsid w:val="00EA56D9"/>
    <w:rsid w:val="00EA5CE3"/>
    <w:rsid w:val="00EB51C1"/>
    <w:rsid w:val="00EB5AE1"/>
    <w:rsid w:val="00EB5E0B"/>
    <w:rsid w:val="00EC2171"/>
    <w:rsid w:val="00ED442D"/>
    <w:rsid w:val="00ED70C2"/>
    <w:rsid w:val="00EE18FF"/>
    <w:rsid w:val="00EE489F"/>
    <w:rsid w:val="00EE5473"/>
    <w:rsid w:val="00F0647F"/>
    <w:rsid w:val="00F10CE3"/>
    <w:rsid w:val="00F12006"/>
    <w:rsid w:val="00F12232"/>
    <w:rsid w:val="00F13443"/>
    <w:rsid w:val="00F14F3B"/>
    <w:rsid w:val="00F16362"/>
    <w:rsid w:val="00F207C7"/>
    <w:rsid w:val="00F36B6D"/>
    <w:rsid w:val="00F37CC0"/>
    <w:rsid w:val="00F43FA3"/>
    <w:rsid w:val="00F4785C"/>
    <w:rsid w:val="00F55648"/>
    <w:rsid w:val="00F70046"/>
    <w:rsid w:val="00F7405B"/>
    <w:rsid w:val="00F748C2"/>
    <w:rsid w:val="00F74958"/>
    <w:rsid w:val="00F76C5C"/>
    <w:rsid w:val="00F81EF3"/>
    <w:rsid w:val="00F84496"/>
    <w:rsid w:val="00F85DCB"/>
    <w:rsid w:val="00F86F9C"/>
    <w:rsid w:val="00F90D76"/>
    <w:rsid w:val="00FA599B"/>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70277AE"/>
  <w15:docId w15:val="{30F24FAC-4DA8-4132-BF45-D001CBF8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65E"/>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styleId="PlainText">
    <w:name w:val="Plain Text"/>
    <w:basedOn w:val="Normal"/>
    <w:link w:val="PlainTextChar"/>
    <w:uiPriority w:val="99"/>
    <w:unhideWhenUsed/>
    <w:rsid w:val="00F4785C"/>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F4785C"/>
    <w:rPr>
      <w:rFonts w:ascii="Consolas" w:eastAsiaTheme="minorHAnsi" w:hAnsi="Consolas"/>
      <w:sz w:val="21"/>
      <w:szCs w:val="21"/>
      <w:lang w:eastAsia="en-US"/>
    </w:rPr>
  </w:style>
  <w:style w:type="character" w:styleId="CommentReference">
    <w:name w:val="annotation reference"/>
    <w:basedOn w:val="DefaultParagraphFont"/>
    <w:uiPriority w:val="99"/>
    <w:semiHidden/>
    <w:unhideWhenUsed/>
    <w:rsid w:val="001F7058"/>
    <w:rPr>
      <w:sz w:val="16"/>
      <w:szCs w:val="16"/>
    </w:rPr>
  </w:style>
  <w:style w:type="paragraph" w:styleId="CommentText">
    <w:name w:val="annotation text"/>
    <w:basedOn w:val="Normal"/>
    <w:link w:val="CommentTextChar"/>
    <w:uiPriority w:val="99"/>
    <w:semiHidden/>
    <w:unhideWhenUsed/>
    <w:rsid w:val="001F7058"/>
    <w:pPr>
      <w:spacing w:line="240" w:lineRule="auto"/>
    </w:pPr>
    <w:rPr>
      <w:sz w:val="20"/>
      <w:szCs w:val="20"/>
    </w:rPr>
  </w:style>
  <w:style w:type="character" w:customStyle="1" w:styleId="CommentTextChar">
    <w:name w:val="Comment Text Char"/>
    <w:basedOn w:val="DefaultParagraphFont"/>
    <w:link w:val="CommentText"/>
    <w:uiPriority w:val="99"/>
    <w:semiHidden/>
    <w:rsid w:val="001F7058"/>
    <w:rPr>
      <w:sz w:val="20"/>
      <w:szCs w:val="20"/>
    </w:rPr>
  </w:style>
  <w:style w:type="paragraph" w:styleId="CommentSubject">
    <w:name w:val="annotation subject"/>
    <w:basedOn w:val="CommentText"/>
    <w:next w:val="CommentText"/>
    <w:link w:val="CommentSubjectChar"/>
    <w:uiPriority w:val="99"/>
    <w:semiHidden/>
    <w:unhideWhenUsed/>
    <w:rsid w:val="001F7058"/>
    <w:rPr>
      <w:b/>
      <w:bCs/>
    </w:rPr>
  </w:style>
  <w:style w:type="character" w:customStyle="1" w:styleId="CommentSubjectChar">
    <w:name w:val="Comment Subject Char"/>
    <w:basedOn w:val="CommentTextChar"/>
    <w:link w:val="CommentSubject"/>
    <w:uiPriority w:val="99"/>
    <w:semiHidden/>
    <w:rsid w:val="001F70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health.gov.au/cdna" TargetMode="External"/><Relationship Id="rId10" Type="http://schemas.openxmlformats.org/officeDocument/2006/relationships/image" Target="media/image2.jpe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24</TotalTime>
  <Pages>13</Pages>
  <Words>3010</Words>
  <Characters>19415</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Communicable Diseases Intelligence 2022 - An outbreak of leptospirosis associated with cattle workers during the wet season, in the Northern Territory of Australia, 2021</vt:lpstr>
    </vt:vector>
  </TitlesOfParts>
  <Company>Australian Government, Department of Health</Company>
  <LinksUpToDate>false</LinksUpToDate>
  <CharactersWithSpaces>22381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An outbreak of leptospirosis associated with cattle workers during the wet season, in the Northern Territory of Australia, 2021</dc:title>
  <dc:subject>An outbreak of leptospirosis occurred in the Top End of the Northern Territory (NT), Australia, during the wet season in early 2021. There were 14 outbreak cases; most were male (12/14, 86%) and non-Aboriginal (13/14, 93%) with a median age of 22 years (range 19-52 years). We conducted a descriptive case series to investigate the outbreak. It was determined that the outbreak was due to workplace exposure to cattle, exacerbated by wearing inappropriate clothing and footwear, inadequate use of personal protective equipment (PPE) and higher than usual rainfall. Increased and ongoing education for cattle industry workers and promoting the use of appropriate clothing and PPE can minimise the risk of future outbreaks. Australia’s national surveillance case definition for leptospirosis should be reviewed to incorporate the use of nucleic acid testing in the detection of leptospirosis.</dc:subject>
  <dc:creator>Damien R Brown; Ruwani Peiris; Claire Waller; Elizabeth M Stedman; Susanne E Fitzpatrick; Vicki L Krause; Anthony DK Draper</dc:creator>
  <cp:keywords>outbreak; leptospirosis; Leptospira; cattle; Northern Territory; rainfall</cp:keywords>
  <dc:description>© Commonwealth of Australia CC BY-NC-ND ISSN: 2209-6051 (Online)</dc:description>
  <cp:lastModifiedBy>YOUSEFI, Kasra</cp:lastModifiedBy>
  <cp:revision>13</cp:revision>
  <cp:lastPrinted>2018-05-10T02:19:00Z</cp:lastPrinted>
  <dcterms:created xsi:type="dcterms:W3CDTF">2022-02-21T22:20:00Z</dcterms:created>
  <dcterms:modified xsi:type="dcterms:W3CDTF">2022-04-08T06:12:00Z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26/04/2022</vt:lpwstr>
  </property>
  <property fmtid="{D5CDD505-2E9C-101B-9397-08002B2CF9AE}" pid="5" name="DOI">
    <vt:lpwstr>https://doi.org/10.33321/cdi.2022.46.23</vt:lpwstr>
  </property>
</Properties>
</file>